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header2.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E1723" w14:textId="7AA04DE7" w:rsidR="00DC6F27" w:rsidRPr="001A1836" w:rsidRDefault="00DC6F27" w:rsidP="007A3DE3">
      <w:pPr>
        <w:pStyle w:val="GSRL2Sectionheading"/>
        <w:tabs>
          <w:tab w:val="clear" w:pos="1656"/>
        </w:tabs>
      </w:pPr>
      <w:bookmarkStart w:id="0" w:name="_Toc129038125"/>
      <w:bookmarkStart w:id="1" w:name="_Toc129038411"/>
      <w:bookmarkStart w:id="2" w:name="_Toc132267981"/>
      <w:bookmarkStart w:id="3" w:name="_Toc132268287"/>
      <w:bookmarkStart w:id="4" w:name="_Toc136198536"/>
      <w:bookmarkStart w:id="5" w:name="_Toc136198817"/>
      <w:bookmarkStart w:id="6" w:name="OLE_LINK1"/>
      <w:bookmarkStart w:id="7" w:name="OLE_LINK2"/>
      <w:r w:rsidRPr="001A1836">
        <w:t>Schedules 1 – 2</w:t>
      </w:r>
      <w:bookmarkEnd w:id="0"/>
      <w:bookmarkEnd w:id="1"/>
      <w:bookmarkEnd w:id="2"/>
      <w:bookmarkEnd w:id="3"/>
      <w:r w:rsidR="002D1942">
        <w:t>6</w:t>
      </w:r>
      <w:bookmarkEnd w:id="4"/>
      <w:bookmarkEnd w:id="5"/>
      <w:r w:rsidRPr="001A1836">
        <w:t xml:space="preserve"> </w:t>
      </w:r>
    </w:p>
    <w:p w14:paraId="7A885108" w14:textId="47F5F858" w:rsidR="009A4A36" w:rsidRDefault="00DF5FC5">
      <w:pPr>
        <w:pStyle w:val="TOC1"/>
        <w:rPr>
          <w:rFonts w:asciiTheme="minorHAnsi" w:eastAsiaTheme="minorEastAsia" w:hAnsiTheme="minorHAnsi" w:cstheme="minorBidi"/>
          <w:b w:val="0"/>
          <w:bCs w:val="0"/>
          <w:noProof/>
          <w:kern w:val="0"/>
          <w:szCs w:val="22"/>
          <w:lang w:eastAsia="en-GB"/>
        </w:rPr>
      </w:pPr>
      <w:r w:rsidRPr="001A1836">
        <w:fldChar w:fldCharType="begin"/>
      </w:r>
      <w:r w:rsidRPr="001A1836">
        <w:instrText xml:space="preserve"> TOC \o "1-1" \h \z \u </w:instrText>
      </w:r>
      <w:r w:rsidRPr="001A1836">
        <w:fldChar w:fldCharType="separate"/>
      </w:r>
      <w:hyperlink w:anchor="_Toc188885247" w:history="1">
        <w:r w:rsidR="009A4A36" w:rsidRPr="00C75783">
          <w:rPr>
            <w:rStyle w:val="Hyperlink"/>
            <w:noProof/>
          </w:rPr>
          <w:t>SCHEDULE 1: Concession Services Requirements</w:t>
        </w:r>
        <w:r w:rsidR="009A4A36">
          <w:rPr>
            <w:noProof/>
            <w:webHidden/>
          </w:rPr>
          <w:tab/>
        </w:r>
        <w:r w:rsidR="009A4A36">
          <w:rPr>
            <w:noProof/>
            <w:webHidden/>
          </w:rPr>
          <w:fldChar w:fldCharType="begin"/>
        </w:r>
        <w:r w:rsidR="009A4A36">
          <w:rPr>
            <w:noProof/>
            <w:webHidden/>
          </w:rPr>
          <w:instrText xml:space="preserve"> PAGEREF _Toc188885247 \h </w:instrText>
        </w:r>
        <w:r w:rsidR="009A4A36">
          <w:rPr>
            <w:noProof/>
            <w:webHidden/>
          </w:rPr>
        </w:r>
        <w:r w:rsidR="009A4A36">
          <w:rPr>
            <w:noProof/>
            <w:webHidden/>
          </w:rPr>
          <w:fldChar w:fldCharType="separate"/>
        </w:r>
        <w:r w:rsidR="009A4A36">
          <w:rPr>
            <w:noProof/>
            <w:webHidden/>
          </w:rPr>
          <w:t>3</w:t>
        </w:r>
        <w:r w:rsidR="009A4A36">
          <w:rPr>
            <w:noProof/>
            <w:webHidden/>
          </w:rPr>
          <w:fldChar w:fldCharType="end"/>
        </w:r>
      </w:hyperlink>
    </w:p>
    <w:p w14:paraId="5A999DDC" w14:textId="46FB26D2" w:rsidR="009A4A36" w:rsidRDefault="00247876">
      <w:pPr>
        <w:pStyle w:val="TOC1"/>
        <w:rPr>
          <w:rFonts w:asciiTheme="minorHAnsi" w:eastAsiaTheme="minorEastAsia" w:hAnsiTheme="minorHAnsi" w:cstheme="minorBidi"/>
          <w:b w:val="0"/>
          <w:bCs w:val="0"/>
          <w:noProof/>
          <w:kern w:val="0"/>
          <w:szCs w:val="22"/>
          <w:lang w:eastAsia="en-GB"/>
        </w:rPr>
      </w:pPr>
      <w:hyperlink w:anchor="_Toc188885248" w:history="1">
        <w:r w:rsidR="009A4A36" w:rsidRPr="00C75783">
          <w:rPr>
            <w:rStyle w:val="Hyperlink"/>
            <w:noProof/>
          </w:rPr>
          <w:t>SCHEDULE 2: Additional and Ancillary Services</w:t>
        </w:r>
        <w:r w:rsidR="009A4A36">
          <w:rPr>
            <w:noProof/>
            <w:webHidden/>
          </w:rPr>
          <w:tab/>
        </w:r>
        <w:r w:rsidR="009A4A36">
          <w:rPr>
            <w:noProof/>
            <w:webHidden/>
          </w:rPr>
          <w:fldChar w:fldCharType="begin"/>
        </w:r>
        <w:r w:rsidR="009A4A36">
          <w:rPr>
            <w:noProof/>
            <w:webHidden/>
          </w:rPr>
          <w:instrText xml:space="preserve"> PAGEREF _Toc188885248 \h </w:instrText>
        </w:r>
        <w:r w:rsidR="009A4A36">
          <w:rPr>
            <w:noProof/>
            <w:webHidden/>
          </w:rPr>
        </w:r>
        <w:r w:rsidR="009A4A36">
          <w:rPr>
            <w:noProof/>
            <w:webHidden/>
          </w:rPr>
          <w:fldChar w:fldCharType="separate"/>
        </w:r>
        <w:r w:rsidR="009A4A36">
          <w:rPr>
            <w:noProof/>
            <w:webHidden/>
          </w:rPr>
          <w:t>37</w:t>
        </w:r>
        <w:r w:rsidR="009A4A36">
          <w:rPr>
            <w:noProof/>
            <w:webHidden/>
          </w:rPr>
          <w:fldChar w:fldCharType="end"/>
        </w:r>
      </w:hyperlink>
    </w:p>
    <w:p w14:paraId="5249E7CC" w14:textId="10767A68" w:rsidR="009A4A36" w:rsidRDefault="00247876">
      <w:pPr>
        <w:pStyle w:val="TOC1"/>
        <w:rPr>
          <w:rFonts w:asciiTheme="minorHAnsi" w:eastAsiaTheme="minorEastAsia" w:hAnsiTheme="minorHAnsi" w:cstheme="minorBidi"/>
          <w:b w:val="0"/>
          <w:bCs w:val="0"/>
          <w:noProof/>
          <w:kern w:val="0"/>
          <w:szCs w:val="22"/>
          <w:lang w:eastAsia="en-GB"/>
        </w:rPr>
      </w:pPr>
      <w:hyperlink w:anchor="_Toc188885249" w:history="1">
        <w:r w:rsidR="009A4A36" w:rsidRPr="00C75783">
          <w:rPr>
            <w:rStyle w:val="Hyperlink"/>
            <w:noProof/>
          </w:rPr>
          <w:t>SCHEDULE 3: Service Levels</w:t>
        </w:r>
        <w:r w:rsidR="009A4A36">
          <w:rPr>
            <w:noProof/>
            <w:webHidden/>
          </w:rPr>
          <w:tab/>
        </w:r>
        <w:r w:rsidR="009A4A36">
          <w:rPr>
            <w:noProof/>
            <w:webHidden/>
          </w:rPr>
          <w:fldChar w:fldCharType="begin"/>
        </w:r>
        <w:r w:rsidR="009A4A36">
          <w:rPr>
            <w:noProof/>
            <w:webHidden/>
          </w:rPr>
          <w:instrText xml:space="preserve"> PAGEREF _Toc188885249 \h </w:instrText>
        </w:r>
        <w:r w:rsidR="009A4A36">
          <w:rPr>
            <w:noProof/>
            <w:webHidden/>
          </w:rPr>
        </w:r>
        <w:r w:rsidR="009A4A36">
          <w:rPr>
            <w:noProof/>
            <w:webHidden/>
          </w:rPr>
          <w:fldChar w:fldCharType="separate"/>
        </w:r>
        <w:r w:rsidR="009A4A36">
          <w:rPr>
            <w:noProof/>
            <w:webHidden/>
          </w:rPr>
          <w:t>43</w:t>
        </w:r>
        <w:r w:rsidR="009A4A36">
          <w:rPr>
            <w:noProof/>
            <w:webHidden/>
          </w:rPr>
          <w:fldChar w:fldCharType="end"/>
        </w:r>
      </w:hyperlink>
    </w:p>
    <w:p w14:paraId="784E6602" w14:textId="2DB23218" w:rsidR="009A4A36" w:rsidRDefault="00247876">
      <w:pPr>
        <w:pStyle w:val="TOC1"/>
        <w:rPr>
          <w:rFonts w:asciiTheme="minorHAnsi" w:eastAsiaTheme="minorEastAsia" w:hAnsiTheme="minorHAnsi" w:cstheme="minorBidi"/>
          <w:b w:val="0"/>
          <w:bCs w:val="0"/>
          <w:noProof/>
          <w:kern w:val="0"/>
          <w:szCs w:val="22"/>
          <w:lang w:eastAsia="en-GB"/>
        </w:rPr>
      </w:pPr>
      <w:hyperlink w:anchor="_Toc188885250" w:history="1">
        <w:r w:rsidR="009A4A36" w:rsidRPr="00C75783">
          <w:rPr>
            <w:rStyle w:val="Hyperlink"/>
            <w:noProof/>
          </w:rPr>
          <w:t>SCHEDULE 4: Charges</w:t>
        </w:r>
        <w:r w:rsidR="009A4A36">
          <w:rPr>
            <w:noProof/>
            <w:webHidden/>
          </w:rPr>
          <w:tab/>
        </w:r>
        <w:r w:rsidR="009A4A36">
          <w:rPr>
            <w:noProof/>
            <w:webHidden/>
          </w:rPr>
          <w:fldChar w:fldCharType="begin"/>
        </w:r>
        <w:r w:rsidR="009A4A36">
          <w:rPr>
            <w:noProof/>
            <w:webHidden/>
          </w:rPr>
          <w:instrText xml:space="preserve"> PAGEREF _Toc188885250 \h </w:instrText>
        </w:r>
        <w:r w:rsidR="009A4A36">
          <w:rPr>
            <w:noProof/>
            <w:webHidden/>
          </w:rPr>
        </w:r>
        <w:r w:rsidR="009A4A36">
          <w:rPr>
            <w:noProof/>
            <w:webHidden/>
          </w:rPr>
          <w:fldChar w:fldCharType="separate"/>
        </w:r>
        <w:r w:rsidR="009A4A36">
          <w:rPr>
            <w:noProof/>
            <w:webHidden/>
          </w:rPr>
          <w:t>73</w:t>
        </w:r>
        <w:r w:rsidR="009A4A36">
          <w:rPr>
            <w:noProof/>
            <w:webHidden/>
          </w:rPr>
          <w:fldChar w:fldCharType="end"/>
        </w:r>
      </w:hyperlink>
    </w:p>
    <w:p w14:paraId="72AC3FF4" w14:textId="7B4F15C1" w:rsidR="009A4A36" w:rsidRDefault="00247876">
      <w:pPr>
        <w:pStyle w:val="TOC1"/>
        <w:rPr>
          <w:rFonts w:asciiTheme="minorHAnsi" w:eastAsiaTheme="minorEastAsia" w:hAnsiTheme="minorHAnsi" w:cstheme="minorBidi"/>
          <w:b w:val="0"/>
          <w:bCs w:val="0"/>
          <w:noProof/>
          <w:kern w:val="0"/>
          <w:szCs w:val="22"/>
          <w:lang w:eastAsia="en-GB"/>
        </w:rPr>
      </w:pPr>
      <w:hyperlink w:anchor="_Toc188885251" w:history="1">
        <w:r w:rsidR="009A4A36" w:rsidRPr="00C75783">
          <w:rPr>
            <w:rStyle w:val="Hyperlink"/>
            <w:noProof/>
          </w:rPr>
          <w:t>SCHEDULE 5: Financial Model and Gain Share</w:t>
        </w:r>
        <w:r w:rsidR="009A4A36">
          <w:rPr>
            <w:noProof/>
            <w:webHidden/>
          </w:rPr>
          <w:tab/>
        </w:r>
        <w:r w:rsidR="009A4A36">
          <w:rPr>
            <w:noProof/>
            <w:webHidden/>
          </w:rPr>
          <w:fldChar w:fldCharType="begin"/>
        </w:r>
        <w:r w:rsidR="009A4A36">
          <w:rPr>
            <w:noProof/>
            <w:webHidden/>
          </w:rPr>
          <w:instrText xml:space="preserve"> PAGEREF _Toc188885251 \h </w:instrText>
        </w:r>
        <w:r w:rsidR="009A4A36">
          <w:rPr>
            <w:noProof/>
            <w:webHidden/>
          </w:rPr>
        </w:r>
        <w:r w:rsidR="009A4A36">
          <w:rPr>
            <w:noProof/>
            <w:webHidden/>
          </w:rPr>
          <w:fldChar w:fldCharType="separate"/>
        </w:r>
        <w:r w:rsidR="009A4A36">
          <w:rPr>
            <w:noProof/>
            <w:webHidden/>
          </w:rPr>
          <w:t>81</w:t>
        </w:r>
        <w:r w:rsidR="009A4A36">
          <w:rPr>
            <w:noProof/>
            <w:webHidden/>
          </w:rPr>
          <w:fldChar w:fldCharType="end"/>
        </w:r>
      </w:hyperlink>
    </w:p>
    <w:p w14:paraId="551E5CC4" w14:textId="44EE8DDD" w:rsidR="009A4A36" w:rsidRDefault="00247876">
      <w:pPr>
        <w:pStyle w:val="TOC1"/>
        <w:rPr>
          <w:rFonts w:asciiTheme="minorHAnsi" w:eastAsiaTheme="minorEastAsia" w:hAnsiTheme="minorHAnsi" w:cstheme="minorBidi"/>
          <w:b w:val="0"/>
          <w:bCs w:val="0"/>
          <w:noProof/>
          <w:kern w:val="0"/>
          <w:szCs w:val="22"/>
          <w:lang w:eastAsia="en-GB"/>
        </w:rPr>
      </w:pPr>
      <w:hyperlink w:anchor="_Toc188885252" w:history="1">
        <w:r w:rsidR="009A4A36" w:rsidRPr="00C75783">
          <w:rPr>
            <w:rStyle w:val="Hyperlink"/>
            <w:noProof/>
          </w:rPr>
          <w:t>SCHEDULE 6: Change Control Procedure</w:t>
        </w:r>
        <w:r w:rsidR="009A4A36">
          <w:rPr>
            <w:noProof/>
            <w:webHidden/>
          </w:rPr>
          <w:tab/>
        </w:r>
        <w:r w:rsidR="009A4A36">
          <w:rPr>
            <w:noProof/>
            <w:webHidden/>
          </w:rPr>
          <w:fldChar w:fldCharType="begin"/>
        </w:r>
        <w:r w:rsidR="009A4A36">
          <w:rPr>
            <w:noProof/>
            <w:webHidden/>
          </w:rPr>
          <w:instrText xml:space="preserve"> PAGEREF _Toc188885252 \h </w:instrText>
        </w:r>
        <w:r w:rsidR="009A4A36">
          <w:rPr>
            <w:noProof/>
            <w:webHidden/>
          </w:rPr>
        </w:r>
        <w:r w:rsidR="009A4A36">
          <w:rPr>
            <w:noProof/>
            <w:webHidden/>
          </w:rPr>
          <w:fldChar w:fldCharType="separate"/>
        </w:r>
        <w:r w:rsidR="009A4A36">
          <w:rPr>
            <w:noProof/>
            <w:webHidden/>
          </w:rPr>
          <w:t>98</w:t>
        </w:r>
        <w:r w:rsidR="009A4A36">
          <w:rPr>
            <w:noProof/>
            <w:webHidden/>
          </w:rPr>
          <w:fldChar w:fldCharType="end"/>
        </w:r>
      </w:hyperlink>
    </w:p>
    <w:p w14:paraId="08D99F0D" w14:textId="1751DC65" w:rsidR="009A4A36" w:rsidRDefault="00247876">
      <w:pPr>
        <w:pStyle w:val="TOC1"/>
        <w:rPr>
          <w:rFonts w:asciiTheme="minorHAnsi" w:eastAsiaTheme="minorEastAsia" w:hAnsiTheme="minorHAnsi" w:cstheme="minorBidi"/>
          <w:b w:val="0"/>
          <w:bCs w:val="0"/>
          <w:noProof/>
          <w:kern w:val="0"/>
          <w:szCs w:val="22"/>
          <w:lang w:eastAsia="en-GB"/>
        </w:rPr>
      </w:pPr>
      <w:hyperlink w:anchor="_Toc188885253" w:history="1">
        <w:r w:rsidR="009A4A36" w:rsidRPr="00C75783">
          <w:rPr>
            <w:rStyle w:val="Hyperlink"/>
            <w:noProof/>
          </w:rPr>
          <w:t>SCHEDULE 7: Policies</w:t>
        </w:r>
        <w:r w:rsidR="009A4A36">
          <w:rPr>
            <w:noProof/>
            <w:webHidden/>
          </w:rPr>
          <w:tab/>
        </w:r>
        <w:r w:rsidR="009A4A36">
          <w:rPr>
            <w:noProof/>
            <w:webHidden/>
          </w:rPr>
          <w:fldChar w:fldCharType="begin"/>
        </w:r>
        <w:r w:rsidR="009A4A36">
          <w:rPr>
            <w:noProof/>
            <w:webHidden/>
          </w:rPr>
          <w:instrText xml:space="preserve"> PAGEREF _Toc188885253 \h </w:instrText>
        </w:r>
        <w:r w:rsidR="009A4A36">
          <w:rPr>
            <w:noProof/>
            <w:webHidden/>
          </w:rPr>
        </w:r>
        <w:r w:rsidR="009A4A36">
          <w:rPr>
            <w:noProof/>
            <w:webHidden/>
          </w:rPr>
          <w:fldChar w:fldCharType="separate"/>
        </w:r>
        <w:r w:rsidR="009A4A36">
          <w:rPr>
            <w:noProof/>
            <w:webHidden/>
          </w:rPr>
          <w:t>103</w:t>
        </w:r>
        <w:r w:rsidR="009A4A36">
          <w:rPr>
            <w:noProof/>
            <w:webHidden/>
          </w:rPr>
          <w:fldChar w:fldCharType="end"/>
        </w:r>
      </w:hyperlink>
    </w:p>
    <w:p w14:paraId="1FB77304" w14:textId="23C3D388" w:rsidR="009A4A36" w:rsidRDefault="00247876">
      <w:pPr>
        <w:pStyle w:val="TOC1"/>
        <w:rPr>
          <w:rFonts w:asciiTheme="minorHAnsi" w:eastAsiaTheme="minorEastAsia" w:hAnsiTheme="minorHAnsi" w:cstheme="minorBidi"/>
          <w:b w:val="0"/>
          <w:bCs w:val="0"/>
          <w:noProof/>
          <w:kern w:val="0"/>
          <w:szCs w:val="22"/>
          <w:lang w:eastAsia="en-GB"/>
        </w:rPr>
      </w:pPr>
      <w:hyperlink w:anchor="_Toc188885254" w:history="1">
        <w:r w:rsidR="009A4A36" w:rsidRPr="00C75783">
          <w:rPr>
            <w:rStyle w:val="Hyperlink"/>
            <w:noProof/>
          </w:rPr>
          <w:t>SCHEDULE 8: Key Performance Indicators</w:t>
        </w:r>
        <w:r w:rsidR="009A4A36">
          <w:rPr>
            <w:noProof/>
            <w:webHidden/>
          </w:rPr>
          <w:tab/>
        </w:r>
        <w:r w:rsidR="009A4A36">
          <w:rPr>
            <w:noProof/>
            <w:webHidden/>
          </w:rPr>
          <w:fldChar w:fldCharType="begin"/>
        </w:r>
        <w:r w:rsidR="009A4A36">
          <w:rPr>
            <w:noProof/>
            <w:webHidden/>
          </w:rPr>
          <w:instrText xml:space="preserve"> PAGEREF _Toc188885254 \h </w:instrText>
        </w:r>
        <w:r w:rsidR="009A4A36">
          <w:rPr>
            <w:noProof/>
            <w:webHidden/>
          </w:rPr>
        </w:r>
        <w:r w:rsidR="009A4A36">
          <w:rPr>
            <w:noProof/>
            <w:webHidden/>
          </w:rPr>
          <w:fldChar w:fldCharType="separate"/>
        </w:r>
        <w:r w:rsidR="009A4A36">
          <w:rPr>
            <w:noProof/>
            <w:webHidden/>
          </w:rPr>
          <w:t>105</w:t>
        </w:r>
        <w:r w:rsidR="009A4A36">
          <w:rPr>
            <w:noProof/>
            <w:webHidden/>
          </w:rPr>
          <w:fldChar w:fldCharType="end"/>
        </w:r>
      </w:hyperlink>
    </w:p>
    <w:p w14:paraId="5BC42A42" w14:textId="5BC9F776" w:rsidR="009A4A36" w:rsidRDefault="00247876">
      <w:pPr>
        <w:pStyle w:val="TOC1"/>
        <w:rPr>
          <w:rFonts w:asciiTheme="minorHAnsi" w:eastAsiaTheme="minorEastAsia" w:hAnsiTheme="minorHAnsi" w:cstheme="minorBidi"/>
          <w:b w:val="0"/>
          <w:bCs w:val="0"/>
          <w:noProof/>
          <w:kern w:val="0"/>
          <w:szCs w:val="22"/>
          <w:lang w:eastAsia="en-GB"/>
        </w:rPr>
      </w:pPr>
      <w:hyperlink w:anchor="_Toc188885255" w:history="1">
        <w:r w:rsidR="009A4A36" w:rsidRPr="00C75783">
          <w:rPr>
            <w:rStyle w:val="Hyperlink"/>
            <w:noProof/>
          </w:rPr>
          <w:t>SCHEDULE 9: Staff Transfer</w:t>
        </w:r>
        <w:r w:rsidR="009A4A36">
          <w:rPr>
            <w:noProof/>
            <w:webHidden/>
          </w:rPr>
          <w:tab/>
        </w:r>
        <w:r w:rsidR="009A4A36">
          <w:rPr>
            <w:noProof/>
            <w:webHidden/>
          </w:rPr>
          <w:fldChar w:fldCharType="begin"/>
        </w:r>
        <w:r w:rsidR="009A4A36">
          <w:rPr>
            <w:noProof/>
            <w:webHidden/>
          </w:rPr>
          <w:instrText xml:space="preserve"> PAGEREF _Toc188885255 \h </w:instrText>
        </w:r>
        <w:r w:rsidR="009A4A36">
          <w:rPr>
            <w:noProof/>
            <w:webHidden/>
          </w:rPr>
        </w:r>
        <w:r w:rsidR="009A4A36">
          <w:rPr>
            <w:noProof/>
            <w:webHidden/>
          </w:rPr>
          <w:fldChar w:fldCharType="separate"/>
        </w:r>
        <w:r w:rsidR="009A4A36">
          <w:rPr>
            <w:noProof/>
            <w:webHidden/>
          </w:rPr>
          <w:t>122</w:t>
        </w:r>
        <w:r w:rsidR="009A4A36">
          <w:rPr>
            <w:noProof/>
            <w:webHidden/>
          </w:rPr>
          <w:fldChar w:fldCharType="end"/>
        </w:r>
      </w:hyperlink>
    </w:p>
    <w:p w14:paraId="0F95FC99" w14:textId="5CAB17E2" w:rsidR="009A4A36" w:rsidRDefault="00247876">
      <w:pPr>
        <w:pStyle w:val="TOC1"/>
        <w:rPr>
          <w:rFonts w:asciiTheme="minorHAnsi" w:eastAsiaTheme="minorEastAsia" w:hAnsiTheme="minorHAnsi" w:cstheme="minorBidi"/>
          <w:b w:val="0"/>
          <w:bCs w:val="0"/>
          <w:noProof/>
          <w:kern w:val="0"/>
          <w:szCs w:val="22"/>
          <w:lang w:eastAsia="en-GB"/>
        </w:rPr>
      </w:pPr>
      <w:hyperlink w:anchor="_Toc188885256" w:history="1">
        <w:r w:rsidR="009A4A36" w:rsidRPr="00C75783">
          <w:rPr>
            <w:rStyle w:val="Hyperlink"/>
            <w:noProof/>
          </w:rPr>
          <w:t>SCHEDULE 10: Governance and Contract Management</w:t>
        </w:r>
        <w:r w:rsidR="009A4A36">
          <w:rPr>
            <w:noProof/>
            <w:webHidden/>
          </w:rPr>
          <w:tab/>
        </w:r>
        <w:r w:rsidR="009A4A36">
          <w:rPr>
            <w:noProof/>
            <w:webHidden/>
          </w:rPr>
          <w:fldChar w:fldCharType="begin"/>
        </w:r>
        <w:r w:rsidR="009A4A36">
          <w:rPr>
            <w:noProof/>
            <w:webHidden/>
          </w:rPr>
          <w:instrText xml:space="preserve"> PAGEREF _Toc188885256 \h </w:instrText>
        </w:r>
        <w:r w:rsidR="009A4A36">
          <w:rPr>
            <w:noProof/>
            <w:webHidden/>
          </w:rPr>
        </w:r>
        <w:r w:rsidR="009A4A36">
          <w:rPr>
            <w:noProof/>
            <w:webHidden/>
          </w:rPr>
          <w:fldChar w:fldCharType="separate"/>
        </w:r>
        <w:r w:rsidR="009A4A36">
          <w:rPr>
            <w:noProof/>
            <w:webHidden/>
          </w:rPr>
          <w:t>156</w:t>
        </w:r>
        <w:r w:rsidR="009A4A36">
          <w:rPr>
            <w:noProof/>
            <w:webHidden/>
          </w:rPr>
          <w:fldChar w:fldCharType="end"/>
        </w:r>
      </w:hyperlink>
    </w:p>
    <w:p w14:paraId="08082C2A" w14:textId="2C71D124" w:rsidR="009A4A36" w:rsidRDefault="00247876">
      <w:pPr>
        <w:pStyle w:val="TOC1"/>
        <w:rPr>
          <w:rFonts w:asciiTheme="minorHAnsi" w:eastAsiaTheme="minorEastAsia" w:hAnsiTheme="minorHAnsi" w:cstheme="minorBidi"/>
          <w:b w:val="0"/>
          <w:bCs w:val="0"/>
          <w:noProof/>
          <w:kern w:val="0"/>
          <w:szCs w:val="22"/>
          <w:lang w:eastAsia="en-GB"/>
        </w:rPr>
      </w:pPr>
      <w:hyperlink w:anchor="_Toc188885257" w:history="1">
        <w:r w:rsidR="009A4A36" w:rsidRPr="00C75783">
          <w:rPr>
            <w:rStyle w:val="Hyperlink"/>
            <w:noProof/>
          </w:rPr>
          <w:t>SCHEDULE 11: Management Information, Reporting and Records</w:t>
        </w:r>
        <w:r w:rsidR="009A4A36">
          <w:rPr>
            <w:noProof/>
            <w:webHidden/>
          </w:rPr>
          <w:tab/>
        </w:r>
        <w:r w:rsidR="009A4A36">
          <w:rPr>
            <w:noProof/>
            <w:webHidden/>
          </w:rPr>
          <w:fldChar w:fldCharType="begin"/>
        </w:r>
        <w:r w:rsidR="009A4A36">
          <w:rPr>
            <w:noProof/>
            <w:webHidden/>
          </w:rPr>
          <w:instrText xml:space="preserve"> PAGEREF _Toc188885257 \h </w:instrText>
        </w:r>
        <w:r w:rsidR="009A4A36">
          <w:rPr>
            <w:noProof/>
            <w:webHidden/>
          </w:rPr>
        </w:r>
        <w:r w:rsidR="009A4A36">
          <w:rPr>
            <w:noProof/>
            <w:webHidden/>
          </w:rPr>
          <w:fldChar w:fldCharType="separate"/>
        </w:r>
        <w:r w:rsidR="009A4A36">
          <w:rPr>
            <w:noProof/>
            <w:webHidden/>
          </w:rPr>
          <w:t>169</w:t>
        </w:r>
        <w:r w:rsidR="009A4A36">
          <w:rPr>
            <w:noProof/>
            <w:webHidden/>
          </w:rPr>
          <w:fldChar w:fldCharType="end"/>
        </w:r>
      </w:hyperlink>
    </w:p>
    <w:p w14:paraId="3C92EBAC" w14:textId="71FC80C7" w:rsidR="009A4A36" w:rsidRDefault="00247876">
      <w:pPr>
        <w:pStyle w:val="TOC1"/>
        <w:rPr>
          <w:rFonts w:asciiTheme="minorHAnsi" w:eastAsiaTheme="minorEastAsia" w:hAnsiTheme="minorHAnsi" w:cstheme="minorBidi"/>
          <w:b w:val="0"/>
          <w:bCs w:val="0"/>
          <w:noProof/>
          <w:kern w:val="0"/>
          <w:szCs w:val="22"/>
          <w:lang w:eastAsia="en-GB"/>
        </w:rPr>
      </w:pPr>
      <w:hyperlink w:anchor="_Toc188885258" w:history="1">
        <w:r w:rsidR="009A4A36" w:rsidRPr="00C75783">
          <w:rPr>
            <w:rStyle w:val="Hyperlink"/>
            <w:noProof/>
          </w:rPr>
          <w:t>SCHEDULE 12: Exit Management</w:t>
        </w:r>
        <w:r w:rsidR="009A4A36">
          <w:rPr>
            <w:noProof/>
            <w:webHidden/>
          </w:rPr>
          <w:tab/>
        </w:r>
        <w:r w:rsidR="009A4A36">
          <w:rPr>
            <w:noProof/>
            <w:webHidden/>
          </w:rPr>
          <w:fldChar w:fldCharType="begin"/>
        </w:r>
        <w:r w:rsidR="009A4A36">
          <w:rPr>
            <w:noProof/>
            <w:webHidden/>
          </w:rPr>
          <w:instrText xml:space="preserve"> PAGEREF _Toc188885258 \h </w:instrText>
        </w:r>
        <w:r w:rsidR="009A4A36">
          <w:rPr>
            <w:noProof/>
            <w:webHidden/>
          </w:rPr>
        </w:r>
        <w:r w:rsidR="009A4A36">
          <w:rPr>
            <w:noProof/>
            <w:webHidden/>
          </w:rPr>
          <w:fldChar w:fldCharType="separate"/>
        </w:r>
        <w:r w:rsidR="009A4A36">
          <w:rPr>
            <w:noProof/>
            <w:webHidden/>
          </w:rPr>
          <w:t>199</w:t>
        </w:r>
        <w:r w:rsidR="009A4A36">
          <w:rPr>
            <w:noProof/>
            <w:webHidden/>
          </w:rPr>
          <w:fldChar w:fldCharType="end"/>
        </w:r>
      </w:hyperlink>
    </w:p>
    <w:p w14:paraId="6B6809F6" w14:textId="480D1605" w:rsidR="009A4A36" w:rsidRDefault="00247876">
      <w:pPr>
        <w:pStyle w:val="TOC1"/>
        <w:rPr>
          <w:rFonts w:asciiTheme="minorHAnsi" w:eastAsiaTheme="minorEastAsia" w:hAnsiTheme="minorHAnsi" w:cstheme="minorBidi"/>
          <w:b w:val="0"/>
          <w:bCs w:val="0"/>
          <w:noProof/>
          <w:kern w:val="0"/>
          <w:szCs w:val="22"/>
          <w:lang w:eastAsia="en-GB"/>
        </w:rPr>
      </w:pPr>
      <w:hyperlink w:anchor="_Toc188885259" w:history="1">
        <w:r w:rsidR="009A4A36" w:rsidRPr="00C75783">
          <w:rPr>
            <w:rStyle w:val="Hyperlink"/>
            <w:noProof/>
          </w:rPr>
          <w:t>SCHEDULE 13: Third-Party Contracts</w:t>
        </w:r>
        <w:r w:rsidR="009A4A36">
          <w:rPr>
            <w:noProof/>
            <w:webHidden/>
          </w:rPr>
          <w:tab/>
        </w:r>
        <w:r w:rsidR="009A4A36">
          <w:rPr>
            <w:noProof/>
            <w:webHidden/>
          </w:rPr>
          <w:fldChar w:fldCharType="begin"/>
        </w:r>
        <w:r w:rsidR="009A4A36">
          <w:rPr>
            <w:noProof/>
            <w:webHidden/>
          </w:rPr>
          <w:instrText xml:space="preserve"> PAGEREF _Toc188885259 \h </w:instrText>
        </w:r>
        <w:r w:rsidR="009A4A36">
          <w:rPr>
            <w:noProof/>
            <w:webHidden/>
          </w:rPr>
        </w:r>
        <w:r w:rsidR="009A4A36">
          <w:rPr>
            <w:noProof/>
            <w:webHidden/>
          </w:rPr>
          <w:fldChar w:fldCharType="separate"/>
        </w:r>
        <w:r w:rsidR="009A4A36">
          <w:rPr>
            <w:noProof/>
            <w:webHidden/>
          </w:rPr>
          <w:t>211</w:t>
        </w:r>
        <w:r w:rsidR="009A4A36">
          <w:rPr>
            <w:noProof/>
            <w:webHidden/>
          </w:rPr>
          <w:fldChar w:fldCharType="end"/>
        </w:r>
      </w:hyperlink>
    </w:p>
    <w:p w14:paraId="11531277" w14:textId="2565BF93" w:rsidR="009A4A36" w:rsidRDefault="00247876">
      <w:pPr>
        <w:pStyle w:val="TOC1"/>
        <w:rPr>
          <w:rFonts w:asciiTheme="minorHAnsi" w:eastAsiaTheme="minorEastAsia" w:hAnsiTheme="minorHAnsi" w:cstheme="minorBidi"/>
          <w:b w:val="0"/>
          <w:bCs w:val="0"/>
          <w:noProof/>
          <w:kern w:val="0"/>
          <w:szCs w:val="22"/>
          <w:lang w:eastAsia="en-GB"/>
        </w:rPr>
      </w:pPr>
      <w:hyperlink w:anchor="_Toc188885260" w:history="1">
        <w:r w:rsidR="009A4A36" w:rsidRPr="00C75783">
          <w:rPr>
            <w:rStyle w:val="Hyperlink"/>
            <w:noProof/>
          </w:rPr>
          <w:t>SCHEDULE 14: Key Personnel</w:t>
        </w:r>
        <w:r w:rsidR="009A4A36">
          <w:rPr>
            <w:noProof/>
            <w:webHidden/>
          </w:rPr>
          <w:tab/>
        </w:r>
        <w:r w:rsidR="009A4A36">
          <w:rPr>
            <w:noProof/>
            <w:webHidden/>
          </w:rPr>
          <w:fldChar w:fldCharType="begin"/>
        </w:r>
        <w:r w:rsidR="009A4A36">
          <w:rPr>
            <w:noProof/>
            <w:webHidden/>
          </w:rPr>
          <w:instrText xml:space="preserve"> PAGEREF _Toc188885260 \h </w:instrText>
        </w:r>
        <w:r w:rsidR="009A4A36">
          <w:rPr>
            <w:noProof/>
            <w:webHidden/>
          </w:rPr>
        </w:r>
        <w:r w:rsidR="009A4A36">
          <w:rPr>
            <w:noProof/>
            <w:webHidden/>
          </w:rPr>
          <w:fldChar w:fldCharType="separate"/>
        </w:r>
        <w:r w:rsidR="009A4A36">
          <w:rPr>
            <w:noProof/>
            <w:webHidden/>
          </w:rPr>
          <w:t>215</w:t>
        </w:r>
        <w:r w:rsidR="009A4A36">
          <w:rPr>
            <w:noProof/>
            <w:webHidden/>
          </w:rPr>
          <w:fldChar w:fldCharType="end"/>
        </w:r>
      </w:hyperlink>
    </w:p>
    <w:p w14:paraId="3AF80884" w14:textId="671BBD7E" w:rsidR="009A4A36" w:rsidRDefault="00247876">
      <w:pPr>
        <w:pStyle w:val="TOC1"/>
        <w:rPr>
          <w:rFonts w:asciiTheme="minorHAnsi" w:eastAsiaTheme="minorEastAsia" w:hAnsiTheme="minorHAnsi" w:cstheme="minorBidi"/>
          <w:b w:val="0"/>
          <w:bCs w:val="0"/>
          <w:noProof/>
          <w:kern w:val="0"/>
          <w:szCs w:val="22"/>
          <w:lang w:eastAsia="en-GB"/>
        </w:rPr>
      </w:pPr>
      <w:hyperlink w:anchor="_Toc188885261" w:history="1">
        <w:r w:rsidR="009A4A36" w:rsidRPr="00C75783">
          <w:rPr>
            <w:rStyle w:val="Hyperlink"/>
            <w:noProof/>
          </w:rPr>
          <w:t>SCHEDULE 15: Service Continuity Plan and Corporate Resolution Planning</w:t>
        </w:r>
        <w:r w:rsidR="009A4A36">
          <w:rPr>
            <w:noProof/>
            <w:webHidden/>
          </w:rPr>
          <w:tab/>
        </w:r>
        <w:r w:rsidR="009A4A36">
          <w:rPr>
            <w:noProof/>
            <w:webHidden/>
          </w:rPr>
          <w:fldChar w:fldCharType="begin"/>
        </w:r>
        <w:r w:rsidR="009A4A36">
          <w:rPr>
            <w:noProof/>
            <w:webHidden/>
          </w:rPr>
          <w:instrText xml:space="preserve"> PAGEREF _Toc188885261 \h </w:instrText>
        </w:r>
        <w:r w:rsidR="009A4A36">
          <w:rPr>
            <w:noProof/>
            <w:webHidden/>
          </w:rPr>
        </w:r>
        <w:r w:rsidR="009A4A36">
          <w:rPr>
            <w:noProof/>
            <w:webHidden/>
          </w:rPr>
          <w:fldChar w:fldCharType="separate"/>
        </w:r>
        <w:r w:rsidR="009A4A36">
          <w:rPr>
            <w:noProof/>
            <w:webHidden/>
          </w:rPr>
          <w:t>219</w:t>
        </w:r>
        <w:r w:rsidR="009A4A36">
          <w:rPr>
            <w:noProof/>
            <w:webHidden/>
          </w:rPr>
          <w:fldChar w:fldCharType="end"/>
        </w:r>
      </w:hyperlink>
    </w:p>
    <w:p w14:paraId="586B8D03" w14:textId="115E352C" w:rsidR="009A4A36" w:rsidRDefault="00247876">
      <w:pPr>
        <w:pStyle w:val="TOC1"/>
        <w:rPr>
          <w:rFonts w:asciiTheme="minorHAnsi" w:eastAsiaTheme="minorEastAsia" w:hAnsiTheme="minorHAnsi" w:cstheme="minorBidi"/>
          <w:b w:val="0"/>
          <w:bCs w:val="0"/>
          <w:noProof/>
          <w:kern w:val="0"/>
          <w:szCs w:val="22"/>
          <w:lang w:eastAsia="en-GB"/>
        </w:rPr>
      </w:pPr>
      <w:hyperlink w:anchor="_Toc188885262" w:history="1">
        <w:r w:rsidR="009A4A36" w:rsidRPr="00C75783">
          <w:rPr>
            <w:rStyle w:val="Hyperlink"/>
            <w:noProof/>
          </w:rPr>
          <w:t>SCHEDULE 16: Transition Plan</w:t>
        </w:r>
        <w:r w:rsidR="009A4A36">
          <w:rPr>
            <w:noProof/>
            <w:webHidden/>
          </w:rPr>
          <w:tab/>
        </w:r>
        <w:r w:rsidR="009A4A36">
          <w:rPr>
            <w:noProof/>
            <w:webHidden/>
          </w:rPr>
          <w:fldChar w:fldCharType="begin"/>
        </w:r>
        <w:r w:rsidR="009A4A36">
          <w:rPr>
            <w:noProof/>
            <w:webHidden/>
          </w:rPr>
          <w:instrText xml:space="preserve"> PAGEREF _Toc188885262 \h </w:instrText>
        </w:r>
        <w:r w:rsidR="009A4A36">
          <w:rPr>
            <w:noProof/>
            <w:webHidden/>
          </w:rPr>
        </w:r>
        <w:r w:rsidR="009A4A36">
          <w:rPr>
            <w:noProof/>
            <w:webHidden/>
          </w:rPr>
          <w:fldChar w:fldCharType="separate"/>
        </w:r>
        <w:r w:rsidR="009A4A36">
          <w:rPr>
            <w:noProof/>
            <w:webHidden/>
          </w:rPr>
          <w:t>234</w:t>
        </w:r>
        <w:r w:rsidR="009A4A36">
          <w:rPr>
            <w:noProof/>
            <w:webHidden/>
          </w:rPr>
          <w:fldChar w:fldCharType="end"/>
        </w:r>
      </w:hyperlink>
    </w:p>
    <w:p w14:paraId="310D9CDC" w14:textId="3B0FF863" w:rsidR="009A4A36" w:rsidRDefault="00247876">
      <w:pPr>
        <w:pStyle w:val="TOC1"/>
        <w:rPr>
          <w:rFonts w:asciiTheme="minorHAnsi" w:eastAsiaTheme="minorEastAsia" w:hAnsiTheme="minorHAnsi" w:cstheme="minorBidi"/>
          <w:b w:val="0"/>
          <w:bCs w:val="0"/>
          <w:noProof/>
          <w:kern w:val="0"/>
          <w:szCs w:val="22"/>
          <w:lang w:eastAsia="en-GB"/>
        </w:rPr>
      </w:pPr>
      <w:hyperlink w:anchor="_Toc188885263" w:history="1">
        <w:r w:rsidR="009A4A36" w:rsidRPr="00C75783">
          <w:rPr>
            <w:rStyle w:val="Hyperlink"/>
            <w:noProof/>
          </w:rPr>
          <w:t>SCHEDULE 17: Parent Company Guarantee</w:t>
        </w:r>
        <w:r w:rsidR="009A4A36">
          <w:rPr>
            <w:noProof/>
            <w:webHidden/>
          </w:rPr>
          <w:tab/>
        </w:r>
        <w:r w:rsidR="009A4A36">
          <w:rPr>
            <w:noProof/>
            <w:webHidden/>
          </w:rPr>
          <w:fldChar w:fldCharType="begin"/>
        </w:r>
        <w:r w:rsidR="009A4A36">
          <w:rPr>
            <w:noProof/>
            <w:webHidden/>
          </w:rPr>
          <w:instrText xml:space="preserve"> PAGEREF _Toc188885263 \h </w:instrText>
        </w:r>
        <w:r w:rsidR="009A4A36">
          <w:rPr>
            <w:noProof/>
            <w:webHidden/>
          </w:rPr>
        </w:r>
        <w:r w:rsidR="009A4A36">
          <w:rPr>
            <w:noProof/>
            <w:webHidden/>
          </w:rPr>
          <w:fldChar w:fldCharType="separate"/>
        </w:r>
        <w:r w:rsidR="009A4A36">
          <w:rPr>
            <w:noProof/>
            <w:webHidden/>
          </w:rPr>
          <w:t>238</w:t>
        </w:r>
        <w:r w:rsidR="009A4A36">
          <w:rPr>
            <w:noProof/>
            <w:webHidden/>
          </w:rPr>
          <w:fldChar w:fldCharType="end"/>
        </w:r>
      </w:hyperlink>
    </w:p>
    <w:p w14:paraId="7247658E" w14:textId="0CC1FA4B" w:rsidR="009A4A36" w:rsidRDefault="00247876">
      <w:pPr>
        <w:pStyle w:val="TOC1"/>
        <w:rPr>
          <w:rFonts w:asciiTheme="minorHAnsi" w:eastAsiaTheme="minorEastAsia" w:hAnsiTheme="minorHAnsi" w:cstheme="minorBidi"/>
          <w:b w:val="0"/>
          <w:bCs w:val="0"/>
          <w:noProof/>
          <w:kern w:val="0"/>
          <w:szCs w:val="22"/>
          <w:lang w:eastAsia="en-GB"/>
        </w:rPr>
      </w:pPr>
      <w:hyperlink w:anchor="_Toc188885264" w:history="1">
        <w:r w:rsidR="009A4A36" w:rsidRPr="00C75783">
          <w:rPr>
            <w:rStyle w:val="Hyperlink"/>
            <w:noProof/>
          </w:rPr>
          <w:t>SCHEDULE 18: Assets</w:t>
        </w:r>
        <w:r w:rsidR="009A4A36">
          <w:rPr>
            <w:noProof/>
            <w:webHidden/>
          </w:rPr>
          <w:tab/>
        </w:r>
        <w:r w:rsidR="009A4A36">
          <w:rPr>
            <w:noProof/>
            <w:webHidden/>
          </w:rPr>
          <w:fldChar w:fldCharType="begin"/>
        </w:r>
        <w:r w:rsidR="009A4A36">
          <w:rPr>
            <w:noProof/>
            <w:webHidden/>
          </w:rPr>
          <w:instrText xml:space="preserve"> PAGEREF _Toc188885264 \h </w:instrText>
        </w:r>
        <w:r w:rsidR="009A4A36">
          <w:rPr>
            <w:noProof/>
            <w:webHidden/>
          </w:rPr>
        </w:r>
        <w:r w:rsidR="009A4A36">
          <w:rPr>
            <w:noProof/>
            <w:webHidden/>
          </w:rPr>
          <w:fldChar w:fldCharType="separate"/>
        </w:r>
        <w:r w:rsidR="009A4A36">
          <w:rPr>
            <w:noProof/>
            <w:webHidden/>
          </w:rPr>
          <w:t>249</w:t>
        </w:r>
        <w:r w:rsidR="009A4A36">
          <w:rPr>
            <w:noProof/>
            <w:webHidden/>
          </w:rPr>
          <w:fldChar w:fldCharType="end"/>
        </w:r>
      </w:hyperlink>
    </w:p>
    <w:p w14:paraId="380FFD49" w14:textId="040964BC" w:rsidR="009A4A36" w:rsidRDefault="00247876">
      <w:pPr>
        <w:pStyle w:val="TOC1"/>
        <w:rPr>
          <w:rFonts w:asciiTheme="minorHAnsi" w:eastAsiaTheme="minorEastAsia" w:hAnsiTheme="minorHAnsi" w:cstheme="minorBidi"/>
          <w:b w:val="0"/>
          <w:bCs w:val="0"/>
          <w:noProof/>
          <w:kern w:val="0"/>
          <w:szCs w:val="22"/>
          <w:lang w:eastAsia="en-GB"/>
        </w:rPr>
      </w:pPr>
      <w:hyperlink w:anchor="_Toc188885265" w:history="1">
        <w:r w:rsidR="009A4A36" w:rsidRPr="00C75783">
          <w:rPr>
            <w:rStyle w:val="Hyperlink"/>
            <w:noProof/>
          </w:rPr>
          <w:t>SCHEDULE 19: Dispute Resolution</w:t>
        </w:r>
        <w:r w:rsidR="009A4A36">
          <w:rPr>
            <w:noProof/>
            <w:webHidden/>
          </w:rPr>
          <w:tab/>
        </w:r>
        <w:r w:rsidR="009A4A36">
          <w:rPr>
            <w:noProof/>
            <w:webHidden/>
          </w:rPr>
          <w:fldChar w:fldCharType="begin"/>
        </w:r>
        <w:r w:rsidR="009A4A36">
          <w:rPr>
            <w:noProof/>
            <w:webHidden/>
          </w:rPr>
          <w:instrText xml:space="preserve"> PAGEREF _Toc188885265 \h </w:instrText>
        </w:r>
        <w:r w:rsidR="009A4A36">
          <w:rPr>
            <w:noProof/>
            <w:webHidden/>
          </w:rPr>
        </w:r>
        <w:r w:rsidR="009A4A36">
          <w:rPr>
            <w:noProof/>
            <w:webHidden/>
          </w:rPr>
          <w:fldChar w:fldCharType="separate"/>
        </w:r>
        <w:r w:rsidR="009A4A36">
          <w:rPr>
            <w:noProof/>
            <w:webHidden/>
          </w:rPr>
          <w:t>266</w:t>
        </w:r>
        <w:r w:rsidR="009A4A36">
          <w:rPr>
            <w:noProof/>
            <w:webHidden/>
          </w:rPr>
          <w:fldChar w:fldCharType="end"/>
        </w:r>
      </w:hyperlink>
    </w:p>
    <w:p w14:paraId="5874A75E" w14:textId="2A4BB7E4" w:rsidR="009A4A36" w:rsidRDefault="00247876">
      <w:pPr>
        <w:pStyle w:val="TOC1"/>
        <w:rPr>
          <w:rFonts w:asciiTheme="minorHAnsi" w:eastAsiaTheme="minorEastAsia" w:hAnsiTheme="minorHAnsi" w:cstheme="minorBidi"/>
          <w:b w:val="0"/>
          <w:bCs w:val="0"/>
          <w:noProof/>
          <w:kern w:val="0"/>
          <w:szCs w:val="22"/>
          <w:lang w:eastAsia="en-GB"/>
        </w:rPr>
      </w:pPr>
      <w:hyperlink w:anchor="_Toc188885266" w:history="1">
        <w:r w:rsidR="009A4A36" w:rsidRPr="00C75783">
          <w:rPr>
            <w:rStyle w:val="Hyperlink"/>
            <w:noProof/>
          </w:rPr>
          <w:t>SCHEDULE 20: IT Requirements</w:t>
        </w:r>
        <w:r w:rsidR="009A4A36">
          <w:rPr>
            <w:noProof/>
            <w:webHidden/>
          </w:rPr>
          <w:tab/>
        </w:r>
        <w:r w:rsidR="009A4A36">
          <w:rPr>
            <w:noProof/>
            <w:webHidden/>
          </w:rPr>
          <w:fldChar w:fldCharType="begin"/>
        </w:r>
        <w:r w:rsidR="009A4A36">
          <w:rPr>
            <w:noProof/>
            <w:webHidden/>
          </w:rPr>
          <w:instrText xml:space="preserve"> PAGEREF _Toc188885266 \h </w:instrText>
        </w:r>
        <w:r w:rsidR="009A4A36">
          <w:rPr>
            <w:noProof/>
            <w:webHidden/>
          </w:rPr>
        </w:r>
        <w:r w:rsidR="009A4A36">
          <w:rPr>
            <w:noProof/>
            <w:webHidden/>
          </w:rPr>
          <w:fldChar w:fldCharType="separate"/>
        </w:r>
        <w:r w:rsidR="009A4A36">
          <w:rPr>
            <w:noProof/>
            <w:webHidden/>
          </w:rPr>
          <w:t>272</w:t>
        </w:r>
        <w:r w:rsidR="009A4A36">
          <w:rPr>
            <w:noProof/>
            <w:webHidden/>
          </w:rPr>
          <w:fldChar w:fldCharType="end"/>
        </w:r>
      </w:hyperlink>
    </w:p>
    <w:p w14:paraId="0E45B6CA" w14:textId="60307937" w:rsidR="009A4A36" w:rsidRDefault="00247876">
      <w:pPr>
        <w:pStyle w:val="TOC1"/>
        <w:rPr>
          <w:rFonts w:asciiTheme="minorHAnsi" w:eastAsiaTheme="minorEastAsia" w:hAnsiTheme="minorHAnsi" w:cstheme="minorBidi"/>
          <w:b w:val="0"/>
          <w:bCs w:val="0"/>
          <w:noProof/>
          <w:kern w:val="0"/>
          <w:szCs w:val="22"/>
          <w:lang w:eastAsia="en-GB"/>
        </w:rPr>
      </w:pPr>
      <w:hyperlink w:anchor="_Toc188885267" w:history="1">
        <w:r w:rsidR="009A4A36" w:rsidRPr="00C75783">
          <w:rPr>
            <w:rStyle w:val="Hyperlink"/>
            <w:noProof/>
          </w:rPr>
          <w:t>SCHEDULE 21: Security Requirements and Plan</w:t>
        </w:r>
        <w:r w:rsidR="009A4A36">
          <w:rPr>
            <w:noProof/>
            <w:webHidden/>
          </w:rPr>
          <w:tab/>
        </w:r>
        <w:r w:rsidR="009A4A36">
          <w:rPr>
            <w:noProof/>
            <w:webHidden/>
          </w:rPr>
          <w:fldChar w:fldCharType="begin"/>
        </w:r>
        <w:r w:rsidR="009A4A36">
          <w:rPr>
            <w:noProof/>
            <w:webHidden/>
          </w:rPr>
          <w:instrText xml:space="preserve"> PAGEREF _Toc188885267 \h </w:instrText>
        </w:r>
        <w:r w:rsidR="009A4A36">
          <w:rPr>
            <w:noProof/>
            <w:webHidden/>
          </w:rPr>
        </w:r>
        <w:r w:rsidR="009A4A36">
          <w:rPr>
            <w:noProof/>
            <w:webHidden/>
          </w:rPr>
          <w:fldChar w:fldCharType="separate"/>
        </w:r>
        <w:r w:rsidR="009A4A36">
          <w:rPr>
            <w:noProof/>
            <w:webHidden/>
          </w:rPr>
          <w:t>280</w:t>
        </w:r>
        <w:r w:rsidR="009A4A36">
          <w:rPr>
            <w:noProof/>
            <w:webHidden/>
          </w:rPr>
          <w:fldChar w:fldCharType="end"/>
        </w:r>
      </w:hyperlink>
    </w:p>
    <w:p w14:paraId="23821D9B" w14:textId="45065613" w:rsidR="009A4A36" w:rsidRDefault="00247876">
      <w:pPr>
        <w:pStyle w:val="TOC1"/>
        <w:rPr>
          <w:rFonts w:asciiTheme="minorHAnsi" w:eastAsiaTheme="minorEastAsia" w:hAnsiTheme="minorHAnsi" w:cstheme="minorBidi"/>
          <w:b w:val="0"/>
          <w:bCs w:val="0"/>
          <w:noProof/>
          <w:kern w:val="0"/>
          <w:szCs w:val="22"/>
          <w:lang w:eastAsia="en-GB"/>
        </w:rPr>
      </w:pPr>
      <w:hyperlink w:anchor="_Toc188885268" w:history="1">
        <w:r w:rsidR="009A4A36" w:rsidRPr="00C75783">
          <w:rPr>
            <w:rStyle w:val="Hyperlink"/>
            <w:noProof/>
          </w:rPr>
          <w:t>SCHEDULE 22: Commercially Sensitive Information</w:t>
        </w:r>
        <w:r w:rsidR="009A4A36">
          <w:rPr>
            <w:noProof/>
            <w:webHidden/>
          </w:rPr>
          <w:tab/>
        </w:r>
        <w:r w:rsidR="009A4A36">
          <w:rPr>
            <w:noProof/>
            <w:webHidden/>
          </w:rPr>
          <w:fldChar w:fldCharType="begin"/>
        </w:r>
        <w:r w:rsidR="009A4A36">
          <w:rPr>
            <w:noProof/>
            <w:webHidden/>
          </w:rPr>
          <w:instrText xml:space="preserve"> PAGEREF _Toc188885268 \h </w:instrText>
        </w:r>
        <w:r w:rsidR="009A4A36">
          <w:rPr>
            <w:noProof/>
            <w:webHidden/>
          </w:rPr>
        </w:r>
        <w:r w:rsidR="009A4A36">
          <w:rPr>
            <w:noProof/>
            <w:webHidden/>
          </w:rPr>
          <w:fldChar w:fldCharType="separate"/>
        </w:r>
        <w:r w:rsidR="009A4A36">
          <w:rPr>
            <w:noProof/>
            <w:webHidden/>
          </w:rPr>
          <w:t>311</w:t>
        </w:r>
        <w:r w:rsidR="009A4A36">
          <w:rPr>
            <w:noProof/>
            <w:webHidden/>
          </w:rPr>
          <w:fldChar w:fldCharType="end"/>
        </w:r>
      </w:hyperlink>
    </w:p>
    <w:p w14:paraId="51B67BF4" w14:textId="5BECFA0F" w:rsidR="009A4A36" w:rsidRDefault="00247876">
      <w:pPr>
        <w:pStyle w:val="TOC1"/>
        <w:rPr>
          <w:rFonts w:asciiTheme="minorHAnsi" w:eastAsiaTheme="minorEastAsia" w:hAnsiTheme="minorHAnsi" w:cstheme="minorBidi"/>
          <w:b w:val="0"/>
          <w:bCs w:val="0"/>
          <w:noProof/>
          <w:kern w:val="0"/>
          <w:szCs w:val="22"/>
          <w:lang w:eastAsia="en-GB"/>
        </w:rPr>
      </w:pPr>
      <w:hyperlink w:anchor="_Toc188885269" w:history="1">
        <w:r w:rsidR="009A4A36" w:rsidRPr="00C75783">
          <w:rPr>
            <w:rStyle w:val="Hyperlink"/>
            <w:noProof/>
          </w:rPr>
          <w:t>SCHEDULE 23: Scheme Approval</w:t>
        </w:r>
        <w:r w:rsidR="009A4A36">
          <w:rPr>
            <w:noProof/>
            <w:webHidden/>
          </w:rPr>
          <w:tab/>
        </w:r>
        <w:r w:rsidR="009A4A36">
          <w:rPr>
            <w:noProof/>
            <w:webHidden/>
          </w:rPr>
          <w:fldChar w:fldCharType="begin"/>
        </w:r>
        <w:r w:rsidR="009A4A36">
          <w:rPr>
            <w:noProof/>
            <w:webHidden/>
          </w:rPr>
          <w:instrText xml:space="preserve"> PAGEREF _Toc188885269 \h </w:instrText>
        </w:r>
        <w:r w:rsidR="009A4A36">
          <w:rPr>
            <w:noProof/>
            <w:webHidden/>
          </w:rPr>
        </w:r>
        <w:r w:rsidR="009A4A36">
          <w:rPr>
            <w:noProof/>
            <w:webHidden/>
          </w:rPr>
          <w:fldChar w:fldCharType="separate"/>
        </w:r>
        <w:r w:rsidR="009A4A36">
          <w:rPr>
            <w:noProof/>
            <w:webHidden/>
          </w:rPr>
          <w:t>316</w:t>
        </w:r>
        <w:r w:rsidR="009A4A36">
          <w:rPr>
            <w:noProof/>
            <w:webHidden/>
          </w:rPr>
          <w:fldChar w:fldCharType="end"/>
        </w:r>
      </w:hyperlink>
    </w:p>
    <w:p w14:paraId="60BE25C4" w14:textId="3939ECC8" w:rsidR="009A4A36" w:rsidRDefault="00247876">
      <w:pPr>
        <w:pStyle w:val="TOC1"/>
        <w:rPr>
          <w:rFonts w:asciiTheme="minorHAnsi" w:eastAsiaTheme="minorEastAsia" w:hAnsiTheme="minorHAnsi" w:cstheme="minorBidi"/>
          <w:b w:val="0"/>
          <w:bCs w:val="0"/>
          <w:noProof/>
          <w:kern w:val="0"/>
          <w:szCs w:val="22"/>
          <w:lang w:eastAsia="en-GB"/>
        </w:rPr>
      </w:pPr>
      <w:hyperlink w:anchor="_Toc188885270" w:history="1">
        <w:r w:rsidR="009A4A36" w:rsidRPr="00C75783">
          <w:rPr>
            <w:rStyle w:val="Hyperlink"/>
            <w:noProof/>
          </w:rPr>
          <w:t>SCHEDULE 24: Processing, Personal Data and Data Subjects</w:t>
        </w:r>
        <w:r w:rsidR="009A4A36">
          <w:rPr>
            <w:noProof/>
            <w:webHidden/>
          </w:rPr>
          <w:tab/>
        </w:r>
        <w:r w:rsidR="009A4A36">
          <w:rPr>
            <w:noProof/>
            <w:webHidden/>
          </w:rPr>
          <w:fldChar w:fldCharType="begin"/>
        </w:r>
        <w:r w:rsidR="009A4A36">
          <w:rPr>
            <w:noProof/>
            <w:webHidden/>
          </w:rPr>
          <w:instrText xml:space="preserve"> PAGEREF _Toc188885270 \h </w:instrText>
        </w:r>
        <w:r w:rsidR="009A4A36">
          <w:rPr>
            <w:noProof/>
            <w:webHidden/>
          </w:rPr>
        </w:r>
        <w:r w:rsidR="009A4A36">
          <w:rPr>
            <w:noProof/>
            <w:webHidden/>
          </w:rPr>
          <w:fldChar w:fldCharType="separate"/>
        </w:r>
        <w:r w:rsidR="009A4A36">
          <w:rPr>
            <w:noProof/>
            <w:webHidden/>
          </w:rPr>
          <w:t>321</w:t>
        </w:r>
        <w:r w:rsidR="009A4A36">
          <w:rPr>
            <w:noProof/>
            <w:webHidden/>
          </w:rPr>
          <w:fldChar w:fldCharType="end"/>
        </w:r>
      </w:hyperlink>
    </w:p>
    <w:p w14:paraId="79BBC025" w14:textId="22280647" w:rsidR="009A4A36" w:rsidRDefault="00247876">
      <w:pPr>
        <w:pStyle w:val="TOC1"/>
        <w:rPr>
          <w:rFonts w:asciiTheme="minorHAnsi" w:eastAsiaTheme="minorEastAsia" w:hAnsiTheme="minorHAnsi" w:cstheme="minorBidi"/>
          <w:b w:val="0"/>
          <w:bCs w:val="0"/>
          <w:noProof/>
          <w:kern w:val="0"/>
          <w:szCs w:val="22"/>
          <w:lang w:eastAsia="en-GB"/>
        </w:rPr>
      </w:pPr>
      <w:hyperlink w:anchor="_Toc188885271" w:history="1">
        <w:r w:rsidR="009A4A36" w:rsidRPr="00C75783">
          <w:rPr>
            <w:rStyle w:val="Hyperlink"/>
            <w:noProof/>
          </w:rPr>
          <w:t>SCHEDULE 25: Financial Distress</w:t>
        </w:r>
        <w:r w:rsidR="009A4A36">
          <w:rPr>
            <w:noProof/>
            <w:webHidden/>
          </w:rPr>
          <w:tab/>
        </w:r>
        <w:r w:rsidR="009A4A36">
          <w:rPr>
            <w:noProof/>
            <w:webHidden/>
          </w:rPr>
          <w:fldChar w:fldCharType="begin"/>
        </w:r>
        <w:r w:rsidR="009A4A36">
          <w:rPr>
            <w:noProof/>
            <w:webHidden/>
          </w:rPr>
          <w:instrText xml:space="preserve"> PAGEREF _Toc188885271 \h </w:instrText>
        </w:r>
        <w:r w:rsidR="009A4A36">
          <w:rPr>
            <w:noProof/>
            <w:webHidden/>
          </w:rPr>
        </w:r>
        <w:r w:rsidR="009A4A36">
          <w:rPr>
            <w:noProof/>
            <w:webHidden/>
          </w:rPr>
          <w:fldChar w:fldCharType="separate"/>
        </w:r>
        <w:r w:rsidR="009A4A36">
          <w:rPr>
            <w:noProof/>
            <w:webHidden/>
          </w:rPr>
          <w:t>339</w:t>
        </w:r>
        <w:r w:rsidR="009A4A36">
          <w:rPr>
            <w:noProof/>
            <w:webHidden/>
          </w:rPr>
          <w:fldChar w:fldCharType="end"/>
        </w:r>
      </w:hyperlink>
    </w:p>
    <w:p w14:paraId="32C73385" w14:textId="19ACBBD3" w:rsidR="009A4A36" w:rsidRDefault="00247876">
      <w:pPr>
        <w:pStyle w:val="TOC1"/>
        <w:rPr>
          <w:rFonts w:asciiTheme="minorHAnsi" w:eastAsiaTheme="minorEastAsia" w:hAnsiTheme="minorHAnsi" w:cstheme="minorBidi"/>
          <w:b w:val="0"/>
          <w:bCs w:val="0"/>
          <w:noProof/>
          <w:kern w:val="0"/>
          <w:szCs w:val="22"/>
          <w:lang w:eastAsia="en-GB"/>
        </w:rPr>
      </w:pPr>
      <w:hyperlink w:anchor="_Toc188885272" w:history="1">
        <w:r w:rsidR="009A4A36" w:rsidRPr="00C75783">
          <w:rPr>
            <w:rStyle w:val="Hyperlink"/>
            <w:noProof/>
          </w:rPr>
          <w:t>SCHEDULE 26: Tender</w:t>
        </w:r>
        <w:r w:rsidR="009A4A36">
          <w:rPr>
            <w:noProof/>
            <w:webHidden/>
          </w:rPr>
          <w:tab/>
        </w:r>
        <w:r w:rsidR="009A4A36">
          <w:rPr>
            <w:noProof/>
            <w:webHidden/>
          </w:rPr>
          <w:fldChar w:fldCharType="begin"/>
        </w:r>
        <w:r w:rsidR="009A4A36">
          <w:rPr>
            <w:noProof/>
            <w:webHidden/>
          </w:rPr>
          <w:instrText xml:space="preserve"> PAGEREF _Toc188885272 \h </w:instrText>
        </w:r>
        <w:r w:rsidR="009A4A36">
          <w:rPr>
            <w:noProof/>
            <w:webHidden/>
          </w:rPr>
        </w:r>
        <w:r w:rsidR="009A4A36">
          <w:rPr>
            <w:noProof/>
            <w:webHidden/>
          </w:rPr>
          <w:fldChar w:fldCharType="separate"/>
        </w:r>
        <w:r w:rsidR="009A4A36">
          <w:rPr>
            <w:noProof/>
            <w:webHidden/>
          </w:rPr>
          <w:t>357</w:t>
        </w:r>
        <w:r w:rsidR="009A4A36">
          <w:rPr>
            <w:noProof/>
            <w:webHidden/>
          </w:rPr>
          <w:fldChar w:fldCharType="end"/>
        </w:r>
      </w:hyperlink>
    </w:p>
    <w:p w14:paraId="2A56ECCA" w14:textId="7F8DB5E7" w:rsidR="0034060A" w:rsidRPr="001A1836" w:rsidRDefault="00DF5FC5" w:rsidP="00DF5FC5">
      <w:r w:rsidRPr="001A1836">
        <w:lastRenderedPageBreak/>
        <w:fldChar w:fldCharType="end"/>
      </w:r>
    </w:p>
    <w:p w14:paraId="1A05B1F9" w14:textId="14300E48" w:rsidR="004E1060" w:rsidRPr="001A1836" w:rsidRDefault="00DC6F27" w:rsidP="00BE69DF">
      <w:pPr>
        <w:spacing w:before="0" w:after="0"/>
        <w:rPr>
          <w:rFonts w:cs="Arial"/>
        </w:rPr>
      </w:pPr>
      <w:r w:rsidRPr="001A1836">
        <w:rPr>
          <w:rFonts w:cs="Arial"/>
        </w:rPr>
        <w:br w:type="page"/>
      </w:r>
    </w:p>
    <w:p w14:paraId="36A1D3BA" w14:textId="77777777" w:rsidR="00394111" w:rsidRPr="001A1836" w:rsidRDefault="00394111" w:rsidP="00BE69DF">
      <w:pPr>
        <w:pStyle w:val="GSRL1Scheduleheader"/>
        <w:sectPr w:rsidR="00394111" w:rsidRPr="001A1836" w:rsidSect="00F87B8D">
          <w:headerReference w:type="default" r:id="rId11"/>
          <w:footerReference w:type="default" r:id="rId12"/>
          <w:pgSz w:w="11900" w:h="16840"/>
          <w:pgMar w:top="1134" w:right="1440" w:bottom="1440" w:left="1440" w:header="1077" w:footer="833" w:gutter="0"/>
          <w:cols w:space="708"/>
        </w:sectPr>
      </w:pPr>
    </w:p>
    <w:p w14:paraId="069E1725" w14:textId="692E7740" w:rsidR="004E1060" w:rsidRPr="001A1836" w:rsidRDefault="004E1060" w:rsidP="00BE69DF">
      <w:pPr>
        <w:pStyle w:val="GSRL1Scheduleheader"/>
      </w:pPr>
      <w:bookmarkStart w:id="8" w:name="_Toc129038126"/>
      <w:bookmarkStart w:id="9" w:name="_Toc129038412"/>
      <w:bookmarkStart w:id="10" w:name="_Toc132267982"/>
      <w:bookmarkStart w:id="11" w:name="_Toc132268288"/>
      <w:bookmarkStart w:id="12" w:name="_Toc136198537"/>
      <w:bookmarkStart w:id="13" w:name="_Toc136198818"/>
      <w:bookmarkStart w:id="14" w:name="_Toc188885247"/>
      <w:r w:rsidRPr="001A1836">
        <w:lastRenderedPageBreak/>
        <w:t xml:space="preserve">SCHEDULE 1: </w:t>
      </w:r>
      <w:r w:rsidR="00DF5FC5" w:rsidRPr="001A1836">
        <w:t>Concession Services Requirements</w:t>
      </w:r>
      <w:bookmarkEnd w:id="8"/>
      <w:bookmarkEnd w:id="9"/>
      <w:bookmarkEnd w:id="10"/>
      <w:bookmarkEnd w:id="11"/>
      <w:bookmarkEnd w:id="12"/>
      <w:bookmarkEnd w:id="13"/>
      <w:bookmarkEnd w:id="14"/>
    </w:p>
    <w:p w14:paraId="069E1726" w14:textId="77777777" w:rsidR="004E1060" w:rsidRPr="001A1836" w:rsidRDefault="004E1060" w:rsidP="00FE4CD2">
      <w:pPr>
        <w:spacing w:line="276" w:lineRule="auto"/>
        <w:rPr>
          <w:rFonts w:cs="Arial"/>
        </w:rPr>
      </w:pPr>
    </w:p>
    <w:p w14:paraId="069E1727" w14:textId="77777777" w:rsidR="004E1060" w:rsidRPr="001A1836" w:rsidRDefault="004E1060" w:rsidP="00FE4CD2">
      <w:pPr>
        <w:spacing w:line="276" w:lineRule="auto"/>
        <w:rPr>
          <w:rFonts w:cs="Arial"/>
        </w:rPr>
      </w:pPr>
    </w:p>
    <w:p w14:paraId="069E1728" w14:textId="77777777" w:rsidR="001928BA" w:rsidRPr="001A1836" w:rsidRDefault="004E1060" w:rsidP="00204053">
      <w:pPr>
        <w:pStyle w:val="GSRL2Sectionheading"/>
      </w:pPr>
      <w:r w:rsidRPr="001A1836">
        <w:br w:type="page"/>
      </w:r>
      <w:bookmarkStart w:id="15" w:name="_Toc188281146"/>
      <w:bookmarkEnd w:id="6"/>
      <w:bookmarkEnd w:id="7"/>
    </w:p>
    <w:p w14:paraId="069E175B" w14:textId="627B7A99" w:rsidR="002C28EC" w:rsidRPr="001A1836" w:rsidRDefault="002C28EC">
      <w:bookmarkStart w:id="16" w:name="_Toc501354426"/>
    </w:p>
    <w:p w14:paraId="069E175D" w14:textId="4B18FD92" w:rsidR="004E1060" w:rsidRPr="001A1836" w:rsidRDefault="00352B3B" w:rsidP="00EF55BA">
      <w:pPr>
        <w:pStyle w:val="GSRL3heading"/>
      </w:pPr>
      <w:bookmarkStart w:id="17" w:name="_Toc507743962"/>
      <w:bookmarkStart w:id="18" w:name="_Toc521326930"/>
      <w:bookmarkStart w:id="19" w:name="_Toc521333195"/>
      <w:bookmarkStart w:id="20" w:name="_Toc521483953"/>
      <w:bookmarkStart w:id="21" w:name="_Toc521484684"/>
      <w:bookmarkStart w:id="22" w:name="_Toc521485015"/>
      <w:bookmarkStart w:id="23" w:name="_Toc521496186"/>
      <w:bookmarkStart w:id="24" w:name="_Toc521496755"/>
      <w:bookmarkStart w:id="25" w:name="_Toc521498197"/>
      <w:bookmarkStart w:id="26" w:name="_Toc521500281"/>
      <w:bookmarkStart w:id="27" w:name="_Toc529345935"/>
      <w:bookmarkStart w:id="28" w:name="_Toc129038128"/>
      <w:bookmarkStart w:id="29" w:name="_Toc129038414"/>
      <w:bookmarkStart w:id="30" w:name="_Toc132267984"/>
      <w:bookmarkStart w:id="31" w:name="_Toc132268290"/>
      <w:bookmarkStart w:id="32" w:name="_Toc136198539"/>
      <w:bookmarkStart w:id="33" w:name="_Toc136198820"/>
      <w:bookmarkStart w:id="34" w:name="Schedule1"/>
      <w:r w:rsidRPr="001A1836">
        <w:t>The r</w:t>
      </w:r>
      <w:r w:rsidR="0080411E" w:rsidRPr="001A1836">
        <w:t xml:space="preserve">ole of the </w:t>
      </w:r>
      <w:r w:rsidR="0086594C" w:rsidRPr="001A1836">
        <w:t>Provider</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069E175E" w14:textId="77777777" w:rsidR="004E1060" w:rsidRPr="001A1836" w:rsidRDefault="00DC2987">
      <w:pPr>
        <w:pStyle w:val="GSRL4numberedclause"/>
        <w:spacing w:line="276" w:lineRule="auto"/>
      </w:pPr>
      <w:r w:rsidRPr="001A1836">
        <w:t>This Schedule</w:t>
      </w:r>
      <w:r w:rsidR="004A296A" w:rsidRPr="001A1836">
        <w:t xml:space="preserve"> </w:t>
      </w:r>
      <w:r w:rsidR="00424E42" w:rsidRPr="001A1836">
        <w:t>sets out</w:t>
      </w:r>
      <w:r w:rsidR="004A296A" w:rsidRPr="001A1836">
        <w:t xml:space="preserve"> the C</w:t>
      </w:r>
      <w:r w:rsidR="00645821" w:rsidRPr="001A1836">
        <w:t>oncession S</w:t>
      </w:r>
      <w:r w:rsidR="008A7BAF" w:rsidRPr="001A1836">
        <w:t xml:space="preserve">ervices </w:t>
      </w:r>
      <w:r w:rsidR="000A0B34" w:rsidRPr="001A1836">
        <w:t xml:space="preserve">to be supplied by </w:t>
      </w:r>
      <w:r w:rsidR="008A7BAF" w:rsidRPr="001A1836">
        <w:t>t</w:t>
      </w:r>
      <w:r w:rsidR="00352B3B" w:rsidRPr="001A1836">
        <w:t xml:space="preserve">he </w:t>
      </w:r>
      <w:r w:rsidR="0086594C" w:rsidRPr="001A1836">
        <w:t>Provider</w:t>
      </w:r>
      <w:r w:rsidR="009670D9" w:rsidRPr="001A1836">
        <w:t xml:space="preserve">. </w:t>
      </w:r>
    </w:p>
    <w:p w14:paraId="069E175F" w14:textId="77777777" w:rsidR="004E1060" w:rsidRPr="001A1836" w:rsidRDefault="00A72817">
      <w:pPr>
        <w:pStyle w:val="GSRL4numberedclause"/>
        <w:spacing w:line="276" w:lineRule="auto"/>
      </w:pPr>
      <w:r w:rsidRPr="001A1836">
        <w:t xml:space="preserve">In performing the </w:t>
      </w:r>
      <w:r w:rsidR="00060FDA" w:rsidRPr="001A1836">
        <w:t>Concession Services</w:t>
      </w:r>
      <w:r w:rsidRPr="001A1836">
        <w:t xml:space="preserve">, the </w:t>
      </w:r>
      <w:r w:rsidR="0086594C" w:rsidRPr="001A1836">
        <w:t>Provider</w:t>
      </w:r>
      <w:r w:rsidRPr="001A1836">
        <w:t xml:space="preserve"> must operate efficiently, </w:t>
      </w:r>
      <w:r w:rsidR="00FE1C0C" w:rsidRPr="001A1836">
        <w:t xml:space="preserve">and </w:t>
      </w:r>
      <w:r w:rsidRPr="001A1836">
        <w:t xml:space="preserve">must not impose any unnecessary compliance burdens </w:t>
      </w:r>
      <w:r w:rsidR="00060FDA" w:rsidRPr="001A1836">
        <w:t xml:space="preserve">on </w:t>
      </w:r>
      <w:r w:rsidR="00315E1C" w:rsidRPr="001A1836">
        <w:t>R</w:t>
      </w:r>
      <w:r w:rsidR="00060FDA" w:rsidRPr="001A1836">
        <w:t xml:space="preserve">egistered </w:t>
      </w:r>
      <w:r w:rsidR="00315E1C" w:rsidRPr="001A1836">
        <w:t>Busi</w:t>
      </w:r>
      <w:r w:rsidRPr="001A1836">
        <w:t>nesses.</w:t>
      </w:r>
      <w:r w:rsidR="00CD7992" w:rsidRPr="001A1836">
        <w:t xml:space="preserve"> </w:t>
      </w:r>
    </w:p>
    <w:p w14:paraId="069E1760" w14:textId="77777777" w:rsidR="004E1060" w:rsidRPr="001A1836" w:rsidRDefault="00CD7992">
      <w:pPr>
        <w:pStyle w:val="GSRL4numberedclause"/>
        <w:spacing w:line="276" w:lineRule="auto"/>
      </w:pPr>
      <w:r w:rsidRPr="001A1836">
        <w:t xml:space="preserve">A </w:t>
      </w:r>
      <w:r w:rsidR="00674A9F" w:rsidRPr="001A1836">
        <w:t>C</w:t>
      </w:r>
      <w:r w:rsidRPr="001A1836">
        <w:t xml:space="preserve">oncordat </w:t>
      </w:r>
      <w:r w:rsidR="00CF5F1E" w:rsidRPr="001A1836">
        <w:t xml:space="preserve">shall </w:t>
      </w:r>
      <w:r w:rsidRPr="001A1836">
        <w:t>be agreed between the Provider and HSE</w:t>
      </w:r>
      <w:r w:rsidR="00E0193B" w:rsidRPr="001A1836">
        <w:t xml:space="preserve"> one month before the Services Start Date</w:t>
      </w:r>
      <w:r w:rsidRPr="001A1836">
        <w:t>, providing the framework to guide the working relationship between the two Parties.</w:t>
      </w:r>
    </w:p>
    <w:p w14:paraId="069E1761" w14:textId="491188BD" w:rsidR="004E1060" w:rsidRPr="001A1836" w:rsidRDefault="00CD7992">
      <w:pPr>
        <w:pStyle w:val="GSRL4numberedclause"/>
        <w:spacing w:line="276" w:lineRule="auto"/>
      </w:pPr>
      <w:r w:rsidRPr="001A1836">
        <w:t xml:space="preserve">The objective of the </w:t>
      </w:r>
      <w:r w:rsidR="00674A9F" w:rsidRPr="001A1836">
        <w:t>C</w:t>
      </w:r>
      <w:r w:rsidRPr="001A1836">
        <w:t xml:space="preserve">oncordat </w:t>
      </w:r>
      <w:r w:rsidR="00CF5F1E" w:rsidRPr="001A1836">
        <w:t>shall</w:t>
      </w:r>
      <w:r w:rsidRPr="001A1836">
        <w:t xml:space="preserve"> be to ensure that the roles and responsibilities of the two Parties during the operation of the </w:t>
      </w:r>
      <w:r w:rsidR="0024058B" w:rsidRPr="001A1836">
        <w:t>Gas Safe Register</w:t>
      </w:r>
      <w:r w:rsidRPr="001A1836">
        <w:t xml:space="preserve"> scheme from </w:t>
      </w:r>
      <w:r w:rsidR="00506868">
        <w:t>the Services Start Date</w:t>
      </w:r>
      <w:r w:rsidRPr="001A1836">
        <w:t xml:space="preserve"> under the Service</w:t>
      </w:r>
      <w:r w:rsidR="00726405" w:rsidRPr="001A1836">
        <w:t>s</w:t>
      </w:r>
      <w:r w:rsidRPr="001A1836">
        <w:t xml:space="preserve"> Concession Agreement (SCA) are effectively translated into practical working arrangements. </w:t>
      </w:r>
      <w:bookmarkStart w:id="35" w:name="_Toc188281148"/>
      <w:bookmarkStart w:id="36" w:name="_Toc501354430"/>
    </w:p>
    <w:p w14:paraId="069E1762" w14:textId="40B79B3E" w:rsidR="00B257E3" w:rsidRPr="001A1836" w:rsidRDefault="00B257E3">
      <w:pPr>
        <w:pStyle w:val="GSRL4numberedclause"/>
        <w:spacing w:line="276" w:lineRule="auto"/>
      </w:pPr>
      <w:r w:rsidRPr="001A1836">
        <w:t>The Provider shall enter into discussions with the governments of the Isle of Man</w:t>
      </w:r>
      <w:r w:rsidR="00921617">
        <w:t>,</w:t>
      </w:r>
      <w:r w:rsidRPr="001A1836">
        <w:t xml:space="preserve"> Guernsey </w:t>
      </w:r>
      <w:r w:rsidR="00921617">
        <w:t xml:space="preserve">and Jersey </w:t>
      </w:r>
      <w:r w:rsidRPr="001A1836">
        <w:t>with a view to, with prior agreement from HSE, contracting to deliver Gas Safe registration services in these territories from the Servic</w:t>
      </w:r>
      <w:r w:rsidR="00450F73" w:rsidRPr="001A1836">
        <w:t>es Start Date</w:t>
      </w:r>
      <w:r w:rsidRPr="001A1836">
        <w:t xml:space="preserve">. Businesses and Engineers shall be charged the same fees and shall be subject to the same conditions of Registration as in Great Britain and Northern Ireland. </w:t>
      </w:r>
    </w:p>
    <w:p w14:paraId="069E1763" w14:textId="77777777" w:rsidR="004E1060" w:rsidRPr="001A1836" w:rsidRDefault="007A46AA">
      <w:pPr>
        <w:pStyle w:val="GSRL3heading"/>
        <w:spacing w:line="276" w:lineRule="auto"/>
      </w:pPr>
      <w:bookmarkStart w:id="37" w:name="_Toc507743963"/>
      <w:bookmarkStart w:id="38" w:name="_Toc521326931"/>
      <w:bookmarkStart w:id="39" w:name="_Toc521333196"/>
      <w:bookmarkStart w:id="40" w:name="_Toc521483954"/>
      <w:bookmarkStart w:id="41" w:name="_Toc521484685"/>
      <w:bookmarkStart w:id="42" w:name="_Toc521485016"/>
      <w:bookmarkStart w:id="43" w:name="_Toc521496187"/>
      <w:bookmarkStart w:id="44" w:name="_Toc521496756"/>
      <w:bookmarkStart w:id="45" w:name="_Toc521498198"/>
      <w:bookmarkStart w:id="46" w:name="_Toc521500282"/>
      <w:bookmarkStart w:id="47" w:name="_Toc529345936"/>
      <w:bookmarkStart w:id="48" w:name="_Toc129038129"/>
      <w:bookmarkStart w:id="49" w:name="_Toc129038415"/>
      <w:bookmarkStart w:id="50" w:name="_Toc132267985"/>
      <w:bookmarkStart w:id="51" w:name="_Toc132268291"/>
      <w:bookmarkStart w:id="52" w:name="_Toc136198540"/>
      <w:bookmarkStart w:id="53" w:name="_Toc136198821"/>
      <w:r w:rsidRPr="001A1836">
        <w:t>Manage</w:t>
      </w:r>
      <w:r w:rsidR="00470C76" w:rsidRPr="001A1836">
        <w:t xml:space="preserve"> and m</w:t>
      </w:r>
      <w:r w:rsidR="00422250" w:rsidRPr="001A1836">
        <w:t>aintain</w:t>
      </w:r>
      <w:r w:rsidR="00470C76" w:rsidRPr="001A1836">
        <w:t xml:space="preserve"> </w:t>
      </w:r>
      <w:r w:rsidR="00EF24B4" w:rsidRPr="001A1836">
        <w:t>an electronic</w:t>
      </w:r>
      <w:r w:rsidR="00422250" w:rsidRPr="001A1836">
        <w:t xml:space="preserve"> </w:t>
      </w:r>
      <w:r w:rsidR="00470C76" w:rsidRPr="001A1836">
        <w:t>G</w:t>
      </w:r>
      <w:r w:rsidR="00422250" w:rsidRPr="001A1836">
        <w:t>as</w:t>
      </w:r>
      <w:r w:rsidR="00470C76" w:rsidRPr="001A1836">
        <w:t xml:space="preserve"> Safe Register</w:t>
      </w:r>
      <w:bookmarkStart w:id="54" w:name="OLE_LINK11"/>
      <w:bookmarkStart w:id="55" w:name="OLE_LINK12"/>
      <w:bookmarkStart w:id="56" w:name="_Ref187288233"/>
      <w:bookmarkStart w:id="57" w:name="_Ref184455757"/>
      <w:bookmarkStart w:id="58" w:name="OLE_LINK7"/>
      <w:bookmarkStart w:id="59" w:name="OLE_LINK8"/>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069E1764" w14:textId="04C3E62E" w:rsidR="009E7D0F" w:rsidRPr="001A1836" w:rsidRDefault="004D1F3F" w:rsidP="00921617">
      <w:pPr>
        <w:pStyle w:val="GSRL4numberedclause"/>
      </w:pPr>
      <w:r w:rsidRPr="001A1836">
        <w:t xml:space="preserve">The </w:t>
      </w:r>
      <w:r w:rsidR="0086594C" w:rsidRPr="001A1836">
        <w:t>Provider</w:t>
      </w:r>
      <w:r w:rsidR="00422250" w:rsidRPr="001A1836">
        <w:t xml:space="preserve"> </w:t>
      </w:r>
      <w:r w:rsidR="00C0352E" w:rsidRPr="001A1836">
        <w:t xml:space="preserve">shall </w:t>
      </w:r>
      <w:r w:rsidR="00930773" w:rsidRPr="001A1836">
        <w:t>for the purposes of the European Union (Recognition of Professional Qualifications) Regulations 2015</w:t>
      </w:r>
      <w:r w:rsidR="00921617">
        <w:t xml:space="preserve"> (as amended by </w:t>
      </w:r>
      <w:r w:rsidR="00921617" w:rsidRPr="00921617">
        <w:t>the Recognition of Professional Qualifications (Amendment etc.) (EU Exit) Regulations 2019</w:t>
      </w:r>
      <w:r w:rsidR="00921617">
        <w:t>)</w:t>
      </w:r>
      <w:r w:rsidR="00930773" w:rsidRPr="001A1836">
        <w:t xml:space="preserve"> act as the competent authority known as the Gas Safe Register and shall operate the Register</w:t>
      </w:r>
      <w:bookmarkEnd w:id="54"/>
      <w:bookmarkEnd w:id="55"/>
      <w:bookmarkEnd w:id="56"/>
      <w:bookmarkEnd w:id="57"/>
      <w:r w:rsidR="006E66BD" w:rsidRPr="001A1836">
        <w:rPr>
          <w:color w:val="000000" w:themeColor="text1"/>
        </w:rPr>
        <w:t>.</w:t>
      </w:r>
      <w:r w:rsidR="00910A4B" w:rsidRPr="001A1836">
        <w:rPr>
          <w:color w:val="000000" w:themeColor="text1"/>
        </w:rPr>
        <w:t xml:space="preserve"> </w:t>
      </w:r>
    </w:p>
    <w:p w14:paraId="29085E78" w14:textId="1EC9A378" w:rsidR="00D3373A" w:rsidRPr="00D3373A" w:rsidRDefault="00D3373A" w:rsidP="00D3373A">
      <w:pPr>
        <w:pStyle w:val="GSRL4numberedclause"/>
      </w:pPr>
      <w:r w:rsidRPr="00D3373A">
        <w:t>The Provider is expected to create complementary services to integrate into the existing Microsoft Dynamics System</w:t>
      </w:r>
      <w:r w:rsidR="00AC40F0">
        <w:t xml:space="preserve"> in accordance with Schedule 20 (IT Requirements) and the Provider's Tender</w:t>
      </w:r>
      <w:r w:rsidRPr="00D3373A">
        <w:t>.</w:t>
      </w:r>
    </w:p>
    <w:p w14:paraId="069E1765" w14:textId="2A72C2C7" w:rsidR="004E1060" w:rsidRPr="001A1836" w:rsidRDefault="00422250">
      <w:pPr>
        <w:pStyle w:val="GSRL4numberedclause"/>
        <w:spacing w:line="276" w:lineRule="auto"/>
      </w:pPr>
      <w:r w:rsidRPr="001A1836">
        <w:t xml:space="preserve">The </w:t>
      </w:r>
      <w:r w:rsidR="0086594C" w:rsidRPr="001A1836">
        <w:t>Provider</w:t>
      </w:r>
      <w:r w:rsidRPr="001A1836">
        <w:t xml:space="preserve"> </w:t>
      </w:r>
      <w:r w:rsidR="00C0352E" w:rsidRPr="001A1836">
        <w:t xml:space="preserve">shall </w:t>
      </w:r>
      <w:r w:rsidR="00887E27" w:rsidRPr="001A1836">
        <w:t xml:space="preserve">allow </w:t>
      </w:r>
      <w:r w:rsidR="00431243" w:rsidRPr="001A1836">
        <w:t>free-of-</w:t>
      </w:r>
      <w:r w:rsidR="00B60930" w:rsidRPr="001A1836">
        <w:t xml:space="preserve">charge </w:t>
      </w:r>
      <w:r w:rsidR="00887E27" w:rsidRPr="001A1836">
        <w:t>access</w:t>
      </w:r>
      <w:r w:rsidR="00D730E8" w:rsidRPr="001A1836">
        <w:t xml:space="preserve"> to the R</w:t>
      </w:r>
      <w:r w:rsidR="00C0352E" w:rsidRPr="001A1836">
        <w:t>egister</w:t>
      </w:r>
      <w:r w:rsidRPr="001A1836">
        <w:t xml:space="preserve"> </w:t>
      </w:r>
      <w:r w:rsidR="008229CB" w:rsidRPr="001A1836">
        <w:t>to enable</w:t>
      </w:r>
      <w:r w:rsidRPr="001A1836">
        <w:t xml:space="preserve"> </w:t>
      </w:r>
      <w:r w:rsidR="005F7A5D" w:rsidRPr="001A1836">
        <w:t>Consumers</w:t>
      </w:r>
      <w:r w:rsidRPr="001A1836">
        <w:t xml:space="preserve"> to check whether any </w:t>
      </w:r>
      <w:r w:rsidR="00D264CA" w:rsidRPr="001A1836">
        <w:t>person</w:t>
      </w:r>
      <w:r w:rsidRPr="001A1836">
        <w:t xml:space="preserve"> carrying out </w:t>
      </w:r>
      <w:r w:rsidR="00D730E8" w:rsidRPr="001A1836">
        <w:t>Gas W</w:t>
      </w:r>
      <w:r w:rsidRPr="001A1836">
        <w:t>ork</w:t>
      </w:r>
      <w:r w:rsidR="00D730E8" w:rsidRPr="001A1836">
        <w:t xml:space="preserve"> </w:t>
      </w:r>
      <w:r w:rsidRPr="001A1836">
        <w:t>is</w:t>
      </w:r>
      <w:r w:rsidR="00F846AD" w:rsidRPr="001A1836">
        <w:t>:</w:t>
      </w:r>
    </w:p>
    <w:p w14:paraId="069E1766" w14:textId="77777777" w:rsidR="004E1060" w:rsidRPr="001A1836" w:rsidRDefault="00C27D4F">
      <w:pPr>
        <w:pStyle w:val="GSRL5numberedclause"/>
        <w:spacing w:line="276" w:lineRule="auto"/>
      </w:pPr>
      <w:r w:rsidRPr="001A1836">
        <w:t>r</w:t>
      </w:r>
      <w:r w:rsidR="007A58E2" w:rsidRPr="001A1836">
        <w:t xml:space="preserve">egistered </w:t>
      </w:r>
      <w:r w:rsidR="00981D7D" w:rsidRPr="001A1836">
        <w:t xml:space="preserve">on </w:t>
      </w:r>
      <w:r w:rsidR="007A58E2" w:rsidRPr="001A1836">
        <w:t>the Register</w:t>
      </w:r>
      <w:r w:rsidR="00C62CC0" w:rsidRPr="001A1836">
        <w:t>;</w:t>
      </w:r>
      <w:r w:rsidR="007A58E2" w:rsidRPr="001A1836">
        <w:t xml:space="preserve"> and</w:t>
      </w:r>
    </w:p>
    <w:p w14:paraId="069E1767" w14:textId="77777777" w:rsidR="004E1060" w:rsidRPr="001A1836" w:rsidRDefault="007A58E2">
      <w:pPr>
        <w:pStyle w:val="GSRL5numberedclause"/>
        <w:spacing w:line="276" w:lineRule="auto"/>
      </w:pPr>
      <w:r w:rsidRPr="001A1836">
        <w:t>competent to undertake such work</w:t>
      </w:r>
      <w:r w:rsidR="00C62CC0" w:rsidRPr="001A1836">
        <w:t>.</w:t>
      </w:r>
    </w:p>
    <w:p w14:paraId="069E1768" w14:textId="77777777" w:rsidR="004E1060" w:rsidRPr="001A1836" w:rsidRDefault="00870A32">
      <w:pPr>
        <w:pStyle w:val="GSRL4numberedclause"/>
        <w:spacing w:line="276" w:lineRule="auto"/>
      </w:pPr>
      <w:r w:rsidRPr="001A1836">
        <w:t xml:space="preserve">The </w:t>
      </w:r>
      <w:r w:rsidR="0086594C" w:rsidRPr="001A1836">
        <w:t>Provider</w:t>
      </w:r>
      <w:r w:rsidR="00887E27" w:rsidRPr="001A1836">
        <w:t xml:space="preserve"> </w:t>
      </w:r>
      <w:r w:rsidR="00C0352E" w:rsidRPr="001A1836">
        <w:t>shall</w:t>
      </w:r>
      <w:r w:rsidR="00887E27" w:rsidRPr="001A1836">
        <w:t>:</w:t>
      </w:r>
    </w:p>
    <w:p w14:paraId="069E1769" w14:textId="4B6237C9" w:rsidR="004E1060" w:rsidRPr="001A1836" w:rsidRDefault="00870A32">
      <w:pPr>
        <w:pStyle w:val="GSRL5numberedclause"/>
        <w:spacing w:line="276" w:lineRule="auto"/>
      </w:pPr>
      <w:r w:rsidRPr="001A1836">
        <w:t xml:space="preserve">ensure the operation </w:t>
      </w:r>
      <w:r w:rsidR="00B17588" w:rsidRPr="001A1836">
        <w:t>of the R</w:t>
      </w:r>
      <w:r w:rsidR="00C0352E" w:rsidRPr="001A1836">
        <w:t xml:space="preserve">egister </w:t>
      </w:r>
      <w:r w:rsidRPr="001A1836">
        <w:t>is in compliance with the Human Rights Act 1998</w:t>
      </w:r>
      <w:r w:rsidR="00F978F4">
        <w:t xml:space="preserve"> and the Data Protection Legislation</w:t>
      </w:r>
      <w:r w:rsidR="000A65B7" w:rsidRPr="001A1836">
        <w:t>;</w:t>
      </w:r>
    </w:p>
    <w:p w14:paraId="069E176A" w14:textId="77777777" w:rsidR="004E1060" w:rsidRPr="001A1836" w:rsidRDefault="00887E27">
      <w:pPr>
        <w:pStyle w:val="GSRL5numberedclause"/>
        <w:spacing w:line="276" w:lineRule="auto"/>
      </w:pPr>
      <w:r w:rsidRPr="001A1836">
        <w:t>hold a</w:t>
      </w:r>
      <w:r w:rsidR="00C62CC0" w:rsidRPr="001A1836">
        <w:t>ll r</w:t>
      </w:r>
      <w:r w:rsidR="004B3D86" w:rsidRPr="001A1836">
        <w:t>egistrat</w:t>
      </w:r>
      <w:r w:rsidR="00C62CC0" w:rsidRPr="001A1836">
        <w:t>ion d</w:t>
      </w:r>
      <w:r w:rsidR="004B3D86" w:rsidRPr="001A1836">
        <w:t xml:space="preserve">ata </w:t>
      </w:r>
      <w:r w:rsidRPr="001A1836">
        <w:t>at</w:t>
      </w:r>
      <w:r w:rsidR="004B3D86" w:rsidRPr="001A1836">
        <w:t xml:space="preserve"> </w:t>
      </w:r>
      <w:r w:rsidRPr="001A1836">
        <w:t>a UK-based</w:t>
      </w:r>
      <w:r w:rsidR="00A2059F" w:rsidRPr="001A1836">
        <w:t xml:space="preserve"> BS ISO IIEC 27001</w:t>
      </w:r>
      <w:r w:rsidR="00C62CC0" w:rsidRPr="001A1836">
        <w:t xml:space="preserve"> certified data c</w:t>
      </w:r>
      <w:r w:rsidR="004B3D86" w:rsidRPr="001A1836">
        <w:t>entre with extracts held locally only temporarily and on secure</w:t>
      </w:r>
      <w:r w:rsidR="000A65B7" w:rsidRPr="001A1836">
        <w:t xml:space="preserve"> and encrypted equipment;</w:t>
      </w:r>
    </w:p>
    <w:p w14:paraId="069E176B" w14:textId="0693500E" w:rsidR="004E1060" w:rsidRPr="001A1836" w:rsidRDefault="00870A32" w:rsidP="00921617">
      <w:pPr>
        <w:pStyle w:val="GSRL5numberedclause"/>
      </w:pPr>
      <w:r w:rsidRPr="001A1836">
        <w:t xml:space="preserve">ensure compliance with </w:t>
      </w:r>
      <w:bookmarkEnd w:id="58"/>
      <w:bookmarkEnd w:id="59"/>
      <w:r w:rsidR="00850156" w:rsidRPr="001A1836">
        <w:t xml:space="preserve">the European Communities (Recognition of Professional Qualifications) Regulations </w:t>
      </w:r>
      <w:r w:rsidR="0047657C" w:rsidRPr="001A1836">
        <w:rPr>
          <w:lang w:val="en-US"/>
        </w:rPr>
        <w:t>SI 2007/2781</w:t>
      </w:r>
      <w:r w:rsidR="00921617">
        <w:rPr>
          <w:lang w:val="en-US"/>
        </w:rPr>
        <w:t xml:space="preserve"> (as amended by the </w:t>
      </w:r>
      <w:r w:rsidR="00921617" w:rsidRPr="00921617">
        <w:rPr>
          <w:lang w:val="en-US"/>
        </w:rPr>
        <w:t>Recognition of Professional Qualifications (Amendment etc.) (EU Exit) Regulations 2019</w:t>
      </w:r>
      <w:r w:rsidR="00921617">
        <w:rPr>
          <w:lang w:val="en-US"/>
        </w:rPr>
        <w:t>)</w:t>
      </w:r>
      <w:r w:rsidR="000A65B7" w:rsidRPr="001A1836">
        <w:rPr>
          <w:lang w:val="en-US"/>
        </w:rPr>
        <w:t>;</w:t>
      </w:r>
      <w:r w:rsidR="0086107D">
        <w:rPr>
          <w:lang w:val="en-US"/>
        </w:rPr>
        <w:t xml:space="preserve"> and</w:t>
      </w:r>
    </w:p>
    <w:p w14:paraId="069E176C" w14:textId="391EC505" w:rsidR="004E1060" w:rsidRPr="001A1836" w:rsidRDefault="00F654F3" w:rsidP="00707A77">
      <w:pPr>
        <w:pStyle w:val="GSRL5numberedclause"/>
      </w:pPr>
      <w:r w:rsidRPr="001A1836">
        <w:lastRenderedPageBreak/>
        <w:t>comply</w:t>
      </w:r>
      <w:r w:rsidR="00850156" w:rsidRPr="001A1836">
        <w:t xml:space="preserve"> with the requirements of </w:t>
      </w:r>
      <w:r w:rsidR="003E5CDD">
        <w:t xml:space="preserve">The </w:t>
      </w:r>
      <w:r w:rsidR="00707A77">
        <w:t xml:space="preserve">Provision of Services Regulations 2009 (as amended, including by </w:t>
      </w:r>
      <w:r w:rsidR="00707A77" w:rsidRPr="00707A77">
        <w:t>The Provision of Services (Amendment etc.) (EU Exit) Regulations 2018</w:t>
      </w:r>
      <w:r w:rsidR="00707A77">
        <w:t xml:space="preserve"> and the Professional Qualifications and Services (Amendments and Miscellaneous Provisions) (EU Exit)</w:t>
      </w:r>
      <w:r w:rsidR="00707A77" w:rsidRPr="00707A77">
        <w:t xml:space="preserve"> </w:t>
      </w:r>
      <w:r w:rsidR="00707A77">
        <w:t>Regulations 2020)</w:t>
      </w:r>
      <w:r w:rsidR="003E5CDD">
        <w:t>)</w:t>
      </w:r>
      <w:r w:rsidR="00843A49" w:rsidRPr="001A1836">
        <w:t>.</w:t>
      </w:r>
    </w:p>
    <w:p w14:paraId="069E176D" w14:textId="77777777" w:rsidR="009E7D0F" w:rsidRPr="001A1836" w:rsidRDefault="00FD5E93">
      <w:pPr>
        <w:pStyle w:val="GSRL4numberedclause"/>
      </w:pPr>
      <w:r w:rsidRPr="001A1836">
        <w:t>T</w:t>
      </w:r>
      <w:r w:rsidR="009F32E5" w:rsidRPr="001A1836">
        <w:t xml:space="preserve">he Provider </w:t>
      </w:r>
      <w:r w:rsidR="00B17588" w:rsidRPr="001A1836">
        <w:t>shall</w:t>
      </w:r>
      <w:r w:rsidR="009F32E5" w:rsidRPr="001A1836">
        <w:t xml:space="preserve"> set up and </w:t>
      </w:r>
      <w:r w:rsidRPr="001A1836">
        <w:t xml:space="preserve">from the Services Start Date shall </w:t>
      </w:r>
      <w:r w:rsidR="009F32E5" w:rsidRPr="001A1836">
        <w:t>run a data management function</w:t>
      </w:r>
      <w:r w:rsidR="00B17588" w:rsidRPr="001A1836">
        <w:t xml:space="preserve"> for the Register</w:t>
      </w:r>
      <w:r w:rsidR="009F32E5" w:rsidRPr="001A1836">
        <w:t>, which should comprise as a minimum:</w:t>
      </w:r>
      <w:r w:rsidR="009F32E5" w:rsidRPr="001A1836">
        <w:tab/>
      </w:r>
    </w:p>
    <w:p w14:paraId="069E176E" w14:textId="77777777" w:rsidR="009E7D0F" w:rsidRPr="001A1836" w:rsidRDefault="009F32E5">
      <w:pPr>
        <w:pStyle w:val="GSRL5numberedclause"/>
      </w:pPr>
      <w:r w:rsidRPr="001A1836">
        <w:t>effective user access controls;</w:t>
      </w:r>
    </w:p>
    <w:p w14:paraId="069E176F" w14:textId="77777777" w:rsidR="009E7D0F" w:rsidRPr="001A1836" w:rsidRDefault="009F32E5">
      <w:pPr>
        <w:pStyle w:val="GSRL5numberedclause"/>
        <w:spacing w:line="276" w:lineRule="auto"/>
      </w:pPr>
      <w:r w:rsidRPr="001A1836">
        <w:t>identification of all data owners and stewards;</w:t>
      </w:r>
    </w:p>
    <w:p w14:paraId="069E1770" w14:textId="77777777" w:rsidR="009F32E5" w:rsidRPr="001A1836" w:rsidRDefault="009F32E5">
      <w:pPr>
        <w:pStyle w:val="GSRL5numberedclause"/>
        <w:spacing w:line="276" w:lineRule="auto"/>
      </w:pPr>
      <w:r w:rsidRPr="001A1836">
        <w:t>a clearly documented issue resolution process with associated roles and responsibilities;</w:t>
      </w:r>
    </w:p>
    <w:p w14:paraId="069E1771" w14:textId="77777777" w:rsidR="009F32E5" w:rsidRPr="001A1836" w:rsidRDefault="009F32E5">
      <w:pPr>
        <w:pStyle w:val="GSRL5numberedclause"/>
        <w:spacing w:line="276" w:lineRule="auto"/>
      </w:pPr>
      <w:r w:rsidRPr="001A1836">
        <w:t>a full design document set;</w:t>
      </w:r>
    </w:p>
    <w:p w14:paraId="069E1772" w14:textId="77777777" w:rsidR="009F32E5" w:rsidRPr="001A1836" w:rsidRDefault="009F32E5">
      <w:pPr>
        <w:pStyle w:val="GSRL5numberedclause"/>
        <w:spacing w:line="276" w:lineRule="auto"/>
      </w:pPr>
      <w:r w:rsidRPr="001A1836">
        <w:t>a regular data audit;</w:t>
      </w:r>
    </w:p>
    <w:p w14:paraId="069E1773" w14:textId="77777777" w:rsidR="009F32E5" w:rsidRPr="001A1836" w:rsidRDefault="009F32E5">
      <w:pPr>
        <w:pStyle w:val="GSRL5numberedclause"/>
        <w:spacing w:line="276" w:lineRule="auto"/>
      </w:pPr>
      <w:r w:rsidRPr="001A1836">
        <w:t>identification of personally identifiable information together with evidence that this information is encrypted in transit and at rest.</w:t>
      </w:r>
    </w:p>
    <w:p w14:paraId="069E1774" w14:textId="77777777" w:rsidR="00F83D7B" w:rsidRPr="001A1836" w:rsidRDefault="00F83D7B">
      <w:pPr>
        <w:pStyle w:val="GSRL3heading"/>
        <w:spacing w:line="276" w:lineRule="auto"/>
      </w:pPr>
      <w:bookmarkStart w:id="60" w:name="_Toc501354431"/>
      <w:bookmarkStart w:id="61" w:name="_Toc507743964"/>
      <w:bookmarkStart w:id="62" w:name="_Toc521326932"/>
      <w:bookmarkStart w:id="63" w:name="_Toc521333197"/>
      <w:bookmarkStart w:id="64" w:name="_Toc521483955"/>
      <w:bookmarkStart w:id="65" w:name="_Toc521484686"/>
      <w:bookmarkStart w:id="66" w:name="_Toc521485017"/>
      <w:bookmarkStart w:id="67" w:name="_Toc521496188"/>
      <w:bookmarkStart w:id="68" w:name="_Toc521496757"/>
      <w:bookmarkStart w:id="69" w:name="_Toc521498199"/>
      <w:bookmarkStart w:id="70" w:name="_Toc521500283"/>
      <w:bookmarkStart w:id="71" w:name="_Toc529345937"/>
      <w:bookmarkStart w:id="72" w:name="_Toc129038130"/>
      <w:bookmarkStart w:id="73" w:name="_Toc129038416"/>
      <w:bookmarkStart w:id="74" w:name="_Toc132267986"/>
      <w:bookmarkStart w:id="75" w:name="_Toc132268292"/>
      <w:bookmarkStart w:id="76" w:name="_Toc136198541"/>
      <w:bookmarkStart w:id="77" w:name="_Toc136198822"/>
      <w:r w:rsidRPr="001A1836">
        <w:t>R</w:t>
      </w:r>
      <w:r w:rsidR="005B496D" w:rsidRPr="001A1836">
        <w:t>egistration</w:t>
      </w:r>
      <w:r w:rsidRPr="001A1836">
        <w:t>, renewals</w:t>
      </w:r>
      <w:r w:rsidR="00973217" w:rsidRPr="001A1836">
        <w:t xml:space="preserve">, </w:t>
      </w:r>
      <w:r w:rsidRPr="001A1836">
        <w:t>changes and removals</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069E1775" w14:textId="77777777" w:rsidR="005B496D" w:rsidRPr="001A1836" w:rsidRDefault="005B496D">
      <w:pPr>
        <w:pStyle w:val="GSRL4numberedclause"/>
        <w:spacing w:line="276" w:lineRule="auto"/>
      </w:pPr>
      <w:r w:rsidRPr="001A1836">
        <w:t xml:space="preserve">The Provider shall </w:t>
      </w:r>
      <w:r w:rsidR="00DA11D7" w:rsidRPr="001A1836">
        <w:t xml:space="preserve">inherit, </w:t>
      </w:r>
      <w:r w:rsidRPr="001A1836">
        <w:t xml:space="preserve">maintain and publicise </w:t>
      </w:r>
      <w:r w:rsidR="00C60FA2" w:rsidRPr="001A1836">
        <w:t xml:space="preserve">the </w:t>
      </w:r>
      <w:r w:rsidRPr="001A1836">
        <w:t xml:space="preserve">Rules of Registration. </w:t>
      </w:r>
      <w:r w:rsidR="00A04820" w:rsidRPr="001A1836">
        <w:t xml:space="preserve">The </w:t>
      </w:r>
      <w:r w:rsidRPr="001A1836">
        <w:t xml:space="preserve">Provider shall keep the Rules of Registration under review and shall report to HSE </w:t>
      </w:r>
      <w:r w:rsidR="006E66BD" w:rsidRPr="001A1836">
        <w:t>when</w:t>
      </w:r>
      <w:r w:rsidRPr="001A1836">
        <w:t xml:space="preserve"> any amendments are required to the Rules of Registration. </w:t>
      </w:r>
    </w:p>
    <w:p w14:paraId="069E1776" w14:textId="77777777" w:rsidR="005B496D" w:rsidRPr="001A1836" w:rsidRDefault="005B496D">
      <w:pPr>
        <w:pStyle w:val="GSRL4numberedclause"/>
        <w:spacing w:line="276" w:lineRule="auto"/>
      </w:pPr>
      <w:r w:rsidRPr="001A1836">
        <w:t xml:space="preserve">The Provider shall not make any amendment to the Rules of Registration then in force without first obtaining the prior, express, written consent of HSE which shall not be unreasonably </w:t>
      </w:r>
      <w:r w:rsidR="00A04820" w:rsidRPr="001A1836">
        <w:t xml:space="preserve">withheld or </w:t>
      </w:r>
      <w:r w:rsidRPr="001A1836">
        <w:t xml:space="preserve">delayed. </w:t>
      </w:r>
    </w:p>
    <w:p w14:paraId="069E1777" w14:textId="77777777" w:rsidR="005B496D" w:rsidRPr="001A1836" w:rsidRDefault="00A04820">
      <w:pPr>
        <w:pStyle w:val="GSRL4numberedclause"/>
        <w:spacing w:line="276" w:lineRule="auto"/>
      </w:pPr>
      <w:r w:rsidRPr="001A1836">
        <w:t xml:space="preserve">The </w:t>
      </w:r>
      <w:r w:rsidR="005B496D" w:rsidRPr="001A1836">
        <w:t xml:space="preserve">Provider shall ensure that Rules of Registration are freely available from the Gas Safe Register website and shall </w:t>
      </w:r>
      <w:r w:rsidR="00DA11D7" w:rsidRPr="001A1836">
        <w:t xml:space="preserve">on registration </w:t>
      </w:r>
      <w:r w:rsidR="005B496D" w:rsidRPr="001A1836">
        <w:t>provide one free hard copy to each Registered Business other than those Businesses that</w:t>
      </w:r>
      <w:r w:rsidR="006E66BD" w:rsidRPr="001A1836">
        <w:t xml:space="preserve"> pay the Business Renewal (Online</w:t>
      </w:r>
      <w:r w:rsidR="005B496D" w:rsidRPr="001A1836">
        <w:t>) Charge, and may make available additional copies in hardcopy on request at a price which does not exceed Provider’s actual costs (including overheads and margin of no more than ten percent (10%)) of production, postage and handling. Revised Rules of Registration shall be provided to Businesses when Rules of Registration change, these shall not be provided in hard copy for those Businesses that pay the Business Renewal (</w:t>
      </w:r>
      <w:r w:rsidR="006E66BD" w:rsidRPr="001A1836">
        <w:t>Online</w:t>
      </w:r>
      <w:r w:rsidR="005B496D" w:rsidRPr="001A1836">
        <w:t>) Charge.</w:t>
      </w:r>
    </w:p>
    <w:p w14:paraId="069E1778" w14:textId="77777777" w:rsidR="00DD4195" w:rsidRPr="001A1836" w:rsidRDefault="000E6697">
      <w:pPr>
        <w:pStyle w:val="GSRL4numberedclause"/>
        <w:spacing w:line="276" w:lineRule="auto"/>
      </w:pPr>
      <w:r w:rsidRPr="001A1836">
        <w:t>In order to maintain the Registe</w:t>
      </w:r>
      <w:r w:rsidR="005F4C69" w:rsidRPr="001A1836">
        <w:t xml:space="preserve">r, the </w:t>
      </w:r>
      <w:r w:rsidR="0086594C" w:rsidRPr="001A1836">
        <w:t>Provider</w:t>
      </w:r>
      <w:r w:rsidR="00CE5373" w:rsidRPr="001A1836">
        <w:t xml:space="preserve"> shall </w:t>
      </w:r>
      <w:r w:rsidR="003A48A1" w:rsidRPr="001A1836">
        <w:t xml:space="preserve">manage </w:t>
      </w:r>
      <w:r w:rsidR="00C62CC0" w:rsidRPr="001A1836">
        <w:t xml:space="preserve">registrations, renewals, </w:t>
      </w:r>
      <w:r w:rsidR="00F83D7B" w:rsidRPr="001A1836">
        <w:t xml:space="preserve">changes </w:t>
      </w:r>
      <w:r w:rsidR="003A48A1" w:rsidRPr="001A1836">
        <w:t xml:space="preserve">and removals, </w:t>
      </w:r>
      <w:r w:rsidR="00F464B6" w:rsidRPr="001A1836">
        <w:t>and shall enable the</w:t>
      </w:r>
      <w:r w:rsidR="003E1128" w:rsidRPr="001A1836">
        <w:t xml:space="preserve"> process</w:t>
      </w:r>
      <w:r w:rsidR="00F464B6" w:rsidRPr="001A1836">
        <w:t>ing of</w:t>
      </w:r>
      <w:r w:rsidR="003E1128" w:rsidRPr="001A1836">
        <w:t xml:space="preserve"> payments and </w:t>
      </w:r>
      <w:r w:rsidR="00F464B6" w:rsidRPr="001A1836">
        <w:t xml:space="preserve">the </w:t>
      </w:r>
      <w:r w:rsidR="003E1128" w:rsidRPr="001A1836">
        <w:t>i</w:t>
      </w:r>
      <w:r w:rsidR="00F464B6" w:rsidRPr="001A1836">
        <w:t xml:space="preserve">ssue and </w:t>
      </w:r>
      <w:r w:rsidR="00ED7952" w:rsidRPr="001A1836">
        <w:t xml:space="preserve">return </w:t>
      </w:r>
      <w:r w:rsidR="00F464B6" w:rsidRPr="001A1836">
        <w:t>of</w:t>
      </w:r>
      <w:r w:rsidR="00DD4195" w:rsidRPr="001A1836">
        <w:t xml:space="preserve"> </w:t>
      </w:r>
      <w:r w:rsidR="006343F9" w:rsidRPr="001A1836">
        <w:t xml:space="preserve">registration </w:t>
      </w:r>
      <w:r w:rsidR="00DD4195" w:rsidRPr="001A1836">
        <w:t>identity cards by offering the following channels: phone, post, email and online (with an emphasis on encouraging people to choose the online option).</w:t>
      </w:r>
    </w:p>
    <w:p w14:paraId="069E1779" w14:textId="77777777" w:rsidR="005F4C69" w:rsidRPr="001A1836" w:rsidRDefault="005F4C69" w:rsidP="00A20731">
      <w:pPr>
        <w:rPr>
          <w:b/>
          <w:i/>
        </w:rPr>
      </w:pPr>
      <w:bookmarkStart w:id="78" w:name="_Toc501354432"/>
      <w:bookmarkStart w:id="79" w:name="_Toc521326933"/>
      <w:bookmarkStart w:id="80" w:name="_Toc521484687"/>
      <w:bookmarkStart w:id="81" w:name="_Toc521485018"/>
      <w:bookmarkStart w:id="82" w:name="_Toc521496189"/>
      <w:r w:rsidRPr="001A1836">
        <w:rPr>
          <w:b/>
          <w:i/>
        </w:rPr>
        <w:t>Registrations</w:t>
      </w:r>
      <w:bookmarkEnd w:id="78"/>
      <w:bookmarkEnd w:id="79"/>
      <w:bookmarkEnd w:id="80"/>
      <w:bookmarkEnd w:id="81"/>
      <w:bookmarkEnd w:id="82"/>
    </w:p>
    <w:p w14:paraId="069E177A" w14:textId="77777777" w:rsidR="00F846AD" w:rsidRPr="001A1836" w:rsidRDefault="00C62CC0">
      <w:pPr>
        <w:pStyle w:val="GSRL4numberedclause"/>
        <w:spacing w:line="276" w:lineRule="auto"/>
      </w:pPr>
      <w:r w:rsidRPr="001A1836">
        <w:t xml:space="preserve">The </w:t>
      </w:r>
      <w:r w:rsidR="0086594C" w:rsidRPr="001A1836">
        <w:t>Provider</w:t>
      </w:r>
      <w:r w:rsidRPr="001A1836">
        <w:t xml:space="preserve"> </w:t>
      </w:r>
      <w:r w:rsidR="00C20489" w:rsidRPr="001A1836">
        <w:t>shall</w:t>
      </w:r>
      <w:r w:rsidRPr="001A1836">
        <w:t xml:space="preserve"> e</w:t>
      </w:r>
      <w:r w:rsidR="00ED5F25" w:rsidRPr="001A1836">
        <w:t>nsure</w:t>
      </w:r>
      <w:r w:rsidR="005F4C69" w:rsidRPr="001A1836">
        <w:t xml:space="preserve"> </w:t>
      </w:r>
      <w:r w:rsidR="00C20489" w:rsidRPr="001A1836">
        <w:t xml:space="preserve">that </w:t>
      </w:r>
      <w:r w:rsidR="005F4C69" w:rsidRPr="001A1836">
        <w:t xml:space="preserve">all necessary details have been received </w:t>
      </w:r>
      <w:r w:rsidR="009C59BA" w:rsidRPr="001A1836">
        <w:t xml:space="preserve">and checked </w:t>
      </w:r>
      <w:r w:rsidR="00150DC5" w:rsidRPr="001A1836">
        <w:t xml:space="preserve">(and subsequently maintained) </w:t>
      </w:r>
      <w:r w:rsidR="005F4C69" w:rsidRPr="001A1836">
        <w:t xml:space="preserve">for each individual </w:t>
      </w:r>
      <w:r w:rsidR="00C20489" w:rsidRPr="001A1836">
        <w:t>E</w:t>
      </w:r>
      <w:r w:rsidR="005F4C69" w:rsidRPr="001A1836">
        <w:t>n</w:t>
      </w:r>
      <w:r w:rsidR="00C20489" w:rsidRPr="001A1836">
        <w:t>gineer or B</w:t>
      </w:r>
      <w:r w:rsidR="00ED5F25" w:rsidRPr="001A1836">
        <w:t>usiness</w:t>
      </w:r>
      <w:r w:rsidR="00C20489" w:rsidRPr="001A1836">
        <w:t xml:space="preserve"> seeking to be registered</w:t>
      </w:r>
      <w:r w:rsidR="00ED5F25" w:rsidRPr="001A1836">
        <w:t>, including (but not limited to):</w:t>
      </w:r>
    </w:p>
    <w:p w14:paraId="069E177B" w14:textId="77777777" w:rsidR="00F846AD" w:rsidRPr="001A1836" w:rsidRDefault="000A65B7">
      <w:pPr>
        <w:pStyle w:val="GSRL5numberedclause"/>
        <w:spacing w:line="276" w:lineRule="auto"/>
      </w:pPr>
      <w:r w:rsidRPr="001A1836">
        <w:lastRenderedPageBreak/>
        <w:t>trading title</w:t>
      </w:r>
      <w:r w:rsidR="00C20489" w:rsidRPr="001A1836">
        <w:t>, business address</w:t>
      </w:r>
      <w:r w:rsidRPr="001A1836">
        <w:t xml:space="preserve"> </w:t>
      </w:r>
      <w:r w:rsidR="00C20489" w:rsidRPr="001A1836">
        <w:t>(</w:t>
      </w:r>
      <w:r w:rsidR="00DB5822" w:rsidRPr="001A1836">
        <w:t xml:space="preserve">and if applicable </w:t>
      </w:r>
      <w:r w:rsidRPr="001A1836">
        <w:t xml:space="preserve">company </w:t>
      </w:r>
      <w:r w:rsidR="00ED7067" w:rsidRPr="001A1836">
        <w:t>or limited liability partnership (LLP)</w:t>
      </w:r>
      <w:r w:rsidR="00DB5822" w:rsidRPr="001A1836">
        <w:t xml:space="preserve"> </w:t>
      </w:r>
      <w:r w:rsidRPr="001A1836">
        <w:t>n</w:t>
      </w:r>
      <w:r w:rsidR="00E20462" w:rsidRPr="001A1836">
        <w:t xml:space="preserve">ame and </w:t>
      </w:r>
      <w:r w:rsidR="0013607D" w:rsidRPr="001A1836">
        <w:t xml:space="preserve">registered office </w:t>
      </w:r>
      <w:r w:rsidR="00E20462" w:rsidRPr="001A1836">
        <w:t>address</w:t>
      </w:r>
      <w:r w:rsidR="00C552B3" w:rsidRPr="001A1836">
        <w:t xml:space="preserve"> as registered at Companies House</w:t>
      </w:r>
      <w:r w:rsidR="00C20489" w:rsidRPr="001A1836">
        <w:t>)</w:t>
      </w:r>
      <w:r w:rsidRPr="001A1836">
        <w:t>;</w:t>
      </w:r>
      <w:r w:rsidR="00426183" w:rsidRPr="001A1836">
        <w:t xml:space="preserve"> </w:t>
      </w:r>
    </w:p>
    <w:p w14:paraId="069E177C" w14:textId="77777777" w:rsidR="00981D7D" w:rsidRPr="001A1836" w:rsidRDefault="000A65B7">
      <w:pPr>
        <w:pStyle w:val="GSRL5numberedclause"/>
        <w:rPr>
          <w:rStyle w:val="CommentReference"/>
          <w:rFonts w:cs="Times New Roman"/>
          <w:kern w:val="14"/>
          <w:lang w:eastAsia="en-US"/>
        </w:rPr>
      </w:pPr>
      <w:r w:rsidRPr="001A1836">
        <w:t>r</w:t>
      </w:r>
      <w:r w:rsidR="00E20462" w:rsidRPr="001A1836">
        <w:t>esp</w:t>
      </w:r>
      <w:r w:rsidR="006E66BD" w:rsidRPr="001A1836">
        <w:t>onsible person information</w:t>
      </w:r>
      <w:r w:rsidR="00981D7D" w:rsidRPr="001A1836">
        <w:t>;</w:t>
      </w:r>
      <w:r w:rsidR="006E66BD" w:rsidRPr="001A1836">
        <w:t xml:space="preserve"> </w:t>
      </w:r>
    </w:p>
    <w:p w14:paraId="069E177D" w14:textId="77777777" w:rsidR="00F846AD" w:rsidRPr="001A1836" w:rsidRDefault="006E66BD">
      <w:pPr>
        <w:pStyle w:val="GSRL5numberedclause"/>
        <w:spacing w:line="276" w:lineRule="auto"/>
      </w:pPr>
      <w:r w:rsidRPr="001A1836">
        <w:t>b</w:t>
      </w:r>
      <w:r w:rsidR="00E20462" w:rsidRPr="001A1836">
        <w:t>usiness type</w:t>
      </w:r>
      <w:r w:rsidR="00981D7D" w:rsidRPr="001A1836">
        <w:t xml:space="preserve"> (eg sole trader, partnership, limited liability company etc)</w:t>
      </w:r>
      <w:r w:rsidR="000A65B7" w:rsidRPr="001A1836">
        <w:t>;</w:t>
      </w:r>
      <w:r w:rsidR="00E20462" w:rsidRPr="001A1836">
        <w:t xml:space="preserve"> </w:t>
      </w:r>
    </w:p>
    <w:p w14:paraId="069E177E" w14:textId="77777777" w:rsidR="00F846AD" w:rsidRPr="001A1836" w:rsidRDefault="000A65B7">
      <w:pPr>
        <w:pStyle w:val="GSRL5numberedclause"/>
        <w:spacing w:line="276" w:lineRule="auto"/>
      </w:pPr>
      <w:r w:rsidRPr="001A1836">
        <w:t>Companies House r</w:t>
      </w:r>
      <w:r w:rsidR="00E20462" w:rsidRPr="001A1836">
        <w:t>egistratio</w:t>
      </w:r>
      <w:r w:rsidR="00ED5F25" w:rsidRPr="001A1836">
        <w:t>n number</w:t>
      </w:r>
      <w:r w:rsidRPr="001A1836">
        <w:t>;</w:t>
      </w:r>
    </w:p>
    <w:p w14:paraId="069E177F" w14:textId="77777777" w:rsidR="00F846AD" w:rsidRPr="001A1836" w:rsidRDefault="00141D3F">
      <w:pPr>
        <w:pStyle w:val="GSRL5numberedclause"/>
        <w:spacing w:line="276" w:lineRule="auto"/>
      </w:pPr>
      <w:r w:rsidRPr="001A1836">
        <w:t>information</w:t>
      </w:r>
      <w:r w:rsidR="00ED5F25" w:rsidRPr="001A1836">
        <w:t xml:space="preserve"> relating to individual</w:t>
      </w:r>
      <w:r w:rsidR="00E20462" w:rsidRPr="001A1836">
        <w:t xml:space="preserve"> </w:t>
      </w:r>
      <w:r w:rsidR="00AD5452" w:rsidRPr="001A1836">
        <w:t>E</w:t>
      </w:r>
      <w:r w:rsidR="00E20462" w:rsidRPr="001A1836">
        <w:t>ngineer</w:t>
      </w:r>
      <w:r w:rsidR="00ED5F25" w:rsidRPr="001A1836">
        <w:t xml:space="preserve">s </w:t>
      </w:r>
      <w:r w:rsidR="00430009" w:rsidRPr="001A1836">
        <w:t>including but not limited to</w:t>
      </w:r>
      <w:r w:rsidR="00E20462" w:rsidRPr="001A1836">
        <w:t>:</w:t>
      </w:r>
    </w:p>
    <w:p w14:paraId="069E1780" w14:textId="77777777" w:rsidR="009E7D0F" w:rsidRPr="001A1836" w:rsidRDefault="000A3A6E">
      <w:pPr>
        <w:pStyle w:val="GSRL6numberedclause"/>
      </w:pPr>
      <w:r w:rsidRPr="001A1836">
        <w:t>f</w:t>
      </w:r>
      <w:r w:rsidR="00E20462" w:rsidRPr="001A1836">
        <w:t>ull name</w:t>
      </w:r>
      <w:r w:rsidR="00ED5F25" w:rsidRPr="001A1836">
        <w:t xml:space="preserve"> of each individual</w:t>
      </w:r>
      <w:r w:rsidR="000A65B7" w:rsidRPr="001A1836">
        <w:t>;</w:t>
      </w:r>
    </w:p>
    <w:p w14:paraId="069E1781" w14:textId="77777777" w:rsidR="00B6090D" w:rsidRPr="001A1836" w:rsidRDefault="00B6090D">
      <w:pPr>
        <w:pStyle w:val="GSRL6numberedclause"/>
        <w:spacing w:line="276" w:lineRule="auto"/>
      </w:pPr>
      <w:r w:rsidRPr="001A1836">
        <w:t>Date of birth</w:t>
      </w:r>
    </w:p>
    <w:p w14:paraId="069E1782" w14:textId="77777777" w:rsidR="009E7D0F" w:rsidRPr="001A1836" w:rsidRDefault="000A3A6E">
      <w:pPr>
        <w:pStyle w:val="GSRL6numberedclause"/>
        <w:spacing w:line="276" w:lineRule="auto"/>
      </w:pPr>
      <w:r w:rsidRPr="001A1836">
        <w:t>c</w:t>
      </w:r>
      <w:r w:rsidR="00E20462" w:rsidRPr="001A1836">
        <w:t>ontact details (including postal address, mobile number and email address)</w:t>
      </w:r>
      <w:r w:rsidR="000A65B7" w:rsidRPr="001A1836">
        <w:t>;</w:t>
      </w:r>
    </w:p>
    <w:p w14:paraId="069E1783" w14:textId="77777777" w:rsidR="009E7D0F" w:rsidRPr="001A1836" w:rsidRDefault="000A3A6E">
      <w:pPr>
        <w:pStyle w:val="GSRL6numberedclause"/>
        <w:spacing w:line="276" w:lineRule="auto"/>
      </w:pPr>
      <w:r w:rsidRPr="001A1836">
        <w:t>N</w:t>
      </w:r>
      <w:r w:rsidR="00E20462" w:rsidRPr="001A1836">
        <w:t>ational Insurance number</w:t>
      </w:r>
      <w:r w:rsidR="000A65B7" w:rsidRPr="001A1836">
        <w:t>;</w:t>
      </w:r>
    </w:p>
    <w:p w14:paraId="069E1784" w14:textId="77777777" w:rsidR="009E7D0F" w:rsidRPr="001A1836" w:rsidRDefault="000E218C">
      <w:pPr>
        <w:pStyle w:val="GSRL6numberedclause"/>
        <w:spacing w:line="276" w:lineRule="auto"/>
      </w:pPr>
      <w:r w:rsidRPr="001A1836">
        <w:t>Q</w:t>
      </w:r>
      <w:r w:rsidR="00E20462" w:rsidRPr="001A1836">
        <w:t>ualifications</w:t>
      </w:r>
      <w:r w:rsidR="000A65B7" w:rsidRPr="001A1836">
        <w:t>;</w:t>
      </w:r>
    </w:p>
    <w:p w14:paraId="069E1785" w14:textId="77777777" w:rsidR="009E7D0F" w:rsidRPr="001A1836" w:rsidRDefault="00E20462">
      <w:pPr>
        <w:pStyle w:val="GSRL6numberedclause"/>
        <w:spacing w:line="276" w:lineRule="auto"/>
      </w:pPr>
      <w:r w:rsidRPr="001A1836">
        <w:t>complaints history</w:t>
      </w:r>
      <w:r w:rsidR="000A65B7" w:rsidRPr="001A1836">
        <w:t>;</w:t>
      </w:r>
    </w:p>
    <w:p w14:paraId="4FD6D40B" w14:textId="30929F00" w:rsidR="00514298" w:rsidRDefault="0094042E">
      <w:pPr>
        <w:pStyle w:val="GSRL6numberedclause"/>
        <w:spacing w:line="276" w:lineRule="auto"/>
      </w:pPr>
      <w:r>
        <w:t>Competency Checks</w:t>
      </w:r>
      <w:r w:rsidR="00514298">
        <w:t>;</w:t>
      </w:r>
    </w:p>
    <w:p w14:paraId="069E1786" w14:textId="6F2093E6" w:rsidR="009E7D0F" w:rsidRPr="001A1836" w:rsidRDefault="00AC40F0">
      <w:pPr>
        <w:pStyle w:val="GSRL6numberedclause"/>
        <w:spacing w:line="276" w:lineRule="auto"/>
      </w:pPr>
      <w:r>
        <w:t>I</w:t>
      </w:r>
      <w:r w:rsidR="00E20462" w:rsidRPr="001A1836">
        <w:t>nspection reports</w:t>
      </w:r>
      <w:r w:rsidR="000A65B7" w:rsidRPr="001A1836">
        <w:t>;</w:t>
      </w:r>
    </w:p>
    <w:p w14:paraId="069E1787" w14:textId="77777777" w:rsidR="009E7D0F" w:rsidRPr="001A1836" w:rsidRDefault="00E20462">
      <w:pPr>
        <w:pStyle w:val="GSRL6numberedclause"/>
        <w:spacing w:line="276" w:lineRule="auto"/>
      </w:pPr>
      <w:r w:rsidRPr="001A1836">
        <w:t xml:space="preserve">details of </w:t>
      </w:r>
      <w:r w:rsidR="00AD5452" w:rsidRPr="001A1836">
        <w:t>A</w:t>
      </w:r>
      <w:r w:rsidRPr="001A1836">
        <w:t xml:space="preserve">warding </w:t>
      </w:r>
      <w:r w:rsidR="00AD5452" w:rsidRPr="001A1836">
        <w:t>B</w:t>
      </w:r>
      <w:r w:rsidRPr="001A1836">
        <w:t>ody</w:t>
      </w:r>
      <w:r w:rsidR="00C62CC0" w:rsidRPr="001A1836">
        <w:t xml:space="preserve"> for each qualification listed</w:t>
      </w:r>
      <w:r w:rsidR="000A65B7" w:rsidRPr="001A1836">
        <w:t>;</w:t>
      </w:r>
      <w:r w:rsidR="00430009" w:rsidRPr="001A1836">
        <w:t xml:space="preserve"> and</w:t>
      </w:r>
    </w:p>
    <w:p w14:paraId="069E1788" w14:textId="77777777" w:rsidR="000A65B7" w:rsidRPr="001A1836" w:rsidRDefault="00E20462">
      <w:pPr>
        <w:pStyle w:val="GSRL6numberedclause"/>
        <w:spacing w:line="276" w:lineRule="auto"/>
      </w:pPr>
      <w:r w:rsidRPr="001A1836">
        <w:t>individual photographs</w:t>
      </w:r>
      <w:r w:rsidR="000A65B7" w:rsidRPr="001A1836">
        <w:t>;</w:t>
      </w:r>
    </w:p>
    <w:p w14:paraId="069E1789" w14:textId="77777777" w:rsidR="000A65B7" w:rsidRPr="001A1836" w:rsidRDefault="00F56C7A">
      <w:pPr>
        <w:pStyle w:val="GSRL5numberedclause"/>
        <w:spacing w:line="276" w:lineRule="auto"/>
      </w:pPr>
      <w:r w:rsidRPr="001A1836">
        <w:t xml:space="preserve">details of </w:t>
      </w:r>
      <w:r w:rsidR="000A65B7" w:rsidRPr="001A1836">
        <w:t xml:space="preserve">any </w:t>
      </w:r>
      <w:r w:rsidR="00E20462" w:rsidRPr="001A1836">
        <w:t>prosecutions</w:t>
      </w:r>
      <w:r w:rsidRPr="001A1836">
        <w:t xml:space="preserve"> and sanctions</w:t>
      </w:r>
      <w:r w:rsidR="00E20462" w:rsidRPr="001A1836">
        <w:t xml:space="preserve"> which may affect the application</w:t>
      </w:r>
      <w:r w:rsidR="00DB5822" w:rsidRPr="001A1836">
        <w:t xml:space="preserve"> or registration</w:t>
      </w:r>
      <w:r w:rsidR="000A65B7" w:rsidRPr="001A1836">
        <w:t>;</w:t>
      </w:r>
    </w:p>
    <w:p w14:paraId="069E178A" w14:textId="77777777" w:rsidR="000A65B7" w:rsidRPr="001A1836" w:rsidRDefault="00E20462">
      <w:pPr>
        <w:pStyle w:val="GSRL6numberedclause"/>
        <w:spacing w:line="276" w:lineRule="auto"/>
      </w:pPr>
      <w:r w:rsidRPr="001A1836">
        <w:t xml:space="preserve">whether or not the </w:t>
      </w:r>
      <w:r w:rsidR="00AD5452" w:rsidRPr="001A1836">
        <w:t>B</w:t>
      </w:r>
      <w:r w:rsidRPr="001A1836">
        <w:t xml:space="preserve">usiness wants their </w:t>
      </w:r>
      <w:r w:rsidR="003E2452" w:rsidRPr="001A1836">
        <w:t xml:space="preserve">contact </w:t>
      </w:r>
      <w:r w:rsidRPr="001A1836">
        <w:t xml:space="preserve">details given out over the phone or displayed on the </w:t>
      </w:r>
      <w:r w:rsidR="009A2D01" w:rsidRPr="001A1836">
        <w:t xml:space="preserve">Gas Safe Register </w:t>
      </w:r>
      <w:r w:rsidRPr="001A1836">
        <w:t>website</w:t>
      </w:r>
      <w:r w:rsidR="000A65B7" w:rsidRPr="001A1836">
        <w:t>;</w:t>
      </w:r>
    </w:p>
    <w:p w14:paraId="069E178B" w14:textId="77777777" w:rsidR="00F846AD" w:rsidRPr="001A1836" w:rsidRDefault="00150BEB">
      <w:pPr>
        <w:pStyle w:val="GSRL6numberedclause"/>
        <w:spacing w:line="276" w:lineRule="auto"/>
      </w:pPr>
      <w:r w:rsidRPr="001A1836">
        <w:t xml:space="preserve">that </w:t>
      </w:r>
      <w:r w:rsidR="00E20462" w:rsidRPr="001A1836">
        <w:t>a signature, position and date has been provided</w:t>
      </w:r>
      <w:r w:rsidRPr="001A1836">
        <w:t xml:space="preserve"> (use of an electronic tick box is permissible)</w:t>
      </w:r>
      <w:r w:rsidR="00E20462" w:rsidRPr="001A1836">
        <w:t xml:space="preserve"> by each individual </w:t>
      </w:r>
      <w:r w:rsidR="00B511E3" w:rsidRPr="001A1836">
        <w:t>whereby they</w:t>
      </w:r>
      <w:r w:rsidR="00E20462" w:rsidRPr="001A1836">
        <w:t xml:space="preserve"> hav</w:t>
      </w:r>
      <w:r w:rsidR="00D95281" w:rsidRPr="001A1836">
        <w:t>e confirmed they have read the Rules of Registration and Registration P</w:t>
      </w:r>
      <w:r w:rsidR="00E20462" w:rsidRPr="001A1836">
        <w:t>olicy.</w:t>
      </w:r>
    </w:p>
    <w:p w14:paraId="069E178C" w14:textId="77777777" w:rsidR="000A65B7" w:rsidRPr="001A1836" w:rsidRDefault="000A65B7">
      <w:pPr>
        <w:pStyle w:val="GSRL4numberedclause"/>
        <w:spacing w:line="276" w:lineRule="auto"/>
      </w:pPr>
      <w:r w:rsidRPr="001A1836">
        <w:t xml:space="preserve">The Provider </w:t>
      </w:r>
      <w:r w:rsidR="00150BEB" w:rsidRPr="001A1836">
        <w:t>shall</w:t>
      </w:r>
      <w:r w:rsidRPr="001A1836">
        <w:t xml:space="preserve"> s</w:t>
      </w:r>
      <w:r w:rsidR="00E20462" w:rsidRPr="001A1836">
        <w:t>et</w:t>
      </w:r>
      <w:r w:rsidR="00150BEB" w:rsidRPr="001A1836">
        <w:t xml:space="preserve"> the </w:t>
      </w:r>
      <w:r w:rsidR="00B6090D" w:rsidRPr="001A1836">
        <w:t>p</w:t>
      </w:r>
      <w:r w:rsidR="00150BEB" w:rsidRPr="001A1836">
        <w:t xml:space="preserve">robationary </w:t>
      </w:r>
      <w:r w:rsidR="00B6090D" w:rsidRPr="001A1836">
        <w:t>p</w:t>
      </w:r>
      <w:r w:rsidR="00E20462" w:rsidRPr="001A1836">
        <w:t>eriod</w:t>
      </w:r>
      <w:r w:rsidR="00F92AEE" w:rsidRPr="001A1836">
        <w:t xml:space="preserve"> for new registrations</w:t>
      </w:r>
      <w:r w:rsidR="00AD5452" w:rsidRPr="001A1836">
        <w:t xml:space="preserve"> in line with the</w:t>
      </w:r>
      <w:r w:rsidR="00E75752" w:rsidRPr="001A1836">
        <w:t xml:space="preserve"> existing</w:t>
      </w:r>
      <w:r w:rsidR="00AD5452" w:rsidRPr="001A1836">
        <w:t xml:space="preserve"> Registration Policy</w:t>
      </w:r>
      <w:r w:rsidR="00F56C7A" w:rsidRPr="001A1836">
        <w:t>.</w:t>
      </w:r>
      <w:r w:rsidR="009A2D01" w:rsidRPr="001A1836">
        <w:t xml:space="preserve"> </w:t>
      </w:r>
    </w:p>
    <w:p w14:paraId="069E178D" w14:textId="77777777" w:rsidR="009A2D01" w:rsidRPr="001A1836" w:rsidRDefault="0055253F">
      <w:pPr>
        <w:pStyle w:val="GSRL4numberedclause"/>
        <w:spacing w:line="276" w:lineRule="auto"/>
      </w:pPr>
      <w:r w:rsidRPr="001A1836">
        <w:t xml:space="preserve">Each registration period </w:t>
      </w:r>
      <w:r w:rsidR="00757383" w:rsidRPr="001A1836">
        <w:t xml:space="preserve">shall </w:t>
      </w:r>
      <w:r w:rsidRPr="001A1836">
        <w:t xml:space="preserve">last for 12 months, including any probationary period, and is subject to Engineers maintaining current qualifications. Registration may be suspended in line with the Sanctions Policy if a Business or Engineer breaches the Rules of Registration. </w:t>
      </w:r>
    </w:p>
    <w:p w14:paraId="069E178E" w14:textId="77777777" w:rsidR="002366B7" w:rsidRPr="001A1836" w:rsidRDefault="000A65B7">
      <w:pPr>
        <w:pStyle w:val="GSRL4numberedclause"/>
        <w:spacing w:line="276" w:lineRule="auto"/>
      </w:pPr>
      <w:r w:rsidRPr="001A1836">
        <w:t xml:space="preserve">The Provider </w:t>
      </w:r>
      <w:r w:rsidR="00C437E5" w:rsidRPr="001A1836">
        <w:t xml:space="preserve">shall </w:t>
      </w:r>
      <w:r w:rsidRPr="001A1836">
        <w:t>e</w:t>
      </w:r>
      <w:r w:rsidR="007A635D" w:rsidRPr="001A1836">
        <w:t>nable Awarding Bodies to upload qualification information about engineers through</w:t>
      </w:r>
      <w:r w:rsidR="00C62CC0" w:rsidRPr="001A1836">
        <w:t xml:space="preserve"> an</w:t>
      </w:r>
      <w:r w:rsidR="007A635D" w:rsidRPr="001A1836">
        <w:t xml:space="preserve"> </w:t>
      </w:r>
      <w:r w:rsidR="00C62CC0" w:rsidRPr="001A1836">
        <w:t>application program interface (</w:t>
      </w:r>
      <w:r w:rsidR="007A635D" w:rsidRPr="001A1836">
        <w:t>API</w:t>
      </w:r>
      <w:r w:rsidR="00C62CC0" w:rsidRPr="001A1836">
        <w:t>).</w:t>
      </w:r>
    </w:p>
    <w:p w14:paraId="069E178F" w14:textId="77777777" w:rsidR="009959CE" w:rsidRPr="001A1836" w:rsidRDefault="00F45395">
      <w:pPr>
        <w:pStyle w:val="GSRL4numberedclause"/>
        <w:spacing w:line="276" w:lineRule="auto"/>
      </w:pPr>
      <w:r w:rsidRPr="001A1836">
        <w:t xml:space="preserve">The </w:t>
      </w:r>
      <w:r w:rsidR="009959CE" w:rsidRPr="001A1836">
        <w:t>Provider shall receive q</w:t>
      </w:r>
      <w:r w:rsidR="007A635D" w:rsidRPr="001A1836">
        <w:t>ualifica</w:t>
      </w:r>
      <w:r w:rsidR="00B57322" w:rsidRPr="001A1836">
        <w:t xml:space="preserve">tion and candidate files </w:t>
      </w:r>
      <w:r w:rsidR="003970C6" w:rsidRPr="001A1836">
        <w:t xml:space="preserve">from Awarding Bodies </w:t>
      </w:r>
      <w:r w:rsidR="007A635D" w:rsidRPr="001A1836">
        <w:t>as pipe delimited files</w:t>
      </w:r>
      <w:r w:rsidR="009959CE" w:rsidRPr="001A1836">
        <w:t xml:space="preserve"> with t</w:t>
      </w:r>
      <w:r w:rsidR="007A635D" w:rsidRPr="001A1836">
        <w:t xml:space="preserve">he first field in each record </w:t>
      </w:r>
      <w:r w:rsidR="009959CE" w:rsidRPr="001A1836">
        <w:t xml:space="preserve">being </w:t>
      </w:r>
      <w:r w:rsidR="007A635D" w:rsidRPr="001A1836">
        <w:t>a character that determines the content of the rest of the record. All file</w:t>
      </w:r>
      <w:r w:rsidR="00141D3F" w:rsidRPr="001A1836">
        <w:t>s should include the extension ‘.dat’</w:t>
      </w:r>
      <w:r w:rsidR="00DA11D7" w:rsidRPr="001A1836">
        <w:t>. No change to this method</w:t>
      </w:r>
      <w:r w:rsidR="00A65248" w:rsidRPr="001A1836">
        <w:t xml:space="preserve"> shall be permitted without </w:t>
      </w:r>
      <w:r w:rsidR="00DA11D7" w:rsidRPr="001A1836">
        <w:t>written consent</w:t>
      </w:r>
      <w:r w:rsidR="00A65248" w:rsidRPr="001A1836">
        <w:t xml:space="preserve"> from HSE</w:t>
      </w:r>
      <w:r w:rsidR="007A635D" w:rsidRPr="001A1836">
        <w:t xml:space="preserve">. </w:t>
      </w:r>
    </w:p>
    <w:p w14:paraId="069E1790" w14:textId="6FEF883A" w:rsidR="00AA6808" w:rsidRPr="001A1836" w:rsidRDefault="00E20462">
      <w:pPr>
        <w:pStyle w:val="GSRL4numberedclause"/>
        <w:spacing w:line="276" w:lineRule="auto"/>
      </w:pPr>
      <w:r w:rsidRPr="001A1836">
        <w:lastRenderedPageBreak/>
        <w:t>On</w:t>
      </w:r>
      <w:r w:rsidR="00A340A4" w:rsidRPr="001A1836">
        <w:t xml:space="preserve"> completion of </w:t>
      </w:r>
      <w:r w:rsidRPr="001A1836">
        <w:t>registration</w:t>
      </w:r>
      <w:r w:rsidR="00A340A4" w:rsidRPr="001A1836">
        <w:t xml:space="preserve"> the Provider shall send an ema</w:t>
      </w:r>
      <w:r w:rsidRPr="001A1836">
        <w:t xml:space="preserve">il </w:t>
      </w:r>
      <w:r w:rsidR="00A340A4" w:rsidRPr="001A1836">
        <w:t xml:space="preserve">to </w:t>
      </w:r>
      <w:r w:rsidR="004A55F6" w:rsidRPr="001A1836">
        <w:t xml:space="preserve">the </w:t>
      </w:r>
      <w:r w:rsidR="00A340A4" w:rsidRPr="001A1836">
        <w:t>Engineer o</w:t>
      </w:r>
      <w:r w:rsidR="004A55F6" w:rsidRPr="001A1836">
        <w:t xml:space="preserve">r </w:t>
      </w:r>
      <w:r w:rsidR="00A340A4" w:rsidRPr="001A1836">
        <w:t>B</w:t>
      </w:r>
      <w:r w:rsidRPr="001A1836">
        <w:t>usiness</w:t>
      </w:r>
      <w:r w:rsidR="00A340A4" w:rsidRPr="001A1836">
        <w:t xml:space="preserve"> in question confirming that registration has been effected, attaching the </w:t>
      </w:r>
      <w:r w:rsidRPr="001A1836">
        <w:t>Rules of Registratio</w:t>
      </w:r>
      <w:r w:rsidR="00A340A4" w:rsidRPr="001A1836">
        <w:t>n and Registration P</w:t>
      </w:r>
      <w:r w:rsidR="00C62CC0" w:rsidRPr="001A1836">
        <w:t xml:space="preserve">olicy. </w:t>
      </w:r>
      <w:r w:rsidR="00052B87" w:rsidRPr="001A1836">
        <w:t>In all cases, a</w:t>
      </w:r>
      <w:r w:rsidR="00C62CC0" w:rsidRPr="001A1836">
        <w:t>n identity</w:t>
      </w:r>
      <w:r w:rsidRPr="001A1836">
        <w:t xml:space="preserve"> card and </w:t>
      </w:r>
      <w:r w:rsidR="00981D7D" w:rsidRPr="001A1836">
        <w:t xml:space="preserve">hard copy </w:t>
      </w:r>
      <w:r w:rsidRPr="001A1836">
        <w:t xml:space="preserve">Registration certificate </w:t>
      </w:r>
      <w:r w:rsidR="002D7ECB" w:rsidRPr="001A1836">
        <w:t xml:space="preserve">shall </w:t>
      </w:r>
      <w:r w:rsidRPr="001A1836">
        <w:t>be sent</w:t>
      </w:r>
      <w:r w:rsidR="000706EF" w:rsidRPr="001A1836">
        <w:t xml:space="preserve"> within five </w:t>
      </w:r>
      <w:r w:rsidR="00DF50B7" w:rsidRPr="001A1836">
        <w:t>W</w:t>
      </w:r>
      <w:r w:rsidR="000706EF" w:rsidRPr="001A1836">
        <w:t xml:space="preserve">orking </w:t>
      </w:r>
      <w:r w:rsidR="00DF50B7" w:rsidRPr="001A1836">
        <w:t>D</w:t>
      </w:r>
      <w:r w:rsidR="000706EF" w:rsidRPr="001A1836">
        <w:t>ays</w:t>
      </w:r>
      <w:r w:rsidR="00DF50B7" w:rsidRPr="001A1836">
        <w:t xml:space="preserve"> during the months April to January, or </w:t>
      </w:r>
      <w:r w:rsidR="000C1F5C" w:rsidRPr="001A1836">
        <w:t>10 Working D</w:t>
      </w:r>
      <w:r w:rsidR="00DF50B7" w:rsidRPr="001A1836">
        <w:t>ays during the months February and March</w:t>
      </w:r>
      <w:r w:rsidRPr="001A1836">
        <w:t>.</w:t>
      </w:r>
    </w:p>
    <w:p w14:paraId="069E1791" w14:textId="77777777" w:rsidR="001B2C3A" w:rsidRPr="001A1836" w:rsidRDefault="001B2C3A" w:rsidP="00A20731">
      <w:pPr>
        <w:rPr>
          <w:i/>
        </w:rPr>
      </w:pPr>
      <w:bookmarkStart w:id="83" w:name="_Toc521496190"/>
      <w:r w:rsidRPr="001A1836">
        <w:rPr>
          <w:i/>
        </w:rPr>
        <w:t>Probationary registration</w:t>
      </w:r>
      <w:bookmarkEnd w:id="83"/>
    </w:p>
    <w:p w14:paraId="069E1792" w14:textId="7BCE6A16" w:rsidR="001B2C3A" w:rsidRPr="001A1836" w:rsidRDefault="001B2C3A">
      <w:pPr>
        <w:pStyle w:val="GSRL4numberedclause"/>
        <w:spacing w:line="276" w:lineRule="auto"/>
        <w:rPr>
          <w:b/>
          <w:i/>
        </w:rPr>
      </w:pPr>
      <w:r w:rsidRPr="001A1836">
        <w:t xml:space="preserve">As part of the core process for registration of </w:t>
      </w:r>
      <w:r w:rsidR="00F05FCC" w:rsidRPr="001A1836">
        <w:t>B</w:t>
      </w:r>
      <w:r w:rsidRPr="001A1836">
        <w:t xml:space="preserve">usinesses and </w:t>
      </w:r>
      <w:r w:rsidR="00F05FCC" w:rsidRPr="001A1836">
        <w:t>E</w:t>
      </w:r>
      <w:r w:rsidRPr="001A1836">
        <w:t xml:space="preserve">ngineers the Provider shall operate a time-defined probationary registration period </w:t>
      </w:r>
      <w:r w:rsidR="00F05FCC" w:rsidRPr="001A1836">
        <w:t>of</w:t>
      </w:r>
      <w:r w:rsidRPr="001A1836">
        <w:t xml:space="preserve"> three months, </w:t>
      </w:r>
      <w:r w:rsidR="008477FC" w:rsidRPr="001A1836">
        <w:t>during which</w:t>
      </w:r>
      <w:r w:rsidR="00F05FCC" w:rsidRPr="001A1836">
        <w:t xml:space="preserve"> </w:t>
      </w:r>
      <w:r w:rsidRPr="001A1836">
        <w:t xml:space="preserve">the Registered Business shall be </w:t>
      </w:r>
      <w:r w:rsidR="00E15F6A">
        <w:t>I</w:t>
      </w:r>
      <w:r w:rsidRPr="001A1836">
        <w:t>nspected by the Provider.</w:t>
      </w:r>
    </w:p>
    <w:p w14:paraId="069E1793" w14:textId="77777777" w:rsidR="001B2C3A" w:rsidRPr="001A1836" w:rsidRDefault="001B2C3A">
      <w:pPr>
        <w:pStyle w:val="GSRL4numberedclause"/>
        <w:spacing w:line="276" w:lineRule="auto"/>
      </w:pPr>
      <w:r w:rsidRPr="001A1836">
        <w:t xml:space="preserve">The Provider shall grant a Business probationary registration where they satisfy all requirements for registration and: </w:t>
      </w:r>
    </w:p>
    <w:p w14:paraId="069E1794" w14:textId="77777777" w:rsidR="001B2C3A" w:rsidRPr="001A1836" w:rsidRDefault="001B2C3A">
      <w:pPr>
        <w:pStyle w:val="GSRL5numberedclause"/>
        <w:spacing w:line="276" w:lineRule="auto"/>
      </w:pPr>
      <w:r w:rsidRPr="001A1836">
        <w:t xml:space="preserve">the Provider has no previous performance history about the </w:t>
      </w:r>
      <w:r w:rsidR="00F05FCC" w:rsidRPr="001A1836">
        <w:t>B</w:t>
      </w:r>
      <w:r w:rsidRPr="001A1836">
        <w:t xml:space="preserve">usiness; or </w:t>
      </w:r>
    </w:p>
    <w:p w14:paraId="069E1795" w14:textId="534A0AA9" w:rsidR="001B2C3A" w:rsidRPr="001A1836" w:rsidRDefault="001B2C3A">
      <w:pPr>
        <w:pStyle w:val="GSRL5numberedclause"/>
        <w:spacing w:line="276" w:lineRule="auto"/>
      </w:pPr>
      <w:r w:rsidRPr="001A1836">
        <w:t xml:space="preserve">the </w:t>
      </w:r>
      <w:r w:rsidR="00F05FCC" w:rsidRPr="001A1836">
        <w:t>B</w:t>
      </w:r>
      <w:r w:rsidRPr="001A1836">
        <w:t xml:space="preserve">usiness has been previously registered under another </w:t>
      </w:r>
      <w:r w:rsidR="00FC5CA0" w:rsidRPr="001A1836">
        <w:t xml:space="preserve">name </w:t>
      </w:r>
      <w:r w:rsidRPr="001A1836">
        <w:t xml:space="preserve">and   has a complaints record or record of unsafe </w:t>
      </w:r>
      <w:r w:rsidR="000C1F5C" w:rsidRPr="001A1836">
        <w:t>Gas Work</w:t>
      </w:r>
      <w:r w:rsidRPr="001A1836">
        <w:t xml:space="preserve">. </w:t>
      </w:r>
    </w:p>
    <w:p w14:paraId="069E1796" w14:textId="2F6B4FAA" w:rsidR="001B2C3A" w:rsidRPr="001A1836" w:rsidRDefault="001B2C3A">
      <w:pPr>
        <w:pStyle w:val="GSRL4numberedclause"/>
        <w:spacing w:line="276" w:lineRule="auto"/>
      </w:pPr>
      <w:r w:rsidRPr="001A1836">
        <w:t xml:space="preserve">The Provider may, in exceptional circumstances, which shall be specified in the </w:t>
      </w:r>
      <w:hyperlink r:id="rId13" w:history="1">
        <w:r w:rsidRPr="001A1836">
          <w:rPr>
            <w:rStyle w:val="Hyperlink"/>
            <w:color w:val="0000FF"/>
            <w:u w:val="single"/>
            <w:lang w:eastAsia="en-GB"/>
          </w:rPr>
          <w:t>Rules of Registration</w:t>
        </w:r>
      </w:hyperlink>
      <w:r w:rsidRPr="001A1836">
        <w:t xml:space="preserve">, grant full registration to the </w:t>
      </w:r>
      <w:r w:rsidR="00F3280A" w:rsidRPr="001A1836">
        <w:t>B</w:t>
      </w:r>
      <w:r w:rsidRPr="001A1836">
        <w:t xml:space="preserve">usiness concerned without the need for a period of probationary </w:t>
      </w:r>
      <w:r w:rsidR="00726405" w:rsidRPr="001A1836">
        <w:t>registration</w:t>
      </w:r>
      <w:r w:rsidRPr="001A1836">
        <w:t xml:space="preserve">. </w:t>
      </w:r>
    </w:p>
    <w:p w14:paraId="069E1797" w14:textId="1A84E65F" w:rsidR="001B2C3A" w:rsidRPr="001A1836" w:rsidRDefault="00D419E8">
      <w:pPr>
        <w:pStyle w:val="GSRL4numberedclause"/>
        <w:spacing w:line="276" w:lineRule="auto"/>
      </w:pPr>
      <w:r w:rsidRPr="001A1836">
        <w:t>[Not used]</w:t>
      </w:r>
    </w:p>
    <w:p w14:paraId="069E1798" w14:textId="77777777" w:rsidR="001B2C3A" w:rsidRPr="001A1836" w:rsidRDefault="001B2C3A">
      <w:pPr>
        <w:pStyle w:val="GSRL4numberedclause"/>
        <w:spacing w:line="276" w:lineRule="auto"/>
      </w:pPr>
      <w:r w:rsidRPr="001A1836">
        <w:t>During the probationary registration, the Provider shall undertake at least:</w:t>
      </w:r>
    </w:p>
    <w:p w14:paraId="069E1799" w14:textId="32853B8D" w:rsidR="001B2C3A" w:rsidRPr="001A1836" w:rsidRDefault="001B2C3A">
      <w:pPr>
        <w:pStyle w:val="GSRL5numberedclause"/>
        <w:spacing w:line="276" w:lineRule="auto"/>
      </w:pPr>
      <w:r w:rsidRPr="001A1836">
        <w:t>one on-site</w:t>
      </w:r>
      <w:r w:rsidR="00DE739D">
        <w:t xml:space="preserve"> Competency Check </w:t>
      </w:r>
      <w:r w:rsidRPr="001A1836">
        <w:t xml:space="preserve">of </w:t>
      </w:r>
      <w:r w:rsidR="00D72A1D" w:rsidRPr="001A1836">
        <w:t>G</w:t>
      </w:r>
      <w:r w:rsidRPr="001A1836">
        <w:t xml:space="preserve">as </w:t>
      </w:r>
      <w:r w:rsidR="00D72A1D" w:rsidRPr="001A1836">
        <w:t>W</w:t>
      </w:r>
      <w:r w:rsidRPr="001A1836">
        <w:t xml:space="preserve">ork carried out by the Registered Business; and </w:t>
      </w:r>
    </w:p>
    <w:p w14:paraId="0483DF54" w14:textId="77777777" w:rsidR="002F7052" w:rsidRDefault="001B2C3A">
      <w:pPr>
        <w:pStyle w:val="GSRL5numberedclause"/>
        <w:spacing w:line="276" w:lineRule="auto"/>
      </w:pPr>
      <w:r w:rsidRPr="001A1836">
        <w:t>one</w:t>
      </w:r>
      <w:r w:rsidR="00DE739D">
        <w:t xml:space="preserve"> Competency Check </w:t>
      </w:r>
      <w:r w:rsidRPr="001A1836">
        <w:t>of the processes and procedures of the Registered Business.</w:t>
      </w:r>
    </w:p>
    <w:p w14:paraId="069E179A" w14:textId="054DB319" w:rsidR="001B2C3A" w:rsidRPr="001A1836" w:rsidRDefault="002F7052" w:rsidP="002F7052">
      <w:pPr>
        <w:pStyle w:val="GSRL5numberedclause"/>
        <w:numPr>
          <w:ilvl w:val="0"/>
          <w:numId w:val="0"/>
        </w:numPr>
        <w:spacing w:line="276" w:lineRule="auto"/>
        <w:ind w:left="720"/>
      </w:pPr>
      <w:r w:rsidRPr="002F7052">
        <w:t>The relevant activities underpinning w</w:t>
      </w:r>
      <w:r>
        <w:t>hat constitutes an appropriate Competency C</w:t>
      </w:r>
      <w:r w:rsidRPr="002F7052">
        <w:t xml:space="preserve">heck </w:t>
      </w:r>
      <w:r>
        <w:t xml:space="preserve">for Businesses with probationary registration are detailed in Table 4 in </w:t>
      </w:r>
      <w:r w:rsidR="00735986">
        <w:t>Annex 1 to this Schedule</w:t>
      </w:r>
      <w:r w:rsidRPr="002F7052">
        <w:t>.</w:t>
      </w:r>
      <w:r w:rsidR="001B2C3A" w:rsidRPr="001A1836">
        <w:t xml:space="preserve"> </w:t>
      </w:r>
    </w:p>
    <w:p w14:paraId="069E179B" w14:textId="77777777" w:rsidR="000E6697" w:rsidRPr="001A1836" w:rsidRDefault="003E1128" w:rsidP="00A20731">
      <w:pPr>
        <w:rPr>
          <w:b/>
          <w:i/>
        </w:rPr>
      </w:pPr>
      <w:bookmarkStart w:id="84" w:name="_Toc501354433"/>
      <w:bookmarkStart w:id="85" w:name="_Toc521326934"/>
      <w:bookmarkStart w:id="86" w:name="_Toc521484688"/>
      <w:bookmarkStart w:id="87" w:name="_Toc521485019"/>
      <w:bookmarkStart w:id="88" w:name="_Toc521496191"/>
      <w:r w:rsidRPr="001A1836">
        <w:rPr>
          <w:b/>
          <w:i/>
        </w:rPr>
        <w:t>Renewals</w:t>
      </w:r>
      <w:r w:rsidR="00511040" w:rsidRPr="001A1836">
        <w:rPr>
          <w:b/>
          <w:i/>
        </w:rPr>
        <w:t xml:space="preserve"> and changes</w:t>
      </w:r>
      <w:bookmarkEnd w:id="84"/>
      <w:bookmarkEnd w:id="85"/>
      <w:bookmarkEnd w:id="86"/>
      <w:bookmarkEnd w:id="87"/>
      <w:bookmarkEnd w:id="88"/>
    </w:p>
    <w:p w14:paraId="069E179C" w14:textId="77777777" w:rsidR="00F846AD" w:rsidRPr="001A1836" w:rsidRDefault="00B57322">
      <w:pPr>
        <w:pStyle w:val="GSRL4numberedclause"/>
        <w:spacing w:line="276" w:lineRule="auto"/>
      </w:pPr>
      <w:r w:rsidRPr="001A1836">
        <w:t xml:space="preserve">The </w:t>
      </w:r>
      <w:r w:rsidR="0086594C" w:rsidRPr="001A1836">
        <w:t>Provider</w:t>
      </w:r>
      <w:r w:rsidRPr="001A1836">
        <w:t xml:space="preserve"> </w:t>
      </w:r>
      <w:r w:rsidR="000F7CE8" w:rsidRPr="001A1836">
        <w:t>shall</w:t>
      </w:r>
      <w:r w:rsidRPr="001A1836">
        <w:t xml:space="preserve"> e</w:t>
      </w:r>
      <w:r w:rsidR="00851E46" w:rsidRPr="001A1836">
        <w:t xml:space="preserve">nsure all </w:t>
      </w:r>
      <w:r w:rsidR="0081042E" w:rsidRPr="001A1836">
        <w:t>R</w:t>
      </w:r>
      <w:r w:rsidR="00851E46" w:rsidRPr="001A1836">
        <w:t xml:space="preserve">egistered </w:t>
      </w:r>
      <w:r w:rsidR="0081042E" w:rsidRPr="001A1836">
        <w:t>B</w:t>
      </w:r>
      <w:r w:rsidR="00851E46" w:rsidRPr="001A1836">
        <w:t xml:space="preserve">usinesses and </w:t>
      </w:r>
      <w:r w:rsidR="0081042E" w:rsidRPr="001A1836">
        <w:t>E</w:t>
      </w:r>
      <w:r w:rsidR="00851E46" w:rsidRPr="001A1836">
        <w:t xml:space="preserve">ngineers are reminded </w:t>
      </w:r>
      <w:r w:rsidR="00C82E3B" w:rsidRPr="001A1836">
        <w:t xml:space="preserve">that they need to renew their registration </w:t>
      </w:r>
      <w:r w:rsidR="000F7CE8" w:rsidRPr="001A1836">
        <w:t>one</w:t>
      </w:r>
      <w:r w:rsidR="00851E46" w:rsidRPr="001A1836">
        <w:t xml:space="preserve"> month prior to their </w:t>
      </w:r>
      <w:r w:rsidR="009A2D01" w:rsidRPr="001A1836">
        <w:t xml:space="preserve">annual </w:t>
      </w:r>
      <w:r w:rsidR="00851E46" w:rsidRPr="001A1836">
        <w:t xml:space="preserve">renewal date </w:t>
      </w:r>
      <w:r w:rsidR="000F7CE8" w:rsidRPr="001A1836">
        <w:t xml:space="preserve">and shall send the information required for renewal </w:t>
      </w:r>
      <w:r w:rsidR="00851E46" w:rsidRPr="001A1836">
        <w:t xml:space="preserve">through </w:t>
      </w:r>
      <w:r w:rsidR="00C82E3B" w:rsidRPr="001A1836">
        <w:t>a</w:t>
      </w:r>
      <w:r w:rsidR="000F7CE8" w:rsidRPr="001A1836">
        <w:t>n a</w:t>
      </w:r>
      <w:r w:rsidR="00C82E3B" w:rsidRPr="001A1836">
        <w:t xml:space="preserve">ppropriate </w:t>
      </w:r>
      <w:r w:rsidR="000F7CE8" w:rsidRPr="001A1836">
        <w:t>communication channel</w:t>
      </w:r>
      <w:r w:rsidR="00C82E3B" w:rsidRPr="001A1836">
        <w:t>,</w:t>
      </w:r>
      <w:r w:rsidR="00851E46" w:rsidRPr="001A1836">
        <w:t xml:space="preserve"> including letter, email and SMS message</w:t>
      </w:r>
      <w:r w:rsidR="009A2D01" w:rsidRPr="001A1836">
        <w:t>.</w:t>
      </w:r>
      <w:r w:rsidR="0061052F" w:rsidRPr="001A1836">
        <w:t xml:space="preserve"> </w:t>
      </w:r>
    </w:p>
    <w:p w14:paraId="069E179D" w14:textId="77777777" w:rsidR="00F846AD" w:rsidRPr="001A1836" w:rsidRDefault="00193866">
      <w:pPr>
        <w:pStyle w:val="GSRL4numberedclause"/>
        <w:spacing w:line="276" w:lineRule="auto"/>
      </w:pPr>
      <w:r w:rsidRPr="001A1836">
        <w:t xml:space="preserve">If a registration has not been renewed a week before the renewal date, </w:t>
      </w:r>
      <w:r w:rsidR="000F7CE8" w:rsidRPr="001A1836">
        <w:t>the Provider sha</w:t>
      </w:r>
      <w:r w:rsidR="00D45AAF" w:rsidRPr="001A1836">
        <w:t xml:space="preserve">ll </w:t>
      </w:r>
      <w:r w:rsidRPr="001A1836">
        <w:t>send further re</w:t>
      </w:r>
      <w:r w:rsidR="000F7CE8" w:rsidRPr="001A1836">
        <w:t>minder through the same channel</w:t>
      </w:r>
      <w:r w:rsidRPr="001A1836">
        <w:t>.</w:t>
      </w:r>
    </w:p>
    <w:p w14:paraId="069E179E" w14:textId="77777777" w:rsidR="00F846AD" w:rsidRPr="001A1836" w:rsidRDefault="0046120F">
      <w:pPr>
        <w:pStyle w:val="GSRL4numberedclause"/>
        <w:spacing w:line="276" w:lineRule="auto"/>
      </w:pPr>
      <w:r w:rsidRPr="001A1836">
        <w:t xml:space="preserve">Before renewing, </w:t>
      </w:r>
      <w:r w:rsidR="00D45AAF" w:rsidRPr="001A1836">
        <w:t xml:space="preserve">the Provider </w:t>
      </w:r>
      <w:r w:rsidR="00D72A1D" w:rsidRPr="001A1836">
        <w:t xml:space="preserve">shall </w:t>
      </w:r>
      <w:r w:rsidRPr="001A1836">
        <w:t xml:space="preserve">check that all </w:t>
      </w:r>
      <w:r w:rsidR="00D56CB8" w:rsidRPr="001A1836">
        <w:t xml:space="preserve">the </w:t>
      </w:r>
      <w:r w:rsidRPr="001A1836">
        <w:t>qualifications</w:t>
      </w:r>
      <w:r w:rsidR="00D56CB8" w:rsidRPr="001A1836">
        <w:t xml:space="preserve"> of the </w:t>
      </w:r>
      <w:r w:rsidR="0081042E" w:rsidRPr="001A1836">
        <w:t>E</w:t>
      </w:r>
      <w:r w:rsidR="00D56CB8" w:rsidRPr="001A1836">
        <w:t>ngineer in question</w:t>
      </w:r>
      <w:r w:rsidRPr="001A1836">
        <w:t xml:space="preserve"> remain valid</w:t>
      </w:r>
      <w:r w:rsidR="00DD2C99" w:rsidRPr="001A1836">
        <w:t>.</w:t>
      </w:r>
    </w:p>
    <w:p w14:paraId="069E179F" w14:textId="77777777" w:rsidR="00F846AD" w:rsidRPr="001A1836" w:rsidRDefault="000F7CE8">
      <w:pPr>
        <w:pStyle w:val="GSRL4numberedclause"/>
        <w:spacing w:line="276" w:lineRule="auto"/>
      </w:pPr>
      <w:r w:rsidRPr="001A1836">
        <w:t xml:space="preserve">If </w:t>
      </w:r>
      <w:r w:rsidR="0061052F" w:rsidRPr="001A1836">
        <w:t xml:space="preserve">a </w:t>
      </w:r>
      <w:r w:rsidR="0081042E" w:rsidRPr="001A1836">
        <w:t>B</w:t>
      </w:r>
      <w:r w:rsidR="0061052F" w:rsidRPr="001A1836">
        <w:t xml:space="preserve">usiness or </w:t>
      </w:r>
      <w:r w:rsidR="0081042E" w:rsidRPr="001A1836">
        <w:t>E</w:t>
      </w:r>
      <w:r w:rsidR="0061052F" w:rsidRPr="001A1836">
        <w:t>ngineer fails to renew,</w:t>
      </w:r>
      <w:r w:rsidR="00D45AAF" w:rsidRPr="001A1836">
        <w:t xml:space="preserve"> the Provider </w:t>
      </w:r>
      <w:r w:rsidR="00D72A1D" w:rsidRPr="001A1836">
        <w:t xml:space="preserve">shall </w:t>
      </w:r>
      <w:r w:rsidR="0061052F" w:rsidRPr="001A1836">
        <w:t xml:space="preserve">issue a letter, email and SMS message informing </w:t>
      </w:r>
      <w:r w:rsidRPr="001A1836">
        <w:t>that if they continue to undertake Gas Work</w:t>
      </w:r>
      <w:r w:rsidR="0061052F" w:rsidRPr="001A1836">
        <w:t xml:space="preserve"> they will be doing so illegally. </w:t>
      </w:r>
    </w:p>
    <w:p w14:paraId="069E17A0" w14:textId="77777777" w:rsidR="00AA6808" w:rsidRPr="001A1836" w:rsidRDefault="0083302C">
      <w:pPr>
        <w:pStyle w:val="GSRL4numberedclause"/>
        <w:spacing w:line="276" w:lineRule="auto"/>
      </w:pPr>
      <w:r w:rsidRPr="001A1836">
        <w:t xml:space="preserve">Registered </w:t>
      </w:r>
      <w:r w:rsidR="0081042E" w:rsidRPr="001A1836">
        <w:t>E</w:t>
      </w:r>
      <w:r w:rsidRPr="001A1836">
        <w:t xml:space="preserve">ngineers and </w:t>
      </w:r>
      <w:r w:rsidR="0081042E" w:rsidRPr="001A1836">
        <w:t>B</w:t>
      </w:r>
      <w:r w:rsidRPr="001A1836">
        <w:t xml:space="preserve">usinesses shall </w:t>
      </w:r>
      <w:r w:rsidR="001A0AEE" w:rsidRPr="001A1836">
        <w:t xml:space="preserve">be allowed to change information </w:t>
      </w:r>
      <w:r w:rsidR="000F7CE8" w:rsidRPr="001A1836">
        <w:t>on the R</w:t>
      </w:r>
      <w:r w:rsidRPr="001A1836">
        <w:t xml:space="preserve">egister </w:t>
      </w:r>
      <w:r w:rsidR="000F7CE8" w:rsidRPr="001A1836">
        <w:t>relat</w:t>
      </w:r>
      <w:r w:rsidR="001A0AEE" w:rsidRPr="001A1836">
        <w:t>ing</w:t>
      </w:r>
      <w:r w:rsidR="000F7CE8" w:rsidRPr="001A1836">
        <w:t xml:space="preserve"> to contact details and</w:t>
      </w:r>
      <w:r w:rsidR="00834AAB" w:rsidRPr="001A1836">
        <w:t xml:space="preserve"> responsible person</w:t>
      </w:r>
      <w:r w:rsidR="00007AA9" w:rsidRPr="001A1836">
        <w:t>.</w:t>
      </w:r>
    </w:p>
    <w:p w14:paraId="069E17A1" w14:textId="77777777" w:rsidR="003E1128" w:rsidRPr="001A1836" w:rsidRDefault="003E1128" w:rsidP="00A20731">
      <w:pPr>
        <w:rPr>
          <w:b/>
          <w:i/>
        </w:rPr>
      </w:pPr>
      <w:bookmarkStart w:id="89" w:name="_Toc501354434"/>
      <w:bookmarkStart w:id="90" w:name="_Toc521326935"/>
      <w:bookmarkStart w:id="91" w:name="_Toc521484689"/>
      <w:bookmarkStart w:id="92" w:name="_Toc521485020"/>
      <w:bookmarkStart w:id="93" w:name="_Toc521496192"/>
      <w:r w:rsidRPr="001A1836">
        <w:rPr>
          <w:b/>
          <w:i/>
        </w:rPr>
        <w:lastRenderedPageBreak/>
        <w:t>Removals</w:t>
      </w:r>
      <w:bookmarkEnd w:id="89"/>
      <w:bookmarkEnd w:id="90"/>
      <w:bookmarkEnd w:id="91"/>
      <w:bookmarkEnd w:id="92"/>
      <w:bookmarkEnd w:id="93"/>
    </w:p>
    <w:p w14:paraId="069E17A2" w14:textId="77777777" w:rsidR="00F846AD" w:rsidRPr="001A1836" w:rsidRDefault="00C850B5">
      <w:pPr>
        <w:pStyle w:val="GSRL4numberedclause"/>
        <w:spacing w:line="276" w:lineRule="auto"/>
      </w:pPr>
      <w:r w:rsidRPr="001A1836">
        <w:t xml:space="preserve">Registration </w:t>
      </w:r>
      <w:r w:rsidR="00117CE6" w:rsidRPr="001A1836">
        <w:t>shall</w:t>
      </w:r>
      <w:r w:rsidRPr="001A1836">
        <w:t xml:space="preserve"> cease </w:t>
      </w:r>
      <w:r w:rsidR="00A1386E" w:rsidRPr="001A1836">
        <w:t>in the event of</w:t>
      </w:r>
      <w:r w:rsidRPr="001A1836">
        <w:t>:</w:t>
      </w:r>
    </w:p>
    <w:p w14:paraId="069E17A3" w14:textId="77777777" w:rsidR="00F846AD" w:rsidRPr="001A1836" w:rsidRDefault="00DE790A">
      <w:pPr>
        <w:pStyle w:val="GSRL5numberedclause"/>
        <w:spacing w:line="276" w:lineRule="auto"/>
      </w:pPr>
      <w:r w:rsidRPr="001A1836">
        <w:t>c</w:t>
      </w:r>
      <w:r w:rsidR="000F1745" w:rsidRPr="001A1836">
        <w:t xml:space="preserve">essation of trading by a </w:t>
      </w:r>
      <w:r w:rsidR="00C4799D" w:rsidRPr="001A1836">
        <w:t>B</w:t>
      </w:r>
      <w:r w:rsidR="00117CE6" w:rsidRPr="001A1836">
        <w:t xml:space="preserve">usiness </w:t>
      </w:r>
      <w:r w:rsidR="00FE773F" w:rsidRPr="001A1836">
        <w:t xml:space="preserve">/ </w:t>
      </w:r>
      <w:r w:rsidR="00117CE6" w:rsidRPr="001A1836">
        <w:t>entry into</w:t>
      </w:r>
      <w:r w:rsidR="00FE773F" w:rsidRPr="001A1836">
        <w:t xml:space="preserve"> liquidation</w:t>
      </w:r>
      <w:r w:rsidR="00117CE6" w:rsidRPr="001A1836">
        <w:t xml:space="preserve"> or bankruptcy</w:t>
      </w:r>
      <w:r w:rsidR="000A65B7" w:rsidRPr="001A1836">
        <w:t>;</w:t>
      </w:r>
    </w:p>
    <w:p w14:paraId="069E17A4" w14:textId="77777777" w:rsidR="00F846AD" w:rsidRPr="001A1836" w:rsidRDefault="00C4799D">
      <w:pPr>
        <w:pStyle w:val="GSRL5numberedclause"/>
        <w:spacing w:line="276" w:lineRule="auto"/>
      </w:pPr>
      <w:r w:rsidRPr="001A1836">
        <w:t>B</w:t>
      </w:r>
      <w:r w:rsidR="00FE773F" w:rsidRPr="001A1836">
        <w:t xml:space="preserve">usiness / </w:t>
      </w:r>
      <w:r w:rsidRPr="001A1836">
        <w:t>E</w:t>
      </w:r>
      <w:r w:rsidR="00FE773F" w:rsidRPr="001A1836">
        <w:t>ngineer’s request</w:t>
      </w:r>
      <w:r w:rsidR="000A65B7" w:rsidRPr="001A1836">
        <w:t>;</w:t>
      </w:r>
    </w:p>
    <w:p w14:paraId="069E17A5" w14:textId="77777777" w:rsidR="00F846AD" w:rsidRPr="001A1836" w:rsidRDefault="000F1745">
      <w:pPr>
        <w:pStyle w:val="GSRL5numberedclause"/>
        <w:spacing w:line="276" w:lineRule="auto"/>
      </w:pPr>
      <w:r w:rsidRPr="001A1836">
        <w:t xml:space="preserve">retirement of </w:t>
      </w:r>
      <w:r w:rsidR="00C4799D" w:rsidRPr="001A1836">
        <w:t>E</w:t>
      </w:r>
      <w:r w:rsidR="00FE773F" w:rsidRPr="001A1836">
        <w:t>ngineer</w:t>
      </w:r>
      <w:r w:rsidR="000A65B7" w:rsidRPr="001A1836">
        <w:t>;</w:t>
      </w:r>
    </w:p>
    <w:p w14:paraId="069E17A6" w14:textId="77777777" w:rsidR="00F846AD" w:rsidRPr="001A1836" w:rsidRDefault="000A65B7">
      <w:pPr>
        <w:pStyle w:val="GSRL5numberedclause"/>
        <w:spacing w:line="276" w:lineRule="auto"/>
      </w:pPr>
      <w:r w:rsidRPr="001A1836">
        <w:t>d</w:t>
      </w:r>
      <w:r w:rsidR="00FE773F" w:rsidRPr="001A1836">
        <w:t xml:space="preserve">eath of </w:t>
      </w:r>
      <w:r w:rsidR="00C4799D" w:rsidRPr="001A1836">
        <w:t>E</w:t>
      </w:r>
      <w:r w:rsidR="00FE773F" w:rsidRPr="001A1836">
        <w:t>ngineer</w:t>
      </w:r>
      <w:r w:rsidRPr="001A1836">
        <w:t>;</w:t>
      </w:r>
    </w:p>
    <w:p w14:paraId="069E17A7" w14:textId="77777777" w:rsidR="00F846AD" w:rsidRPr="001A1836" w:rsidRDefault="000F1745">
      <w:pPr>
        <w:pStyle w:val="GSRL5numberedclause"/>
        <w:spacing w:line="276" w:lineRule="auto"/>
      </w:pPr>
      <w:r w:rsidRPr="001A1836">
        <w:t xml:space="preserve">lapse of </w:t>
      </w:r>
      <w:r w:rsidR="000A65B7" w:rsidRPr="001A1836">
        <w:t>q</w:t>
      </w:r>
      <w:r w:rsidR="00FB7BDA" w:rsidRPr="001A1836">
        <w:t>ualification</w:t>
      </w:r>
      <w:r w:rsidR="000A65B7" w:rsidRPr="001A1836">
        <w:t>;</w:t>
      </w:r>
    </w:p>
    <w:p w14:paraId="069E17A8" w14:textId="6B8C8CE9" w:rsidR="002366B7" w:rsidRPr="001A1836" w:rsidRDefault="000A65B7">
      <w:pPr>
        <w:pStyle w:val="GSRL5numberedclause"/>
        <w:spacing w:line="276" w:lineRule="auto"/>
      </w:pPr>
      <w:r w:rsidRPr="001A1836">
        <w:t>f</w:t>
      </w:r>
      <w:r w:rsidR="00973217" w:rsidRPr="001A1836">
        <w:t>ail</w:t>
      </w:r>
      <w:r w:rsidRPr="001A1836">
        <w:t>ure</w:t>
      </w:r>
      <w:r w:rsidR="00973217" w:rsidRPr="001A1836">
        <w:t xml:space="preserve"> to renew</w:t>
      </w:r>
      <w:r w:rsidR="00FB7BDA" w:rsidRPr="001A1836">
        <w:t xml:space="preserve"> registration</w:t>
      </w:r>
      <w:r w:rsidR="00430009" w:rsidRPr="001A1836">
        <w:t xml:space="preserve">; </w:t>
      </w:r>
    </w:p>
    <w:p w14:paraId="486DA03A" w14:textId="1117B974" w:rsidR="000C7F6D" w:rsidRPr="001A1836" w:rsidRDefault="0060290C">
      <w:pPr>
        <w:pStyle w:val="GSRL5numberedclause"/>
        <w:spacing w:line="276" w:lineRule="auto"/>
      </w:pPr>
      <w:r w:rsidRPr="001A1836">
        <w:t>a</w:t>
      </w:r>
      <w:r w:rsidR="002366B7" w:rsidRPr="001A1836">
        <w:t>ny other reason as instructed by HSE</w:t>
      </w:r>
      <w:r w:rsidR="00A1386E" w:rsidRPr="001A1836">
        <w:t xml:space="preserve"> from time to time in writing</w:t>
      </w:r>
      <w:r w:rsidR="000C7F6D" w:rsidRPr="001A1836">
        <w:t>; or</w:t>
      </w:r>
    </w:p>
    <w:p w14:paraId="069E17A9" w14:textId="0E841A0F" w:rsidR="00F846AD" w:rsidRPr="001A1836" w:rsidRDefault="000C7F6D">
      <w:pPr>
        <w:pStyle w:val="GSRL5numberedclause"/>
        <w:spacing w:line="276" w:lineRule="auto"/>
      </w:pPr>
      <w:r w:rsidRPr="001A1836">
        <w:t>breach of Rules of Registration</w:t>
      </w:r>
      <w:r w:rsidR="000A65B7" w:rsidRPr="001A1836">
        <w:t>.</w:t>
      </w:r>
    </w:p>
    <w:p w14:paraId="069E17AA" w14:textId="77777777" w:rsidR="00FF6724" w:rsidRPr="001A1836" w:rsidRDefault="00FF6724">
      <w:pPr>
        <w:pStyle w:val="GSRL4numberedclause"/>
        <w:spacing w:line="276" w:lineRule="auto"/>
      </w:pPr>
      <w:r w:rsidRPr="001A1836">
        <w:t>Registration may be suspended in accordance with the Sanctions Policy</w:t>
      </w:r>
      <w:r w:rsidR="00C92843" w:rsidRPr="001A1836">
        <w:t>.</w:t>
      </w:r>
    </w:p>
    <w:p w14:paraId="069E17AB" w14:textId="77777777" w:rsidR="00F846AD" w:rsidRPr="001A1836" w:rsidRDefault="003023AF">
      <w:pPr>
        <w:pStyle w:val="GSRL4numberedclause"/>
        <w:spacing w:line="276" w:lineRule="auto"/>
      </w:pPr>
      <w:r w:rsidRPr="001A1836">
        <w:t>In any</w:t>
      </w:r>
      <w:r w:rsidR="00C850B5" w:rsidRPr="001A1836">
        <w:t xml:space="preserve"> case</w:t>
      </w:r>
      <w:r w:rsidRPr="001A1836">
        <w:t xml:space="preserve"> of cessation or suspension of registration</w:t>
      </w:r>
      <w:r w:rsidR="00C850B5" w:rsidRPr="001A1836">
        <w:t xml:space="preserve">, all relevant </w:t>
      </w:r>
      <w:r w:rsidR="003E1128" w:rsidRPr="001A1836">
        <w:t xml:space="preserve">data </w:t>
      </w:r>
      <w:r w:rsidRPr="001A1836">
        <w:t>shall</w:t>
      </w:r>
      <w:r w:rsidR="00C850B5" w:rsidRPr="001A1836">
        <w:t xml:space="preserve"> be </w:t>
      </w:r>
      <w:r w:rsidR="00C82E3B" w:rsidRPr="001A1836">
        <w:t xml:space="preserve">updated </w:t>
      </w:r>
      <w:r w:rsidR="00C850B5" w:rsidRPr="001A1836">
        <w:t>on</w:t>
      </w:r>
      <w:r w:rsidR="003E1128" w:rsidRPr="001A1836">
        <w:t xml:space="preserve"> the Register</w:t>
      </w:r>
      <w:r w:rsidRPr="001A1836">
        <w:t xml:space="preserve"> by the Provider</w:t>
      </w:r>
      <w:r w:rsidR="003E1128" w:rsidRPr="001A1836">
        <w:t xml:space="preserve"> </w:t>
      </w:r>
      <w:r w:rsidRPr="001A1836">
        <w:t>immediately</w:t>
      </w:r>
      <w:r w:rsidR="00AC7320" w:rsidRPr="001A1836">
        <w:t>, including:</w:t>
      </w:r>
      <w:r w:rsidR="003E1128" w:rsidRPr="001A1836">
        <w:t xml:space="preserve"> </w:t>
      </w:r>
    </w:p>
    <w:p w14:paraId="069E17AC" w14:textId="77777777" w:rsidR="00F846AD" w:rsidRPr="001A1836" w:rsidRDefault="000A65B7">
      <w:pPr>
        <w:pStyle w:val="GSRL5numberedclause"/>
        <w:spacing w:line="276" w:lineRule="auto"/>
      </w:pPr>
      <w:r w:rsidRPr="001A1836">
        <w:t>e</w:t>
      </w:r>
      <w:r w:rsidR="00F74EE0" w:rsidRPr="001A1836">
        <w:t>nsur</w:t>
      </w:r>
      <w:r w:rsidR="00D45AAF" w:rsidRPr="001A1836">
        <w:t>ing</w:t>
      </w:r>
      <w:r w:rsidR="00F74EE0" w:rsidRPr="001A1836">
        <w:t xml:space="preserve"> any automatic renewal</w:t>
      </w:r>
      <w:r w:rsidR="00102DC5" w:rsidRPr="001A1836">
        <w:t xml:space="preserve"> </w:t>
      </w:r>
      <w:r w:rsidR="00C97EAA" w:rsidRPr="001A1836">
        <w:t>process</w:t>
      </w:r>
      <w:r w:rsidR="00F74EE0" w:rsidRPr="001A1836">
        <w:t xml:space="preserve"> is cancelled</w:t>
      </w:r>
      <w:r w:rsidR="00AC7320" w:rsidRPr="001A1836">
        <w:t>;</w:t>
      </w:r>
    </w:p>
    <w:p w14:paraId="069E17AD" w14:textId="77777777" w:rsidR="00F846AD" w:rsidRPr="001A1836" w:rsidRDefault="000A65B7">
      <w:pPr>
        <w:pStyle w:val="GSRL5numberedclause"/>
        <w:spacing w:line="276" w:lineRule="auto"/>
      </w:pPr>
      <w:r w:rsidRPr="001A1836">
        <w:t>e</w:t>
      </w:r>
      <w:r w:rsidR="00F74EE0" w:rsidRPr="001A1836">
        <w:t>nsur</w:t>
      </w:r>
      <w:r w:rsidR="00D45AAF" w:rsidRPr="001A1836">
        <w:t>ing</w:t>
      </w:r>
      <w:r w:rsidR="003023AF" w:rsidRPr="001A1836">
        <w:t xml:space="preserve"> no</w:t>
      </w:r>
      <w:r w:rsidR="00F74EE0" w:rsidRPr="001A1836">
        <w:t xml:space="preserve"> data is visible on the website but </w:t>
      </w:r>
      <w:r w:rsidR="003023AF" w:rsidRPr="001A1836">
        <w:t xml:space="preserve">is </w:t>
      </w:r>
      <w:r w:rsidR="00F74EE0" w:rsidRPr="001A1836">
        <w:t xml:space="preserve">archived on the </w:t>
      </w:r>
      <w:r w:rsidR="0086594C" w:rsidRPr="001A1836">
        <w:t>Provider</w:t>
      </w:r>
      <w:r w:rsidR="00F74EE0" w:rsidRPr="001A1836">
        <w:t>’s system (with a record of the date it was archived and the reason)</w:t>
      </w:r>
      <w:r w:rsidR="00AC7320" w:rsidRPr="001A1836">
        <w:t>;</w:t>
      </w:r>
    </w:p>
    <w:p w14:paraId="069E17AE" w14:textId="26F9DD21" w:rsidR="00F846AD" w:rsidRPr="001A1836" w:rsidRDefault="000A65B7">
      <w:pPr>
        <w:pStyle w:val="GSRL5numberedclause"/>
        <w:spacing w:line="276" w:lineRule="auto"/>
      </w:pPr>
      <w:r w:rsidRPr="001A1836">
        <w:t>e</w:t>
      </w:r>
      <w:r w:rsidR="00D45AAF" w:rsidRPr="001A1836">
        <w:t>nsuring</w:t>
      </w:r>
      <w:r w:rsidR="00F74EE0" w:rsidRPr="001A1836">
        <w:t xml:space="preserve"> there are no outstanding</w:t>
      </w:r>
      <w:r w:rsidR="00B925AB">
        <w:t xml:space="preserve"> </w:t>
      </w:r>
      <w:r w:rsidR="008C4BC2">
        <w:t>Inspections</w:t>
      </w:r>
      <w:r w:rsidR="00F74EE0" w:rsidRPr="001A1836">
        <w:t xml:space="preserve"> against that record</w:t>
      </w:r>
      <w:r w:rsidR="00102DC5" w:rsidRPr="001A1836">
        <w:t>;</w:t>
      </w:r>
    </w:p>
    <w:p w14:paraId="069E17AF" w14:textId="77777777" w:rsidR="00F846AD" w:rsidRPr="001A1836" w:rsidRDefault="000A65B7">
      <w:pPr>
        <w:pStyle w:val="GSRL5numberedclause"/>
        <w:spacing w:line="276" w:lineRule="auto"/>
      </w:pPr>
      <w:r w:rsidRPr="001A1836">
        <w:t>c</w:t>
      </w:r>
      <w:r w:rsidR="00F74EE0" w:rsidRPr="001A1836">
        <w:t>onfirm</w:t>
      </w:r>
      <w:r w:rsidR="00D45AAF" w:rsidRPr="001A1836">
        <w:t>ing</w:t>
      </w:r>
      <w:r w:rsidR="003023AF" w:rsidRPr="001A1836">
        <w:t xml:space="preserve"> to the Engineer/B</w:t>
      </w:r>
      <w:r w:rsidR="00F74EE0" w:rsidRPr="001A1836">
        <w:t>usiness that their registration(s) ha</w:t>
      </w:r>
      <w:r w:rsidR="003023AF" w:rsidRPr="001A1836">
        <w:t>s ceased or been suspended and all</w:t>
      </w:r>
      <w:r w:rsidR="00C97EAA" w:rsidRPr="001A1836">
        <w:t xml:space="preserve"> data relating to them </w:t>
      </w:r>
      <w:r w:rsidR="00F74EE0" w:rsidRPr="001A1836">
        <w:t>archived</w:t>
      </w:r>
      <w:r w:rsidR="00AC7320" w:rsidRPr="001A1836">
        <w:t>; and</w:t>
      </w:r>
    </w:p>
    <w:p w14:paraId="069E17B0" w14:textId="77777777" w:rsidR="00DE790A" w:rsidRPr="001A1836" w:rsidRDefault="000A65B7">
      <w:pPr>
        <w:pStyle w:val="GSRL5numberedclause"/>
        <w:spacing w:line="276" w:lineRule="auto"/>
      </w:pPr>
      <w:r w:rsidRPr="001A1836">
        <w:t>r</w:t>
      </w:r>
      <w:r w:rsidR="00973217" w:rsidRPr="001A1836">
        <w:t>equest</w:t>
      </w:r>
      <w:r w:rsidR="00D45AAF" w:rsidRPr="001A1836">
        <w:t>ing</w:t>
      </w:r>
      <w:r w:rsidR="003023AF" w:rsidRPr="001A1836">
        <w:t xml:space="preserve"> return of i</w:t>
      </w:r>
      <w:r w:rsidR="00084F9D" w:rsidRPr="001A1836">
        <w:t>dentity</w:t>
      </w:r>
      <w:r w:rsidR="00973217" w:rsidRPr="001A1836">
        <w:t xml:space="preserve"> card</w:t>
      </w:r>
      <w:r w:rsidR="00084F9D" w:rsidRPr="001A1836">
        <w:t>(s)</w:t>
      </w:r>
      <w:r w:rsidR="00AC7320" w:rsidRPr="001A1836">
        <w:t>.</w:t>
      </w:r>
    </w:p>
    <w:p w14:paraId="069E17B1" w14:textId="77777777" w:rsidR="00973217" w:rsidRPr="001A1836" w:rsidRDefault="00C67B39" w:rsidP="00A20731">
      <w:pPr>
        <w:rPr>
          <w:b/>
          <w:i/>
        </w:rPr>
      </w:pPr>
      <w:bookmarkStart w:id="94" w:name="_Toc501354435"/>
      <w:bookmarkStart w:id="95" w:name="_Toc507743965"/>
      <w:bookmarkStart w:id="96" w:name="_Toc521326936"/>
      <w:bookmarkStart w:id="97" w:name="_Toc521484690"/>
      <w:bookmarkStart w:id="98" w:name="_Toc521485021"/>
      <w:bookmarkStart w:id="99" w:name="_Toc521496193"/>
      <w:r w:rsidRPr="001A1836">
        <w:rPr>
          <w:b/>
          <w:i/>
        </w:rPr>
        <w:t>Payment options</w:t>
      </w:r>
      <w:bookmarkEnd w:id="94"/>
      <w:bookmarkEnd w:id="95"/>
      <w:bookmarkEnd w:id="96"/>
      <w:bookmarkEnd w:id="97"/>
      <w:bookmarkEnd w:id="98"/>
      <w:bookmarkEnd w:id="99"/>
    </w:p>
    <w:p w14:paraId="069E17B2" w14:textId="77777777" w:rsidR="008E0FD5" w:rsidRPr="001A1836" w:rsidRDefault="008E0FD5">
      <w:pPr>
        <w:pStyle w:val="GSRL4numberedclause"/>
        <w:spacing w:line="276" w:lineRule="auto"/>
      </w:pPr>
      <w:r w:rsidRPr="001A1836">
        <w:t xml:space="preserve">The </w:t>
      </w:r>
      <w:r w:rsidR="0086594C" w:rsidRPr="001A1836">
        <w:t>Provider</w:t>
      </w:r>
      <w:r w:rsidRPr="001A1836">
        <w:t xml:space="preserve"> </w:t>
      </w:r>
      <w:r w:rsidR="003404C0" w:rsidRPr="001A1836">
        <w:t>shall</w:t>
      </w:r>
      <w:r w:rsidR="0022463E" w:rsidRPr="001A1836">
        <w:t>:</w:t>
      </w:r>
    </w:p>
    <w:p w14:paraId="069E17B3" w14:textId="77777777" w:rsidR="00071C5E" w:rsidRPr="001A1836" w:rsidRDefault="000A65B7">
      <w:pPr>
        <w:pStyle w:val="GSRL5numberedclause"/>
        <w:spacing w:line="276" w:lineRule="auto"/>
      </w:pPr>
      <w:r w:rsidRPr="001A1836">
        <w:t>o</w:t>
      </w:r>
      <w:r w:rsidR="001F7B68" w:rsidRPr="001A1836">
        <w:t>ffer a range of payment channels including cheque, credit and debit card</w:t>
      </w:r>
      <w:r w:rsidR="00F31790" w:rsidRPr="001A1836">
        <w:t xml:space="preserve">, Direct </w:t>
      </w:r>
      <w:r w:rsidR="00D45AAF" w:rsidRPr="001A1836">
        <w:t>D</w:t>
      </w:r>
      <w:r w:rsidR="00F31790" w:rsidRPr="001A1836">
        <w:t xml:space="preserve">ebit, standing order, </w:t>
      </w:r>
      <w:r w:rsidR="00FC7E8D" w:rsidRPr="001A1836">
        <w:t xml:space="preserve">or </w:t>
      </w:r>
      <w:r w:rsidR="00F31790" w:rsidRPr="001A1836">
        <w:t>BACS/CHAPS</w:t>
      </w:r>
      <w:r w:rsidR="00071C5E" w:rsidRPr="001A1836">
        <w:t xml:space="preserve">; </w:t>
      </w:r>
    </w:p>
    <w:p w14:paraId="069E17B4" w14:textId="77777777" w:rsidR="00F57111" w:rsidRPr="001A1836" w:rsidRDefault="00071C5E">
      <w:pPr>
        <w:pStyle w:val="GSRL5numberedclause"/>
        <w:spacing w:line="276" w:lineRule="auto"/>
      </w:pPr>
      <w:r w:rsidRPr="001A1836">
        <w:t>e</w:t>
      </w:r>
      <w:r w:rsidR="00973217" w:rsidRPr="001A1836">
        <w:t xml:space="preserve">nsure all methods of </w:t>
      </w:r>
      <w:r w:rsidR="001F7B68" w:rsidRPr="001A1836">
        <w:t xml:space="preserve">card </w:t>
      </w:r>
      <w:r w:rsidR="00973217" w:rsidRPr="001A1836">
        <w:t>payment are Payment Card Industr</w:t>
      </w:r>
      <w:r w:rsidR="001F7B68" w:rsidRPr="001A1836">
        <w:t>y (PCI) compliant</w:t>
      </w:r>
      <w:r w:rsidR="000A65B7" w:rsidRPr="001A1836">
        <w:t>;</w:t>
      </w:r>
    </w:p>
    <w:p w14:paraId="069E17B5" w14:textId="77777777" w:rsidR="00F57111" w:rsidRPr="001A1836" w:rsidRDefault="000A65B7">
      <w:pPr>
        <w:pStyle w:val="GSRL5numberedclause"/>
        <w:spacing w:line="276" w:lineRule="auto"/>
      </w:pPr>
      <w:r w:rsidRPr="001A1836">
        <w:t>e</w:t>
      </w:r>
      <w:r w:rsidR="00973217" w:rsidRPr="001A1836">
        <w:t xml:space="preserve">nsure </w:t>
      </w:r>
      <w:r w:rsidR="00071C5E" w:rsidRPr="001A1836">
        <w:t>that a Direct Debit o</w:t>
      </w:r>
      <w:r w:rsidR="00973217" w:rsidRPr="001A1836">
        <w:t xml:space="preserve">ption is available </w:t>
      </w:r>
      <w:r w:rsidR="00071C5E" w:rsidRPr="001A1836">
        <w:t>for renewal and monthly registration payments</w:t>
      </w:r>
      <w:r w:rsidRPr="001A1836">
        <w:t>;</w:t>
      </w:r>
      <w:r w:rsidR="00071C5E" w:rsidRPr="001A1836">
        <w:t xml:space="preserve"> and</w:t>
      </w:r>
    </w:p>
    <w:p w14:paraId="069E17B6" w14:textId="77777777" w:rsidR="009F2E2A" w:rsidRPr="001A1836" w:rsidRDefault="000A65B7">
      <w:pPr>
        <w:pStyle w:val="GSRL5numberedclause"/>
        <w:spacing w:line="276" w:lineRule="auto"/>
      </w:pPr>
      <w:r w:rsidRPr="001A1836">
        <w:t>process refunds</w:t>
      </w:r>
      <w:r w:rsidR="008F09BA" w:rsidRPr="001A1836">
        <w:t xml:space="preserve"> in line with the Refunds Policy</w:t>
      </w:r>
      <w:r w:rsidRPr="001A1836">
        <w:t xml:space="preserve">. </w:t>
      </w:r>
    </w:p>
    <w:p w14:paraId="069E17B7" w14:textId="77777777" w:rsidR="00564D8F" w:rsidRPr="001A1836" w:rsidRDefault="00564D8F" w:rsidP="00A20731">
      <w:pPr>
        <w:rPr>
          <w:b/>
          <w:i/>
        </w:rPr>
      </w:pPr>
      <w:bookmarkStart w:id="100" w:name="_Toc501354436"/>
      <w:bookmarkStart w:id="101" w:name="_Toc507743966"/>
      <w:bookmarkStart w:id="102" w:name="_Toc521326937"/>
      <w:bookmarkStart w:id="103" w:name="_Toc521484691"/>
      <w:bookmarkStart w:id="104" w:name="_Toc521485022"/>
      <w:bookmarkStart w:id="105" w:name="_Toc521496194"/>
      <w:r w:rsidRPr="001A1836">
        <w:rPr>
          <w:b/>
          <w:i/>
        </w:rPr>
        <w:t>Identity cards</w:t>
      </w:r>
      <w:bookmarkEnd w:id="100"/>
      <w:bookmarkEnd w:id="101"/>
      <w:bookmarkEnd w:id="102"/>
      <w:bookmarkEnd w:id="103"/>
      <w:bookmarkEnd w:id="104"/>
      <w:bookmarkEnd w:id="105"/>
    </w:p>
    <w:p w14:paraId="23CAEA16" w14:textId="77777777" w:rsidR="007C07DC" w:rsidRPr="001A1836" w:rsidRDefault="00BE6DC6">
      <w:pPr>
        <w:pStyle w:val="GSRL4numberedclause"/>
        <w:spacing w:line="276" w:lineRule="auto"/>
      </w:pPr>
      <w:r w:rsidRPr="001A1836">
        <w:t xml:space="preserve">The </w:t>
      </w:r>
      <w:r w:rsidR="0086594C" w:rsidRPr="001A1836">
        <w:t>Provider</w:t>
      </w:r>
      <w:r w:rsidRPr="001A1836">
        <w:t xml:space="preserve"> </w:t>
      </w:r>
      <w:r w:rsidR="00351522" w:rsidRPr="001A1836">
        <w:t>shall issue</w:t>
      </w:r>
      <w:r w:rsidR="00DD2C99" w:rsidRPr="001A1836">
        <w:t xml:space="preserve"> </w:t>
      </w:r>
      <w:r w:rsidR="00D45AAF" w:rsidRPr="001A1836">
        <w:t xml:space="preserve">an identity card to </w:t>
      </w:r>
      <w:r w:rsidR="00DD2C99" w:rsidRPr="001A1836">
        <w:t xml:space="preserve">each </w:t>
      </w:r>
      <w:r w:rsidR="007430E2" w:rsidRPr="001A1836">
        <w:t>R</w:t>
      </w:r>
      <w:r w:rsidR="00564D8F" w:rsidRPr="001A1836">
        <w:t xml:space="preserve">egistered </w:t>
      </w:r>
      <w:r w:rsidR="00351522" w:rsidRPr="001A1836">
        <w:t>B</w:t>
      </w:r>
      <w:r w:rsidR="00564D8F" w:rsidRPr="001A1836">
        <w:t>usiness</w:t>
      </w:r>
      <w:r w:rsidRPr="001A1836">
        <w:t xml:space="preserve"> </w:t>
      </w:r>
      <w:r w:rsidR="00FC7E8D" w:rsidRPr="001A1836">
        <w:t xml:space="preserve">or </w:t>
      </w:r>
      <w:r w:rsidR="00351522" w:rsidRPr="001A1836">
        <w:t>E</w:t>
      </w:r>
      <w:r w:rsidR="00420C23" w:rsidRPr="001A1836">
        <w:t>ngineer</w:t>
      </w:r>
      <w:r w:rsidRPr="001A1836">
        <w:t>.</w:t>
      </w:r>
      <w:r w:rsidR="00973217" w:rsidRPr="001A1836">
        <w:t xml:space="preserve"> Cards </w:t>
      </w:r>
      <w:r w:rsidR="0023100A" w:rsidRPr="001A1836">
        <w:t xml:space="preserve">shall </w:t>
      </w:r>
      <w:r w:rsidR="00973217" w:rsidRPr="001A1836">
        <w:t>be issued wit</w:t>
      </w:r>
      <w:r w:rsidR="00351522" w:rsidRPr="001A1836">
        <w:t>hin</w:t>
      </w:r>
      <w:r w:rsidR="007C07DC" w:rsidRPr="001A1836">
        <w:t>:</w:t>
      </w:r>
      <w:r w:rsidR="00351522" w:rsidRPr="001A1836">
        <w:t xml:space="preserve"> </w:t>
      </w:r>
    </w:p>
    <w:p w14:paraId="3ECE7136" w14:textId="0FA18B8E" w:rsidR="007C07DC" w:rsidRPr="001A1836" w:rsidRDefault="00351522">
      <w:pPr>
        <w:pStyle w:val="GSRL5numberedclause"/>
      </w:pPr>
      <w:r w:rsidRPr="001A1836">
        <w:t xml:space="preserve">five </w:t>
      </w:r>
      <w:r w:rsidR="007C07DC" w:rsidRPr="001A1836">
        <w:t>(5) W</w:t>
      </w:r>
      <w:r w:rsidRPr="001A1836">
        <w:t xml:space="preserve">orking </w:t>
      </w:r>
      <w:r w:rsidR="007C07DC" w:rsidRPr="001A1836">
        <w:t>D</w:t>
      </w:r>
      <w:r w:rsidRPr="001A1836">
        <w:t>ays</w:t>
      </w:r>
      <w:r w:rsidR="007C07DC" w:rsidRPr="001A1836">
        <w:t xml:space="preserve"> during April to January inclusive;</w:t>
      </w:r>
      <w:r w:rsidRPr="001A1836">
        <w:t xml:space="preserve"> </w:t>
      </w:r>
      <w:r w:rsidR="007C07DC" w:rsidRPr="001A1836">
        <w:t>or</w:t>
      </w:r>
    </w:p>
    <w:p w14:paraId="34015440" w14:textId="57FD4F59" w:rsidR="007C07DC" w:rsidRPr="001A1836" w:rsidRDefault="007C07DC">
      <w:pPr>
        <w:pStyle w:val="GSRL5numberedclause"/>
      </w:pPr>
      <w:r w:rsidRPr="001A1836">
        <w:t>ten (10) Working Days during February and March;</w:t>
      </w:r>
    </w:p>
    <w:p w14:paraId="069E17B8" w14:textId="6C98910B" w:rsidR="00F57111" w:rsidRPr="001A1836" w:rsidRDefault="00351522" w:rsidP="007A3DE3">
      <w:pPr>
        <w:pStyle w:val="GSRL5numberedclause"/>
        <w:numPr>
          <w:ilvl w:val="2"/>
          <w:numId w:val="0"/>
        </w:numPr>
        <w:ind w:left="720"/>
      </w:pPr>
      <w:r w:rsidRPr="001A1836">
        <w:t>of completion</w:t>
      </w:r>
      <w:r w:rsidR="00973217" w:rsidRPr="001A1836">
        <w:t xml:space="preserve"> of </w:t>
      </w:r>
      <w:r w:rsidR="008F09BA" w:rsidRPr="001A1836">
        <w:t xml:space="preserve">registration or </w:t>
      </w:r>
      <w:r w:rsidRPr="001A1836">
        <w:t xml:space="preserve">receipt of valid </w:t>
      </w:r>
      <w:r w:rsidR="008F09BA" w:rsidRPr="001A1836">
        <w:t xml:space="preserve">renewal </w:t>
      </w:r>
      <w:r w:rsidR="00973217" w:rsidRPr="001A1836">
        <w:t>applications.</w:t>
      </w:r>
    </w:p>
    <w:p w14:paraId="069E17B9" w14:textId="77777777" w:rsidR="00F57111" w:rsidRPr="001A1836" w:rsidRDefault="00BE6DC6">
      <w:pPr>
        <w:pStyle w:val="GSRL4numberedclause"/>
        <w:spacing w:line="276" w:lineRule="auto"/>
      </w:pPr>
      <w:r w:rsidRPr="001A1836">
        <w:lastRenderedPageBreak/>
        <w:t xml:space="preserve">The </w:t>
      </w:r>
      <w:r w:rsidR="0086594C" w:rsidRPr="001A1836">
        <w:t>Provider</w:t>
      </w:r>
      <w:r w:rsidRPr="001A1836">
        <w:t xml:space="preserve"> </w:t>
      </w:r>
      <w:r w:rsidR="00EA6F6B" w:rsidRPr="001A1836">
        <w:t xml:space="preserve">shall </w:t>
      </w:r>
      <w:r w:rsidR="00564D8F" w:rsidRPr="001A1836">
        <w:t>ensure all identity cards accurately reflect th</w:t>
      </w:r>
      <w:r w:rsidR="00DD2C99" w:rsidRPr="001A1836">
        <w:t xml:space="preserve">e information relating to that </w:t>
      </w:r>
      <w:r w:rsidR="00351522" w:rsidRPr="001A1836">
        <w:t>B</w:t>
      </w:r>
      <w:r w:rsidR="00564D8F" w:rsidRPr="001A1836">
        <w:t xml:space="preserve">usiness or </w:t>
      </w:r>
      <w:r w:rsidR="00351522" w:rsidRPr="001A1836">
        <w:t>Engineer contained on the Register.</w:t>
      </w:r>
    </w:p>
    <w:p w14:paraId="069E17BA" w14:textId="29426A28" w:rsidR="00F57111" w:rsidRPr="001A1836" w:rsidRDefault="00564D8F">
      <w:pPr>
        <w:pStyle w:val="GSRL4numberedclause"/>
        <w:spacing w:line="276" w:lineRule="auto"/>
      </w:pPr>
      <w:r w:rsidRPr="001A1836">
        <w:t xml:space="preserve">The identity cards shall contain sufficient </w:t>
      </w:r>
      <w:r w:rsidR="00351522" w:rsidRPr="001A1836">
        <w:t xml:space="preserve">clear </w:t>
      </w:r>
      <w:r w:rsidRPr="001A1836">
        <w:t>inform</w:t>
      </w:r>
      <w:r w:rsidR="00AA1128" w:rsidRPr="001A1836">
        <w:t xml:space="preserve">ation for </w:t>
      </w:r>
      <w:r w:rsidR="005F7A5D" w:rsidRPr="001A1836">
        <w:t>Consumers</w:t>
      </w:r>
      <w:r w:rsidRPr="001A1836">
        <w:t xml:space="preserve"> to identify easily that the </w:t>
      </w:r>
      <w:r w:rsidR="008F09BA" w:rsidRPr="001A1836">
        <w:t>R</w:t>
      </w:r>
      <w:r w:rsidRPr="001A1836">
        <w:t xml:space="preserve">egistered </w:t>
      </w:r>
      <w:r w:rsidR="008F09BA" w:rsidRPr="001A1836">
        <w:t>B</w:t>
      </w:r>
      <w:r w:rsidRPr="001A1836">
        <w:t xml:space="preserve">usiness or </w:t>
      </w:r>
      <w:r w:rsidR="008F09BA" w:rsidRPr="001A1836">
        <w:t>E</w:t>
      </w:r>
      <w:r w:rsidR="00AA1128" w:rsidRPr="001A1836">
        <w:t xml:space="preserve">ngineer is competent to carry out </w:t>
      </w:r>
      <w:r w:rsidR="007430E2" w:rsidRPr="001A1836">
        <w:t>G</w:t>
      </w:r>
      <w:r w:rsidR="00AA1128" w:rsidRPr="001A1836">
        <w:t xml:space="preserve">as </w:t>
      </w:r>
      <w:r w:rsidR="007430E2" w:rsidRPr="001A1836">
        <w:t>W</w:t>
      </w:r>
      <w:r w:rsidRPr="001A1836">
        <w:t>o</w:t>
      </w:r>
      <w:r w:rsidR="00AA1128" w:rsidRPr="001A1836">
        <w:t>rk of the type required by the c</w:t>
      </w:r>
      <w:r w:rsidRPr="001A1836">
        <w:t>onsumer.</w:t>
      </w:r>
      <w:r w:rsidR="007D6B1C" w:rsidRPr="001A1836">
        <w:t xml:space="preserve"> It shall include:</w:t>
      </w:r>
      <w:r w:rsidRPr="001A1836">
        <w:t xml:space="preserve"> </w:t>
      </w:r>
    </w:p>
    <w:p w14:paraId="069E17BB" w14:textId="64BB54D0" w:rsidR="00340AA2" w:rsidRPr="001A1836" w:rsidRDefault="00340AA2">
      <w:pPr>
        <w:pStyle w:val="GSRL5numberedclause"/>
      </w:pPr>
      <w:r w:rsidRPr="001A1836">
        <w:t>details of the Registered Business</w:t>
      </w:r>
      <w:r w:rsidR="007C07DC" w:rsidRPr="001A1836">
        <w:t>;</w:t>
      </w:r>
    </w:p>
    <w:p w14:paraId="069E17BC" w14:textId="01B19F5C" w:rsidR="00340AA2" w:rsidRPr="001A1836" w:rsidRDefault="00340AA2">
      <w:pPr>
        <w:pStyle w:val="GSRL5numberedclause"/>
      </w:pPr>
      <w:r w:rsidRPr="001A1836">
        <w:t>photograph of the Engineer</w:t>
      </w:r>
      <w:r w:rsidR="007C07DC" w:rsidRPr="001A1836">
        <w:t>;</w:t>
      </w:r>
    </w:p>
    <w:p w14:paraId="069E17BD" w14:textId="163B4033" w:rsidR="00340AA2" w:rsidRPr="001A1836" w:rsidRDefault="00340AA2">
      <w:pPr>
        <w:pStyle w:val="GSRL5numberedclause"/>
      </w:pPr>
      <w:r w:rsidRPr="001A1836">
        <w:t>identity details</w:t>
      </w:r>
      <w:r w:rsidR="007C07DC" w:rsidRPr="001A1836">
        <w:t>;</w:t>
      </w:r>
    </w:p>
    <w:p w14:paraId="069E17BE" w14:textId="7A1AABB5" w:rsidR="00340AA2" w:rsidRPr="001A1836" w:rsidRDefault="00340AA2">
      <w:pPr>
        <w:pStyle w:val="GSRL5numberedclause"/>
      </w:pPr>
      <w:r w:rsidRPr="001A1836">
        <w:t>categories of Gas Work the Engineer is qualified to work on</w:t>
      </w:r>
      <w:r w:rsidR="007C07DC" w:rsidRPr="001A1836">
        <w:t>;</w:t>
      </w:r>
    </w:p>
    <w:p w14:paraId="069E17BF" w14:textId="2BD9FC93" w:rsidR="00340AA2" w:rsidRPr="001A1836" w:rsidRDefault="00340AA2">
      <w:pPr>
        <w:pStyle w:val="GSRL5numberedclause"/>
      </w:pPr>
      <w:r w:rsidRPr="001A1836">
        <w:t>expiry dates of qualifications and registration</w:t>
      </w:r>
      <w:r w:rsidR="007C07DC" w:rsidRPr="001A1836">
        <w:t>.</w:t>
      </w:r>
    </w:p>
    <w:p w14:paraId="069E17C0" w14:textId="77777777" w:rsidR="00F57111" w:rsidRPr="001A1836" w:rsidRDefault="00351522">
      <w:pPr>
        <w:pStyle w:val="GSRL4numberedclause"/>
        <w:spacing w:line="276" w:lineRule="auto"/>
      </w:pPr>
      <w:r w:rsidRPr="001A1836">
        <w:t>Identity cards sha</w:t>
      </w:r>
      <w:r w:rsidR="00564D8F" w:rsidRPr="001A1836">
        <w:t xml:space="preserve">ll be issued to the registered </w:t>
      </w:r>
      <w:r w:rsidR="00C552B3" w:rsidRPr="001A1836">
        <w:t xml:space="preserve">business </w:t>
      </w:r>
      <w:r w:rsidR="00564D8F" w:rsidRPr="001A1836">
        <w:t xml:space="preserve">address of the </w:t>
      </w:r>
      <w:r w:rsidRPr="001A1836">
        <w:t>B</w:t>
      </w:r>
      <w:r w:rsidR="00564D8F" w:rsidRPr="001A1836">
        <w:t>usines</w:t>
      </w:r>
      <w:r w:rsidR="00D509F7" w:rsidRPr="001A1836">
        <w:t>s</w:t>
      </w:r>
      <w:r w:rsidRPr="001A1836">
        <w:t xml:space="preserve"> or E</w:t>
      </w:r>
      <w:r w:rsidR="00C552B3" w:rsidRPr="001A1836">
        <w:t>ngineer</w:t>
      </w:r>
      <w:r w:rsidR="00D509F7" w:rsidRPr="001A1836">
        <w:t xml:space="preserve"> unless otherwise arranged</w:t>
      </w:r>
      <w:r w:rsidR="00564D8F" w:rsidRPr="001A1836">
        <w:t>.</w:t>
      </w:r>
    </w:p>
    <w:p w14:paraId="069E17C1" w14:textId="50828FB6" w:rsidR="00F57111" w:rsidRPr="001A1836" w:rsidRDefault="00AB3500">
      <w:pPr>
        <w:pStyle w:val="GSRL4numberedclause"/>
        <w:spacing w:line="276" w:lineRule="auto"/>
      </w:pPr>
      <w:r w:rsidRPr="001A1836">
        <w:t xml:space="preserve">Where the </w:t>
      </w:r>
      <w:r w:rsidR="0086594C" w:rsidRPr="001A1836">
        <w:t>Provider</w:t>
      </w:r>
      <w:r w:rsidR="00564D8F" w:rsidRPr="001A1836">
        <w:t xml:space="preserve"> is informed </w:t>
      </w:r>
      <w:r w:rsidR="007A04C9" w:rsidRPr="001A1836">
        <w:t>that the d</w:t>
      </w:r>
      <w:r w:rsidR="00351522" w:rsidRPr="001A1836">
        <w:t xml:space="preserve">etails concerning a </w:t>
      </w:r>
      <w:r w:rsidR="009F22D1" w:rsidRPr="001A1836">
        <w:t>R</w:t>
      </w:r>
      <w:r w:rsidR="00351522" w:rsidRPr="001A1836">
        <w:t>egistered B</w:t>
      </w:r>
      <w:r w:rsidR="00564D8F" w:rsidRPr="001A1836">
        <w:t xml:space="preserve">usiness or </w:t>
      </w:r>
      <w:r w:rsidR="00351522" w:rsidRPr="001A1836">
        <w:t>E</w:t>
      </w:r>
      <w:r w:rsidR="00AA1128" w:rsidRPr="001A1836">
        <w:t>ngineer</w:t>
      </w:r>
      <w:r w:rsidR="00564D8F" w:rsidRPr="001A1836">
        <w:t xml:space="preserve"> have changed, it </w:t>
      </w:r>
      <w:r w:rsidR="002C6D44" w:rsidRPr="001A1836">
        <w:t>shall reissue the card</w:t>
      </w:r>
      <w:r w:rsidR="00981393" w:rsidRPr="001A1836">
        <w:t>,</w:t>
      </w:r>
      <w:r w:rsidR="00E31D31" w:rsidRPr="001A1836">
        <w:t xml:space="preserve"> </w:t>
      </w:r>
      <w:r w:rsidR="00981393" w:rsidRPr="001A1836">
        <w:t>in accordance with the timeframes set out in Service Level SL17</w:t>
      </w:r>
      <w:r w:rsidR="002C6D44" w:rsidRPr="001A1836">
        <w:t xml:space="preserve"> </w:t>
      </w:r>
      <w:r w:rsidR="00981393" w:rsidRPr="001A1836">
        <w:t xml:space="preserve">in Schedule 3 </w:t>
      </w:r>
      <w:r w:rsidR="00356284">
        <w:t>(</w:t>
      </w:r>
      <w:r w:rsidR="00981393" w:rsidRPr="001A1836">
        <w:t>Service Levels</w:t>
      </w:r>
      <w:r w:rsidR="00356284">
        <w:t>)</w:t>
      </w:r>
      <w:r w:rsidR="00981393" w:rsidRPr="001A1836">
        <w:t xml:space="preserve">, </w:t>
      </w:r>
      <w:r w:rsidR="002C6D44" w:rsidRPr="001A1836">
        <w:t>with</w:t>
      </w:r>
      <w:r w:rsidR="00D509F7" w:rsidRPr="001A1836">
        <w:t xml:space="preserve"> the changes made and </w:t>
      </w:r>
      <w:r w:rsidR="00530149" w:rsidRPr="001A1836">
        <w:t xml:space="preserve">shall </w:t>
      </w:r>
      <w:r w:rsidR="00351522" w:rsidRPr="001A1836">
        <w:t>charge the Business or E</w:t>
      </w:r>
      <w:r w:rsidR="002C6D44" w:rsidRPr="001A1836">
        <w:t>ngineer for doing this</w:t>
      </w:r>
      <w:r w:rsidR="007A0B10" w:rsidRPr="001A1836">
        <w:t xml:space="preserve"> in accordance with</w:t>
      </w:r>
      <w:r w:rsidR="00675AD1" w:rsidRPr="001A1836">
        <w:t xml:space="preserve"> </w:t>
      </w:r>
      <w:r w:rsidR="007A0B10" w:rsidRPr="001A1836">
        <w:t>th</w:t>
      </w:r>
      <w:r w:rsidR="00530149" w:rsidRPr="001A1836">
        <w:t>e table of charges in Schedule 4 (Charges).</w:t>
      </w:r>
    </w:p>
    <w:p w14:paraId="069E17C3" w14:textId="77777777" w:rsidR="00F33074" w:rsidRPr="001A1836" w:rsidRDefault="00E068BB">
      <w:pPr>
        <w:pStyle w:val="GSRL3heading"/>
        <w:spacing w:line="276" w:lineRule="auto"/>
      </w:pPr>
      <w:bookmarkStart w:id="106" w:name="_Toc501354437"/>
      <w:bookmarkStart w:id="107" w:name="_Toc507743967"/>
      <w:bookmarkStart w:id="108" w:name="_Toc521326938"/>
      <w:bookmarkStart w:id="109" w:name="_Toc521333198"/>
      <w:bookmarkStart w:id="110" w:name="_Toc521483956"/>
      <w:bookmarkStart w:id="111" w:name="_Toc521484692"/>
      <w:bookmarkStart w:id="112" w:name="_Toc521485023"/>
      <w:bookmarkStart w:id="113" w:name="_Toc521496195"/>
      <w:bookmarkStart w:id="114" w:name="_Toc521496758"/>
      <w:bookmarkStart w:id="115" w:name="_Toc521498200"/>
      <w:bookmarkStart w:id="116" w:name="_Toc521500284"/>
      <w:bookmarkStart w:id="117" w:name="_Toc529345938"/>
      <w:bookmarkStart w:id="118" w:name="_Toc129038131"/>
      <w:bookmarkStart w:id="119" w:name="_Toc129038417"/>
      <w:bookmarkStart w:id="120" w:name="_Toc132267987"/>
      <w:bookmarkStart w:id="121" w:name="_Toc132268293"/>
      <w:bookmarkStart w:id="122" w:name="_Toc136198542"/>
      <w:bookmarkStart w:id="123" w:name="_Toc136198823"/>
      <w:bookmarkStart w:id="124" w:name="_Toc188281152"/>
      <w:r w:rsidRPr="001A1836">
        <w:t>Ch</w:t>
      </w:r>
      <w:r w:rsidR="00ED09EB" w:rsidRPr="001A1836">
        <w:t>eck the competence of engineers</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069E17C4" w14:textId="77777777" w:rsidR="00A97EC0" w:rsidRPr="001A1836" w:rsidRDefault="007C0CA3">
      <w:pPr>
        <w:pStyle w:val="GSRL4numberedclause"/>
        <w:spacing w:line="276" w:lineRule="auto"/>
      </w:pPr>
      <w:r w:rsidRPr="001A1836">
        <w:t xml:space="preserve">At the point of registration </w:t>
      </w:r>
      <w:r w:rsidR="004A7A64" w:rsidRPr="001A1836">
        <w:t>the Provider shall ensure that Engineers have the necessary Qualifications</w:t>
      </w:r>
      <w:r w:rsidR="00A97EC0" w:rsidRPr="001A1836">
        <w:t>, and that Businesses have at least o</w:t>
      </w:r>
      <w:r w:rsidR="00B279C5" w:rsidRPr="001A1836">
        <w:t>ne Engineer with the necessary Q</w:t>
      </w:r>
      <w:r w:rsidR="00A97EC0" w:rsidRPr="001A1836">
        <w:t>ualifications</w:t>
      </w:r>
      <w:r w:rsidR="004A7A64" w:rsidRPr="001A1836">
        <w:t xml:space="preserve">. </w:t>
      </w:r>
    </w:p>
    <w:p w14:paraId="069E17C5" w14:textId="6BA8D2C0" w:rsidR="00A97EC0" w:rsidRPr="001A1836" w:rsidRDefault="004A7A64">
      <w:pPr>
        <w:pStyle w:val="GSRL4numberedclause"/>
        <w:spacing w:line="276" w:lineRule="auto"/>
      </w:pPr>
      <w:r w:rsidRPr="001A1836">
        <w:t>T</w:t>
      </w:r>
      <w:r w:rsidR="007C0CA3" w:rsidRPr="001A1836">
        <w:t xml:space="preserve">hroughout the </w:t>
      </w:r>
      <w:r w:rsidR="00C3498A" w:rsidRPr="001A1836">
        <w:t>Term</w:t>
      </w:r>
      <w:r w:rsidR="007C0CA3" w:rsidRPr="001A1836">
        <w:t>, t</w:t>
      </w:r>
      <w:r w:rsidR="00E068BB" w:rsidRPr="001A1836">
        <w:t xml:space="preserve">he </w:t>
      </w:r>
      <w:r w:rsidR="0086594C" w:rsidRPr="001A1836">
        <w:t>Provider</w:t>
      </w:r>
      <w:r w:rsidR="00E068BB" w:rsidRPr="001A1836">
        <w:t xml:space="preserve"> </w:t>
      </w:r>
      <w:r w:rsidR="00DF1F7D" w:rsidRPr="001A1836">
        <w:t>shall</w:t>
      </w:r>
      <w:r w:rsidR="00C3498A" w:rsidRPr="001A1836">
        <w:t>, as part of the process for Registration and renewals,</w:t>
      </w:r>
      <w:r w:rsidR="00DF1F7D" w:rsidRPr="001A1836">
        <w:t xml:space="preserve"> </w:t>
      </w:r>
      <w:r w:rsidR="00430009" w:rsidRPr="001A1836">
        <w:t xml:space="preserve">check </w:t>
      </w:r>
      <w:r w:rsidR="0072405D" w:rsidRPr="001A1836">
        <w:t xml:space="preserve">that </w:t>
      </w:r>
      <w:r w:rsidR="008F09BA" w:rsidRPr="001A1836">
        <w:t>E</w:t>
      </w:r>
      <w:r w:rsidR="007C0CA3" w:rsidRPr="001A1836">
        <w:t xml:space="preserve">ngineers and </w:t>
      </w:r>
      <w:r w:rsidR="008F09BA" w:rsidRPr="001A1836">
        <w:t>B</w:t>
      </w:r>
      <w:r w:rsidR="007C0CA3" w:rsidRPr="001A1836">
        <w:t>usinesses</w:t>
      </w:r>
      <w:r w:rsidR="00E068BB" w:rsidRPr="001A1836">
        <w:t xml:space="preserve"> have the necessary </w:t>
      </w:r>
      <w:r w:rsidR="00A97EC0" w:rsidRPr="001A1836">
        <w:t>Q</w:t>
      </w:r>
      <w:r w:rsidR="00E068BB" w:rsidRPr="001A1836">
        <w:t xml:space="preserve">ualifications, </w:t>
      </w:r>
      <w:r w:rsidR="00C3498A" w:rsidRPr="001A1836">
        <w:t>and by means of</w:t>
      </w:r>
      <w:r w:rsidR="004B5CD9">
        <w:t xml:space="preserve"> Competency Checks </w:t>
      </w:r>
      <w:r w:rsidR="00C3498A" w:rsidRPr="001A1836">
        <w:t xml:space="preserve">shall check that Engineers and Businesses have the </w:t>
      </w:r>
      <w:r w:rsidR="00E068BB" w:rsidRPr="001A1836">
        <w:t xml:space="preserve">knowledge and practical experience to carry out, manage, direct, supervise or inspect </w:t>
      </w:r>
      <w:r w:rsidR="00430009" w:rsidRPr="001A1836">
        <w:t xml:space="preserve">relevant </w:t>
      </w:r>
      <w:r w:rsidR="00A97EC0" w:rsidRPr="001A1836">
        <w:t>G</w:t>
      </w:r>
      <w:r w:rsidR="00E068BB" w:rsidRPr="001A1836">
        <w:t xml:space="preserve">as </w:t>
      </w:r>
      <w:r w:rsidR="00A97EC0" w:rsidRPr="001A1836">
        <w:t>W</w:t>
      </w:r>
      <w:r w:rsidR="00E068BB" w:rsidRPr="001A1836">
        <w:t>ork</w:t>
      </w:r>
      <w:r w:rsidR="00E068BB" w:rsidRPr="001A1836">
        <w:rPr>
          <w:b/>
        </w:rPr>
        <w:t>.</w:t>
      </w:r>
      <w:r w:rsidR="00E068BB" w:rsidRPr="001A1836">
        <w:t xml:space="preserve"> </w:t>
      </w:r>
    </w:p>
    <w:p w14:paraId="069E17C6" w14:textId="77777777" w:rsidR="00E068BB" w:rsidRPr="001A1836" w:rsidRDefault="000E218C">
      <w:pPr>
        <w:pStyle w:val="GSRL4numberedclause"/>
        <w:spacing w:line="276" w:lineRule="auto"/>
      </w:pPr>
      <w:r w:rsidRPr="001A1836">
        <w:t xml:space="preserve">Continued </w:t>
      </w:r>
      <w:r w:rsidR="00E068BB" w:rsidRPr="001A1836">
        <w:t xml:space="preserve">registration </w:t>
      </w:r>
      <w:r w:rsidR="00DF1F7D" w:rsidRPr="001A1836">
        <w:t xml:space="preserve">shall </w:t>
      </w:r>
      <w:r w:rsidRPr="001A1836">
        <w:t xml:space="preserve">be </w:t>
      </w:r>
      <w:r w:rsidR="00E068BB" w:rsidRPr="001A1836">
        <w:t xml:space="preserve">conditional on </w:t>
      </w:r>
      <w:r w:rsidR="00A97EC0" w:rsidRPr="001A1836">
        <w:t>B</w:t>
      </w:r>
      <w:r w:rsidR="00E068BB" w:rsidRPr="001A1836">
        <w:t>usiness</w:t>
      </w:r>
      <w:r w:rsidR="00A97EC0" w:rsidRPr="001A1836">
        <w:t>es</w:t>
      </w:r>
      <w:r w:rsidR="00E068BB" w:rsidRPr="001A1836">
        <w:t xml:space="preserve"> only </w:t>
      </w:r>
      <w:r w:rsidR="003C074C" w:rsidRPr="001A1836">
        <w:t xml:space="preserve">using </w:t>
      </w:r>
      <w:r w:rsidR="00A97EC0" w:rsidRPr="001A1836">
        <w:t>R</w:t>
      </w:r>
      <w:r w:rsidR="0072405D" w:rsidRPr="001A1836">
        <w:t xml:space="preserve">egistered </w:t>
      </w:r>
      <w:r w:rsidR="00A97EC0" w:rsidRPr="001A1836">
        <w:t>E</w:t>
      </w:r>
      <w:r w:rsidR="00E068BB" w:rsidRPr="001A1836">
        <w:t xml:space="preserve">ngineers with appropriate </w:t>
      </w:r>
      <w:r w:rsidR="00A97EC0" w:rsidRPr="001A1836">
        <w:t>Q</w:t>
      </w:r>
      <w:r w:rsidR="00E068BB" w:rsidRPr="001A1836">
        <w:t xml:space="preserve">ualifications to undertake relevant </w:t>
      </w:r>
      <w:r w:rsidR="00A97EC0" w:rsidRPr="001A1836">
        <w:t>G</w:t>
      </w:r>
      <w:r w:rsidR="00E068BB" w:rsidRPr="001A1836">
        <w:t xml:space="preserve">as </w:t>
      </w:r>
      <w:r w:rsidR="00A97EC0" w:rsidRPr="001A1836">
        <w:t>W</w:t>
      </w:r>
      <w:r w:rsidR="00E068BB" w:rsidRPr="001A1836">
        <w:t xml:space="preserve">ork. </w:t>
      </w:r>
    </w:p>
    <w:p w14:paraId="069E17C7" w14:textId="42DBE8ED" w:rsidR="00430009" w:rsidRPr="001A1836" w:rsidRDefault="00E068BB">
      <w:pPr>
        <w:pStyle w:val="GSRL4numberedclause"/>
        <w:spacing w:line="276" w:lineRule="auto"/>
      </w:pPr>
      <w:r w:rsidRPr="001A1836">
        <w:rPr>
          <w:lang w:eastAsia="en-GB"/>
        </w:rPr>
        <w:t xml:space="preserve">The </w:t>
      </w:r>
      <w:r w:rsidR="0086594C" w:rsidRPr="001A1836">
        <w:rPr>
          <w:lang w:eastAsia="en-GB"/>
        </w:rPr>
        <w:t>Provider</w:t>
      </w:r>
      <w:r w:rsidR="007911CC" w:rsidRPr="001A1836">
        <w:rPr>
          <w:lang w:eastAsia="en-GB"/>
        </w:rPr>
        <w:t xml:space="preserve"> </w:t>
      </w:r>
      <w:r w:rsidR="00DF1F7D" w:rsidRPr="001A1836">
        <w:rPr>
          <w:lang w:eastAsia="en-GB"/>
        </w:rPr>
        <w:t xml:space="preserve">shall </w:t>
      </w:r>
      <w:r w:rsidR="007911CC" w:rsidRPr="001A1836">
        <w:rPr>
          <w:lang w:eastAsia="en-GB"/>
        </w:rPr>
        <w:t xml:space="preserve">publicise the </w:t>
      </w:r>
      <w:hyperlink r:id="rId14" w:history="1">
        <w:r w:rsidR="007911CC" w:rsidRPr="001A1836">
          <w:rPr>
            <w:rStyle w:val="Hyperlink"/>
            <w:color w:val="0000FF"/>
            <w:u w:val="single"/>
            <w:lang w:eastAsia="en-GB"/>
          </w:rPr>
          <w:t>Competence Criteria for Registration</w:t>
        </w:r>
      </w:hyperlink>
      <w:r w:rsidR="007911CC" w:rsidRPr="001A1836">
        <w:rPr>
          <w:lang w:eastAsia="en-GB"/>
        </w:rPr>
        <w:t xml:space="preserve">, as determined </w:t>
      </w:r>
      <w:r w:rsidR="0072405D" w:rsidRPr="001A1836">
        <w:rPr>
          <w:lang w:eastAsia="en-GB"/>
        </w:rPr>
        <w:t xml:space="preserve">from time to time </w:t>
      </w:r>
      <w:r w:rsidR="007911CC" w:rsidRPr="001A1836">
        <w:rPr>
          <w:lang w:eastAsia="en-GB"/>
        </w:rPr>
        <w:t>by the Standards Setting Body</w:t>
      </w:r>
      <w:r w:rsidR="009F22D1" w:rsidRPr="001A1836">
        <w:rPr>
          <w:lang w:eastAsia="en-GB"/>
        </w:rPr>
        <w:t xml:space="preserve"> and shall use them to assess whether Engineers and Businesses have the required Competence </w:t>
      </w:r>
      <w:r w:rsidR="00671FC4" w:rsidRPr="001A1836">
        <w:rPr>
          <w:lang w:eastAsia="en-GB"/>
        </w:rPr>
        <w:t xml:space="preserve">and qualifications </w:t>
      </w:r>
      <w:r w:rsidR="009F22D1" w:rsidRPr="001A1836">
        <w:rPr>
          <w:lang w:eastAsia="en-GB"/>
        </w:rPr>
        <w:t>to be registered on the Register.</w:t>
      </w:r>
      <w:r w:rsidR="009F22D1" w:rsidRPr="001A1836" w:rsidDel="009F22D1">
        <w:rPr>
          <w:lang w:eastAsia="en-GB"/>
        </w:rPr>
        <w:t xml:space="preserve"> </w:t>
      </w:r>
      <w:bookmarkStart w:id="125" w:name="_Toc501354438"/>
      <w:bookmarkStart w:id="126" w:name="OLE_LINK19"/>
      <w:bookmarkStart w:id="127" w:name="OLE_LINK20"/>
    </w:p>
    <w:p w14:paraId="069E17C8" w14:textId="77777777" w:rsidR="00E068BB" w:rsidRPr="001A1836" w:rsidRDefault="00E068BB" w:rsidP="00A20731">
      <w:pPr>
        <w:rPr>
          <w:b/>
          <w:i/>
        </w:rPr>
      </w:pPr>
      <w:bookmarkStart w:id="128" w:name="_Toc521326939"/>
      <w:bookmarkStart w:id="129" w:name="_Toc521484693"/>
      <w:bookmarkStart w:id="130" w:name="_Toc521485024"/>
      <w:bookmarkStart w:id="131" w:name="_Toc521496196"/>
      <w:r w:rsidRPr="001A1836">
        <w:rPr>
          <w:b/>
          <w:i/>
        </w:rPr>
        <w:t>Inspection</w:t>
      </w:r>
      <w:bookmarkEnd w:id="125"/>
      <w:bookmarkEnd w:id="128"/>
      <w:bookmarkEnd w:id="129"/>
      <w:bookmarkEnd w:id="130"/>
      <w:bookmarkEnd w:id="131"/>
    </w:p>
    <w:bookmarkEnd w:id="126"/>
    <w:bookmarkEnd w:id="127"/>
    <w:p w14:paraId="069E17C9" w14:textId="3A2662CB" w:rsidR="00F57111" w:rsidRPr="001A1836" w:rsidRDefault="00E068BB">
      <w:pPr>
        <w:pStyle w:val="GSRL4numberedclause"/>
        <w:spacing w:line="276" w:lineRule="auto"/>
      </w:pPr>
      <w:r w:rsidRPr="001A1836">
        <w:t xml:space="preserve">The </w:t>
      </w:r>
      <w:r w:rsidR="0086594C" w:rsidRPr="001A1836">
        <w:t>Provider</w:t>
      </w:r>
      <w:r w:rsidRPr="001A1836">
        <w:t xml:space="preserve"> </w:t>
      </w:r>
      <w:r w:rsidR="00DF1F7D" w:rsidRPr="001A1836">
        <w:t>shall</w:t>
      </w:r>
      <w:r w:rsidRPr="001A1836">
        <w:t xml:space="preserve"> </w:t>
      </w:r>
      <w:r w:rsidR="007E3F52" w:rsidRPr="001A1836">
        <w:t>undertake</w:t>
      </w:r>
      <w:r w:rsidR="003C074C" w:rsidRPr="001A1836">
        <w:t xml:space="preserve"> on-</w:t>
      </w:r>
      <w:r w:rsidRPr="001A1836">
        <w:t>site</w:t>
      </w:r>
      <w:r w:rsidR="00BD467C">
        <w:t xml:space="preserve"> </w:t>
      </w:r>
      <w:r w:rsidR="008C4BC2">
        <w:t>Inspections</w:t>
      </w:r>
      <w:r w:rsidRPr="001A1836">
        <w:t xml:space="preserve"> to monitor the </w:t>
      </w:r>
      <w:r w:rsidR="00C72EF0" w:rsidRPr="001A1836">
        <w:t>C</w:t>
      </w:r>
      <w:r w:rsidRPr="001A1836">
        <w:t xml:space="preserve">ompetence of </w:t>
      </w:r>
      <w:r w:rsidR="00C72EF0" w:rsidRPr="001A1836">
        <w:t>E</w:t>
      </w:r>
      <w:r w:rsidRPr="001A1836">
        <w:t xml:space="preserve">ngineers and investigate complaints of unsafe </w:t>
      </w:r>
      <w:r w:rsidR="0097613B" w:rsidRPr="001A1836">
        <w:t>G</w:t>
      </w:r>
      <w:r w:rsidRPr="001A1836">
        <w:t xml:space="preserve">as </w:t>
      </w:r>
      <w:r w:rsidR="0097613B" w:rsidRPr="001A1836">
        <w:t>W</w:t>
      </w:r>
      <w:r w:rsidRPr="001A1836">
        <w:t>ork.</w:t>
      </w:r>
    </w:p>
    <w:p w14:paraId="069E17CA" w14:textId="6DA8D611" w:rsidR="00F57111" w:rsidRPr="001A1836" w:rsidRDefault="00E068BB">
      <w:pPr>
        <w:pStyle w:val="GSRL4numberedclause"/>
        <w:spacing w:line="276" w:lineRule="auto"/>
      </w:pPr>
      <w:r w:rsidRPr="001A1836">
        <w:rPr>
          <w:lang w:eastAsia="en-GB"/>
        </w:rPr>
        <w:t xml:space="preserve">The </w:t>
      </w:r>
      <w:r w:rsidR="0086594C" w:rsidRPr="001A1836">
        <w:rPr>
          <w:lang w:eastAsia="en-GB"/>
        </w:rPr>
        <w:t>Provider</w:t>
      </w:r>
      <w:r w:rsidRPr="001A1836">
        <w:rPr>
          <w:lang w:eastAsia="en-GB"/>
        </w:rPr>
        <w:t xml:space="preserve"> </w:t>
      </w:r>
      <w:r w:rsidR="00DF1F7D" w:rsidRPr="001A1836">
        <w:rPr>
          <w:lang w:eastAsia="en-GB"/>
        </w:rPr>
        <w:t xml:space="preserve">shall </w:t>
      </w:r>
      <w:r w:rsidRPr="001A1836">
        <w:rPr>
          <w:lang w:eastAsia="en-GB"/>
        </w:rPr>
        <w:t xml:space="preserve">establish a field operations function and employ a team of </w:t>
      </w:r>
      <w:r w:rsidR="00F850E8">
        <w:rPr>
          <w:lang w:eastAsia="en-GB"/>
        </w:rPr>
        <w:t>I</w:t>
      </w:r>
      <w:r w:rsidRPr="001A1836">
        <w:rPr>
          <w:lang w:eastAsia="en-GB"/>
        </w:rPr>
        <w:t xml:space="preserve">nspectors to carry out </w:t>
      </w:r>
      <w:r w:rsidR="008C4BC2">
        <w:rPr>
          <w:lang w:eastAsia="en-GB"/>
        </w:rPr>
        <w:t>Inspections</w:t>
      </w:r>
      <w:r w:rsidR="00BD467C">
        <w:rPr>
          <w:lang w:eastAsia="en-GB"/>
        </w:rPr>
        <w:t xml:space="preserve"> </w:t>
      </w:r>
      <w:r w:rsidRPr="001A1836">
        <w:rPr>
          <w:lang w:eastAsia="en-GB"/>
        </w:rPr>
        <w:t xml:space="preserve">and other activities. The key </w:t>
      </w:r>
      <w:r w:rsidR="00C72EF0" w:rsidRPr="001A1836">
        <w:rPr>
          <w:lang w:eastAsia="en-GB"/>
        </w:rPr>
        <w:t xml:space="preserve">activities </w:t>
      </w:r>
      <w:r w:rsidRPr="001A1836">
        <w:rPr>
          <w:lang w:eastAsia="en-GB"/>
        </w:rPr>
        <w:t>of the field operation</w:t>
      </w:r>
      <w:r w:rsidR="0060290C" w:rsidRPr="001A1836">
        <w:rPr>
          <w:lang w:eastAsia="en-GB"/>
        </w:rPr>
        <w:t>s function</w:t>
      </w:r>
      <w:r w:rsidRPr="001A1836">
        <w:rPr>
          <w:lang w:eastAsia="en-GB"/>
        </w:rPr>
        <w:t xml:space="preserve"> </w:t>
      </w:r>
      <w:r w:rsidR="00CF5F1E" w:rsidRPr="001A1836">
        <w:rPr>
          <w:lang w:eastAsia="en-GB"/>
        </w:rPr>
        <w:t>shall</w:t>
      </w:r>
      <w:r w:rsidRPr="001A1836">
        <w:rPr>
          <w:lang w:eastAsia="en-GB"/>
        </w:rPr>
        <w:t xml:space="preserve"> be to: </w:t>
      </w:r>
    </w:p>
    <w:p w14:paraId="069E17CB" w14:textId="16B9E35A" w:rsidR="00F57111" w:rsidRPr="001A1836" w:rsidRDefault="00E068BB">
      <w:pPr>
        <w:pStyle w:val="GSRL5numberedclause"/>
        <w:spacing w:line="276" w:lineRule="auto"/>
      </w:pPr>
      <w:r w:rsidRPr="001A1836">
        <w:lastRenderedPageBreak/>
        <w:t xml:space="preserve">use the Risk Model to identify </w:t>
      </w:r>
      <w:r w:rsidR="007F578C" w:rsidRPr="001A1836">
        <w:t>G</w:t>
      </w:r>
      <w:r w:rsidRPr="001A1836">
        <w:t xml:space="preserve">as </w:t>
      </w:r>
      <w:r w:rsidR="007F578C" w:rsidRPr="001A1836">
        <w:t>W</w:t>
      </w:r>
      <w:r w:rsidRPr="001A1836">
        <w:t xml:space="preserve">ork (and </w:t>
      </w:r>
      <w:r w:rsidR="00C72EF0" w:rsidRPr="001A1836">
        <w:t>B</w:t>
      </w:r>
      <w:r w:rsidRPr="001A1836">
        <w:t xml:space="preserve">usinesses and </w:t>
      </w:r>
      <w:r w:rsidR="00C72EF0" w:rsidRPr="001A1836">
        <w:t>E</w:t>
      </w:r>
      <w:r w:rsidRPr="001A1836">
        <w:t>ngineers) for</w:t>
      </w:r>
      <w:r w:rsidR="0007160C">
        <w:t xml:space="preserve"> Competency Checks</w:t>
      </w:r>
      <w:r w:rsidR="00514298">
        <w:t>;</w:t>
      </w:r>
    </w:p>
    <w:p w14:paraId="069E17CC" w14:textId="74DDAC09" w:rsidR="00F57111" w:rsidRPr="001A1836" w:rsidRDefault="00E068BB">
      <w:pPr>
        <w:pStyle w:val="GSRL5numberedclause"/>
        <w:spacing w:line="276" w:lineRule="auto"/>
      </w:pPr>
      <w:r w:rsidRPr="001A1836">
        <w:t>maintain and deliver a</w:t>
      </w:r>
      <w:r w:rsidR="00E919DC">
        <w:t xml:space="preserve"> Competency Checks</w:t>
      </w:r>
      <w:r w:rsidRPr="001A1836">
        <w:t xml:space="preserve"> programme</w:t>
      </w:r>
      <w:r w:rsidR="00B279C5" w:rsidRPr="001A1836">
        <w:t xml:space="preserve"> of Businesses and E</w:t>
      </w:r>
      <w:r w:rsidR="000B798A" w:rsidRPr="001A1836">
        <w:t>ngineers</w:t>
      </w:r>
      <w:r w:rsidRPr="001A1836">
        <w:t xml:space="preserve">; </w:t>
      </w:r>
    </w:p>
    <w:p w14:paraId="069E17CD" w14:textId="7636803D" w:rsidR="00F57111" w:rsidRPr="001A1836" w:rsidRDefault="003C074C">
      <w:pPr>
        <w:pStyle w:val="GSRL5numberedclause"/>
        <w:spacing w:line="276" w:lineRule="auto"/>
      </w:pPr>
      <w:r w:rsidRPr="001A1836">
        <w:t xml:space="preserve">deliver regular </w:t>
      </w:r>
      <w:r w:rsidR="00F850E8">
        <w:t>I</w:t>
      </w:r>
      <w:r w:rsidR="00E068BB" w:rsidRPr="001A1836">
        <w:t xml:space="preserve">nspector training and refresher exercises </w:t>
      </w:r>
      <w:r w:rsidR="00AE25DC" w:rsidRPr="001A1836">
        <w:t xml:space="preserve">for </w:t>
      </w:r>
      <w:r w:rsidR="00F850E8">
        <w:t>I</w:t>
      </w:r>
      <w:r w:rsidR="00AE25DC" w:rsidRPr="001A1836">
        <w:t xml:space="preserve">nspectors </w:t>
      </w:r>
      <w:r w:rsidR="00E068BB" w:rsidRPr="001A1836">
        <w:t xml:space="preserve">to ensure </w:t>
      </w:r>
      <w:r w:rsidR="00C72EF0" w:rsidRPr="001A1836">
        <w:t>G</w:t>
      </w:r>
      <w:r w:rsidR="00E068BB" w:rsidRPr="001A1836">
        <w:t xml:space="preserve">as </w:t>
      </w:r>
      <w:r w:rsidR="00C72EF0" w:rsidRPr="001A1836">
        <w:t>W</w:t>
      </w:r>
      <w:r w:rsidR="00E068BB" w:rsidRPr="001A1836">
        <w:t xml:space="preserve">ork is </w:t>
      </w:r>
      <w:r w:rsidR="00E15F6A">
        <w:t>I</w:t>
      </w:r>
      <w:r w:rsidR="00E068BB" w:rsidRPr="001A1836">
        <w:t>nspected in line with current standard</w:t>
      </w:r>
      <w:r w:rsidR="00AE25DC" w:rsidRPr="001A1836">
        <w:t>s</w:t>
      </w:r>
      <w:r w:rsidR="0057464A" w:rsidRPr="001A1836">
        <w:t xml:space="preserve"> for</w:t>
      </w:r>
      <w:r w:rsidR="00430009" w:rsidRPr="001A1836">
        <w:t xml:space="preserve"> </w:t>
      </w:r>
      <w:r w:rsidR="00337594" w:rsidRPr="001A1836">
        <w:t>G</w:t>
      </w:r>
      <w:r w:rsidR="00430009" w:rsidRPr="001A1836">
        <w:t xml:space="preserve">as </w:t>
      </w:r>
      <w:r w:rsidR="00337594" w:rsidRPr="001A1836">
        <w:t>W</w:t>
      </w:r>
      <w:r w:rsidR="00430009" w:rsidRPr="001A1836">
        <w:t>ork and</w:t>
      </w:r>
      <w:r w:rsidR="00AB5B97">
        <w:t xml:space="preserve"> Competency Checks</w:t>
      </w:r>
      <w:r w:rsidR="00AE25DC" w:rsidRPr="001A1836">
        <w:t>, and regularly update training materials and method</w:t>
      </w:r>
      <w:r w:rsidR="00E068BB" w:rsidRPr="001A1836">
        <w:t xml:space="preserve">s; and </w:t>
      </w:r>
    </w:p>
    <w:p w14:paraId="069E17CE" w14:textId="23E29AD9" w:rsidR="00E068BB" w:rsidRPr="001A1836" w:rsidRDefault="00495521">
      <w:pPr>
        <w:pStyle w:val="GSRL5numberedclause"/>
        <w:spacing w:line="276" w:lineRule="auto"/>
      </w:pPr>
      <w:r w:rsidRPr="001A1836">
        <w:t>manage</w:t>
      </w:r>
      <w:r w:rsidR="00E068BB" w:rsidRPr="001A1836">
        <w:t xml:space="preserve"> </w:t>
      </w:r>
      <w:r w:rsidR="00F850E8">
        <w:t>I</w:t>
      </w:r>
      <w:r w:rsidR="00E068BB" w:rsidRPr="001A1836">
        <w:t>nspectors' competence and performance and document</w:t>
      </w:r>
      <w:r w:rsidR="00C37AD3" w:rsidRPr="001A1836">
        <w:t xml:space="preserve"> accordingly</w:t>
      </w:r>
      <w:r w:rsidR="003C074C" w:rsidRPr="001A1836">
        <w:t>.</w:t>
      </w:r>
    </w:p>
    <w:p w14:paraId="069E17CF" w14:textId="475B45E2" w:rsidR="00E068BB" w:rsidRPr="001A1836" w:rsidRDefault="00E068BB" w:rsidP="00A20731">
      <w:pPr>
        <w:rPr>
          <w:b/>
          <w:i/>
        </w:rPr>
      </w:pPr>
      <w:bookmarkStart w:id="132" w:name="_Toc501354439"/>
      <w:bookmarkStart w:id="133" w:name="_Toc521326940"/>
      <w:bookmarkStart w:id="134" w:name="_Toc521484694"/>
      <w:bookmarkStart w:id="135" w:name="_Toc521485025"/>
      <w:bookmarkStart w:id="136" w:name="_Toc521496197"/>
      <w:r w:rsidRPr="001A1836">
        <w:rPr>
          <w:b/>
          <w:i/>
        </w:rPr>
        <w:t xml:space="preserve">Types of </w:t>
      </w:r>
      <w:r w:rsidR="00435F96">
        <w:rPr>
          <w:b/>
          <w:i/>
        </w:rPr>
        <w:t>I</w:t>
      </w:r>
      <w:r w:rsidRPr="001A1836">
        <w:rPr>
          <w:b/>
          <w:i/>
        </w:rPr>
        <w:t>nspection</w:t>
      </w:r>
      <w:bookmarkEnd w:id="132"/>
      <w:bookmarkEnd w:id="133"/>
      <w:bookmarkEnd w:id="134"/>
      <w:bookmarkEnd w:id="135"/>
      <w:bookmarkEnd w:id="136"/>
    </w:p>
    <w:p w14:paraId="069E17D0" w14:textId="77777777" w:rsidR="00F57111" w:rsidRPr="001A1836" w:rsidRDefault="00E068BB">
      <w:pPr>
        <w:pStyle w:val="GSRL4numberedclause"/>
        <w:spacing w:line="276" w:lineRule="auto"/>
      </w:pPr>
      <w:r w:rsidRPr="001A1836">
        <w:t>The work of the</w:t>
      </w:r>
      <w:r w:rsidR="00A5026F" w:rsidRPr="001A1836">
        <w:t xml:space="preserve"> field operations </w:t>
      </w:r>
      <w:r w:rsidRPr="001A1836">
        <w:t xml:space="preserve">function </w:t>
      </w:r>
      <w:r w:rsidR="00CF5F1E" w:rsidRPr="001A1836">
        <w:t>shall</w:t>
      </w:r>
      <w:r w:rsidRPr="001A1836">
        <w:t xml:space="preserve"> fall into one of four main categories: </w:t>
      </w:r>
    </w:p>
    <w:p w14:paraId="069E17D1" w14:textId="77777777" w:rsidR="002C2327" w:rsidRPr="001A1836" w:rsidRDefault="002C2327">
      <w:pPr>
        <w:pStyle w:val="GSRL5numberedclause"/>
        <w:spacing w:line="276" w:lineRule="auto"/>
      </w:pPr>
      <w:r w:rsidRPr="001A1836">
        <w:t xml:space="preserve">For </w:t>
      </w:r>
      <w:r w:rsidR="0065383A" w:rsidRPr="001A1836">
        <w:t>R</w:t>
      </w:r>
      <w:r w:rsidRPr="001A1836">
        <w:t>egistered Businesses/Engineers:</w:t>
      </w:r>
    </w:p>
    <w:p w14:paraId="069E17D2" w14:textId="16EFDFA7" w:rsidR="00F57111" w:rsidRPr="001A1836" w:rsidRDefault="00141D3F">
      <w:pPr>
        <w:pStyle w:val="GSRL6numberedclause"/>
        <w:spacing w:line="276" w:lineRule="auto"/>
      </w:pPr>
      <w:r w:rsidRPr="001A1836">
        <w:rPr>
          <w:b/>
        </w:rPr>
        <w:t>r</w:t>
      </w:r>
      <w:r w:rsidR="00E068BB" w:rsidRPr="001A1836">
        <w:rPr>
          <w:b/>
        </w:rPr>
        <w:t>eactive</w:t>
      </w:r>
      <w:r w:rsidR="00E068BB" w:rsidRPr="001A1836">
        <w:t xml:space="preserve"> </w:t>
      </w:r>
      <w:r w:rsidR="008477FC" w:rsidRPr="001A1836">
        <w:t>–</w:t>
      </w:r>
      <w:r w:rsidR="00E068BB" w:rsidRPr="001A1836">
        <w:t xml:space="preserve"> on-site </w:t>
      </w:r>
      <w:r w:rsidR="005F7541">
        <w:t xml:space="preserve">Complaint </w:t>
      </w:r>
      <w:r w:rsidR="00F850E8">
        <w:t>I</w:t>
      </w:r>
      <w:r w:rsidR="00E068BB" w:rsidRPr="001A1836">
        <w:t>nspect</w:t>
      </w:r>
      <w:r w:rsidR="0001336A" w:rsidRPr="001A1836">
        <w:t>ions undertaken in response to c</w:t>
      </w:r>
      <w:r w:rsidR="00B14779" w:rsidRPr="001A1836">
        <w:t>onsumer c</w:t>
      </w:r>
      <w:r w:rsidR="0001336A" w:rsidRPr="001A1836">
        <w:t>omplaints</w:t>
      </w:r>
      <w:r w:rsidR="005F7541">
        <w:t xml:space="preserve">, Illegal Gas Work Inspections </w:t>
      </w:r>
      <w:r w:rsidR="00337594" w:rsidRPr="001A1836">
        <w:t xml:space="preserve">(including </w:t>
      </w:r>
      <w:r w:rsidR="005F7541">
        <w:t xml:space="preserve">to inspect illegal or </w:t>
      </w:r>
      <w:r w:rsidR="00337594" w:rsidRPr="001A1836">
        <w:t>unsafe Gas Work)</w:t>
      </w:r>
      <w:r w:rsidR="0001336A" w:rsidRPr="001A1836">
        <w:t>,</w:t>
      </w:r>
      <w:r w:rsidR="005F7541">
        <w:t xml:space="preserve"> and Support Investigations conducted in response to </w:t>
      </w:r>
      <w:r w:rsidR="00E068BB" w:rsidRPr="001A1836">
        <w:t xml:space="preserve">information received and requests from Regulatory Bodies with responsibility for gas safety (including those responsible for enforcement, for example HSE and </w:t>
      </w:r>
      <w:r w:rsidR="00337594" w:rsidRPr="001A1836">
        <w:t>l</w:t>
      </w:r>
      <w:r w:rsidR="00E068BB" w:rsidRPr="001A1836">
        <w:t xml:space="preserve">ocal </w:t>
      </w:r>
      <w:r w:rsidR="00337594" w:rsidRPr="001A1836">
        <w:t>a</w:t>
      </w:r>
      <w:r w:rsidR="00E068BB" w:rsidRPr="001A1836">
        <w:t xml:space="preserve">uthorities); </w:t>
      </w:r>
    </w:p>
    <w:p w14:paraId="069E17D3" w14:textId="3F861F1E" w:rsidR="00F57111" w:rsidRPr="001A1836" w:rsidRDefault="00141D3F">
      <w:pPr>
        <w:pStyle w:val="GSRL6numberedclause"/>
        <w:spacing w:line="276" w:lineRule="auto"/>
      </w:pPr>
      <w:r w:rsidRPr="001A1836">
        <w:rPr>
          <w:b/>
        </w:rPr>
        <w:t>p</w:t>
      </w:r>
      <w:r w:rsidR="00E068BB" w:rsidRPr="001A1836">
        <w:rPr>
          <w:b/>
        </w:rPr>
        <w:t>lanned</w:t>
      </w:r>
      <w:r w:rsidRPr="001A1836">
        <w:t xml:space="preserve"> – p</w:t>
      </w:r>
      <w:r w:rsidR="00E068BB" w:rsidRPr="001A1836">
        <w:t>lanned on-site</w:t>
      </w:r>
      <w:r w:rsidR="00A662A4">
        <w:t xml:space="preserve"> Competency Checks </w:t>
      </w:r>
      <w:r w:rsidR="00E068BB" w:rsidRPr="001A1836">
        <w:t xml:space="preserve">arising from </w:t>
      </w:r>
      <w:r w:rsidR="00B14779" w:rsidRPr="001A1836">
        <w:t xml:space="preserve">application of </w:t>
      </w:r>
      <w:r w:rsidR="00E068BB" w:rsidRPr="001A1836">
        <w:t>the Risk Model</w:t>
      </w:r>
      <w:r w:rsidR="000C2924" w:rsidRPr="001A1836">
        <w:t xml:space="preserve"> (see Table 1 in this Schedule 1</w:t>
      </w:r>
      <w:r w:rsidR="0055253F" w:rsidRPr="001A1836">
        <w:t>)</w:t>
      </w:r>
      <w:r w:rsidR="00E068BB" w:rsidRPr="001A1836">
        <w:t xml:space="preserve">; </w:t>
      </w:r>
      <w:r w:rsidR="002C2327" w:rsidRPr="001A1836">
        <w:t>and</w:t>
      </w:r>
    </w:p>
    <w:p w14:paraId="069E17D4" w14:textId="5A7F52AA" w:rsidR="00E068BB" w:rsidRPr="001A1836" w:rsidRDefault="00141D3F">
      <w:pPr>
        <w:pStyle w:val="GSRL6numberedclause"/>
        <w:spacing w:line="276" w:lineRule="auto"/>
      </w:pPr>
      <w:r w:rsidRPr="001A1836">
        <w:rPr>
          <w:b/>
        </w:rPr>
        <w:t>o</w:t>
      </w:r>
      <w:r w:rsidR="00E068BB" w:rsidRPr="001A1836">
        <w:rPr>
          <w:b/>
        </w:rPr>
        <w:t>ther</w:t>
      </w:r>
      <w:r w:rsidRPr="001A1836">
        <w:t xml:space="preserve"> – </w:t>
      </w:r>
      <w:r w:rsidR="009F7E62">
        <w:t>Technical Assessment</w:t>
      </w:r>
      <w:r w:rsidR="00AD5CC6">
        <w:t>s</w:t>
      </w:r>
      <w:r w:rsidR="009F7E62">
        <w:t xml:space="preserve">, </w:t>
      </w:r>
      <w:r w:rsidR="005F7541">
        <w:t>Competency Check</w:t>
      </w:r>
      <w:r w:rsidR="005F7541" w:rsidRPr="001A1836">
        <w:t xml:space="preserve"> </w:t>
      </w:r>
      <w:r w:rsidR="00F850E8">
        <w:t>E</w:t>
      </w:r>
      <w:r w:rsidR="00E068BB" w:rsidRPr="001A1836">
        <w:t xml:space="preserve">vents, mandatory attendance events, </w:t>
      </w:r>
      <w:r w:rsidR="005359AE" w:rsidRPr="001A1836">
        <w:t xml:space="preserve">Gas Work theory assessments </w:t>
      </w:r>
      <w:r w:rsidR="00495521" w:rsidRPr="001A1836">
        <w:t xml:space="preserve">and other </w:t>
      </w:r>
      <w:r w:rsidR="00E068BB" w:rsidRPr="001A1836">
        <w:t xml:space="preserve">ad hoc functions </w:t>
      </w:r>
      <w:r w:rsidR="00495521" w:rsidRPr="001A1836">
        <w:t>as agreed with HSE from time to time</w:t>
      </w:r>
      <w:r w:rsidR="00E068BB" w:rsidRPr="001A1836">
        <w:t xml:space="preserve">. </w:t>
      </w:r>
    </w:p>
    <w:p w14:paraId="069E17D5" w14:textId="77777777" w:rsidR="002C2327" w:rsidRPr="001A1836" w:rsidRDefault="002C2327">
      <w:pPr>
        <w:pStyle w:val="GSRL5numberedclause"/>
        <w:spacing w:line="276" w:lineRule="auto"/>
      </w:pPr>
      <w:r w:rsidRPr="001A1836">
        <w:rPr>
          <w:rFonts w:eastAsia="Calibri"/>
        </w:rPr>
        <w:t>For unregistered Businesses</w:t>
      </w:r>
      <w:r w:rsidR="00815E57" w:rsidRPr="001A1836">
        <w:rPr>
          <w:rFonts w:eastAsia="Calibri"/>
        </w:rPr>
        <w:t xml:space="preserve"> </w:t>
      </w:r>
      <w:r w:rsidR="007F578C" w:rsidRPr="001A1836">
        <w:rPr>
          <w:rFonts w:eastAsia="Calibri"/>
        </w:rPr>
        <w:t>and gas fitters</w:t>
      </w:r>
      <w:r w:rsidRPr="001A1836">
        <w:t>:</w:t>
      </w:r>
    </w:p>
    <w:p w14:paraId="069E17D6" w14:textId="5E76BFDD" w:rsidR="002C2327" w:rsidRPr="001A1836" w:rsidRDefault="005F7541">
      <w:pPr>
        <w:pStyle w:val="GSRL6numberedclause"/>
        <w:spacing w:line="276" w:lineRule="auto"/>
      </w:pPr>
      <w:r>
        <w:rPr>
          <w:b/>
        </w:rPr>
        <w:t>Illegal Gas Work I</w:t>
      </w:r>
      <w:r w:rsidR="002C2327" w:rsidRPr="001A1836">
        <w:rPr>
          <w:b/>
        </w:rPr>
        <w:t>nvestigation</w:t>
      </w:r>
      <w:r>
        <w:rPr>
          <w:b/>
        </w:rPr>
        <w:t>s</w:t>
      </w:r>
      <w:r w:rsidR="002C2327" w:rsidRPr="001A1836">
        <w:rPr>
          <w:b/>
        </w:rPr>
        <w:t xml:space="preserve"> (of illegal</w:t>
      </w:r>
      <w:r w:rsidR="003B5D96" w:rsidRPr="001A1836">
        <w:rPr>
          <w:b/>
        </w:rPr>
        <w:t xml:space="preserve"> and unsafe</w:t>
      </w:r>
      <w:r w:rsidR="002C2327" w:rsidRPr="001A1836">
        <w:rPr>
          <w:b/>
        </w:rPr>
        <w:t xml:space="preserve"> </w:t>
      </w:r>
      <w:r w:rsidR="000C1F5C" w:rsidRPr="001A1836">
        <w:rPr>
          <w:b/>
        </w:rPr>
        <w:t>Gas Work</w:t>
      </w:r>
      <w:r w:rsidR="002C2327" w:rsidRPr="001A1836">
        <w:rPr>
          <w:b/>
        </w:rPr>
        <w:t>) and assistance to HSE enforcement</w:t>
      </w:r>
      <w:r w:rsidR="002C2327" w:rsidRPr="001A1836">
        <w:t xml:space="preserve"> – the research and investigation of </w:t>
      </w:r>
      <w:r w:rsidR="000C1F5C" w:rsidRPr="001A1836">
        <w:t>Gas Work</w:t>
      </w:r>
      <w:r w:rsidR="002C2327" w:rsidRPr="001A1836">
        <w:t xml:space="preserve"> performed by unregistered </w:t>
      </w:r>
      <w:r w:rsidR="00815E57" w:rsidRPr="001A1836">
        <w:t>B</w:t>
      </w:r>
      <w:r w:rsidR="002C2327" w:rsidRPr="001A1836">
        <w:t xml:space="preserve">usinesses and gas fitters and unsafe </w:t>
      </w:r>
      <w:r w:rsidR="000C1F5C" w:rsidRPr="001A1836">
        <w:t>Gas Work</w:t>
      </w:r>
      <w:r w:rsidR="002C2327" w:rsidRPr="001A1836">
        <w:t xml:space="preserve"> generally, and providing appropriate assistance to Regulatory Bodies with enforcement responsibility for gas safety</w:t>
      </w:r>
      <w:r w:rsidR="007F578C" w:rsidRPr="001A1836">
        <w:t>.</w:t>
      </w:r>
    </w:p>
    <w:p w14:paraId="069E17D7" w14:textId="77777777" w:rsidR="00F51841" w:rsidRPr="001A1836" w:rsidRDefault="002469DC" w:rsidP="00A20731">
      <w:pPr>
        <w:rPr>
          <w:b/>
          <w:i/>
        </w:rPr>
      </w:pPr>
      <w:bookmarkStart w:id="137" w:name="_Toc521326941"/>
      <w:bookmarkStart w:id="138" w:name="_Toc521484695"/>
      <w:bookmarkStart w:id="139" w:name="_Toc521485026"/>
      <w:bookmarkStart w:id="140" w:name="_Toc521496198"/>
      <w:r w:rsidRPr="001A1836">
        <w:rPr>
          <w:b/>
          <w:i/>
        </w:rPr>
        <w:t>Risk p</w:t>
      </w:r>
      <w:r w:rsidR="00F51841" w:rsidRPr="001A1836">
        <w:rPr>
          <w:b/>
          <w:i/>
        </w:rPr>
        <w:t>rofiling</w:t>
      </w:r>
      <w:bookmarkEnd w:id="137"/>
      <w:bookmarkEnd w:id="138"/>
      <w:bookmarkEnd w:id="139"/>
      <w:bookmarkEnd w:id="140"/>
    </w:p>
    <w:p w14:paraId="069E17D8" w14:textId="77777777" w:rsidR="002469DC" w:rsidRPr="001A1836" w:rsidRDefault="002469DC">
      <w:pPr>
        <w:pStyle w:val="GSRL4numberedclause"/>
      </w:pPr>
      <w:bookmarkStart w:id="141" w:name="_Toc508699438"/>
      <w:bookmarkEnd w:id="141"/>
      <w:r w:rsidRPr="001A1836">
        <w:t xml:space="preserve">The Provider shall profile Registered Business and Engineers using the Risk Model to </w:t>
      </w:r>
      <w:r w:rsidR="000A32D6" w:rsidRPr="001A1836">
        <w:t>calculate</w:t>
      </w:r>
      <w:r w:rsidRPr="001A1836">
        <w:t xml:space="preserve"> a Risk Rating. </w:t>
      </w:r>
    </w:p>
    <w:p w14:paraId="069E17D9" w14:textId="77777777" w:rsidR="00F51841" w:rsidRPr="001A1836" w:rsidRDefault="002469DC">
      <w:pPr>
        <w:pStyle w:val="GSRL4numberedclause"/>
        <w:rPr>
          <w:b/>
          <w:bCs/>
        </w:rPr>
      </w:pPr>
      <w:r w:rsidRPr="001A1836">
        <w:t>The</w:t>
      </w:r>
      <w:r w:rsidR="00F51841" w:rsidRPr="001A1836">
        <w:t xml:space="preserve"> Risk Rating will determine the Ris</w:t>
      </w:r>
      <w:r w:rsidRPr="001A1836">
        <w:t>k Category for each Registered Business</w:t>
      </w:r>
      <w:r w:rsidR="00F51841" w:rsidRPr="001A1836">
        <w:t>. Risk Categories are:</w:t>
      </w:r>
    </w:p>
    <w:p w14:paraId="069E17DA" w14:textId="77777777" w:rsidR="00F51841" w:rsidRPr="001A1836" w:rsidRDefault="00F51841">
      <w:pPr>
        <w:pStyle w:val="GSRL5numberedclause"/>
      </w:pPr>
      <w:r w:rsidRPr="001A1836">
        <w:t>Lower risk;</w:t>
      </w:r>
    </w:p>
    <w:p w14:paraId="069E17DB" w14:textId="77777777" w:rsidR="00F51841" w:rsidRPr="001A1836" w:rsidRDefault="00F51841">
      <w:pPr>
        <w:pStyle w:val="GSRL5numberedclause"/>
      </w:pPr>
      <w:r w:rsidRPr="001A1836">
        <w:t>Medium risk;</w:t>
      </w:r>
    </w:p>
    <w:p w14:paraId="069E17DC" w14:textId="77777777" w:rsidR="00F51841" w:rsidRPr="001A1836" w:rsidRDefault="00F51841">
      <w:pPr>
        <w:pStyle w:val="GSRL5numberedclause"/>
      </w:pPr>
      <w:r w:rsidRPr="001A1836">
        <w:t>Higher risk;</w:t>
      </w:r>
    </w:p>
    <w:p w14:paraId="069E17DD" w14:textId="77777777" w:rsidR="00F51841" w:rsidRPr="001A1836" w:rsidRDefault="00F51841">
      <w:pPr>
        <w:pStyle w:val="GSRL5numberedclause"/>
      </w:pPr>
      <w:r w:rsidRPr="001A1836">
        <w:t>Targeted higher risk.</w:t>
      </w:r>
      <w:r w:rsidR="002469DC" w:rsidRPr="001A1836">
        <w:t xml:space="preserve"> </w:t>
      </w:r>
    </w:p>
    <w:p w14:paraId="069E17DE" w14:textId="14BC543B" w:rsidR="000A32D6" w:rsidRPr="001A1836" w:rsidRDefault="000A32D6">
      <w:pPr>
        <w:pStyle w:val="GSRL4numberedclause"/>
        <w:spacing w:line="276" w:lineRule="auto"/>
      </w:pPr>
      <w:r w:rsidRPr="001A1836">
        <w:lastRenderedPageBreak/>
        <w:t>The Risk Category determines the frequency of planned</w:t>
      </w:r>
      <w:r w:rsidR="00D12C66">
        <w:t xml:space="preserve"> Competency Checks</w:t>
      </w:r>
      <w:r w:rsidRPr="001A1836">
        <w:t xml:space="preserve"> as outlined in Table 2 below.</w:t>
      </w:r>
    </w:p>
    <w:p w14:paraId="069E17DF" w14:textId="77777777" w:rsidR="002469DC" w:rsidRPr="001A1836" w:rsidRDefault="002469DC">
      <w:pPr>
        <w:pStyle w:val="GSRL4numberedclause"/>
        <w:spacing w:line="276" w:lineRule="auto"/>
      </w:pPr>
      <w:r w:rsidRPr="001A1836">
        <w:t>During Contract Year 1 and each year thereafter, the Provider shall review the Risk Model and Risk Categories and propose any changes. The Provider shall only make changes to the Risk Model and Risk Categories with HSE’s agreement.</w:t>
      </w:r>
    </w:p>
    <w:p w14:paraId="069E17E0" w14:textId="77777777" w:rsidR="004368C1" w:rsidRPr="001A1836" w:rsidRDefault="004368C1" w:rsidP="00A20731">
      <w:pPr>
        <w:rPr>
          <w:b/>
          <w:i/>
        </w:rPr>
      </w:pPr>
      <w:bookmarkStart w:id="142" w:name="_Toc501354443"/>
      <w:bookmarkStart w:id="143" w:name="_Toc521326942"/>
      <w:bookmarkStart w:id="144" w:name="_Toc521484696"/>
      <w:bookmarkStart w:id="145" w:name="_Toc521485027"/>
      <w:bookmarkStart w:id="146" w:name="_Toc521496199"/>
      <w:r w:rsidRPr="001A1836">
        <w:rPr>
          <w:b/>
          <w:i/>
        </w:rPr>
        <w:t xml:space="preserve">Inspection </w:t>
      </w:r>
      <w:bookmarkEnd w:id="142"/>
      <w:r w:rsidR="0057464A" w:rsidRPr="001A1836">
        <w:rPr>
          <w:b/>
          <w:i/>
        </w:rPr>
        <w:t>requirements</w:t>
      </w:r>
      <w:bookmarkEnd w:id="143"/>
      <w:bookmarkEnd w:id="144"/>
      <w:bookmarkEnd w:id="145"/>
      <w:bookmarkEnd w:id="146"/>
    </w:p>
    <w:p w14:paraId="069E17E1" w14:textId="0CAB5F83" w:rsidR="001C7185" w:rsidRPr="001A1836" w:rsidRDefault="001C7185">
      <w:pPr>
        <w:pStyle w:val="GSRL4numberedclause"/>
        <w:spacing w:line="276" w:lineRule="auto"/>
      </w:pPr>
      <w:r w:rsidRPr="001A1836">
        <w:t xml:space="preserve">All Registered Businesses shall be subject to </w:t>
      </w:r>
      <w:r w:rsidR="005F39DF">
        <w:t xml:space="preserve">a Competency Check </w:t>
      </w:r>
      <w:r w:rsidRPr="001A1836">
        <w:t>at least once every five years.</w:t>
      </w:r>
    </w:p>
    <w:p w14:paraId="069E17E2" w14:textId="438651B6" w:rsidR="002469DC" w:rsidRPr="001A1836" w:rsidRDefault="001C7185">
      <w:pPr>
        <w:pStyle w:val="GSRL4numberedclause"/>
        <w:spacing w:line="276" w:lineRule="auto"/>
        <w:rPr>
          <w:b/>
        </w:rPr>
      </w:pPr>
      <w:r w:rsidRPr="001A1836">
        <w:t>The type of</w:t>
      </w:r>
      <w:r w:rsidR="005F39DF">
        <w:t xml:space="preserve"> Competency Check </w:t>
      </w:r>
      <w:r w:rsidRPr="001A1836">
        <w:t xml:space="preserve">should be appropriate to the business type </w:t>
      </w:r>
      <w:r w:rsidR="001D2E20" w:rsidRPr="001A1836">
        <w:t>(</w:t>
      </w:r>
      <w:r w:rsidR="00070DAA" w:rsidRPr="001A1836">
        <w:t>large business,</w:t>
      </w:r>
      <w:r w:rsidR="001D2E20" w:rsidRPr="001A1836">
        <w:t xml:space="preserve"> small</w:t>
      </w:r>
      <w:r w:rsidR="00070DAA" w:rsidRPr="001A1836">
        <w:t xml:space="preserve"> business, or probationary) </w:t>
      </w:r>
      <w:r w:rsidRPr="001A1836">
        <w:t xml:space="preserve">and </w:t>
      </w:r>
      <w:r w:rsidR="00070DAA" w:rsidRPr="001A1836">
        <w:t>R</w:t>
      </w:r>
      <w:r w:rsidR="00384FB9" w:rsidRPr="001A1836">
        <w:t xml:space="preserve">isk </w:t>
      </w:r>
      <w:r w:rsidR="00070DAA" w:rsidRPr="001A1836">
        <w:t>C</w:t>
      </w:r>
      <w:r w:rsidR="008A1E2E" w:rsidRPr="001A1836">
        <w:t xml:space="preserve">ategory </w:t>
      </w:r>
      <w:r w:rsidR="001D2E20" w:rsidRPr="001A1836">
        <w:t xml:space="preserve">for small businesses </w:t>
      </w:r>
      <w:r w:rsidR="008A1E2E" w:rsidRPr="001A1836">
        <w:t xml:space="preserve">which is </w:t>
      </w:r>
      <w:r w:rsidR="00337594" w:rsidRPr="001A1836">
        <w:t>determined by the</w:t>
      </w:r>
      <w:r w:rsidR="00EA6638" w:rsidRPr="001A1836">
        <w:t xml:space="preserve"> </w:t>
      </w:r>
      <w:r w:rsidR="00070DAA" w:rsidRPr="001A1836">
        <w:t>R</w:t>
      </w:r>
      <w:r w:rsidRPr="001A1836">
        <w:t xml:space="preserve">isk </w:t>
      </w:r>
      <w:r w:rsidR="00070DAA" w:rsidRPr="001A1836">
        <w:t>M</w:t>
      </w:r>
      <w:r w:rsidR="00337594" w:rsidRPr="001A1836">
        <w:t>odel</w:t>
      </w:r>
      <w:r w:rsidR="002469DC" w:rsidRPr="001A1836">
        <w:t>.</w:t>
      </w:r>
    </w:p>
    <w:p w14:paraId="069E17E3" w14:textId="75EC5EC1" w:rsidR="00C12E0B" w:rsidRPr="001A1836" w:rsidRDefault="00303A87">
      <w:pPr>
        <w:pStyle w:val="GSRL4numberedclause"/>
        <w:spacing w:line="276" w:lineRule="auto"/>
        <w:rPr>
          <w:b/>
        </w:rPr>
      </w:pPr>
      <w:r>
        <w:t xml:space="preserve">HSE shall calculate </w:t>
      </w:r>
      <w:r w:rsidR="00AC03EA">
        <w:t xml:space="preserve">and notify the Provider of </w:t>
      </w:r>
      <w:r>
        <w:t>the required number of Competency Checks for Year 1 (</w:t>
      </w:r>
      <w:r w:rsidR="00AC03EA">
        <w:t>through</w:t>
      </w:r>
      <w:r>
        <w:t xml:space="preserve"> application of the Risk Model) no later than 31 January 2025, which notification shall </w:t>
      </w:r>
      <w:r w:rsidR="00AC03EA">
        <w:t>include a populated</w:t>
      </w:r>
      <w:r>
        <w:t xml:space="preserve"> Table 1 </w:t>
      </w:r>
      <w:r w:rsidR="00AC03EA">
        <w:t xml:space="preserve">in the form set out </w:t>
      </w:r>
      <w:r>
        <w:t xml:space="preserve">below, which will set out </w:t>
      </w:r>
      <w:r w:rsidR="008B0DAE" w:rsidRPr="001A1836">
        <w:t xml:space="preserve"> </w:t>
      </w:r>
      <w:r w:rsidR="00675AD1" w:rsidRPr="001A1836">
        <w:t>the required number of</w:t>
      </w:r>
      <w:r w:rsidR="00E92398">
        <w:t xml:space="preserve"> Competency Checks </w:t>
      </w:r>
      <w:r w:rsidR="00675AD1" w:rsidRPr="001A1836">
        <w:t xml:space="preserve"> for Year 1 </w:t>
      </w:r>
      <w:r w:rsidR="008B0DAE" w:rsidRPr="001A1836">
        <w:t xml:space="preserve">broken down by planned/reactive </w:t>
      </w:r>
      <w:r w:rsidR="00E92398">
        <w:t xml:space="preserve">Competency Checks </w:t>
      </w:r>
      <w:r w:rsidR="008B0DAE" w:rsidRPr="001A1836">
        <w:t>type, and in the case of planned</w:t>
      </w:r>
      <w:r w:rsidR="002A04DD">
        <w:t xml:space="preserve"> Competency Checks</w:t>
      </w:r>
      <w:r w:rsidR="008B0DAE" w:rsidRPr="001A1836">
        <w:t xml:space="preserve">, by Business type. </w:t>
      </w:r>
      <w:r w:rsidR="00675AD1" w:rsidRPr="001A1836">
        <w:t xml:space="preserve">The numbers of reactive/unplanned </w:t>
      </w:r>
      <w:r w:rsidR="00F850E8">
        <w:t>I</w:t>
      </w:r>
      <w:r w:rsidR="00675AD1" w:rsidRPr="001A1836">
        <w:t xml:space="preserve">nspections are based on </w:t>
      </w:r>
      <w:r w:rsidR="008B0DAE" w:rsidRPr="001A1836">
        <w:t>forecasts. A</w:t>
      </w:r>
      <w:r w:rsidR="00675AD1" w:rsidRPr="001A1836">
        <w:t xml:space="preserve"> more detailed breakdown by type of the required</w:t>
      </w:r>
      <w:r w:rsidR="00E8080C">
        <w:t xml:space="preserve"> </w:t>
      </w:r>
      <w:r w:rsidR="00675AD1" w:rsidRPr="001A1836">
        <w:t>“Remainder of Inspections” will be determined by HSE (after consultation with the Provider) dur</w:t>
      </w:r>
      <w:r w:rsidR="008B0DAE" w:rsidRPr="001A1836">
        <w:t>ing the Transiti</w:t>
      </w:r>
      <w:r w:rsidR="00675AD1" w:rsidRPr="001A1836">
        <w:t>on Period</w:t>
      </w:r>
      <w:r w:rsidR="008B0DAE" w:rsidRPr="001A1836">
        <w:t>.</w:t>
      </w:r>
      <w:r w:rsidR="00675AD1" w:rsidRPr="001A1836">
        <w:t xml:space="preserve"> If the number of any category of unplanned /reactive </w:t>
      </w:r>
      <w:r w:rsidR="00F850E8">
        <w:t>I</w:t>
      </w:r>
      <w:r w:rsidR="00675AD1" w:rsidRPr="001A1836">
        <w:t xml:space="preserve">nspections in Year 1 exceeds (or is likely to exceed) the forecast number, HSE shall adjust the number of other </w:t>
      </w:r>
      <w:r w:rsidR="00F850E8">
        <w:t>I</w:t>
      </w:r>
      <w:r w:rsidR="00675AD1" w:rsidRPr="001A1836">
        <w:t>nspections to be carried out under the heading “Remainder of Inspections” so that they do not exceed</w:t>
      </w:r>
      <w:r w:rsidR="009B3800">
        <w:t xml:space="preserve"> </w:t>
      </w:r>
      <w:r>
        <w:t xml:space="preserve">the relevant number notified by HSE to the Provider pursuant to this </w:t>
      </w:r>
      <w:r w:rsidR="004A451F">
        <w:t xml:space="preserve">paragraph </w:t>
      </w:r>
      <w:r>
        <w:t>4.14</w:t>
      </w:r>
      <w:r w:rsidR="00675AD1" w:rsidRPr="001A1836">
        <w:t>.</w:t>
      </w:r>
      <w:r w:rsidR="00527D20" w:rsidRPr="001A1836">
        <w:t xml:space="preserve"> </w:t>
      </w:r>
    </w:p>
    <w:p w14:paraId="069E17E4" w14:textId="77777777" w:rsidR="00C12E0B" w:rsidRPr="001A1836" w:rsidRDefault="00C12E0B" w:rsidP="00FE4CD2">
      <w:pPr>
        <w:spacing w:after="0" w:line="276" w:lineRule="auto"/>
        <w:rPr>
          <w:rFonts w:cs="Arial"/>
          <w:b/>
          <w:kern w:val="0"/>
          <w:szCs w:val="24"/>
        </w:rPr>
      </w:pPr>
    </w:p>
    <w:p w14:paraId="78ADDC26" w14:textId="77777777" w:rsidR="00100601" w:rsidRDefault="00100601">
      <w:pPr>
        <w:spacing w:before="0" w:after="0"/>
        <w:rPr>
          <w:rFonts w:cs="Arial"/>
          <w:b/>
          <w:kern w:val="0"/>
        </w:rPr>
      </w:pPr>
      <w:bookmarkStart w:id="147" w:name="_Hlk136616397"/>
      <w:r>
        <w:rPr>
          <w:rFonts w:cs="Arial"/>
          <w:b/>
          <w:kern w:val="0"/>
        </w:rPr>
        <w:br w:type="page"/>
      </w:r>
    </w:p>
    <w:p w14:paraId="1A263504" w14:textId="52F0BDCA" w:rsidR="0049705B" w:rsidRDefault="00C12E0B" w:rsidP="000C6109">
      <w:pPr>
        <w:spacing w:after="0" w:line="276" w:lineRule="auto"/>
        <w:rPr>
          <w:rFonts w:cs="Arial"/>
          <w:b/>
          <w:bCs/>
          <w:kern w:val="0"/>
        </w:rPr>
      </w:pPr>
      <w:r w:rsidRPr="001A1836">
        <w:rPr>
          <w:rFonts w:cs="Arial"/>
          <w:b/>
          <w:kern w:val="0"/>
        </w:rPr>
        <w:lastRenderedPageBreak/>
        <w:t xml:space="preserve">Table 1 </w:t>
      </w:r>
      <w:r w:rsidR="0049769F">
        <w:rPr>
          <w:rFonts w:cs="Arial"/>
          <w:b/>
          <w:kern w:val="0"/>
        </w:rPr>
        <w:t>Competency Check</w:t>
      </w:r>
      <w:r w:rsidR="00D44144">
        <w:rPr>
          <w:rFonts w:cs="Arial"/>
          <w:b/>
          <w:kern w:val="0"/>
        </w:rPr>
        <w:t xml:space="preserve"> </w:t>
      </w:r>
      <w:r w:rsidR="00783E6A" w:rsidRPr="00D9694F">
        <w:rPr>
          <w:rFonts w:cs="Arial"/>
          <w:b/>
          <w:bCs/>
          <w:kern w:val="0"/>
        </w:rPr>
        <w:t>requirements for Year 1</w:t>
      </w:r>
    </w:p>
    <w:p w14:paraId="738FBEB2" w14:textId="77777777" w:rsidR="007610E2" w:rsidRDefault="007610E2" w:rsidP="007610E2">
      <w:pPr>
        <w:spacing w:line="276" w:lineRule="auto"/>
        <w:rPr>
          <w:rFonts w:ascii="Calibri" w:hAnsi="Calibri"/>
          <w:kern w:val="0"/>
        </w:rPr>
      </w:pPr>
    </w:p>
    <w:tbl>
      <w:tblPr>
        <w:tblW w:w="0" w:type="auto"/>
        <w:tblInd w:w="108" w:type="dxa"/>
        <w:tblCellMar>
          <w:left w:w="0" w:type="dxa"/>
          <w:right w:w="0" w:type="dxa"/>
        </w:tblCellMar>
        <w:tblLook w:val="04A0" w:firstRow="1" w:lastRow="0" w:firstColumn="1" w:lastColumn="0" w:noHBand="0" w:noVBand="1"/>
      </w:tblPr>
      <w:tblGrid>
        <w:gridCol w:w="5245"/>
        <w:gridCol w:w="1701"/>
        <w:gridCol w:w="1474"/>
      </w:tblGrid>
      <w:tr w:rsidR="007610E2" w14:paraId="14834728" w14:textId="77777777" w:rsidTr="007610E2">
        <w:tc>
          <w:tcPr>
            <w:tcW w:w="694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9398B7" w14:textId="529418BC" w:rsidR="007610E2" w:rsidRPr="00650C20" w:rsidRDefault="007610E2" w:rsidP="008C4BC2">
            <w:pPr>
              <w:spacing w:line="276" w:lineRule="auto"/>
              <w:rPr>
                <w:rFonts w:ascii="Times New Roman" w:hAnsi="Times New Roman"/>
                <w:b/>
                <w:bCs/>
                <w:sz w:val="20"/>
                <w:lang w:eastAsia="en-GB"/>
              </w:rPr>
            </w:pPr>
            <w:r w:rsidRPr="00650C20">
              <w:rPr>
                <w:rFonts w:ascii="Times New Roman" w:hAnsi="Times New Roman"/>
                <w:b/>
                <w:bCs/>
                <w:sz w:val="20"/>
                <w:lang w:eastAsia="en-GB"/>
              </w:rPr>
              <w:t xml:space="preserve">Total </w:t>
            </w:r>
            <w:r w:rsidR="004026AB" w:rsidRPr="00650C20">
              <w:rPr>
                <w:rFonts w:ascii="Times New Roman" w:hAnsi="Times New Roman"/>
                <w:b/>
                <w:bCs/>
                <w:sz w:val="20"/>
                <w:lang w:eastAsia="en-GB"/>
              </w:rPr>
              <w:t xml:space="preserve">Competency Check </w:t>
            </w:r>
            <w:r w:rsidRPr="00650C20">
              <w:rPr>
                <w:rFonts w:ascii="Times New Roman" w:hAnsi="Times New Roman"/>
                <w:b/>
                <w:bCs/>
                <w:sz w:val="20"/>
                <w:lang w:eastAsia="en-GB"/>
              </w:rPr>
              <w:t>target for Year 1</w:t>
            </w:r>
          </w:p>
        </w:tc>
        <w:tc>
          <w:tcPr>
            <w:tcW w:w="14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568D9A" w14:textId="264E8F84" w:rsidR="007610E2" w:rsidRPr="00650C20" w:rsidRDefault="00650C20">
            <w:pPr>
              <w:spacing w:line="276" w:lineRule="auto"/>
              <w:jc w:val="right"/>
              <w:rPr>
                <w:rFonts w:ascii="Times New Roman" w:hAnsi="Times New Roman"/>
                <w:b/>
                <w:bCs/>
                <w:sz w:val="20"/>
                <w:lang w:eastAsia="en-GB"/>
              </w:rPr>
            </w:pPr>
            <w:r w:rsidRPr="00650C20">
              <w:t>48722</w:t>
            </w:r>
          </w:p>
        </w:tc>
      </w:tr>
      <w:tr w:rsidR="007610E2" w14:paraId="15C2C704" w14:textId="77777777" w:rsidTr="007610E2">
        <w:tc>
          <w:tcPr>
            <w:tcW w:w="694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4D86E7" w14:textId="77777777" w:rsidR="007610E2" w:rsidRPr="00650C20" w:rsidRDefault="007610E2">
            <w:pPr>
              <w:spacing w:line="276" w:lineRule="auto"/>
              <w:rPr>
                <w:rFonts w:ascii="Times New Roman" w:hAnsi="Times New Roman"/>
                <w:sz w:val="20"/>
                <w:lang w:eastAsia="en-GB"/>
              </w:rPr>
            </w:pPr>
            <w:r w:rsidRPr="00650C20">
              <w:rPr>
                <w:rFonts w:ascii="Times New Roman" w:hAnsi="Times New Roman"/>
                <w:sz w:val="20"/>
                <w:lang w:eastAsia="en-GB"/>
              </w:rPr>
              <w:t>Large Businesses (planned)</w:t>
            </w:r>
          </w:p>
        </w:tc>
        <w:tc>
          <w:tcPr>
            <w:tcW w:w="1474" w:type="dxa"/>
            <w:tcBorders>
              <w:top w:val="nil"/>
              <w:left w:val="nil"/>
              <w:bottom w:val="single" w:sz="8" w:space="0" w:color="auto"/>
              <w:right w:val="single" w:sz="8" w:space="0" w:color="auto"/>
            </w:tcBorders>
            <w:tcMar>
              <w:top w:w="0" w:type="dxa"/>
              <w:left w:w="108" w:type="dxa"/>
              <w:bottom w:w="0" w:type="dxa"/>
              <w:right w:w="108" w:type="dxa"/>
            </w:tcMar>
            <w:hideMark/>
          </w:tcPr>
          <w:p w14:paraId="383CF654" w14:textId="663B52BD" w:rsidR="007610E2" w:rsidRPr="00650C20" w:rsidRDefault="00650C20" w:rsidP="00100601">
            <w:pPr>
              <w:spacing w:line="276" w:lineRule="auto"/>
              <w:jc w:val="right"/>
              <w:rPr>
                <w:rFonts w:ascii="Times New Roman" w:hAnsi="Times New Roman"/>
                <w:sz w:val="20"/>
                <w:lang w:eastAsia="en-GB"/>
              </w:rPr>
            </w:pPr>
            <w:r>
              <w:t>4169</w:t>
            </w:r>
          </w:p>
        </w:tc>
      </w:tr>
      <w:tr w:rsidR="007610E2" w14:paraId="09FCA796" w14:textId="77777777" w:rsidTr="007610E2">
        <w:tc>
          <w:tcPr>
            <w:tcW w:w="694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599767" w14:textId="77777777" w:rsidR="007610E2" w:rsidRPr="00650C20" w:rsidRDefault="007610E2">
            <w:pPr>
              <w:spacing w:line="276" w:lineRule="auto"/>
              <w:rPr>
                <w:rFonts w:ascii="Times New Roman" w:hAnsi="Times New Roman"/>
                <w:sz w:val="20"/>
                <w:lang w:eastAsia="en-GB"/>
              </w:rPr>
            </w:pPr>
            <w:r w:rsidRPr="00650C20">
              <w:rPr>
                <w:rFonts w:ascii="Times New Roman" w:hAnsi="Times New Roman"/>
                <w:sz w:val="20"/>
                <w:lang w:eastAsia="en-GB"/>
              </w:rPr>
              <w:t>Lower risk small Businesses (planned)</w:t>
            </w:r>
          </w:p>
        </w:tc>
        <w:tc>
          <w:tcPr>
            <w:tcW w:w="1474" w:type="dxa"/>
            <w:tcBorders>
              <w:top w:val="nil"/>
              <w:left w:val="nil"/>
              <w:bottom w:val="single" w:sz="8" w:space="0" w:color="auto"/>
              <w:right w:val="single" w:sz="8" w:space="0" w:color="auto"/>
            </w:tcBorders>
            <w:tcMar>
              <w:top w:w="0" w:type="dxa"/>
              <w:left w:w="108" w:type="dxa"/>
              <w:bottom w:w="0" w:type="dxa"/>
              <w:right w:w="108" w:type="dxa"/>
            </w:tcMar>
            <w:hideMark/>
          </w:tcPr>
          <w:p w14:paraId="4412380A" w14:textId="079AA8EB" w:rsidR="007610E2" w:rsidRPr="00650C20" w:rsidRDefault="00650C20">
            <w:pPr>
              <w:spacing w:line="276" w:lineRule="auto"/>
              <w:jc w:val="right"/>
              <w:rPr>
                <w:rFonts w:ascii="Times New Roman" w:hAnsi="Times New Roman"/>
                <w:sz w:val="20"/>
                <w:lang w:eastAsia="en-GB"/>
              </w:rPr>
            </w:pPr>
            <w:r>
              <w:t>9292</w:t>
            </w:r>
          </w:p>
        </w:tc>
      </w:tr>
      <w:tr w:rsidR="007610E2" w14:paraId="35DEFC36" w14:textId="77777777" w:rsidTr="007610E2">
        <w:trPr>
          <w:trHeight w:val="606"/>
        </w:trPr>
        <w:tc>
          <w:tcPr>
            <w:tcW w:w="694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B5D1B3" w14:textId="77777777" w:rsidR="007610E2" w:rsidRPr="00650C20" w:rsidRDefault="007610E2">
            <w:pPr>
              <w:spacing w:line="276" w:lineRule="auto"/>
              <w:rPr>
                <w:rFonts w:ascii="Times New Roman" w:hAnsi="Times New Roman"/>
                <w:sz w:val="20"/>
                <w:lang w:eastAsia="en-GB"/>
              </w:rPr>
            </w:pPr>
            <w:r w:rsidRPr="00650C20">
              <w:rPr>
                <w:rFonts w:ascii="Times New Roman" w:hAnsi="Times New Roman"/>
                <w:sz w:val="20"/>
                <w:lang w:eastAsia="en-GB"/>
              </w:rPr>
              <w:t>Remainder of Inspections (delivered as site visits):</w:t>
            </w:r>
          </w:p>
        </w:tc>
        <w:tc>
          <w:tcPr>
            <w:tcW w:w="1474" w:type="dxa"/>
            <w:vMerge w:val="restart"/>
            <w:tcBorders>
              <w:top w:val="nil"/>
              <w:left w:val="nil"/>
              <w:bottom w:val="single" w:sz="8" w:space="0" w:color="auto"/>
              <w:right w:val="single" w:sz="8" w:space="0" w:color="auto"/>
            </w:tcBorders>
            <w:tcMar>
              <w:top w:w="0" w:type="dxa"/>
              <w:left w:w="108" w:type="dxa"/>
              <w:bottom w:w="0" w:type="dxa"/>
              <w:right w:w="108" w:type="dxa"/>
            </w:tcMar>
          </w:tcPr>
          <w:p w14:paraId="3224E033" w14:textId="1D2A5BA6" w:rsidR="007610E2" w:rsidRPr="00650C20" w:rsidRDefault="00650C20">
            <w:pPr>
              <w:spacing w:line="276" w:lineRule="auto"/>
              <w:jc w:val="right"/>
              <w:rPr>
                <w:rFonts w:ascii="Times New Roman" w:hAnsi="Times New Roman"/>
                <w:sz w:val="20"/>
                <w:lang w:eastAsia="en-GB"/>
              </w:rPr>
            </w:pPr>
            <w:r>
              <w:t>35260</w:t>
            </w:r>
          </w:p>
          <w:p w14:paraId="4BB9D4C6" w14:textId="77777777" w:rsidR="007610E2" w:rsidRPr="00650C20" w:rsidRDefault="007610E2">
            <w:pPr>
              <w:spacing w:line="276" w:lineRule="auto"/>
              <w:rPr>
                <w:rFonts w:ascii="Times New Roman" w:hAnsi="Times New Roman"/>
                <w:sz w:val="20"/>
                <w:lang w:eastAsia="en-GB"/>
              </w:rPr>
            </w:pPr>
          </w:p>
          <w:p w14:paraId="33249E60" w14:textId="77777777" w:rsidR="007610E2" w:rsidRPr="00650C20" w:rsidRDefault="007610E2">
            <w:pPr>
              <w:spacing w:line="276" w:lineRule="auto"/>
              <w:jc w:val="right"/>
              <w:rPr>
                <w:rFonts w:ascii="Times New Roman" w:hAnsi="Times New Roman"/>
                <w:sz w:val="20"/>
                <w:lang w:eastAsia="en-GB"/>
              </w:rPr>
            </w:pPr>
          </w:p>
          <w:p w14:paraId="1EDC98AD" w14:textId="77777777" w:rsidR="007610E2" w:rsidRPr="00650C20" w:rsidRDefault="007610E2">
            <w:pPr>
              <w:spacing w:line="276" w:lineRule="auto"/>
              <w:jc w:val="right"/>
              <w:rPr>
                <w:rFonts w:ascii="Times New Roman" w:hAnsi="Times New Roman"/>
                <w:sz w:val="20"/>
                <w:lang w:eastAsia="en-GB"/>
              </w:rPr>
            </w:pPr>
          </w:p>
          <w:p w14:paraId="0FD9E97C" w14:textId="77777777" w:rsidR="007610E2" w:rsidRPr="00650C20" w:rsidRDefault="007610E2">
            <w:pPr>
              <w:spacing w:line="276" w:lineRule="auto"/>
              <w:jc w:val="right"/>
              <w:rPr>
                <w:rFonts w:ascii="Times New Roman" w:hAnsi="Times New Roman"/>
                <w:sz w:val="20"/>
                <w:lang w:eastAsia="en-GB"/>
              </w:rPr>
            </w:pPr>
          </w:p>
        </w:tc>
      </w:tr>
      <w:tr w:rsidR="007610E2" w14:paraId="588B7BB8" w14:textId="77777777" w:rsidTr="007610E2">
        <w:trPr>
          <w:trHeight w:val="1254"/>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E6601" w14:textId="77777777" w:rsidR="007610E2" w:rsidRDefault="007610E2">
            <w:pPr>
              <w:spacing w:line="276" w:lineRule="auto"/>
              <w:rPr>
                <w:rFonts w:ascii="Times New Roman" w:hAnsi="Times New Roman"/>
                <w:sz w:val="20"/>
                <w:lang w:eastAsia="en-GB"/>
              </w:rPr>
            </w:pPr>
            <w:r>
              <w:rPr>
                <w:rFonts w:ascii="Times New Roman" w:hAnsi="Times New Roman"/>
                <w:sz w:val="20"/>
                <w:lang w:eastAsia="en-GB"/>
              </w:rPr>
              <w:t>Planned (small Businesses)</w:t>
            </w:r>
          </w:p>
          <w:p w14:paraId="7A1C0BA7" w14:textId="77777777" w:rsidR="007610E2" w:rsidRDefault="007610E2">
            <w:pPr>
              <w:spacing w:line="276" w:lineRule="auto"/>
              <w:rPr>
                <w:rFonts w:ascii="Times New Roman" w:hAnsi="Times New Roman"/>
                <w:sz w:val="20"/>
                <w:lang w:eastAsia="en-GB"/>
              </w:rPr>
            </w:pPr>
            <w:r>
              <w:rPr>
                <w:rFonts w:ascii="Times New Roman" w:hAnsi="Times New Roman"/>
                <w:sz w:val="20"/>
                <w:lang w:eastAsia="en-GB"/>
              </w:rPr>
              <w:t xml:space="preserve">(Medium risk, Higher risk, Targeted and probationary Businesses)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20F7F6F6" w14:textId="3D4BA351" w:rsidR="007610E2" w:rsidRPr="00650C20" w:rsidRDefault="00650C20">
            <w:pPr>
              <w:spacing w:line="276" w:lineRule="auto"/>
              <w:jc w:val="right"/>
              <w:rPr>
                <w:rFonts w:ascii="Times New Roman" w:hAnsi="Times New Roman"/>
                <w:sz w:val="20"/>
                <w:lang w:eastAsia="en-GB"/>
              </w:rPr>
            </w:pPr>
            <w:r>
              <w:t>29567</w:t>
            </w:r>
          </w:p>
        </w:tc>
        <w:tc>
          <w:tcPr>
            <w:tcW w:w="0" w:type="auto"/>
            <w:vMerge/>
            <w:tcBorders>
              <w:top w:val="nil"/>
              <w:left w:val="nil"/>
              <w:bottom w:val="single" w:sz="8" w:space="0" w:color="auto"/>
              <w:right w:val="single" w:sz="8" w:space="0" w:color="auto"/>
            </w:tcBorders>
            <w:vAlign w:val="center"/>
            <w:hideMark/>
          </w:tcPr>
          <w:p w14:paraId="63CA076B" w14:textId="77777777" w:rsidR="007610E2" w:rsidRPr="00650C20" w:rsidRDefault="007610E2">
            <w:pPr>
              <w:rPr>
                <w:rFonts w:ascii="Times New Roman" w:eastAsiaTheme="minorHAnsi" w:hAnsi="Times New Roman"/>
                <w:sz w:val="20"/>
                <w:lang w:eastAsia="en-GB"/>
              </w:rPr>
            </w:pPr>
          </w:p>
        </w:tc>
      </w:tr>
      <w:tr w:rsidR="007610E2" w14:paraId="6529CD48" w14:textId="77777777" w:rsidTr="007610E2">
        <w:trPr>
          <w:trHeight w:val="1254"/>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16389A" w14:textId="77777777" w:rsidR="007610E2" w:rsidRDefault="007610E2">
            <w:pPr>
              <w:spacing w:line="276" w:lineRule="auto"/>
              <w:rPr>
                <w:rFonts w:ascii="Times New Roman" w:hAnsi="Times New Roman"/>
                <w:sz w:val="20"/>
                <w:lang w:eastAsia="en-GB"/>
              </w:rPr>
            </w:pPr>
            <w:r>
              <w:rPr>
                <w:rFonts w:ascii="Times New Roman" w:hAnsi="Times New Roman"/>
                <w:sz w:val="20"/>
                <w:lang w:eastAsia="en-GB"/>
              </w:rPr>
              <w:t>Reactive / Unplanned (total):</w:t>
            </w:r>
          </w:p>
          <w:p w14:paraId="41866854" w14:textId="77777777" w:rsidR="007610E2" w:rsidRDefault="007610E2">
            <w:pPr>
              <w:spacing w:line="276" w:lineRule="auto"/>
              <w:rPr>
                <w:rFonts w:ascii="Times New Roman" w:hAnsi="Times New Roman"/>
                <w:sz w:val="20"/>
                <w:lang w:eastAsia="en-GB"/>
              </w:rPr>
            </w:pPr>
            <w:r>
              <w:rPr>
                <w:rFonts w:ascii="Times New Roman" w:hAnsi="Times New Roman"/>
                <w:sz w:val="20"/>
                <w:lang w:eastAsia="en-GB"/>
              </w:rPr>
              <w:t>Comprising:</w:t>
            </w:r>
          </w:p>
          <w:p w14:paraId="5C5D2612" w14:textId="09F8186C" w:rsidR="007610E2" w:rsidRDefault="007610E2">
            <w:pPr>
              <w:spacing w:line="276" w:lineRule="auto"/>
              <w:rPr>
                <w:rFonts w:ascii="Times New Roman" w:hAnsi="Times New Roman"/>
                <w:i/>
                <w:iCs/>
                <w:sz w:val="20"/>
                <w:lang w:eastAsia="en-GB"/>
              </w:rPr>
            </w:pPr>
            <w:r>
              <w:rPr>
                <w:rFonts w:ascii="Times New Roman" w:hAnsi="Times New Roman"/>
                <w:i/>
                <w:iCs/>
                <w:sz w:val="20"/>
                <w:lang w:eastAsia="en-GB"/>
              </w:rPr>
              <w:t>Complaints</w:t>
            </w:r>
            <w:r w:rsidR="00750195">
              <w:rPr>
                <w:rFonts w:ascii="Times New Roman" w:hAnsi="Times New Roman"/>
                <w:i/>
                <w:iCs/>
                <w:sz w:val="20"/>
                <w:lang w:eastAsia="en-GB"/>
              </w:rPr>
              <w:t xml:space="preserve"> Inspections</w:t>
            </w:r>
          </w:p>
          <w:p w14:paraId="7C8A6C48" w14:textId="210B99F4" w:rsidR="007610E2" w:rsidRDefault="007610E2">
            <w:pPr>
              <w:spacing w:line="276" w:lineRule="auto"/>
              <w:rPr>
                <w:rFonts w:ascii="Times New Roman" w:hAnsi="Times New Roman"/>
                <w:i/>
                <w:iCs/>
                <w:sz w:val="20"/>
                <w:lang w:eastAsia="en-GB"/>
              </w:rPr>
            </w:pPr>
            <w:r>
              <w:rPr>
                <w:rFonts w:ascii="Times New Roman" w:hAnsi="Times New Roman"/>
                <w:i/>
                <w:iCs/>
                <w:sz w:val="20"/>
                <w:lang w:eastAsia="en-GB"/>
              </w:rPr>
              <w:t>Illegal Gas Work</w:t>
            </w:r>
            <w:r w:rsidR="00750195">
              <w:rPr>
                <w:rFonts w:ascii="Times New Roman" w:hAnsi="Times New Roman"/>
                <w:i/>
                <w:iCs/>
                <w:sz w:val="20"/>
                <w:lang w:eastAsia="en-GB"/>
              </w:rPr>
              <w:t xml:space="preserve"> Investigations</w:t>
            </w:r>
          </w:p>
          <w:p w14:paraId="65690E00" w14:textId="360B8DA8" w:rsidR="007610E2" w:rsidRDefault="007610E2" w:rsidP="00750195">
            <w:pPr>
              <w:spacing w:line="276" w:lineRule="auto"/>
              <w:rPr>
                <w:rFonts w:ascii="Times New Roman" w:hAnsi="Times New Roman"/>
                <w:i/>
                <w:iCs/>
                <w:sz w:val="20"/>
                <w:lang w:eastAsia="en-GB"/>
              </w:rPr>
            </w:pPr>
            <w:r>
              <w:rPr>
                <w:rFonts w:ascii="Times New Roman" w:hAnsi="Times New Roman"/>
                <w:i/>
                <w:iCs/>
                <w:sz w:val="20"/>
                <w:lang w:eastAsia="en-GB"/>
              </w:rPr>
              <w:t xml:space="preserve">Support </w:t>
            </w:r>
            <w:r w:rsidR="00750195">
              <w:rPr>
                <w:rFonts w:ascii="Times New Roman" w:hAnsi="Times New Roman"/>
                <w:i/>
                <w:iCs/>
                <w:sz w:val="20"/>
                <w:lang w:eastAsia="en-GB"/>
              </w:rPr>
              <w:t>Investigations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0D578E0D" w14:textId="01A71C2F" w:rsidR="00207185" w:rsidRPr="00100601" w:rsidRDefault="00650C20" w:rsidP="00100601">
            <w:pPr>
              <w:spacing w:line="276" w:lineRule="auto"/>
              <w:jc w:val="right"/>
              <w:rPr>
                <w:rFonts w:ascii="Times New Roman" w:hAnsi="Times New Roman"/>
                <w:sz w:val="20"/>
                <w:lang w:eastAsia="en-GB"/>
              </w:rPr>
            </w:pPr>
            <w:r>
              <w:t>5693</w:t>
            </w:r>
          </w:p>
          <w:p w14:paraId="555F4177" w14:textId="77777777" w:rsidR="00100601" w:rsidRDefault="00100601">
            <w:pPr>
              <w:spacing w:line="276" w:lineRule="auto"/>
              <w:jc w:val="right"/>
            </w:pPr>
          </w:p>
          <w:p w14:paraId="428A1563" w14:textId="14B09560" w:rsidR="00207185" w:rsidRPr="00650C20" w:rsidRDefault="00B635E4">
            <w:pPr>
              <w:spacing w:line="276" w:lineRule="auto"/>
              <w:jc w:val="right"/>
            </w:pPr>
            <w:r w:rsidRPr="00650C20">
              <w:t>4593</w:t>
            </w:r>
          </w:p>
          <w:p w14:paraId="1C8FD423" w14:textId="53879886" w:rsidR="00207185" w:rsidRPr="00650C20" w:rsidRDefault="00B635E4">
            <w:pPr>
              <w:spacing w:line="276" w:lineRule="auto"/>
              <w:jc w:val="right"/>
            </w:pPr>
            <w:r w:rsidRPr="00650C20">
              <w:t>600</w:t>
            </w:r>
          </w:p>
          <w:p w14:paraId="6E2CC7DF" w14:textId="6B6AEB26" w:rsidR="007610E2" w:rsidRPr="00650C20" w:rsidRDefault="00650C20">
            <w:pPr>
              <w:spacing w:line="276" w:lineRule="auto"/>
              <w:jc w:val="right"/>
              <w:rPr>
                <w:rFonts w:ascii="Times New Roman" w:hAnsi="Times New Roman"/>
                <w:sz w:val="20"/>
                <w:lang w:eastAsia="en-GB"/>
              </w:rPr>
            </w:pPr>
            <w:r>
              <w:t>500</w:t>
            </w:r>
          </w:p>
        </w:tc>
        <w:tc>
          <w:tcPr>
            <w:tcW w:w="0" w:type="auto"/>
            <w:vMerge/>
            <w:tcBorders>
              <w:top w:val="nil"/>
              <w:left w:val="nil"/>
              <w:bottom w:val="single" w:sz="8" w:space="0" w:color="auto"/>
              <w:right w:val="single" w:sz="8" w:space="0" w:color="auto"/>
            </w:tcBorders>
            <w:vAlign w:val="center"/>
            <w:hideMark/>
          </w:tcPr>
          <w:p w14:paraId="46FCA3EE" w14:textId="77777777" w:rsidR="007610E2" w:rsidRPr="00650C20" w:rsidRDefault="007610E2">
            <w:pPr>
              <w:rPr>
                <w:rFonts w:ascii="Times New Roman" w:eastAsiaTheme="minorHAnsi" w:hAnsi="Times New Roman"/>
                <w:sz w:val="20"/>
                <w:lang w:eastAsia="en-GB"/>
              </w:rPr>
            </w:pPr>
          </w:p>
        </w:tc>
      </w:tr>
      <w:bookmarkEnd w:id="147"/>
    </w:tbl>
    <w:p w14:paraId="069E1807" w14:textId="28AA29FB" w:rsidR="001C7185" w:rsidRPr="001A1836" w:rsidRDefault="001C7185" w:rsidP="007F578C">
      <w:pPr>
        <w:pStyle w:val="numberedpara"/>
        <w:numPr>
          <w:ilvl w:val="0"/>
          <w:numId w:val="0"/>
        </w:numPr>
        <w:spacing w:line="276" w:lineRule="auto"/>
        <w:rPr>
          <w:rFonts w:cs="Arial"/>
        </w:rPr>
      </w:pPr>
    </w:p>
    <w:p w14:paraId="069E1808" w14:textId="72B69C31" w:rsidR="00815E57" w:rsidRPr="001A1836" w:rsidRDefault="001C7185">
      <w:pPr>
        <w:pStyle w:val="GSRL4numberedclause"/>
        <w:spacing w:line="276" w:lineRule="auto"/>
      </w:pPr>
      <w:r w:rsidRPr="001A1836">
        <w:t>For Year 2 onwards</w:t>
      </w:r>
      <w:r w:rsidR="002603A2" w:rsidRPr="001A1836">
        <w:t>,</w:t>
      </w:r>
      <w:r w:rsidRPr="001A1836">
        <w:t xml:space="preserve"> p</w:t>
      </w:r>
      <w:r w:rsidR="000358C4" w:rsidRPr="001A1836">
        <w:t>lanned</w:t>
      </w:r>
      <w:r w:rsidR="0049769F">
        <w:t xml:space="preserve"> </w:t>
      </w:r>
      <w:r w:rsidR="00750195">
        <w:t>C</w:t>
      </w:r>
      <w:r w:rsidR="0049769F">
        <w:t xml:space="preserve">ompetency </w:t>
      </w:r>
      <w:r w:rsidR="00750195">
        <w:t>C</w:t>
      </w:r>
      <w:r w:rsidR="0049769F">
        <w:t>hecks</w:t>
      </w:r>
      <w:r w:rsidR="004368C1" w:rsidRPr="001A1836">
        <w:t xml:space="preserve"> targets for a Contract Year </w:t>
      </w:r>
      <w:r w:rsidR="00CF5F1E" w:rsidRPr="001A1836">
        <w:t>shall</w:t>
      </w:r>
      <w:r w:rsidR="004368C1" w:rsidRPr="001A1836">
        <w:t xml:space="preserve"> be generated annually </w:t>
      </w:r>
      <w:r w:rsidR="00070DAA" w:rsidRPr="001A1836">
        <w:t>based on</w:t>
      </w:r>
      <w:r w:rsidR="00815E57" w:rsidRPr="001A1836">
        <w:t>:</w:t>
      </w:r>
    </w:p>
    <w:p w14:paraId="069E1809" w14:textId="19C573C8" w:rsidR="00815E57" w:rsidRPr="001A1836" w:rsidRDefault="004368C1">
      <w:pPr>
        <w:pStyle w:val="GSRL5numberedclause"/>
      </w:pPr>
      <w:r w:rsidRPr="001A1836">
        <w:t xml:space="preserve">the number of </w:t>
      </w:r>
      <w:r w:rsidR="00DF533D" w:rsidRPr="001A1836">
        <w:t>Registered B</w:t>
      </w:r>
      <w:r w:rsidRPr="001A1836">
        <w:t xml:space="preserve">usinesses in each </w:t>
      </w:r>
      <w:r w:rsidR="00750195">
        <w:t>R</w:t>
      </w:r>
      <w:r w:rsidRPr="001A1836">
        <w:t xml:space="preserve">isk </w:t>
      </w:r>
      <w:r w:rsidR="00750195">
        <w:t xml:space="preserve">Category </w:t>
      </w:r>
      <w:r w:rsidRPr="001A1836">
        <w:t>or</w:t>
      </w:r>
      <w:r w:rsidR="00423EA0">
        <w:t xml:space="preserve"> </w:t>
      </w:r>
      <w:r w:rsidR="00750195">
        <w:t>C</w:t>
      </w:r>
      <w:r w:rsidR="00423EA0">
        <w:t xml:space="preserve">ompetency </w:t>
      </w:r>
      <w:r w:rsidR="00750195">
        <w:t>C</w:t>
      </w:r>
      <w:r w:rsidR="00423EA0">
        <w:t>heck</w:t>
      </w:r>
      <w:r w:rsidRPr="001A1836">
        <w:t xml:space="preserve"> </w:t>
      </w:r>
      <w:r w:rsidR="00C12E0B" w:rsidRPr="001A1836">
        <w:t>category as at</w:t>
      </w:r>
      <w:r w:rsidR="00530149" w:rsidRPr="001A1836">
        <w:t xml:space="preserve"> 1 January</w:t>
      </w:r>
      <w:r w:rsidR="00C12E0B" w:rsidRPr="001A1836">
        <w:t xml:space="preserve"> </w:t>
      </w:r>
      <w:r w:rsidR="004E7C7C" w:rsidRPr="001A1836">
        <w:t>immediately prio</w:t>
      </w:r>
      <w:r w:rsidR="005D536F" w:rsidRPr="001A1836">
        <w:t>r to the start of the Contract Y</w:t>
      </w:r>
      <w:r w:rsidR="004E7C7C" w:rsidRPr="001A1836">
        <w:t>ear in question</w:t>
      </w:r>
      <w:r w:rsidR="00815E57" w:rsidRPr="001A1836">
        <w:t>;</w:t>
      </w:r>
      <w:r w:rsidR="00C12E0B" w:rsidRPr="001A1836">
        <w:t xml:space="preserve"> </w:t>
      </w:r>
      <w:r w:rsidRPr="001A1836">
        <w:t xml:space="preserve">and </w:t>
      </w:r>
    </w:p>
    <w:p w14:paraId="069E180A" w14:textId="0389B1CB" w:rsidR="00E224D0" w:rsidRPr="001A1836" w:rsidRDefault="00C12E0B">
      <w:pPr>
        <w:pStyle w:val="GSRL5numberedclause"/>
      </w:pPr>
      <w:r w:rsidRPr="001A1836">
        <w:t>the</w:t>
      </w:r>
      <w:r w:rsidR="00423EA0">
        <w:t xml:space="preserve"> </w:t>
      </w:r>
      <w:r w:rsidR="00146D5C">
        <w:t>C</w:t>
      </w:r>
      <w:r w:rsidR="00423EA0">
        <w:t xml:space="preserve">ompetency </w:t>
      </w:r>
      <w:r w:rsidR="00146D5C">
        <w:t>C</w:t>
      </w:r>
      <w:r w:rsidR="00423EA0">
        <w:t xml:space="preserve">heck </w:t>
      </w:r>
      <w:r w:rsidR="00146D5C">
        <w:t>R</w:t>
      </w:r>
      <w:r w:rsidR="004368C1" w:rsidRPr="001A1836">
        <w:t xml:space="preserve">ates detailed in </w:t>
      </w:r>
      <w:r w:rsidR="000B3733" w:rsidRPr="001A1836">
        <w:t xml:space="preserve">Table </w:t>
      </w:r>
      <w:r w:rsidRPr="001A1836">
        <w:t>2</w:t>
      </w:r>
      <w:r w:rsidR="00492C0C" w:rsidRPr="001A1836">
        <w:t xml:space="preserve"> or such revised rates as HSE shall determine following the review referred to in paragraph 4.11.</w:t>
      </w:r>
    </w:p>
    <w:p w14:paraId="069E180B" w14:textId="5FE02455" w:rsidR="002B12BA" w:rsidRPr="001A1836" w:rsidRDefault="00E224D0">
      <w:pPr>
        <w:pStyle w:val="GSRL4numberedclause"/>
      </w:pPr>
      <w:r w:rsidRPr="001A1836">
        <w:t>For Year 2 onwards, reactive</w:t>
      </w:r>
      <w:r w:rsidR="002B12BA" w:rsidRPr="001A1836">
        <w:t>/unplanned</w:t>
      </w:r>
      <w:r w:rsidR="00423EA0">
        <w:t xml:space="preserve"> </w:t>
      </w:r>
      <w:r w:rsidR="00146D5C">
        <w:t>C</w:t>
      </w:r>
      <w:r w:rsidR="00423EA0">
        <w:t xml:space="preserve">ompetency </w:t>
      </w:r>
      <w:r w:rsidR="00146D5C">
        <w:t>C</w:t>
      </w:r>
      <w:r w:rsidR="00423EA0">
        <w:t>heck</w:t>
      </w:r>
      <w:r w:rsidRPr="001A1836">
        <w:t xml:space="preserve"> targets for a Contract Year shall be based on the forecasts in Table 3. These fore</w:t>
      </w:r>
      <w:r w:rsidR="002B12BA" w:rsidRPr="001A1836">
        <w:t>casts will be reviewed annually by HSE prior to the commencement of the next Contract Year, and HSE shall then determine any required adjustment to the forecast after consultation with the Provider.</w:t>
      </w:r>
    </w:p>
    <w:p w14:paraId="069E180C" w14:textId="64208445" w:rsidR="00815E57" w:rsidRPr="001A1836" w:rsidRDefault="002B12BA">
      <w:pPr>
        <w:pStyle w:val="GSRL4numberedclause"/>
      </w:pPr>
      <w:r w:rsidRPr="001A1836">
        <w:t>If the number of any category of unplanned/reactive</w:t>
      </w:r>
      <w:r w:rsidR="00423EA0">
        <w:t xml:space="preserve"> </w:t>
      </w:r>
      <w:r w:rsidR="00146D5C">
        <w:t>C</w:t>
      </w:r>
      <w:r w:rsidR="00423EA0">
        <w:t xml:space="preserve">ompetency </w:t>
      </w:r>
      <w:r w:rsidR="00146D5C">
        <w:t>C</w:t>
      </w:r>
      <w:r w:rsidR="00423EA0">
        <w:t>hecks</w:t>
      </w:r>
      <w:r w:rsidRPr="001A1836">
        <w:t xml:space="preserve"> in Year 2 onwards exceeds (or is likely to exceed) the forecast number, HSE shall adjust the number of other</w:t>
      </w:r>
      <w:r w:rsidR="00423EA0">
        <w:t xml:space="preserve"> </w:t>
      </w:r>
      <w:r w:rsidR="00146D5C">
        <w:t>C</w:t>
      </w:r>
      <w:r w:rsidR="00423EA0">
        <w:t xml:space="preserve">ompetency </w:t>
      </w:r>
      <w:r w:rsidR="00146D5C">
        <w:t>C</w:t>
      </w:r>
      <w:r w:rsidR="00423EA0">
        <w:t>hecks</w:t>
      </w:r>
      <w:r w:rsidRPr="001A1836">
        <w:t xml:space="preserve"> to be carried out under paragraphs 4.15 and 4.16 so that they do not exceed the number required by those paragraphs in aggregate for the Contract Year in question.</w:t>
      </w:r>
      <w:r w:rsidR="004368C1" w:rsidRPr="001A1836">
        <w:t xml:space="preserve"> </w:t>
      </w:r>
    </w:p>
    <w:p w14:paraId="069E180D" w14:textId="77777777" w:rsidR="004368C1" w:rsidRPr="001A1836" w:rsidRDefault="004368C1" w:rsidP="007F578C">
      <w:pPr>
        <w:spacing w:after="0" w:line="276" w:lineRule="auto"/>
        <w:rPr>
          <w:rFonts w:cs="Arial"/>
          <w:kern w:val="0"/>
          <w:szCs w:val="24"/>
        </w:rPr>
      </w:pPr>
    </w:p>
    <w:p w14:paraId="069E180F" w14:textId="216CF9B6" w:rsidR="004368C1" w:rsidRPr="001A1836" w:rsidRDefault="004368C1" w:rsidP="00C62EAF">
      <w:pPr>
        <w:spacing w:before="0" w:after="0"/>
        <w:rPr>
          <w:rFonts w:cs="Arial"/>
          <w:b/>
          <w:kern w:val="0"/>
          <w:szCs w:val="24"/>
        </w:rPr>
      </w:pPr>
      <w:r w:rsidRPr="001A1836">
        <w:rPr>
          <w:rFonts w:cs="Arial"/>
          <w:b/>
          <w:kern w:val="0"/>
        </w:rPr>
        <w:t xml:space="preserve">Table </w:t>
      </w:r>
      <w:r w:rsidR="00C12E0B" w:rsidRPr="001A1836">
        <w:rPr>
          <w:rFonts w:cs="Arial"/>
          <w:b/>
          <w:kern w:val="0"/>
        </w:rPr>
        <w:t>2</w:t>
      </w:r>
      <w:r w:rsidRPr="001A1836">
        <w:rPr>
          <w:rFonts w:cs="Arial"/>
          <w:b/>
          <w:kern w:val="0"/>
        </w:rPr>
        <w:t xml:space="preserve"> </w:t>
      </w:r>
      <w:bookmarkStart w:id="148" w:name="_Hlk136614732"/>
      <w:r w:rsidR="00F82D0C">
        <w:rPr>
          <w:rFonts w:cs="Arial"/>
          <w:kern w:val="0"/>
        </w:rPr>
        <w:t xml:space="preserve">Competency Check </w:t>
      </w:r>
      <w:r w:rsidR="00146D5C">
        <w:rPr>
          <w:rFonts w:cs="Arial"/>
          <w:kern w:val="0"/>
        </w:rPr>
        <w:t>R</w:t>
      </w:r>
      <w:r w:rsidRPr="001A1836">
        <w:rPr>
          <w:rFonts w:cs="Arial"/>
          <w:kern w:val="0"/>
        </w:rPr>
        <w:t xml:space="preserve">ate by business </w:t>
      </w:r>
      <w:r w:rsidR="00146D5C">
        <w:rPr>
          <w:rFonts w:cs="Arial"/>
          <w:kern w:val="0"/>
        </w:rPr>
        <w:t>R</w:t>
      </w:r>
      <w:r w:rsidRPr="001A1836">
        <w:rPr>
          <w:rFonts w:cs="Arial"/>
          <w:kern w:val="0"/>
        </w:rPr>
        <w:t xml:space="preserve">isk </w:t>
      </w:r>
      <w:r w:rsidR="00146D5C">
        <w:rPr>
          <w:rFonts w:cs="Arial"/>
          <w:kern w:val="0"/>
        </w:rPr>
        <w:t>C</w:t>
      </w:r>
      <w:r w:rsidRPr="001A1836">
        <w:rPr>
          <w:rFonts w:cs="Arial"/>
          <w:kern w:val="0"/>
        </w:rPr>
        <w:t>ategory</w:t>
      </w:r>
      <w:r w:rsidR="00F505AA" w:rsidRPr="001A1836">
        <w:rPr>
          <w:rFonts w:cs="Arial"/>
          <w:kern w:val="0"/>
        </w:rPr>
        <w:t xml:space="preserve"> (for Year 2 onwards)</w:t>
      </w:r>
      <w:bookmarkEnd w:id="148"/>
    </w:p>
    <w:p w14:paraId="069E1810" w14:textId="77777777" w:rsidR="004368C1" w:rsidRPr="001A1836" w:rsidRDefault="004368C1" w:rsidP="007F578C">
      <w:pPr>
        <w:spacing w:after="0" w:line="276" w:lineRule="auto"/>
        <w:rPr>
          <w:rFonts w:cs="Arial"/>
          <w:kern w:val="0"/>
          <w:szCs w:val="24"/>
        </w:rPr>
      </w:pPr>
    </w:p>
    <w:tbl>
      <w:tblPr>
        <w:tblStyle w:val="TableGrid71"/>
        <w:tblW w:w="0" w:type="auto"/>
        <w:tblInd w:w="108" w:type="dxa"/>
        <w:tblLook w:val="04A0" w:firstRow="1" w:lastRow="0" w:firstColumn="1" w:lastColumn="0" w:noHBand="0" w:noVBand="1"/>
      </w:tblPr>
      <w:tblGrid>
        <w:gridCol w:w="5103"/>
        <w:gridCol w:w="3317"/>
      </w:tblGrid>
      <w:tr w:rsidR="004368C1" w:rsidRPr="001A1836" w14:paraId="069E1813" w14:textId="77777777" w:rsidTr="00742BD2">
        <w:trPr>
          <w:cantSplit/>
          <w:tblHeader/>
        </w:trPr>
        <w:tc>
          <w:tcPr>
            <w:tcW w:w="5103" w:type="dxa"/>
          </w:tcPr>
          <w:p w14:paraId="069E1811" w14:textId="57CA80E4" w:rsidR="004368C1" w:rsidRPr="001A1836" w:rsidRDefault="004368C1">
            <w:pPr>
              <w:spacing w:line="276" w:lineRule="auto"/>
              <w:rPr>
                <w:rFonts w:cs="Arial"/>
                <w:b/>
                <w:kern w:val="0"/>
                <w:lang w:eastAsia="en-GB"/>
              </w:rPr>
            </w:pPr>
            <w:bookmarkStart w:id="149" w:name="_Hlk136614543"/>
            <w:r w:rsidRPr="001A1836">
              <w:rPr>
                <w:rFonts w:cs="Arial"/>
                <w:b/>
                <w:kern w:val="0"/>
                <w:lang w:eastAsia="en-GB"/>
              </w:rPr>
              <w:lastRenderedPageBreak/>
              <w:t xml:space="preserve">Business </w:t>
            </w:r>
            <w:r w:rsidR="00ED11B9">
              <w:rPr>
                <w:rFonts w:cs="Arial"/>
                <w:b/>
                <w:kern w:val="0"/>
                <w:lang w:eastAsia="en-GB"/>
              </w:rPr>
              <w:t>Risk C</w:t>
            </w:r>
            <w:r w:rsidRPr="001A1836">
              <w:rPr>
                <w:rFonts w:cs="Arial"/>
                <w:b/>
                <w:kern w:val="0"/>
                <w:lang w:eastAsia="en-GB"/>
              </w:rPr>
              <w:t>ategory</w:t>
            </w:r>
          </w:p>
        </w:tc>
        <w:tc>
          <w:tcPr>
            <w:tcW w:w="3317" w:type="dxa"/>
          </w:tcPr>
          <w:p w14:paraId="069E1812" w14:textId="5899A7BE" w:rsidR="004368C1" w:rsidRPr="001A1836" w:rsidRDefault="006A1251" w:rsidP="006A1251">
            <w:pPr>
              <w:spacing w:line="276" w:lineRule="auto"/>
              <w:jc w:val="center"/>
              <w:rPr>
                <w:rFonts w:cs="Arial"/>
                <w:b/>
                <w:kern w:val="0"/>
                <w:lang w:eastAsia="en-GB"/>
              </w:rPr>
            </w:pPr>
            <w:r>
              <w:rPr>
                <w:rFonts w:cs="Arial"/>
                <w:b/>
                <w:kern w:val="0"/>
                <w:lang w:eastAsia="en-GB"/>
              </w:rPr>
              <w:t>Competency Check</w:t>
            </w:r>
            <w:r w:rsidR="004368C1" w:rsidRPr="001A1836">
              <w:rPr>
                <w:rFonts w:cs="Arial"/>
                <w:b/>
                <w:kern w:val="0"/>
                <w:lang w:eastAsia="en-GB"/>
              </w:rPr>
              <w:t xml:space="preserve"> rate (as average number of</w:t>
            </w:r>
            <w:r w:rsidR="00C24F3E">
              <w:rPr>
                <w:rFonts w:cs="Arial"/>
                <w:b/>
                <w:kern w:val="0"/>
                <w:lang w:eastAsia="en-GB"/>
              </w:rPr>
              <w:t xml:space="preserve"> </w:t>
            </w:r>
            <w:r w:rsidR="00313A1B">
              <w:rPr>
                <w:rFonts w:cs="Arial"/>
                <w:b/>
                <w:kern w:val="0"/>
                <w:lang w:eastAsia="en-GB"/>
              </w:rPr>
              <w:t>C</w:t>
            </w:r>
            <w:r>
              <w:rPr>
                <w:rFonts w:cs="Arial"/>
                <w:b/>
                <w:kern w:val="0"/>
                <w:lang w:eastAsia="en-GB"/>
              </w:rPr>
              <w:t xml:space="preserve">ompetency </w:t>
            </w:r>
            <w:r w:rsidR="00313A1B">
              <w:rPr>
                <w:rFonts w:cs="Arial"/>
                <w:b/>
                <w:kern w:val="0"/>
                <w:lang w:eastAsia="en-GB"/>
              </w:rPr>
              <w:t>C</w:t>
            </w:r>
            <w:r>
              <w:rPr>
                <w:rFonts w:cs="Arial"/>
                <w:b/>
                <w:kern w:val="0"/>
                <w:lang w:eastAsia="en-GB"/>
              </w:rPr>
              <w:t>hecks</w:t>
            </w:r>
            <w:r w:rsidR="004368C1" w:rsidRPr="001A1836">
              <w:rPr>
                <w:rFonts w:cs="Arial"/>
                <w:b/>
                <w:kern w:val="0"/>
                <w:lang w:eastAsia="en-GB"/>
              </w:rPr>
              <w:t xml:space="preserve"> per business per Contract Year)</w:t>
            </w:r>
          </w:p>
        </w:tc>
      </w:tr>
      <w:tr w:rsidR="004368C1" w:rsidRPr="001A1836" w14:paraId="069E1817" w14:textId="77777777" w:rsidTr="00742BD2">
        <w:trPr>
          <w:cantSplit/>
        </w:trPr>
        <w:tc>
          <w:tcPr>
            <w:tcW w:w="5103" w:type="dxa"/>
          </w:tcPr>
          <w:p w14:paraId="069E1814" w14:textId="77777777" w:rsidR="004368C1" w:rsidRPr="001A1836" w:rsidRDefault="004368C1">
            <w:pPr>
              <w:spacing w:line="276" w:lineRule="auto"/>
              <w:rPr>
                <w:rFonts w:cs="Arial"/>
                <w:kern w:val="0"/>
                <w:lang w:eastAsia="en-GB"/>
              </w:rPr>
            </w:pPr>
            <w:r w:rsidRPr="001A1836">
              <w:rPr>
                <w:rFonts w:cs="Arial"/>
                <w:kern w:val="0"/>
                <w:lang w:eastAsia="en-GB"/>
              </w:rPr>
              <w:t xml:space="preserve">Large </w:t>
            </w:r>
            <w:r w:rsidR="000358C4" w:rsidRPr="001A1836">
              <w:rPr>
                <w:rFonts w:cs="Arial"/>
                <w:kern w:val="0"/>
                <w:lang w:eastAsia="en-GB"/>
              </w:rPr>
              <w:t>B</w:t>
            </w:r>
            <w:r w:rsidRPr="001A1836">
              <w:rPr>
                <w:rFonts w:cs="Arial"/>
                <w:kern w:val="0"/>
                <w:lang w:eastAsia="en-GB"/>
              </w:rPr>
              <w:t>usiness</w:t>
            </w:r>
            <w:r w:rsidR="000358C4" w:rsidRPr="001A1836">
              <w:rPr>
                <w:rFonts w:cs="Arial"/>
                <w:kern w:val="0"/>
                <w:lang w:eastAsia="en-GB"/>
              </w:rPr>
              <w:t>es</w:t>
            </w:r>
            <w:r w:rsidRPr="001A1836">
              <w:rPr>
                <w:rFonts w:cs="Arial"/>
                <w:kern w:val="0"/>
                <w:lang w:eastAsia="en-GB"/>
              </w:rPr>
              <w:t xml:space="preserve"> </w:t>
            </w:r>
          </w:p>
          <w:p w14:paraId="069E1815" w14:textId="77777777" w:rsidR="004368C1" w:rsidRPr="001A1836" w:rsidRDefault="004368C1">
            <w:pPr>
              <w:spacing w:line="276" w:lineRule="auto"/>
              <w:rPr>
                <w:rFonts w:cs="Arial"/>
                <w:kern w:val="0"/>
                <w:lang w:eastAsia="en-GB"/>
              </w:rPr>
            </w:pPr>
            <w:r w:rsidRPr="001A1836">
              <w:rPr>
                <w:rFonts w:cs="Arial"/>
                <w:kern w:val="0"/>
                <w:lang w:eastAsia="en-GB"/>
              </w:rPr>
              <w:t>(10 or more registered engineers)</w:t>
            </w:r>
          </w:p>
        </w:tc>
        <w:tc>
          <w:tcPr>
            <w:tcW w:w="3317" w:type="dxa"/>
          </w:tcPr>
          <w:p w14:paraId="069E1816" w14:textId="77777777" w:rsidR="004368C1" w:rsidRPr="001A1836" w:rsidRDefault="004368C1">
            <w:pPr>
              <w:spacing w:line="276" w:lineRule="auto"/>
              <w:jc w:val="right"/>
              <w:rPr>
                <w:rFonts w:cs="Arial"/>
                <w:kern w:val="0"/>
                <w:lang w:eastAsia="en-GB"/>
              </w:rPr>
            </w:pPr>
            <w:r w:rsidRPr="001A1836">
              <w:rPr>
                <w:rFonts w:cs="Arial"/>
                <w:kern w:val="0"/>
                <w:lang w:eastAsia="en-GB"/>
              </w:rPr>
              <w:t>3.8</w:t>
            </w:r>
          </w:p>
        </w:tc>
      </w:tr>
      <w:tr w:rsidR="004368C1" w:rsidRPr="001A1836" w14:paraId="069E181A" w14:textId="77777777" w:rsidTr="00742BD2">
        <w:trPr>
          <w:cantSplit/>
        </w:trPr>
        <w:tc>
          <w:tcPr>
            <w:tcW w:w="5103" w:type="dxa"/>
          </w:tcPr>
          <w:p w14:paraId="069E1818" w14:textId="77777777" w:rsidR="004368C1" w:rsidRPr="001A1836" w:rsidRDefault="0062553C">
            <w:pPr>
              <w:spacing w:line="276" w:lineRule="auto"/>
              <w:rPr>
                <w:rFonts w:cs="Arial"/>
                <w:kern w:val="0"/>
                <w:lang w:eastAsia="en-GB"/>
              </w:rPr>
            </w:pPr>
            <w:r w:rsidRPr="001A1836">
              <w:rPr>
                <w:rFonts w:cs="Arial"/>
                <w:kern w:val="0"/>
                <w:lang w:eastAsia="en-GB"/>
              </w:rPr>
              <w:t>Small</w:t>
            </w:r>
            <w:r w:rsidR="000358C4" w:rsidRPr="001A1836">
              <w:rPr>
                <w:rFonts w:cs="Arial"/>
                <w:kern w:val="0"/>
                <w:lang w:eastAsia="en-GB"/>
              </w:rPr>
              <w:t xml:space="preserve"> Businesses</w:t>
            </w:r>
            <w:r w:rsidR="004368C1" w:rsidRPr="001A1836">
              <w:rPr>
                <w:rFonts w:cs="Arial"/>
                <w:kern w:val="0"/>
                <w:lang w:eastAsia="en-GB"/>
              </w:rPr>
              <w:t xml:space="preserve"> (1-9 registered engineers)</w:t>
            </w:r>
          </w:p>
        </w:tc>
        <w:tc>
          <w:tcPr>
            <w:tcW w:w="3317" w:type="dxa"/>
          </w:tcPr>
          <w:p w14:paraId="069E1819" w14:textId="77777777" w:rsidR="004368C1" w:rsidRPr="001A1836" w:rsidRDefault="004368C1" w:rsidP="00156434">
            <w:pPr>
              <w:spacing w:line="276" w:lineRule="auto"/>
              <w:jc w:val="right"/>
              <w:rPr>
                <w:rFonts w:cs="Arial"/>
                <w:kern w:val="0"/>
                <w:szCs w:val="24"/>
                <w:lang w:eastAsia="en-GB"/>
              </w:rPr>
            </w:pPr>
          </w:p>
        </w:tc>
      </w:tr>
      <w:tr w:rsidR="004368C1" w:rsidRPr="001A1836" w14:paraId="069E181D" w14:textId="77777777" w:rsidTr="00742BD2">
        <w:trPr>
          <w:cantSplit/>
        </w:trPr>
        <w:tc>
          <w:tcPr>
            <w:tcW w:w="5103" w:type="dxa"/>
          </w:tcPr>
          <w:p w14:paraId="069E181B" w14:textId="77777777" w:rsidR="004368C1" w:rsidRPr="001A1836" w:rsidRDefault="00DF533D">
            <w:pPr>
              <w:spacing w:line="276" w:lineRule="auto"/>
              <w:ind w:left="720"/>
              <w:rPr>
                <w:rFonts w:cs="Arial"/>
                <w:kern w:val="0"/>
                <w:lang w:eastAsia="en-GB"/>
              </w:rPr>
            </w:pPr>
            <w:r w:rsidRPr="001A1836">
              <w:rPr>
                <w:rFonts w:cs="Arial"/>
                <w:kern w:val="0"/>
                <w:lang w:eastAsia="en-GB"/>
              </w:rPr>
              <w:t>- Lower risk</w:t>
            </w:r>
          </w:p>
        </w:tc>
        <w:tc>
          <w:tcPr>
            <w:tcW w:w="3317" w:type="dxa"/>
          </w:tcPr>
          <w:p w14:paraId="069E181C" w14:textId="77777777" w:rsidR="004368C1" w:rsidRPr="001A1836" w:rsidRDefault="004368C1">
            <w:pPr>
              <w:spacing w:line="276" w:lineRule="auto"/>
              <w:jc w:val="right"/>
              <w:rPr>
                <w:rFonts w:cs="Arial"/>
                <w:kern w:val="0"/>
                <w:lang w:eastAsia="en-GB"/>
              </w:rPr>
            </w:pPr>
            <w:r w:rsidRPr="001A1836">
              <w:rPr>
                <w:rFonts w:cs="Arial"/>
                <w:kern w:val="0"/>
                <w:lang w:eastAsia="en-GB"/>
              </w:rPr>
              <w:t>0.2</w:t>
            </w:r>
          </w:p>
        </w:tc>
      </w:tr>
      <w:tr w:rsidR="004368C1" w:rsidRPr="001A1836" w14:paraId="069E1820" w14:textId="77777777" w:rsidTr="00742BD2">
        <w:trPr>
          <w:cantSplit/>
        </w:trPr>
        <w:tc>
          <w:tcPr>
            <w:tcW w:w="5103" w:type="dxa"/>
          </w:tcPr>
          <w:p w14:paraId="069E181E" w14:textId="77777777" w:rsidR="004368C1" w:rsidRPr="001A1836" w:rsidRDefault="00DF533D">
            <w:pPr>
              <w:spacing w:line="276" w:lineRule="auto"/>
              <w:ind w:left="720"/>
              <w:rPr>
                <w:rFonts w:cs="Arial"/>
                <w:kern w:val="0"/>
                <w:lang w:eastAsia="en-GB"/>
              </w:rPr>
            </w:pPr>
            <w:r w:rsidRPr="001A1836">
              <w:rPr>
                <w:rFonts w:cs="Arial"/>
                <w:kern w:val="0"/>
                <w:lang w:eastAsia="en-GB"/>
              </w:rPr>
              <w:t>- Medium risk</w:t>
            </w:r>
          </w:p>
        </w:tc>
        <w:tc>
          <w:tcPr>
            <w:tcW w:w="3317" w:type="dxa"/>
          </w:tcPr>
          <w:p w14:paraId="069E181F" w14:textId="77777777" w:rsidR="004368C1" w:rsidRPr="001A1836" w:rsidRDefault="004368C1">
            <w:pPr>
              <w:spacing w:line="276" w:lineRule="auto"/>
              <w:jc w:val="right"/>
              <w:rPr>
                <w:rFonts w:cs="Arial"/>
                <w:kern w:val="0"/>
                <w:lang w:eastAsia="en-GB"/>
              </w:rPr>
            </w:pPr>
            <w:r w:rsidRPr="001A1836">
              <w:rPr>
                <w:rFonts w:cs="Arial"/>
                <w:kern w:val="0"/>
                <w:lang w:eastAsia="en-GB"/>
              </w:rPr>
              <w:t>0.5</w:t>
            </w:r>
          </w:p>
        </w:tc>
      </w:tr>
      <w:tr w:rsidR="004368C1" w:rsidRPr="001A1836" w14:paraId="069E1823" w14:textId="77777777" w:rsidTr="00742BD2">
        <w:trPr>
          <w:cantSplit/>
        </w:trPr>
        <w:tc>
          <w:tcPr>
            <w:tcW w:w="5103" w:type="dxa"/>
          </w:tcPr>
          <w:p w14:paraId="069E1821" w14:textId="77777777" w:rsidR="004368C1" w:rsidRPr="001A1836" w:rsidRDefault="00DF533D">
            <w:pPr>
              <w:spacing w:line="276" w:lineRule="auto"/>
              <w:ind w:left="720"/>
              <w:rPr>
                <w:rFonts w:cs="Arial"/>
                <w:kern w:val="0"/>
                <w:lang w:eastAsia="en-GB"/>
              </w:rPr>
            </w:pPr>
            <w:r w:rsidRPr="001A1836">
              <w:rPr>
                <w:rFonts w:cs="Arial"/>
                <w:kern w:val="0"/>
                <w:lang w:eastAsia="en-GB"/>
              </w:rPr>
              <w:t>- Higher risk</w:t>
            </w:r>
          </w:p>
        </w:tc>
        <w:tc>
          <w:tcPr>
            <w:tcW w:w="3317" w:type="dxa"/>
          </w:tcPr>
          <w:p w14:paraId="069E1822" w14:textId="77777777" w:rsidR="004368C1" w:rsidRPr="001A1836" w:rsidRDefault="004368C1">
            <w:pPr>
              <w:spacing w:line="276" w:lineRule="auto"/>
              <w:jc w:val="right"/>
              <w:rPr>
                <w:rFonts w:cs="Arial"/>
                <w:kern w:val="0"/>
                <w:lang w:eastAsia="en-GB"/>
              </w:rPr>
            </w:pPr>
            <w:r w:rsidRPr="001A1836">
              <w:rPr>
                <w:rFonts w:cs="Arial"/>
                <w:kern w:val="0"/>
                <w:lang w:eastAsia="en-GB"/>
              </w:rPr>
              <w:t>2.0</w:t>
            </w:r>
          </w:p>
        </w:tc>
      </w:tr>
      <w:tr w:rsidR="004368C1" w:rsidRPr="001A1836" w14:paraId="069E1826" w14:textId="77777777" w:rsidTr="00742BD2">
        <w:trPr>
          <w:cantSplit/>
        </w:trPr>
        <w:tc>
          <w:tcPr>
            <w:tcW w:w="5103" w:type="dxa"/>
          </w:tcPr>
          <w:p w14:paraId="069E1824" w14:textId="77777777" w:rsidR="004368C1" w:rsidRPr="001A1836" w:rsidRDefault="004368C1">
            <w:pPr>
              <w:spacing w:line="276" w:lineRule="auto"/>
              <w:ind w:left="720"/>
              <w:rPr>
                <w:rFonts w:cs="Arial"/>
                <w:kern w:val="0"/>
                <w:lang w:eastAsia="en-GB"/>
              </w:rPr>
            </w:pPr>
            <w:r w:rsidRPr="001A1836">
              <w:rPr>
                <w:rFonts w:cs="Arial"/>
                <w:kern w:val="0"/>
                <w:lang w:eastAsia="en-GB"/>
              </w:rPr>
              <w:t>- Targeted</w:t>
            </w:r>
          </w:p>
        </w:tc>
        <w:tc>
          <w:tcPr>
            <w:tcW w:w="3317" w:type="dxa"/>
          </w:tcPr>
          <w:p w14:paraId="069E1825" w14:textId="77777777" w:rsidR="004368C1" w:rsidRPr="001A1836" w:rsidRDefault="004368C1">
            <w:pPr>
              <w:spacing w:line="276" w:lineRule="auto"/>
              <w:jc w:val="right"/>
              <w:rPr>
                <w:rFonts w:cs="Arial"/>
                <w:kern w:val="0"/>
                <w:lang w:eastAsia="en-GB"/>
              </w:rPr>
            </w:pPr>
            <w:r w:rsidRPr="001A1836">
              <w:rPr>
                <w:rFonts w:cs="Arial"/>
                <w:kern w:val="0"/>
                <w:lang w:eastAsia="en-GB"/>
              </w:rPr>
              <w:t>5.0</w:t>
            </w:r>
          </w:p>
        </w:tc>
      </w:tr>
      <w:tr w:rsidR="004368C1" w:rsidRPr="001A1836" w14:paraId="069E1829" w14:textId="77777777" w:rsidTr="00742BD2">
        <w:trPr>
          <w:cantSplit/>
        </w:trPr>
        <w:tc>
          <w:tcPr>
            <w:tcW w:w="5103" w:type="dxa"/>
          </w:tcPr>
          <w:p w14:paraId="069E1827" w14:textId="77777777" w:rsidR="004368C1" w:rsidRPr="001A1836" w:rsidRDefault="004368C1">
            <w:pPr>
              <w:spacing w:line="276" w:lineRule="auto"/>
              <w:rPr>
                <w:rFonts w:cs="Arial"/>
                <w:kern w:val="0"/>
                <w:lang w:eastAsia="en-GB"/>
              </w:rPr>
            </w:pPr>
            <w:r w:rsidRPr="001A1836">
              <w:rPr>
                <w:rFonts w:cs="Arial"/>
                <w:kern w:val="0"/>
                <w:lang w:eastAsia="en-GB"/>
              </w:rPr>
              <w:t>Probationary businesses</w:t>
            </w:r>
          </w:p>
        </w:tc>
        <w:tc>
          <w:tcPr>
            <w:tcW w:w="3317" w:type="dxa"/>
          </w:tcPr>
          <w:p w14:paraId="069E1828" w14:textId="77777777" w:rsidR="004368C1" w:rsidRPr="001A1836" w:rsidRDefault="004368C1">
            <w:pPr>
              <w:spacing w:line="276" w:lineRule="auto"/>
              <w:jc w:val="right"/>
              <w:rPr>
                <w:rFonts w:cs="Arial"/>
                <w:kern w:val="0"/>
                <w:lang w:eastAsia="en-GB"/>
              </w:rPr>
            </w:pPr>
            <w:r w:rsidRPr="001A1836">
              <w:rPr>
                <w:rFonts w:cs="Arial"/>
                <w:kern w:val="0"/>
                <w:lang w:eastAsia="en-GB"/>
              </w:rPr>
              <w:t>2.6</w:t>
            </w:r>
          </w:p>
        </w:tc>
      </w:tr>
      <w:bookmarkEnd w:id="149"/>
    </w:tbl>
    <w:p w14:paraId="18FEB25A" w14:textId="77777777" w:rsidR="00ED11B9" w:rsidRPr="001A1836" w:rsidRDefault="00ED11B9" w:rsidP="00156434">
      <w:pPr>
        <w:spacing w:line="276" w:lineRule="auto"/>
        <w:rPr>
          <w:rFonts w:cs="Arial"/>
          <w:lang w:eastAsia="en-GB"/>
        </w:rPr>
      </w:pPr>
    </w:p>
    <w:p w14:paraId="069E182B" w14:textId="332FBE30" w:rsidR="006A704E" w:rsidRPr="001A1836" w:rsidRDefault="006A704E" w:rsidP="00156434">
      <w:pPr>
        <w:spacing w:line="276" w:lineRule="auto"/>
        <w:rPr>
          <w:rFonts w:cs="Arial"/>
          <w:lang w:eastAsia="en-GB"/>
        </w:rPr>
      </w:pPr>
      <w:r w:rsidRPr="001A1836">
        <w:rPr>
          <w:rFonts w:cs="Arial"/>
          <w:b/>
          <w:lang w:eastAsia="en-GB"/>
        </w:rPr>
        <w:t>Table 3</w:t>
      </w:r>
      <w:r w:rsidRPr="001A1836">
        <w:rPr>
          <w:rFonts w:cs="Arial"/>
          <w:lang w:eastAsia="en-GB"/>
        </w:rPr>
        <w:t xml:space="preserve"> Forecast</w:t>
      </w:r>
      <w:r w:rsidR="00F505AA" w:rsidRPr="001A1836">
        <w:rPr>
          <w:rFonts w:cs="Arial"/>
          <w:lang w:eastAsia="en-GB"/>
        </w:rPr>
        <w:t xml:space="preserve"> reactive</w:t>
      </w:r>
      <w:r w:rsidR="002B12BA" w:rsidRPr="001A1836">
        <w:rPr>
          <w:rFonts w:cs="Arial"/>
          <w:lang w:eastAsia="en-GB"/>
        </w:rPr>
        <w:t>/unplanned</w:t>
      </w:r>
      <w:r w:rsidR="006A1251">
        <w:rPr>
          <w:rFonts w:cs="Arial"/>
          <w:lang w:eastAsia="en-GB"/>
        </w:rPr>
        <w:t xml:space="preserve"> </w:t>
      </w:r>
      <w:r w:rsidR="00313A1B">
        <w:rPr>
          <w:rFonts w:cs="Arial"/>
          <w:lang w:eastAsia="en-GB"/>
        </w:rPr>
        <w:t>Inspections</w:t>
      </w:r>
      <w:r w:rsidR="00F505AA" w:rsidRPr="001A1836">
        <w:rPr>
          <w:rFonts w:cs="Arial"/>
          <w:lang w:eastAsia="en-GB"/>
        </w:rPr>
        <w:t xml:space="preserve"> (for Year 2 onwards</w:t>
      </w:r>
      <w:r w:rsidRPr="001A1836">
        <w:rPr>
          <w:rFonts w:cs="Arial"/>
          <w:lang w:eastAsia="en-GB"/>
        </w:rPr>
        <w:t>)</w:t>
      </w:r>
    </w:p>
    <w:p w14:paraId="069E182C" w14:textId="77777777" w:rsidR="006A704E" w:rsidRPr="001A1836" w:rsidRDefault="006A704E" w:rsidP="00156434">
      <w:pPr>
        <w:spacing w:line="276" w:lineRule="auto"/>
        <w:rPr>
          <w:rFonts w:cs="Arial"/>
          <w:lang w:eastAsia="en-GB"/>
        </w:rPr>
      </w:pPr>
    </w:p>
    <w:tbl>
      <w:tblPr>
        <w:tblStyle w:val="TableGrid"/>
        <w:tblW w:w="0" w:type="auto"/>
        <w:tblLook w:val="04A0" w:firstRow="1" w:lastRow="0" w:firstColumn="1" w:lastColumn="0" w:noHBand="0" w:noVBand="1"/>
      </w:tblPr>
      <w:tblGrid>
        <w:gridCol w:w="4523"/>
        <w:gridCol w:w="4487"/>
      </w:tblGrid>
      <w:tr w:rsidR="006A704E" w:rsidRPr="001A1836" w14:paraId="069E182F" w14:textId="77777777" w:rsidTr="006A704E">
        <w:tc>
          <w:tcPr>
            <w:tcW w:w="4618" w:type="dxa"/>
          </w:tcPr>
          <w:p w14:paraId="069E182D" w14:textId="366BD608" w:rsidR="006A704E" w:rsidRPr="001A1836" w:rsidRDefault="006A704E" w:rsidP="00146D5C">
            <w:pPr>
              <w:spacing w:line="276" w:lineRule="auto"/>
              <w:rPr>
                <w:rFonts w:cs="Arial"/>
                <w:b/>
                <w:lang w:eastAsia="en-GB"/>
              </w:rPr>
            </w:pPr>
            <w:r w:rsidRPr="001A1836">
              <w:rPr>
                <w:rFonts w:cs="Arial"/>
                <w:b/>
                <w:lang w:eastAsia="en-GB"/>
              </w:rPr>
              <w:t>Type of reactive</w:t>
            </w:r>
            <w:r w:rsidR="002B12BA" w:rsidRPr="001A1836">
              <w:rPr>
                <w:rFonts w:cs="Arial"/>
                <w:b/>
                <w:lang w:eastAsia="en-GB"/>
              </w:rPr>
              <w:t>/unplanned</w:t>
            </w:r>
            <w:r w:rsidR="006A1251">
              <w:rPr>
                <w:rFonts w:cs="Arial"/>
                <w:b/>
                <w:lang w:eastAsia="en-GB"/>
              </w:rPr>
              <w:t xml:space="preserve"> </w:t>
            </w:r>
            <w:r w:rsidR="00146D5C">
              <w:rPr>
                <w:rFonts w:cs="Arial"/>
                <w:b/>
                <w:lang w:eastAsia="en-GB"/>
              </w:rPr>
              <w:t>Inspections</w:t>
            </w:r>
          </w:p>
        </w:tc>
        <w:tc>
          <w:tcPr>
            <w:tcW w:w="4618" w:type="dxa"/>
          </w:tcPr>
          <w:p w14:paraId="069E182E" w14:textId="3B12F2FA" w:rsidR="006A704E" w:rsidRPr="001A1836" w:rsidRDefault="00146D5C">
            <w:pPr>
              <w:spacing w:line="276" w:lineRule="auto"/>
              <w:rPr>
                <w:rFonts w:cs="Arial"/>
                <w:b/>
                <w:lang w:eastAsia="en-GB"/>
              </w:rPr>
            </w:pPr>
            <w:r>
              <w:rPr>
                <w:rFonts w:cs="Arial"/>
                <w:b/>
                <w:lang w:eastAsia="en-GB"/>
              </w:rPr>
              <w:t>Inspection</w:t>
            </w:r>
            <w:r w:rsidR="006A704E" w:rsidRPr="001A1836">
              <w:rPr>
                <w:rFonts w:cs="Arial"/>
                <w:b/>
                <w:lang w:eastAsia="en-GB"/>
              </w:rPr>
              <w:t xml:space="preserve"> rate or number</w:t>
            </w:r>
          </w:p>
        </w:tc>
      </w:tr>
      <w:tr w:rsidR="006A704E" w:rsidRPr="001A1836" w14:paraId="069E1832" w14:textId="77777777" w:rsidTr="006A704E">
        <w:tc>
          <w:tcPr>
            <w:tcW w:w="4618" w:type="dxa"/>
          </w:tcPr>
          <w:p w14:paraId="069E1830" w14:textId="35224041" w:rsidR="006A704E" w:rsidRPr="001A1836" w:rsidRDefault="006A704E" w:rsidP="00156434">
            <w:pPr>
              <w:spacing w:line="276" w:lineRule="auto"/>
              <w:rPr>
                <w:rFonts w:cs="Arial"/>
                <w:lang w:eastAsia="en-GB"/>
              </w:rPr>
            </w:pPr>
            <w:r w:rsidRPr="001A1836">
              <w:rPr>
                <w:rFonts w:cs="Arial"/>
                <w:lang w:eastAsia="en-GB"/>
              </w:rPr>
              <w:t>Complaint</w:t>
            </w:r>
            <w:r w:rsidR="00146D5C">
              <w:rPr>
                <w:rFonts w:cs="Arial"/>
                <w:lang w:eastAsia="en-GB"/>
              </w:rPr>
              <w:t xml:space="preserve"> Inspections</w:t>
            </w:r>
          </w:p>
        </w:tc>
        <w:tc>
          <w:tcPr>
            <w:tcW w:w="4618" w:type="dxa"/>
          </w:tcPr>
          <w:p w14:paraId="069E1831" w14:textId="77777777" w:rsidR="006A704E" w:rsidRPr="001A1836" w:rsidRDefault="006A704E" w:rsidP="00156434">
            <w:pPr>
              <w:spacing w:line="276" w:lineRule="auto"/>
              <w:rPr>
                <w:rFonts w:cs="Arial"/>
                <w:lang w:eastAsia="en-GB"/>
              </w:rPr>
            </w:pPr>
            <w:r w:rsidRPr="001A1836">
              <w:rPr>
                <w:rFonts w:cs="Arial"/>
                <w:lang w:eastAsia="en-GB"/>
              </w:rPr>
              <w:t>6% of the number of Registered Businesses</w:t>
            </w:r>
          </w:p>
        </w:tc>
      </w:tr>
      <w:tr w:rsidR="006A704E" w:rsidRPr="001A1836" w14:paraId="069E1835" w14:textId="77777777" w:rsidTr="006A704E">
        <w:tc>
          <w:tcPr>
            <w:tcW w:w="4618" w:type="dxa"/>
          </w:tcPr>
          <w:p w14:paraId="069E1833" w14:textId="1DC55792" w:rsidR="006A704E" w:rsidRPr="001A1836" w:rsidRDefault="006A704E" w:rsidP="00156434">
            <w:pPr>
              <w:spacing w:line="276" w:lineRule="auto"/>
              <w:rPr>
                <w:rFonts w:cs="Arial"/>
                <w:lang w:eastAsia="en-GB"/>
              </w:rPr>
            </w:pPr>
            <w:r w:rsidRPr="001A1836">
              <w:rPr>
                <w:rFonts w:cs="Arial"/>
                <w:lang w:eastAsia="en-GB"/>
              </w:rPr>
              <w:t>Illegal Gas Work</w:t>
            </w:r>
            <w:r w:rsidR="00146D5C">
              <w:rPr>
                <w:rFonts w:cs="Arial"/>
                <w:lang w:eastAsia="en-GB"/>
              </w:rPr>
              <w:t xml:space="preserve"> Investigations</w:t>
            </w:r>
          </w:p>
        </w:tc>
        <w:tc>
          <w:tcPr>
            <w:tcW w:w="4618" w:type="dxa"/>
          </w:tcPr>
          <w:p w14:paraId="069E1834" w14:textId="77777777" w:rsidR="006A704E" w:rsidRPr="001A1836" w:rsidRDefault="006A704E" w:rsidP="00156434">
            <w:pPr>
              <w:spacing w:line="276" w:lineRule="auto"/>
              <w:rPr>
                <w:rFonts w:cs="Arial"/>
                <w:lang w:eastAsia="en-GB"/>
              </w:rPr>
            </w:pPr>
            <w:r w:rsidRPr="001A1836">
              <w:rPr>
                <w:rFonts w:cs="Arial"/>
                <w:lang w:eastAsia="en-GB"/>
              </w:rPr>
              <w:t>600</w:t>
            </w:r>
          </w:p>
        </w:tc>
      </w:tr>
      <w:tr w:rsidR="006A704E" w:rsidRPr="001A1836" w14:paraId="069E1838" w14:textId="77777777" w:rsidTr="006A704E">
        <w:tc>
          <w:tcPr>
            <w:tcW w:w="4618" w:type="dxa"/>
          </w:tcPr>
          <w:p w14:paraId="069E1836" w14:textId="5DB0FE54" w:rsidR="006A704E" w:rsidRPr="001A1836" w:rsidRDefault="006A704E" w:rsidP="00146D5C">
            <w:pPr>
              <w:spacing w:line="276" w:lineRule="auto"/>
              <w:rPr>
                <w:rFonts w:cs="Arial"/>
                <w:lang w:eastAsia="en-GB"/>
              </w:rPr>
            </w:pPr>
            <w:r w:rsidRPr="001A1836">
              <w:rPr>
                <w:rFonts w:cs="Arial"/>
                <w:lang w:eastAsia="en-GB"/>
              </w:rPr>
              <w:t xml:space="preserve">Support </w:t>
            </w:r>
            <w:r w:rsidR="00146D5C">
              <w:rPr>
                <w:rFonts w:cs="Arial"/>
                <w:lang w:eastAsia="en-GB"/>
              </w:rPr>
              <w:t>Investigations</w:t>
            </w:r>
          </w:p>
        </w:tc>
        <w:tc>
          <w:tcPr>
            <w:tcW w:w="4618" w:type="dxa"/>
          </w:tcPr>
          <w:p w14:paraId="069E1837" w14:textId="77777777" w:rsidR="006A704E" w:rsidRPr="001A1836" w:rsidRDefault="006A704E" w:rsidP="00156434">
            <w:pPr>
              <w:spacing w:line="276" w:lineRule="auto"/>
              <w:rPr>
                <w:rFonts w:cs="Arial"/>
                <w:lang w:eastAsia="en-GB"/>
              </w:rPr>
            </w:pPr>
            <w:r w:rsidRPr="001A1836">
              <w:rPr>
                <w:rFonts w:cs="Arial"/>
                <w:lang w:eastAsia="en-GB"/>
              </w:rPr>
              <w:t>500</w:t>
            </w:r>
          </w:p>
        </w:tc>
      </w:tr>
    </w:tbl>
    <w:p w14:paraId="069E1839" w14:textId="77777777" w:rsidR="006A704E" w:rsidRPr="001A1836" w:rsidRDefault="006A704E" w:rsidP="00156434">
      <w:pPr>
        <w:spacing w:line="276" w:lineRule="auto"/>
        <w:rPr>
          <w:rFonts w:cs="Arial"/>
          <w:lang w:eastAsia="en-GB"/>
        </w:rPr>
      </w:pPr>
    </w:p>
    <w:p w14:paraId="069E183A" w14:textId="4D909899" w:rsidR="00E068BB" w:rsidRPr="001A1836" w:rsidRDefault="00E068BB" w:rsidP="00A20731">
      <w:pPr>
        <w:rPr>
          <w:b/>
          <w:i/>
        </w:rPr>
      </w:pPr>
      <w:bookmarkStart w:id="150" w:name="_Toc501354440"/>
      <w:bookmarkStart w:id="151" w:name="_Toc521326943"/>
      <w:bookmarkStart w:id="152" w:name="_Toc521484697"/>
      <w:bookmarkStart w:id="153" w:name="_Toc521485028"/>
      <w:bookmarkStart w:id="154" w:name="_Toc521496200"/>
      <w:r w:rsidRPr="001A1836">
        <w:rPr>
          <w:b/>
          <w:i/>
        </w:rPr>
        <w:t>Minimum requirements for a</w:t>
      </w:r>
      <w:r w:rsidR="00FD5408">
        <w:rPr>
          <w:b/>
          <w:i/>
        </w:rPr>
        <w:t xml:space="preserve"> </w:t>
      </w:r>
      <w:r w:rsidR="00146D5C">
        <w:rPr>
          <w:b/>
          <w:i/>
        </w:rPr>
        <w:t>C</w:t>
      </w:r>
      <w:r w:rsidR="00FD5408">
        <w:rPr>
          <w:b/>
          <w:i/>
        </w:rPr>
        <w:t xml:space="preserve">ompetency </w:t>
      </w:r>
      <w:r w:rsidR="00146D5C">
        <w:rPr>
          <w:b/>
          <w:i/>
        </w:rPr>
        <w:t>C</w:t>
      </w:r>
      <w:r w:rsidR="00FD5408">
        <w:rPr>
          <w:b/>
          <w:i/>
        </w:rPr>
        <w:t>heck</w:t>
      </w:r>
      <w:bookmarkEnd w:id="150"/>
      <w:bookmarkEnd w:id="151"/>
      <w:bookmarkEnd w:id="152"/>
      <w:bookmarkEnd w:id="153"/>
      <w:bookmarkEnd w:id="154"/>
    </w:p>
    <w:p w14:paraId="069E183B" w14:textId="3547911F" w:rsidR="00E068BB" w:rsidRPr="001A1836" w:rsidRDefault="00E068BB" w:rsidP="00A20731">
      <w:pPr>
        <w:rPr>
          <w:i/>
        </w:rPr>
      </w:pPr>
      <w:bookmarkStart w:id="155" w:name="_Toc521496201"/>
      <w:r w:rsidRPr="001A1836">
        <w:rPr>
          <w:i/>
        </w:rPr>
        <w:t>On-site</w:t>
      </w:r>
      <w:r w:rsidR="00F82D0C">
        <w:rPr>
          <w:i/>
        </w:rPr>
        <w:t xml:space="preserve"> Competency Check </w:t>
      </w:r>
      <w:bookmarkEnd w:id="155"/>
    </w:p>
    <w:p w14:paraId="069E183C" w14:textId="69B2F872" w:rsidR="00E068BB" w:rsidRPr="001A1836" w:rsidRDefault="00E068BB">
      <w:pPr>
        <w:pStyle w:val="GSRL4numberedclause"/>
        <w:spacing w:line="276" w:lineRule="auto"/>
      </w:pPr>
      <w:r w:rsidRPr="001A1836">
        <w:t>A</w:t>
      </w:r>
      <w:r w:rsidR="00897445" w:rsidRPr="001A1836">
        <w:t>n on-</w:t>
      </w:r>
      <w:r w:rsidRPr="001A1836">
        <w:t>site</w:t>
      </w:r>
      <w:r w:rsidR="00FD5408">
        <w:t xml:space="preserve"> </w:t>
      </w:r>
      <w:r w:rsidR="00955464">
        <w:t>C</w:t>
      </w:r>
      <w:r w:rsidR="00FD5408">
        <w:t xml:space="preserve">ompetency </w:t>
      </w:r>
      <w:r w:rsidR="00955464">
        <w:t>C</w:t>
      </w:r>
      <w:r w:rsidR="00FD5408">
        <w:t>heck</w:t>
      </w:r>
      <w:r w:rsidRPr="001A1836">
        <w:t xml:space="preserve"> </w:t>
      </w:r>
      <w:r w:rsidR="00495521" w:rsidRPr="001A1836">
        <w:t xml:space="preserve">(planned or reactive) </w:t>
      </w:r>
      <w:r w:rsidRPr="001A1836">
        <w:t xml:space="preserve">to monitor an </w:t>
      </w:r>
      <w:r w:rsidR="00955464">
        <w:t>E</w:t>
      </w:r>
      <w:r w:rsidRPr="001A1836">
        <w:t>ngineer’s competence sh</w:t>
      </w:r>
      <w:r w:rsidR="008F5BD3" w:rsidRPr="001A1836">
        <w:t>all</w:t>
      </w:r>
      <w:r w:rsidRPr="001A1836">
        <w:t xml:space="preserve"> include the </w:t>
      </w:r>
      <w:r w:rsidR="002F7052">
        <w:t xml:space="preserve">relevant activities set out in Table 4 </w:t>
      </w:r>
      <w:r w:rsidR="00735986">
        <w:t>in Annex 1 to this Schedule</w:t>
      </w:r>
      <w:r w:rsidR="002F7052">
        <w:t>.</w:t>
      </w:r>
    </w:p>
    <w:p w14:paraId="069E1841" w14:textId="07350EE7" w:rsidR="00E068BB" w:rsidRPr="001A1836" w:rsidRDefault="00E068BB">
      <w:pPr>
        <w:pStyle w:val="GSRL4numberedclause"/>
        <w:spacing w:line="276" w:lineRule="auto"/>
      </w:pPr>
      <w:r w:rsidRPr="001A1836">
        <w:t>The results for all</w:t>
      </w:r>
      <w:r w:rsidR="00CD517A">
        <w:t xml:space="preserve"> </w:t>
      </w:r>
      <w:r w:rsidR="00955464">
        <w:t>C</w:t>
      </w:r>
      <w:r w:rsidR="00CD517A">
        <w:t xml:space="preserve">ompetency </w:t>
      </w:r>
      <w:r w:rsidR="00955464">
        <w:t>C</w:t>
      </w:r>
      <w:r w:rsidR="00CD517A">
        <w:t>hecks</w:t>
      </w:r>
      <w:r w:rsidR="007410E7">
        <w:t xml:space="preserve"> </w:t>
      </w:r>
      <w:r w:rsidRPr="001A1836">
        <w:t xml:space="preserve">must be recorded against the </w:t>
      </w:r>
      <w:r w:rsidR="00962880" w:rsidRPr="001A1836">
        <w:t>B</w:t>
      </w:r>
      <w:r w:rsidRPr="001A1836">
        <w:t xml:space="preserve">usiness </w:t>
      </w:r>
      <w:r w:rsidR="000F1369" w:rsidRPr="001A1836">
        <w:t>and</w:t>
      </w:r>
      <w:r w:rsidR="00783E6A" w:rsidRPr="001A1836">
        <w:t xml:space="preserve"> </w:t>
      </w:r>
      <w:r w:rsidR="00962880" w:rsidRPr="001A1836">
        <w:t>E</w:t>
      </w:r>
      <w:r w:rsidR="000F1369" w:rsidRPr="001A1836">
        <w:t xml:space="preserve">ngineer </w:t>
      </w:r>
      <w:r w:rsidRPr="001A1836">
        <w:t>in the Register database.</w:t>
      </w:r>
    </w:p>
    <w:p w14:paraId="069E1842" w14:textId="152BD9C3" w:rsidR="00E068BB" w:rsidRDefault="00E068BB">
      <w:pPr>
        <w:pStyle w:val="GSRL4numberedclause"/>
        <w:spacing w:line="276" w:lineRule="auto"/>
      </w:pPr>
      <w:r w:rsidRPr="001A1836">
        <w:t xml:space="preserve">The </w:t>
      </w:r>
      <w:r w:rsidR="00783E6A" w:rsidRPr="001A1836">
        <w:t>E</w:t>
      </w:r>
      <w:r w:rsidRPr="001A1836">
        <w:t>ngineer should understand that they are being assessed.</w:t>
      </w:r>
    </w:p>
    <w:p w14:paraId="6681C4C7" w14:textId="0A5D800F" w:rsidR="00F978F4" w:rsidRDefault="00F978F4" w:rsidP="001236C2">
      <w:pPr>
        <w:pStyle w:val="GSRL4numberedclause"/>
        <w:spacing w:line="276" w:lineRule="auto"/>
      </w:pPr>
      <w:r w:rsidRPr="00F978F4">
        <w:t xml:space="preserve">A </w:t>
      </w:r>
      <w:r w:rsidR="00756195" w:rsidRPr="00756195">
        <w:rPr>
          <w:b/>
        </w:rPr>
        <w:t>"</w:t>
      </w:r>
      <w:r w:rsidRPr="00756195">
        <w:rPr>
          <w:b/>
        </w:rPr>
        <w:t>Technical Assessment</w:t>
      </w:r>
      <w:r w:rsidR="00756195" w:rsidRPr="00756195">
        <w:rPr>
          <w:b/>
        </w:rPr>
        <w:t>"</w:t>
      </w:r>
      <w:r w:rsidRPr="00F978F4">
        <w:t xml:space="preserve"> shall consist of </w:t>
      </w:r>
      <w:r w:rsidR="00756195">
        <w:t xml:space="preserve">an </w:t>
      </w:r>
      <w:r w:rsidR="002E706B">
        <w:t>on-site</w:t>
      </w:r>
      <w:r w:rsidR="002E706B" w:rsidRPr="00F978F4">
        <w:t xml:space="preserve"> </w:t>
      </w:r>
      <w:r w:rsidR="00756195">
        <w:t xml:space="preserve">interview </w:t>
      </w:r>
      <w:r w:rsidR="002E706B">
        <w:t>(or, in exceptional circumstances only</w:t>
      </w:r>
      <w:r w:rsidR="00756195">
        <w:t xml:space="preserve"> where an on-site visit cannot safely take place</w:t>
      </w:r>
      <w:r w:rsidR="002E706B">
        <w:t xml:space="preserve">, </w:t>
      </w:r>
      <w:r w:rsidR="00756195">
        <w:t xml:space="preserve">a </w:t>
      </w:r>
      <w:r w:rsidR="002E706B">
        <w:t>telephone or vide</w:t>
      </w:r>
      <w:r w:rsidR="00756195">
        <w:t>o</w:t>
      </w:r>
      <w:r w:rsidR="002E706B">
        <w:t xml:space="preserve"> </w:t>
      </w:r>
      <w:r w:rsidR="00F850E8">
        <w:t>interview</w:t>
      </w:r>
      <w:r w:rsidR="00756195">
        <w:t>)</w:t>
      </w:r>
      <w:r w:rsidR="00F850E8">
        <w:t xml:space="preserve"> with an I</w:t>
      </w:r>
      <w:r w:rsidRPr="00F978F4">
        <w:t xml:space="preserve">nspector to assess the competence for Engineers and Businesses. </w:t>
      </w:r>
      <w:r w:rsidR="00AD5CC6">
        <w:t xml:space="preserve">The </w:t>
      </w:r>
      <w:r w:rsidR="00756195">
        <w:t>Technical Assessment</w:t>
      </w:r>
      <w:r w:rsidRPr="00F978F4">
        <w:t xml:space="preserve"> shall include a knowledge-based test which allows validation of the Engineer’s/Business’s classification and Risk Rating</w:t>
      </w:r>
      <w:r>
        <w:t>.</w:t>
      </w:r>
    </w:p>
    <w:p w14:paraId="069E1843" w14:textId="6B6A4263" w:rsidR="00E068BB" w:rsidRPr="001A1836" w:rsidRDefault="00E068BB">
      <w:pPr>
        <w:pStyle w:val="GSRL4numberedclause"/>
        <w:spacing w:line="276" w:lineRule="auto"/>
      </w:pPr>
      <w:r w:rsidRPr="001A1836">
        <w:t>Where it is not practica</w:t>
      </w:r>
      <w:r w:rsidR="00897445" w:rsidRPr="001A1836">
        <w:t>b</w:t>
      </w:r>
      <w:r w:rsidRPr="001A1836">
        <w:t>l</w:t>
      </w:r>
      <w:r w:rsidR="00897445" w:rsidRPr="001A1836">
        <w:t>e</w:t>
      </w:r>
      <w:r w:rsidRPr="001A1836">
        <w:t xml:space="preserve"> to undertake the tests set out above, a visual assessment must be made and the results recorded in the Register database along with an</w:t>
      </w:r>
      <w:r w:rsidR="00897445" w:rsidRPr="001A1836">
        <w:t xml:space="preserve"> explanation as to why a visual-</w:t>
      </w:r>
      <w:r w:rsidRPr="001A1836">
        <w:t>only assessment was undertaken.</w:t>
      </w:r>
      <w:r w:rsidRPr="001A1836">
        <w:tab/>
      </w:r>
    </w:p>
    <w:p w14:paraId="069E1844" w14:textId="34E513E7" w:rsidR="00E068BB" w:rsidRPr="001A1836" w:rsidRDefault="00EC78C7" w:rsidP="00A20731">
      <w:pPr>
        <w:rPr>
          <w:i/>
        </w:rPr>
      </w:pPr>
      <w:bookmarkStart w:id="156" w:name="_Toc521496202"/>
      <w:r>
        <w:rPr>
          <w:i/>
        </w:rPr>
        <w:t xml:space="preserve">Competency Check </w:t>
      </w:r>
      <w:r w:rsidR="00E068BB" w:rsidRPr="001A1836">
        <w:rPr>
          <w:i/>
        </w:rPr>
        <w:t xml:space="preserve"> </w:t>
      </w:r>
      <w:r w:rsidR="00F850E8">
        <w:rPr>
          <w:i/>
        </w:rPr>
        <w:t>E</w:t>
      </w:r>
      <w:r w:rsidR="00E068BB" w:rsidRPr="001A1836">
        <w:rPr>
          <w:i/>
        </w:rPr>
        <w:t>vent</w:t>
      </w:r>
      <w:bookmarkEnd w:id="156"/>
    </w:p>
    <w:p w14:paraId="069E1845" w14:textId="314D9DD3" w:rsidR="00635294" w:rsidRPr="001A1836" w:rsidRDefault="00783E6A" w:rsidP="002F7052">
      <w:pPr>
        <w:pStyle w:val="GSRL4numberedclause"/>
        <w:rPr>
          <w:lang w:eastAsia="en-GB"/>
        </w:rPr>
      </w:pPr>
      <w:r w:rsidRPr="001A1836">
        <w:lastRenderedPageBreak/>
        <w:t>A</w:t>
      </w:r>
      <w:r w:rsidR="00C40CD8">
        <w:t xml:space="preserve"> Competency Check </w:t>
      </w:r>
      <w:r w:rsidR="00F978F4">
        <w:t>E</w:t>
      </w:r>
      <w:r w:rsidRPr="001A1836">
        <w:t>vent shall consist of a</w:t>
      </w:r>
      <w:r w:rsidR="00C24294" w:rsidRPr="001A1836">
        <w:t xml:space="preserve"> half-day awareness event </w:t>
      </w:r>
      <w:r w:rsidR="00F978F4">
        <w:t xml:space="preserve">(held in person or virtually) </w:t>
      </w:r>
      <w:r w:rsidR="00C24294" w:rsidRPr="001A1836">
        <w:t>for low</w:t>
      </w:r>
      <w:r w:rsidR="00122012">
        <w:t xml:space="preserve">er </w:t>
      </w:r>
      <w:r w:rsidR="009943F4">
        <w:t>R</w:t>
      </w:r>
      <w:r w:rsidR="00E068BB" w:rsidRPr="001A1836">
        <w:t xml:space="preserve">isk </w:t>
      </w:r>
      <w:r w:rsidR="009943F4">
        <w:t xml:space="preserve">Category </w:t>
      </w:r>
      <w:r w:rsidR="00EF55BA">
        <w:t xml:space="preserve">and </w:t>
      </w:r>
      <w:r w:rsidR="009943F4">
        <w:t xml:space="preserve">low-scoring </w:t>
      </w:r>
      <w:r w:rsidR="00EF55BA">
        <w:t xml:space="preserve">medium </w:t>
      </w:r>
      <w:r w:rsidR="009943F4">
        <w:t>R</w:t>
      </w:r>
      <w:r w:rsidR="00EF55BA">
        <w:t xml:space="preserve">isk </w:t>
      </w:r>
      <w:r w:rsidR="009943F4">
        <w:t xml:space="preserve">Category </w:t>
      </w:r>
      <w:r w:rsidR="004B5A72" w:rsidRPr="001A1836">
        <w:t>E</w:t>
      </w:r>
      <w:r w:rsidR="00E068BB" w:rsidRPr="001A1836">
        <w:t xml:space="preserve">ngineers and </w:t>
      </w:r>
      <w:r w:rsidR="004B5A72" w:rsidRPr="001A1836">
        <w:t>B</w:t>
      </w:r>
      <w:r w:rsidR="00E068BB" w:rsidRPr="001A1836">
        <w:t>usinesses.</w:t>
      </w:r>
      <w:r w:rsidR="00C24294" w:rsidRPr="001A1836">
        <w:t xml:space="preserve"> The event </w:t>
      </w:r>
      <w:r w:rsidRPr="001A1836">
        <w:t xml:space="preserve">shall </w:t>
      </w:r>
      <w:r w:rsidR="00C24294" w:rsidRPr="001A1836">
        <w:t>include a knowledge-</w:t>
      </w:r>
      <w:r w:rsidR="00E068BB" w:rsidRPr="001A1836">
        <w:t xml:space="preserve">based test which allows validation of the </w:t>
      </w:r>
      <w:r w:rsidRPr="001A1836">
        <w:t>E</w:t>
      </w:r>
      <w:r w:rsidR="00B511E3" w:rsidRPr="001A1836">
        <w:t>ngineer’s/</w:t>
      </w:r>
      <w:r w:rsidRPr="001A1836">
        <w:t>B</w:t>
      </w:r>
      <w:r w:rsidR="004C0857" w:rsidRPr="001A1836">
        <w:t>usiness’s classification and</w:t>
      </w:r>
      <w:r w:rsidR="00E068BB" w:rsidRPr="001A1836">
        <w:t xml:space="preserve"> </w:t>
      </w:r>
      <w:r w:rsidR="004B5A72" w:rsidRPr="001A1836">
        <w:t>R</w:t>
      </w:r>
      <w:r w:rsidR="00635294" w:rsidRPr="001A1836">
        <w:t xml:space="preserve">isk </w:t>
      </w:r>
      <w:r w:rsidR="004B5A72" w:rsidRPr="001A1836">
        <w:t>R</w:t>
      </w:r>
      <w:r w:rsidR="00635294" w:rsidRPr="001A1836">
        <w:t>ating</w:t>
      </w:r>
      <w:r w:rsidR="002F7052">
        <w:t xml:space="preserve"> </w:t>
      </w:r>
      <w:r w:rsidR="002F7052" w:rsidRPr="002F7052">
        <w:t>and shall also include the relevan</w:t>
      </w:r>
      <w:r w:rsidR="002F7052">
        <w:t>t activities detailed in Table 4</w:t>
      </w:r>
      <w:r w:rsidR="002F7052" w:rsidRPr="002F7052">
        <w:t xml:space="preserve"> </w:t>
      </w:r>
      <w:r w:rsidR="00735986">
        <w:t>in Annex 1 to this Schedule</w:t>
      </w:r>
      <w:r w:rsidR="00010F50" w:rsidRPr="001A1836">
        <w:t>.</w:t>
      </w:r>
      <w:r w:rsidR="00635D30">
        <w:t xml:space="preserve"> </w:t>
      </w:r>
      <w:r w:rsidR="00635D30" w:rsidRPr="00635D30">
        <w:t>For low</w:t>
      </w:r>
      <w:r w:rsidR="00642973">
        <w:t xml:space="preserve"> </w:t>
      </w:r>
      <w:r w:rsidR="00F900C2">
        <w:t>scoring medium R</w:t>
      </w:r>
      <w:r w:rsidR="00642973">
        <w:t>isk</w:t>
      </w:r>
      <w:r w:rsidR="00F900C2">
        <w:t xml:space="preserve"> Category</w:t>
      </w:r>
      <w:r w:rsidR="00642973">
        <w:t xml:space="preserve"> B</w:t>
      </w:r>
      <w:r w:rsidR="00635D30" w:rsidRPr="00635D30">
        <w:t xml:space="preserve">usinesses, eligibility to participate in the half day </w:t>
      </w:r>
      <w:r w:rsidR="0086382C">
        <w:t xml:space="preserve">Competency Check </w:t>
      </w:r>
      <w:r w:rsidR="00635D30">
        <w:t xml:space="preserve"> Event</w:t>
      </w:r>
      <w:r w:rsidR="00635D30" w:rsidRPr="00635D30">
        <w:t xml:space="preserve"> is subject to previously undertaking an onsite</w:t>
      </w:r>
      <w:r w:rsidR="00BF5F59">
        <w:t xml:space="preserve"> Competency Check </w:t>
      </w:r>
      <w:r w:rsidR="00635D30" w:rsidRPr="00635D30">
        <w:t xml:space="preserve">over the course of the </w:t>
      </w:r>
      <w:r w:rsidR="00635D30">
        <w:t>Term.</w:t>
      </w:r>
    </w:p>
    <w:p w14:paraId="069E1846" w14:textId="77777777" w:rsidR="00010F50" w:rsidRPr="001A1836" w:rsidRDefault="00010F50" w:rsidP="00A20731">
      <w:pPr>
        <w:rPr>
          <w:i/>
        </w:rPr>
      </w:pPr>
      <w:bookmarkStart w:id="157" w:name="_Toc521496203"/>
      <w:r w:rsidRPr="001A1836">
        <w:rPr>
          <w:i/>
        </w:rPr>
        <w:t>Mandatory attendance event</w:t>
      </w:r>
      <w:bookmarkEnd w:id="157"/>
    </w:p>
    <w:p w14:paraId="069E1847" w14:textId="2EBD746A" w:rsidR="00E068BB" w:rsidRPr="001A1836" w:rsidRDefault="00783E6A" w:rsidP="002F7052">
      <w:pPr>
        <w:pStyle w:val="GSRL4numberedclause"/>
        <w:rPr>
          <w:rFonts w:eastAsiaTheme="majorEastAsia"/>
        </w:rPr>
      </w:pPr>
      <w:r w:rsidRPr="001A1836">
        <w:t xml:space="preserve">A mandatory </w:t>
      </w:r>
      <w:r w:rsidR="004B5A72" w:rsidRPr="001A1836">
        <w:t xml:space="preserve">attendance </w:t>
      </w:r>
      <w:r w:rsidRPr="001A1836">
        <w:t>event shall consist of a f</w:t>
      </w:r>
      <w:r w:rsidR="00C24294" w:rsidRPr="001A1836">
        <w:t>ull-</w:t>
      </w:r>
      <w:r w:rsidR="00E068BB" w:rsidRPr="001A1836">
        <w:t>day awareness</w:t>
      </w:r>
      <w:r w:rsidR="00C24294" w:rsidRPr="001A1836">
        <w:t xml:space="preserve"> event including two knowledge-</w:t>
      </w:r>
      <w:r w:rsidR="00E068BB" w:rsidRPr="001A1836">
        <w:t xml:space="preserve">based </w:t>
      </w:r>
      <w:r w:rsidR="00CE4128" w:rsidRPr="001A1836">
        <w:t>tests</w:t>
      </w:r>
      <w:r w:rsidR="002F7052">
        <w:t xml:space="preserve"> </w:t>
      </w:r>
      <w:r w:rsidR="002F7052" w:rsidRPr="002F7052">
        <w:t xml:space="preserve">and </w:t>
      </w:r>
      <w:r w:rsidR="002F7052">
        <w:t>also including</w:t>
      </w:r>
      <w:r w:rsidR="002F7052" w:rsidRPr="002F7052">
        <w:t xml:space="preserve"> the relevan</w:t>
      </w:r>
      <w:r w:rsidR="002F7052">
        <w:t>t activities detailed in Table 4</w:t>
      </w:r>
      <w:r w:rsidR="002F7052" w:rsidRPr="002F7052">
        <w:t xml:space="preserve"> </w:t>
      </w:r>
      <w:r w:rsidR="00735986">
        <w:t>in Annex 1 to this Schedule</w:t>
      </w:r>
      <w:r w:rsidRPr="001A1836">
        <w:t>, and shall be used</w:t>
      </w:r>
      <w:r w:rsidR="00E068BB" w:rsidRPr="001A1836">
        <w:t xml:space="preserve"> for </w:t>
      </w:r>
      <w:r w:rsidR="00EC7D67" w:rsidRPr="001A1836">
        <w:t xml:space="preserve">targeted </w:t>
      </w:r>
      <w:r w:rsidR="00C24294" w:rsidRPr="001A1836">
        <w:t>high</w:t>
      </w:r>
      <w:r w:rsidR="00122012">
        <w:t xml:space="preserve"> </w:t>
      </w:r>
      <w:r w:rsidR="00800D41" w:rsidRPr="001A1836">
        <w:t xml:space="preserve">risk </w:t>
      </w:r>
      <w:r w:rsidR="004B5A72" w:rsidRPr="001A1836">
        <w:t>B</w:t>
      </w:r>
      <w:r w:rsidR="00E068BB" w:rsidRPr="001A1836">
        <w:t xml:space="preserve">usinesses and </w:t>
      </w:r>
      <w:r w:rsidR="004B5A72" w:rsidRPr="001A1836">
        <w:t>E</w:t>
      </w:r>
      <w:r w:rsidR="00E068BB" w:rsidRPr="001A1836">
        <w:t xml:space="preserve">ngineers. Failure to attend </w:t>
      </w:r>
      <w:r w:rsidRPr="001A1836">
        <w:t>shall result in</w:t>
      </w:r>
      <w:r w:rsidR="00E068BB" w:rsidRPr="001A1836">
        <w:t xml:space="preserve"> immediate suspension from the Regi</w:t>
      </w:r>
      <w:r w:rsidR="00EC7D67" w:rsidRPr="001A1836">
        <w:t>ster. All attendees must have follow-</w:t>
      </w:r>
      <w:r w:rsidR="00E068BB" w:rsidRPr="001A1836">
        <w:t xml:space="preserve">up </w:t>
      </w:r>
      <w:r w:rsidR="00EC7D67" w:rsidRPr="001A1836">
        <w:t>on-site</w:t>
      </w:r>
      <w:r w:rsidR="00DB0E7A">
        <w:t xml:space="preserve"> </w:t>
      </w:r>
      <w:r w:rsidR="0086382C">
        <w:t>Competency Checks</w:t>
      </w:r>
      <w:r w:rsidR="00CB04CA">
        <w:t>.</w:t>
      </w:r>
    </w:p>
    <w:p w14:paraId="069E1848" w14:textId="09AC82B2" w:rsidR="00E068BB" w:rsidRPr="001A1836" w:rsidRDefault="00E068BB" w:rsidP="00A20731">
      <w:pPr>
        <w:rPr>
          <w:rFonts w:eastAsiaTheme="majorEastAsia"/>
          <w:i/>
        </w:rPr>
      </w:pPr>
      <w:bookmarkStart w:id="158" w:name="_Toc521496204"/>
      <w:r w:rsidRPr="001A1836">
        <w:rPr>
          <w:rFonts w:eastAsiaTheme="majorEastAsia"/>
          <w:i/>
        </w:rPr>
        <w:t xml:space="preserve">Small </w:t>
      </w:r>
      <w:r w:rsidR="004B5A72" w:rsidRPr="001A1836">
        <w:rPr>
          <w:rFonts w:eastAsiaTheme="majorEastAsia"/>
          <w:i/>
        </w:rPr>
        <w:t>B</w:t>
      </w:r>
      <w:r w:rsidRPr="001A1836">
        <w:rPr>
          <w:rFonts w:eastAsiaTheme="majorEastAsia"/>
          <w:i/>
        </w:rPr>
        <w:t>usinesses (1</w:t>
      </w:r>
      <w:r w:rsidR="00635294" w:rsidRPr="001A1836">
        <w:rPr>
          <w:rFonts w:eastAsiaTheme="majorEastAsia"/>
          <w:i/>
        </w:rPr>
        <w:t xml:space="preserve"> to </w:t>
      </w:r>
      <w:r w:rsidRPr="001A1836">
        <w:rPr>
          <w:rFonts w:eastAsiaTheme="majorEastAsia"/>
          <w:i/>
        </w:rPr>
        <w:t xml:space="preserve">9 registered </w:t>
      </w:r>
      <w:r w:rsidR="004B5A72" w:rsidRPr="001A1836">
        <w:rPr>
          <w:rFonts w:eastAsiaTheme="majorEastAsia"/>
          <w:i/>
        </w:rPr>
        <w:t>E</w:t>
      </w:r>
      <w:r w:rsidRPr="001A1836">
        <w:rPr>
          <w:rFonts w:eastAsiaTheme="majorEastAsia"/>
          <w:i/>
        </w:rPr>
        <w:t>ngineers)</w:t>
      </w:r>
      <w:bookmarkEnd w:id="158"/>
    </w:p>
    <w:p w14:paraId="069E1849" w14:textId="3A1E8E60" w:rsidR="00E07657" w:rsidRPr="001A1836" w:rsidRDefault="002F7052">
      <w:pPr>
        <w:pStyle w:val="GSRL4numberedclause"/>
        <w:spacing w:line="276" w:lineRule="auto"/>
      </w:pPr>
      <w:r>
        <w:t>The relevant activities underpinning what constitutes a Competency Check in respect of small Businesses are detailed in</w:t>
      </w:r>
      <w:r w:rsidR="00C8316B">
        <w:t xml:space="preserve"> Table 4</w:t>
      </w:r>
      <w:r>
        <w:t xml:space="preserve"> </w:t>
      </w:r>
      <w:r w:rsidR="00735986">
        <w:t>in Annex 1 to this Schedule</w:t>
      </w:r>
      <w:r>
        <w:t>, and f</w:t>
      </w:r>
      <w:r w:rsidR="001819A1" w:rsidRPr="001A1836">
        <w:t xml:space="preserve">or the purpose of meeting the </w:t>
      </w:r>
      <w:r w:rsidR="002B12BA" w:rsidRPr="001A1836">
        <w:t>planned</w:t>
      </w:r>
      <w:r w:rsidR="00DB0E7A">
        <w:t xml:space="preserve"> Competency Check </w:t>
      </w:r>
      <w:r w:rsidR="00783E6A" w:rsidRPr="001A1836">
        <w:t xml:space="preserve">requirements of </w:t>
      </w:r>
      <w:r w:rsidR="001819A1" w:rsidRPr="001A1836">
        <w:t>Table</w:t>
      </w:r>
      <w:r w:rsidR="00783E6A" w:rsidRPr="001A1836">
        <w:t>s 1 and</w:t>
      </w:r>
      <w:r w:rsidR="001819A1" w:rsidRPr="001A1836">
        <w:t xml:space="preserve"> 2,</w:t>
      </w:r>
      <w:r w:rsidR="00635294" w:rsidRPr="001A1836">
        <w:t xml:space="preserve"> </w:t>
      </w:r>
      <w:r w:rsidR="008D056B" w:rsidRPr="001A1836">
        <w:t xml:space="preserve">one </w:t>
      </w:r>
      <w:r w:rsidR="00CB04CA">
        <w:t xml:space="preserve">Competency Check </w:t>
      </w:r>
      <w:r w:rsidR="0062553C" w:rsidRPr="001A1836">
        <w:t xml:space="preserve">for a small </w:t>
      </w:r>
      <w:r w:rsidR="004B5A72" w:rsidRPr="001A1836">
        <w:t>B</w:t>
      </w:r>
      <w:r w:rsidR="0062553C" w:rsidRPr="001A1836">
        <w:t>usiness may consist of</w:t>
      </w:r>
      <w:r w:rsidR="008D056B" w:rsidRPr="001A1836">
        <w:t>:</w:t>
      </w:r>
    </w:p>
    <w:p w14:paraId="069E184A" w14:textId="2B95100B" w:rsidR="00E07657" w:rsidRPr="001A1836" w:rsidRDefault="0062553C">
      <w:pPr>
        <w:pStyle w:val="GSRL5numberedclause"/>
        <w:spacing w:line="276" w:lineRule="auto"/>
      </w:pPr>
      <w:r w:rsidRPr="001A1836">
        <w:t xml:space="preserve">a </w:t>
      </w:r>
      <w:r w:rsidR="00B14779" w:rsidRPr="001A1836">
        <w:t>planned or reactive</w:t>
      </w:r>
      <w:r w:rsidR="00E068BB" w:rsidRPr="001A1836">
        <w:t xml:space="preserve"> </w:t>
      </w:r>
      <w:r w:rsidRPr="001A1836">
        <w:t>on-site</w:t>
      </w:r>
      <w:r w:rsidR="00CB04CA">
        <w:t xml:space="preserve"> Competency Check </w:t>
      </w:r>
      <w:r w:rsidR="00E068BB" w:rsidRPr="001A1836">
        <w:t xml:space="preserve">involving one </w:t>
      </w:r>
      <w:r w:rsidR="00DF533D" w:rsidRPr="001A1836">
        <w:t>s</w:t>
      </w:r>
      <w:r w:rsidR="00E068BB" w:rsidRPr="001A1836">
        <w:t>ite visit</w:t>
      </w:r>
      <w:r w:rsidR="008D056B" w:rsidRPr="001A1836">
        <w:t>;</w:t>
      </w:r>
    </w:p>
    <w:p w14:paraId="069E184B" w14:textId="4148DD0E" w:rsidR="00E07657" w:rsidRPr="001A1836" w:rsidRDefault="00141D3F" w:rsidP="00642973">
      <w:pPr>
        <w:pStyle w:val="GSRL5numberedclause"/>
      </w:pPr>
      <w:r w:rsidRPr="001A1836">
        <w:t>o</w:t>
      </w:r>
      <w:r w:rsidR="00E068BB" w:rsidRPr="001A1836">
        <w:t xml:space="preserve">ne </w:t>
      </w:r>
      <w:r w:rsidR="00B14779" w:rsidRPr="001A1836">
        <w:t xml:space="preserve">individual from one </w:t>
      </w:r>
      <w:r w:rsidR="004B5A72" w:rsidRPr="001A1836">
        <w:t>B</w:t>
      </w:r>
      <w:r w:rsidR="00E068BB" w:rsidRPr="001A1836">
        <w:t>usiness attending a half-day</w:t>
      </w:r>
      <w:r w:rsidR="00CB04CA">
        <w:t xml:space="preserve"> Competency Check</w:t>
      </w:r>
      <w:r w:rsidR="00E068BB" w:rsidRPr="001A1836">
        <w:t xml:space="preserve"> </w:t>
      </w:r>
      <w:r w:rsidR="00F850E8">
        <w:t>E</w:t>
      </w:r>
      <w:r w:rsidR="00E068BB" w:rsidRPr="001A1836">
        <w:t xml:space="preserve">vent (lower </w:t>
      </w:r>
      <w:r w:rsidR="009943F4">
        <w:t>R</w:t>
      </w:r>
      <w:r w:rsidR="00E068BB" w:rsidRPr="001A1836">
        <w:t xml:space="preserve">isk </w:t>
      </w:r>
      <w:r w:rsidR="009943F4">
        <w:t xml:space="preserve">Category </w:t>
      </w:r>
      <w:r w:rsidR="00EF55BA">
        <w:t>and low</w:t>
      </w:r>
      <w:r w:rsidR="009943F4">
        <w:t>-scoring</w:t>
      </w:r>
      <w:r w:rsidR="00EF55BA">
        <w:t xml:space="preserve"> </w:t>
      </w:r>
      <w:r w:rsidR="009943F4">
        <w:t>medium R</w:t>
      </w:r>
      <w:r w:rsidR="00EF55BA">
        <w:t xml:space="preserve">isk </w:t>
      </w:r>
      <w:r w:rsidR="009943F4">
        <w:t xml:space="preserve">Category </w:t>
      </w:r>
      <w:r w:rsidR="004B5A72" w:rsidRPr="001A1836">
        <w:t>B</w:t>
      </w:r>
      <w:r w:rsidR="00E068BB" w:rsidRPr="001A1836">
        <w:t>usinesses only)</w:t>
      </w:r>
      <w:r w:rsidR="00642973">
        <w:t xml:space="preserve"> (</w:t>
      </w:r>
      <w:r w:rsidR="00642973" w:rsidRPr="00642973">
        <w:t>low</w:t>
      </w:r>
      <w:r w:rsidR="009943F4">
        <w:t>-scoring medium</w:t>
      </w:r>
      <w:r w:rsidR="00642973">
        <w:t xml:space="preserve"> </w:t>
      </w:r>
      <w:r w:rsidR="009943F4">
        <w:t>R</w:t>
      </w:r>
      <w:r w:rsidR="00642973">
        <w:t xml:space="preserve">isk </w:t>
      </w:r>
      <w:r w:rsidR="009943F4">
        <w:t xml:space="preserve">Category </w:t>
      </w:r>
      <w:r w:rsidR="00642973">
        <w:t>B</w:t>
      </w:r>
      <w:r w:rsidR="00642973" w:rsidRPr="00642973">
        <w:t xml:space="preserve">usinesses are eligible to attend the </w:t>
      </w:r>
      <w:r w:rsidR="0099573A">
        <w:t xml:space="preserve">Competency Check </w:t>
      </w:r>
      <w:r w:rsidR="00642973">
        <w:t>Event</w:t>
      </w:r>
      <w:r w:rsidR="00642973" w:rsidRPr="00642973">
        <w:t xml:space="preserve"> if they have previously undergone a site based</w:t>
      </w:r>
      <w:r w:rsidR="0099573A">
        <w:t xml:space="preserve"> Competency Check </w:t>
      </w:r>
      <w:r w:rsidR="00642973">
        <w:t>during the Term</w:t>
      </w:r>
      <w:r w:rsidR="00642973" w:rsidRPr="00642973">
        <w:t>)</w:t>
      </w:r>
      <w:r w:rsidR="008D056B" w:rsidRPr="001A1836">
        <w:t>;</w:t>
      </w:r>
      <w:r w:rsidR="0053413A" w:rsidRPr="001A1836">
        <w:t xml:space="preserve"> </w:t>
      </w:r>
    </w:p>
    <w:p w14:paraId="62D83B28" w14:textId="77777777" w:rsidR="00C8316B" w:rsidRDefault="00141D3F">
      <w:pPr>
        <w:pStyle w:val="GSRL5numberedclause"/>
        <w:spacing w:line="276" w:lineRule="auto"/>
      </w:pPr>
      <w:r w:rsidRPr="001A1836">
        <w:t>o</w:t>
      </w:r>
      <w:r w:rsidR="00E068BB" w:rsidRPr="001A1836">
        <w:t xml:space="preserve">ne individual from one </w:t>
      </w:r>
      <w:r w:rsidR="004B5A72" w:rsidRPr="001A1836">
        <w:t>B</w:t>
      </w:r>
      <w:r w:rsidR="00E068BB" w:rsidRPr="001A1836">
        <w:t xml:space="preserve">usiness attending a one-day mandatory attendance event for targeted higher-risk </w:t>
      </w:r>
      <w:r w:rsidR="004B5A72" w:rsidRPr="001A1836">
        <w:t>B</w:t>
      </w:r>
      <w:r w:rsidR="00E068BB" w:rsidRPr="001A1836">
        <w:t>usinesses</w:t>
      </w:r>
      <w:r w:rsidR="00C8316B">
        <w:t>; or</w:t>
      </w:r>
    </w:p>
    <w:p w14:paraId="069E184C" w14:textId="2A5C49A7" w:rsidR="00E07657" w:rsidRPr="001A1836" w:rsidRDefault="00C8316B">
      <w:pPr>
        <w:pStyle w:val="GSRL5numberedclause"/>
        <w:spacing w:line="276" w:lineRule="auto"/>
      </w:pPr>
      <w:r>
        <w:t>an on-site Complaint Inspection</w:t>
      </w:r>
      <w:r w:rsidR="004B5A72" w:rsidRPr="001A1836">
        <w:t>.</w:t>
      </w:r>
      <w:r w:rsidR="008D056B" w:rsidRPr="001A1836">
        <w:t xml:space="preserve"> </w:t>
      </w:r>
    </w:p>
    <w:p w14:paraId="069E184D" w14:textId="77777777" w:rsidR="00E068BB" w:rsidRPr="001A1836" w:rsidRDefault="00E068BB" w:rsidP="00A20731">
      <w:pPr>
        <w:rPr>
          <w:rFonts w:eastAsiaTheme="majorEastAsia"/>
          <w:i/>
        </w:rPr>
      </w:pPr>
      <w:bookmarkStart w:id="159" w:name="_Toc521496205"/>
      <w:r w:rsidRPr="001A1836">
        <w:rPr>
          <w:rFonts w:eastAsiaTheme="majorEastAsia"/>
          <w:i/>
        </w:rPr>
        <w:t xml:space="preserve">Large </w:t>
      </w:r>
      <w:r w:rsidR="004B5A72" w:rsidRPr="001A1836">
        <w:rPr>
          <w:rFonts w:eastAsiaTheme="majorEastAsia"/>
          <w:i/>
        </w:rPr>
        <w:t>B</w:t>
      </w:r>
      <w:r w:rsidRPr="001A1836">
        <w:rPr>
          <w:rFonts w:eastAsiaTheme="majorEastAsia"/>
          <w:i/>
        </w:rPr>
        <w:t>usinesses (10</w:t>
      </w:r>
      <w:r w:rsidR="001819A1" w:rsidRPr="001A1836">
        <w:rPr>
          <w:rFonts w:eastAsiaTheme="majorEastAsia"/>
          <w:i/>
        </w:rPr>
        <w:t xml:space="preserve"> or more</w:t>
      </w:r>
      <w:r w:rsidRPr="001A1836">
        <w:rPr>
          <w:rFonts w:eastAsiaTheme="majorEastAsia"/>
          <w:i/>
        </w:rPr>
        <w:t xml:space="preserve"> registered </w:t>
      </w:r>
      <w:r w:rsidR="004B5A72" w:rsidRPr="001A1836">
        <w:rPr>
          <w:rFonts w:eastAsiaTheme="majorEastAsia"/>
          <w:i/>
        </w:rPr>
        <w:t>E</w:t>
      </w:r>
      <w:r w:rsidRPr="001A1836">
        <w:rPr>
          <w:rFonts w:eastAsiaTheme="majorEastAsia"/>
          <w:i/>
        </w:rPr>
        <w:t>ngineers)</w:t>
      </w:r>
      <w:bookmarkEnd w:id="159"/>
    </w:p>
    <w:p w14:paraId="069E184E" w14:textId="2355364F" w:rsidR="00E068BB" w:rsidRPr="001A1836" w:rsidRDefault="00C8316B">
      <w:pPr>
        <w:pStyle w:val="GSRL4numberedclause"/>
        <w:spacing w:line="276" w:lineRule="auto"/>
      </w:pPr>
      <w:r>
        <w:t xml:space="preserve">The relevant activities underpinning what constitutes a Competency Check in respect of large Businesses are detailed in Table 4 </w:t>
      </w:r>
      <w:r w:rsidR="00735986">
        <w:t>in Annex 1 to this Schedule</w:t>
      </w:r>
      <w:r>
        <w:t>, and f</w:t>
      </w:r>
      <w:r w:rsidR="00D0744C" w:rsidRPr="001A1836">
        <w:t xml:space="preserve">or the purpose of meeting the </w:t>
      </w:r>
      <w:r w:rsidR="002B12BA" w:rsidRPr="001A1836">
        <w:t>planned</w:t>
      </w:r>
      <w:r w:rsidR="0099573A">
        <w:t xml:space="preserve"> Competency Check </w:t>
      </w:r>
      <w:r w:rsidR="00FA723F" w:rsidRPr="001A1836">
        <w:t xml:space="preserve">targets </w:t>
      </w:r>
      <w:r w:rsidR="0062553C" w:rsidRPr="001A1836">
        <w:t xml:space="preserve">requirements of </w:t>
      </w:r>
      <w:r w:rsidR="00FA723F" w:rsidRPr="001A1836">
        <w:t>Table</w:t>
      </w:r>
      <w:r w:rsidR="0062553C" w:rsidRPr="001A1836">
        <w:t>s</w:t>
      </w:r>
      <w:r w:rsidR="00FA723F" w:rsidRPr="001A1836">
        <w:t xml:space="preserve"> 1</w:t>
      </w:r>
      <w:r w:rsidR="0062553C" w:rsidRPr="001A1836">
        <w:t xml:space="preserve"> and 2</w:t>
      </w:r>
      <w:r w:rsidR="00D0744C" w:rsidRPr="001A1836">
        <w:t xml:space="preserve">, </w:t>
      </w:r>
      <w:r w:rsidR="00FA723F" w:rsidRPr="001A1836">
        <w:t>one</w:t>
      </w:r>
      <w:r w:rsidR="00E068BB" w:rsidRPr="001A1836">
        <w:t xml:space="preserve"> </w:t>
      </w:r>
      <w:r w:rsidR="00BD437E">
        <w:t xml:space="preserve">Competency Check </w:t>
      </w:r>
      <w:r w:rsidR="0062553C" w:rsidRPr="001A1836">
        <w:t xml:space="preserve">for a large </w:t>
      </w:r>
      <w:r w:rsidR="004B5A72" w:rsidRPr="001A1836">
        <w:t>B</w:t>
      </w:r>
      <w:r w:rsidR="0062553C" w:rsidRPr="001A1836">
        <w:t xml:space="preserve">usiness </w:t>
      </w:r>
      <w:r w:rsidR="00E068BB" w:rsidRPr="001A1836">
        <w:t>may consist of:</w:t>
      </w:r>
    </w:p>
    <w:p w14:paraId="069E184F" w14:textId="17112E79" w:rsidR="00E068BB" w:rsidRPr="001A1836" w:rsidRDefault="00880AEA">
      <w:pPr>
        <w:pStyle w:val="GSRL5numberedclause"/>
        <w:spacing w:line="276" w:lineRule="auto"/>
      </w:pPr>
      <w:r w:rsidRPr="001A1836">
        <w:t>Up</w:t>
      </w:r>
      <w:r w:rsidR="0098776B" w:rsidRPr="001A1836">
        <w:t xml:space="preserve"> </w:t>
      </w:r>
      <w:r w:rsidR="0062553C" w:rsidRPr="001A1836">
        <w:t>to</w:t>
      </w:r>
      <w:r w:rsidRPr="001A1836">
        <w:t xml:space="preserve"> one</w:t>
      </w:r>
      <w:r w:rsidR="0062553C" w:rsidRPr="001A1836">
        <w:t xml:space="preserve"> full day </w:t>
      </w:r>
      <w:r w:rsidR="001D2E20" w:rsidRPr="001A1836">
        <w:t xml:space="preserve">planned or reactive </w:t>
      </w:r>
      <w:r w:rsidR="00141D3F" w:rsidRPr="001A1836">
        <w:t>o</w:t>
      </w:r>
      <w:r w:rsidR="00E068BB" w:rsidRPr="001A1836">
        <w:t xml:space="preserve">ffice-based management audit </w:t>
      </w:r>
      <w:r w:rsidR="00BD437E">
        <w:t xml:space="preserve"> Competency Check </w:t>
      </w:r>
      <w:r w:rsidR="00FD6D37" w:rsidRPr="001A1836">
        <w:t>(</w:t>
      </w:r>
      <w:r w:rsidR="00026EF7" w:rsidRPr="001A1836">
        <w:t>of</w:t>
      </w:r>
      <w:r w:rsidR="00FD6D37" w:rsidRPr="001A1836">
        <w:t xml:space="preserve"> one </w:t>
      </w:r>
      <w:r w:rsidR="00026EF7" w:rsidRPr="001A1836">
        <w:t xml:space="preserve">or more </w:t>
      </w:r>
      <w:r w:rsidR="001819A1" w:rsidRPr="001A1836">
        <w:t>premises</w:t>
      </w:r>
      <w:r w:rsidR="00FD6D37" w:rsidRPr="001A1836">
        <w:t>)</w:t>
      </w:r>
      <w:r w:rsidR="008D056B" w:rsidRPr="001A1836">
        <w:t>;</w:t>
      </w:r>
      <w:r w:rsidR="00026EF7" w:rsidRPr="001A1836">
        <w:t xml:space="preserve"> </w:t>
      </w:r>
    </w:p>
    <w:p w14:paraId="55F39E36" w14:textId="5A239AD7" w:rsidR="00C8316B" w:rsidRPr="00C8316B" w:rsidRDefault="0062553C">
      <w:pPr>
        <w:pStyle w:val="GSRL5numberedclause"/>
        <w:spacing w:line="276" w:lineRule="auto"/>
        <w:rPr>
          <w:rFonts w:eastAsiaTheme="majorEastAsia"/>
        </w:rPr>
      </w:pPr>
      <w:r w:rsidRPr="001A1836">
        <w:t xml:space="preserve">a </w:t>
      </w:r>
      <w:r w:rsidR="00141D3F" w:rsidRPr="001A1836">
        <w:t>s</w:t>
      </w:r>
      <w:r w:rsidR="00E068BB" w:rsidRPr="001A1836">
        <w:t xml:space="preserve">ample on-site </w:t>
      </w:r>
      <w:r w:rsidR="001D2E20" w:rsidRPr="001A1836">
        <w:t xml:space="preserve">planned or reactive </w:t>
      </w:r>
      <w:r w:rsidR="007D15CE">
        <w:t>Competency Check</w:t>
      </w:r>
      <w:r w:rsidR="00E068BB" w:rsidRPr="001A1836">
        <w:t xml:space="preserve"> of </w:t>
      </w:r>
      <w:r w:rsidRPr="001A1836">
        <w:t xml:space="preserve">an </w:t>
      </w:r>
      <w:r w:rsidR="00E068BB" w:rsidRPr="001A1836">
        <w:t xml:space="preserve">individual </w:t>
      </w:r>
      <w:r w:rsidRPr="001A1836">
        <w:t>E</w:t>
      </w:r>
      <w:r w:rsidR="00E068BB" w:rsidRPr="001A1836">
        <w:t>ngineer</w:t>
      </w:r>
      <w:r w:rsidR="00C66E1A" w:rsidRPr="001A1836">
        <w:t>’</w:t>
      </w:r>
      <w:r w:rsidR="00E068BB" w:rsidRPr="001A1836">
        <w:t xml:space="preserve">s </w:t>
      </w:r>
      <w:r w:rsidR="000C1F5C" w:rsidRPr="001A1836">
        <w:t>Gas Work</w:t>
      </w:r>
      <w:r w:rsidR="00C8316B">
        <w:t>; or</w:t>
      </w:r>
    </w:p>
    <w:p w14:paraId="090F3094" w14:textId="3F080945" w:rsidR="00C8316B" w:rsidRDefault="00C8316B" w:rsidP="00C8316B">
      <w:pPr>
        <w:pStyle w:val="GSRL5numberedclause"/>
      </w:pPr>
      <w:r>
        <w:t>if a Business has more than one working centre, one or more centres may be audited. The following count as one Competency Check:</w:t>
      </w:r>
    </w:p>
    <w:p w14:paraId="26C746FA" w14:textId="4C69C602" w:rsidR="00C8316B" w:rsidRDefault="00C8316B" w:rsidP="00C8316B">
      <w:pPr>
        <w:pStyle w:val="GSRL6numberedclause"/>
      </w:pPr>
      <w:r>
        <w:t>a half to full day Competency Check per working centre; or</w:t>
      </w:r>
    </w:p>
    <w:p w14:paraId="069E1850" w14:textId="33E318F1" w:rsidR="004368C1" w:rsidRPr="00C8316B" w:rsidRDefault="00C8316B" w:rsidP="00C8316B">
      <w:pPr>
        <w:pStyle w:val="GSRL6numberedclause"/>
      </w:pPr>
      <w:r>
        <w:t>each individual engineer inspected during on-site Competency Check</w:t>
      </w:r>
      <w:r w:rsidR="008D056B" w:rsidRPr="001A1836">
        <w:t>.</w:t>
      </w:r>
      <w:bookmarkStart w:id="160" w:name="_Toc501354442"/>
    </w:p>
    <w:p w14:paraId="069E1851" w14:textId="392E2BB9" w:rsidR="00E068BB" w:rsidRPr="001A1836" w:rsidRDefault="00E068BB" w:rsidP="00A20731">
      <w:pPr>
        <w:rPr>
          <w:rFonts w:eastAsiaTheme="majorEastAsia"/>
          <w:b/>
          <w:i/>
        </w:rPr>
      </w:pPr>
      <w:bookmarkStart w:id="161" w:name="_Toc521326944"/>
      <w:bookmarkStart w:id="162" w:name="_Toc521484698"/>
      <w:bookmarkStart w:id="163" w:name="_Toc521485029"/>
      <w:bookmarkStart w:id="164" w:name="_Toc521496206"/>
      <w:r w:rsidRPr="001A1836">
        <w:rPr>
          <w:rFonts w:eastAsiaTheme="majorEastAsia"/>
          <w:b/>
          <w:i/>
        </w:rPr>
        <w:t xml:space="preserve">Support </w:t>
      </w:r>
      <w:r w:rsidR="00C3094F">
        <w:rPr>
          <w:rFonts w:eastAsiaTheme="majorEastAsia"/>
          <w:b/>
          <w:i/>
        </w:rPr>
        <w:t xml:space="preserve">Investigations </w:t>
      </w:r>
      <w:r w:rsidRPr="001A1836">
        <w:rPr>
          <w:rFonts w:eastAsiaTheme="majorEastAsia"/>
          <w:b/>
          <w:i/>
        </w:rPr>
        <w:t xml:space="preserve">and </w:t>
      </w:r>
      <w:r w:rsidR="00CB1E37">
        <w:rPr>
          <w:rFonts w:eastAsiaTheme="majorEastAsia"/>
          <w:b/>
          <w:i/>
        </w:rPr>
        <w:t>I</w:t>
      </w:r>
      <w:r w:rsidRPr="001A1836">
        <w:rPr>
          <w:rFonts w:eastAsiaTheme="majorEastAsia"/>
          <w:b/>
          <w:i/>
        </w:rPr>
        <w:t xml:space="preserve">llegal </w:t>
      </w:r>
      <w:bookmarkEnd w:id="160"/>
      <w:bookmarkEnd w:id="161"/>
      <w:bookmarkEnd w:id="162"/>
      <w:bookmarkEnd w:id="163"/>
      <w:bookmarkEnd w:id="164"/>
      <w:r w:rsidR="000C1F5C" w:rsidRPr="001A1836">
        <w:rPr>
          <w:rFonts w:eastAsiaTheme="majorEastAsia"/>
          <w:b/>
          <w:i/>
        </w:rPr>
        <w:t>Gas Work</w:t>
      </w:r>
      <w:r w:rsidR="00CB1E37">
        <w:rPr>
          <w:rFonts w:eastAsiaTheme="majorEastAsia"/>
          <w:b/>
          <w:i/>
        </w:rPr>
        <w:t xml:space="preserve"> Investigations</w:t>
      </w:r>
    </w:p>
    <w:p w14:paraId="069E1852" w14:textId="364287A7" w:rsidR="00E068BB" w:rsidRPr="001A1836" w:rsidRDefault="008A5C15" w:rsidP="00C8316B">
      <w:pPr>
        <w:pStyle w:val="GSRL4numberedclause"/>
      </w:pPr>
      <w:r w:rsidRPr="001A1836">
        <w:lastRenderedPageBreak/>
        <w:t>E</w:t>
      </w:r>
      <w:r w:rsidR="00FA723F" w:rsidRPr="001A1836">
        <w:t xml:space="preserve">ach half </w:t>
      </w:r>
      <w:r w:rsidR="00DF50B7" w:rsidRPr="001A1836">
        <w:t>W</w:t>
      </w:r>
      <w:r w:rsidR="00FA723F" w:rsidRPr="001A1836">
        <w:t xml:space="preserve">orking </w:t>
      </w:r>
      <w:r w:rsidR="00DF50B7" w:rsidRPr="001A1836">
        <w:t>D</w:t>
      </w:r>
      <w:r w:rsidR="00A63144" w:rsidRPr="001A1836">
        <w:t xml:space="preserve">ay of support by </w:t>
      </w:r>
      <w:r w:rsidR="004D019C" w:rsidRPr="001A1836">
        <w:t xml:space="preserve">a </w:t>
      </w:r>
      <w:r w:rsidR="00A63144" w:rsidRPr="001A1836">
        <w:t>Gas Safe Register</w:t>
      </w:r>
      <w:r w:rsidR="00E068BB" w:rsidRPr="001A1836">
        <w:t xml:space="preserve"> </w:t>
      </w:r>
      <w:r w:rsidR="00154940">
        <w:t>I</w:t>
      </w:r>
      <w:r w:rsidR="00E068BB" w:rsidRPr="001A1836">
        <w:t xml:space="preserve">nspector to HSE and local authorities </w:t>
      </w:r>
      <w:r w:rsidR="00C3094F">
        <w:t xml:space="preserve">in conducting Support Investigations </w:t>
      </w:r>
      <w:r w:rsidRPr="001A1836">
        <w:t xml:space="preserve">in accordance with paragraph </w:t>
      </w:r>
      <w:r w:rsidR="00DF533D" w:rsidRPr="001A1836">
        <w:fldChar w:fldCharType="begin"/>
      </w:r>
      <w:r w:rsidR="00DF533D" w:rsidRPr="001A1836">
        <w:instrText xml:space="preserve"> REF _Ref508025841 \r \h </w:instrText>
      </w:r>
      <w:r w:rsidR="001A1836">
        <w:instrText xml:space="preserve"> \* MERGEFORMAT </w:instrText>
      </w:r>
      <w:r w:rsidR="00DF533D" w:rsidRPr="001A1836">
        <w:fldChar w:fldCharType="separate"/>
      </w:r>
      <w:r w:rsidR="00C87D85">
        <w:t>10</w:t>
      </w:r>
      <w:r w:rsidR="00DF533D" w:rsidRPr="001A1836">
        <w:fldChar w:fldCharType="end"/>
      </w:r>
      <w:r w:rsidRPr="001A1836">
        <w:t xml:space="preserve"> </w:t>
      </w:r>
      <w:r w:rsidR="00E068BB" w:rsidRPr="001A1836">
        <w:t xml:space="preserve">counts as one </w:t>
      </w:r>
      <w:r w:rsidR="00154940">
        <w:t>I</w:t>
      </w:r>
      <w:r w:rsidR="00E068BB" w:rsidRPr="001A1836">
        <w:t>nspection</w:t>
      </w:r>
      <w:r w:rsidR="00635294" w:rsidRPr="001A1836">
        <w:t xml:space="preserve"> for the purposes of meeting the </w:t>
      </w:r>
      <w:r w:rsidR="00154940">
        <w:t>I</w:t>
      </w:r>
      <w:r w:rsidR="00635294" w:rsidRPr="001A1836">
        <w:t xml:space="preserve">nspection </w:t>
      </w:r>
      <w:r w:rsidR="004D019C" w:rsidRPr="001A1836">
        <w:t xml:space="preserve">requirements of </w:t>
      </w:r>
      <w:r w:rsidR="00635294" w:rsidRPr="001A1836">
        <w:t>Table</w:t>
      </w:r>
      <w:r w:rsidR="004D019C" w:rsidRPr="001A1836">
        <w:t xml:space="preserve">s 1 and </w:t>
      </w:r>
      <w:r w:rsidR="00FF2FC1" w:rsidRPr="001A1836">
        <w:t>3</w:t>
      </w:r>
      <w:r w:rsidR="00E068BB" w:rsidRPr="001A1836">
        <w:t>.</w:t>
      </w:r>
      <w:r w:rsidR="00C8316B">
        <w:t xml:space="preserve"> </w:t>
      </w:r>
      <w:r w:rsidR="00C8316B" w:rsidRPr="00C8316B">
        <w:t>The relevant activities underpinning what constitutes</w:t>
      </w:r>
      <w:r w:rsidR="00C8316B">
        <w:t xml:space="preserve"> an appropriate Competency C</w:t>
      </w:r>
      <w:r w:rsidR="00C8316B" w:rsidRPr="00C8316B">
        <w:t>heck in t</w:t>
      </w:r>
      <w:r w:rsidR="00C8316B">
        <w:t>hese areas are detailed in Table 4</w:t>
      </w:r>
      <w:r w:rsidR="00C8316B" w:rsidRPr="00C8316B">
        <w:t xml:space="preserve"> </w:t>
      </w:r>
      <w:r w:rsidR="00735986">
        <w:t>in Annex 1 to this Schedule</w:t>
      </w:r>
      <w:r w:rsidR="00C8316B" w:rsidRPr="00C8316B">
        <w:t>.</w:t>
      </w:r>
    </w:p>
    <w:p w14:paraId="069E1853" w14:textId="7F077D82" w:rsidR="00E068BB" w:rsidRDefault="00E068BB">
      <w:pPr>
        <w:pStyle w:val="GSRL4numberedclause"/>
        <w:spacing w:line="276" w:lineRule="auto"/>
      </w:pPr>
      <w:r w:rsidRPr="001A1836">
        <w:t xml:space="preserve">One site visit to an alleged illegal </w:t>
      </w:r>
      <w:r w:rsidR="00DF533D" w:rsidRPr="001A1836">
        <w:t>G</w:t>
      </w:r>
      <w:r w:rsidRPr="001A1836">
        <w:t xml:space="preserve">as </w:t>
      </w:r>
      <w:r w:rsidR="00DF533D" w:rsidRPr="001A1836">
        <w:t>W</w:t>
      </w:r>
      <w:r w:rsidRPr="001A1836">
        <w:t xml:space="preserve">ork site </w:t>
      </w:r>
      <w:r w:rsidR="00C3094F">
        <w:t xml:space="preserve">to conduct an Illegal Gas Work Investigation </w:t>
      </w:r>
      <w:r w:rsidRPr="001A1836">
        <w:t xml:space="preserve">counts as one </w:t>
      </w:r>
      <w:r w:rsidR="00C8316B">
        <w:t>Competency Check</w:t>
      </w:r>
      <w:r w:rsidR="00C8316B" w:rsidRPr="001A1836">
        <w:t xml:space="preserve"> </w:t>
      </w:r>
      <w:r w:rsidR="004D019C" w:rsidRPr="001A1836">
        <w:t xml:space="preserve">for the purposes of meeting the </w:t>
      </w:r>
      <w:r w:rsidR="00154940">
        <w:t>I</w:t>
      </w:r>
      <w:r w:rsidR="004D019C" w:rsidRPr="001A1836">
        <w:t>nspectio</w:t>
      </w:r>
      <w:r w:rsidR="00FF2FC1" w:rsidRPr="001A1836">
        <w:t>n requirements of Tables 1 and 3</w:t>
      </w:r>
      <w:r w:rsidR="004D019C" w:rsidRPr="001A1836">
        <w:t>.</w:t>
      </w:r>
    </w:p>
    <w:p w14:paraId="6EF64B01" w14:textId="0759C13E" w:rsidR="00F330CD" w:rsidRPr="00F330CD" w:rsidRDefault="00F330CD" w:rsidP="00F330CD">
      <w:pPr>
        <w:pStyle w:val="GSRL4numberedclause"/>
        <w:numPr>
          <w:ilvl w:val="0"/>
          <w:numId w:val="0"/>
        </w:numPr>
        <w:spacing w:line="276" w:lineRule="auto"/>
        <w:rPr>
          <w:b/>
          <w:i/>
        </w:rPr>
      </w:pPr>
      <w:r w:rsidRPr="00F330CD">
        <w:rPr>
          <w:b/>
          <w:i/>
        </w:rPr>
        <w:t xml:space="preserve">Mandatory Technical Competence </w:t>
      </w:r>
    </w:p>
    <w:p w14:paraId="703ECD9B" w14:textId="202955DA" w:rsidR="00F330CD" w:rsidRDefault="00F330CD" w:rsidP="00F330CD">
      <w:pPr>
        <w:pStyle w:val="GSRL4numberedclause"/>
      </w:pPr>
      <w:r>
        <w:t>In addition to the Competency Checks and Inspections described above in this paragraph 4, where applicable, for those Businesses undertaking self-certification under the Building Regulations, a check of competence against the Mandatory Technical Competence (</w:t>
      </w:r>
      <w:r w:rsidRPr="00F330CD">
        <w:rPr>
          <w:b/>
        </w:rPr>
        <w:t>"MTC"</w:t>
      </w:r>
      <w:r>
        <w:t>) criteria covering gas heat producing appliances and the installation of heating and hot-water systems served by those appliances is required.</w:t>
      </w:r>
    </w:p>
    <w:p w14:paraId="60A08D4F" w14:textId="76DE12CC" w:rsidR="00F330CD" w:rsidRPr="00F330CD" w:rsidRDefault="00F330CD" w:rsidP="00F330CD">
      <w:pPr>
        <w:pStyle w:val="GSRL4numberedclause"/>
      </w:pPr>
      <w:r>
        <w:t xml:space="preserve">During the Term, there will be an update to the MTC criteria covering gas heat producing appliances and the installation of heating and hot-water systems.  Those Businesses in England undertaking self-certification under the Building Regulations, must ensure compliance against the MTCs.  Where applicable, and in due course, the Service delivered by the Provider under this Contract will be required to incorporate checks against the MTC into the minimum Competence Check requirements set out in this paragraph 4. HSE expects the Provider to work across the UK and deliver changes against the applicable building regulations in respective parts of the UK. </w:t>
      </w:r>
    </w:p>
    <w:p w14:paraId="1502365A" w14:textId="1C99B902" w:rsidR="0086107D" w:rsidRPr="0086107D" w:rsidRDefault="0086107D" w:rsidP="0086107D">
      <w:pPr>
        <w:pStyle w:val="GSRL4numberedclause"/>
        <w:numPr>
          <w:ilvl w:val="0"/>
          <w:numId w:val="0"/>
        </w:numPr>
        <w:spacing w:line="276" w:lineRule="auto"/>
        <w:rPr>
          <w:b/>
          <w:i/>
        </w:rPr>
      </w:pPr>
      <w:r w:rsidRPr="0086107D">
        <w:rPr>
          <w:b/>
          <w:i/>
        </w:rPr>
        <w:t>Review/audit of the current Competency Check regime</w:t>
      </w:r>
    </w:p>
    <w:p w14:paraId="4AA59319" w14:textId="0BE95178" w:rsidR="00580582" w:rsidRPr="001A1836" w:rsidRDefault="0086107D" w:rsidP="00735986">
      <w:pPr>
        <w:pStyle w:val="GSRL4numberedclause"/>
      </w:pPr>
      <w:r w:rsidRPr="0086107D">
        <w:t xml:space="preserve">During Year 1 of the </w:t>
      </w:r>
      <w:r>
        <w:t>Service Concession Agreement, t</w:t>
      </w:r>
      <w:r w:rsidRPr="0086107D">
        <w:t xml:space="preserve">he Provider is required to </w:t>
      </w:r>
      <w:r>
        <w:t xml:space="preserve">conduct (at its own cost) a review and </w:t>
      </w:r>
      <w:r w:rsidRPr="0086107D">
        <w:t xml:space="preserve">audit </w:t>
      </w:r>
      <w:r>
        <w:t>of the current Competency C</w:t>
      </w:r>
      <w:r w:rsidRPr="0086107D">
        <w:t>heck regime</w:t>
      </w:r>
      <w:r>
        <w:t>. The detailed scope of the review and audit will be agreed between the Parties (both</w:t>
      </w:r>
      <w:r w:rsidRPr="0086107D">
        <w:t xml:space="preserve"> </w:t>
      </w:r>
      <w:r>
        <w:t>acting reasonably) but will include, as a minimum,</w:t>
      </w:r>
      <w:r w:rsidRPr="0086107D">
        <w:t xml:space="preserve"> considerations of the sustainability </w:t>
      </w:r>
      <w:r>
        <w:t>and feasibility of the varying the Competency Checks</w:t>
      </w:r>
      <w:r w:rsidRPr="0086107D">
        <w:t xml:space="preserve"> </w:t>
      </w:r>
      <w:r w:rsidR="00F330CD">
        <w:t xml:space="preserve">regime </w:t>
      </w:r>
      <w:r w:rsidRPr="0086107D">
        <w:t xml:space="preserve">currently in place </w:t>
      </w:r>
      <w:r>
        <w:t xml:space="preserve">(as described in this paragraph 4) </w:t>
      </w:r>
      <w:r w:rsidRPr="0086107D">
        <w:t>and bring</w:t>
      </w:r>
      <w:r>
        <w:t>ing</w:t>
      </w:r>
      <w:r w:rsidRPr="0086107D">
        <w:t xml:space="preserve"> forward a plan </w:t>
      </w:r>
      <w:r>
        <w:t xml:space="preserve">and proposal </w:t>
      </w:r>
      <w:r w:rsidRPr="0086107D">
        <w:t xml:space="preserve">as to how to </w:t>
      </w:r>
      <w:r w:rsidR="00F330CD">
        <w:t>best</w:t>
      </w:r>
      <w:r w:rsidRPr="0086107D">
        <w:t xml:space="preserve"> incorporate the requirements of </w:t>
      </w:r>
      <w:r w:rsidR="009F7E62">
        <w:t>MTC</w:t>
      </w:r>
      <w:r w:rsidRPr="0086107D">
        <w:t xml:space="preserve"> within the regime</w:t>
      </w:r>
      <w:r>
        <w:t>,</w:t>
      </w:r>
      <w:r w:rsidRPr="0086107D">
        <w:t xml:space="preserve"> for HSE</w:t>
      </w:r>
      <w:r>
        <w:t>'</w:t>
      </w:r>
      <w:r w:rsidRPr="0086107D">
        <w:t xml:space="preserve">s </w:t>
      </w:r>
      <w:r>
        <w:t>consideration</w:t>
      </w:r>
      <w:r w:rsidRPr="0086107D">
        <w:t>.</w:t>
      </w:r>
      <w:r>
        <w:t xml:space="preserve"> Any changes that </w:t>
      </w:r>
      <w:r w:rsidR="00F330CD">
        <w:t>HSE</w:t>
      </w:r>
      <w:r>
        <w:t xml:space="preserve"> wishes to implement in connection with or resulting from the review and audit referred to in this paragraph </w:t>
      </w:r>
      <w:r w:rsidR="00F330CD">
        <w:t>4.31</w:t>
      </w:r>
      <w:r>
        <w:t xml:space="preserve"> will be agreed between the Parties in accordance with the Change Control Procedure.</w:t>
      </w:r>
    </w:p>
    <w:p w14:paraId="069E1854" w14:textId="77777777" w:rsidR="00857A7E" w:rsidRPr="001A1836" w:rsidRDefault="00B164AA">
      <w:pPr>
        <w:pStyle w:val="GSRL3heading"/>
        <w:spacing w:line="276" w:lineRule="auto"/>
      </w:pPr>
      <w:bookmarkStart w:id="165" w:name="_Toc501354444"/>
      <w:bookmarkStart w:id="166" w:name="_Toc507743968"/>
      <w:bookmarkStart w:id="167" w:name="_Toc521326945"/>
      <w:bookmarkStart w:id="168" w:name="_Toc521333199"/>
      <w:bookmarkStart w:id="169" w:name="_Toc521483957"/>
      <w:bookmarkStart w:id="170" w:name="_Toc521484699"/>
      <w:bookmarkStart w:id="171" w:name="_Toc521485030"/>
      <w:bookmarkStart w:id="172" w:name="_Toc521496207"/>
      <w:bookmarkStart w:id="173" w:name="_Toc521496759"/>
      <w:bookmarkStart w:id="174" w:name="_Toc521498201"/>
      <w:bookmarkStart w:id="175" w:name="_Toc521500285"/>
      <w:bookmarkStart w:id="176" w:name="_Toc529345939"/>
      <w:bookmarkStart w:id="177" w:name="_Toc129038132"/>
      <w:bookmarkStart w:id="178" w:name="_Toc129038418"/>
      <w:bookmarkStart w:id="179" w:name="_Toc132267988"/>
      <w:bookmarkStart w:id="180" w:name="_Toc132268294"/>
      <w:bookmarkStart w:id="181" w:name="_Toc136198543"/>
      <w:bookmarkStart w:id="182" w:name="_Toc136198824"/>
      <w:bookmarkEnd w:id="124"/>
      <w:r w:rsidRPr="001A1836">
        <w:t>Complaints and appeals</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sidR="00A52F10" w:rsidRPr="001A1836">
        <w:t xml:space="preserve"> </w:t>
      </w:r>
    </w:p>
    <w:p w14:paraId="069E1855" w14:textId="77777777" w:rsidR="00C7252A" w:rsidRPr="001A1836" w:rsidRDefault="00B164AA">
      <w:pPr>
        <w:pStyle w:val="GSRL4numberedclause"/>
        <w:spacing w:line="276" w:lineRule="auto"/>
      </w:pPr>
      <w:r w:rsidRPr="001A1836">
        <w:t xml:space="preserve">The </w:t>
      </w:r>
      <w:r w:rsidR="0086594C" w:rsidRPr="001A1836">
        <w:t>Provider</w:t>
      </w:r>
      <w:r w:rsidRPr="001A1836">
        <w:t xml:space="preserve"> </w:t>
      </w:r>
      <w:r w:rsidR="007C00B1" w:rsidRPr="001A1836">
        <w:t xml:space="preserve">shall </w:t>
      </w:r>
      <w:r w:rsidR="00E81F75" w:rsidRPr="001A1836">
        <w:t>investigate, manage and respond to</w:t>
      </w:r>
      <w:r w:rsidR="007C14D7" w:rsidRPr="001A1836">
        <w:t xml:space="preserve"> </w:t>
      </w:r>
      <w:r w:rsidR="00217103" w:rsidRPr="001A1836">
        <w:t xml:space="preserve">all </w:t>
      </w:r>
      <w:r w:rsidR="007C14D7" w:rsidRPr="001A1836">
        <w:t xml:space="preserve">complaints </w:t>
      </w:r>
      <w:r w:rsidR="004D73EA" w:rsidRPr="001A1836">
        <w:t>about</w:t>
      </w:r>
      <w:r w:rsidR="007C14D7" w:rsidRPr="001A1836">
        <w:t>:</w:t>
      </w:r>
    </w:p>
    <w:p w14:paraId="069E1856" w14:textId="77777777" w:rsidR="00DF533D" w:rsidRPr="001A1836" w:rsidRDefault="0053413A">
      <w:pPr>
        <w:pStyle w:val="GSRL5numberedclause"/>
        <w:spacing w:line="276" w:lineRule="auto"/>
      </w:pPr>
      <w:r w:rsidRPr="001A1836">
        <w:t xml:space="preserve">Registered </w:t>
      </w:r>
      <w:r w:rsidR="000C16BD" w:rsidRPr="001A1836">
        <w:t>Businesses or E</w:t>
      </w:r>
      <w:r w:rsidR="00D264CA" w:rsidRPr="001A1836">
        <w:t>ngineers</w:t>
      </w:r>
      <w:r w:rsidR="00DF533D" w:rsidRPr="001A1836">
        <w:t>;</w:t>
      </w:r>
      <w:r w:rsidR="004D73EA" w:rsidRPr="001A1836">
        <w:t xml:space="preserve"> </w:t>
      </w:r>
    </w:p>
    <w:p w14:paraId="069E1857" w14:textId="77777777" w:rsidR="00DF533D" w:rsidRPr="001A1836" w:rsidRDefault="004D73EA">
      <w:pPr>
        <w:pStyle w:val="GSRL5numberedclause"/>
        <w:spacing w:line="276" w:lineRule="auto"/>
      </w:pPr>
      <w:r w:rsidRPr="001A1836">
        <w:t>non-registered</w:t>
      </w:r>
      <w:r w:rsidR="0053413A" w:rsidRPr="001A1836">
        <w:t xml:space="preserve"> </w:t>
      </w:r>
      <w:r w:rsidR="00DF533D" w:rsidRPr="001A1836">
        <w:t>B</w:t>
      </w:r>
      <w:r w:rsidR="0053413A" w:rsidRPr="001A1836">
        <w:t>usinesses or gas fitters</w:t>
      </w:r>
      <w:r w:rsidR="00DF533D" w:rsidRPr="001A1836">
        <w:t xml:space="preserve"> carrying out Gas Work</w:t>
      </w:r>
      <w:r w:rsidR="007C14D7" w:rsidRPr="001A1836">
        <w:t xml:space="preserve">; </w:t>
      </w:r>
    </w:p>
    <w:p w14:paraId="069E1858" w14:textId="77777777" w:rsidR="00C7252A" w:rsidRPr="001A1836" w:rsidRDefault="00DF533D">
      <w:pPr>
        <w:pStyle w:val="GSRL5numberedclause"/>
        <w:spacing w:line="276" w:lineRule="auto"/>
      </w:pPr>
      <w:r w:rsidRPr="001A1836">
        <w:t xml:space="preserve">unsafe Gas Work; </w:t>
      </w:r>
      <w:r w:rsidR="007C14D7" w:rsidRPr="001A1836">
        <w:t>and</w:t>
      </w:r>
    </w:p>
    <w:p w14:paraId="069E1859" w14:textId="77777777" w:rsidR="00C7252A" w:rsidRPr="001A1836" w:rsidRDefault="0053413A">
      <w:pPr>
        <w:pStyle w:val="GSRL5numberedclause"/>
        <w:spacing w:line="276" w:lineRule="auto"/>
      </w:pPr>
      <w:r w:rsidRPr="001A1836">
        <w:t>a</w:t>
      </w:r>
      <w:r w:rsidR="004D73EA" w:rsidRPr="001A1836">
        <w:t>ct</w:t>
      </w:r>
      <w:r w:rsidR="000C16BD" w:rsidRPr="001A1836">
        <w:t>s or omissions</w:t>
      </w:r>
      <w:r w:rsidR="004D73EA" w:rsidRPr="001A1836">
        <w:t xml:space="preserve"> by </w:t>
      </w:r>
      <w:r w:rsidR="007C14D7" w:rsidRPr="001A1836">
        <w:t xml:space="preserve">the </w:t>
      </w:r>
      <w:r w:rsidR="00B77B01" w:rsidRPr="001A1836">
        <w:t>Provi</w:t>
      </w:r>
      <w:r w:rsidR="007C396F" w:rsidRPr="001A1836">
        <w:t>der while delivering the S</w:t>
      </w:r>
      <w:r w:rsidR="00B77B01" w:rsidRPr="001A1836">
        <w:t>ervices</w:t>
      </w:r>
      <w:r w:rsidR="00737925" w:rsidRPr="001A1836">
        <w:t>.</w:t>
      </w:r>
    </w:p>
    <w:p w14:paraId="069E185A" w14:textId="77777777" w:rsidR="005D30D8" w:rsidRPr="001A1836" w:rsidRDefault="005D30D8">
      <w:pPr>
        <w:pStyle w:val="GSRL4numberedclause"/>
        <w:spacing w:line="276" w:lineRule="auto"/>
      </w:pPr>
      <w:r w:rsidRPr="001A1836">
        <w:t xml:space="preserve">A complaint is any expression of dissatisfaction, whether justified or not, about a service provided by, or a member of staff acting on behalf of, the Provider, </w:t>
      </w:r>
      <w:r w:rsidR="0053413A" w:rsidRPr="001A1836">
        <w:t xml:space="preserve">or a </w:t>
      </w:r>
      <w:r w:rsidR="001D2E20" w:rsidRPr="001A1836">
        <w:t>report</w:t>
      </w:r>
      <w:r w:rsidR="004E7C7C" w:rsidRPr="001A1836">
        <w:t xml:space="preserve"> concerning illegal or</w:t>
      </w:r>
      <w:r w:rsidRPr="001A1836">
        <w:t xml:space="preserve"> potentially unsafe </w:t>
      </w:r>
      <w:r w:rsidR="00217103" w:rsidRPr="001A1836">
        <w:t>G</w:t>
      </w:r>
      <w:r w:rsidRPr="001A1836">
        <w:t xml:space="preserve">as </w:t>
      </w:r>
      <w:r w:rsidR="00217103" w:rsidRPr="001A1836">
        <w:t>W</w:t>
      </w:r>
      <w:r w:rsidRPr="001A1836">
        <w:t>ork</w:t>
      </w:r>
      <w:r w:rsidR="00653FBC" w:rsidRPr="001A1836">
        <w:t>.</w:t>
      </w:r>
      <w:r w:rsidRPr="001A1836">
        <w:t xml:space="preserve"> </w:t>
      </w:r>
    </w:p>
    <w:p w14:paraId="069E185B" w14:textId="77777777" w:rsidR="007C14D7" w:rsidRPr="001A1836" w:rsidRDefault="007C14D7" w:rsidP="00A20731">
      <w:pPr>
        <w:rPr>
          <w:b/>
          <w:i/>
        </w:rPr>
      </w:pPr>
      <w:bookmarkStart w:id="183" w:name="_Toc501354445"/>
      <w:bookmarkStart w:id="184" w:name="_Toc507743969"/>
      <w:bookmarkStart w:id="185" w:name="_Toc521326946"/>
      <w:bookmarkStart w:id="186" w:name="_Toc521484700"/>
      <w:bookmarkStart w:id="187" w:name="_Toc521485031"/>
      <w:bookmarkStart w:id="188" w:name="_Toc521496208"/>
      <w:r w:rsidRPr="001A1836">
        <w:rPr>
          <w:b/>
          <w:i/>
        </w:rPr>
        <w:t xml:space="preserve">Complaints about </w:t>
      </w:r>
      <w:r w:rsidR="00217103" w:rsidRPr="001A1836">
        <w:rPr>
          <w:b/>
          <w:i/>
        </w:rPr>
        <w:t>B</w:t>
      </w:r>
      <w:r w:rsidRPr="001A1836">
        <w:rPr>
          <w:b/>
          <w:i/>
        </w:rPr>
        <w:t xml:space="preserve">usinesses and </w:t>
      </w:r>
      <w:r w:rsidR="00217103" w:rsidRPr="001A1836">
        <w:rPr>
          <w:b/>
          <w:i/>
        </w:rPr>
        <w:t>E</w:t>
      </w:r>
      <w:r w:rsidRPr="001A1836">
        <w:rPr>
          <w:b/>
          <w:i/>
        </w:rPr>
        <w:t>ngineers</w:t>
      </w:r>
      <w:bookmarkEnd w:id="183"/>
      <w:bookmarkEnd w:id="184"/>
      <w:bookmarkEnd w:id="185"/>
      <w:bookmarkEnd w:id="186"/>
      <w:bookmarkEnd w:id="187"/>
      <w:bookmarkEnd w:id="188"/>
    </w:p>
    <w:p w14:paraId="069E185C" w14:textId="77777777" w:rsidR="00B164AA" w:rsidRPr="001A1836" w:rsidRDefault="00737925">
      <w:pPr>
        <w:pStyle w:val="GSRL4numberedclause"/>
        <w:spacing w:line="276" w:lineRule="auto"/>
      </w:pPr>
      <w:r w:rsidRPr="001A1836">
        <w:lastRenderedPageBreak/>
        <w:t xml:space="preserve">During the </w:t>
      </w:r>
      <w:r w:rsidR="00217103" w:rsidRPr="001A1836">
        <w:t>T</w:t>
      </w:r>
      <w:r w:rsidRPr="001A1836">
        <w:t xml:space="preserve">ransition </w:t>
      </w:r>
      <w:r w:rsidR="00217103" w:rsidRPr="001A1836">
        <w:t>P</w:t>
      </w:r>
      <w:r w:rsidRPr="001A1836">
        <w:t>eriod, t</w:t>
      </w:r>
      <w:r w:rsidR="007C14D7" w:rsidRPr="001A1836">
        <w:t xml:space="preserve">he </w:t>
      </w:r>
      <w:r w:rsidR="0086594C" w:rsidRPr="001A1836">
        <w:t>Provider</w:t>
      </w:r>
      <w:r w:rsidR="00B164AA" w:rsidRPr="001A1836">
        <w:t xml:space="preserve"> </w:t>
      </w:r>
      <w:r w:rsidR="007C00B1" w:rsidRPr="001A1836">
        <w:t xml:space="preserve">shall </w:t>
      </w:r>
      <w:r w:rsidRPr="001A1836">
        <w:t xml:space="preserve">agree with HSE </w:t>
      </w:r>
      <w:r w:rsidR="007C00B1" w:rsidRPr="001A1836">
        <w:t xml:space="preserve">and </w:t>
      </w:r>
      <w:r w:rsidR="00B511E3" w:rsidRPr="001A1836">
        <w:t xml:space="preserve">publish </w:t>
      </w:r>
      <w:r w:rsidR="005D30D8" w:rsidRPr="001A1836">
        <w:t xml:space="preserve">on the Gas Safe Register website </w:t>
      </w:r>
      <w:r w:rsidR="00B511E3" w:rsidRPr="001A1836">
        <w:t>a</w:t>
      </w:r>
      <w:r w:rsidR="00633592" w:rsidRPr="001A1836">
        <w:t xml:space="preserve"> </w:t>
      </w:r>
      <w:r w:rsidR="00281B1C" w:rsidRPr="001A1836">
        <w:t>‘</w:t>
      </w:r>
      <w:r w:rsidR="00B164AA" w:rsidRPr="001A1836">
        <w:t>complaints and appeals handlin</w:t>
      </w:r>
      <w:r w:rsidR="00E81F75" w:rsidRPr="001A1836">
        <w:t>g process</w:t>
      </w:r>
      <w:r w:rsidR="00281B1C" w:rsidRPr="001A1836">
        <w:t>’</w:t>
      </w:r>
      <w:r w:rsidR="00E81F75" w:rsidRPr="001A1836">
        <w:t xml:space="preserve"> for investigating, </w:t>
      </w:r>
      <w:r w:rsidR="00B164AA" w:rsidRPr="001A1836">
        <w:t xml:space="preserve">managing </w:t>
      </w:r>
      <w:r w:rsidR="00E81F75" w:rsidRPr="001A1836">
        <w:t xml:space="preserve">and responding to </w:t>
      </w:r>
      <w:r w:rsidR="00B164AA" w:rsidRPr="001A1836">
        <w:t>complaints m</w:t>
      </w:r>
      <w:r w:rsidR="007C14D7" w:rsidRPr="001A1836">
        <w:t xml:space="preserve">ade in relation to </w:t>
      </w:r>
      <w:r w:rsidR="008921E4" w:rsidRPr="001A1836">
        <w:t>pot</w:t>
      </w:r>
      <w:r w:rsidR="007C14D7" w:rsidRPr="001A1836">
        <w:t xml:space="preserve">entially unsafe </w:t>
      </w:r>
      <w:r w:rsidR="009D3610" w:rsidRPr="001A1836">
        <w:t>G</w:t>
      </w:r>
      <w:r w:rsidR="007C14D7" w:rsidRPr="001A1836">
        <w:t xml:space="preserve">as </w:t>
      </w:r>
      <w:r w:rsidR="009D3610" w:rsidRPr="001A1836">
        <w:t>W</w:t>
      </w:r>
      <w:r w:rsidR="00853874" w:rsidRPr="001A1836">
        <w:t>ork</w:t>
      </w:r>
      <w:r w:rsidR="005D30D8" w:rsidRPr="001A1836">
        <w:t xml:space="preserve"> carried out by any registered Business or E</w:t>
      </w:r>
      <w:r w:rsidR="00853874" w:rsidRPr="001A1836">
        <w:t>ngineer</w:t>
      </w:r>
      <w:r w:rsidR="00E56146" w:rsidRPr="001A1836">
        <w:t xml:space="preserve"> and </w:t>
      </w:r>
      <w:r w:rsidR="007C00B1" w:rsidRPr="001A1836">
        <w:t xml:space="preserve">to </w:t>
      </w:r>
      <w:r w:rsidR="00E56146" w:rsidRPr="001A1836">
        <w:t xml:space="preserve">reports of illegal </w:t>
      </w:r>
      <w:r w:rsidR="009D3610" w:rsidRPr="001A1836">
        <w:t>G</w:t>
      </w:r>
      <w:r w:rsidR="00E56146" w:rsidRPr="001A1836">
        <w:t xml:space="preserve">as </w:t>
      </w:r>
      <w:r w:rsidR="009D3610" w:rsidRPr="001A1836">
        <w:t>W</w:t>
      </w:r>
      <w:r w:rsidR="00E56146" w:rsidRPr="001A1836">
        <w:t>ork</w:t>
      </w:r>
      <w:r w:rsidR="00B164AA" w:rsidRPr="001A1836">
        <w:t xml:space="preserve">. </w:t>
      </w:r>
    </w:p>
    <w:p w14:paraId="069E185D" w14:textId="77777777" w:rsidR="00135AB3" w:rsidRPr="001A1836" w:rsidRDefault="00135AB3">
      <w:pPr>
        <w:pStyle w:val="GSRL4numberedclause"/>
        <w:spacing w:line="276" w:lineRule="auto"/>
      </w:pPr>
      <w:r w:rsidRPr="001A1836">
        <w:t xml:space="preserve">The </w:t>
      </w:r>
      <w:r w:rsidR="0086594C" w:rsidRPr="001A1836">
        <w:t>Provider</w:t>
      </w:r>
      <w:r w:rsidRPr="001A1836">
        <w:t xml:space="preserve"> sh</w:t>
      </w:r>
      <w:r w:rsidR="007C00B1" w:rsidRPr="001A1836">
        <w:t>all</w:t>
      </w:r>
      <w:r w:rsidRPr="001A1836">
        <w:t xml:space="preserve"> enable complaints </w:t>
      </w:r>
      <w:r w:rsidR="00115231" w:rsidRPr="001A1836">
        <w:t xml:space="preserve">to be reported </w:t>
      </w:r>
      <w:r w:rsidRPr="001A1836">
        <w:t>by phone</w:t>
      </w:r>
      <w:r w:rsidR="00115231" w:rsidRPr="001A1836">
        <w:t>, email, letter</w:t>
      </w:r>
      <w:r w:rsidR="00232849" w:rsidRPr="001A1836">
        <w:t xml:space="preserve"> and online</w:t>
      </w:r>
      <w:r w:rsidR="009D3610" w:rsidRPr="001A1836">
        <w:t>.</w:t>
      </w:r>
    </w:p>
    <w:p w14:paraId="069E185E" w14:textId="77777777" w:rsidR="00C7252A" w:rsidRPr="001A1836" w:rsidRDefault="00EB2772">
      <w:pPr>
        <w:pStyle w:val="GSRL4numberedclause"/>
        <w:spacing w:line="276" w:lineRule="auto"/>
      </w:pPr>
      <w:r w:rsidRPr="001A1836">
        <w:t xml:space="preserve">The </w:t>
      </w:r>
      <w:r w:rsidR="0086594C" w:rsidRPr="001A1836">
        <w:t>Provider</w:t>
      </w:r>
      <w:r w:rsidR="00B164AA" w:rsidRPr="001A1836">
        <w:t xml:space="preserve"> </w:t>
      </w:r>
      <w:r w:rsidR="007C00B1" w:rsidRPr="001A1836">
        <w:t>shall</w:t>
      </w:r>
      <w:r w:rsidR="00280DF2" w:rsidRPr="001A1836">
        <w:t xml:space="preserve"> undertake an</w:t>
      </w:r>
      <w:r w:rsidR="00B164AA" w:rsidRPr="001A1836">
        <w:t xml:space="preserve"> initial review of complaint status to establish the n</w:t>
      </w:r>
      <w:r w:rsidR="00853874" w:rsidRPr="001A1836">
        <w:t>ext steps, prioritisation, and processes and p</w:t>
      </w:r>
      <w:r w:rsidR="00B164AA" w:rsidRPr="001A1836">
        <w:t>rocedures</w:t>
      </w:r>
      <w:r w:rsidR="00694EA3" w:rsidRPr="001A1836">
        <w:t xml:space="preserve"> to be followed. This </w:t>
      </w:r>
      <w:r w:rsidR="007C00B1" w:rsidRPr="001A1836">
        <w:t xml:space="preserve">review </w:t>
      </w:r>
      <w:r w:rsidR="00694EA3" w:rsidRPr="001A1836">
        <w:t>should</w:t>
      </w:r>
      <w:r w:rsidR="00B164AA" w:rsidRPr="001A1836">
        <w:t xml:space="preserve"> include: </w:t>
      </w:r>
    </w:p>
    <w:p w14:paraId="069E185F" w14:textId="77777777" w:rsidR="00B164AA" w:rsidRPr="001A1836" w:rsidRDefault="0093738A">
      <w:pPr>
        <w:pStyle w:val="GSRL5numberedclause"/>
        <w:spacing w:line="276" w:lineRule="auto"/>
      </w:pPr>
      <w:r w:rsidRPr="001A1836">
        <w:t>determining</w:t>
      </w:r>
      <w:r w:rsidR="007C00B1" w:rsidRPr="001A1836">
        <w:t xml:space="preserve"> </w:t>
      </w:r>
      <w:r w:rsidR="00B164AA" w:rsidRPr="001A1836">
        <w:t>whether an individual complaint o</w:t>
      </w:r>
      <w:r w:rsidR="007C14D7" w:rsidRPr="001A1836">
        <w:t xml:space="preserve">r contact concerns </w:t>
      </w:r>
      <w:r w:rsidR="008921E4" w:rsidRPr="001A1836">
        <w:t>pot</w:t>
      </w:r>
      <w:r w:rsidR="007C14D7" w:rsidRPr="001A1836">
        <w:t xml:space="preserve">entially unsafe </w:t>
      </w:r>
      <w:r w:rsidR="00217103" w:rsidRPr="001A1836">
        <w:t>G</w:t>
      </w:r>
      <w:r w:rsidR="007C14D7" w:rsidRPr="001A1836">
        <w:t xml:space="preserve">as </w:t>
      </w:r>
      <w:r w:rsidR="00217103" w:rsidRPr="001A1836">
        <w:t>W</w:t>
      </w:r>
      <w:r w:rsidR="00B164AA" w:rsidRPr="001A1836">
        <w:t xml:space="preserve">ork; </w:t>
      </w:r>
    </w:p>
    <w:p w14:paraId="069E1860" w14:textId="77777777" w:rsidR="00B164AA" w:rsidRPr="001A1836" w:rsidRDefault="00B164AA">
      <w:pPr>
        <w:pStyle w:val="GSRL5numberedclause"/>
        <w:spacing w:line="276" w:lineRule="auto"/>
      </w:pPr>
      <w:r w:rsidRPr="001A1836">
        <w:t xml:space="preserve">a mechanism by which the appropriate priority is given to any such complaint or enquiry; </w:t>
      </w:r>
    </w:p>
    <w:p w14:paraId="069E1861" w14:textId="77777777" w:rsidR="0098776B" w:rsidRPr="001A1836" w:rsidRDefault="0093738A">
      <w:pPr>
        <w:pStyle w:val="GSRL5numberedclause"/>
        <w:spacing w:line="276" w:lineRule="auto"/>
      </w:pPr>
      <w:r w:rsidRPr="001A1836">
        <w:t>determining</w:t>
      </w:r>
      <w:r w:rsidR="00B164AA" w:rsidRPr="001A1836">
        <w:t xml:space="preserve"> the next co</w:t>
      </w:r>
      <w:r w:rsidR="00853874" w:rsidRPr="001A1836">
        <w:t xml:space="preserve">urse of action where </w:t>
      </w:r>
      <w:r w:rsidR="008921E4" w:rsidRPr="001A1836">
        <w:t>pot</w:t>
      </w:r>
      <w:r w:rsidR="00853874" w:rsidRPr="001A1836">
        <w:t xml:space="preserve">ential unsafe </w:t>
      </w:r>
      <w:r w:rsidR="009D3610" w:rsidRPr="001A1836">
        <w:t>G</w:t>
      </w:r>
      <w:r w:rsidR="00853874" w:rsidRPr="001A1836">
        <w:t xml:space="preserve">as </w:t>
      </w:r>
      <w:r w:rsidR="009D3610" w:rsidRPr="001A1836">
        <w:t>W</w:t>
      </w:r>
      <w:r w:rsidR="00CE656A" w:rsidRPr="001A1836">
        <w:t>ork is identified. S</w:t>
      </w:r>
      <w:r w:rsidR="00B164AA" w:rsidRPr="001A1836">
        <w:t xml:space="preserve">uch courses of action shall include: </w:t>
      </w:r>
    </w:p>
    <w:p w14:paraId="069E1862" w14:textId="3EA0F47E" w:rsidR="00B164AA" w:rsidRPr="001A1836" w:rsidRDefault="007C14E9">
      <w:pPr>
        <w:pStyle w:val="GSRL6numberedclause"/>
        <w:spacing w:line="276" w:lineRule="auto"/>
      </w:pPr>
      <w:r w:rsidRPr="001A1836">
        <w:t xml:space="preserve">identify the level of </w:t>
      </w:r>
      <w:r w:rsidR="00C63DB1" w:rsidRPr="001A1836">
        <w:t>priority</w:t>
      </w:r>
      <w:r w:rsidR="0093738A" w:rsidRPr="001A1836">
        <w:t xml:space="preserve"> for</w:t>
      </w:r>
      <w:r w:rsidR="008E29CC" w:rsidRPr="001A1836">
        <w:t xml:space="preserve"> </w:t>
      </w:r>
      <w:r w:rsidRPr="001A1836">
        <w:t xml:space="preserve">each </w:t>
      </w:r>
      <w:r w:rsidR="00014AE9">
        <w:t xml:space="preserve">Complaint </w:t>
      </w:r>
      <w:r w:rsidR="00154940">
        <w:t>I</w:t>
      </w:r>
      <w:r w:rsidR="00B164AA" w:rsidRPr="001A1836">
        <w:t xml:space="preserve">nspection; </w:t>
      </w:r>
    </w:p>
    <w:p w14:paraId="069E1863" w14:textId="75AA78A4" w:rsidR="00B164AA" w:rsidRPr="001A1836" w:rsidRDefault="00DC4C3A">
      <w:pPr>
        <w:pStyle w:val="GSRL6numberedclause"/>
        <w:spacing w:line="276" w:lineRule="auto"/>
      </w:pPr>
      <w:r w:rsidRPr="001A1836">
        <w:t>c</w:t>
      </w:r>
      <w:r w:rsidR="00B164AA" w:rsidRPr="001A1836">
        <w:t xml:space="preserve">omplaint handling within contact </w:t>
      </w:r>
      <w:r w:rsidR="00264FD0" w:rsidRPr="001A1836">
        <w:t xml:space="preserve">centre not requiring on-site </w:t>
      </w:r>
      <w:r w:rsidR="00014AE9">
        <w:t xml:space="preserve">Complaint </w:t>
      </w:r>
      <w:r w:rsidR="00154940">
        <w:t>I</w:t>
      </w:r>
      <w:r w:rsidR="00264FD0" w:rsidRPr="001A1836">
        <w:t>nspection</w:t>
      </w:r>
      <w:r w:rsidR="00B164AA" w:rsidRPr="001A1836">
        <w:t>;</w:t>
      </w:r>
    </w:p>
    <w:p w14:paraId="069E1864" w14:textId="77777777" w:rsidR="00B164AA" w:rsidRPr="001A1836" w:rsidRDefault="00DC4C3A">
      <w:pPr>
        <w:pStyle w:val="GSRL6numberedclause"/>
        <w:spacing w:line="276" w:lineRule="auto"/>
      </w:pPr>
      <w:r w:rsidRPr="001A1836">
        <w:t>a</w:t>
      </w:r>
      <w:r w:rsidR="00B164AA" w:rsidRPr="001A1836">
        <w:t xml:space="preserve">ssisting </w:t>
      </w:r>
      <w:r w:rsidR="0093738A" w:rsidRPr="001A1836">
        <w:t>the complainant</w:t>
      </w:r>
      <w:r w:rsidR="00B164AA" w:rsidRPr="001A1836">
        <w:t xml:space="preserve"> to contact the relevant </w:t>
      </w:r>
      <w:r w:rsidR="00ED0F92" w:rsidRPr="001A1836">
        <w:t xml:space="preserve">gas </w:t>
      </w:r>
      <w:r w:rsidR="00CA0BD9" w:rsidRPr="001A1836">
        <w:t>e</w:t>
      </w:r>
      <w:r w:rsidR="00B164AA" w:rsidRPr="001A1836">
        <w:t xml:space="preserve">mergency </w:t>
      </w:r>
      <w:r w:rsidR="00CA0BD9" w:rsidRPr="001A1836">
        <w:t>s</w:t>
      </w:r>
      <w:r w:rsidR="00B164AA" w:rsidRPr="001A1836">
        <w:t xml:space="preserve">ervice </w:t>
      </w:r>
      <w:r w:rsidR="00CA0BD9" w:rsidRPr="001A1836">
        <w:t>p</w:t>
      </w:r>
      <w:r w:rsidR="0086594C" w:rsidRPr="001A1836">
        <w:t>rovider</w:t>
      </w:r>
      <w:r w:rsidR="00B164AA" w:rsidRPr="001A1836">
        <w:t xml:space="preserve"> (ESP). The </w:t>
      </w:r>
      <w:r w:rsidR="0086594C" w:rsidRPr="001A1836">
        <w:t>Provider</w:t>
      </w:r>
      <w:r w:rsidR="00B164AA" w:rsidRPr="001A1836">
        <w:t xml:space="preserve"> </w:t>
      </w:r>
      <w:r w:rsidR="00CF5F1E" w:rsidRPr="001A1836">
        <w:t>shall</w:t>
      </w:r>
      <w:r w:rsidR="00B164AA" w:rsidRPr="001A1836">
        <w:t xml:space="preserve"> maintain a</w:t>
      </w:r>
      <w:r w:rsidR="0093738A" w:rsidRPr="001A1836">
        <w:t>n up</w:t>
      </w:r>
      <w:r w:rsidR="0053413A" w:rsidRPr="001A1836">
        <w:t>-</w:t>
      </w:r>
      <w:r w:rsidR="0093738A" w:rsidRPr="001A1836">
        <w:t>to</w:t>
      </w:r>
      <w:r w:rsidR="0053413A" w:rsidRPr="001A1836">
        <w:t>-</w:t>
      </w:r>
      <w:r w:rsidR="0093738A" w:rsidRPr="001A1836">
        <w:t>date</w:t>
      </w:r>
      <w:r w:rsidR="00B164AA" w:rsidRPr="001A1836">
        <w:t xml:space="preserve"> list and contact details for all ESPs; and </w:t>
      </w:r>
    </w:p>
    <w:p w14:paraId="069E1865" w14:textId="77777777" w:rsidR="00B164AA" w:rsidRPr="001A1836" w:rsidRDefault="00DC4C3A">
      <w:pPr>
        <w:pStyle w:val="GSRL6numberedclause"/>
        <w:spacing w:line="276" w:lineRule="auto"/>
      </w:pPr>
      <w:r w:rsidRPr="001A1836">
        <w:t>s</w:t>
      </w:r>
      <w:r w:rsidR="00B164AA" w:rsidRPr="001A1836">
        <w:t xml:space="preserve">ignposting to </w:t>
      </w:r>
      <w:r w:rsidR="0093738A" w:rsidRPr="001A1836">
        <w:t>an</w:t>
      </w:r>
      <w:r w:rsidR="00B164AA" w:rsidRPr="001A1836">
        <w:t xml:space="preserve">other agency if </w:t>
      </w:r>
      <w:r w:rsidR="0093738A" w:rsidRPr="001A1836">
        <w:t xml:space="preserve">the complaint is </w:t>
      </w:r>
      <w:r w:rsidR="00B164AA" w:rsidRPr="001A1836">
        <w:t xml:space="preserve">not gas safety related. </w:t>
      </w:r>
    </w:p>
    <w:p w14:paraId="069E1866" w14:textId="6A43D9C4" w:rsidR="00280DF2" w:rsidRPr="001A1836" w:rsidRDefault="00105D1D">
      <w:pPr>
        <w:pStyle w:val="GSRL4numberedclause"/>
        <w:spacing w:line="276" w:lineRule="auto"/>
      </w:pPr>
      <w:r w:rsidRPr="001A1836">
        <w:t xml:space="preserve">Complaint </w:t>
      </w:r>
      <w:r w:rsidR="00154940">
        <w:t>I</w:t>
      </w:r>
      <w:r w:rsidR="00B2088B" w:rsidRPr="001A1836">
        <w:t xml:space="preserve">nspections </w:t>
      </w:r>
      <w:r w:rsidRPr="001A1836">
        <w:t xml:space="preserve">should be carried out within </w:t>
      </w:r>
      <w:r w:rsidR="0053413A" w:rsidRPr="001A1836">
        <w:t>ten (</w:t>
      </w:r>
      <w:r w:rsidRPr="001A1836">
        <w:t>10</w:t>
      </w:r>
      <w:r w:rsidR="0053413A" w:rsidRPr="001A1836">
        <w:t>)</w:t>
      </w:r>
      <w:r w:rsidRPr="001A1836">
        <w:t xml:space="preserve"> </w:t>
      </w:r>
      <w:r w:rsidR="00DF50B7" w:rsidRPr="001A1836">
        <w:t>W</w:t>
      </w:r>
      <w:r w:rsidRPr="001A1836">
        <w:t xml:space="preserve">orking </w:t>
      </w:r>
      <w:r w:rsidR="00DF50B7" w:rsidRPr="001A1836">
        <w:t>D</w:t>
      </w:r>
      <w:r w:rsidRPr="001A1836">
        <w:t xml:space="preserve">ays of the complaint being logged, in accordance with Service Level </w:t>
      </w:r>
      <w:r w:rsidR="00DE635F" w:rsidRPr="001A1836">
        <w:t>SL</w:t>
      </w:r>
      <w:r w:rsidRPr="001A1836">
        <w:t xml:space="preserve">03 </w:t>
      </w:r>
      <w:r w:rsidR="00AB5F9D" w:rsidRPr="001A1836">
        <w:t xml:space="preserve">and Service Level SL08 </w:t>
      </w:r>
      <w:r w:rsidR="00EF723C" w:rsidRPr="001A1836">
        <w:t>(see Schedule 3</w:t>
      </w:r>
      <w:r w:rsidR="001F48F0" w:rsidRPr="001A1836">
        <w:t xml:space="preserve"> </w:t>
      </w:r>
      <w:r w:rsidR="00356284">
        <w:t>(</w:t>
      </w:r>
      <w:r w:rsidR="001F48F0" w:rsidRPr="001A1836">
        <w:t>Service Levels</w:t>
      </w:r>
      <w:r w:rsidR="00356284">
        <w:t>)</w:t>
      </w:r>
      <w:r w:rsidRPr="001A1836">
        <w:t>).</w:t>
      </w:r>
    </w:p>
    <w:p w14:paraId="069E1867" w14:textId="77777777" w:rsidR="00C06D77" w:rsidRPr="001A1836" w:rsidRDefault="00C06D77" w:rsidP="00A20731">
      <w:pPr>
        <w:rPr>
          <w:b/>
          <w:i/>
        </w:rPr>
      </w:pPr>
      <w:bookmarkStart w:id="189" w:name="_Toc501354446"/>
      <w:bookmarkStart w:id="190" w:name="_Toc507743970"/>
      <w:bookmarkStart w:id="191" w:name="_Toc521326947"/>
      <w:bookmarkStart w:id="192" w:name="_Toc521484701"/>
      <w:bookmarkStart w:id="193" w:name="_Toc521485032"/>
      <w:bookmarkStart w:id="194" w:name="_Toc521496209"/>
      <w:r w:rsidRPr="001A1836">
        <w:rPr>
          <w:b/>
          <w:i/>
        </w:rPr>
        <w:t xml:space="preserve">Complaints and appeals </w:t>
      </w:r>
      <w:r w:rsidR="008E29CC" w:rsidRPr="001A1836">
        <w:rPr>
          <w:b/>
          <w:i/>
        </w:rPr>
        <w:t xml:space="preserve">against service and </w:t>
      </w:r>
      <w:r w:rsidRPr="001A1836">
        <w:rPr>
          <w:b/>
          <w:i/>
        </w:rPr>
        <w:t xml:space="preserve">about actions taken by the </w:t>
      </w:r>
      <w:bookmarkEnd w:id="189"/>
      <w:bookmarkEnd w:id="190"/>
      <w:r w:rsidR="001F48F0" w:rsidRPr="001A1836">
        <w:rPr>
          <w:b/>
          <w:i/>
        </w:rPr>
        <w:t>Provider</w:t>
      </w:r>
      <w:bookmarkEnd w:id="191"/>
      <w:bookmarkEnd w:id="192"/>
      <w:bookmarkEnd w:id="193"/>
      <w:bookmarkEnd w:id="194"/>
    </w:p>
    <w:p w14:paraId="069E1868" w14:textId="77777777" w:rsidR="00CF441A" w:rsidRPr="001A1836" w:rsidRDefault="008F67D4">
      <w:pPr>
        <w:pStyle w:val="GSRL4numberedclause"/>
        <w:spacing w:line="276" w:lineRule="auto"/>
      </w:pPr>
      <w:r w:rsidRPr="001A1836">
        <w:t xml:space="preserve">During the </w:t>
      </w:r>
      <w:r w:rsidR="002F61FA" w:rsidRPr="001A1836">
        <w:t>T</w:t>
      </w:r>
      <w:r w:rsidRPr="001A1836">
        <w:t xml:space="preserve">ransition </w:t>
      </w:r>
      <w:r w:rsidR="002F61FA" w:rsidRPr="001A1836">
        <w:t>P</w:t>
      </w:r>
      <w:r w:rsidRPr="001A1836">
        <w:t>eriod, t</w:t>
      </w:r>
      <w:r w:rsidR="00C06D77" w:rsidRPr="001A1836">
        <w:t xml:space="preserve">he </w:t>
      </w:r>
      <w:r w:rsidR="0086594C" w:rsidRPr="001A1836">
        <w:t>Provider</w:t>
      </w:r>
      <w:r w:rsidR="00C06D77" w:rsidRPr="001A1836">
        <w:t xml:space="preserve"> </w:t>
      </w:r>
      <w:r w:rsidR="001E6D31" w:rsidRPr="001A1836">
        <w:t xml:space="preserve">shall </w:t>
      </w:r>
      <w:r w:rsidRPr="001A1836">
        <w:t>also be required to agree with HSE and</w:t>
      </w:r>
      <w:r w:rsidR="00C06D77" w:rsidRPr="001A1836">
        <w:t xml:space="preserve"> </w:t>
      </w:r>
      <w:r w:rsidR="00B164AA" w:rsidRPr="001A1836">
        <w:t xml:space="preserve">publish </w:t>
      </w:r>
      <w:r w:rsidR="00541331" w:rsidRPr="001A1836">
        <w:t xml:space="preserve">on the Gas Safe Register website </w:t>
      </w:r>
      <w:r w:rsidR="00B164AA" w:rsidRPr="001A1836">
        <w:t>a c</w:t>
      </w:r>
      <w:r w:rsidR="00C06D77" w:rsidRPr="001A1836">
        <w:t>omplaints and appeals handling p</w:t>
      </w:r>
      <w:r w:rsidR="00B164AA" w:rsidRPr="001A1836">
        <w:t>rocess for inve</w:t>
      </w:r>
      <w:r w:rsidR="00D7618A" w:rsidRPr="001A1836">
        <w:t xml:space="preserve">stigating and managing, handling and responding to </w:t>
      </w:r>
      <w:r w:rsidR="00B164AA" w:rsidRPr="001A1836">
        <w:t>complaint</w:t>
      </w:r>
      <w:r w:rsidR="007C14D7" w:rsidRPr="001A1836">
        <w:t>s about</w:t>
      </w:r>
      <w:r w:rsidRPr="001A1836">
        <w:t xml:space="preserve"> any service provided by, or a member of staff acting on behalf of, the Provider</w:t>
      </w:r>
      <w:r w:rsidR="00B164AA" w:rsidRPr="001A1836">
        <w:t xml:space="preserve">. </w:t>
      </w:r>
    </w:p>
    <w:p w14:paraId="069E1869" w14:textId="77777777" w:rsidR="00CF441A" w:rsidRPr="001A1836" w:rsidRDefault="00CF441A">
      <w:pPr>
        <w:pStyle w:val="GSRL4numberedclause"/>
        <w:spacing w:line="276" w:lineRule="auto"/>
      </w:pPr>
      <w:r w:rsidRPr="001A1836">
        <w:t xml:space="preserve">Examples of </w:t>
      </w:r>
      <w:r w:rsidR="001E6D31" w:rsidRPr="001A1836">
        <w:t xml:space="preserve">potential subjects of </w:t>
      </w:r>
      <w:r w:rsidRPr="001A1836">
        <w:t xml:space="preserve">a complaint </w:t>
      </w:r>
      <w:r w:rsidR="008F67D4" w:rsidRPr="001A1836">
        <w:t xml:space="preserve">relating to the Provider </w:t>
      </w:r>
      <w:r w:rsidRPr="001A1836">
        <w:t>include</w:t>
      </w:r>
      <w:r w:rsidR="00ED0F92" w:rsidRPr="001A1836">
        <w:t xml:space="preserve"> (but </w:t>
      </w:r>
      <w:r w:rsidR="00674A9F" w:rsidRPr="001A1836">
        <w:t>are</w:t>
      </w:r>
      <w:r w:rsidR="00ED0F92" w:rsidRPr="001A1836">
        <w:t xml:space="preserve"> not limited to)</w:t>
      </w:r>
      <w:r w:rsidRPr="001A1836">
        <w:t>:</w:t>
      </w:r>
    </w:p>
    <w:p w14:paraId="069E186A" w14:textId="77777777" w:rsidR="00CF441A" w:rsidRPr="001A1836" w:rsidRDefault="00DC4C3A">
      <w:pPr>
        <w:pStyle w:val="GSRL5numberedclause"/>
        <w:spacing w:line="276" w:lineRule="auto"/>
      </w:pPr>
      <w:r w:rsidRPr="001A1836">
        <w:t>a</w:t>
      </w:r>
      <w:r w:rsidR="00CF441A" w:rsidRPr="001A1836">
        <w:t xml:space="preserve"> failure to provide an offered service</w:t>
      </w:r>
      <w:r w:rsidR="008E29CC" w:rsidRPr="001A1836">
        <w:t>;</w:t>
      </w:r>
    </w:p>
    <w:p w14:paraId="069E186B" w14:textId="77777777" w:rsidR="00CF441A" w:rsidRPr="001A1836" w:rsidRDefault="00DC4C3A">
      <w:pPr>
        <w:pStyle w:val="GSRL5numberedclause"/>
        <w:spacing w:line="276" w:lineRule="auto"/>
      </w:pPr>
      <w:r w:rsidRPr="001A1836">
        <w:t>g</w:t>
      </w:r>
      <w:r w:rsidR="00CF441A" w:rsidRPr="001A1836">
        <w:t>iving incorrect or misleading information</w:t>
      </w:r>
      <w:r w:rsidR="008E29CC" w:rsidRPr="001A1836">
        <w:t>;</w:t>
      </w:r>
    </w:p>
    <w:p w14:paraId="069E186C" w14:textId="77777777" w:rsidR="00CF441A" w:rsidRPr="001A1836" w:rsidRDefault="00DC4C3A">
      <w:pPr>
        <w:pStyle w:val="GSRL5numberedclause"/>
        <w:spacing w:line="276" w:lineRule="auto"/>
      </w:pPr>
      <w:r w:rsidRPr="001A1836">
        <w:t>r</w:t>
      </w:r>
      <w:r w:rsidR="00CF441A" w:rsidRPr="001A1836">
        <w:t>ude, unhelpful or inappropriate behaviour by staff</w:t>
      </w:r>
      <w:r w:rsidR="008E29CC" w:rsidRPr="001A1836">
        <w:t>;</w:t>
      </w:r>
    </w:p>
    <w:p w14:paraId="069E186D" w14:textId="77777777" w:rsidR="00CF441A" w:rsidRPr="001A1836" w:rsidRDefault="00DC4C3A">
      <w:pPr>
        <w:pStyle w:val="GSRL5numberedclause"/>
        <w:spacing w:line="276" w:lineRule="auto"/>
      </w:pPr>
      <w:r w:rsidRPr="001A1836">
        <w:t>p</w:t>
      </w:r>
      <w:r w:rsidR="00CF441A" w:rsidRPr="001A1836">
        <w:t>oor communication</w:t>
      </w:r>
      <w:r w:rsidR="008E29CC" w:rsidRPr="001A1836">
        <w:t>; and</w:t>
      </w:r>
    </w:p>
    <w:p w14:paraId="069E186E" w14:textId="77777777" w:rsidR="00CF441A" w:rsidRPr="001A1836" w:rsidRDefault="00DC4C3A">
      <w:pPr>
        <w:pStyle w:val="GSRL5numberedclause"/>
        <w:spacing w:line="276" w:lineRule="auto"/>
      </w:pPr>
      <w:r w:rsidRPr="001A1836">
        <w:t>d</w:t>
      </w:r>
      <w:r w:rsidR="00CF441A" w:rsidRPr="001A1836">
        <w:t>isagreement with policy or process</w:t>
      </w:r>
      <w:r w:rsidR="008E29CC" w:rsidRPr="001A1836">
        <w:t>.</w:t>
      </w:r>
    </w:p>
    <w:p w14:paraId="069E186F" w14:textId="77777777" w:rsidR="00E76D47" w:rsidRPr="001A1836" w:rsidRDefault="00E76D47">
      <w:pPr>
        <w:pStyle w:val="GSRL4numberedclause"/>
        <w:spacing w:line="276" w:lineRule="auto"/>
      </w:pPr>
      <w:r w:rsidRPr="001A1836">
        <w:lastRenderedPageBreak/>
        <w:t xml:space="preserve">The </w:t>
      </w:r>
      <w:r w:rsidR="0086594C" w:rsidRPr="001A1836">
        <w:t>Provider</w:t>
      </w:r>
      <w:r w:rsidRPr="001A1836">
        <w:t xml:space="preserve"> </w:t>
      </w:r>
      <w:r w:rsidR="002614B5" w:rsidRPr="001A1836">
        <w:t xml:space="preserve">shall </w:t>
      </w:r>
      <w:r w:rsidRPr="001A1836">
        <w:t xml:space="preserve">enable individuals to contact </w:t>
      </w:r>
      <w:r w:rsidR="00EB7E11" w:rsidRPr="001A1836">
        <w:t>it</w:t>
      </w:r>
      <w:r w:rsidRPr="001A1836">
        <w:t xml:space="preserve"> by phone, email and post if they are unhappy with the service provided</w:t>
      </w:r>
      <w:r w:rsidR="007C396F" w:rsidRPr="001A1836">
        <w:t>.</w:t>
      </w:r>
      <w:r w:rsidRPr="001A1836">
        <w:t xml:space="preserve"> </w:t>
      </w:r>
    </w:p>
    <w:p w14:paraId="069E1870" w14:textId="77777777" w:rsidR="00E76D47" w:rsidRPr="001A1836" w:rsidRDefault="00317A76">
      <w:pPr>
        <w:pStyle w:val="GSRL4numberedclause"/>
        <w:spacing w:line="276" w:lineRule="auto"/>
      </w:pPr>
      <w:r w:rsidRPr="001A1836">
        <w:t>The</w:t>
      </w:r>
      <w:r w:rsidR="00E76D47" w:rsidRPr="001A1836">
        <w:t xml:space="preserve"> policy should also </w:t>
      </w:r>
      <w:r w:rsidRPr="001A1836">
        <w:t xml:space="preserve">include provision for </w:t>
      </w:r>
      <w:r w:rsidR="00E76D47" w:rsidRPr="001A1836">
        <w:t>individuals to re</w:t>
      </w:r>
      <w:r w:rsidRPr="001A1836">
        <w:t>quest a review of the complaint if they are unhappy with the initial response.</w:t>
      </w:r>
    </w:p>
    <w:p w14:paraId="069E1871" w14:textId="77777777" w:rsidR="00E76D47" w:rsidRPr="001A1836" w:rsidRDefault="00E76D47">
      <w:pPr>
        <w:pStyle w:val="GSRL4numberedclause"/>
        <w:spacing w:line="276" w:lineRule="auto"/>
      </w:pPr>
      <w:r w:rsidRPr="001A1836">
        <w:t>All complaint information must be handled sensitively</w:t>
      </w:r>
      <w:r w:rsidR="00EB7E11" w:rsidRPr="001A1836">
        <w:t xml:space="preserve"> and in compliance with</w:t>
      </w:r>
      <w:r w:rsidR="007D085C" w:rsidRPr="001A1836">
        <w:t xml:space="preserve"> any </w:t>
      </w:r>
      <w:r w:rsidRPr="001A1836">
        <w:t xml:space="preserve">relevant data protection requirements. </w:t>
      </w:r>
    </w:p>
    <w:p w14:paraId="069E1872" w14:textId="77777777" w:rsidR="00B164AA" w:rsidRPr="001A1836" w:rsidRDefault="00FE7E52" w:rsidP="00A20731">
      <w:pPr>
        <w:rPr>
          <w:b/>
          <w:i/>
        </w:rPr>
      </w:pPr>
      <w:bookmarkStart w:id="195" w:name="_Toc501354447"/>
      <w:bookmarkStart w:id="196" w:name="_Toc507743971"/>
      <w:bookmarkStart w:id="197" w:name="_Toc521326948"/>
      <w:bookmarkStart w:id="198" w:name="_Toc521484702"/>
      <w:bookmarkStart w:id="199" w:name="_Toc521485033"/>
      <w:bookmarkStart w:id="200" w:name="_Toc521496210"/>
      <w:r w:rsidRPr="001A1836">
        <w:rPr>
          <w:b/>
          <w:i/>
        </w:rPr>
        <w:t>HSE a</w:t>
      </w:r>
      <w:r w:rsidR="00B164AA" w:rsidRPr="001A1836">
        <w:rPr>
          <w:b/>
          <w:i/>
        </w:rPr>
        <w:t>ccess</w:t>
      </w:r>
      <w:r w:rsidRPr="001A1836">
        <w:rPr>
          <w:b/>
          <w:i/>
        </w:rPr>
        <w:t xml:space="preserve"> to complaints and a</w:t>
      </w:r>
      <w:r w:rsidR="00B164AA" w:rsidRPr="001A1836">
        <w:rPr>
          <w:b/>
          <w:i/>
        </w:rPr>
        <w:t xml:space="preserve">ppeals </w:t>
      </w:r>
      <w:r w:rsidRPr="001A1836">
        <w:rPr>
          <w:b/>
          <w:i/>
        </w:rPr>
        <w:t>c</w:t>
      </w:r>
      <w:r w:rsidR="00B164AA" w:rsidRPr="001A1836">
        <w:rPr>
          <w:b/>
          <w:i/>
        </w:rPr>
        <w:t>ases</w:t>
      </w:r>
      <w:bookmarkEnd w:id="195"/>
      <w:bookmarkEnd w:id="196"/>
      <w:bookmarkEnd w:id="197"/>
      <w:bookmarkEnd w:id="198"/>
      <w:bookmarkEnd w:id="199"/>
      <w:bookmarkEnd w:id="200"/>
      <w:r w:rsidR="00B164AA" w:rsidRPr="001A1836">
        <w:rPr>
          <w:b/>
          <w:i/>
        </w:rPr>
        <w:t xml:space="preserve"> </w:t>
      </w:r>
    </w:p>
    <w:p w14:paraId="069E1873" w14:textId="4806324F" w:rsidR="00945F76" w:rsidRPr="001A1836" w:rsidRDefault="00541331">
      <w:pPr>
        <w:pStyle w:val="GSRL4numberedclause"/>
        <w:spacing w:line="276" w:lineRule="auto"/>
      </w:pPr>
      <w:r w:rsidRPr="001A1836">
        <w:t>T</w:t>
      </w:r>
      <w:r w:rsidR="00CE656A" w:rsidRPr="001A1836">
        <w:t xml:space="preserve">he </w:t>
      </w:r>
      <w:r w:rsidR="0086594C" w:rsidRPr="001A1836">
        <w:t>Provider</w:t>
      </w:r>
      <w:r w:rsidR="00B164AA" w:rsidRPr="001A1836">
        <w:t xml:space="preserve"> </w:t>
      </w:r>
      <w:r w:rsidRPr="001A1836">
        <w:t>shall bring to</w:t>
      </w:r>
      <w:r w:rsidR="00B164AA" w:rsidRPr="001A1836">
        <w:t xml:space="preserve"> HSE</w:t>
      </w:r>
      <w:r w:rsidRPr="001A1836">
        <w:t xml:space="preserve">’s attention those complaints and appeal cases </w:t>
      </w:r>
      <w:r w:rsidR="0073230D" w:rsidRPr="001A1836">
        <w:t xml:space="preserve">to which this </w:t>
      </w:r>
      <w:r w:rsidR="00A1443A">
        <w:t>p</w:t>
      </w:r>
      <w:r w:rsidR="0073230D" w:rsidRPr="001A1836">
        <w:t xml:space="preserve">aragraph 5 relates </w:t>
      </w:r>
      <w:r w:rsidRPr="001A1836">
        <w:t>that require consultation</w:t>
      </w:r>
      <w:r w:rsidR="001F48F0" w:rsidRPr="001A1836">
        <w:t xml:space="preserve"> with HSE</w:t>
      </w:r>
      <w:r w:rsidR="00CE656A" w:rsidRPr="001A1836">
        <w:t xml:space="preserve">. The </w:t>
      </w:r>
      <w:r w:rsidR="0086594C" w:rsidRPr="001A1836">
        <w:t>Provider</w:t>
      </w:r>
      <w:r w:rsidR="00B164AA" w:rsidRPr="001A1836">
        <w:t xml:space="preserve"> shall </w:t>
      </w:r>
      <w:r w:rsidRPr="001A1836">
        <w:t>follow the</w:t>
      </w:r>
      <w:r w:rsidR="00B164AA" w:rsidRPr="001A1836">
        <w:t xml:space="preserve"> procedure for identifying and </w:t>
      </w:r>
      <w:r w:rsidR="000C4F6F" w:rsidRPr="001A1836">
        <w:t>dealing with</w:t>
      </w:r>
      <w:r w:rsidR="00B164AA" w:rsidRPr="001A1836">
        <w:t xml:space="preserve"> these cases as </w:t>
      </w:r>
      <w:r w:rsidR="000C4F6F" w:rsidRPr="001A1836">
        <w:t>set out</w:t>
      </w:r>
      <w:r w:rsidRPr="001A1836">
        <w:t xml:space="preserve"> in </w:t>
      </w:r>
      <w:r w:rsidR="00B164AA" w:rsidRPr="001A1836">
        <w:t>the Concordat</w:t>
      </w:r>
      <w:r w:rsidR="00C128E2" w:rsidRPr="001A1836">
        <w:t xml:space="preserve"> which </w:t>
      </w:r>
      <w:r w:rsidR="00CF5F1E" w:rsidRPr="001A1836">
        <w:t>shall</w:t>
      </w:r>
      <w:r w:rsidR="00C128E2" w:rsidRPr="001A1836">
        <w:t xml:space="preserve"> be subject to </w:t>
      </w:r>
      <w:r w:rsidR="00215041" w:rsidRPr="001A1836">
        <w:t>annual review along with all</w:t>
      </w:r>
      <w:r w:rsidR="00C128E2" w:rsidRPr="001A1836">
        <w:t xml:space="preserve"> policies and procedures</w:t>
      </w:r>
      <w:r w:rsidRPr="001A1836">
        <w:t>.</w:t>
      </w:r>
      <w:r w:rsidR="00945F76" w:rsidRPr="001A1836">
        <w:t xml:space="preserve"> </w:t>
      </w:r>
    </w:p>
    <w:p w14:paraId="069E1874" w14:textId="77777777" w:rsidR="00892F39" w:rsidRPr="001A1836" w:rsidRDefault="00CE656A">
      <w:pPr>
        <w:pStyle w:val="GSRL4numberedclause"/>
        <w:spacing w:line="276" w:lineRule="auto"/>
      </w:pPr>
      <w:r w:rsidRPr="001A1836">
        <w:t xml:space="preserve">The </w:t>
      </w:r>
      <w:r w:rsidR="0086594C" w:rsidRPr="001A1836">
        <w:t>Provider</w:t>
      </w:r>
      <w:r w:rsidR="00B164AA" w:rsidRPr="001A1836">
        <w:t xml:space="preserve"> shall make all </w:t>
      </w:r>
      <w:r w:rsidR="003D2913" w:rsidRPr="001A1836">
        <w:t xml:space="preserve">complaints and appeal </w:t>
      </w:r>
      <w:r w:rsidR="00B164AA" w:rsidRPr="001A1836">
        <w:t xml:space="preserve">cases visible to HSE via </w:t>
      </w:r>
      <w:r w:rsidRPr="001A1836">
        <w:t>an online p</w:t>
      </w:r>
      <w:r w:rsidR="00B164AA" w:rsidRPr="001A1836">
        <w:t>ortal or other reporting mechanism</w:t>
      </w:r>
      <w:r w:rsidR="008E29CC" w:rsidRPr="001A1836">
        <w:t xml:space="preserve"> agreed with HSE</w:t>
      </w:r>
      <w:r w:rsidR="000C4F6F" w:rsidRPr="001A1836">
        <w:t>.</w:t>
      </w:r>
    </w:p>
    <w:p w14:paraId="069E1875" w14:textId="77777777" w:rsidR="00B164AA" w:rsidRPr="001A1836" w:rsidRDefault="00B164AA" w:rsidP="00A20731">
      <w:pPr>
        <w:rPr>
          <w:b/>
          <w:i/>
        </w:rPr>
      </w:pPr>
      <w:bookmarkStart w:id="201" w:name="_Toc501354448"/>
      <w:bookmarkStart w:id="202" w:name="_Toc507743972"/>
      <w:bookmarkStart w:id="203" w:name="_Toc521326949"/>
      <w:bookmarkStart w:id="204" w:name="_Toc521484703"/>
      <w:bookmarkStart w:id="205" w:name="_Toc521485034"/>
      <w:bookmarkStart w:id="206" w:name="_Toc521496211"/>
      <w:r w:rsidRPr="001A1836">
        <w:rPr>
          <w:b/>
          <w:i/>
        </w:rPr>
        <w:t>Sanctions</w:t>
      </w:r>
      <w:bookmarkEnd w:id="201"/>
      <w:bookmarkEnd w:id="202"/>
      <w:bookmarkEnd w:id="203"/>
      <w:bookmarkEnd w:id="204"/>
      <w:bookmarkEnd w:id="205"/>
      <w:bookmarkEnd w:id="206"/>
      <w:r w:rsidRPr="001A1836">
        <w:rPr>
          <w:b/>
          <w:i/>
        </w:rPr>
        <w:t xml:space="preserve"> </w:t>
      </w:r>
    </w:p>
    <w:p w14:paraId="069E1876" w14:textId="77777777" w:rsidR="00674A9F" w:rsidRPr="001A1836" w:rsidRDefault="00C96083">
      <w:pPr>
        <w:pStyle w:val="GSRL4numberedclause"/>
      </w:pPr>
      <w:r w:rsidRPr="001A1836">
        <w:t xml:space="preserve">The </w:t>
      </w:r>
      <w:r w:rsidR="0086594C" w:rsidRPr="001A1836">
        <w:t>Provider</w:t>
      </w:r>
      <w:r w:rsidRPr="001A1836">
        <w:t xml:space="preserve"> </w:t>
      </w:r>
      <w:r w:rsidR="002614B5" w:rsidRPr="001A1836">
        <w:t xml:space="preserve">may </w:t>
      </w:r>
      <w:r w:rsidRPr="001A1836">
        <w:t xml:space="preserve">apply sanctions to any registered </w:t>
      </w:r>
      <w:r w:rsidR="000C4F6F" w:rsidRPr="001A1836">
        <w:t>Business and/or E</w:t>
      </w:r>
      <w:r w:rsidRPr="001A1836">
        <w:t>ngineer where there is j</w:t>
      </w:r>
      <w:r w:rsidR="00C128E2" w:rsidRPr="001A1836">
        <w:t xml:space="preserve">ustification to do so, under the </w:t>
      </w:r>
      <w:r w:rsidRPr="001A1836">
        <w:t>Sanctions Policy</w:t>
      </w:r>
      <w:r w:rsidR="00C128E2" w:rsidRPr="001A1836">
        <w:t xml:space="preserve"> which shall be reviewed annually</w:t>
      </w:r>
      <w:r w:rsidR="001F48F0" w:rsidRPr="001A1836">
        <w:t xml:space="preserve"> and agreed with HSE</w:t>
      </w:r>
      <w:r w:rsidRPr="001A1836">
        <w:t xml:space="preserve">. </w:t>
      </w:r>
    </w:p>
    <w:p w14:paraId="069E1877" w14:textId="77777777" w:rsidR="00B164AA" w:rsidRPr="001A1836" w:rsidRDefault="00215807">
      <w:pPr>
        <w:pStyle w:val="GSRL3heading"/>
      </w:pPr>
      <w:bookmarkStart w:id="207" w:name="_Toc501354449"/>
      <w:bookmarkStart w:id="208" w:name="_Toc507743973"/>
      <w:bookmarkStart w:id="209" w:name="_Toc521326950"/>
      <w:bookmarkStart w:id="210" w:name="_Toc521333200"/>
      <w:bookmarkStart w:id="211" w:name="_Toc521483958"/>
      <w:bookmarkStart w:id="212" w:name="_Toc521484704"/>
      <w:bookmarkStart w:id="213" w:name="_Toc521485035"/>
      <w:bookmarkStart w:id="214" w:name="_Toc521496212"/>
      <w:bookmarkStart w:id="215" w:name="_Toc521496760"/>
      <w:bookmarkStart w:id="216" w:name="_Toc521498202"/>
      <w:bookmarkStart w:id="217" w:name="_Toc521500286"/>
      <w:bookmarkStart w:id="218" w:name="_Toc529345940"/>
      <w:bookmarkStart w:id="219" w:name="_Toc129038133"/>
      <w:bookmarkStart w:id="220" w:name="_Toc129038419"/>
      <w:bookmarkStart w:id="221" w:name="_Toc132267989"/>
      <w:bookmarkStart w:id="222" w:name="_Toc132268295"/>
      <w:bookmarkStart w:id="223" w:name="_Toc136198544"/>
      <w:bookmarkStart w:id="224" w:name="_Toc136198825"/>
      <w:r w:rsidRPr="001A1836">
        <w:t>A</w:t>
      </w:r>
      <w:r w:rsidR="00B164AA" w:rsidRPr="001A1836">
        <w:t>ccess to the Register</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069E1878" w14:textId="77777777" w:rsidR="00F0595B" w:rsidRPr="001A1836" w:rsidRDefault="00F0595B">
      <w:pPr>
        <w:pStyle w:val="GSRL4numberedclause"/>
        <w:spacing w:line="276" w:lineRule="auto"/>
      </w:pPr>
      <w:r w:rsidRPr="001A1836">
        <w:t xml:space="preserve">The </w:t>
      </w:r>
      <w:r w:rsidR="00A03A2D" w:rsidRPr="001A1836">
        <w:t xml:space="preserve">Provider shall ensure that the </w:t>
      </w:r>
      <w:r w:rsidR="00A53FB3" w:rsidRPr="001A1836">
        <w:t xml:space="preserve">Register </w:t>
      </w:r>
      <w:r w:rsidR="00A03A2D" w:rsidRPr="001A1836">
        <w:t>is</w:t>
      </w:r>
      <w:r w:rsidRPr="001A1836">
        <w:t>:</w:t>
      </w:r>
    </w:p>
    <w:p w14:paraId="069E1879" w14:textId="2A674A25" w:rsidR="00F0595B" w:rsidRPr="001A1836" w:rsidRDefault="00DC4C3A">
      <w:pPr>
        <w:pStyle w:val="GSRL5numberedclause"/>
        <w:spacing w:line="276" w:lineRule="auto"/>
      </w:pPr>
      <w:r w:rsidRPr="001A1836">
        <w:t>e</w:t>
      </w:r>
      <w:r w:rsidR="00A56443" w:rsidRPr="001A1836">
        <w:t>lectronic and a</w:t>
      </w:r>
      <w:r w:rsidR="00F0595B" w:rsidRPr="001A1836">
        <w:t xml:space="preserve">ccessible 24/7 </w:t>
      </w:r>
      <w:r w:rsidR="00C5260D" w:rsidRPr="001A1836">
        <w:t xml:space="preserve">via a </w:t>
      </w:r>
      <w:r w:rsidR="00B7096D" w:rsidRPr="001A1836">
        <w:t>free to use website</w:t>
      </w:r>
      <w:r w:rsidR="00EF55BA">
        <w:t xml:space="preserve"> that is compliant with </w:t>
      </w:r>
      <w:r w:rsidR="00EF55BA" w:rsidRPr="00EF55BA">
        <w:t>Web Content Accessibility Guidelines (WCAG)</w:t>
      </w:r>
      <w:r w:rsidRPr="001A1836">
        <w:t>;</w:t>
      </w:r>
      <w:r w:rsidR="00F0595B" w:rsidRPr="001A1836">
        <w:t xml:space="preserve"> </w:t>
      </w:r>
    </w:p>
    <w:p w14:paraId="069E187A" w14:textId="77777777" w:rsidR="00F0595B" w:rsidRPr="001A1836" w:rsidRDefault="00DC4C3A">
      <w:pPr>
        <w:pStyle w:val="GSRL5numberedclause"/>
        <w:spacing w:line="276" w:lineRule="auto"/>
      </w:pPr>
      <w:r w:rsidRPr="001A1836">
        <w:t>d</w:t>
      </w:r>
      <w:r w:rsidR="00F53680" w:rsidRPr="001A1836">
        <w:t>esigned in such a way that it is straigh</w:t>
      </w:r>
      <w:r w:rsidR="00210721" w:rsidRPr="001A1836">
        <w:t>t</w:t>
      </w:r>
      <w:r w:rsidR="00F53680" w:rsidRPr="001A1836">
        <w:t>forward</w:t>
      </w:r>
      <w:r w:rsidR="00F0595B" w:rsidRPr="001A1836">
        <w:t xml:space="preserve"> for </w:t>
      </w:r>
      <w:r w:rsidR="00C5260D" w:rsidRPr="001A1836">
        <w:t>users</w:t>
      </w:r>
      <w:r w:rsidR="00D953AF" w:rsidRPr="001A1836">
        <w:t xml:space="preserve"> to identify B</w:t>
      </w:r>
      <w:r w:rsidR="00F0595B" w:rsidRPr="001A1836">
        <w:t>usinesses/</w:t>
      </w:r>
      <w:r w:rsidR="00D953AF" w:rsidRPr="001A1836">
        <w:t>E</w:t>
      </w:r>
      <w:r w:rsidR="00224EF0" w:rsidRPr="001A1836">
        <w:t>ngineers</w:t>
      </w:r>
      <w:r w:rsidR="00A53FB3" w:rsidRPr="001A1836">
        <w:t>, and the work they are qualified to undertake,</w:t>
      </w:r>
      <w:r w:rsidR="00224EF0" w:rsidRPr="001A1836">
        <w:t xml:space="preserve"> by</w:t>
      </w:r>
      <w:r w:rsidR="00D953AF" w:rsidRPr="001A1836">
        <w:t xml:space="preserve"> criteria including name of B</w:t>
      </w:r>
      <w:r w:rsidR="00F0595B" w:rsidRPr="001A1836">
        <w:t>usiness</w:t>
      </w:r>
      <w:r w:rsidR="00A53FB3" w:rsidRPr="001A1836">
        <w:t xml:space="preserve">, name of </w:t>
      </w:r>
      <w:r w:rsidR="00D953AF" w:rsidRPr="001A1836">
        <w:t>E</w:t>
      </w:r>
      <w:r w:rsidR="00A53FB3" w:rsidRPr="001A1836">
        <w:t>ngineer</w:t>
      </w:r>
      <w:r w:rsidR="00F0595B" w:rsidRPr="001A1836">
        <w:t xml:space="preserve">, </w:t>
      </w:r>
      <w:r w:rsidR="00224EF0" w:rsidRPr="001A1836">
        <w:t>registration number and</w:t>
      </w:r>
      <w:r w:rsidR="00C5260D" w:rsidRPr="001A1836">
        <w:t xml:space="preserve"> </w:t>
      </w:r>
      <w:r w:rsidR="002F61FA" w:rsidRPr="001A1836">
        <w:t>C</w:t>
      </w:r>
      <w:r w:rsidR="00C5260D" w:rsidRPr="001A1836">
        <w:t>ompetence</w:t>
      </w:r>
      <w:r w:rsidR="00F0595B" w:rsidRPr="001A1836">
        <w:t>.</w:t>
      </w:r>
      <w:r w:rsidR="00D953AF" w:rsidRPr="001A1836">
        <w:t xml:space="preserve"> S</w:t>
      </w:r>
      <w:r w:rsidR="00224EF0" w:rsidRPr="001A1836">
        <w:t xml:space="preserve">earch </w:t>
      </w:r>
      <w:r w:rsidR="00F53680" w:rsidRPr="001A1836">
        <w:t>fields</w:t>
      </w:r>
      <w:r w:rsidR="00224EF0" w:rsidRPr="001A1836">
        <w:t xml:space="preserve"> </w:t>
      </w:r>
      <w:r w:rsidR="00D953AF" w:rsidRPr="001A1836">
        <w:t xml:space="preserve">shall also </w:t>
      </w:r>
      <w:r w:rsidR="00224EF0" w:rsidRPr="001A1836">
        <w:t>include</w:t>
      </w:r>
      <w:r w:rsidR="00D953AF" w:rsidRPr="001A1836">
        <w:t xml:space="preserve"> Business/E</w:t>
      </w:r>
      <w:r w:rsidR="00224EF0" w:rsidRPr="001A1836">
        <w:t xml:space="preserve">ngineer postcode, their telephone number and </w:t>
      </w:r>
      <w:r w:rsidR="002219EB" w:rsidRPr="001A1836">
        <w:t>their</w:t>
      </w:r>
      <w:r w:rsidR="001B0BF2" w:rsidRPr="001A1836">
        <w:t xml:space="preserve"> area / location</w:t>
      </w:r>
      <w:r w:rsidR="0017562B" w:rsidRPr="001A1836">
        <w:t xml:space="preserve"> (publication of this information being subject to agreement by the Business/Engineer concerned)</w:t>
      </w:r>
      <w:r w:rsidRPr="001A1836">
        <w:t>;</w:t>
      </w:r>
      <w:r w:rsidR="001B0BF2" w:rsidRPr="001A1836">
        <w:t xml:space="preserve"> and</w:t>
      </w:r>
      <w:r w:rsidR="00224EF0" w:rsidRPr="001A1836">
        <w:t xml:space="preserve"> </w:t>
      </w:r>
    </w:p>
    <w:p w14:paraId="069E187B" w14:textId="77777777" w:rsidR="00A56443" w:rsidRPr="001A1836" w:rsidRDefault="00DC4C3A">
      <w:pPr>
        <w:pStyle w:val="GSRL5numberedclause"/>
        <w:spacing w:line="276" w:lineRule="auto"/>
      </w:pPr>
      <w:r w:rsidRPr="001A1836">
        <w:t>a</w:t>
      </w:r>
      <w:r w:rsidR="00A56443" w:rsidRPr="001A1836">
        <w:t xml:space="preserve">ccessible by phone (via </w:t>
      </w:r>
      <w:r w:rsidR="00B7096D" w:rsidRPr="001A1836">
        <w:t>a</w:t>
      </w:r>
      <w:r w:rsidR="00A56443" w:rsidRPr="001A1836">
        <w:t xml:space="preserve"> Gas Safe Register Contact Centre)</w:t>
      </w:r>
      <w:r w:rsidRPr="001A1836">
        <w:t>.</w:t>
      </w:r>
    </w:p>
    <w:p w14:paraId="6337F7EE" w14:textId="64C8DAD6" w:rsidR="00ED5D8C" w:rsidRDefault="00ED5D8C" w:rsidP="00ED5D8C">
      <w:pPr>
        <w:pStyle w:val="GSRL4numberedclause"/>
      </w:pPr>
      <w:r>
        <w:t xml:space="preserve">The Provider will ensure that user access to the Register is free to use for gas safety purposes, and will encourage use of services such as "Check the Register" and “find a registered engineer”. </w:t>
      </w:r>
    </w:p>
    <w:p w14:paraId="1C592255" w14:textId="04F3C113" w:rsidR="00E740EB" w:rsidRDefault="00ED5D8C" w:rsidP="00ED5D8C">
      <w:pPr>
        <w:pStyle w:val="GSRL4numberedclause"/>
      </w:pPr>
      <w:r>
        <w:t>The Provider will ensure user access complies with Data Protection Legislation.</w:t>
      </w:r>
    </w:p>
    <w:p w14:paraId="069E187C" w14:textId="0948E598" w:rsidR="00F0595B" w:rsidRPr="001A1836" w:rsidRDefault="00F0595B">
      <w:pPr>
        <w:pStyle w:val="GSRL4numberedclause"/>
        <w:spacing w:line="276" w:lineRule="auto"/>
      </w:pPr>
      <w:r w:rsidRPr="001A1836">
        <w:t xml:space="preserve">The </w:t>
      </w:r>
      <w:r w:rsidR="0086594C" w:rsidRPr="001A1836">
        <w:t>Provider</w:t>
      </w:r>
      <w:r w:rsidRPr="001A1836">
        <w:t xml:space="preserve"> may, subject to compliance with </w:t>
      </w:r>
      <w:r w:rsidR="00ED5D8C">
        <w:t>Data Protection Legislation</w:t>
      </w:r>
      <w:r w:rsidR="000E2ED7" w:rsidRPr="001A1836">
        <w:t xml:space="preserve"> and permission from HSE,</w:t>
      </w:r>
      <w:r w:rsidR="004711DB" w:rsidRPr="001A1836">
        <w:t xml:space="preserve"> share registration d</w:t>
      </w:r>
      <w:r w:rsidRPr="001A1836">
        <w:t>ata on a non-commercial basis with third parties for the furtherance of gas safety.</w:t>
      </w:r>
    </w:p>
    <w:p w14:paraId="069E187D" w14:textId="4C22EDF1" w:rsidR="00B164AA" w:rsidRPr="001A1836" w:rsidRDefault="00F0595B">
      <w:pPr>
        <w:pStyle w:val="GSRL4numberedclause"/>
        <w:spacing w:line="276" w:lineRule="auto"/>
        <w:rPr>
          <w:b/>
        </w:rPr>
      </w:pPr>
      <w:r w:rsidRPr="001A1836">
        <w:t xml:space="preserve">Access channels to the Register </w:t>
      </w:r>
      <w:r w:rsidR="00923BFC" w:rsidRPr="001A1836">
        <w:t>shall</w:t>
      </w:r>
      <w:r w:rsidRPr="001A1836">
        <w:t xml:space="preserve"> be regularly reviewed </w:t>
      </w:r>
      <w:r w:rsidR="00923BFC" w:rsidRPr="001A1836">
        <w:t xml:space="preserve">by the </w:t>
      </w:r>
      <w:r w:rsidR="0086594C" w:rsidRPr="001A1836">
        <w:t>Provider</w:t>
      </w:r>
      <w:r w:rsidR="00923BFC" w:rsidRPr="001A1836">
        <w:t xml:space="preserve"> </w:t>
      </w:r>
      <w:r w:rsidRPr="001A1836">
        <w:t>to ensure that appropri</w:t>
      </w:r>
      <w:r w:rsidR="00F53680" w:rsidRPr="001A1836">
        <w:t>ate channel</w:t>
      </w:r>
      <w:r w:rsidR="00D953AF" w:rsidRPr="001A1836">
        <w:t xml:space="preserve">s are available for </w:t>
      </w:r>
      <w:r w:rsidR="005F7A5D" w:rsidRPr="001A1836">
        <w:t>Consumers</w:t>
      </w:r>
      <w:r w:rsidR="00D953AF" w:rsidRPr="001A1836">
        <w:t>, B</w:t>
      </w:r>
      <w:r w:rsidRPr="001A1836">
        <w:t xml:space="preserve">usinesses and </w:t>
      </w:r>
      <w:r w:rsidR="00D953AF" w:rsidRPr="001A1836">
        <w:t>E</w:t>
      </w:r>
      <w:r w:rsidR="00061839" w:rsidRPr="001A1836">
        <w:t>ngineers</w:t>
      </w:r>
      <w:r w:rsidRPr="001A1836">
        <w:t xml:space="preserve">. </w:t>
      </w:r>
    </w:p>
    <w:p w14:paraId="069E187E" w14:textId="77777777" w:rsidR="006A5327" w:rsidRPr="001A1836" w:rsidRDefault="00B164AA">
      <w:pPr>
        <w:pStyle w:val="GSRL3heading"/>
        <w:spacing w:line="276" w:lineRule="auto"/>
      </w:pPr>
      <w:bookmarkStart w:id="225" w:name="_Toc501354450"/>
      <w:bookmarkStart w:id="226" w:name="_Toc507743974"/>
      <w:bookmarkStart w:id="227" w:name="_Toc521326951"/>
      <w:bookmarkStart w:id="228" w:name="_Toc521333201"/>
      <w:bookmarkStart w:id="229" w:name="_Toc521483959"/>
      <w:bookmarkStart w:id="230" w:name="_Toc521484705"/>
      <w:bookmarkStart w:id="231" w:name="_Toc521485036"/>
      <w:bookmarkStart w:id="232" w:name="_Toc521496213"/>
      <w:bookmarkStart w:id="233" w:name="_Toc521496761"/>
      <w:bookmarkStart w:id="234" w:name="_Toc521498203"/>
      <w:bookmarkStart w:id="235" w:name="_Toc521500287"/>
      <w:bookmarkStart w:id="236" w:name="_Toc529345941"/>
      <w:bookmarkStart w:id="237" w:name="_Toc129038134"/>
      <w:bookmarkStart w:id="238" w:name="_Toc129038420"/>
      <w:bookmarkStart w:id="239" w:name="_Toc132267990"/>
      <w:bookmarkStart w:id="240" w:name="_Toc132268296"/>
      <w:bookmarkStart w:id="241" w:name="_Toc136198545"/>
      <w:bookmarkStart w:id="242" w:name="_Toc136198826"/>
      <w:r w:rsidRPr="001A1836">
        <w:lastRenderedPageBreak/>
        <w:t xml:space="preserve">Promote </w:t>
      </w:r>
      <w:r w:rsidR="006A5327" w:rsidRPr="001A1836">
        <w:t>a</w:t>
      </w:r>
      <w:r w:rsidRPr="001A1836">
        <w:t>wareness of</w:t>
      </w:r>
      <w:r w:rsidR="006A5327" w:rsidRPr="001A1836">
        <w:t xml:space="preserve"> the Register</w:t>
      </w:r>
      <w:r w:rsidRPr="001A1836">
        <w:t>, the work of Gas Safe R</w:t>
      </w:r>
      <w:r w:rsidR="003E4628" w:rsidRPr="001A1836">
        <w:t>egister and gas safety information</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069E187F" w14:textId="042438C7" w:rsidR="00BF18C2" w:rsidRPr="001A1836" w:rsidRDefault="006A5327">
      <w:pPr>
        <w:pStyle w:val="GSRL4numberedclause"/>
        <w:spacing w:line="276" w:lineRule="auto"/>
      </w:pPr>
      <w:bookmarkStart w:id="243" w:name="OLE_LINK13"/>
      <w:bookmarkStart w:id="244" w:name="OLE_LINK14"/>
      <w:r w:rsidRPr="001A1836">
        <w:t xml:space="preserve">The </w:t>
      </w:r>
      <w:r w:rsidR="0086594C" w:rsidRPr="001A1836">
        <w:t>Provider</w:t>
      </w:r>
      <w:r w:rsidR="00276E8E" w:rsidRPr="001A1836">
        <w:t xml:space="preserve"> shall</w:t>
      </w:r>
      <w:r w:rsidR="00C128E2" w:rsidRPr="001A1836">
        <w:t xml:space="preserve"> </w:t>
      </w:r>
      <w:r w:rsidR="00D96CDF" w:rsidRPr="001A1836">
        <w:t>promote</w:t>
      </w:r>
      <w:r w:rsidR="00B21732" w:rsidRPr="001A1836">
        <w:t xml:space="preserve"> and maintain awareness among</w:t>
      </w:r>
      <w:r w:rsidR="004D7911" w:rsidRPr="001A1836">
        <w:t xml:space="preserve"> the audience groups</w:t>
      </w:r>
      <w:r w:rsidRPr="001A1836">
        <w:t xml:space="preserve"> </w:t>
      </w:r>
      <w:r w:rsidR="00663A2C" w:rsidRPr="001A1836">
        <w:t xml:space="preserve">listed </w:t>
      </w:r>
      <w:r w:rsidR="00C65FA0" w:rsidRPr="001A1836">
        <w:t xml:space="preserve">in paragraph </w:t>
      </w:r>
      <w:r w:rsidR="00247876">
        <w:fldChar w:fldCharType="begin"/>
      </w:r>
      <w:r w:rsidR="00247876">
        <w:instrText xml:space="preserve"> REF _Ref507749292 \r  \* MERGEFORMAT </w:instrText>
      </w:r>
      <w:r w:rsidR="00247876">
        <w:fldChar w:fldCharType="separate"/>
      </w:r>
      <w:r w:rsidR="00C87D85">
        <w:t>7.2</w:t>
      </w:r>
      <w:r w:rsidR="00247876">
        <w:fldChar w:fldCharType="end"/>
      </w:r>
      <w:r w:rsidR="00674A9F" w:rsidRPr="001A1836">
        <w:rPr>
          <w:rStyle w:val="CommentReference"/>
          <w:kern w:val="14"/>
        </w:rPr>
        <w:t xml:space="preserve"> </w:t>
      </w:r>
      <w:r w:rsidR="005430C2" w:rsidRPr="001A1836">
        <w:t>of</w:t>
      </w:r>
      <w:r w:rsidRPr="001A1836">
        <w:t xml:space="preserve"> the legal requirement for any </w:t>
      </w:r>
      <w:r w:rsidR="002215E6" w:rsidRPr="001A1836">
        <w:t>B</w:t>
      </w:r>
      <w:r w:rsidR="005430C2" w:rsidRPr="001A1836">
        <w:t>usiness</w:t>
      </w:r>
      <w:r w:rsidRPr="001A1836">
        <w:t xml:space="preserve"> or self-employed person carry</w:t>
      </w:r>
      <w:r w:rsidR="005430C2" w:rsidRPr="001A1836">
        <w:t>ing</w:t>
      </w:r>
      <w:r w:rsidRPr="001A1836">
        <w:t xml:space="preserve"> out </w:t>
      </w:r>
      <w:r w:rsidR="00C65FA0" w:rsidRPr="001A1836">
        <w:t>Gas Work</w:t>
      </w:r>
      <w:r w:rsidR="005430C2" w:rsidRPr="001A1836">
        <w:t xml:space="preserve"> to be registered</w:t>
      </w:r>
      <w:r w:rsidR="00C65FA0" w:rsidRPr="001A1836">
        <w:t xml:space="preserve"> on the Register</w:t>
      </w:r>
      <w:r w:rsidRPr="001A1836">
        <w:t>.</w:t>
      </w:r>
      <w:r w:rsidR="00426183" w:rsidRPr="001A1836">
        <w:t xml:space="preserve"> </w:t>
      </w:r>
    </w:p>
    <w:p w14:paraId="069E1880" w14:textId="77777777" w:rsidR="00635967" w:rsidRPr="001A1836" w:rsidRDefault="00A938CA">
      <w:pPr>
        <w:pStyle w:val="GSRL4numberedclause"/>
        <w:spacing w:line="276" w:lineRule="auto"/>
      </w:pPr>
      <w:bookmarkStart w:id="245" w:name="_Ref507749292"/>
      <w:r w:rsidRPr="001A1836">
        <w:t>Audience groups</w:t>
      </w:r>
      <w:r w:rsidR="00C65FA0" w:rsidRPr="001A1836">
        <w:t xml:space="preserve"> are</w:t>
      </w:r>
      <w:r w:rsidR="00A0666B" w:rsidRPr="001A1836">
        <w:t>:</w:t>
      </w:r>
      <w:bookmarkEnd w:id="245"/>
    </w:p>
    <w:p w14:paraId="069E1881" w14:textId="77777777" w:rsidR="00635967" w:rsidRPr="001A1836" w:rsidRDefault="00DC4C3A">
      <w:pPr>
        <w:pStyle w:val="GSRL5numberedclause"/>
        <w:spacing w:line="276" w:lineRule="auto"/>
      </w:pPr>
      <w:r w:rsidRPr="001A1836">
        <w:t>g</w:t>
      </w:r>
      <w:r w:rsidR="00437CB3" w:rsidRPr="001A1836">
        <w:t>eneral public i</w:t>
      </w:r>
      <w:r w:rsidR="00A938CA" w:rsidRPr="001A1836">
        <w:t>n the United Kingdom as a whole</w:t>
      </w:r>
      <w:r w:rsidR="00A0666B" w:rsidRPr="001A1836">
        <w:t>;</w:t>
      </w:r>
      <w:r w:rsidR="00437CB3" w:rsidRPr="001A1836">
        <w:t xml:space="preserve"> </w:t>
      </w:r>
    </w:p>
    <w:p w14:paraId="069E1882" w14:textId="77777777" w:rsidR="00635967" w:rsidRPr="001A1836" w:rsidRDefault="00DC4C3A">
      <w:pPr>
        <w:pStyle w:val="GSRL5numberedclause"/>
        <w:spacing w:line="276" w:lineRule="auto"/>
      </w:pPr>
      <w:r w:rsidRPr="001A1836">
        <w:t>h</w:t>
      </w:r>
      <w:r w:rsidR="00A938CA" w:rsidRPr="001A1836">
        <w:t>omeowners, first</w:t>
      </w:r>
      <w:r w:rsidR="00674A9F" w:rsidRPr="001A1836">
        <w:t>-</w:t>
      </w:r>
      <w:r w:rsidR="00A938CA" w:rsidRPr="001A1836">
        <w:t>time buyers</w:t>
      </w:r>
      <w:r w:rsidR="00A0666B" w:rsidRPr="001A1836">
        <w:t>;</w:t>
      </w:r>
    </w:p>
    <w:p w14:paraId="069E1883" w14:textId="77777777" w:rsidR="00635967" w:rsidRPr="001A1836" w:rsidRDefault="00DC4C3A">
      <w:pPr>
        <w:pStyle w:val="GSRL5numberedclause"/>
        <w:spacing w:line="276" w:lineRule="auto"/>
      </w:pPr>
      <w:r w:rsidRPr="001A1836">
        <w:t>t</w:t>
      </w:r>
      <w:r w:rsidR="00437CB3" w:rsidRPr="001A1836">
        <w:t>enants in rented accommodation</w:t>
      </w:r>
      <w:r w:rsidR="00A0666B" w:rsidRPr="001A1836">
        <w:t>;</w:t>
      </w:r>
      <w:r w:rsidR="00437CB3" w:rsidRPr="001A1836">
        <w:t xml:space="preserve"> </w:t>
      </w:r>
    </w:p>
    <w:p w14:paraId="069E1884" w14:textId="77777777" w:rsidR="00635967" w:rsidRPr="001A1836" w:rsidRDefault="00DC4C3A">
      <w:pPr>
        <w:pStyle w:val="GSRL5numberedclause"/>
        <w:spacing w:line="276" w:lineRule="auto"/>
      </w:pPr>
      <w:r w:rsidRPr="001A1836">
        <w:t>l</w:t>
      </w:r>
      <w:r w:rsidR="00437CB3" w:rsidRPr="001A1836">
        <w:t>andlords (e.g. private landlords, housing associa</w:t>
      </w:r>
      <w:r w:rsidR="00A938CA" w:rsidRPr="001A1836">
        <w:t>tions, local authorities etc.)</w:t>
      </w:r>
      <w:r w:rsidR="00A0666B" w:rsidRPr="001A1836">
        <w:t>;</w:t>
      </w:r>
    </w:p>
    <w:p w14:paraId="069E1885" w14:textId="77777777" w:rsidR="00635967" w:rsidRPr="001A1836" w:rsidRDefault="00DC4C3A">
      <w:pPr>
        <w:pStyle w:val="GSRL5numberedclause"/>
        <w:spacing w:line="276" w:lineRule="auto"/>
      </w:pPr>
      <w:r w:rsidRPr="001A1836">
        <w:t>p</w:t>
      </w:r>
      <w:r w:rsidR="00437CB3" w:rsidRPr="001A1836">
        <w:t>arents and those with family</w:t>
      </w:r>
      <w:r w:rsidR="00A938CA" w:rsidRPr="001A1836">
        <w:t xml:space="preserve"> or community responsibilities</w:t>
      </w:r>
      <w:r w:rsidR="00A0666B" w:rsidRPr="001A1836">
        <w:t>;</w:t>
      </w:r>
    </w:p>
    <w:p w14:paraId="069E1886" w14:textId="77777777" w:rsidR="00635967" w:rsidRPr="001A1836" w:rsidRDefault="00DC4C3A">
      <w:pPr>
        <w:pStyle w:val="GSRL5numberedclause"/>
        <w:spacing w:line="276" w:lineRule="auto"/>
      </w:pPr>
      <w:r w:rsidRPr="001A1836">
        <w:t>v</w:t>
      </w:r>
      <w:r w:rsidR="00437CB3" w:rsidRPr="001A1836">
        <w:t>ulne</w:t>
      </w:r>
      <w:r w:rsidR="00A938CA" w:rsidRPr="001A1836">
        <w:t>rable groups</w:t>
      </w:r>
      <w:r w:rsidR="0053136C" w:rsidRPr="001A1836">
        <w:t xml:space="preserve"> as defined by Ofgem</w:t>
      </w:r>
      <w:r w:rsidR="00A938CA" w:rsidRPr="001A1836">
        <w:t>, e.g. the elderly</w:t>
      </w:r>
      <w:r w:rsidR="00A0666B" w:rsidRPr="001A1836">
        <w:t>; and</w:t>
      </w:r>
    </w:p>
    <w:p w14:paraId="069E1887" w14:textId="77777777" w:rsidR="00A938CA" w:rsidRPr="001A1836" w:rsidRDefault="00DC4C3A">
      <w:pPr>
        <w:pStyle w:val="GSRL5numberedclause"/>
        <w:spacing w:line="276" w:lineRule="auto"/>
      </w:pPr>
      <w:r w:rsidRPr="001A1836">
        <w:t>o</w:t>
      </w:r>
      <w:r w:rsidR="004D7911" w:rsidRPr="001A1836">
        <w:t>ther s</w:t>
      </w:r>
      <w:r w:rsidR="00A938CA" w:rsidRPr="001A1836">
        <w:t>takeholders</w:t>
      </w:r>
      <w:r w:rsidR="00DA11D7" w:rsidRPr="001A1836">
        <w:t xml:space="preserve"> to be specified from time to time by HSE</w:t>
      </w:r>
      <w:r w:rsidR="00674A9F" w:rsidRPr="001A1836">
        <w:t>.</w:t>
      </w:r>
      <w:r w:rsidR="004D7911" w:rsidRPr="001A1836">
        <w:t xml:space="preserve"> </w:t>
      </w:r>
    </w:p>
    <w:p w14:paraId="069E1888" w14:textId="77777777" w:rsidR="00626834" w:rsidRPr="001A1836" w:rsidRDefault="00626834" w:rsidP="00A20731">
      <w:pPr>
        <w:rPr>
          <w:b/>
          <w:i/>
        </w:rPr>
      </w:pPr>
      <w:bookmarkStart w:id="246" w:name="_Toc501354451"/>
      <w:bookmarkStart w:id="247" w:name="_Toc507743975"/>
      <w:bookmarkStart w:id="248" w:name="_Toc521326952"/>
      <w:bookmarkStart w:id="249" w:name="_Toc521484706"/>
      <w:bookmarkStart w:id="250" w:name="_Toc521485037"/>
      <w:bookmarkStart w:id="251" w:name="_Toc521496214"/>
      <w:r w:rsidRPr="001A1836">
        <w:rPr>
          <w:b/>
          <w:i/>
        </w:rPr>
        <w:t>Website</w:t>
      </w:r>
      <w:bookmarkEnd w:id="246"/>
      <w:bookmarkEnd w:id="247"/>
      <w:bookmarkEnd w:id="248"/>
      <w:bookmarkEnd w:id="249"/>
      <w:bookmarkEnd w:id="250"/>
      <w:bookmarkEnd w:id="251"/>
    </w:p>
    <w:p w14:paraId="069E1889" w14:textId="730F1DF3" w:rsidR="004270D5" w:rsidRPr="001A1836" w:rsidRDefault="00626834">
      <w:pPr>
        <w:pStyle w:val="GSRL4numberedclause"/>
        <w:spacing w:line="276" w:lineRule="auto"/>
      </w:pPr>
      <w:r w:rsidRPr="001A1836">
        <w:t xml:space="preserve">The </w:t>
      </w:r>
      <w:r w:rsidR="0086594C" w:rsidRPr="001A1836">
        <w:t>Provider</w:t>
      </w:r>
      <w:r w:rsidRPr="001A1836">
        <w:t xml:space="preserve"> </w:t>
      </w:r>
      <w:r w:rsidR="00276E8E" w:rsidRPr="001A1836">
        <w:t>shall</w:t>
      </w:r>
      <w:r w:rsidRPr="001A1836">
        <w:t xml:space="preserve"> host and maintain </w:t>
      </w:r>
      <w:r w:rsidR="004270D5" w:rsidRPr="001A1836">
        <w:t>a website entitled</w:t>
      </w:r>
      <w:r w:rsidRPr="001A1836">
        <w:t xml:space="preserve"> </w:t>
      </w:r>
      <w:r w:rsidR="004270D5" w:rsidRPr="001A1836">
        <w:t>“</w:t>
      </w:r>
      <w:r w:rsidRPr="001A1836">
        <w:t>Gas Safe Register</w:t>
      </w:r>
      <w:r w:rsidR="004270D5" w:rsidRPr="001A1836">
        <w:t xml:space="preserve">” and ensure that it is accessible to </w:t>
      </w:r>
      <w:r w:rsidR="00FB5AFE" w:rsidRPr="001A1836">
        <w:t>R</w:t>
      </w:r>
      <w:r w:rsidRPr="001A1836">
        <w:t xml:space="preserve">egistered </w:t>
      </w:r>
      <w:r w:rsidR="00FB5AFE" w:rsidRPr="001A1836">
        <w:t>B</w:t>
      </w:r>
      <w:r w:rsidRPr="001A1836">
        <w:t xml:space="preserve">usiness and </w:t>
      </w:r>
      <w:r w:rsidR="00FB5AFE" w:rsidRPr="001A1836">
        <w:t>E</w:t>
      </w:r>
      <w:r w:rsidRPr="001A1836">
        <w:t>ngineer</w:t>
      </w:r>
      <w:r w:rsidR="00663A2C" w:rsidRPr="001A1836">
        <w:t>s</w:t>
      </w:r>
      <w:r w:rsidR="00D23345" w:rsidRPr="001A1836">
        <w:t xml:space="preserve"> and </w:t>
      </w:r>
      <w:r w:rsidR="005F7A5D" w:rsidRPr="001A1836">
        <w:t>Consumers</w:t>
      </w:r>
      <w:r w:rsidR="00D23345" w:rsidRPr="001A1836">
        <w:t xml:space="preserve"> / members of the public</w:t>
      </w:r>
      <w:r w:rsidR="004270D5" w:rsidRPr="001A1836">
        <w:t xml:space="preserve"> as the primary channel for dissemination of information by the Provider on all matters relating to or connected with</w:t>
      </w:r>
      <w:r w:rsidR="00674A9F" w:rsidRPr="001A1836">
        <w:t>:</w:t>
      </w:r>
    </w:p>
    <w:p w14:paraId="069E188A" w14:textId="77777777" w:rsidR="004270D5" w:rsidRPr="001A1836" w:rsidRDefault="00674A9F">
      <w:pPr>
        <w:pStyle w:val="GSRL5numberedclause"/>
        <w:spacing w:line="276" w:lineRule="auto"/>
      </w:pPr>
      <w:r w:rsidRPr="001A1836">
        <w:t>t</w:t>
      </w:r>
      <w:r w:rsidR="004270D5" w:rsidRPr="001A1836">
        <w:t>he Register</w:t>
      </w:r>
      <w:r w:rsidRPr="001A1836">
        <w:t>;</w:t>
      </w:r>
    </w:p>
    <w:p w14:paraId="069E188B" w14:textId="77777777" w:rsidR="004270D5" w:rsidRPr="001A1836" w:rsidRDefault="004270D5">
      <w:pPr>
        <w:pStyle w:val="GSRL5numberedclause"/>
        <w:spacing w:line="276" w:lineRule="auto"/>
      </w:pPr>
      <w:r w:rsidRPr="001A1836">
        <w:t>Gas Work</w:t>
      </w:r>
      <w:r w:rsidR="00674A9F" w:rsidRPr="001A1836">
        <w:t>;</w:t>
      </w:r>
    </w:p>
    <w:p w14:paraId="069E188C" w14:textId="77777777" w:rsidR="004270D5" w:rsidRPr="001A1836" w:rsidRDefault="004270D5">
      <w:pPr>
        <w:pStyle w:val="GSRL5numberedclause"/>
        <w:spacing w:line="276" w:lineRule="auto"/>
      </w:pPr>
      <w:r w:rsidRPr="001A1836">
        <w:t>the Services</w:t>
      </w:r>
      <w:r w:rsidR="00674A9F" w:rsidRPr="001A1836">
        <w:t>;</w:t>
      </w:r>
    </w:p>
    <w:p w14:paraId="069E188D" w14:textId="77777777" w:rsidR="00AC07B0" w:rsidRPr="001A1836" w:rsidRDefault="00674A9F">
      <w:pPr>
        <w:pStyle w:val="GSRL5numberedclause"/>
        <w:spacing w:line="276" w:lineRule="auto"/>
      </w:pPr>
      <w:r w:rsidRPr="001A1836">
        <w:t>g</w:t>
      </w:r>
      <w:r w:rsidR="00AC07B0" w:rsidRPr="001A1836">
        <w:t xml:space="preserve">as </w:t>
      </w:r>
      <w:r w:rsidR="00CA0BD9" w:rsidRPr="001A1836">
        <w:t xml:space="preserve">safety </w:t>
      </w:r>
      <w:r w:rsidR="00AC07B0" w:rsidRPr="001A1836">
        <w:t xml:space="preserve">and </w:t>
      </w:r>
      <w:r w:rsidR="00CA0BD9" w:rsidRPr="001A1836">
        <w:t xml:space="preserve">the risks of </w:t>
      </w:r>
      <w:r w:rsidR="00AC07B0" w:rsidRPr="001A1836">
        <w:t>carbon monoxide</w:t>
      </w:r>
      <w:r w:rsidRPr="001A1836">
        <w:t>.</w:t>
      </w:r>
    </w:p>
    <w:p w14:paraId="069E188E" w14:textId="77777777" w:rsidR="00E47140" w:rsidRPr="001A1836" w:rsidRDefault="00E47140">
      <w:pPr>
        <w:pStyle w:val="GSRL4numberedclause"/>
        <w:spacing w:line="276" w:lineRule="auto"/>
      </w:pPr>
      <w:r w:rsidRPr="001A1836">
        <w:t>Through the website, r</w:t>
      </w:r>
      <w:r w:rsidR="0064282C" w:rsidRPr="001A1836">
        <w:t>egistered Business and E</w:t>
      </w:r>
      <w:r w:rsidR="00D23345" w:rsidRPr="001A1836">
        <w:t xml:space="preserve">ngineers </w:t>
      </w:r>
      <w:r w:rsidR="00DB1640" w:rsidRPr="001A1836">
        <w:t xml:space="preserve">shall </w:t>
      </w:r>
      <w:r w:rsidR="00D23345" w:rsidRPr="001A1836">
        <w:t>have</w:t>
      </w:r>
      <w:r w:rsidRPr="001A1836">
        <w:t>:</w:t>
      </w:r>
      <w:r w:rsidR="00D23345" w:rsidRPr="001A1836">
        <w:t xml:space="preserve"> </w:t>
      </w:r>
    </w:p>
    <w:p w14:paraId="069E188F" w14:textId="2DC1CA20" w:rsidR="00E47140" w:rsidRPr="001A1836" w:rsidRDefault="00D23345">
      <w:pPr>
        <w:pStyle w:val="GSRL5numberedclause"/>
        <w:spacing w:line="276" w:lineRule="auto"/>
      </w:pPr>
      <w:r w:rsidRPr="001A1836">
        <w:rPr>
          <w:lang w:eastAsia="en-GB"/>
        </w:rPr>
        <w:t xml:space="preserve">access </w:t>
      </w:r>
      <w:r w:rsidRPr="001A1836">
        <w:t xml:space="preserve">to a </w:t>
      </w:r>
      <w:r w:rsidR="00EF55BA">
        <w:t xml:space="preserve">multi-factor </w:t>
      </w:r>
      <w:r w:rsidRPr="001A1836">
        <w:t>password-protected</w:t>
      </w:r>
      <w:r w:rsidR="00E47140" w:rsidRPr="001A1836">
        <w:t xml:space="preserve"> portal </w:t>
      </w:r>
      <w:r w:rsidRPr="001A1836">
        <w:t>to manage their</w:t>
      </w:r>
      <w:r w:rsidR="00E47140" w:rsidRPr="001A1836">
        <w:t xml:space="preserve"> registration</w:t>
      </w:r>
      <w:r w:rsidR="007A5107" w:rsidRPr="001A1836">
        <w:t xml:space="preserve"> and account activities</w:t>
      </w:r>
      <w:r w:rsidR="00E47140" w:rsidRPr="001A1836">
        <w:t>;</w:t>
      </w:r>
      <w:r w:rsidRPr="001A1836">
        <w:t xml:space="preserve"> </w:t>
      </w:r>
    </w:p>
    <w:p w14:paraId="069E1890" w14:textId="77777777" w:rsidR="00E47140" w:rsidRPr="001A1836" w:rsidRDefault="00DC4C3A">
      <w:pPr>
        <w:pStyle w:val="GSRL5numberedclause"/>
        <w:spacing w:line="276" w:lineRule="auto"/>
      </w:pPr>
      <w:r w:rsidRPr="001A1836">
        <w:t xml:space="preserve">access </w:t>
      </w:r>
      <w:r w:rsidR="00DB1640" w:rsidRPr="001A1836">
        <w:t xml:space="preserve">to </w:t>
      </w:r>
      <w:r w:rsidRPr="001A1836">
        <w:t>technical b</w:t>
      </w:r>
      <w:r w:rsidR="00D23345" w:rsidRPr="001A1836">
        <w:t>ulletins, safety alerts and industry updates</w:t>
      </w:r>
      <w:r w:rsidR="00E47140" w:rsidRPr="001A1836">
        <w:t>;</w:t>
      </w:r>
    </w:p>
    <w:p w14:paraId="069E1891" w14:textId="442811FE" w:rsidR="00E47140" w:rsidRPr="001A1836" w:rsidRDefault="00E47140">
      <w:pPr>
        <w:pStyle w:val="GSRL5numberedclause"/>
        <w:spacing w:line="276" w:lineRule="auto"/>
        <w:rPr>
          <w:rFonts w:eastAsia="Calibri"/>
        </w:rPr>
      </w:pPr>
      <w:r w:rsidRPr="001A1836">
        <w:rPr>
          <w:rFonts w:eastAsia="Calibri"/>
        </w:rPr>
        <w:t xml:space="preserve">access to their own data held </w:t>
      </w:r>
      <w:r w:rsidR="00DB1640" w:rsidRPr="001A1836">
        <w:rPr>
          <w:rFonts w:eastAsia="Calibri"/>
        </w:rPr>
        <w:t xml:space="preserve">on </w:t>
      </w:r>
      <w:r w:rsidRPr="001A1836">
        <w:rPr>
          <w:rFonts w:eastAsia="Calibri"/>
        </w:rPr>
        <w:t xml:space="preserve">the Register (including </w:t>
      </w:r>
      <w:r w:rsidR="007A5107" w:rsidRPr="001A1836">
        <w:rPr>
          <w:rFonts w:eastAsia="Calibri"/>
        </w:rPr>
        <w:t xml:space="preserve">view-only access to </w:t>
      </w:r>
      <w:r w:rsidRPr="001A1836">
        <w:rPr>
          <w:rFonts w:eastAsia="Calibri"/>
        </w:rPr>
        <w:t>expiry of registration and competencies,</w:t>
      </w:r>
      <w:r w:rsidR="007A5107" w:rsidRPr="001A1836">
        <w:rPr>
          <w:rFonts w:eastAsia="Calibri"/>
        </w:rPr>
        <w:t xml:space="preserve"> and</w:t>
      </w:r>
      <w:r w:rsidR="00C73A7B">
        <w:rPr>
          <w:rFonts w:eastAsia="Calibri"/>
        </w:rPr>
        <w:t xml:space="preserve"> Competency Check </w:t>
      </w:r>
      <w:r w:rsidRPr="001A1836">
        <w:rPr>
          <w:rFonts w:eastAsia="Calibri"/>
        </w:rPr>
        <w:t>reports); and</w:t>
      </w:r>
    </w:p>
    <w:p w14:paraId="069E1892" w14:textId="77777777" w:rsidR="00E47140" w:rsidRPr="001A1836" w:rsidRDefault="00323D23">
      <w:pPr>
        <w:pStyle w:val="GSRL5numberedclause"/>
        <w:spacing w:line="276" w:lineRule="auto"/>
      </w:pPr>
      <w:r w:rsidRPr="001A1836">
        <w:t>facility</w:t>
      </w:r>
      <w:r w:rsidR="00E47140" w:rsidRPr="001A1836">
        <w:t xml:space="preserve"> to report work notifiable under Building Regulations. </w:t>
      </w:r>
    </w:p>
    <w:p w14:paraId="069E1893" w14:textId="77777777" w:rsidR="00635967" w:rsidRPr="001A1836" w:rsidRDefault="00BF5178">
      <w:pPr>
        <w:pStyle w:val="GSRL4numberedclause"/>
        <w:spacing w:line="276" w:lineRule="auto"/>
      </w:pPr>
      <w:r w:rsidRPr="001A1836">
        <w:t xml:space="preserve">Through the website, </w:t>
      </w:r>
      <w:r w:rsidR="00D23345" w:rsidRPr="001A1836">
        <w:t xml:space="preserve">members of the public </w:t>
      </w:r>
      <w:r w:rsidR="00DB1640" w:rsidRPr="001A1836">
        <w:t>shall b</w:t>
      </w:r>
      <w:r w:rsidR="00D23345" w:rsidRPr="001A1836">
        <w:t xml:space="preserve">e able to </w:t>
      </w:r>
      <w:r w:rsidR="00626834" w:rsidRPr="001A1836">
        <w:t xml:space="preserve">check </w:t>
      </w:r>
      <w:r w:rsidR="005865FD" w:rsidRPr="001A1836">
        <w:t>B</w:t>
      </w:r>
      <w:r w:rsidR="00626834" w:rsidRPr="001A1836">
        <w:t>usi</w:t>
      </w:r>
      <w:r w:rsidR="00D23345" w:rsidRPr="001A1836">
        <w:t xml:space="preserve">ness and </w:t>
      </w:r>
      <w:r w:rsidR="005865FD" w:rsidRPr="001A1836">
        <w:t>E</w:t>
      </w:r>
      <w:r w:rsidR="00D23345" w:rsidRPr="001A1836">
        <w:t>ngineer registrations</w:t>
      </w:r>
      <w:r w:rsidR="00626834" w:rsidRPr="001A1836">
        <w:t xml:space="preserve"> </w:t>
      </w:r>
      <w:r w:rsidR="00D23345" w:rsidRPr="001A1836">
        <w:t xml:space="preserve">and </w:t>
      </w:r>
      <w:r w:rsidR="00C429AA" w:rsidRPr="001A1836">
        <w:t>access</w:t>
      </w:r>
      <w:r w:rsidR="00626834" w:rsidRPr="001A1836">
        <w:t xml:space="preserve"> gas safe</w:t>
      </w:r>
      <w:r w:rsidR="00C429AA" w:rsidRPr="001A1836">
        <w:t>ty information</w:t>
      </w:r>
      <w:r w:rsidR="00D23345" w:rsidRPr="001A1836">
        <w:t>.</w:t>
      </w:r>
    </w:p>
    <w:p w14:paraId="069E1894" w14:textId="77777777" w:rsidR="00626834" w:rsidRPr="001A1836" w:rsidRDefault="00626834">
      <w:pPr>
        <w:pStyle w:val="GSRL4numberedclause"/>
        <w:spacing w:line="276" w:lineRule="auto"/>
      </w:pPr>
      <w:r w:rsidRPr="001A1836">
        <w:t xml:space="preserve">As a minimum requirement, the </w:t>
      </w:r>
      <w:r w:rsidR="005865FD" w:rsidRPr="001A1836">
        <w:t>web</w:t>
      </w:r>
      <w:r w:rsidRPr="001A1836">
        <w:t>site should include the following:</w:t>
      </w:r>
    </w:p>
    <w:p w14:paraId="069E1895" w14:textId="77777777" w:rsidR="00626834" w:rsidRPr="001A1836" w:rsidRDefault="007A5107">
      <w:pPr>
        <w:pStyle w:val="GSRL5numberedclause"/>
        <w:spacing w:line="276" w:lineRule="auto"/>
      </w:pPr>
      <w:r w:rsidRPr="001A1836">
        <w:t>s</w:t>
      </w:r>
      <w:r w:rsidR="00626834" w:rsidRPr="001A1836">
        <w:t>earch function to ‘Check the Register’</w:t>
      </w:r>
      <w:r w:rsidR="00556CFD" w:rsidRPr="001A1836">
        <w:t>;</w:t>
      </w:r>
    </w:p>
    <w:p w14:paraId="069E1896" w14:textId="77777777" w:rsidR="00626834" w:rsidRPr="001A1836" w:rsidRDefault="007A5107">
      <w:pPr>
        <w:pStyle w:val="GSRL5numberedclause"/>
        <w:spacing w:line="276" w:lineRule="auto"/>
      </w:pPr>
      <w:r w:rsidRPr="001A1836">
        <w:t>i</w:t>
      </w:r>
      <w:r w:rsidR="00DB1640" w:rsidRPr="001A1836">
        <w:t>nformation a</w:t>
      </w:r>
      <w:r w:rsidR="00626834" w:rsidRPr="001A1836">
        <w:t>bout the Gas Safe Register</w:t>
      </w:r>
      <w:r w:rsidR="00DB1640" w:rsidRPr="001A1836">
        <w:t xml:space="preserve"> including</w:t>
      </w:r>
      <w:r w:rsidR="00556CFD" w:rsidRPr="001A1836">
        <w:t>:</w:t>
      </w:r>
    </w:p>
    <w:p w14:paraId="069E1897" w14:textId="77777777" w:rsidR="00626834" w:rsidRPr="001A1836" w:rsidRDefault="007A5107">
      <w:pPr>
        <w:pStyle w:val="GSRL6numberedclause"/>
        <w:spacing w:line="276" w:lineRule="auto"/>
      </w:pPr>
      <w:r w:rsidRPr="001A1836">
        <w:t>p</w:t>
      </w:r>
      <w:r w:rsidR="00626834" w:rsidRPr="001A1836">
        <w:t>olicies</w:t>
      </w:r>
      <w:r w:rsidR="00556CFD" w:rsidRPr="001A1836">
        <w:t>;</w:t>
      </w:r>
    </w:p>
    <w:p w14:paraId="069E1898" w14:textId="77777777" w:rsidR="00626834" w:rsidRPr="001A1836" w:rsidRDefault="007A5107">
      <w:pPr>
        <w:pStyle w:val="GSRL6numberedclause"/>
        <w:spacing w:line="276" w:lineRule="auto"/>
      </w:pPr>
      <w:r w:rsidRPr="001A1836">
        <w:lastRenderedPageBreak/>
        <w:t>u</w:t>
      </w:r>
      <w:r w:rsidR="00626834" w:rsidRPr="001A1836">
        <w:t>nderstanding the</w:t>
      </w:r>
      <w:r w:rsidR="00556CFD" w:rsidRPr="001A1836">
        <w:t xml:space="preserve"> identity</w:t>
      </w:r>
      <w:r w:rsidR="00626834" w:rsidRPr="001A1836">
        <w:t xml:space="preserve"> card</w:t>
      </w:r>
      <w:r w:rsidR="00556CFD" w:rsidRPr="001A1836">
        <w:t>; and</w:t>
      </w:r>
    </w:p>
    <w:p w14:paraId="069E1899" w14:textId="77777777" w:rsidR="00626834" w:rsidRPr="001A1836" w:rsidRDefault="007A5107">
      <w:pPr>
        <w:pStyle w:val="GSRL6numberedclause"/>
        <w:spacing w:line="276" w:lineRule="auto"/>
      </w:pPr>
      <w:r w:rsidRPr="001A1836">
        <w:t>n</w:t>
      </w:r>
      <w:r w:rsidR="00626834" w:rsidRPr="001A1836">
        <w:t>ews and updates</w:t>
      </w:r>
    </w:p>
    <w:p w14:paraId="069E189A" w14:textId="77777777" w:rsidR="00626834" w:rsidRPr="001A1836" w:rsidRDefault="007A5107">
      <w:pPr>
        <w:pStyle w:val="GSRL5numberedclause"/>
        <w:spacing w:line="276" w:lineRule="auto"/>
      </w:pPr>
      <w:r w:rsidRPr="001A1836">
        <w:t>h</w:t>
      </w:r>
      <w:r w:rsidR="00626834" w:rsidRPr="001A1836">
        <w:t>elp and advice on topics including (but not limited to):</w:t>
      </w:r>
    </w:p>
    <w:p w14:paraId="069E189B" w14:textId="77777777" w:rsidR="00626834" w:rsidRPr="001A1836" w:rsidRDefault="00556CFD">
      <w:pPr>
        <w:pStyle w:val="GSRL6numberedclause"/>
        <w:spacing w:line="276" w:lineRule="auto"/>
      </w:pPr>
      <w:r w:rsidRPr="001A1836">
        <w:t>Building Regulations c</w:t>
      </w:r>
      <w:r w:rsidR="00626834" w:rsidRPr="001A1836">
        <w:t>ertificates</w:t>
      </w:r>
      <w:r w:rsidRPr="001A1836">
        <w:t>;</w:t>
      </w:r>
    </w:p>
    <w:p w14:paraId="069E189C" w14:textId="77777777" w:rsidR="00626834" w:rsidRPr="001A1836" w:rsidRDefault="007A5107">
      <w:pPr>
        <w:pStyle w:val="GSRL6numberedclause"/>
        <w:spacing w:line="276" w:lineRule="auto"/>
      </w:pPr>
      <w:r w:rsidRPr="001A1836">
        <w:t>c</w:t>
      </w:r>
      <w:r w:rsidR="00626834" w:rsidRPr="001A1836">
        <w:t>arbon monoxide poisoning</w:t>
      </w:r>
      <w:r w:rsidR="00556CFD" w:rsidRPr="001A1836">
        <w:t>;</w:t>
      </w:r>
    </w:p>
    <w:p w14:paraId="069E189D" w14:textId="77777777" w:rsidR="00626834" w:rsidRPr="001A1836" w:rsidRDefault="007A5107">
      <w:pPr>
        <w:pStyle w:val="GSRL6numberedclause"/>
        <w:spacing w:line="276" w:lineRule="auto"/>
      </w:pPr>
      <w:r w:rsidRPr="001A1836">
        <w:t>c</w:t>
      </w:r>
      <w:r w:rsidR="00626834" w:rsidRPr="001A1836">
        <w:t xml:space="preserve">omplaints about or reporting a gas </w:t>
      </w:r>
      <w:r w:rsidRPr="001A1836">
        <w:t>fitter</w:t>
      </w:r>
      <w:r w:rsidR="00ED68F1" w:rsidRPr="001A1836">
        <w:t xml:space="preserve"> operating illegally</w:t>
      </w:r>
      <w:r w:rsidR="00556CFD" w:rsidRPr="001A1836">
        <w:t>;</w:t>
      </w:r>
    </w:p>
    <w:p w14:paraId="069E189E" w14:textId="77777777" w:rsidR="00635967" w:rsidRPr="001A1836" w:rsidRDefault="007A5107">
      <w:pPr>
        <w:pStyle w:val="GSRL6numberedclause"/>
        <w:spacing w:line="276" w:lineRule="auto"/>
      </w:pPr>
      <w:r w:rsidRPr="001A1836">
        <w:t>g</w:t>
      </w:r>
      <w:r w:rsidR="00626834" w:rsidRPr="001A1836">
        <w:t>as emergencies</w:t>
      </w:r>
      <w:r w:rsidR="00556CFD" w:rsidRPr="001A1836">
        <w:t>;</w:t>
      </w:r>
    </w:p>
    <w:p w14:paraId="069E189F" w14:textId="77777777" w:rsidR="00626834" w:rsidRPr="001A1836" w:rsidRDefault="007A5107">
      <w:pPr>
        <w:pStyle w:val="GSRL6numberedclause"/>
        <w:spacing w:line="276" w:lineRule="auto"/>
      </w:pPr>
      <w:r w:rsidRPr="001A1836">
        <w:t>g</w:t>
      </w:r>
      <w:r w:rsidR="00626834" w:rsidRPr="001A1836">
        <w:t>as safety tips</w:t>
      </w:r>
      <w:r w:rsidR="00556CFD" w:rsidRPr="001A1836">
        <w:t>;</w:t>
      </w:r>
    </w:p>
    <w:p w14:paraId="069E18A0" w14:textId="3884AB93" w:rsidR="00626834" w:rsidRPr="001A1836" w:rsidRDefault="007A5107">
      <w:pPr>
        <w:pStyle w:val="GSRL6numberedclause"/>
        <w:spacing w:line="276" w:lineRule="auto"/>
      </w:pPr>
      <w:r w:rsidRPr="001A1836">
        <w:t>n</w:t>
      </w:r>
      <w:r w:rsidR="00626834" w:rsidRPr="001A1836">
        <w:t>ominating an appliance</w:t>
      </w:r>
      <w:r w:rsidR="009B31EF" w:rsidRPr="001A1836">
        <w:t>/installation</w:t>
      </w:r>
      <w:r w:rsidR="00626834" w:rsidRPr="001A1836">
        <w:t xml:space="preserve"> for </w:t>
      </w:r>
      <w:r w:rsidR="002E5CF7">
        <w:t>Competency Check</w:t>
      </w:r>
      <w:r w:rsidR="00556CFD" w:rsidRPr="001A1836">
        <w:t>; and</w:t>
      </w:r>
    </w:p>
    <w:p w14:paraId="069E18A1" w14:textId="77777777" w:rsidR="00626834" w:rsidRPr="001A1836" w:rsidRDefault="007A5107">
      <w:pPr>
        <w:pStyle w:val="GSRL6numberedclause"/>
        <w:spacing w:line="276" w:lineRule="auto"/>
      </w:pPr>
      <w:r w:rsidRPr="001A1836">
        <w:t>r</w:t>
      </w:r>
      <w:r w:rsidR="00626834" w:rsidRPr="001A1836">
        <w:t>equirements of a landlord and tenant</w:t>
      </w:r>
    </w:p>
    <w:p w14:paraId="069E18A2" w14:textId="77777777" w:rsidR="00626834" w:rsidRPr="001A1836" w:rsidRDefault="007A5107">
      <w:pPr>
        <w:pStyle w:val="GSRL5numberedclause"/>
        <w:spacing w:line="276" w:lineRule="auto"/>
      </w:pPr>
      <w:r w:rsidRPr="001A1836">
        <w:t>c</w:t>
      </w:r>
      <w:r w:rsidR="00626834" w:rsidRPr="001A1836">
        <w:t>ontacts (</w:t>
      </w:r>
      <w:r w:rsidR="005865FD" w:rsidRPr="001A1836">
        <w:t>Provider</w:t>
      </w:r>
      <w:r w:rsidR="00626834" w:rsidRPr="001A1836">
        <w:t xml:space="preserve"> and industry)</w:t>
      </w:r>
      <w:r w:rsidR="00556CFD" w:rsidRPr="001A1836">
        <w:t>;</w:t>
      </w:r>
    </w:p>
    <w:p w14:paraId="069E18A3" w14:textId="77777777" w:rsidR="00626834" w:rsidRPr="001A1836" w:rsidRDefault="007A5107">
      <w:pPr>
        <w:pStyle w:val="GSRL5numberedclause"/>
        <w:spacing w:line="276" w:lineRule="auto"/>
      </w:pPr>
      <w:r w:rsidRPr="001A1836">
        <w:t>s</w:t>
      </w:r>
      <w:r w:rsidR="00626834" w:rsidRPr="001A1836">
        <w:t>ite search function</w:t>
      </w:r>
      <w:r w:rsidR="00556CFD" w:rsidRPr="001A1836">
        <w:t>;</w:t>
      </w:r>
    </w:p>
    <w:p w14:paraId="069E18A4" w14:textId="25FCE698" w:rsidR="00626834" w:rsidRPr="001A1836" w:rsidRDefault="007A5107">
      <w:pPr>
        <w:pStyle w:val="GSRL5numberedclause"/>
        <w:spacing w:line="276" w:lineRule="auto"/>
      </w:pPr>
      <w:r w:rsidRPr="001A1836">
        <w:t>a</w:t>
      </w:r>
      <w:r w:rsidR="00AC07B0" w:rsidRPr="001A1836">
        <w:t>nnual appliance safety check</w:t>
      </w:r>
      <w:r w:rsidR="00626834" w:rsidRPr="001A1836">
        <w:t xml:space="preserve"> reminder option</w:t>
      </w:r>
      <w:r w:rsidR="00FB5AFE" w:rsidRPr="001A1836">
        <w:t xml:space="preserve"> for </w:t>
      </w:r>
      <w:r w:rsidR="005F7A5D" w:rsidRPr="001A1836">
        <w:t>Consumers</w:t>
      </w:r>
      <w:r w:rsidR="00556CFD" w:rsidRPr="001A1836">
        <w:t>;</w:t>
      </w:r>
    </w:p>
    <w:p w14:paraId="069E18A5" w14:textId="77777777" w:rsidR="00626834" w:rsidRPr="001A1836" w:rsidRDefault="007A5107">
      <w:pPr>
        <w:pStyle w:val="GSRL5numberedclause"/>
        <w:spacing w:line="276" w:lineRule="auto"/>
      </w:pPr>
      <w:r w:rsidRPr="001A1836">
        <w:t>l</w:t>
      </w:r>
      <w:r w:rsidR="00626834" w:rsidRPr="001A1836">
        <w:t>inks to social media channels</w:t>
      </w:r>
      <w:r w:rsidR="00556CFD" w:rsidRPr="001A1836">
        <w:t>;</w:t>
      </w:r>
    </w:p>
    <w:p w14:paraId="069E18A6" w14:textId="77777777" w:rsidR="00626834" w:rsidRPr="001A1836" w:rsidRDefault="007A5107">
      <w:pPr>
        <w:pStyle w:val="GSRL5numberedclause"/>
        <w:spacing w:line="276" w:lineRule="auto"/>
      </w:pPr>
      <w:r w:rsidRPr="001A1836">
        <w:t>c</w:t>
      </w:r>
      <w:r w:rsidR="00626834" w:rsidRPr="001A1836">
        <w:t>onsumer helpline clearly displayed</w:t>
      </w:r>
      <w:r w:rsidR="00556CFD" w:rsidRPr="001A1836">
        <w:t>;</w:t>
      </w:r>
    </w:p>
    <w:p w14:paraId="069E18A7" w14:textId="77777777" w:rsidR="00626834" w:rsidRPr="001A1836" w:rsidRDefault="007A5107">
      <w:pPr>
        <w:pStyle w:val="GSRL5numberedclause"/>
        <w:spacing w:line="276" w:lineRule="auto"/>
      </w:pPr>
      <w:r w:rsidRPr="001A1836">
        <w:t>p</w:t>
      </w:r>
      <w:r w:rsidR="00626834" w:rsidRPr="001A1836">
        <w:t>opular page links</w:t>
      </w:r>
      <w:r w:rsidR="00556CFD" w:rsidRPr="001A1836">
        <w:t>; and</w:t>
      </w:r>
    </w:p>
    <w:p w14:paraId="069E18A8" w14:textId="77777777" w:rsidR="00626834" w:rsidRPr="001A1836" w:rsidRDefault="007A5107">
      <w:pPr>
        <w:pStyle w:val="GSRL5numberedclause"/>
        <w:spacing w:line="276" w:lineRule="auto"/>
      </w:pPr>
      <w:r w:rsidRPr="001A1836">
        <w:t>s</w:t>
      </w:r>
      <w:r w:rsidR="00626834" w:rsidRPr="001A1836">
        <w:t>afety alerts</w:t>
      </w:r>
      <w:r w:rsidR="00556CFD" w:rsidRPr="001A1836">
        <w:t>.</w:t>
      </w:r>
    </w:p>
    <w:p w14:paraId="069E18A9" w14:textId="77777777" w:rsidR="00626834" w:rsidRPr="001A1836" w:rsidRDefault="00626834">
      <w:pPr>
        <w:pStyle w:val="GSRL4numberedclause"/>
        <w:spacing w:line="276" w:lineRule="auto"/>
      </w:pPr>
      <w:r w:rsidRPr="001A1836">
        <w:t xml:space="preserve">The </w:t>
      </w:r>
      <w:r w:rsidR="0086594C" w:rsidRPr="001A1836">
        <w:t>Provider</w:t>
      </w:r>
      <w:r w:rsidRPr="001A1836">
        <w:t xml:space="preserve"> must publish its</w:t>
      </w:r>
      <w:r w:rsidR="00325C38" w:rsidRPr="001A1836">
        <w:t xml:space="preserve"> Privacy </w:t>
      </w:r>
      <w:r w:rsidR="00042643" w:rsidRPr="001A1836">
        <w:t>P</w:t>
      </w:r>
      <w:r w:rsidR="00325C38" w:rsidRPr="001A1836">
        <w:t>olicy and Acceptable U</w:t>
      </w:r>
      <w:r w:rsidRPr="001A1836">
        <w:t xml:space="preserve">se </w:t>
      </w:r>
      <w:r w:rsidR="007C7C52" w:rsidRPr="001A1836">
        <w:t>P</w:t>
      </w:r>
      <w:r w:rsidRPr="001A1836">
        <w:t xml:space="preserve">olicy on </w:t>
      </w:r>
      <w:r w:rsidR="00A50445" w:rsidRPr="001A1836">
        <w:t>the website</w:t>
      </w:r>
      <w:r w:rsidRPr="001A1836">
        <w:t>.</w:t>
      </w:r>
    </w:p>
    <w:p w14:paraId="069E18AA" w14:textId="77777777" w:rsidR="00626834" w:rsidRPr="001A1836" w:rsidRDefault="00626834" w:rsidP="00A20731">
      <w:pPr>
        <w:rPr>
          <w:b/>
          <w:i/>
        </w:rPr>
      </w:pPr>
      <w:bookmarkStart w:id="252" w:name="_Toc501354452"/>
      <w:bookmarkStart w:id="253" w:name="_Toc521326953"/>
      <w:bookmarkStart w:id="254" w:name="_Toc521484707"/>
      <w:bookmarkStart w:id="255" w:name="_Toc521485038"/>
      <w:bookmarkStart w:id="256" w:name="_Toc521496215"/>
      <w:r w:rsidRPr="001A1836">
        <w:rPr>
          <w:b/>
          <w:i/>
        </w:rPr>
        <w:t>Website standards and accessibility</w:t>
      </w:r>
      <w:bookmarkEnd w:id="252"/>
      <w:bookmarkEnd w:id="253"/>
      <w:bookmarkEnd w:id="254"/>
      <w:bookmarkEnd w:id="255"/>
      <w:bookmarkEnd w:id="256"/>
    </w:p>
    <w:p w14:paraId="069E18AB" w14:textId="77777777" w:rsidR="006B64A6" w:rsidRPr="001A1836" w:rsidRDefault="006B64A6">
      <w:pPr>
        <w:pStyle w:val="GSRL4numberedclause"/>
        <w:spacing w:line="276" w:lineRule="auto"/>
      </w:pPr>
      <w:r w:rsidRPr="001A1836">
        <w:t xml:space="preserve">The website </w:t>
      </w:r>
      <w:r w:rsidR="00A957B4" w:rsidRPr="001A1836">
        <w:t xml:space="preserve">shall </w:t>
      </w:r>
      <w:r w:rsidRPr="001A1836">
        <w:t xml:space="preserve">adopt responsive web design, allowing all webpages to be viewed in response to the size of the screen or web browser they are viewing it on and therefore accessible via a full range of devices (PC, smartphone, tablet). </w:t>
      </w:r>
    </w:p>
    <w:p w14:paraId="069E18AC" w14:textId="77777777" w:rsidR="00626834" w:rsidRPr="001A1836" w:rsidRDefault="00626834">
      <w:pPr>
        <w:pStyle w:val="GSRL4numberedclause"/>
        <w:spacing w:line="276" w:lineRule="auto"/>
      </w:pPr>
      <w:r w:rsidRPr="001A1836">
        <w:t xml:space="preserve">The </w:t>
      </w:r>
      <w:r w:rsidR="006B64A6" w:rsidRPr="001A1836">
        <w:t>web</w:t>
      </w:r>
      <w:r w:rsidRPr="001A1836">
        <w:t xml:space="preserve">site </w:t>
      </w:r>
      <w:r w:rsidR="00A957B4" w:rsidRPr="001A1836">
        <w:t xml:space="preserve">shall </w:t>
      </w:r>
      <w:r w:rsidRPr="001A1836">
        <w:t xml:space="preserve">comply with </w:t>
      </w:r>
      <w:r w:rsidR="00C87E32" w:rsidRPr="001A1836">
        <w:t xml:space="preserve">up to date </w:t>
      </w:r>
      <w:r w:rsidRPr="001A1836">
        <w:t>website standards and include regular user testing/monitoring and agility to respond. Standards</w:t>
      </w:r>
      <w:r w:rsidR="00784B62" w:rsidRPr="001A1836">
        <w:t xml:space="preserve"> to be complied with</w:t>
      </w:r>
      <w:r w:rsidRPr="001A1836">
        <w:t xml:space="preserve"> include:</w:t>
      </w:r>
    </w:p>
    <w:p w14:paraId="069E18AD" w14:textId="77777777" w:rsidR="00626834" w:rsidRPr="001A1836" w:rsidRDefault="00626834">
      <w:pPr>
        <w:pStyle w:val="GSRL5numberedclause"/>
        <w:spacing w:line="276" w:lineRule="auto"/>
      </w:pPr>
      <w:r w:rsidRPr="001A1836">
        <w:t>HTML5</w:t>
      </w:r>
      <w:r w:rsidR="00556CFD" w:rsidRPr="001A1836">
        <w:t>;</w:t>
      </w:r>
    </w:p>
    <w:p w14:paraId="069E18AE" w14:textId="4C9CBBF4" w:rsidR="00626834" w:rsidRPr="001A1836" w:rsidRDefault="00626834">
      <w:pPr>
        <w:pStyle w:val="GSRL5numberedclause"/>
        <w:spacing w:line="276" w:lineRule="auto"/>
      </w:pPr>
      <w:r w:rsidRPr="001A1836">
        <w:t>CSS2.</w:t>
      </w:r>
      <w:r w:rsidR="00ED5D8C">
        <w:t>1</w:t>
      </w:r>
      <w:r w:rsidRPr="001A1836">
        <w:t xml:space="preserve"> or above</w:t>
      </w:r>
      <w:r w:rsidR="00556CFD" w:rsidRPr="001A1836">
        <w:t>;</w:t>
      </w:r>
    </w:p>
    <w:p w14:paraId="069E18AF" w14:textId="77777777" w:rsidR="00626834" w:rsidRPr="001A1836" w:rsidRDefault="00626834">
      <w:pPr>
        <w:pStyle w:val="GSRL5numberedclause"/>
        <w:spacing w:line="276" w:lineRule="auto"/>
      </w:pPr>
      <w:r w:rsidRPr="001A1836">
        <w:t>Javascript ECMAscript5.1 or above, JQuery</w:t>
      </w:r>
      <w:r w:rsidR="00556CFD" w:rsidRPr="001A1836">
        <w:t>;</w:t>
      </w:r>
    </w:p>
    <w:p w14:paraId="069E18B0" w14:textId="77777777" w:rsidR="00626834" w:rsidRPr="001A1836" w:rsidRDefault="00626834">
      <w:pPr>
        <w:pStyle w:val="GSRL5numberedclause"/>
        <w:spacing w:line="276" w:lineRule="auto"/>
      </w:pPr>
      <w:r w:rsidRPr="001A1836">
        <w:t>WCAG AA minimum accessibility standard (including colour contrasts)</w:t>
      </w:r>
      <w:r w:rsidR="00556CFD" w:rsidRPr="001A1836">
        <w:t>;</w:t>
      </w:r>
    </w:p>
    <w:p w14:paraId="069E18B1" w14:textId="77777777" w:rsidR="00626834" w:rsidRPr="001A1836" w:rsidRDefault="00626834">
      <w:pPr>
        <w:pStyle w:val="GSRL5numberedclause"/>
        <w:spacing w:line="276" w:lineRule="auto"/>
      </w:pPr>
      <w:r w:rsidRPr="001A1836">
        <w:t>W3C compliant mark-up</w:t>
      </w:r>
      <w:r w:rsidR="00556CFD" w:rsidRPr="001A1836">
        <w:t>;</w:t>
      </w:r>
    </w:p>
    <w:p w14:paraId="069E18B2" w14:textId="77777777" w:rsidR="00626834" w:rsidRPr="001A1836" w:rsidRDefault="00DC4C3A">
      <w:pPr>
        <w:pStyle w:val="GSRL5numberedclause"/>
        <w:spacing w:line="276" w:lineRule="auto"/>
      </w:pPr>
      <w:r w:rsidRPr="001A1836">
        <w:t>r</w:t>
      </w:r>
      <w:r w:rsidR="00626834" w:rsidRPr="001A1836">
        <w:t>esponsive UI using CSS media queries</w:t>
      </w:r>
      <w:r w:rsidR="00556CFD" w:rsidRPr="001A1836">
        <w:t>;</w:t>
      </w:r>
    </w:p>
    <w:p w14:paraId="069E18B3" w14:textId="77777777" w:rsidR="00626834" w:rsidRPr="001A1836" w:rsidRDefault="00DC4C3A">
      <w:pPr>
        <w:pStyle w:val="GSRL5numberedclause"/>
        <w:spacing w:line="276" w:lineRule="auto"/>
      </w:pPr>
      <w:r w:rsidRPr="001A1836">
        <w:t>u</w:t>
      </w:r>
      <w:r w:rsidR="00626834" w:rsidRPr="001A1836">
        <w:t>ser tested for accessibility</w:t>
      </w:r>
      <w:r w:rsidR="00556CFD" w:rsidRPr="001A1836">
        <w:t>; and</w:t>
      </w:r>
    </w:p>
    <w:p w14:paraId="069E18B4" w14:textId="33E36146" w:rsidR="00626834" w:rsidRPr="001A1836" w:rsidRDefault="00DC4C3A">
      <w:pPr>
        <w:pStyle w:val="GSRL5numberedclause"/>
        <w:spacing w:line="276" w:lineRule="auto"/>
      </w:pPr>
      <w:r w:rsidRPr="001A1836">
        <w:t>t</w:t>
      </w:r>
      <w:r w:rsidR="00626834" w:rsidRPr="001A1836">
        <w:t xml:space="preserve">ested </w:t>
      </w:r>
      <w:r w:rsidR="00FB5AFE" w:rsidRPr="001A1836">
        <w:t xml:space="preserve">and proven to work </w:t>
      </w:r>
      <w:r w:rsidR="00626834" w:rsidRPr="001A1836">
        <w:t>on all common N-2 browsers (</w:t>
      </w:r>
      <w:r w:rsidR="00ED5D8C">
        <w:t>Edge</w:t>
      </w:r>
      <w:r w:rsidR="00626834" w:rsidRPr="001A1836">
        <w:t>, Google Chrome, Firefox and Safari)</w:t>
      </w:r>
      <w:r w:rsidR="00556CFD" w:rsidRPr="001A1836">
        <w:t>.</w:t>
      </w:r>
    </w:p>
    <w:p w14:paraId="069E18B5" w14:textId="77777777" w:rsidR="005D3CA8" w:rsidRPr="001A1836" w:rsidRDefault="005D3CA8">
      <w:pPr>
        <w:pStyle w:val="GSRL4numberedclause"/>
        <w:spacing w:line="276" w:lineRule="auto"/>
      </w:pPr>
      <w:r w:rsidRPr="001A1836">
        <w:t xml:space="preserve">The website must be available at all times, with the exception of scheduled and essential maintenance. </w:t>
      </w:r>
    </w:p>
    <w:p w14:paraId="069E18B6" w14:textId="4938EBDB" w:rsidR="00230F40" w:rsidRPr="001A1836" w:rsidRDefault="00230F40">
      <w:pPr>
        <w:pStyle w:val="GSRL4numberedclause"/>
        <w:spacing w:line="276" w:lineRule="auto"/>
      </w:pPr>
      <w:r w:rsidRPr="001A1836">
        <w:lastRenderedPageBreak/>
        <w:t>The Provider shall be required to inform HSE of any planned maintenance or downtime affecting the website</w:t>
      </w:r>
      <w:r w:rsidR="00CA0BD9" w:rsidRPr="001A1836">
        <w:t>,</w:t>
      </w:r>
      <w:r w:rsidRPr="001A1836">
        <w:t xml:space="preserve"> database or telephone system at least 48 hours in advance and any </w:t>
      </w:r>
      <w:r w:rsidR="00AC07B0" w:rsidRPr="001A1836">
        <w:t>un</w:t>
      </w:r>
      <w:r w:rsidRPr="001A1836">
        <w:t xml:space="preserve">planned downtime within one (1) </w:t>
      </w:r>
      <w:r w:rsidR="00762554" w:rsidRPr="001A1836">
        <w:t>W</w:t>
      </w:r>
      <w:r w:rsidRPr="001A1836">
        <w:t xml:space="preserve">orking </w:t>
      </w:r>
      <w:r w:rsidR="00762554" w:rsidRPr="001A1836">
        <w:t>H</w:t>
      </w:r>
      <w:r w:rsidRPr="001A1836">
        <w:t>our</w:t>
      </w:r>
      <w:r w:rsidR="001D4882" w:rsidRPr="001A1836">
        <w:t xml:space="preserve"> of the requirement for downtime being identified.</w:t>
      </w:r>
      <w:r w:rsidR="007A5107" w:rsidRPr="001A1836">
        <w:t xml:space="preserve"> </w:t>
      </w:r>
    </w:p>
    <w:p w14:paraId="069E18B7" w14:textId="77777777" w:rsidR="00B02769" w:rsidRPr="001A1836" w:rsidRDefault="003E4628" w:rsidP="007A29C3">
      <w:pPr>
        <w:rPr>
          <w:rFonts w:eastAsiaTheme="majorEastAsia"/>
          <w:b/>
          <w:i/>
        </w:rPr>
      </w:pPr>
      <w:bookmarkStart w:id="257" w:name="_Toc501354453"/>
      <w:bookmarkStart w:id="258" w:name="_Toc507743976"/>
      <w:bookmarkStart w:id="259" w:name="_Toc521326954"/>
      <w:bookmarkStart w:id="260" w:name="_Toc521484708"/>
      <w:bookmarkStart w:id="261" w:name="_Toc521485039"/>
      <w:bookmarkStart w:id="262" w:name="_Toc521496216"/>
      <w:r w:rsidRPr="001A1836">
        <w:rPr>
          <w:rFonts w:eastAsiaTheme="majorEastAsia"/>
          <w:b/>
          <w:i/>
        </w:rPr>
        <w:t>C</w:t>
      </w:r>
      <w:r w:rsidR="00B02769" w:rsidRPr="001A1836">
        <w:rPr>
          <w:rFonts w:eastAsiaTheme="majorEastAsia"/>
          <w:b/>
          <w:i/>
        </w:rPr>
        <w:t>ontact Centre</w:t>
      </w:r>
      <w:bookmarkEnd w:id="257"/>
      <w:bookmarkEnd w:id="258"/>
      <w:bookmarkEnd w:id="259"/>
      <w:bookmarkEnd w:id="260"/>
      <w:bookmarkEnd w:id="261"/>
      <w:bookmarkEnd w:id="262"/>
    </w:p>
    <w:p w14:paraId="069E18B8" w14:textId="52E7A817" w:rsidR="00B02769" w:rsidRPr="001A1836" w:rsidRDefault="00B02769">
      <w:pPr>
        <w:pStyle w:val="GSRL4numberedclause"/>
        <w:spacing w:line="276" w:lineRule="auto"/>
        <w:rPr>
          <w:b/>
        </w:rPr>
      </w:pPr>
      <w:r w:rsidRPr="001A1836">
        <w:t xml:space="preserve">In addition to the Gas Safe Register website, the </w:t>
      </w:r>
      <w:r w:rsidR="0086594C" w:rsidRPr="001A1836">
        <w:t>Provider</w:t>
      </w:r>
      <w:r w:rsidRPr="001A1836">
        <w:t xml:space="preserve"> </w:t>
      </w:r>
      <w:r w:rsidR="00A957B4" w:rsidRPr="001A1836">
        <w:t>shall</w:t>
      </w:r>
      <w:r w:rsidRPr="001A1836">
        <w:t xml:space="preserve"> operate a </w:t>
      </w:r>
      <w:r w:rsidR="000432E7" w:rsidRPr="001A1836">
        <w:t xml:space="preserve">UK-based </w:t>
      </w:r>
      <w:r w:rsidRPr="001A1836">
        <w:t>customer se</w:t>
      </w:r>
      <w:r w:rsidR="00B23C5C" w:rsidRPr="001A1836">
        <w:t>rvice</w:t>
      </w:r>
      <w:r w:rsidR="003A6C82" w:rsidRPr="001A1836">
        <w:t xml:space="preserve"> contact centre</w:t>
      </w:r>
      <w:r w:rsidR="00B23C5C" w:rsidRPr="001A1836">
        <w:t xml:space="preserve"> </w:t>
      </w:r>
      <w:r w:rsidR="003A6C82" w:rsidRPr="001A1836">
        <w:t>(“</w:t>
      </w:r>
      <w:r w:rsidR="00B23C5C" w:rsidRPr="001A1836">
        <w:t>Contact Centre</w:t>
      </w:r>
      <w:r w:rsidR="003A6C82" w:rsidRPr="001A1836">
        <w:t>”)</w:t>
      </w:r>
      <w:r w:rsidR="00B23C5C" w:rsidRPr="001A1836">
        <w:t xml:space="preserve"> to receive, triage </w:t>
      </w:r>
      <w:r w:rsidRPr="001A1836">
        <w:t xml:space="preserve">and respond to </w:t>
      </w:r>
      <w:r w:rsidR="000432E7" w:rsidRPr="001A1836">
        <w:t xml:space="preserve">communications from </w:t>
      </w:r>
      <w:r w:rsidR="001D4882" w:rsidRPr="001A1836">
        <w:t>B</w:t>
      </w:r>
      <w:r w:rsidRPr="001A1836">
        <w:t xml:space="preserve">usinesses, </w:t>
      </w:r>
      <w:r w:rsidR="001D4882" w:rsidRPr="001A1836">
        <w:t>E</w:t>
      </w:r>
      <w:r w:rsidRPr="001A1836">
        <w:t xml:space="preserve">ngineers and </w:t>
      </w:r>
      <w:r w:rsidR="005F7A5D" w:rsidRPr="001A1836">
        <w:t>Consumers</w:t>
      </w:r>
      <w:r w:rsidR="000E2B7D" w:rsidRPr="001A1836">
        <w:rPr>
          <w:rStyle w:val="CommentReference"/>
          <w:sz w:val="22"/>
          <w:szCs w:val="22"/>
        </w:rPr>
        <w:t>, HSE, local authorities and other enforcement agencies. O</w:t>
      </w:r>
      <w:r w:rsidRPr="001A1836">
        <w:t xml:space="preserve">perating </w:t>
      </w:r>
      <w:r w:rsidR="000E2B7D" w:rsidRPr="001A1836">
        <w:t xml:space="preserve">hours </w:t>
      </w:r>
      <w:r w:rsidR="00A957B4" w:rsidRPr="001A1836">
        <w:t xml:space="preserve">shall </w:t>
      </w:r>
      <w:r w:rsidR="000E2B7D" w:rsidRPr="001A1836">
        <w:t xml:space="preserve">be </w:t>
      </w:r>
      <w:r w:rsidR="00ED5D8C">
        <w:t>8:00</w:t>
      </w:r>
      <w:r w:rsidR="000E2B7D" w:rsidRPr="001A1836">
        <w:t>am to</w:t>
      </w:r>
      <w:r w:rsidR="00D91DA6" w:rsidRPr="001A1836">
        <w:t xml:space="preserve"> </w:t>
      </w:r>
      <w:r w:rsidR="00ED5D8C">
        <w:t>6</w:t>
      </w:r>
      <w:r w:rsidR="00ED5D8C" w:rsidRPr="001A1836">
        <w:t xml:space="preserve">pm </w:t>
      </w:r>
      <w:r w:rsidR="00D91DA6" w:rsidRPr="001A1836">
        <w:t>Monday t</w:t>
      </w:r>
      <w:r w:rsidR="000E2B7D" w:rsidRPr="001A1836">
        <w:t>o Friday and 8am to</w:t>
      </w:r>
      <w:r w:rsidR="00D91DA6" w:rsidRPr="001A1836">
        <w:t xml:space="preserve"> </w:t>
      </w:r>
      <w:r w:rsidR="00ED5D8C">
        <w:t>12.30</w:t>
      </w:r>
      <w:r w:rsidR="00ED5D8C" w:rsidRPr="001A1836">
        <w:t xml:space="preserve">pm </w:t>
      </w:r>
      <w:r w:rsidR="00D91DA6" w:rsidRPr="001A1836">
        <w:t>on Saturday</w:t>
      </w:r>
      <w:r w:rsidR="000E2B7D" w:rsidRPr="001A1836">
        <w:t xml:space="preserve"> </w:t>
      </w:r>
      <w:r w:rsidR="00ED5D8C">
        <w:t xml:space="preserve">(excluding Bank Holidays in England and Wales) </w:t>
      </w:r>
      <w:r w:rsidR="000E2B7D" w:rsidRPr="001A1836">
        <w:t xml:space="preserve">and </w:t>
      </w:r>
      <w:r w:rsidR="00CF5F1E" w:rsidRPr="001A1836">
        <w:t>shall</w:t>
      </w:r>
      <w:r w:rsidR="000E2B7D" w:rsidRPr="001A1836">
        <w:t xml:space="preserve"> be reviewed </w:t>
      </w:r>
      <w:r w:rsidR="0094669C" w:rsidRPr="001A1836">
        <w:t xml:space="preserve">and agreed </w:t>
      </w:r>
      <w:r w:rsidR="00A957B4" w:rsidRPr="001A1836">
        <w:t xml:space="preserve">with HSE </w:t>
      </w:r>
      <w:r w:rsidR="0094669C" w:rsidRPr="001A1836">
        <w:t>annually or as required</w:t>
      </w:r>
      <w:r w:rsidR="00D91DA6" w:rsidRPr="001A1836">
        <w:t>.</w:t>
      </w:r>
      <w:r w:rsidR="000E2B7D" w:rsidRPr="001A1836">
        <w:t xml:space="preserve"> </w:t>
      </w:r>
    </w:p>
    <w:p w14:paraId="069E18B9" w14:textId="77777777" w:rsidR="00B02769" w:rsidRPr="001A1836" w:rsidRDefault="00B02769">
      <w:pPr>
        <w:pStyle w:val="GSRL4numberedclause"/>
        <w:spacing w:line="276" w:lineRule="auto"/>
        <w:rPr>
          <w:lang w:eastAsia="en-GB"/>
        </w:rPr>
      </w:pPr>
      <w:r w:rsidRPr="001A1836">
        <w:rPr>
          <w:lang w:eastAsia="en-GB"/>
        </w:rPr>
        <w:t xml:space="preserve">The Contact Centre </w:t>
      </w:r>
      <w:r w:rsidR="00A957B4" w:rsidRPr="001A1836">
        <w:rPr>
          <w:lang w:eastAsia="en-GB"/>
        </w:rPr>
        <w:t xml:space="preserve">shall </w:t>
      </w:r>
      <w:r w:rsidRPr="001A1836">
        <w:rPr>
          <w:lang w:eastAsia="en-GB"/>
        </w:rPr>
        <w:t xml:space="preserve">receive and manage communication through a range of channels including </w:t>
      </w:r>
      <w:r w:rsidR="00A957B4" w:rsidRPr="001A1836">
        <w:rPr>
          <w:lang w:eastAsia="en-GB"/>
        </w:rPr>
        <w:t xml:space="preserve">at minimum </w:t>
      </w:r>
      <w:r w:rsidRPr="001A1836">
        <w:rPr>
          <w:lang w:eastAsia="en-GB"/>
        </w:rPr>
        <w:t>telephone calls, hard copy letters</w:t>
      </w:r>
      <w:r w:rsidR="000432E7" w:rsidRPr="001A1836">
        <w:rPr>
          <w:lang w:eastAsia="en-GB"/>
        </w:rPr>
        <w:t>,</w:t>
      </w:r>
      <w:r w:rsidRPr="001A1836">
        <w:rPr>
          <w:lang w:eastAsia="en-GB"/>
        </w:rPr>
        <w:t xml:space="preserve"> emails</w:t>
      </w:r>
      <w:r w:rsidR="000432E7" w:rsidRPr="001A1836">
        <w:rPr>
          <w:lang w:eastAsia="en-GB"/>
        </w:rPr>
        <w:t xml:space="preserve"> and online</w:t>
      </w:r>
      <w:r w:rsidR="0094669C" w:rsidRPr="001A1836">
        <w:rPr>
          <w:lang w:eastAsia="en-GB"/>
        </w:rPr>
        <w:t xml:space="preserve"> contact</w:t>
      </w:r>
      <w:r w:rsidRPr="001A1836">
        <w:rPr>
          <w:lang w:eastAsia="en-GB"/>
        </w:rPr>
        <w:t xml:space="preserve">. </w:t>
      </w:r>
    </w:p>
    <w:p w14:paraId="069E18BA" w14:textId="77777777" w:rsidR="00B02769" w:rsidRPr="001A1836" w:rsidRDefault="00B02769">
      <w:pPr>
        <w:pStyle w:val="GSRL4numberedclause"/>
        <w:spacing w:line="276" w:lineRule="auto"/>
        <w:rPr>
          <w:lang w:eastAsia="en-GB"/>
        </w:rPr>
      </w:pPr>
      <w:r w:rsidRPr="001A1836">
        <w:rPr>
          <w:lang w:eastAsia="en-GB"/>
        </w:rPr>
        <w:t xml:space="preserve">The Contact Centre </w:t>
      </w:r>
      <w:r w:rsidR="00A957B4" w:rsidRPr="001A1836">
        <w:rPr>
          <w:lang w:eastAsia="en-GB"/>
        </w:rPr>
        <w:t xml:space="preserve">shall </w:t>
      </w:r>
      <w:r w:rsidRPr="001A1836">
        <w:rPr>
          <w:lang w:eastAsia="en-GB"/>
        </w:rPr>
        <w:t xml:space="preserve">comply with the following minimum access standards: </w:t>
      </w:r>
    </w:p>
    <w:p w14:paraId="069E18BB" w14:textId="77777777" w:rsidR="00B02769" w:rsidRPr="001A1836" w:rsidRDefault="00E93385">
      <w:pPr>
        <w:pStyle w:val="GSRL5numberedclause"/>
        <w:spacing w:line="276" w:lineRule="auto"/>
      </w:pPr>
      <w:r w:rsidRPr="001A1836">
        <w:t>a</w:t>
      </w:r>
      <w:r w:rsidR="00B02769" w:rsidRPr="001A1836">
        <w:t>ccess</w:t>
      </w:r>
      <w:r w:rsidR="005F7F7B" w:rsidRPr="001A1836">
        <w:t xml:space="preserve"> shall be free of charge</w:t>
      </w:r>
      <w:r w:rsidR="00B02769" w:rsidRPr="001A1836">
        <w:t xml:space="preserve">; </w:t>
      </w:r>
    </w:p>
    <w:p w14:paraId="069E18BC" w14:textId="61AA421F" w:rsidR="00B02769" w:rsidRPr="001A1836" w:rsidRDefault="00B02769">
      <w:pPr>
        <w:pStyle w:val="GSRL5numberedclause"/>
        <w:spacing w:line="276" w:lineRule="auto"/>
      </w:pPr>
      <w:r w:rsidRPr="001A1836">
        <w:t xml:space="preserve">the Register </w:t>
      </w:r>
      <w:r w:rsidR="00A957B4" w:rsidRPr="001A1836">
        <w:t xml:space="preserve">shall be </w:t>
      </w:r>
      <w:r w:rsidRPr="001A1836">
        <w:t>accessible to the</w:t>
      </w:r>
      <w:r w:rsidR="003148B3" w:rsidRPr="001A1836">
        <w:t xml:space="preserve"> vulnerable </w:t>
      </w:r>
      <w:r w:rsidR="00E27130" w:rsidRPr="001A1836">
        <w:t xml:space="preserve">(as defined by Ofgem) </w:t>
      </w:r>
      <w:r w:rsidR="003148B3" w:rsidRPr="001A1836">
        <w:t>in accordance with good industry p</w:t>
      </w:r>
      <w:r w:rsidRPr="001A1836">
        <w:t>ractice</w:t>
      </w:r>
      <w:r w:rsidR="00156434" w:rsidRPr="001A1836">
        <w:t xml:space="preserve">. ‘Vulnerable’ includes </w:t>
      </w:r>
      <w:r w:rsidR="005F7A5D" w:rsidRPr="001A1836">
        <w:t>Consumers</w:t>
      </w:r>
      <w:r w:rsidR="00156434" w:rsidRPr="001A1836">
        <w:t xml:space="preserve"> who are in vulnerable circumstances, for example of pensionable age, have a disability, are chronically sick, on low incomes</w:t>
      </w:r>
      <w:r w:rsidR="00E27130" w:rsidRPr="001A1836">
        <w:t>, living in rural areas</w:t>
      </w:r>
      <w:r w:rsidRPr="001A1836">
        <w:t xml:space="preserve">; </w:t>
      </w:r>
    </w:p>
    <w:p w14:paraId="069E18BD" w14:textId="2DEEEF98" w:rsidR="00B02769" w:rsidRPr="001A1836" w:rsidRDefault="005F7A5D">
      <w:pPr>
        <w:pStyle w:val="GSRL5numberedclause"/>
        <w:spacing w:line="276" w:lineRule="auto"/>
      </w:pPr>
      <w:r w:rsidRPr="001A1836">
        <w:t>Consumers</w:t>
      </w:r>
      <w:r w:rsidR="00B02769" w:rsidRPr="001A1836">
        <w:t xml:space="preserve"> </w:t>
      </w:r>
      <w:r w:rsidR="00A957B4" w:rsidRPr="001A1836">
        <w:t xml:space="preserve">shall be </w:t>
      </w:r>
      <w:r w:rsidR="00B02769" w:rsidRPr="001A1836">
        <w:t xml:space="preserve">made aware of where to direct any emergency calls; </w:t>
      </w:r>
    </w:p>
    <w:p w14:paraId="069E18BE" w14:textId="77777777" w:rsidR="00B02769" w:rsidRPr="001A1836" w:rsidRDefault="00B02769">
      <w:pPr>
        <w:pStyle w:val="GSRL5numberedclause"/>
        <w:spacing w:line="276" w:lineRule="auto"/>
      </w:pPr>
      <w:r w:rsidRPr="001A1836">
        <w:t xml:space="preserve">a call-back option </w:t>
      </w:r>
      <w:r w:rsidR="00A957B4" w:rsidRPr="001A1836">
        <w:t xml:space="preserve">shall be </w:t>
      </w:r>
      <w:r w:rsidRPr="001A1836">
        <w:t xml:space="preserve">available where waiting time in the </w:t>
      </w:r>
      <w:r w:rsidR="0094669C" w:rsidRPr="001A1836">
        <w:t>C</w:t>
      </w:r>
      <w:r w:rsidRPr="001A1836">
        <w:t xml:space="preserve">ontact </w:t>
      </w:r>
      <w:r w:rsidR="0094669C" w:rsidRPr="001A1836">
        <w:t>C</w:t>
      </w:r>
      <w:r w:rsidRPr="001A1836">
        <w:t xml:space="preserve">entre for telephone enquiries to be answered by a customer services advisor is greater than one minute, with the target for call backs being within one </w:t>
      </w:r>
      <w:r w:rsidR="00901630" w:rsidRPr="001A1836">
        <w:t>hour.</w:t>
      </w:r>
      <w:r w:rsidRPr="001A1836">
        <w:t xml:space="preserve"> </w:t>
      </w:r>
    </w:p>
    <w:p w14:paraId="069E18BF" w14:textId="77777777" w:rsidR="00B02769" w:rsidRPr="001A1836" w:rsidRDefault="00B02769">
      <w:pPr>
        <w:pStyle w:val="GSRL4numberedclause"/>
        <w:spacing w:line="276" w:lineRule="auto"/>
      </w:pPr>
      <w:r w:rsidRPr="001A1836">
        <w:t xml:space="preserve">The Contact Centre </w:t>
      </w:r>
      <w:r w:rsidR="00A957B4" w:rsidRPr="001A1836">
        <w:t>shall</w:t>
      </w:r>
      <w:r w:rsidRPr="001A1836">
        <w:t xml:space="preserve"> incorporate three essential functions:</w:t>
      </w:r>
    </w:p>
    <w:p w14:paraId="069E18C0" w14:textId="77777777" w:rsidR="00B02769" w:rsidRPr="001A1836" w:rsidRDefault="00B02769">
      <w:pPr>
        <w:pStyle w:val="GSRL5numberedclause"/>
        <w:spacing w:line="276" w:lineRule="auto"/>
      </w:pPr>
      <w:r w:rsidRPr="001A1836">
        <w:t>Consumer</w:t>
      </w:r>
      <w:r w:rsidR="00132B9D" w:rsidRPr="001A1836">
        <w:t xml:space="preserve"> enquiries and</w:t>
      </w:r>
      <w:r w:rsidRPr="001A1836">
        <w:t xml:space="preserve"> helpline (</w:t>
      </w:r>
      <w:r w:rsidR="007A5EA1" w:rsidRPr="001A1836">
        <w:t xml:space="preserve">including </w:t>
      </w:r>
      <w:r w:rsidRPr="001A1836">
        <w:t>Gas Safety Advice Line)</w:t>
      </w:r>
      <w:r w:rsidR="00466AA6" w:rsidRPr="001A1836">
        <w:t>;</w:t>
      </w:r>
    </w:p>
    <w:p w14:paraId="069E18C1" w14:textId="77777777" w:rsidR="00B02769" w:rsidRPr="001A1836" w:rsidRDefault="00B02769">
      <w:pPr>
        <w:pStyle w:val="GSRL5numberedclause"/>
        <w:spacing w:line="276" w:lineRule="auto"/>
      </w:pPr>
      <w:r w:rsidRPr="001A1836">
        <w:t>Eng</w:t>
      </w:r>
      <w:r w:rsidR="000432E7" w:rsidRPr="001A1836">
        <w:t>ineer services (</w:t>
      </w:r>
      <w:r w:rsidR="007A5EA1" w:rsidRPr="001A1836">
        <w:t>registration and renewal, and notification services</w:t>
      </w:r>
      <w:r w:rsidRPr="001A1836">
        <w:t>)</w:t>
      </w:r>
      <w:r w:rsidR="00466AA6" w:rsidRPr="001A1836">
        <w:t>; and</w:t>
      </w:r>
    </w:p>
    <w:p w14:paraId="069E18C2" w14:textId="373F9EC3" w:rsidR="00B02769" w:rsidRPr="001A1836" w:rsidRDefault="00B02769">
      <w:pPr>
        <w:pStyle w:val="GSRL5numberedclause"/>
        <w:spacing w:line="276" w:lineRule="auto"/>
      </w:pPr>
      <w:r w:rsidRPr="001A1836">
        <w:t xml:space="preserve">Technical helpline (for </w:t>
      </w:r>
      <w:r w:rsidR="007A5EA1" w:rsidRPr="001A1836">
        <w:t>R</w:t>
      </w:r>
      <w:r w:rsidR="00466AA6" w:rsidRPr="001A1836">
        <w:t xml:space="preserve">egistered </w:t>
      </w:r>
      <w:r w:rsidR="007A5EA1" w:rsidRPr="001A1836">
        <w:t>B</w:t>
      </w:r>
      <w:r w:rsidR="00466AA6" w:rsidRPr="001A1836">
        <w:t>usinesses/</w:t>
      </w:r>
      <w:r w:rsidR="007A5EA1" w:rsidRPr="001A1836">
        <w:t>E</w:t>
      </w:r>
      <w:r w:rsidR="00466AA6" w:rsidRPr="001A1836">
        <w:t>ngineers</w:t>
      </w:r>
      <w:r w:rsidR="001642BB">
        <w:t xml:space="preserve"> and gas consumers</w:t>
      </w:r>
      <w:r w:rsidRPr="001A1836">
        <w:t>)</w:t>
      </w:r>
      <w:r w:rsidR="00466AA6" w:rsidRPr="001A1836">
        <w:t>.</w:t>
      </w:r>
    </w:p>
    <w:p w14:paraId="069E18C3" w14:textId="7E03A8F6" w:rsidR="00B02769" w:rsidRPr="001A1836" w:rsidRDefault="00B02769" w:rsidP="007A29C3">
      <w:pPr>
        <w:rPr>
          <w:i/>
        </w:rPr>
      </w:pPr>
      <w:bookmarkStart w:id="263" w:name="_Toc501354454"/>
      <w:bookmarkStart w:id="264" w:name="_Toc521496217"/>
      <w:r w:rsidRPr="001A1836">
        <w:rPr>
          <w:i/>
        </w:rPr>
        <w:t>Gas Safety Advice Line</w:t>
      </w:r>
      <w:bookmarkEnd w:id="263"/>
      <w:bookmarkEnd w:id="264"/>
    </w:p>
    <w:p w14:paraId="069E18C4" w14:textId="77777777" w:rsidR="00F72733" w:rsidRPr="001A1836" w:rsidRDefault="00B02769">
      <w:pPr>
        <w:pStyle w:val="GSRL4numberedclause"/>
        <w:spacing w:line="276" w:lineRule="auto"/>
      </w:pPr>
      <w:r w:rsidRPr="001A1836">
        <w:t xml:space="preserve">The </w:t>
      </w:r>
      <w:r w:rsidR="0086594C" w:rsidRPr="001A1836">
        <w:t>Provider</w:t>
      </w:r>
      <w:r w:rsidRPr="001A1836">
        <w:t xml:space="preserve"> </w:t>
      </w:r>
      <w:r w:rsidR="00B71FD6" w:rsidRPr="001A1836">
        <w:t>shall</w:t>
      </w:r>
      <w:r w:rsidRPr="001A1836">
        <w:t xml:space="preserve"> manage and </w:t>
      </w:r>
      <w:r w:rsidR="00B71FD6" w:rsidRPr="001A1836">
        <w:t xml:space="preserve">operate </w:t>
      </w:r>
      <w:r w:rsidRPr="001A1836">
        <w:t xml:space="preserve">a dedicated telephone number for </w:t>
      </w:r>
      <w:r w:rsidR="004903AA" w:rsidRPr="001A1836">
        <w:t xml:space="preserve">a “Gas Safety Advice Line” to receive </w:t>
      </w:r>
      <w:r w:rsidRPr="001A1836">
        <w:t xml:space="preserve">gas safety </w:t>
      </w:r>
      <w:r w:rsidR="00B511E3" w:rsidRPr="001A1836">
        <w:t>calls</w:t>
      </w:r>
      <w:r w:rsidR="00DA11D7" w:rsidRPr="001A1836">
        <w:t xml:space="preserve"> </w:t>
      </w:r>
      <w:r w:rsidR="004903AA" w:rsidRPr="001A1836">
        <w:t xml:space="preserve">which shall be </w:t>
      </w:r>
      <w:r w:rsidRPr="001A1836">
        <w:t xml:space="preserve">triaged </w:t>
      </w:r>
      <w:r w:rsidR="00D8495B" w:rsidRPr="001A1836">
        <w:t xml:space="preserve">by </w:t>
      </w:r>
      <w:r w:rsidRPr="001A1836">
        <w:t>an</w:t>
      </w:r>
      <w:r w:rsidR="00C2487C" w:rsidRPr="001A1836">
        <w:t xml:space="preserve"> interactive voice response (</w:t>
      </w:r>
      <w:r w:rsidRPr="001A1836">
        <w:t>IVR</w:t>
      </w:r>
      <w:r w:rsidR="00C2487C" w:rsidRPr="001A1836">
        <w:t>)</w:t>
      </w:r>
      <w:r w:rsidRPr="001A1836">
        <w:t xml:space="preserve"> sel</w:t>
      </w:r>
      <w:r w:rsidR="00CC05E9" w:rsidRPr="001A1836">
        <w:t>f</w:t>
      </w:r>
      <w:r w:rsidRPr="001A1836">
        <w:t>-service telephone system.</w:t>
      </w:r>
    </w:p>
    <w:p w14:paraId="069E18C5" w14:textId="77777777" w:rsidR="004903AA" w:rsidRPr="001A1836" w:rsidRDefault="005F7F7B">
      <w:pPr>
        <w:pStyle w:val="GSRL4numberedclause"/>
        <w:spacing w:line="276" w:lineRule="auto"/>
      </w:pPr>
      <w:bookmarkStart w:id="265" w:name="_Ref508027782"/>
      <w:r w:rsidRPr="001A1836">
        <w:t>The Gas Safety Advice Line shall</w:t>
      </w:r>
      <w:r w:rsidR="00B02769" w:rsidRPr="001A1836">
        <w:t xml:space="preserve"> provide information and guidance </w:t>
      </w:r>
      <w:r w:rsidR="00356DCE" w:rsidRPr="001A1836">
        <w:t xml:space="preserve">of a general nature </w:t>
      </w:r>
      <w:r w:rsidR="00B02769" w:rsidRPr="001A1836">
        <w:t xml:space="preserve">on gas safety issues, drawing on material provided by HSE in the form of HSE website information, supplemented by FAQs and call scripts where necessary. </w:t>
      </w:r>
      <w:bookmarkEnd w:id="265"/>
    </w:p>
    <w:p w14:paraId="069E18C6" w14:textId="77777777" w:rsidR="00E27130" w:rsidRPr="001A1836" w:rsidRDefault="00CD389A">
      <w:pPr>
        <w:pStyle w:val="GSRL4numberedclause"/>
      </w:pPr>
      <w:r w:rsidRPr="001A1836">
        <w:t>T</w:t>
      </w:r>
      <w:r w:rsidR="004903AA" w:rsidRPr="001A1836">
        <w:t>he Provider shall ensure that</w:t>
      </w:r>
      <w:r w:rsidR="00E27130" w:rsidRPr="001A1836">
        <w:t>:</w:t>
      </w:r>
      <w:r w:rsidR="004903AA" w:rsidRPr="001A1836">
        <w:t xml:space="preserve"> </w:t>
      </w:r>
    </w:p>
    <w:p w14:paraId="069E18C7" w14:textId="10A6AEC8" w:rsidR="00E27130" w:rsidRPr="001A1836" w:rsidRDefault="00E27130">
      <w:pPr>
        <w:pStyle w:val="GSRL5numberedclause"/>
      </w:pPr>
      <w:r w:rsidRPr="001A1836">
        <w:t xml:space="preserve">any advice given shall be limited to general information and guidance in accordance with paragraph </w:t>
      </w:r>
      <w:r w:rsidRPr="001A1836">
        <w:fldChar w:fldCharType="begin"/>
      </w:r>
      <w:r w:rsidRPr="001A1836">
        <w:instrText xml:space="preserve"> REF _Ref508027782 \r \h </w:instrText>
      </w:r>
      <w:r w:rsidR="001A1836">
        <w:instrText xml:space="preserve"> \* MERGEFORMAT </w:instrText>
      </w:r>
      <w:r w:rsidRPr="001A1836">
        <w:fldChar w:fldCharType="separate"/>
      </w:r>
      <w:r w:rsidR="00C87D85">
        <w:t>7.17</w:t>
      </w:r>
      <w:r w:rsidRPr="001A1836">
        <w:fldChar w:fldCharType="end"/>
      </w:r>
      <w:r w:rsidR="005505A7" w:rsidRPr="001A1836">
        <w:t>;</w:t>
      </w:r>
      <w:r w:rsidRPr="001A1836">
        <w:t xml:space="preserve"> and </w:t>
      </w:r>
    </w:p>
    <w:p w14:paraId="069E18C8" w14:textId="77777777" w:rsidR="00B02769" w:rsidRPr="001A1836" w:rsidRDefault="00E27130">
      <w:pPr>
        <w:pStyle w:val="GSRL5numberedclause"/>
      </w:pPr>
      <w:r w:rsidRPr="001A1836">
        <w:t>the consumer is aware of this limit to the advice being given.</w:t>
      </w:r>
    </w:p>
    <w:p w14:paraId="069E18C9" w14:textId="02DF238D" w:rsidR="00B02769" w:rsidRPr="001A1836" w:rsidRDefault="00F96B71">
      <w:pPr>
        <w:pStyle w:val="GSRL4numberedclause"/>
        <w:spacing w:line="276" w:lineRule="auto"/>
      </w:pPr>
      <w:r w:rsidRPr="001A1836">
        <w:lastRenderedPageBreak/>
        <w:t xml:space="preserve">The Provider shall ensure that </w:t>
      </w:r>
      <w:r w:rsidR="005F7A5D" w:rsidRPr="001A1836">
        <w:t>Consumers</w:t>
      </w:r>
      <w:r w:rsidR="00F72733" w:rsidRPr="001A1836">
        <w:t xml:space="preserve"> </w:t>
      </w:r>
      <w:r w:rsidRPr="001A1836">
        <w:t xml:space="preserve">are able to </w:t>
      </w:r>
      <w:r w:rsidR="00C2487C" w:rsidRPr="001A1836">
        <w:t>nominate work for</w:t>
      </w:r>
      <w:r w:rsidR="00CE62D9">
        <w:t xml:space="preserve"> Competency Check</w:t>
      </w:r>
      <w:r w:rsidR="00F72733" w:rsidRPr="001A1836">
        <w:t xml:space="preserve"> by informing the </w:t>
      </w:r>
      <w:r w:rsidR="0086594C" w:rsidRPr="001A1836">
        <w:t>Provider</w:t>
      </w:r>
      <w:r w:rsidR="00F72733" w:rsidRPr="001A1836">
        <w:t xml:space="preserve"> </w:t>
      </w:r>
      <w:r w:rsidR="002C670E" w:rsidRPr="001A1836">
        <w:t xml:space="preserve">(by phone </w:t>
      </w:r>
      <w:r w:rsidRPr="001A1836">
        <w:t xml:space="preserve">using a dedicated </w:t>
      </w:r>
      <w:r w:rsidR="005505A7" w:rsidRPr="001A1836">
        <w:t>c</w:t>
      </w:r>
      <w:r w:rsidRPr="001A1836">
        <w:t xml:space="preserve">onsumer helpline telephone number </w:t>
      </w:r>
      <w:r w:rsidR="002C670E" w:rsidRPr="001A1836">
        <w:t xml:space="preserve">or online) </w:t>
      </w:r>
      <w:r w:rsidR="00F72733" w:rsidRPr="001A1836">
        <w:t>about</w:t>
      </w:r>
      <w:r w:rsidR="00A92E78" w:rsidRPr="001A1836">
        <w:t xml:space="preserve"> </w:t>
      </w:r>
      <w:r w:rsidR="005505A7" w:rsidRPr="001A1836">
        <w:t>G</w:t>
      </w:r>
      <w:r w:rsidR="00A92E78" w:rsidRPr="001A1836">
        <w:t xml:space="preserve">as </w:t>
      </w:r>
      <w:r w:rsidR="005505A7" w:rsidRPr="001A1836">
        <w:t>W</w:t>
      </w:r>
      <w:r w:rsidR="00F72733" w:rsidRPr="001A1836">
        <w:t xml:space="preserve">ork they have had completed recently, which they would like inspected. </w:t>
      </w:r>
    </w:p>
    <w:p w14:paraId="069E18CA" w14:textId="77777777" w:rsidR="00B02769" w:rsidRPr="001A1836" w:rsidRDefault="007A5EA1">
      <w:pPr>
        <w:pStyle w:val="GSRL4numberedclause"/>
        <w:spacing w:line="276" w:lineRule="auto"/>
      </w:pPr>
      <w:r w:rsidRPr="001A1836">
        <w:t xml:space="preserve">Provider shall have a system to ensure calls </w:t>
      </w:r>
      <w:r w:rsidR="0020021A" w:rsidRPr="001A1836">
        <w:t>are routed</w:t>
      </w:r>
      <w:r w:rsidRPr="001A1836">
        <w:t xml:space="preserve"> to the correct team. The Contact Centre </w:t>
      </w:r>
      <w:r w:rsidR="00132B9D" w:rsidRPr="001A1836">
        <w:t xml:space="preserve">staff </w:t>
      </w:r>
      <w:r w:rsidRPr="001A1836">
        <w:t xml:space="preserve">should develop sufficient knowledge to respond to the majority of calls without the need to transfer. </w:t>
      </w:r>
      <w:r w:rsidR="00B02769" w:rsidRPr="001A1836">
        <w:t xml:space="preserve">Systems should include routes for </w:t>
      </w:r>
      <w:r w:rsidR="00373435" w:rsidRPr="001A1836">
        <w:t xml:space="preserve">dealing with </w:t>
      </w:r>
      <w:r w:rsidR="00B02769" w:rsidRPr="001A1836">
        <w:t>enquiries whi</w:t>
      </w:r>
      <w:r w:rsidR="0020021A" w:rsidRPr="001A1836">
        <w:t>ch do not relate to HSE enforcement issues such as</w:t>
      </w:r>
      <w:r w:rsidR="00B02769" w:rsidRPr="001A1836">
        <w:t xml:space="preserve"> Building Regulations compliance. </w:t>
      </w:r>
      <w:r w:rsidR="0020021A" w:rsidRPr="001A1836">
        <w:t>Such enquiries</w:t>
      </w:r>
      <w:r w:rsidR="00B02769" w:rsidRPr="001A1836">
        <w:t xml:space="preserve"> </w:t>
      </w:r>
      <w:r w:rsidR="00CF5F1E" w:rsidRPr="001A1836">
        <w:t>shall</w:t>
      </w:r>
      <w:r w:rsidR="00B02769" w:rsidRPr="001A1836">
        <w:t xml:space="preserve"> still need to be monitored for volumes and included in regular performance reports.</w:t>
      </w:r>
    </w:p>
    <w:p w14:paraId="069E18CB" w14:textId="77777777" w:rsidR="00B02769" w:rsidRPr="001A1836" w:rsidRDefault="00B02769" w:rsidP="007A29C3">
      <w:pPr>
        <w:rPr>
          <w:i/>
        </w:rPr>
      </w:pPr>
      <w:bookmarkStart w:id="266" w:name="_Toc501354455"/>
      <w:bookmarkStart w:id="267" w:name="_Toc521496218"/>
      <w:r w:rsidRPr="001A1836">
        <w:rPr>
          <w:i/>
        </w:rPr>
        <w:t>Engineer services</w:t>
      </w:r>
      <w:bookmarkEnd w:id="266"/>
      <w:bookmarkEnd w:id="267"/>
    </w:p>
    <w:p w14:paraId="069E18CC" w14:textId="77777777" w:rsidR="00B02769" w:rsidRPr="001A1836" w:rsidRDefault="00650568">
      <w:pPr>
        <w:pStyle w:val="GSRL4numberedclause"/>
        <w:spacing w:line="276" w:lineRule="auto"/>
      </w:pPr>
      <w:r w:rsidRPr="001A1836">
        <w:t xml:space="preserve">The </w:t>
      </w:r>
      <w:r w:rsidR="00B02769" w:rsidRPr="001A1836">
        <w:t>Provide</w:t>
      </w:r>
      <w:r w:rsidRPr="001A1836">
        <w:t xml:space="preserve">r </w:t>
      </w:r>
      <w:r w:rsidR="00C73F8E" w:rsidRPr="001A1836">
        <w:t>shall operate and advertise</w:t>
      </w:r>
      <w:r w:rsidR="00B02769" w:rsidRPr="001A1836">
        <w:t xml:space="preserve"> a separate phone</w:t>
      </w:r>
      <w:r w:rsidR="00C73F8E" w:rsidRPr="001A1836">
        <w:t xml:space="preserve"> </w:t>
      </w:r>
      <w:r w:rsidR="00B02769" w:rsidRPr="001A1836">
        <w:t xml:space="preserve">line and email address for </w:t>
      </w:r>
      <w:r w:rsidR="00B75BCE" w:rsidRPr="001A1836">
        <w:t>R</w:t>
      </w:r>
      <w:r w:rsidR="00B02769" w:rsidRPr="001A1836">
        <w:t xml:space="preserve">egistered </w:t>
      </w:r>
      <w:r w:rsidR="00B75BCE" w:rsidRPr="001A1836">
        <w:t>B</w:t>
      </w:r>
      <w:r w:rsidR="00B02769" w:rsidRPr="001A1836">
        <w:t xml:space="preserve">usinesses and </w:t>
      </w:r>
      <w:r w:rsidR="00B75BCE" w:rsidRPr="001A1836">
        <w:t>E</w:t>
      </w:r>
      <w:r w:rsidR="00B02769" w:rsidRPr="001A1836">
        <w:t xml:space="preserve">ngineers to </w:t>
      </w:r>
      <w:r w:rsidR="00373435" w:rsidRPr="001A1836">
        <w:t>raise</w:t>
      </w:r>
      <w:r w:rsidR="00B02769" w:rsidRPr="001A1836">
        <w:t xml:space="preserve"> any queries relating to their registration.</w:t>
      </w:r>
    </w:p>
    <w:p w14:paraId="069E18CD" w14:textId="77777777" w:rsidR="00B02769" w:rsidRPr="001A1836" w:rsidRDefault="00B02769" w:rsidP="007A29C3">
      <w:pPr>
        <w:rPr>
          <w:i/>
        </w:rPr>
      </w:pPr>
      <w:bookmarkStart w:id="268" w:name="_Toc501354456"/>
      <w:bookmarkStart w:id="269" w:name="_Toc521496219"/>
      <w:r w:rsidRPr="001A1836">
        <w:rPr>
          <w:i/>
        </w:rPr>
        <w:t>Technical helpline</w:t>
      </w:r>
      <w:bookmarkEnd w:id="268"/>
      <w:bookmarkEnd w:id="269"/>
    </w:p>
    <w:p w14:paraId="069E18CE" w14:textId="79013DF1" w:rsidR="001C2A00" w:rsidRPr="001A1836" w:rsidRDefault="00650568">
      <w:pPr>
        <w:pStyle w:val="GSRL4numberedclause"/>
        <w:spacing w:line="276" w:lineRule="auto"/>
      </w:pPr>
      <w:r w:rsidRPr="001A1836">
        <w:t xml:space="preserve">The Provider </w:t>
      </w:r>
      <w:r w:rsidR="00562AC6" w:rsidRPr="001A1836">
        <w:t>shall operate</w:t>
      </w:r>
      <w:r w:rsidR="00B02769" w:rsidRPr="001A1836">
        <w:t xml:space="preserve"> </w:t>
      </w:r>
      <w:r w:rsidR="00FA4352" w:rsidRPr="001A1836">
        <w:t xml:space="preserve">and advertise a separate </w:t>
      </w:r>
      <w:r w:rsidR="00B02769" w:rsidRPr="001A1836">
        <w:t>phone</w:t>
      </w:r>
      <w:r w:rsidR="00FA4352" w:rsidRPr="001A1836">
        <w:t xml:space="preserve"> </w:t>
      </w:r>
      <w:r w:rsidR="00B02769" w:rsidRPr="001A1836">
        <w:t xml:space="preserve">line and email address for </w:t>
      </w:r>
      <w:r w:rsidR="00B75BCE" w:rsidRPr="001A1836">
        <w:t>R</w:t>
      </w:r>
      <w:r w:rsidR="00B02769" w:rsidRPr="001A1836">
        <w:t xml:space="preserve">egistered </w:t>
      </w:r>
      <w:r w:rsidR="00B75BCE" w:rsidRPr="001A1836">
        <w:t>B</w:t>
      </w:r>
      <w:r w:rsidR="00B02769" w:rsidRPr="001A1836">
        <w:t xml:space="preserve">usinesses and </w:t>
      </w:r>
      <w:r w:rsidR="00B75BCE" w:rsidRPr="001A1836">
        <w:t>E</w:t>
      </w:r>
      <w:r w:rsidR="00B02769" w:rsidRPr="001A1836">
        <w:t>ngineers to access a team of experienced gas engineers, offering support with decision making</w:t>
      </w:r>
      <w:r w:rsidR="00B75BCE" w:rsidRPr="001A1836">
        <w:t xml:space="preserve"> to address technical issues</w:t>
      </w:r>
      <w:r w:rsidR="00B02769" w:rsidRPr="001A1836">
        <w:t>.</w:t>
      </w:r>
      <w:r w:rsidR="00C86FCE">
        <w:t xml:space="preserve"> Where appropriate, the technical helpline shall also support gas consumer and enforcement bodies enquiries</w:t>
      </w:r>
      <w:r w:rsidR="007E64CE">
        <w:t>.</w:t>
      </w:r>
    </w:p>
    <w:p w14:paraId="069E18CF" w14:textId="77777777" w:rsidR="001C2A00" w:rsidRPr="001A1836" w:rsidRDefault="001C2A00" w:rsidP="007A29C3">
      <w:pPr>
        <w:rPr>
          <w:b/>
          <w:i/>
        </w:rPr>
      </w:pPr>
      <w:bookmarkStart w:id="270" w:name="_Toc501354461"/>
      <w:bookmarkStart w:id="271" w:name="_Toc503522947"/>
      <w:bookmarkStart w:id="272" w:name="_Toc507743977"/>
      <w:bookmarkStart w:id="273" w:name="_Toc521326955"/>
      <w:bookmarkStart w:id="274" w:name="_Toc521484709"/>
      <w:bookmarkStart w:id="275" w:name="_Toc521485040"/>
      <w:bookmarkStart w:id="276" w:name="_Toc521496220"/>
      <w:r w:rsidRPr="001A1836">
        <w:rPr>
          <w:b/>
          <w:i/>
        </w:rPr>
        <w:t>Registered Gas Engineer magazine</w:t>
      </w:r>
      <w:bookmarkEnd w:id="270"/>
      <w:bookmarkEnd w:id="271"/>
      <w:bookmarkEnd w:id="272"/>
      <w:bookmarkEnd w:id="273"/>
      <w:bookmarkEnd w:id="274"/>
      <w:bookmarkEnd w:id="275"/>
      <w:bookmarkEnd w:id="276"/>
    </w:p>
    <w:p w14:paraId="069E18D0" w14:textId="2D04F3B8" w:rsidR="001C2A00" w:rsidRPr="001A1836" w:rsidRDefault="001C2A00">
      <w:pPr>
        <w:pStyle w:val="GSRL4numberedclause"/>
        <w:spacing w:line="276" w:lineRule="auto"/>
      </w:pPr>
      <w:r w:rsidRPr="001A1836">
        <w:t xml:space="preserve">The Provider shall publish (in hard copy and electronic format) a </w:t>
      </w:r>
      <w:r w:rsidR="00117861">
        <w:t>bi-</w:t>
      </w:r>
      <w:r w:rsidRPr="001A1836">
        <w:t xml:space="preserve">monthly news and information magazine aimed at registered </w:t>
      </w:r>
      <w:r w:rsidR="005D3CA8" w:rsidRPr="001A1836">
        <w:t>B</w:t>
      </w:r>
      <w:r w:rsidRPr="001A1836">
        <w:t xml:space="preserve">usinesses and </w:t>
      </w:r>
      <w:r w:rsidR="005D3CA8" w:rsidRPr="001A1836">
        <w:t>E</w:t>
      </w:r>
      <w:r w:rsidRPr="001A1836">
        <w:t xml:space="preserve">ngineers to keep them up to date with important news, technical information and features regarding gas safety. </w:t>
      </w:r>
    </w:p>
    <w:p w14:paraId="069E18D1" w14:textId="77777777" w:rsidR="00A955E0" w:rsidRPr="001A1836" w:rsidRDefault="00A955E0">
      <w:pPr>
        <w:pStyle w:val="GSRL4numberedclause"/>
        <w:spacing w:line="276" w:lineRule="auto"/>
      </w:pPr>
      <w:r w:rsidRPr="001A1836">
        <w:t>The Provider shall be required to ensure the quality and accuracy of information provided and outline the editorial process</w:t>
      </w:r>
      <w:r w:rsidR="00E27130" w:rsidRPr="001A1836">
        <w:t>, to be agreed with HSE prior to the Services Start Date</w:t>
      </w:r>
      <w:r w:rsidRPr="001A1836">
        <w:t>.</w:t>
      </w:r>
    </w:p>
    <w:p w14:paraId="069E18D2" w14:textId="77777777" w:rsidR="001C2A00" w:rsidRPr="001A1836" w:rsidRDefault="00A76ABA">
      <w:pPr>
        <w:pStyle w:val="GSRL4numberedclause"/>
        <w:spacing w:line="276" w:lineRule="auto"/>
      </w:pPr>
      <w:r w:rsidRPr="001A1836">
        <w:t>Each registered B</w:t>
      </w:r>
      <w:r w:rsidR="001C2A00" w:rsidRPr="001A1836">
        <w:t xml:space="preserve">usiness </w:t>
      </w:r>
      <w:r w:rsidRPr="001A1836">
        <w:t>shall</w:t>
      </w:r>
      <w:r w:rsidR="001C2A00" w:rsidRPr="001A1836">
        <w:t xml:space="preserve"> receive one hard copy of the magazine free of charge with the option to purchase additional copies.</w:t>
      </w:r>
    </w:p>
    <w:p w14:paraId="069E18D3" w14:textId="77777777" w:rsidR="001C2A00" w:rsidRPr="001A1836" w:rsidRDefault="001C2A00">
      <w:pPr>
        <w:pStyle w:val="GSRL4numberedclause"/>
        <w:spacing w:line="276" w:lineRule="auto"/>
      </w:pPr>
      <w:r w:rsidRPr="001A1836">
        <w:rPr>
          <w:color w:val="000000"/>
        </w:rPr>
        <w:t xml:space="preserve">The magazine </w:t>
      </w:r>
      <w:r w:rsidR="00A76ABA" w:rsidRPr="001A1836">
        <w:rPr>
          <w:color w:val="000000"/>
        </w:rPr>
        <w:t>must</w:t>
      </w:r>
      <w:r w:rsidRPr="001A1836">
        <w:rPr>
          <w:color w:val="000000"/>
        </w:rPr>
        <w:t xml:space="preserve"> be: </w:t>
      </w:r>
    </w:p>
    <w:p w14:paraId="069E18D4" w14:textId="77777777" w:rsidR="001C2A00" w:rsidRPr="001A1836" w:rsidRDefault="001C2A00">
      <w:pPr>
        <w:pStyle w:val="GSRL5numberedclause"/>
        <w:spacing w:line="276" w:lineRule="auto"/>
      </w:pPr>
      <w:r w:rsidRPr="001A1836">
        <w:t xml:space="preserve">funded from advertising or other sources; </w:t>
      </w:r>
    </w:p>
    <w:p w14:paraId="069E18D5" w14:textId="77777777" w:rsidR="001C2A00" w:rsidRPr="001A1836" w:rsidRDefault="001C2A00">
      <w:pPr>
        <w:pStyle w:val="GSRL5numberedclause"/>
        <w:spacing w:line="276" w:lineRule="auto"/>
      </w:pPr>
      <w:r w:rsidRPr="001A1836">
        <w:t xml:space="preserve">not-for-profit over the </w:t>
      </w:r>
      <w:r w:rsidR="005505A7" w:rsidRPr="001A1836">
        <w:t>T</w:t>
      </w:r>
      <w:r w:rsidRPr="001A1836">
        <w:t xml:space="preserve">erm, in that Provider may cover its costs; </w:t>
      </w:r>
    </w:p>
    <w:p w14:paraId="069E18D6" w14:textId="77777777" w:rsidR="001C2A00" w:rsidRPr="001A1836" w:rsidRDefault="00A76ABA">
      <w:pPr>
        <w:pStyle w:val="GSRL5numberedclause"/>
        <w:spacing w:line="276" w:lineRule="auto"/>
      </w:pPr>
      <w:r w:rsidRPr="001A1836">
        <w:t xml:space="preserve">offered </w:t>
      </w:r>
      <w:r w:rsidR="001C2A00" w:rsidRPr="001A1836">
        <w:t xml:space="preserve">at a nominal charge </w:t>
      </w:r>
      <w:r w:rsidRPr="001A1836">
        <w:t xml:space="preserve">(to be agreed with HSE) </w:t>
      </w:r>
      <w:r w:rsidR="001C2A00" w:rsidRPr="001A1836">
        <w:t>to any person who is not a Registered Business or Registered Engineer; and</w:t>
      </w:r>
    </w:p>
    <w:p w14:paraId="4C77E7A1" w14:textId="679119E1" w:rsidR="00B82F42" w:rsidRDefault="001C2A00">
      <w:pPr>
        <w:pStyle w:val="GSRL5numberedclause"/>
        <w:spacing w:line="276" w:lineRule="auto"/>
      </w:pPr>
      <w:r w:rsidRPr="001A1836">
        <w:t xml:space="preserve">made available free of charge </w:t>
      </w:r>
      <w:r w:rsidR="0035532D" w:rsidRPr="001A1836">
        <w:t xml:space="preserve">in electronic format, including </w:t>
      </w:r>
      <w:r w:rsidRPr="001A1836">
        <w:t xml:space="preserve">as a tablet edition (iPad and Android) enabling </w:t>
      </w:r>
      <w:r w:rsidR="005505A7" w:rsidRPr="001A1836">
        <w:t>R</w:t>
      </w:r>
      <w:r w:rsidRPr="001A1836">
        <w:t>egistered Businesses and Engineers to access back issues on demand</w:t>
      </w:r>
      <w:r w:rsidR="00B82F42">
        <w:t xml:space="preserve">; </w:t>
      </w:r>
    </w:p>
    <w:p w14:paraId="2AC726DF" w14:textId="2348FDEC" w:rsidR="00B82F42" w:rsidRDefault="00B82F42" w:rsidP="00B82F42">
      <w:pPr>
        <w:pStyle w:val="GSRL5numberedclause"/>
      </w:pPr>
      <w:r>
        <w:t>able to provide a facility for the Registered Business or Engineer to electronically opt-out of a paper copy at any time; and</w:t>
      </w:r>
    </w:p>
    <w:p w14:paraId="069E18D7" w14:textId="529A3D65" w:rsidR="001C2A00" w:rsidRPr="001A1836" w:rsidRDefault="00B82F42" w:rsidP="00B82F42">
      <w:pPr>
        <w:pStyle w:val="GSRL5numberedclause"/>
      </w:pPr>
      <w:r>
        <w:t>in line with the Sender Policy Framework to overcome any potential electronic delivery issues</w:t>
      </w:r>
      <w:r w:rsidR="001C2A00" w:rsidRPr="001A1836">
        <w:t>.</w:t>
      </w:r>
    </w:p>
    <w:p w14:paraId="069E18D8" w14:textId="41E51889" w:rsidR="00B02769" w:rsidRDefault="001C2A00">
      <w:pPr>
        <w:pStyle w:val="GSRL4numberedclause"/>
        <w:spacing w:line="276" w:lineRule="auto"/>
      </w:pPr>
      <w:r w:rsidRPr="001A1836">
        <w:lastRenderedPageBreak/>
        <w:t xml:space="preserve">The Provider shall, prior to the completion of the transition period, develop advertising rules for the magazine which </w:t>
      </w:r>
      <w:r w:rsidR="00CF5F1E" w:rsidRPr="001A1836">
        <w:t>shall</w:t>
      </w:r>
      <w:r w:rsidRPr="001A1836">
        <w:t xml:space="preserve"> be subject to HSE approval.</w:t>
      </w:r>
    </w:p>
    <w:p w14:paraId="0CEB26F3" w14:textId="25D3CDAC" w:rsidR="00B82F42" w:rsidRPr="001A1836" w:rsidRDefault="00B82F42" w:rsidP="00B82F42">
      <w:pPr>
        <w:pStyle w:val="GSRL4numberedclause"/>
      </w:pPr>
      <w:r w:rsidRPr="00B82F42">
        <w:t xml:space="preserve">The Provider shall also </w:t>
      </w:r>
      <w:r w:rsidR="00326C49">
        <w:t>prepare</w:t>
      </w:r>
      <w:r w:rsidRPr="00B82F42">
        <w:t xml:space="preserve"> </w:t>
      </w:r>
      <w:r>
        <w:t xml:space="preserve">and circulate (in compliance with Data Protection Legislation) </w:t>
      </w:r>
      <w:r w:rsidRPr="00B82F42">
        <w:t>a monthly electronic newsletter aime</w:t>
      </w:r>
      <w:r>
        <w:t>d at Registered Businesses and E</w:t>
      </w:r>
      <w:r w:rsidRPr="00B82F42">
        <w:t>ngineers to keep them up to date with important news and technical information</w:t>
      </w:r>
      <w:r>
        <w:t>.</w:t>
      </w:r>
    </w:p>
    <w:p w14:paraId="069E18D9" w14:textId="77777777" w:rsidR="00322960" w:rsidRPr="001A1836" w:rsidRDefault="00322960" w:rsidP="007A29C3">
      <w:pPr>
        <w:rPr>
          <w:b/>
          <w:i/>
        </w:rPr>
      </w:pPr>
      <w:bookmarkStart w:id="277" w:name="_Toc521326956"/>
      <w:bookmarkStart w:id="278" w:name="_Toc521484710"/>
      <w:bookmarkStart w:id="279" w:name="_Toc521485041"/>
      <w:bookmarkStart w:id="280" w:name="_Toc521496221"/>
      <w:r w:rsidRPr="001A1836">
        <w:rPr>
          <w:b/>
          <w:i/>
        </w:rPr>
        <w:t>Access to Standards</w:t>
      </w:r>
      <w:bookmarkEnd w:id="277"/>
      <w:bookmarkEnd w:id="278"/>
      <w:bookmarkEnd w:id="279"/>
      <w:bookmarkEnd w:id="280"/>
    </w:p>
    <w:p w14:paraId="069E18DA" w14:textId="56BFCEB0" w:rsidR="00322960" w:rsidRDefault="00322960">
      <w:pPr>
        <w:pStyle w:val="GSRL4numberedclause"/>
        <w:jc w:val="left"/>
      </w:pPr>
      <w:r w:rsidRPr="001A1836">
        <w:t xml:space="preserve">The Provider shall facilitate via a subscription service access to key industry </w:t>
      </w:r>
      <w:r w:rsidR="003D33C5" w:rsidRPr="001A1836">
        <w:t>s</w:t>
      </w:r>
      <w:r w:rsidRPr="001A1836">
        <w:t>tandards. The range of Standards shall cover natural gas, LPG, domestic, commercial and industrial gas installations (32 IGEM, 36 BSI, 16 UKLPG). Access to Standards is an additional cost on top of Gas Safe registration.</w:t>
      </w:r>
    </w:p>
    <w:p w14:paraId="17690956" w14:textId="4C2167A4" w:rsidR="00545BA6" w:rsidRPr="00545BA6" w:rsidRDefault="00545BA6" w:rsidP="00545BA6">
      <w:pPr>
        <w:pStyle w:val="GSRL4numberedclause"/>
        <w:numPr>
          <w:ilvl w:val="0"/>
          <w:numId w:val="0"/>
        </w:numPr>
        <w:jc w:val="left"/>
        <w:rPr>
          <w:b/>
          <w:i/>
        </w:rPr>
      </w:pPr>
      <w:r w:rsidRPr="00545BA6">
        <w:rPr>
          <w:b/>
          <w:i/>
        </w:rPr>
        <w:t>Online resources for Registered Engineers</w:t>
      </w:r>
    </w:p>
    <w:p w14:paraId="4DEA0B06" w14:textId="200E0EA0" w:rsidR="00545BA6" w:rsidRDefault="00545BA6" w:rsidP="00545BA6">
      <w:pPr>
        <w:pStyle w:val="GSRL4numberedclause"/>
      </w:pPr>
      <w:r>
        <w:t>Where authentication is required to access the website to be provide</w:t>
      </w:r>
      <w:r w:rsidR="00A269B9">
        <w:t>d and maintained by the Provider</w:t>
      </w:r>
      <w:r>
        <w:t xml:space="preserve"> pursuant to paragraph 7.3, the Provider shall ensure that 2- or multi-factor authentication shall be used. The Provider should make available a range of information and benefits including:</w:t>
      </w:r>
    </w:p>
    <w:p w14:paraId="26B5B86D" w14:textId="48131261" w:rsidR="00545BA6" w:rsidRDefault="00545BA6" w:rsidP="00545BA6">
      <w:pPr>
        <w:pStyle w:val="GSRL5numberedclause"/>
      </w:pPr>
      <w:r>
        <w:t>safety alerts;</w:t>
      </w:r>
    </w:p>
    <w:p w14:paraId="2470FFDF" w14:textId="7ED83866" w:rsidR="00545BA6" w:rsidRDefault="00545BA6" w:rsidP="00545BA6">
      <w:pPr>
        <w:pStyle w:val="GSRL5numberedclause"/>
      </w:pPr>
      <w:r>
        <w:t>technical bulletins;</w:t>
      </w:r>
    </w:p>
    <w:p w14:paraId="1E14D26C" w14:textId="394C71E0" w:rsidR="00545BA6" w:rsidRDefault="00545BA6" w:rsidP="00545BA6">
      <w:pPr>
        <w:pStyle w:val="GSRL5numberedclause"/>
      </w:pPr>
      <w:r>
        <w:t>gas industry unsafe procedures;</w:t>
      </w:r>
    </w:p>
    <w:p w14:paraId="1FD94CDB" w14:textId="1F8C9D1A" w:rsidR="00545BA6" w:rsidRDefault="00545BA6" w:rsidP="00545BA6">
      <w:pPr>
        <w:pStyle w:val="GSRL5numberedclause"/>
      </w:pPr>
      <w:r>
        <w:t>legislative, normative and informative documents;</w:t>
      </w:r>
    </w:p>
    <w:p w14:paraId="51BCD867" w14:textId="60BC9AAB" w:rsidR="00545BA6" w:rsidRDefault="00545BA6" w:rsidP="00545BA6">
      <w:pPr>
        <w:pStyle w:val="GSRL5numberedclause"/>
      </w:pPr>
      <w:r>
        <w:t xml:space="preserve">access to key industry Standards at an optional and additional subscription cost (i.e. on top of Gas Safe registration) as referred to in paragraph 7.29,; and </w:t>
      </w:r>
    </w:p>
    <w:p w14:paraId="6E663C4E" w14:textId="2906024C" w:rsidR="00545BA6" w:rsidRDefault="00545BA6" w:rsidP="00545BA6">
      <w:pPr>
        <w:pStyle w:val="GSRL5numberedclause"/>
      </w:pPr>
      <w:r>
        <w:t>quick and easy notification to report work notifiable under Building Regulations.</w:t>
      </w:r>
    </w:p>
    <w:p w14:paraId="7587F62A" w14:textId="6A74F98F" w:rsidR="00545BA6" w:rsidRPr="001A1836" w:rsidRDefault="00545BA6" w:rsidP="00207185">
      <w:pPr>
        <w:pStyle w:val="GSRL4numberedclause"/>
        <w:tabs>
          <w:tab w:val="clear" w:pos="720"/>
          <w:tab w:val="clear" w:pos="1134"/>
          <w:tab w:val="left" w:pos="709"/>
        </w:tabs>
      </w:pPr>
      <w:r>
        <w:tab/>
        <w:t xml:space="preserve">There must be the facility for engineers to access, on demand, their own data held by the Register. This includes expiry of registration and competencies, personal details, </w:t>
      </w:r>
      <w:r w:rsidR="00313A1B">
        <w:t>C</w:t>
      </w:r>
      <w:r>
        <w:t xml:space="preserve">ompetency </w:t>
      </w:r>
      <w:r w:rsidR="00313A1B">
        <w:t>C</w:t>
      </w:r>
      <w:r>
        <w:t>heck reports and ongoing account activities.</w:t>
      </w:r>
    </w:p>
    <w:p w14:paraId="069E18DB" w14:textId="77777777" w:rsidR="002837B3" w:rsidRPr="001A1836" w:rsidRDefault="002837B3">
      <w:pPr>
        <w:pStyle w:val="GSRL3heading"/>
        <w:spacing w:line="276" w:lineRule="auto"/>
      </w:pPr>
      <w:bookmarkStart w:id="281" w:name="_Toc501354457"/>
      <w:bookmarkStart w:id="282" w:name="_Toc507743978"/>
      <w:bookmarkStart w:id="283" w:name="_Toc521326957"/>
      <w:bookmarkStart w:id="284" w:name="_Toc521333202"/>
      <w:bookmarkStart w:id="285" w:name="_Toc521483960"/>
      <w:bookmarkStart w:id="286" w:name="_Toc521484711"/>
      <w:bookmarkStart w:id="287" w:name="_Toc521485042"/>
      <w:bookmarkStart w:id="288" w:name="_Toc521496222"/>
      <w:bookmarkStart w:id="289" w:name="_Toc521496762"/>
      <w:bookmarkStart w:id="290" w:name="_Toc521498204"/>
      <w:bookmarkStart w:id="291" w:name="_Toc521500288"/>
      <w:bookmarkStart w:id="292" w:name="_Toc529345942"/>
      <w:bookmarkStart w:id="293" w:name="_Toc129038135"/>
      <w:bookmarkStart w:id="294" w:name="_Toc129038421"/>
      <w:bookmarkStart w:id="295" w:name="_Toc132267991"/>
      <w:bookmarkStart w:id="296" w:name="_Toc132268297"/>
      <w:bookmarkStart w:id="297" w:name="_Toc136198546"/>
      <w:bookmarkStart w:id="298" w:name="_Toc136198827"/>
      <w:r w:rsidRPr="001A1836">
        <w:t>Ensure relevant safety information is available to all</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069E18DC" w14:textId="77777777" w:rsidR="005D24F5" w:rsidRPr="001A1836" w:rsidRDefault="002837B3">
      <w:pPr>
        <w:pStyle w:val="GSRL4numberedclause"/>
        <w:spacing w:line="276" w:lineRule="auto"/>
      </w:pPr>
      <w:bookmarkStart w:id="299" w:name="OLE_LINK5"/>
      <w:bookmarkStart w:id="300" w:name="OLE_LINK6"/>
      <w:r w:rsidRPr="001A1836">
        <w:t xml:space="preserve">The </w:t>
      </w:r>
      <w:r w:rsidR="0086594C" w:rsidRPr="001A1836">
        <w:t>Provider</w:t>
      </w:r>
      <w:r w:rsidRPr="001A1836">
        <w:t xml:space="preserve"> </w:t>
      </w:r>
      <w:r w:rsidR="00076EA6" w:rsidRPr="001A1836">
        <w:t xml:space="preserve">shall </w:t>
      </w:r>
      <w:r w:rsidRPr="001A1836">
        <w:t xml:space="preserve">enable </w:t>
      </w:r>
      <w:r w:rsidR="00637576" w:rsidRPr="001A1836">
        <w:t>R</w:t>
      </w:r>
      <w:r w:rsidR="00754088" w:rsidRPr="001A1836">
        <w:t xml:space="preserve">egistered </w:t>
      </w:r>
      <w:r w:rsidR="00A76ABA" w:rsidRPr="001A1836">
        <w:t>B</w:t>
      </w:r>
      <w:r w:rsidRPr="001A1836">
        <w:t>usinesses</w:t>
      </w:r>
      <w:r w:rsidR="00637576" w:rsidRPr="001A1836">
        <w:t xml:space="preserve"> and </w:t>
      </w:r>
      <w:r w:rsidR="00A76ABA" w:rsidRPr="001A1836">
        <w:t xml:space="preserve">Engineers, </w:t>
      </w:r>
      <w:r w:rsidRPr="001A1836">
        <w:t>HSE</w:t>
      </w:r>
      <w:r w:rsidR="00DC4C3A" w:rsidRPr="001A1836">
        <w:t>, local a</w:t>
      </w:r>
      <w:r w:rsidR="00A92E78" w:rsidRPr="001A1836">
        <w:t>uthorities</w:t>
      </w:r>
      <w:r w:rsidR="00A76ABA" w:rsidRPr="001A1836">
        <w:t xml:space="preserve"> and</w:t>
      </w:r>
      <w:r w:rsidRPr="001A1836">
        <w:t xml:space="preserve"> others to alert it to any information about significant technical or operational failings</w:t>
      </w:r>
      <w:r w:rsidR="002836EB" w:rsidRPr="001A1836">
        <w:t>,</w:t>
      </w:r>
      <w:r w:rsidRPr="001A1836">
        <w:t xml:space="preserve"> or shortfalls in the instructions provided for the installation or operation of gas appliances, and </w:t>
      </w:r>
      <w:r w:rsidR="004A10D4" w:rsidRPr="001A1836">
        <w:t>shall</w:t>
      </w:r>
      <w:r w:rsidRPr="001A1836">
        <w:t xml:space="preserve"> communicate these issues quickly and effectively to manufacturers or importers of gas appliances</w:t>
      </w:r>
      <w:bookmarkEnd w:id="299"/>
      <w:bookmarkEnd w:id="300"/>
      <w:r w:rsidRPr="001A1836">
        <w:t>.</w:t>
      </w:r>
    </w:p>
    <w:p w14:paraId="069E18DD" w14:textId="77777777" w:rsidR="00191402" w:rsidRPr="001A1836" w:rsidRDefault="005D24F5">
      <w:pPr>
        <w:pStyle w:val="GSRL4numberedclause"/>
        <w:spacing w:line="276" w:lineRule="auto"/>
      </w:pPr>
      <w:r w:rsidRPr="001A1836">
        <w:t xml:space="preserve">The Provider shall ensure that urgent safety information about gas appliances and installations received from manufacturers, the gas supply industry or others is </w:t>
      </w:r>
      <w:r w:rsidR="00A76ABA" w:rsidRPr="001A1836">
        <w:t>analysed quickly and shall communicate that which is safety critical to all those affected as a matter of urgency</w:t>
      </w:r>
      <w:r w:rsidRPr="001A1836">
        <w:t>.</w:t>
      </w:r>
    </w:p>
    <w:p w14:paraId="069E18DE" w14:textId="77777777" w:rsidR="00191402" w:rsidRPr="001A1836" w:rsidRDefault="00191402">
      <w:pPr>
        <w:pStyle w:val="GSRL4numberedclause"/>
        <w:spacing w:line="276" w:lineRule="auto"/>
      </w:pPr>
      <w:r w:rsidRPr="001A1836">
        <w:t xml:space="preserve">The Provider shall ensure that they use appropriate and effective channels to receive and communicate such safety information. </w:t>
      </w:r>
    </w:p>
    <w:p w14:paraId="069E18DF" w14:textId="77777777" w:rsidR="004645D3" w:rsidRPr="001A1836" w:rsidRDefault="004004FC">
      <w:pPr>
        <w:pStyle w:val="GSRL3heading"/>
        <w:spacing w:line="276" w:lineRule="auto"/>
      </w:pPr>
      <w:bookmarkStart w:id="301" w:name="_Toc501354462"/>
      <w:bookmarkStart w:id="302" w:name="_Toc507743979"/>
      <w:bookmarkStart w:id="303" w:name="_Toc521326958"/>
      <w:bookmarkStart w:id="304" w:name="_Toc521333203"/>
      <w:bookmarkStart w:id="305" w:name="_Toc521483961"/>
      <w:bookmarkStart w:id="306" w:name="_Toc521484712"/>
      <w:bookmarkStart w:id="307" w:name="_Toc521485043"/>
      <w:bookmarkStart w:id="308" w:name="_Toc521496223"/>
      <w:bookmarkStart w:id="309" w:name="_Toc521496763"/>
      <w:bookmarkStart w:id="310" w:name="_Toc521498205"/>
      <w:bookmarkStart w:id="311" w:name="_Toc521500289"/>
      <w:bookmarkStart w:id="312" w:name="_Toc529345943"/>
      <w:bookmarkStart w:id="313" w:name="_Toc129038136"/>
      <w:bookmarkStart w:id="314" w:name="_Toc129038422"/>
      <w:bookmarkStart w:id="315" w:name="_Toc132267992"/>
      <w:bookmarkStart w:id="316" w:name="_Toc132268298"/>
      <w:bookmarkStart w:id="317" w:name="_Toc136198547"/>
      <w:bookmarkStart w:id="318" w:name="_Toc136198828"/>
      <w:r w:rsidRPr="001A1836">
        <w:t>Using and m</w:t>
      </w:r>
      <w:r w:rsidR="004F18DF" w:rsidRPr="001A1836">
        <w:t>aintaining the</w:t>
      </w:r>
      <w:r w:rsidR="004645D3" w:rsidRPr="001A1836">
        <w:t xml:space="preserve"> Gas Safe Register brand</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069E18E0" w14:textId="7062AF4B" w:rsidR="00316DB6" w:rsidRPr="001A1836" w:rsidRDefault="0071596A">
      <w:pPr>
        <w:pStyle w:val="GSRL4numberedclause"/>
        <w:spacing w:line="276" w:lineRule="auto"/>
        <w:rPr>
          <w:i/>
          <w:u w:val="single"/>
        </w:rPr>
      </w:pPr>
      <w:bookmarkStart w:id="319" w:name="_Ref179095595"/>
      <w:r w:rsidRPr="001A1836">
        <w:lastRenderedPageBreak/>
        <w:t xml:space="preserve">The Provider shall refer to the Register in all communications (including publicity and marketing materials) as ‘the Gas Safe Register’ and shall use the </w:t>
      </w:r>
      <w:r w:rsidR="00190C03" w:rsidRPr="001A1836">
        <w:t>B</w:t>
      </w:r>
      <w:r w:rsidR="004645D3" w:rsidRPr="001A1836">
        <w:t xml:space="preserve">rand </w:t>
      </w:r>
      <w:r w:rsidRPr="001A1836">
        <w:t xml:space="preserve">in all communications relating to the Register. </w:t>
      </w:r>
      <w:r w:rsidR="004645D3" w:rsidRPr="001A1836">
        <w:t xml:space="preserve">The </w:t>
      </w:r>
      <w:r w:rsidR="0086594C" w:rsidRPr="001A1836">
        <w:t>Provider</w:t>
      </w:r>
      <w:r w:rsidR="004645D3" w:rsidRPr="001A1836">
        <w:t xml:space="preserve"> must maintain intellectual property protection for the </w:t>
      </w:r>
      <w:r w:rsidR="0073230D" w:rsidRPr="001A1836">
        <w:t>B</w:t>
      </w:r>
      <w:r w:rsidR="004645D3" w:rsidRPr="001A1836">
        <w:t xml:space="preserve">rand. </w:t>
      </w:r>
      <w:bookmarkStart w:id="320" w:name="_Ref188871915"/>
      <w:bookmarkEnd w:id="319"/>
      <w:r w:rsidR="004645D3" w:rsidRPr="001A1836">
        <w:t xml:space="preserve">To ensure its independence, the </w:t>
      </w:r>
      <w:r w:rsidR="003A6C82" w:rsidRPr="001A1836">
        <w:t>B</w:t>
      </w:r>
      <w:r w:rsidR="004645D3" w:rsidRPr="001A1836">
        <w:t xml:space="preserve">rand must be kept clearly separate from </w:t>
      </w:r>
      <w:r w:rsidR="00EA4C58" w:rsidRPr="001A1836">
        <w:t xml:space="preserve">and must not be associated with </w:t>
      </w:r>
      <w:r w:rsidR="004645D3" w:rsidRPr="001A1836">
        <w:t xml:space="preserve">any </w:t>
      </w:r>
      <w:r w:rsidR="0086594C" w:rsidRPr="001A1836">
        <w:t>Provider</w:t>
      </w:r>
      <w:r w:rsidR="004645D3" w:rsidRPr="001A1836">
        <w:t xml:space="preserve"> branding.</w:t>
      </w:r>
      <w:bookmarkEnd w:id="320"/>
      <w:r w:rsidR="008F13D3" w:rsidRPr="001A1836">
        <w:t xml:space="preserve"> </w:t>
      </w:r>
      <w:bookmarkStart w:id="321" w:name="_Ref188871949"/>
    </w:p>
    <w:p w14:paraId="069E18E1" w14:textId="77777777" w:rsidR="00B02769" w:rsidRPr="001A1836" w:rsidRDefault="00B02769" w:rsidP="007A29C3">
      <w:pPr>
        <w:rPr>
          <w:b/>
          <w:i/>
        </w:rPr>
      </w:pPr>
      <w:bookmarkStart w:id="322" w:name="_Toc501354463"/>
      <w:bookmarkStart w:id="323" w:name="_Toc507743980"/>
      <w:bookmarkStart w:id="324" w:name="_Toc521326959"/>
      <w:bookmarkStart w:id="325" w:name="_Toc521484713"/>
      <w:bookmarkStart w:id="326" w:name="_Toc521485044"/>
      <w:bookmarkStart w:id="327" w:name="_Toc521496224"/>
      <w:bookmarkEnd w:id="321"/>
      <w:r w:rsidRPr="001A1836">
        <w:rPr>
          <w:b/>
          <w:i/>
        </w:rPr>
        <w:t>Objectives for the Gas Safe Register brand</w:t>
      </w:r>
      <w:bookmarkEnd w:id="322"/>
      <w:bookmarkEnd w:id="323"/>
      <w:bookmarkEnd w:id="324"/>
      <w:bookmarkEnd w:id="325"/>
      <w:bookmarkEnd w:id="326"/>
      <w:bookmarkEnd w:id="327"/>
      <w:r w:rsidRPr="001A1836">
        <w:rPr>
          <w:b/>
          <w:i/>
        </w:rPr>
        <w:t xml:space="preserve"> </w:t>
      </w:r>
    </w:p>
    <w:p w14:paraId="069E18E2" w14:textId="77777777" w:rsidR="00316DB6" w:rsidRPr="001A1836" w:rsidRDefault="00B02769">
      <w:pPr>
        <w:pStyle w:val="GSRL4numberedclause"/>
        <w:spacing w:line="276" w:lineRule="auto"/>
      </w:pPr>
      <w:r w:rsidRPr="001A1836">
        <w:t xml:space="preserve">The </w:t>
      </w:r>
      <w:r w:rsidR="006446D3" w:rsidRPr="001A1836">
        <w:t xml:space="preserve">Gas Safe Register </w:t>
      </w:r>
      <w:r w:rsidRPr="001A1836">
        <w:t xml:space="preserve">brand </w:t>
      </w:r>
      <w:r w:rsidR="00E5600D" w:rsidRPr="001A1836">
        <w:t xml:space="preserve">shall be used </w:t>
      </w:r>
      <w:r w:rsidR="009E7771" w:rsidRPr="001A1836">
        <w:t xml:space="preserve">in a range of channels </w:t>
      </w:r>
      <w:r w:rsidR="00E5600D" w:rsidRPr="001A1836">
        <w:t>by the Provider to</w:t>
      </w:r>
      <w:r w:rsidRPr="001A1836">
        <w:t xml:space="preserve">: </w:t>
      </w:r>
    </w:p>
    <w:p w14:paraId="069E18E3" w14:textId="77777777" w:rsidR="00316DB6" w:rsidRPr="001A1836" w:rsidRDefault="006446D3">
      <w:pPr>
        <w:pStyle w:val="GSRL5numberedclause"/>
        <w:spacing w:line="276" w:lineRule="auto"/>
      </w:pPr>
      <w:r w:rsidRPr="001A1836">
        <w:t>promote</w:t>
      </w:r>
      <w:r w:rsidR="00B02769" w:rsidRPr="001A1836">
        <w:t xml:space="preserve"> gas safety across </w:t>
      </w:r>
      <w:r w:rsidR="00190C03" w:rsidRPr="001A1836">
        <w:t>Great Britain</w:t>
      </w:r>
      <w:r w:rsidR="00E5600D" w:rsidRPr="001A1836">
        <w:t xml:space="preserve"> and N</w:t>
      </w:r>
      <w:r w:rsidR="003F41EF" w:rsidRPr="001A1836">
        <w:t>orthern</w:t>
      </w:r>
      <w:r w:rsidR="00E5600D" w:rsidRPr="001A1836">
        <w:t xml:space="preserve"> Ireland</w:t>
      </w:r>
      <w:r w:rsidR="00B02769" w:rsidRPr="001A1836">
        <w:t xml:space="preserve">; </w:t>
      </w:r>
    </w:p>
    <w:p w14:paraId="069E18E4" w14:textId="14EBBD92" w:rsidR="00316DB6" w:rsidRPr="001A1836" w:rsidRDefault="00B02769">
      <w:pPr>
        <w:pStyle w:val="GSRL5numberedclause"/>
        <w:spacing w:line="276" w:lineRule="auto"/>
      </w:pPr>
      <w:r w:rsidRPr="001A1836">
        <w:t>be the recognised and trusted b</w:t>
      </w:r>
      <w:r w:rsidR="00A672A1" w:rsidRPr="001A1836">
        <w:t xml:space="preserve">rand for the protection of gas </w:t>
      </w:r>
      <w:r w:rsidR="005F7A5D" w:rsidRPr="001A1836">
        <w:t>Consumers</w:t>
      </w:r>
      <w:r w:rsidR="00A672A1" w:rsidRPr="001A1836">
        <w:t xml:space="preserve"> from unsafe </w:t>
      </w:r>
      <w:r w:rsidR="00190C03" w:rsidRPr="001A1836">
        <w:t>G</w:t>
      </w:r>
      <w:r w:rsidR="00A672A1" w:rsidRPr="001A1836">
        <w:t xml:space="preserve">as </w:t>
      </w:r>
      <w:r w:rsidR="00190C03" w:rsidRPr="001A1836">
        <w:t>W</w:t>
      </w:r>
      <w:r w:rsidRPr="001A1836">
        <w:t xml:space="preserve">ork; </w:t>
      </w:r>
    </w:p>
    <w:p w14:paraId="069E18E5" w14:textId="32D43E1E" w:rsidR="00316DB6" w:rsidRPr="001A1836" w:rsidRDefault="00B02769">
      <w:pPr>
        <w:pStyle w:val="GSRL5numberedclause"/>
        <w:spacing w:line="276" w:lineRule="auto"/>
      </w:pPr>
      <w:r w:rsidRPr="001A1836">
        <w:t xml:space="preserve">raise awareness of the critical gas safety measures gas </w:t>
      </w:r>
      <w:r w:rsidR="005F7A5D" w:rsidRPr="001A1836">
        <w:t>Consumers</w:t>
      </w:r>
      <w:r w:rsidRPr="001A1836">
        <w:t xml:space="preserve"> should take; </w:t>
      </w:r>
    </w:p>
    <w:p w14:paraId="069E18E6" w14:textId="5B929CA3" w:rsidR="00316DB6" w:rsidRPr="001A1836" w:rsidRDefault="00B02769">
      <w:pPr>
        <w:pStyle w:val="GSRL5numberedclause"/>
        <w:spacing w:line="276" w:lineRule="auto"/>
      </w:pPr>
      <w:r w:rsidRPr="001A1836">
        <w:t xml:space="preserve">promote the need for gas </w:t>
      </w:r>
      <w:r w:rsidR="005F7A5D" w:rsidRPr="001A1836">
        <w:t>Consumers</w:t>
      </w:r>
      <w:r w:rsidR="006446D3" w:rsidRPr="001A1836">
        <w:t xml:space="preserve"> to use only registered B</w:t>
      </w:r>
      <w:r w:rsidRPr="001A1836">
        <w:t xml:space="preserve">usinesses and </w:t>
      </w:r>
      <w:r w:rsidR="006446D3" w:rsidRPr="001A1836">
        <w:t>E</w:t>
      </w:r>
      <w:r w:rsidR="00A672A1" w:rsidRPr="001A1836">
        <w:t>ngineers</w:t>
      </w:r>
      <w:r w:rsidRPr="001A1836">
        <w:t xml:space="preserve">; </w:t>
      </w:r>
    </w:p>
    <w:p w14:paraId="069E18E7" w14:textId="0BE15E6B" w:rsidR="00316DB6" w:rsidRPr="001A1836" w:rsidRDefault="00B02769">
      <w:pPr>
        <w:pStyle w:val="GSRL5numberedclause"/>
        <w:spacing w:line="276" w:lineRule="auto"/>
      </w:pPr>
      <w:r w:rsidRPr="001A1836">
        <w:t xml:space="preserve">promote the need for </w:t>
      </w:r>
      <w:r w:rsidR="005F7A5D" w:rsidRPr="001A1836">
        <w:t>Consumers</w:t>
      </w:r>
      <w:r w:rsidR="00A672A1" w:rsidRPr="001A1836">
        <w:t xml:space="preserve"> to always ask to see a registered </w:t>
      </w:r>
      <w:r w:rsidR="006446D3" w:rsidRPr="001A1836">
        <w:t>B</w:t>
      </w:r>
      <w:r w:rsidRPr="001A1836">
        <w:t xml:space="preserve">usiness or </w:t>
      </w:r>
      <w:r w:rsidR="006446D3" w:rsidRPr="001A1836">
        <w:t>E</w:t>
      </w:r>
      <w:r w:rsidR="00A672A1" w:rsidRPr="001A1836">
        <w:t>ngineer</w:t>
      </w:r>
      <w:r w:rsidRPr="001A1836">
        <w:t xml:space="preserve"> identity card and check its validity; </w:t>
      </w:r>
    </w:p>
    <w:p w14:paraId="069E18E8" w14:textId="77777777" w:rsidR="00316DB6" w:rsidRPr="001A1836" w:rsidRDefault="00B02769">
      <w:pPr>
        <w:pStyle w:val="GSRL5numberedclause"/>
        <w:spacing w:line="276" w:lineRule="auto"/>
      </w:pPr>
      <w:r w:rsidRPr="001A1836">
        <w:t xml:space="preserve">communicate the key message that it is illegal for </w:t>
      </w:r>
      <w:r w:rsidR="00A672A1" w:rsidRPr="001A1836">
        <w:t xml:space="preserve">anyone to undertake ‘paid for’ </w:t>
      </w:r>
      <w:r w:rsidR="006446D3" w:rsidRPr="001A1836">
        <w:t>Gas W</w:t>
      </w:r>
      <w:r w:rsidR="00A672A1" w:rsidRPr="001A1836">
        <w:t>ork unless they are r</w:t>
      </w:r>
      <w:r w:rsidRPr="001A1836">
        <w:t>egistered; and</w:t>
      </w:r>
    </w:p>
    <w:p w14:paraId="069E18E9" w14:textId="5FEFEF75" w:rsidR="00B02769" w:rsidRPr="001A1836" w:rsidRDefault="00B02769">
      <w:pPr>
        <w:pStyle w:val="GSRL5numberedclause"/>
        <w:spacing w:line="276" w:lineRule="auto"/>
      </w:pPr>
      <w:r w:rsidRPr="001A1836">
        <w:t xml:space="preserve">provide gas </w:t>
      </w:r>
      <w:r w:rsidR="005F7A5D" w:rsidRPr="001A1836">
        <w:t>Consumers</w:t>
      </w:r>
      <w:r w:rsidRPr="001A1836">
        <w:t xml:space="preserve"> with essential information about gas safety and </w:t>
      </w:r>
      <w:r w:rsidR="00190C03" w:rsidRPr="001A1836">
        <w:t xml:space="preserve">risks </w:t>
      </w:r>
      <w:r w:rsidRPr="001A1836">
        <w:t>of carbon monoxide poisoning including the need to regularly service domestic gas appliances.</w:t>
      </w:r>
    </w:p>
    <w:p w14:paraId="069E18EA" w14:textId="77777777" w:rsidR="00836E14" w:rsidRPr="001A1836" w:rsidRDefault="00CB32A9" w:rsidP="007A29C3">
      <w:pPr>
        <w:rPr>
          <w:b/>
          <w:i/>
        </w:rPr>
      </w:pPr>
      <w:bookmarkStart w:id="328" w:name="_Toc507743981"/>
      <w:bookmarkStart w:id="329" w:name="_Toc521326960"/>
      <w:bookmarkStart w:id="330" w:name="_Toc521484714"/>
      <w:bookmarkStart w:id="331" w:name="_Toc521485045"/>
      <w:bookmarkStart w:id="332" w:name="_Toc521496225"/>
      <w:bookmarkEnd w:id="243"/>
      <w:bookmarkEnd w:id="244"/>
      <w:r w:rsidRPr="001A1836">
        <w:rPr>
          <w:b/>
          <w:i/>
        </w:rPr>
        <w:t>Brand marketing material</w:t>
      </w:r>
      <w:bookmarkEnd w:id="328"/>
      <w:bookmarkEnd w:id="329"/>
      <w:bookmarkEnd w:id="330"/>
      <w:bookmarkEnd w:id="331"/>
      <w:bookmarkEnd w:id="332"/>
      <w:r w:rsidR="00836E14" w:rsidRPr="001A1836">
        <w:rPr>
          <w:b/>
          <w:i/>
        </w:rPr>
        <w:t xml:space="preserve"> </w:t>
      </w:r>
    </w:p>
    <w:p w14:paraId="069E18EB" w14:textId="77777777" w:rsidR="00395397" w:rsidRPr="001A1836" w:rsidRDefault="00836E14">
      <w:pPr>
        <w:pStyle w:val="GSRL4numberedclause"/>
        <w:spacing w:line="276" w:lineRule="auto"/>
        <w:rPr>
          <w:b/>
        </w:rPr>
      </w:pPr>
      <w:r w:rsidRPr="001A1836">
        <w:t xml:space="preserve">HSE </w:t>
      </w:r>
      <w:r w:rsidR="00CB32A9" w:rsidRPr="001A1836">
        <w:t>permits the Provider to produce and sell marketing material in conjunction with third parties. Such use must be subject to HSE’s agreement prior to charging.</w:t>
      </w:r>
      <w:bookmarkStart w:id="333" w:name="_Toc188281161"/>
    </w:p>
    <w:p w14:paraId="069E18EC" w14:textId="77777777" w:rsidR="00D02BB4" w:rsidRPr="001A1836" w:rsidRDefault="00D02BB4">
      <w:pPr>
        <w:pStyle w:val="GSRL3heading"/>
        <w:spacing w:line="276" w:lineRule="auto"/>
      </w:pPr>
      <w:bookmarkStart w:id="334" w:name="_Toc501354465"/>
      <w:bookmarkStart w:id="335" w:name="_Toc507743982"/>
      <w:bookmarkStart w:id="336" w:name="_Ref508025841"/>
      <w:bookmarkStart w:id="337" w:name="_Toc521326961"/>
      <w:bookmarkStart w:id="338" w:name="_Toc521333204"/>
      <w:bookmarkStart w:id="339" w:name="_Toc521483962"/>
      <w:bookmarkStart w:id="340" w:name="_Toc521484715"/>
      <w:bookmarkStart w:id="341" w:name="_Toc521485046"/>
      <w:bookmarkStart w:id="342" w:name="_Toc521496226"/>
      <w:bookmarkStart w:id="343" w:name="_Toc521496764"/>
      <w:bookmarkStart w:id="344" w:name="_Toc521498206"/>
      <w:bookmarkStart w:id="345" w:name="_Toc521500290"/>
      <w:bookmarkStart w:id="346" w:name="_Toc529345944"/>
      <w:bookmarkStart w:id="347" w:name="_Toc129038137"/>
      <w:bookmarkStart w:id="348" w:name="_Toc129038423"/>
      <w:bookmarkStart w:id="349" w:name="_Toc132267993"/>
      <w:bookmarkStart w:id="350" w:name="_Toc132268299"/>
      <w:bookmarkStart w:id="351" w:name="_Toc136198548"/>
      <w:bookmarkStart w:id="352" w:name="_Toc136198829"/>
      <w:r w:rsidRPr="001A1836">
        <w:t>Support HSE/local authority enforcement action</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069E18ED" w14:textId="6849FD72" w:rsidR="00637576" w:rsidRPr="001A1836" w:rsidRDefault="00831439">
      <w:pPr>
        <w:pStyle w:val="GSRL4numberedclause"/>
        <w:spacing w:line="276" w:lineRule="auto"/>
      </w:pPr>
      <w:r w:rsidRPr="001A1836">
        <w:t>The</w:t>
      </w:r>
      <w:r w:rsidR="009E7771" w:rsidRPr="001A1836">
        <w:t xml:space="preserve"> Provider sha</w:t>
      </w:r>
      <w:r w:rsidR="00B47D0B" w:rsidRPr="001A1836">
        <w:t xml:space="preserve">ll </w:t>
      </w:r>
      <w:r w:rsidRPr="001A1836">
        <w:t>p</w:t>
      </w:r>
      <w:r w:rsidR="00D02BB4" w:rsidRPr="001A1836">
        <w:t xml:space="preserve">rovide </w:t>
      </w:r>
      <w:r w:rsidR="00B47D0B" w:rsidRPr="001A1836">
        <w:t xml:space="preserve">when required </w:t>
      </w:r>
      <w:r w:rsidR="00D02BB4" w:rsidRPr="001A1836">
        <w:t xml:space="preserve">ad hoc </w:t>
      </w:r>
      <w:r w:rsidR="008538D4" w:rsidRPr="001A1836">
        <w:t xml:space="preserve">on-site </w:t>
      </w:r>
      <w:r w:rsidR="00D02BB4" w:rsidRPr="001A1836">
        <w:t>support (with occasional assistance out of office hours) to HSE and local authority</w:t>
      </w:r>
      <w:r w:rsidR="000F4C96" w:rsidRPr="001A1836">
        <w:t xml:space="preserve"> </w:t>
      </w:r>
      <w:r w:rsidR="00D02BB4" w:rsidRPr="001A1836">
        <w:t>regulatory functions</w:t>
      </w:r>
      <w:r w:rsidR="008538D4" w:rsidRPr="001A1836">
        <w:t xml:space="preserve"> for a fire/explosion incident investigation</w:t>
      </w:r>
      <w:r w:rsidR="00637576" w:rsidRPr="001A1836">
        <w:t>:</w:t>
      </w:r>
    </w:p>
    <w:p w14:paraId="069E18EE" w14:textId="77777777" w:rsidR="00637576" w:rsidRPr="001A1836" w:rsidRDefault="008538D4">
      <w:pPr>
        <w:pStyle w:val="GSRL5numberedclause"/>
      </w:pPr>
      <w:r w:rsidRPr="001A1836">
        <w:t>The Provider’s incident investigator shall be competent to view gas installation pipework and appliances that may still be located in the premises or have been removed from the premises and provide a report of their findings</w:t>
      </w:r>
      <w:r w:rsidR="00FB35D0" w:rsidRPr="001A1836">
        <w:t xml:space="preserve">. </w:t>
      </w:r>
    </w:p>
    <w:p w14:paraId="069E18EF" w14:textId="77777777" w:rsidR="00316DB6" w:rsidRPr="001A1836" w:rsidRDefault="00637576">
      <w:pPr>
        <w:pStyle w:val="GSRL5numberedclause"/>
      </w:pPr>
      <w:r w:rsidRPr="001A1836">
        <w:t>The</w:t>
      </w:r>
      <w:r w:rsidR="00FB35D0" w:rsidRPr="001A1836">
        <w:t xml:space="preserve"> report</w:t>
      </w:r>
      <w:r w:rsidR="008538D4" w:rsidRPr="001A1836">
        <w:t xml:space="preserve"> shall be based factually on what gas appliance/installation was inspected/viewed on the day. </w:t>
      </w:r>
    </w:p>
    <w:p w14:paraId="069E18F0" w14:textId="1C28577E" w:rsidR="008538D4" w:rsidRPr="001A1836" w:rsidRDefault="000F4C96">
      <w:pPr>
        <w:pStyle w:val="GSRL4numberedclause"/>
        <w:spacing w:line="276" w:lineRule="auto"/>
      </w:pPr>
      <w:r w:rsidRPr="001A1836">
        <w:t xml:space="preserve">The </w:t>
      </w:r>
      <w:r w:rsidR="0086594C" w:rsidRPr="001A1836">
        <w:t>Provider</w:t>
      </w:r>
      <w:r w:rsidRPr="001A1836">
        <w:t xml:space="preserve"> </w:t>
      </w:r>
      <w:r w:rsidR="00B47D0B" w:rsidRPr="001A1836">
        <w:t xml:space="preserve">shall </w:t>
      </w:r>
      <w:r w:rsidR="005D3FB0" w:rsidRPr="001A1836">
        <w:t xml:space="preserve">when requested </w:t>
      </w:r>
      <w:r w:rsidR="008538D4" w:rsidRPr="001A1836">
        <w:t xml:space="preserve">by HSE, </w:t>
      </w:r>
      <w:r w:rsidR="00637576" w:rsidRPr="001A1836">
        <w:t>l</w:t>
      </w:r>
      <w:r w:rsidR="008538D4" w:rsidRPr="001A1836">
        <w:t xml:space="preserve">ocal </w:t>
      </w:r>
      <w:r w:rsidR="00637576" w:rsidRPr="001A1836">
        <w:t>a</w:t>
      </w:r>
      <w:r w:rsidR="008538D4" w:rsidRPr="001A1836">
        <w:t xml:space="preserve">uthorities, coroners </w:t>
      </w:r>
      <w:r w:rsidR="00637576" w:rsidRPr="001A1836">
        <w:t xml:space="preserve">or </w:t>
      </w:r>
      <w:r w:rsidR="008538D4" w:rsidRPr="001A1836">
        <w:t xml:space="preserve">the </w:t>
      </w:r>
      <w:r w:rsidR="00141A0E" w:rsidRPr="001A1836">
        <w:t>p</w:t>
      </w:r>
      <w:r w:rsidR="008538D4" w:rsidRPr="001A1836">
        <w:t>olice undertake</w:t>
      </w:r>
      <w:r w:rsidR="00A62F5D" w:rsidRPr="001A1836">
        <w:t xml:space="preserve"> </w:t>
      </w:r>
      <w:r w:rsidR="008538D4" w:rsidRPr="001A1836">
        <w:t xml:space="preserve">urgent </w:t>
      </w:r>
      <w:r w:rsidR="00637576" w:rsidRPr="001A1836">
        <w:t>c</w:t>
      </w:r>
      <w:r w:rsidR="008538D4" w:rsidRPr="001A1836">
        <w:t xml:space="preserve">arbon </w:t>
      </w:r>
      <w:r w:rsidR="00637576" w:rsidRPr="001A1836">
        <w:t>m</w:t>
      </w:r>
      <w:r w:rsidR="008538D4" w:rsidRPr="001A1836">
        <w:t xml:space="preserve">onoxide (CO) incident investigations or priority </w:t>
      </w:r>
      <w:r w:rsidR="00435F96">
        <w:t>I</w:t>
      </w:r>
      <w:r w:rsidR="00190C03" w:rsidRPr="001A1836">
        <w:t xml:space="preserve">nspection </w:t>
      </w:r>
      <w:r w:rsidR="008538D4" w:rsidRPr="001A1836">
        <w:t>request</w:t>
      </w:r>
      <w:r w:rsidR="00637576" w:rsidRPr="001A1836">
        <w:t>s</w:t>
      </w:r>
      <w:r w:rsidR="008538D4" w:rsidRPr="001A1836">
        <w:t xml:space="preserve"> from HSE (see Service Levels 4 and 5 in Schedule 3</w:t>
      </w:r>
      <w:r w:rsidR="00356284">
        <w:t xml:space="preserve"> (Service Levels)</w:t>
      </w:r>
      <w:r w:rsidR="008538D4" w:rsidRPr="001A1836">
        <w:t xml:space="preserve">) relating to circumstances where: </w:t>
      </w:r>
    </w:p>
    <w:p w14:paraId="069E18F1" w14:textId="77777777" w:rsidR="008538D4" w:rsidRPr="001A1836" w:rsidRDefault="008538D4">
      <w:pPr>
        <w:pStyle w:val="GSRL5numberedclause"/>
        <w:spacing w:line="276" w:lineRule="auto"/>
      </w:pPr>
      <w:r w:rsidRPr="001A1836">
        <w:lastRenderedPageBreak/>
        <w:t>there are confirmed or suspected CO fatalities or poisonings (normally following a RIDDOR 11 (1 or 2) report) under the instruction of HSE/</w:t>
      </w:r>
      <w:r w:rsidR="00637576" w:rsidRPr="001A1836">
        <w:t>local a</w:t>
      </w:r>
      <w:r w:rsidR="006C7714" w:rsidRPr="001A1836">
        <w:t>uthority/</w:t>
      </w:r>
      <w:r w:rsidRPr="001A1836">
        <w:t>coroner/police; or</w:t>
      </w:r>
    </w:p>
    <w:p w14:paraId="069E18F2" w14:textId="77777777" w:rsidR="008538D4" w:rsidRPr="001A1836" w:rsidRDefault="008538D4">
      <w:pPr>
        <w:pStyle w:val="GSRL5numberedclause"/>
        <w:spacing w:line="276" w:lineRule="auto"/>
      </w:pPr>
      <w:r w:rsidRPr="001A1836">
        <w:t>where there is no dutyholder (gas supplier); or</w:t>
      </w:r>
    </w:p>
    <w:p w14:paraId="069E18F3" w14:textId="77777777" w:rsidR="008538D4" w:rsidRPr="001A1836" w:rsidRDefault="008538D4">
      <w:pPr>
        <w:pStyle w:val="GSRL5numberedclause"/>
        <w:spacing w:line="276" w:lineRule="auto"/>
      </w:pPr>
      <w:r w:rsidRPr="001A1836">
        <w:t xml:space="preserve">where there is a conflict of interest with the gas supplier; or </w:t>
      </w:r>
    </w:p>
    <w:p w14:paraId="069E18F4" w14:textId="77777777" w:rsidR="008538D4" w:rsidRPr="001A1836" w:rsidRDefault="008538D4">
      <w:pPr>
        <w:pStyle w:val="GSRL5numberedclause"/>
        <w:spacing w:line="276" w:lineRule="auto"/>
      </w:pPr>
      <w:r w:rsidRPr="001A1836">
        <w:t xml:space="preserve">where the </w:t>
      </w:r>
      <w:r w:rsidR="00141A0E" w:rsidRPr="001A1836">
        <w:t>p</w:t>
      </w:r>
      <w:r w:rsidRPr="001A1836">
        <w:t>olice/</w:t>
      </w:r>
      <w:r w:rsidR="00141A0E" w:rsidRPr="001A1836">
        <w:t>c</w:t>
      </w:r>
      <w:r w:rsidRPr="001A1836">
        <w:t xml:space="preserve">oroner has jurisdiction; or </w:t>
      </w:r>
    </w:p>
    <w:p w14:paraId="069E18F5" w14:textId="77777777" w:rsidR="008538D4" w:rsidRPr="001A1836" w:rsidRDefault="008538D4">
      <w:pPr>
        <w:pStyle w:val="GSRL5numberedclause"/>
        <w:spacing w:line="276" w:lineRule="auto"/>
      </w:pPr>
      <w:r w:rsidRPr="001A1836">
        <w:t>where HSE</w:t>
      </w:r>
      <w:r w:rsidR="00637576" w:rsidRPr="001A1836">
        <w:t>/local a</w:t>
      </w:r>
      <w:r w:rsidR="006C7714" w:rsidRPr="001A1836">
        <w:t>uthority</w:t>
      </w:r>
      <w:r w:rsidRPr="001A1836">
        <w:t xml:space="preserve"> has specifically requested support from Gas Safe Register.</w:t>
      </w:r>
    </w:p>
    <w:p w14:paraId="069E18F6" w14:textId="19F1607B" w:rsidR="008538D4" w:rsidRPr="001A1836" w:rsidRDefault="003D33C5">
      <w:pPr>
        <w:pStyle w:val="GSRL4numberedclause"/>
        <w:spacing w:line="276" w:lineRule="auto"/>
      </w:pPr>
      <w:r w:rsidRPr="001A1836">
        <w:t xml:space="preserve">Requests of the nature referred to in </w:t>
      </w:r>
      <w:r w:rsidR="004120EF" w:rsidRPr="001A1836">
        <w:t xml:space="preserve">10.1 and </w:t>
      </w:r>
      <w:r w:rsidRPr="001A1836">
        <w:t>10.2</w:t>
      </w:r>
      <w:r w:rsidR="008538D4" w:rsidRPr="001A1836">
        <w:t xml:space="preserve"> shall be considered as urgent</w:t>
      </w:r>
      <w:r w:rsidRPr="001A1836">
        <w:t xml:space="preserve"> </w:t>
      </w:r>
      <w:r w:rsidR="008538D4" w:rsidRPr="001A1836">
        <w:t xml:space="preserve">and </w:t>
      </w:r>
      <w:r w:rsidR="00CF5F1E" w:rsidRPr="001A1836">
        <w:t>shall</w:t>
      </w:r>
      <w:r w:rsidR="008538D4" w:rsidRPr="001A1836">
        <w:t xml:space="preserve"> be responded to within one </w:t>
      </w:r>
      <w:r w:rsidR="00762554" w:rsidRPr="001A1836">
        <w:t>(1) W</w:t>
      </w:r>
      <w:r w:rsidR="008538D4" w:rsidRPr="001A1836">
        <w:t xml:space="preserve">orking </w:t>
      </w:r>
      <w:r w:rsidR="00762554" w:rsidRPr="001A1836">
        <w:t>H</w:t>
      </w:r>
      <w:r w:rsidR="008538D4" w:rsidRPr="001A1836">
        <w:t xml:space="preserve">our of receipt, with arrangements for the investigation being made within the next </w:t>
      </w:r>
      <w:r w:rsidR="00DF50B7" w:rsidRPr="001A1836">
        <w:t>three (</w:t>
      </w:r>
      <w:r w:rsidR="008538D4" w:rsidRPr="001A1836">
        <w:t>3</w:t>
      </w:r>
      <w:r w:rsidR="00DF50B7" w:rsidRPr="001A1836">
        <w:t>)</w:t>
      </w:r>
      <w:r w:rsidR="008538D4" w:rsidRPr="001A1836">
        <w:t xml:space="preserve"> </w:t>
      </w:r>
      <w:r w:rsidR="00EB74CA" w:rsidRPr="001A1836">
        <w:t>W</w:t>
      </w:r>
      <w:r w:rsidR="008538D4" w:rsidRPr="001A1836">
        <w:t xml:space="preserve">orking </w:t>
      </w:r>
      <w:r w:rsidR="00EB74CA" w:rsidRPr="001A1836">
        <w:t>D</w:t>
      </w:r>
      <w:r w:rsidR="008538D4" w:rsidRPr="001A1836">
        <w:t>ays.</w:t>
      </w:r>
    </w:p>
    <w:p w14:paraId="069E18F7" w14:textId="52B14E25" w:rsidR="00FA7738" w:rsidRPr="001A1836" w:rsidRDefault="00A62F5D">
      <w:pPr>
        <w:pStyle w:val="GSRL4numberedclause"/>
        <w:spacing w:line="276" w:lineRule="auto"/>
      </w:pPr>
      <w:r w:rsidRPr="001A1836">
        <w:t xml:space="preserve">The Provider shall when requested by HSE, </w:t>
      </w:r>
      <w:r w:rsidR="00637576" w:rsidRPr="001A1836">
        <w:t>l</w:t>
      </w:r>
      <w:r w:rsidRPr="001A1836">
        <w:t xml:space="preserve">ocal </w:t>
      </w:r>
      <w:r w:rsidR="00637576" w:rsidRPr="001A1836">
        <w:t>a</w:t>
      </w:r>
      <w:r w:rsidRPr="001A1836">
        <w:t xml:space="preserve">uthorities, coroners and the </w:t>
      </w:r>
      <w:r w:rsidR="00141A0E" w:rsidRPr="001A1836">
        <w:t>p</w:t>
      </w:r>
      <w:r w:rsidRPr="001A1836">
        <w:t xml:space="preserve">olice undertake specific work inspection in connection with a serious incident investigation or </w:t>
      </w:r>
      <w:r w:rsidR="00435F96">
        <w:t>I</w:t>
      </w:r>
      <w:r w:rsidRPr="001A1836">
        <w:t xml:space="preserve">nspection of a specific engineer’s work where the engineer is being investigated for unsafe </w:t>
      </w:r>
      <w:r w:rsidR="00637576" w:rsidRPr="001A1836">
        <w:t>G</w:t>
      </w:r>
      <w:r w:rsidRPr="001A1836">
        <w:t xml:space="preserve">as </w:t>
      </w:r>
      <w:r w:rsidR="00637576" w:rsidRPr="001A1836">
        <w:t>W</w:t>
      </w:r>
      <w:r w:rsidRPr="001A1836">
        <w:t xml:space="preserve">ork. Requests of this type </w:t>
      </w:r>
      <w:r w:rsidR="00CF5F1E" w:rsidRPr="001A1836">
        <w:t>shall</w:t>
      </w:r>
      <w:r w:rsidRPr="001A1836">
        <w:t xml:space="preserve"> be responded to within one </w:t>
      </w:r>
      <w:r w:rsidR="00DF50B7" w:rsidRPr="001A1836">
        <w:t>(1) W</w:t>
      </w:r>
      <w:r w:rsidRPr="001A1836">
        <w:t xml:space="preserve">orking </w:t>
      </w:r>
      <w:r w:rsidR="00DF50B7" w:rsidRPr="001A1836">
        <w:t>D</w:t>
      </w:r>
      <w:r w:rsidRPr="001A1836">
        <w:t xml:space="preserve">ay, with arrangements for the inspection activities being made for the earliest mutually agreed time and date, and the site visit completed and report submitted no later than </w:t>
      </w:r>
      <w:r w:rsidR="00DF50B7" w:rsidRPr="001A1836">
        <w:t>ten (</w:t>
      </w:r>
      <w:r w:rsidRPr="001A1836">
        <w:t>10</w:t>
      </w:r>
      <w:r w:rsidR="00DF50B7" w:rsidRPr="001A1836">
        <w:t>)</w:t>
      </w:r>
      <w:r w:rsidRPr="001A1836">
        <w:t xml:space="preserve"> </w:t>
      </w:r>
      <w:r w:rsidR="00DF50B7" w:rsidRPr="001A1836">
        <w:t>W</w:t>
      </w:r>
      <w:r w:rsidRPr="001A1836">
        <w:t xml:space="preserve">orking </w:t>
      </w:r>
      <w:r w:rsidR="00DF50B7" w:rsidRPr="001A1836">
        <w:t>D</w:t>
      </w:r>
      <w:r w:rsidRPr="001A1836">
        <w:t>ays of the request (see Service Levels 6 and 7 in Schedule 3</w:t>
      </w:r>
      <w:r w:rsidR="00356284">
        <w:t xml:space="preserve"> (Service Levels)</w:t>
      </w:r>
      <w:r w:rsidRPr="001A1836">
        <w:t>).</w:t>
      </w:r>
      <w:bookmarkStart w:id="353" w:name="_Toc493253075"/>
    </w:p>
    <w:p w14:paraId="069E18F8" w14:textId="77777777" w:rsidR="00100747" w:rsidRPr="001A1836" w:rsidRDefault="00100747">
      <w:pPr>
        <w:pStyle w:val="GSRL4numberedclause"/>
        <w:spacing w:line="276" w:lineRule="auto"/>
      </w:pPr>
      <w:r w:rsidRPr="001A1836">
        <w:t xml:space="preserve">The Provider may </w:t>
      </w:r>
      <w:r w:rsidR="006625F6" w:rsidRPr="001A1836">
        <w:t xml:space="preserve">occasionally </w:t>
      </w:r>
      <w:r w:rsidRPr="001A1836">
        <w:t>be required to provide additional incident support such as attendance at community meetings or media briefings.</w:t>
      </w:r>
    </w:p>
    <w:p w14:paraId="069E18F9" w14:textId="77777777" w:rsidR="00D02BB4" w:rsidRPr="001A1836" w:rsidRDefault="0098387D" w:rsidP="007A29C3">
      <w:pPr>
        <w:rPr>
          <w:b/>
          <w:i/>
        </w:rPr>
      </w:pPr>
      <w:bookmarkStart w:id="354" w:name="_Toc501354469"/>
      <w:bookmarkStart w:id="355" w:name="_Toc507743983"/>
      <w:bookmarkStart w:id="356" w:name="_Toc521326962"/>
      <w:bookmarkStart w:id="357" w:name="_Toc521484716"/>
      <w:bookmarkStart w:id="358" w:name="_Toc521485047"/>
      <w:bookmarkStart w:id="359" w:name="_Toc521496227"/>
      <w:r w:rsidRPr="001A1836">
        <w:rPr>
          <w:b/>
          <w:i/>
        </w:rPr>
        <w:t>On-site / off-site t</w:t>
      </w:r>
      <w:r w:rsidR="00D02BB4" w:rsidRPr="001A1836">
        <w:rPr>
          <w:b/>
          <w:i/>
        </w:rPr>
        <w:t xml:space="preserve">echnical </w:t>
      </w:r>
      <w:r w:rsidRPr="001A1836">
        <w:rPr>
          <w:b/>
          <w:i/>
        </w:rPr>
        <w:t>s</w:t>
      </w:r>
      <w:r w:rsidR="00D02BB4" w:rsidRPr="001A1836">
        <w:rPr>
          <w:b/>
          <w:i/>
        </w:rPr>
        <w:t>upport</w:t>
      </w:r>
      <w:bookmarkEnd w:id="354"/>
      <w:bookmarkEnd w:id="355"/>
      <w:bookmarkEnd w:id="356"/>
      <w:bookmarkEnd w:id="357"/>
      <w:bookmarkEnd w:id="358"/>
      <w:bookmarkEnd w:id="359"/>
      <w:r w:rsidR="00D02BB4" w:rsidRPr="001A1836">
        <w:rPr>
          <w:b/>
          <w:i/>
        </w:rPr>
        <w:t xml:space="preserve"> </w:t>
      </w:r>
      <w:bookmarkEnd w:id="353"/>
    </w:p>
    <w:p w14:paraId="069E18FA" w14:textId="6CD0967A" w:rsidR="00D85F19" w:rsidRPr="001A1836" w:rsidRDefault="00F629D1">
      <w:pPr>
        <w:pStyle w:val="GSRL4numberedclause"/>
        <w:spacing w:line="276" w:lineRule="auto"/>
      </w:pPr>
      <w:r w:rsidRPr="001A1836">
        <w:t>The Provider shall provide</w:t>
      </w:r>
      <w:r w:rsidR="00D02BB4" w:rsidRPr="001A1836">
        <w:t xml:space="preserve"> both on-site and off-site gas safety technical advice to both HSE</w:t>
      </w:r>
      <w:r w:rsidR="00550867" w:rsidRPr="001A1836">
        <w:t xml:space="preserve">, </w:t>
      </w:r>
      <w:r w:rsidR="00637576" w:rsidRPr="001A1836">
        <w:t>local authoritie</w:t>
      </w:r>
      <w:r w:rsidR="00D02BB4" w:rsidRPr="001A1836">
        <w:t>s</w:t>
      </w:r>
      <w:r w:rsidR="00550867" w:rsidRPr="001A1836">
        <w:t xml:space="preserve"> and other enforcement agencies</w:t>
      </w:r>
      <w:r w:rsidRPr="001A1836">
        <w:t xml:space="preserve"> on request</w:t>
      </w:r>
      <w:r w:rsidR="00D02BB4" w:rsidRPr="001A1836">
        <w:t xml:space="preserve">. On-site gas technical support such as supporting an HSE inspector or a </w:t>
      </w:r>
      <w:r w:rsidR="00637576" w:rsidRPr="001A1836">
        <w:t xml:space="preserve">local authority </w:t>
      </w:r>
      <w:r w:rsidR="00D02BB4" w:rsidRPr="001A1836">
        <w:t>Environmental Health Officer (EHO) on inspection</w:t>
      </w:r>
      <w:r w:rsidR="00435F96">
        <w:t>/investigation</w:t>
      </w:r>
      <w:r w:rsidR="00D02BB4" w:rsidRPr="001A1836">
        <w:t xml:space="preserve"> activities </w:t>
      </w:r>
      <w:r w:rsidR="00CF5F1E" w:rsidRPr="001A1836">
        <w:t>shall</w:t>
      </w:r>
      <w:r w:rsidR="00D02BB4" w:rsidRPr="001A1836">
        <w:t xml:space="preserve"> be undertaken upon appropriate authorisation</w:t>
      </w:r>
      <w:r w:rsidR="007372E1" w:rsidRPr="001A1836">
        <w:t xml:space="preserve"> from the requesting authority</w:t>
      </w:r>
      <w:r w:rsidR="00D02BB4" w:rsidRPr="001A1836">
        <w:t>.</w:t>
      </w:r>
      <w:r w:rsidR="008A5CCB" w:rsidRPr="001A1836">
        <w:t xml:space="preserve"> </w:t>
      </w:r>
    </w:p>
    <w:p w14:paraId="069E18FB" w14:textId="770FC551" w:rsidR="00D85F19" w:rsidRPr="001A1836" w:rsidRDefault="00D02BB4">
      <w:pPr>
        <w:pStyle w:val="GSRL4numberedclause"/>
        <w:spacing w:line="276" w:lineRule="auto"/>
      </w:pPr>
      <w:r w:rsidRPr="001A1836">
        <w:t xml:space="preserve">Requests </w:t>
      </w:r>
      <w:r w:rsidR="000E505D" w:rsidRPr="001A1836">
        <w:t xml:space="preserve">for on-site gas technical support </w:t>
      </w:r>
      <w:r w:rsidRPr="001A1836">
        <w:t xml:space="preserve">from HSE or </w:t>
      </w:r>
      <w:r w:rsidR="00637576" w:rsidRPr="001A1836">
        <w:t>a local authority</w:t>
      </w:r>
      <w:r w:rsidRPr="001A1836">
        <w:t xml:space="preserve"> </w:t>
      </w:r>
      <w:r w:rsidR="00141A0E" w:rsidRPr="001A1836">
        <w:t xml:space="preserve">shall </w:t>
      </w:r>
      <w:r w:rsidRPr="001A1836">
        <w:t>be responded to within</w:t>
      </w:r>
      <w:r w:rsidR="004C4615" w:rsidRPr="001A1836">
        <w:t xml:space="preserve"> the next</w:t>
      </w:r>
      <w:r w:rsidR="0098387D" w:rsidRPr="001A1836">
        <w:t xml:space="preserve"> </w:t>
      </w:r>
      <w:r w:rsidR="006C1D70" w:rsidRPr="001A1836">
        <w:t>24 hours</w:t>
      </w:r>
      <w:r w:rsidRPr="001A1836">
        <w:t xml:space="preserve">, with arrangements for the support activity being arranged in line with standard </w:t>
      </w:r>
      <w:r w:rsidR="00154940">
        <w:t>I</w:t>
      </w:r>
      <w:r w:rsidRPr="001A1836">
        <w:t>nspection activities and S</w:t>
      </w:r>
      <w:r w:rsidR="007372E1" w:rsidRPr="001A1836">
        <w:t>ervice Levels</w:t>
      </w:r>
      <w:r w:rsidRPr="001A1836">
        <w:t xml:space="preserve"> within</w:t>
      </w:r>
      <w:r w:rsidR="004C4615" w:rsidRPr="001A1836">
        <w:t xml:space="preserve"> the next</w:t>
      </w:r>
      <w:r w:rsidRPr="001A1836">
        <w:t xml:space="preserve"> </w:t>
      </w:r>
      <w:r w:rsidR="000C1F5C" w:rsidRPr="001A1836">
        <w:t>ten (</w:t>
      </w:r>
      <w:r w:rsidRPr="001A1836">
        <w:t>10</w:t>
      </w:r>
      <w:r w:rsidR="000C1F5C" w:rsidRPr="001A1836">
        <w:t>)</w:t>
      </w:r>
      <w:r w:rsidRPr="001A1836">
        <w:t xml:space="preserve"> </w:t>
      </w:r>
      <w:r w:rsidR="00DD1E9F" w:rsidRPr="001A1836">
        <w:t>W</w:t>
      </w:r>
      <w:r w:rsidRPr="001A1836">
        <w:t xml:space="preserve">orking </w:t>
      </w:r>
      <w:r w:rsidR="00DD1E9F" w:rsidRPr="001A1836">
        <w:t>D</w:t>
      </w:r>
      <w:r w:rsidRPr="001A1836">
        <w:t>ays.</w:t>
      </w:r>
      <w:r w:rsidR="008A5CCB" w:rsidRPr="001A1836">
        <w:t xml:space="preserve"> </w:t>
      </w:r>
    </w:p>
    <w:p w14:paraId="069E18FC" w14:textId="77777777" w:rsidR="00940089" w:rsidRPr="001A1836" w:rsidRDefault="00940089">
      <w:pPr>
        <w:pStyle w:val="GSRL4numberedclause"/>
        <w:spacing w:line="276" w:lineRule="auto"/>
      </w:pPr>
      <w:r w:rsidRPr="001A1836">
        <w:t xml:space="preserve">Off-site technical support </w:t>
      </w:r>
      <w:r w:rsidR="00141A0E" w:rsidRPr="001A1836">
        <w:t xml:space="preserve">shall </w:t>
      </w:r>
      <w:r w:rsidRPr="001A1836">
        <w:t>normally be provided during office hours.</w:t>
      </w:r>
    </w:p>
    <w:p w14:paraId="069E18FD" w14:textId="77777777" w:rsidR="00D02BB4" w:rsidRPr="001A1836" w:rsidRDefault="00D02BB4" w:rsidP="007A29C3">
      <w:pPr>
        <w:rPr>
          <w:b/>
          <w:i/>
        </w:rPr>
      </w:pPr>
      <w:bookmarkStart w:id="360" w:name="_Toc501354470"/>
      <w:bookmarkStart w:id="361" w:name="_Toc507743984"/>
      <w:bookmarkStart w:id="362" w:name="_Toc521326963"/>
      <w:bookmarkStart w:id="363" w:name="_Toc521484717"/>
      <w:bookmarkStart w:id="364" w:name="_Toc521485048"/>
      <w:bookmarkStart w:id="365" w:name="_Toc521496228"/>
      <w:r w:rsidRPr="001A1836">
        <w:rPr>
          <w:b/>
          <w:i/>
        </w:rPr>
        <w:t>Reque</w:t>
      </w:r>
      <w:r w:rsidR="00783AEC" w:rsidRPr="001A1836">
        <w:rPr>
          <w:b/>
          <w:i/>
        </w:rPr>
        <w:t xml:space="preserve">sting </w:t>
      </w:r>
      <w:r w:rsidR="0076126B" w:rsidRPr="001A1836">
        <w:rPr>
          <w:b/>
          <w:i/>
        </w:rPr>
        <w:t>t</w:t>
      </w:r>
      <w:r w:rsidR="00783AEC" w:rsidRPr="001A1836">
        <w:rPr>
          <w:b/>
          <w:i/>
        </w:rPr>
        <w:t xml:space="preserve">echnical </w:t>
      </w:r>
      <w:r w:rsidR="0076126B" w:rsidRPr="001A1836">
        <w:rPr>
          <w:b/>
          <w:i/>
        </w:rPr>
        <w:t>s</w:t>
      </w:r>
      <w:r w:rsidR="00783AEC" w:rsidRPr="001A1836">
        <w:rPr>
          <w:b/>
          <w:i/>
        </w:rPr>
        <w:t>upport (</w:t>
      </w:r>
      <w:r w:rsidR="00C52E15" w:rsidRPr="001A1836">
        <w:rPr>
          <w:b/>
          <w:i/>
        </w:rPr>
        <w:t>eg</w:t>
      </w:r>
      <w:r w:rsidR="00DC4C3A" w:rsidRPr="001A1836">
        <w:rPr>
          <w:b/>
          <w:i/>
        </w:rPr>
        <w:t xml:space="preserve"> police, c</w:t>
      </w:r>
      <w:r w:rsidR="005D79FD" w:rsidRPr="001A1836">
        <w:rPr>
          <w:b/>
          <w:i/>
        </w:rPr>
        <w:t xml:space="preserve">oroner or other </w:t>
      </w:r>
      <w:r w:rsidR="00C52E15" w:rsidRPr="001A1836">
        <w:rPr>
          <w:b/>
          <w:i/>
        </w:rPr>
        <w:t>such</w:t>
      </w:r>
      <w:r w:rsidR="005D79FD" w:rsidRPr="001A1836">
        <w:rPr>
          <w:b/>
          <w:i/>
        </w:rPr>
        <w:t xml:space="preserve"> agenc</w:t>
      </w:r>
      <w:r w:rsidR="00C52E15" w:rsidRPr="001A1836">
        <w:rPr>
          <w:b/>
          <w:i/>
        </w:rPr>
        <w:t>ies as HSE may from time-to-time require</w:t>
      </w:r>
      <w:r w:rsidRPr="001A1836">
        <w:rPr>
          <w:b/>
          <w:i/>
        </w:rPr>
        <w:t>)</w:t>
      </w:r>
      <w:bookmarkEnd w:id="360"/>
      <w:bookmarkEnd w:id="361"/>
      <w:bookmarkEnd w:id="362"/>
      <w:bookmarkEnd w:id="363"/>
      <w:bookmarkEnd w:id="364"/>
      <w:bookmarkEnd w:id="365"/>
    </w:p>
    <w:p w14:paraId="069E18FE" w14:textId="3311B980" w:rsidR="002D6C4D" w:rsidRPr="001A1836" w:rsidRDefault="00D02BB4">
      <w:pPr>
        <w:pStyle w:val="GSRL4numberedclause"/>
        <w:spacing w:line="276" w:lineRule="auto"/>
      </w:pPr>
      <w:r w:rsidRPr="001A1836">
        <w:t xml:space="preserve">The </w:t>
      </w:r>
      <w:r w:rsidR="0086594C" w:rsidRPr="001A1836">
        <w:t>Provider</w:t>
      </w:r>
      <w:r w:rsidRPr="001A1836">
        <w:t xml:space="preserve"> </w:t>
      </w:r>
      <w:r w:rsidR="000E505D" w:rsidRPr="001A1836">
        <w:t xml:space="preserve">shall </w:t>
      </w:r>
      <w:r w:rsidRPr="001A1836">
        <w:t xml:space="preserve">provide access for </w:t>
      </w:r>
      <w:r w:rsidR="00141A0E" w:rsidRPr="001A1836">
        <w:t>l</w:t>
      </w:r>
      <w:r w:rsidR="00161C68" w:rsidRPr="001A1836">
        <w:t xml:space="preserve">ocal </w:t>
      </w:r>
      <w:r w:rsidR="00141A0E" w:rsidRPr="001A1836">
        <w:t>a</w:t>
      </w:r>
      <w:r w:rsidR="001911F6" w:rsidRPr="001A1836">
        <w:t>uthorities</w:t>
      </w:r>
      <w:r w:rsidR="00161C68" w:rsidRPr="001A1836">
        <w:t>, coroners</w:t>
      </w:r>
      <w:r w:rsidR="006C32B5" w:rsidRPr="001A1836">
        <w:t>,</w:t>
      </w:r>
      <w:r w:rsidR="00161C68" w:rsidRPr="001A1836">
        <w:t xml:space="preserve"> the police, and such </w:t>
      </w:r>
      <w:r w:rsidR="00F629D1" w:rsidRPr="001A1836">
        <w:t xml:space="preserve">other </w:t>
      </w:r>
      <w:r w:rsidR="00161C68" w:rsidRPr="001A1836">
        <w:t>agencies as HSE may from time-to-time require</w:t>
      </w:r>
      <w:r w:rsidR="00457B7D" w:rsidRPr="001A1836">
        <w:t>,</w:t>
      </w:r>
      <w:r w:rsidR="00422C80" w:rsidRPr="001A1836">
        <w:t xml:space="preserve"> to enable them to request support, investigation or inspection of any kind covered by this </w:t>
      </w:r>
      <w:r w:rsidR="00A1443A">
        <w:t>p</w:t>
      </w:r>
      <w:r w:rsidR="00422C80" w:rsidRPr="001A1836">
        <w:t>aragraph 10. Such</w:t>
      </w:r>
      <w:r w:rsidR="00124638" w:rsidRPr="001A1836">
        <w:t xml:space="preserve"> </w:t>
      </w:r>
      <w:r w:rsidR="00422C80" w:rsidRPr="001A1836">
        <w:t>r</w:t>
      </w:r>
      <w:r w:rsidRPr="001A1836">
        <w:t>equest</w:t>
      </w:r>
      <w:r w:rsidR="0076126B" w:rsidRPr="001A1836">
        <w:t>s</w:t>
      </w:r>
      <w:r w:rsidRPr="001A1836">
        <w:t xml:space="preserve"> </w:t>
      </w:r>
      <w:r w:rsidR="000E23B5" w:rsidRPr="001A1836">
        <w:t>shall be</w:t>
      </w:r>
      <w:r w:rsidR="0076126B" w:rsidRPr="001A1836">
        <w:t xml:space="preserve"> confirmed </w:t>
      </w:r>
      <w:r w:rsidRPr="001A1836">
        <w:t xml:space="preserve">in writing </w:t>
      </w:r>
      <w:r w:rsidR="0076126B" w:rsidRPr="001A1836">
        <w:t>(</w:t>
      </w:r>
      <w:r w:rsidRPr="001A1836">
        <w:t>via email</w:t>
      </w:r>
      <w:r w:rsidR="0076126B" w:rsidRPr="001A1836">
        <w:t xml:space="preserve">) to enable </w:t>
      </w:r>
      <w:r w:rsidRPr="001A1836">
        <w:t>the</w:t>
      </w:r>
      <w:r w:rsidR="00426183" w:rsidRPr="001A1836">
        <w:t xml:space="preserve"> </w:t>
      </w:r>
      <w:r w:rsidRPr="001A1836">
        <w:t xml:space="preserve">request </w:t>
      </w:r>
      <w:r w:rsidR="0076126B" w:rsidRPr="001A1836">
        <w:t>to</w:t>
      </w:r>
      <w:r w:rsidRPr="001A1836">
        <w:t xml:space="preserve"> be verified e.g. from a ‘.gov.uk’ or ‘p</w:t>
      </w:r>
      <w:r w:rsidR="00DC4C3A" w:rsidRPr="001A1836">
        <w:t>olice’ email address, or valid government or enforcement b</w:t>
      </w:r>
      <w:r w:rsidRPr="001A1836">
        <w:t>ody address.</w:t>
      </w:r>
    </w:p>
    <w:p w14:paraId="069E18FF" w14:textId="77777777" w:rsidR="002D6C4D" w:rsidRPr="001A1836" w:rsidRDefault="003F0B4E">
      <w:pPr>
        <w:pStyle w:val="GSRL4numberedclause"/>
        <w:spacing w:line="276" w:lineRule="auto"/>
      </w:pPr>
      <w:r w:rsidRPr="001A1836">
        <w:t>The requeste</w:t>
      </w:r>
      <w:r w:rsidR="00D02BB4" w:rsidRPr="001A1836">
        <w:t xml:space="preserve">r </w:t>
      </w:r>
      <w:r w:rsidR="000E23B5" w:rsidRPr="001A1836">
        <w:t xml:space="preserve">shall </w:t>
      </w:r>
      <w:r w:rsidR="00D02BB4" w:rsidRPr="001A1836">
        <w:t xml:space="preserve">be asked if </w:t>
      </w:r>
      <w:r w:rsidR="00161C68" w:rsidRPr="001A1836">
        <w:t xml:space="preserve">a </w:t>
      </w:r>
      <w:r w:rsidR="00D02BB4" w:rsidRPr="001A1836">
        <w:t xml:space="preserve">request is connected with any existing HSE or </w:t>
      </w:r>
      <w:r w:rsidR="00141A0E" w:rsidRPr="001A1836">
        <w:t xml:space="preserve">local authority </w:t>
      </w:r>
      <w:r w:rsidR="00D02BB4" w:rsidRPr="001A1836">
        <w:t xml:space="preserve">investigation. </w:t>
      </w:r>
    </w:p>
    <w:p w14:paraId="069E1900" w14:textId="77777777" w:rsidR="007A2EAD" w:rsidRPr="001A1836" w:rsidRDefault="00D02BB4">
      <w:pPr>
        <w:pStyle w:val="GSRL4numberedclause"/>
        <w:spacing w:line="276" w:lineRule="auto"/>
      </w:pPr>
      <w:r w:rsidRPr="001A1836">
        <w:lastRenderedPageBreak/>
        <w:t>Once a request for service has been received and all necessary information gathered</w:t>
      </w:r>
      <w:r w:rsidR="003F0B4E" w:rsidRPr="001A1836">
        <w:t xml:space="preserve"> by the Provider</w:t>
      </w:r>
      <w:r w:rsidRPr="001A1836">
        <w:t xml:space="preserve">, arrangements for delivery of the support </w:t>
      </w:r>
      <w:r w:rsidR="003F0B4E" w:rsidRPr="001A1836">
        <w:t>shall</w:t>
      </w:r>
      <w:r w:rsidRPr="001A1836">
        <w:t xml:space="preserve"> be confirmed </w:t>
      </w:r>
      <w:r w:rsidR="003F0B4E" w:rsidRPr="001A1836">
        <w:t xml:space="preserve">by the Provider </w:t>
      </w:r>
      <w:r w:rsidRPr="001A1836">
        <w:t>to the requester via email.</w:t>
      </w:r>
    </w:p>
    <w:p w14:paraId="069E1901" w14:textId="77A9432B" w:rsidR="005D779C" w:rsidRPr="001A1836" w:rsidRDefault="002F0A09">
      <w:pPr>
        <w:pStyle w:val="GSRL4numberedclause"/>
        <w:spacing w:line="276" w:lineRule="auto"/>
      </w:pPr>
      <w:r w:rsidRPr="001A1836">
        <w:t xml:space="preserve">Response times </w:t>
      </w:r>
      <w:r w:rsidR="00CF5F1E" w:rsidRPr="001A1836">
        <w:t>shall</w:t>
      </w:r>
      <w:r w:rsidRPr="001A1836">
        <w:t xml:space="preserve"> be as stated in the </w:t>
      </w:r>
      <w:r w:rsidR="008A5CCB" w:rsidRPr="001A1836">
        <w:t xml:space="preserve">Service Levels </w:t>
      </w:r>
      <w:r w:rsidR="007A2EAD" w:rsidRPr="001A1836">
        <w:t xml:space="preserve">(see </w:t>
      </w:r>
      <w:r w:rsidR="000E505D" w:rsidRPr="001A1836">
        <w:t xml:space="preserve">Schedule </w:t>
      </w:r>
      <w:r w:rsidR="00C128E2" w:rsidRPr="001A1836">
        <w:t>3</w:t>
      </w:r>
      <w:r w:rsidR="00356284">
        <w:t xml:space="preserve"> (Service Levels)</w:t>
      </w:r>
      <w:r w:rsidR="007A2EAD" w:rsidRPr="001A1836">
        <w:t>)</w:t>
      </w:r>
      <w:r w:rsidR="00240000" w:rsidRPr="001A1836">
        <w:t>.</w:t>
      </w:r>
      <w:r w:rsidRPr="001A1836">
        <w:t xml:space="preserve"> </w:t>
      </w:r>
    </w:p>
    <w:p w14:paraId="069E1902" w14:textId="77777777" w:rsidR="00D02BB4" w:rsidRPr="001A1836" w:rsidRDefault="00D02BB4" w:rsidP="007A29C3">
      <w:pPr>
        <w:rPr>
          <w:b/>
          <w:i/>
        </w:rPr>
      </w:pPr>
      <w:bookmarkStart w:id="366" w:name="_Toc501354471"/>
      <w:bookmarkStart w:id="367" w:name="_Toc507743985"/>
      <w:bookmarkStart w:id="368" w:name="_Toc521326964"/>
      <w:bookmarkStart w:id="369" w:name="_Toc521484718"/>
      <w:bookmarkStart w:id="370" w:name="_Toc521485049"/>
      <w:bookmarkStart w:id="371" w:name="_Toc521496229"/>
      <w:r w:rsidRPr="001A1836">
        <w:rPr>
          <w:b/>
          <w:i/>
        </w:rPr>
        <w:t>Prosecutions</w:t>
      </w:r>
      <w:bookmarkEnd w:id="366"/>
      <w:bookmarkEnd w:id="367"/>
      <w:bookmarkEnd w:id="368"/>
      <w:bookmarkEnd w:id="369"/>
      <w:bookmarkEnd w:id="370"/>
      <w:bookmarkEnd w:id="371"/>
    </w:p>
    <w:p w14:paraId="069E1903" w14:textId="77777777" w:rsidR="002D6C4D" w:rsidRPr="001A1836" w:rsidRDefault="006625F6">
      <w:pPr>
        <w:pStyle w:val="GSRL4numberedclause"/>
        <w:spacing w:line="276" w:lineRule="auto"/>
      </w:pPr>
      <w:r w:rsidRPr="001A1836">
        <w:t>On request, t</w:t>
      </w:r>
      <w:r w:rsidR="00D02BB4" w:rsidRPr="001A1836">
        <w:t xml:space="preserve">he </w:t>
      </w:r>
      <w:r w:rsidR="0086594C" w:rsidRPr="001A1836">
        <w:t>Provider</w:t>
      </w:r>
      <w:r w:rsidR="00D02BB4" w:rsidRPr="001A1836">
        <w:t xml:space="preserve"> </w:t>
      </w:r>
      <w:r w:rsidR="000E505D" w:rsidRPr="001A1836">
        <w:t xml:space="preserve">shall </w:t>
      </w:r>
      <w:r w:rsidR="00B1548C" w:rsidRPr="001A1836">
        <w:t xml:space="preserve">provide </w:t>
      </w:r>
      <w:r w:rsidRPr="001A1836">
        <w:t xml:space="preserve">to </w:t>
      </w:r>
      <w:r w:rsidR="00DF552A" w:rsidRPr="001A1836">
        <w:t>HSE and agencies referred to above</w:t>
      </w:r>
      <w:r w:rsidR="00D02BB4" w:rsidRPr="001A1836">
        <w:t>:</w:t>
      </w:r>
    </w:p>
    <w:p w14:paraId="069E1904" w14:textId="77777777" w:rsidR="002D6C4D" w:rsidRPr="001A1836" w:rsidRDefault="002C6FB5">
      <w:pPr>
        <w:pStyle w:val="GSRL5numberedclause"/>
        <w:spacing w:line="276" w:lineRule="auto"/>
      </w:pPr>
      <w:r w:rsidRPr="001A1836">
        <w:rPr>
          <w:lang w:val="en-US"/>
        </w:rPr>
        <w:t>w</w:t>
      </w:r>
      <w:r w:rsidR="00D02BB4" w:rsidRPr="001A1836">
        <w:rPr>
          <w:lang w:val="en-US"/>
        </w:rPr>
        <w:t>itness statements</w:t>
      </w:r>
      <w:r w:rsidR="0076126B" w:rsidRPr="001A1836">
        <w:rPr>
          <w:lang w:val="en-US"/>
        </w:rPr>
        <w:t>;</w:t>
      </w:r>
    </w:p>
    <w:p w14:paraId="069E1905" w14:textId="77777777" w:rsidR="002D6C4D" w:rsidRPr="001A1836" w:rsidRDefault="002C6FB5">
      <w:pPr>
        <w:pStyle w:val="GSRL5numberedclause"/>
        <w:spacing w:line="276" w:lineRule="auto"/>
      </w:pPr>
      <w:r w:rsidRPr="001A1836">
        <w:rPr>
          <w:lang w:val="en-US"/>
        </w:rPr>
        <w:t>c</w:t>
      </w:r>
      <w:r w:rsidR="00D02BB4" w:rsidRPr="001A1836">
        <w:rPr>
          <w:lang w:val="en-US"/>
        </w:rPr>
        <w:t>ourt appearances</w:t>
      </w:r>
      <w:r w:rsidR="0076126B" w:rsidRPr="001A1836">
        <w:rPr>
          <w:lang w:val="en-US"/>
        </w:rPr>
        <w:t>;</w:t>
      </w:r>
    </w:p>
    <w:p w14:paraId="069E1906" w14:textId="4A062DC1" w:rsidR="002D6C4D" w:rsidRPr="001A1836" w:rsidRDefault="00EC7B44">
      <w:pPr>
        <w:pStyle w:val="GSRL5numberedclause"/>
        <w:spacing w:line="276" w:lineRule="auto"/>
      </w:pPr>
      <w:r>
        <w:rPr>
          <w:lang w:val="en-US"/>
        </w:rPr>
        <w:t>I</w:t>
      </w:r>
      <w:r w:rsidR="00D02BB4" w:rsidRPr="001A1836">
        <w:rPr>
          <w:lang w:val="en-US"/>
        </w:rPr>
        <w:t>nspection reports</w:t>
      </w:r>
      <w:r w:rsidR="0076126B" w:rsidRPr="001A1836">
        <w:rPr>
          <w:lang w:val="en-US"/>
        </w:rPr>
        <w:t>;</w:t>
      </w:r>
    </w:p>
    <w:p w14:paraId="069E1907" w14:textId="77777777" w:rsidR="002D6C4D" w:rsidRPr="001A1836" w:rsidRDefault="002C6FB5">
      <w:pPr>
        <w:pStyle w:val="GSRL5numberedclause"/>
        <w:spacing w:line="276" w:lineRule="auto"/>
      </w:pPr>
      <w:r w:rsidRPr="001A1836">
        <w:rPr>
          <w:lang w:val="en-US"/>
        </w:rPr>
        <w:t>i</w:t>
      </w:r>
      <w:r w:rsidR="00D02BB4" w:rsidRPr="001A1836">
        <w:rPr>
          <w:lang w:val="en-US"/>
        </w:rPr>
        <w:t xml:space="preserve">llegal </w:t>
      </w:r>
      <w:r w:rsidR="00141A0E" w:rsidRPr="001A1836">
        <w:rPr>
          <w:lang w:val="en-US"/>
        </w:rPr>
        <w:t>G</w:t>
      </w:r>
      <w:r w:rsidR="00D02BB4" w:rsidRPr="001A1836">
        <w:rPr>
          <w:lang w:val="en-US"/>
        </w:rPr>
        <w:t xml:space="preserve">as </w:t>
      </w:r>
      <w:r w:rsidR="00141A0E" w:rsidRPr="001A1836">
        <w:rPr>
          <w:lang w:val="en-US"/>
        </w:rPr>
        <w:t>W</w:t>
      </w:r>
      <w:r w:rsidR="00D02BB4" w:rsidRPr="001A1836">
        <w:rPr>
          <w:lang w:val="en-US"/>
        </w:rPr>
        <w:t>ork investigation reports</w:t>
      </w:r>
      <w:r w:rsidR="0076126B" w:rsidRPr="001A1836">
        <w:rPr>
          <w:lang w:val="en-US"/>
        </w:rPr>
        <w:t>; and</w:t>
      </w:r>
    </w:p>
    <w:p w14:paraId="069E1908" w14:textId="38D84F11" w:rsidR="00D02BB4" w:rsidRPr="001A1836" w:rsidRDefault="00DF552A">
      <w:pPr>
        <w:pStyle w:val="GSRL5numberedclause"/>
        <w:spacing w:line="276" w:lineRule="auto"/>
      </w:pPr>
      <w:r w:rsidRPr="001A1836">
        <w:rPr>
          <w:lang w:val="en-US"/>
        </w:rPr>
        <w:t xml:space="preserve">copies of </w:t>
      </w:r>
      <w:r w:rsidR="002C6FB5" w:rsidRPr="001A1836">
        <w:rPr>
          <w:lang w:val="en-US"/>
        </w:rPr>
        <w:t>a</w:t>
      </w:r>
      <w:r w:rsidR="001D373A" w:rsidRPr="001A1836">
        <w:rPr>
          <w:lang w:val="en-US"/>
        </w:rPr>
        <w:t xml:space="preserve">rticles </w:t>
      </w:r>
      <w:r w:rsidRPr="001A1836">
        <w:rPr>
          <w:lang w:val="en-US"/>
        </w:rPr>
        <w:t xml:space="preserve">published </w:t>
      </w:r>
      <w:r w:rsidR="001D373A" w:rsidRPr="001A1836">
        <w:rPr>
          <w:lang w:val="en-US"/>
        </w:rPr>
        <w:t xml:space="preserve">in the </w:t>
      </w:r>
      <w:r w:rsidR="001D373A" w:rsidRPr="001A1836">
        <w:rPr>
          <w:i/>
          <w:lang w:val="en-US"/>
        </w:rPr>
        <w:t>Registered Gas Engineer</w:t>
      </w:r>
      <w:r w:rsidR="001D373A" w:rsidRPr="001A1836">
        <w:rPr>
          <w:lang w:val="en-US"/>
        </w:rPr>
        <w:t xml:space="preserve"> magazine</w:t>
      </w:r>
      <w:r w:rsidR="00EC7B44">
        <w:rPr>
          <w:lang w:val="en-US"/>
        </w:rPr>
        <w:t xml:space="preserve"> and newsletter</w:t>
      </w:r>
      <w:r w:rsidR="0076126B" w:rsidRPr="001A1836">
        <w:rPr>
          <w:lang w:val="en-US"/>
        </w:rPr>
        <w:t>.</w:t>
      </w:r>
    </w:p>
    <w:p w14:paraId="069E1909" w14:textId="77777777" w:rsidR="00D02BB4" w:rsidRPr="001A1836" w:rsidRDefault="00D02BB4" w:rsidP="007A29C3">
      <w:pPr>
        <w:rPr>
          <w:b/>
          <w:i/>
        </w:rPr>
      </w:pPr>
      <w:bookmarkStart w:id="372" w:name="_Toc501354472"/>
      <w:bookmarkStart w:id="373" w:name="_Toc507743986"/>
      <w:bookmarkStart w:id="374" w:name="_Toc521326965"/>
      <w:bookmarkStart w:id="375" w:name="_Toc521484719"/>
      <w:bookmarkStart w:id="376" w:name="_Toc521485050"/>
      <w:bookmarkStart w:id="377" w:name="_Toc521496230"/>
      <w:r w:rsidRPr="001A1836">
        <w:rPr>
          <w:b/>
          <w:i/>
        </w:rPr>
        <w:t>Requests from HSE/</w:t>
      </w:r>
      <w:r w:rsidR="00141A0E" w:rsidRPr="001A1836">
        <w:rPr>
          <w:b/>
          <w:i/>
        </w:rPr>
        <w:t xml:space="preserve">local authorities </w:t>
      </w:r>
      <w:r w:rsidRPr="001A1836">
        <w:rPr>
          <w:b/>
          <w:i/>
        </w:rPr>
        <w:t xml:space="preserve">to </w:t>
      </w:r>
      <w:r w:rsidR="00FA7738" w:rsidRPr="001A1836">
        <w:rPr>
          <w:b/>
          <w:i/>
        </w:rPr>
        <w:t>Gas Safe Register</w:t>
      </w:r>
      <w:bookmarkEnd w:id="372"/>
      <w:bookmarkEnd w:id="373"/>
      <w:bookmarkEnd w:id="374"/>
      <w:bookmarkEnd w:id="375"/>
      <w:bookmarkEnd w:id="376"/>
      <w:bookmarkEnd w:id="377"/>
    </w:p>
    <w:p w14:paraId="069E190A" w14:textId="77777777" w:rsidR="002D6C4D" w:rsidRPr="001A1836" w:rsidRDefault="006A494B">
      <w:pPr>
        <w:pStyle w:val="GSRL4numberedclause"/>
        <w:spacing w:line="276" w:lineRule="auto"/>
      </w:pPr>
      <w:r w:rsidRPr="001A1836">
        <w:t xml:space="preserve">The </w:t>
      </w:r>
      <w:r w:rsidR="0086594C" w:rsidRPr="001A1836">
        <w:t>Provider</w:t>
      </w:r>
      <w:r w:rsidRPr="001A1836">
        <w:t xml:space="preserve"> </w:t>
      </w:r>
      <w:r w:rsidR="00FA011D" w:rsidRPr="001A1836">
        <w:t xml:space="preserve">shall </w:t>
      </w:r>
      <w:r w:rsidRPr="001A1836">
        <w:t xml:space="preserve">provide on </w:t>
      </w:r>
      <w:r w:rsidR="00FA011D" w:rsidRPr="001A1836">
        <w:t xml:space="preserve">HSE’s </w:t>
      </w:r>
      <w:r w:rsidRPr="001A1836">
        <w:t>request</w:t>
      </w:r>
      <w:r w:rsidR="00A63144" w:rsidRPr="001A1836">
        <w:t xml:space="preserve"> </w:t>
      </w:r>
      <w:r w:rsidRPr="001A1836">
        <w:t>support</w:t>
      </w:r>
      <w:r w:rsidR="00D02BB4" w:rsidRPr="001A1836">
        <w:t xml:space="preserve"> </w:t>
      </w:r>
      <w:r w:rsidR="00557F98" w:rsidRPr="001A1836">
        <w:t>in respect</w:t>
      </w:r>
      <w:r w:rsidR="00D02BB4" w:rsidRPr="001A1836">
        <w:t xml:space="preserve"> of other areas of work </w:t>
      </w:r>
      <w:r w:rsidR="00FA011D" w:rsidRPr="001A1836">
        <w:t>including</w:t>
      </w:r>
      <w:r w:rsidR="00D02BB4" w:rsidRPr="001A1836">
        <w:t xml:space="preserve"> gas safety stakeholder events, gas safety standards work, technical wr</w:t>
      </w:r>
      <w:r w:rsidR="002C6FB5" w:rsidRPr="001A1836">
        <w:t>iting, local advice, attending technical c</w:t>
      </w:r>
      <w:r w:rsidR="00D02BB4" w:rsidRPr="001A1836">
        <w:t>ommittees</w:t>
      </w:r>
      <w:r w:rsidR="00AC2383" w:rsidRPr="001A1836">
        <w:t xml:space="preserve"> (including international committees)</w:t>
      </w:r>
      <w:r w:rsidR="00D02BB4" w:rsidRPr="001A1836">
        <w:t>, supporting regional and national gas safety training initiatives for HSE staff, and local advisory and technical support on gas safety issues.</w:t>
      </w:r>
      <w:r w:rsidR="00426183" w:rsidRPr="001A1836">
        <w:t xml:space="preserve"> </w:t>
      </w:r>
    </w:p>
    <w:p w14:paraId="069E190B" w14:textId="77777777" w:rsidR="00D02BB4" w:rsidRPr="001A1836" w:rsidRDefault="00D02BB4" w:rsidP="007A29C3">
      <w:pPr>
        <w:rPr>
          <w:b/>
          <w:i/>
        </w:rPr>
      </w:pPr>
      <w:bookmarkStart w:id="378" w:name="_Toc501354473"/>
      <w:bookmarkStart w:id="379" w:name="_Toc507743987"/>
      <w:bookmarkStart w:id="380" w:name="_Toc521326966"/>
      <w:bookmarkStart w:id="381" w:name="_Toc521484720"/>
      <w:bookmarkStart w:id="382" w:name="_Toc521485051"/>
      <w:bookmarkStart w:id="383" w:name="_Toc521496231"/>
      <w:r w:rsidRPr="001A1836">
        <w:rPr>
          <w:b/>
          <w:i/>
        </w:rPr>
        <w:t xml:space="preserve">Gas </w:t>
      </w:r>
      <w:r w:rsidR="00C27D4F" w:rsidRPr="001A1836">
        <w:rPr>
          <w:b/>
          <w:i/>
        </w:rPr>
        <w:t>s</w:t>
      </w:r>
      <w:r w:rsidRPr="001A1836">
        <w:rPr>
          <w:b/>
          <w:i/>
        </w:rPr>
        <w:t xml:space="preserve">afety </w:t>
      </w:r>
      <w:r w:rsidR="00C27D4F" w:rsidRPr="001A1836">
        <w:rPr>
          <w:b/>
          <w:i/>
        </w:rPr>
        <w:t>a</w:t>
      </w:r>
      <w:r w:rsidRPr="001A1836">
        <w:rPr>
          <w:b/>
          <w:i/>
        </w:rPr>
        <w:t xml:space="preserve">wareness </w:t>
      </w:r>
      <w:r w:rsidR="00C27D4F" w:rsidRPr="001A1836">
        <w:rPr>
          <w:b/>
          <w:i/>
        </w:rPr>
        <w:t>t</w:t>
      </w:r>
      <w:r w:rsidRPr="001A1836">
        <w:rPr>
          <w:b/>
          <w:i/>
        </w:rPr>
        <w:t xml:space="preserve">raining to </w:t>
      </w:r>
      <w:r w:rsidR="00C27D4F" w:rsidRPr="001A1836">
        <w:rPr>
          <w:b/>
          <w:i/>
        </w:rPr>
        <w:t>e</w:t>
      </w:r>
      <w:r w:rsidRPr="001A1836">
        <w:rPr>
          <w:b/>
          <w:i/>
        </w:rPr>
        <w:t xml:space="preserve">nforcement </w:t>
      </w:r>
      <w:r w:rsidR="00C27D4F" w:rsidRPr="001A1836">
        <w:rPr>
          <w:b/>
          <w:i/>
        </w:rPr>
        <w:t>b</w:t>
      </w:r>
      <w:r w:rsidRPr="001A1836">
        <w:rPr>
          <w:b/>
          <w:i/>
        </w:rPr>
        <w:t>odies</w:t>
      </w:r>
      <w:bookmarkEnd w:id="378"/>
      <w:bookmarkEnd w:id="379"/>
      <w:bookmarkEnd w:id="380"/>
      <w:bookmarkEnd w:id="381"/>
      <w:bookmarkEnd w:id="382"/>
      <w:bookmarkEnd w:id="383"/>
    </w:p>
    <w:p w14:paraId="069E190C" w14:textId="476B09B6" w:rsidR="00E46494" w:rsidRPr="001A1836" w:rsidRDefault="00D02BB4">
      <w:pPr>
        <w:pStyle w:val="GSRL4numberedclause"/>
        <w:spacing w:line="276" w:lineRule="auto"/>
      </w:pPr>
      <w:r w:rsidRPr="001A1836">
        <w:t xml:space="preserve">General gas safety awareness training </w:t>
      </w:r>
      <w:r w:rsidR="00FA011D" w:rsidRPr="001A1836">
        <w:t xml:space="preserve">shall </w:t>
      </w:r>
      <w:r w:rsidRPr="001A1836">
        <w:t xml:space="preserve">be provided </w:t>
      </w:r>
      <w:r w:rsidR="008A5CCB" w:rsidRPr="001A1836">
        <w:t xml:space="preserve">to </w:t>
      </w:r>
      <w:r w:rsidRPr="001A1836">
        <w:t>HSE</w:t>
      </w:r>
      <w:r w:rsidR="008D5601" w:rsidRPr="001A1836">
        <w:t xml:space="preserve"> or another enforcement body</w:t>
      </w:r>
      <w:r w:rsidR="008A5CCB" w:rsidRPr="001A1836">
        <w:t xml:space="preserve"> as and when </w:t>
      </w:r>
      <w:r w:rsidR="009B31EF" w:rsidRPr="001A1836">
        <w:t xml:space="preserve">reasonably </w:t>
      </w:r>
      <w:r w:rsidR="008A5CCB" w:rsidRPr="001A1836">
        <w:t>requested</w:t>
      </w:r>
      <w:r w:rsidR="0076126B" w:rsidRPr="001A1836">
        <w:t xml:space="preserve"> </w:t>
      </w:r>
      <w:r w:rsidR="008A5CCB" w:rsidRPr="001A1836">
        <w:t xml:space="preserve">and </w:t>
      </w:r>
      <w:r w:rsidR="0076126B" w:rsidRPr="001A1836">
        <w:t>subject to approval by HSE</w:t>
      </w:r>
      <w:r w:rsidR="008D5601" w:rsidRPr="001A1836">
        <w:t>.</w:t>
      </w:r>
    </w:p>
    <w:p w14:paraId="069E190D" w14:textId="53CD510B" w:rsidR="00E46494" w:rsidRPr="001A1836" w:rsidRDefault="00E46494">
      <w:pPr>
        <w:pStyle w:val="GSRL3heading"/>
        <w:spacing w:line="276" w:lineRule="auto"/>
      </w:pPr>
      <w:bookmarkStart w:id="384" w:name="_Toc501354474"/>
      <w:bookmarkStart w:id="385" w:name="_Toc507743988"/>
      <w:bookmarkStart w:id="386" w:name="_Toc521326967"/>
      <w:bookmarkStart w:id="387" w:name="_Toc521333205"/>
      <w:bookmarkStart w:id="388" w:name="_Toc521483963"/>
      <w:bookmarkStart w:id="389" w:name="_Toc521484721"/>
      <w:bookmarkStart w:id="390" w:name="_Toc521485052"/>
      <w:bookmarkStart w:id="391" w:name="_Toc521496232"/>
      <w:bookmarkStart w:id="392" w:name="_Toc521496765"/>
      <w:bookmarkStart w:id="393" w:name="_Toc521498207"/>
      <w:bookmarkStart w:id="394" w:name="_Toc521500291"/>
      <w:bookmarkStart w:id="395" w:name="_Toc529345945"/>
      <w:bookmarkStart w:id="396" w:name="_Toc129038138"/>
      <w:bookmarkStart w:id="397" w:name="_Toc129038424"/>
      <w:bookmarkStart w:id="398" w:name="_Toc132267994"/>
      <w:bookmarkStart w:id="399" w:name="_Toc132268300"/>
      <w:bookmarkStart w:id="400" w:name="_Toc136198549"/>
      <w:bookmarkStart w:id="401" w:name="_Toc136198830"/>
      <w:r w:rsidRPr="001A1836">
        <w:t>Maintain a</w:t>
      </w:r>
      <w:r w:rsidR="003F7E74" w:rsidRPr="001A1836">
        <w:t>n</w:t>
      </w:r>
      <w:r w:rsidRPr="001A1836">
        <w:t xml:space="preserve"> illegal </w:t>
      </w:r>
      <w:r w:rsidR="000C1F5C" w:rsidRPr="001A1836">
        <w:t>Gas Work</w:t>
      </w:r>
      <w:r w:rsidRPr="001A1836">
        <w:t xml:space="preserve"> investigation </w:t>
      </w:r>
      <w:r w:rsidR="007B77E9" w:rsidRPr="001A1836">
        <w:t>function</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069E190E" w14:textId="77777777" w:rsidR="002D6C4D" w:rsidRPr="001A1836" w:rsidRDefault="00E46494">
      <w:pPr>
        <w:pStyle w:val="GSRL4numberedclause"/>
        <w:spacing w:line="276" w:lineRule="auto"/>
      </w:pPr>
      <w:r w:rsidRPr="001A1836">
        <w:t xml:space="preserve">The </w:t>
      </w:r>
      <w:r w:rsidR="0086594C" w:rsidRPr="001A1836">
        <w:t>Provider</w:t>
      </w:r>
      <w:r w:rsidRPr="001A1836">
        <w:t xml:space="preserve"> </w:t>
      </w:r>
      <w:r w:rsidR="007E7A18" w:rsidRPr="001A1836">
        <w:t xml:space="preserve">shall </w:t>
      </w:r>
      <w:r w:rsidRPr="001A1836">
        <w:t>maintain</w:t>
      </w:r>
      <w:r w:rsidR="00CF57D5" w:rsidRPr="001A1836">
        <w:t xml:space="preserve"> an</w:t>
      </w:r>
      <w:r w:rsidRPr="001A1836">
        <w:t xml:space="preserve"> </w:t>
      </w:r>
      <w:r w:rsidR="00DF552A" w:rsidRPr="001A1836">
        <w:t xml:space="preserve">appropriately resourced </w:t>
      </w:r>
      <w:r w:rsidR="00CF57D5" w:rsidRPr="001A1836">
        <w:t>function to</w:t>
      </w:r>
      <w:r w:rsidRPr="001A1836">
        <w:t xml:space="preserve"> </w:t>
      </w:r>
      <w:r w:rsidR="000167A7" w:rsidRPr="001A1836">
        <w:t>research and investigate</w:t>
      </w:r>
      <w:r w:rsidR="00CF57D5" w:rsidRPr="001A1836">
        <w:t xml:space="preserve"> </w:t>
      </w:r>
      <w:r w:rsidR="00141A0E" w:rsidRPr="001A1836">
        <w:t>G</w:t>
      </w:r>
      <w:r w:rsidR="00CF57D5" w:rsidRPr="001A1836">
        <w:t xml:space="preserve">as </w:t>
      </w:r>
      <w:r w:rsidR="00141A0E" w:rsidRPr="001A1836">
        <w:t>W</w:t>
      </w:r>
      <w:r w:rsidR="00CF57D5" w:rsidRPr="001A1836">
        <w:t>ork performed by unregistered b</w:t>
      </w:r>
      <w:r w:rsidRPr="001A1836">
        <w:t>usi</w:t>
      </w:r>
      <w:r w:rsidR="00D8389D" w:rsidRPr="001A1836">
        <w:t xml:space="preserve">ness and </w:t>
      </w:r>
      <w:r w:rsidR="000E06AE" w:rsidRPr="001A1836">
        <w:t>gas fitters</w:t>
      </w:r>
      <w:r w:rsidR="00670058" w:rsidRPr="001A1836">
        <w:t>.</w:t>
      </w:r>
      <w:r w:rsidRPr="001A1836">
        <w:t xml:space="preserve"> </w:t>
      </w:r>
    </w:p>
    <w:p w14:paraId="069E190F" w14:textId="77777777" w:rsidR="002D6C4D" w:rsidRPr="001A1836" w:rsidRDefault="00E46494">
      <w:pPr>
        <w:pStyle w:val="GSRL4numberedclause"/>
        <w:spacing w:line="276" w:lineRule="auto"/>
      </w:pPr>
      <w:r w:rsidRPr="001A1836">
        <w:t xml:space="preserve">The </w:t>
      </w:r>
      <w:r w:rsidR="00CF57D5" w:rsidRPr="001A1836">
        <w:t>function</w:t>
      </w:r>
      <w:r w:rsidRPr="001A1836">
        <w:t xml:space="preserve"> </w:t>
      </w:r>
      <w:r w:rsidR="003F0B4E" w:rsidRPr="001A1836">
        <w:t xml:space="preserve">shall </w:t>
      </w:r>
      <w:r w:rsidRPr="001A1836">
        <w:t>enforce the Rules of Registration and Competence Criteria for R</w:t>
      </w:r>
      <w:r w:rsidR="00CF57D5" w:rsidRPr="001A1836">
        <w:t>egistration and, in respect of unregistered b</w:t>
      </w:r>
      <w:r w:rsidRPr="001A1836">
        <w:t>usiness</w:t>
      </w:r>
      <w:r w:rsidR="00D264CA" w:rsidRPr="001A1836">
        <w:t xml:space="preserve">es and </w:t>
      </w:r>
      <w:r w:rsidR="0045243C" w:rsidRPr="001A1836">
        <w:t>gas fitters</w:t>
      </w:r>
      <w:r w:rsidRPr="001A1836">
        <w:t xml:space="preserve">, shall: </w:t>
      </w:r>
    </w:p>
    <w:p w14:paraId="069E1910" w14:textId="77777777" w:rsidR="002D6C4D" w:rsidRPr="001A1836" w:rsidRDefault="00E46494">
      <w:pPr>
        <w:pStyle w:val="GSRL5numberedclause"/>
        <w:spacing w:line="276" w:lineRule="auto"/>
      </w:pPr>
      <w:r w:rsidRPr="001A1836">
        <w:t xml:space="preserve">encourage registration; </w:t>
      </w:r>
    </w:p>
    <w:p w14:paraId="069E1911" w14:textId="77777777" w:rsidR="002D6C4D" w:rsidRPr="001A1836" w:rsidRDefault="00CF57D5">
      <w:pPr>
        <w:pStyle w:val="GSRL5numberedclause"/>
        <w:spacing w:line="276" w:lineRule="auto"/>
      </w:pPr>
      <w:r w:rsidRPr="001A1836">
        <w:t>identify a range of approaches and channels to communicate the key message</w:t>
      </w:r>
      <w:r w:rsidR="00E46494" w:rsidRPr="001A1836">
        <w:t xml:space="preserve"> that they are acting illegally; </w:t>
      </w:r>
    </w:p>
    <w:p w14:paraId="069E1912" w14:textId="77777777" w:rsidR="002D6C4D" w:rsidRPr="001A1836" w:rsidRDefault="00CF57D5">
      <w:pPr>
        <w:pStyle w:val="GSRL5numberedclause"/>
        <w:spacing w:line="276" w:lineRule="auto"/>
      </w:pPr>
      <w:r w:rsidRPr="001A1836">
        <w:t>advise them</w:t>
      </w:r>
      <w:r w:rsidR="00E46494" w:rsidRPr="001A1836">
        <w:t xml:space="preserve"> to cease such illegal activities; </w:t>
      </w:r>
    </w:p>
    <w:p w14:paraId="069E1913" w14:textId="06AAF78E" w:rsidR="002D6C4D" w:rsidRPr="001A1836" w:rsidRDefault="00E46494">
      <w:pPr>
        <w:pStyle w:val="GSRL5numberedclause"/>
        <w:spacing w:line="276" w:lineRule="auto"/>
      </w:pPr>
      <w:r w:rsidRPr="001A1836">
        <w:t>ensure that all communications w</w:t>
      </w:r>
      <w:r w:rsidR="00CF57D5" w:rsidRPr="001A1836">
        <w:t>ith unregistered b</w:t>
      </w:r>
      <w:r w:rsidRPr="001A1836">
        <w:t xml:space="preserve">usinesses and </w:t>
      </w:r>
      <w:r w:rsidR="000E06AE" w:rsidRPr="001A1836">
        <w:t xml:space="preserve">gas fitters </w:t>
      </w:r>
      <w:r w:rsidRPr="001A1836">
        <w:t>are adequately documented and recorded to ensure they are suita</w:t>
      </w:r>
      <w:r w:rsidR="00CF57D5" w:rsidRPr="001A1836">
        <w:t xml:space="preserve">ble </w:t>
      </w:r>
      <w:r w:rsidR="007E7A18" w:rsidRPr="001A1836">
        <w:t>to support</w:t>
      </w:r>
      <w:r w:rsidR="00CF57D5" w:rsidRPr="001A1836">
        <w:t xml:space="preserve"> any prosecution; </w:t>
      </w:r>
    </w:p>
    <w:p w14:paraId="069E1914" w14:textId="77777777" w:rsidR="002D6C4D" w:rsidRPr="001A1836" w:rsidRDefault="00CF57D5">
      <w:pPr>
        <w:pStyle w:val="GSRL5numberedclause"/>
        <w:spacing w:line="276" w:lineRule="auto"/>
      </w:pPr>
      <w:r w:rsidRPr="001A1836">
        <w:t>prepare</w:t>
      </w:r>
      <w:r w:rsidR="00E46494" w:rsidRPr="001A1836">
        <w:t xml:space="preserve"> documents and evidence to be passed</w:t>
      </w:r>
      <w:r w:rsidRPr="001A1836">
        <w:t xml:space="preserve"> to HSE to support prosecutions;</w:t>
      </w:r>
    </w:p>
    <w:p w14:paraId="069E1915" w14:textId="6A161F2D" w:rsidR="002D6C4D" w:rsidRPr="001A1836" w:rsidRDefault="00B23C3B">
      <w:pPr>
        <w:pStyle w:val="GSRL5numberedclause"/>
        <w:spacing w:line="276" w:lineRule="auto"/>
      </w:pPr>
      <w:r w:rsidRPr="001A1836">
        <w:lastRenderedPageBreak/>
        <w:t xml:space="preserve">ensure that </w:t>
      </w:r>
      <w:r w:rsidR="00154940">
        <w:t>I</w:t>
      </w:r>
      <w:r w:rsidR="00CF57D5" w:rsidRPr="001A1836">
        <w:t xml:space="preserve">nspectors and other staff members as required provide witness statements, prepare reports and give evidence as may be requested by a Regulatory Body; and </w:t>
      </w:r>
    </w:p>
    <w:p w14:paraId="069E1916" w14:textId="77777777" w:rsidR="00CF57D5" w:rsidRPr="001A1836" w:rsidRDefault="00CF57D5">
      <w:pPr>
        <w:pStyle w:val="GSRL5numberedclause"/>
        <w:spacing w:line="276" w:lineRule="auto"/>
      </w:pPr>
      <w:r w:rsidRPr="001A1836">
        <w:t>establish and maintain a process with HSE, by way of the Concordat, for the escalation of cases for consideration for prosecution, and the presentation of evidence in respect of such cases.</w:t>
      </w:r>
    </w:p>
    <w:p w14:paraId="069E1917" w14:textId="77777777" w:rsidR="00CF57D5" w:rsidRPr="001A1836" w:rsidRDefault="00CF57D5">
      <w:pPr>
        <w:pStyle w:val="GSRL4numberedclause"/>
        <w:spacing w:line="276" w:lineRule="auto"/>
      </w:pPr>
      <w:r w:rsidRPr="001A1836">
        <w:t xml:space="preserve">The </w:t>
      </w:r>
      <w:r w:rsidR="0086594C" w:rsidRPr="001A1836">
        <w:t>Provider</w:t>
      </w:r>
      <w:r w:rsidR="00E46494" w:rsidRPr="001A1836">
        <w:t xml:space="preserve"> </w:t>
      </w:r>
      <w:r w:rsidR="00516CE7" w:rsidRPr="001A1836">
        <w:t>shall</w:t>
      </w:r>
      <w:r w:rsidR="00E46494" w:rsidRPr="001A1836">
        <w:t xml:space="preserve"> not undertake prosecutions.</w:t>
      </w:r>
    </w:p>
    <w:p w14:paraId="069E191D" w14:textId="3DE1A543" w:rsidR="001501FC" w:rsidRPr="001A1836" w:rsidRDefault="001501FC">
      <w:pPr>
        <w:pStyle w:val="GSRL3heading"/>
      </w:pPr>
      <w:bookmarkStart w:id="402" w:name="_Toc501354475"/>
      <w:bookmarkStart w:id="403" w:name="_Toc507743989"/>
      <w:bookmarkStart w:id="404" w:name="_Toc521326968"/>
      <w:bookmarkStart w:id="405" w:name="_Toc521333206"/>
      <w:bookmarkStart w:id="406" w:name="_Toc521483964"/>
      <w:bookmarkStart w:id="407" w:name="_Toc521484722"/>
      <w:bookmarkStart w:id="408" w:name="_Toc521485053"/>
      <w:bookmarkStart w:id="409" w:name="_Toc521496233"/>
      <w:bookmarkStart w:id="410" w:name="_Toc521496766"/>
      <w:bookmarkStart w:id="411" w:name="_Toc521498208"/>
      <w:bookmarkStart w:id="412" w:name="_Toc521500292"/>
      <w:bookmarkStart w:id="413" w:name="_Toc529345946"/>
      <w:bookmarkStart w:id="414" w:name="_Toc129038139"/>
      <w:bookmarkStart w:id="415" w:name="_Toc129038425"/>
      <w:bookmarkStart w:id="416" w:name="_Toc132267995"/>
      <w:bookmarkStart w:id="417" w:name="_Toc132268301"/>
      <w:bookmarkStart w:id="418" w:name="_Toc136198550"/>
      <w:bookmarkStart w:id="419" w:name="_Toc136198831"/>
      <w:r w:rsidRPr="001A1836">
        <w:t xml:space="preserve">Facilitate notification of </w:t>
      </w:r>
      <w:r w:rsidR="000C1F5C" w:rsidRPr="001A1836">
        <w:t>Gas Work</w:t>
      </w:r>
      <w:r w:rsidRPr="001A1836">
        <w:t xml:space="preserve"> under the Building Regulations</w:t>
      </w:r>
      <w:bookmarkEnd w:id="402"/>
      <w:bookmarkEnd w:id="403"/>
      <w:r w:rsidRPr="001A1836">
        <w:t xml:space="preserve"> </w:t>
      </w:r>
      <w:r w:rsidR="00141A0E" w:rsidRPr="001A1836">
        <w:t>(England &amp; Wales)</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069E191E" w14:textId="36D9260E" w:rsidR="001501FC" w:rsidRPr="001A1836" w:rsidRDefault="001501FC" w:rsidP="00117861">
      <w:pPr>
        <w:pStyle w:val="GSRL4numberedclause"/>
        <w:spacing w:line="276" w:lineRule="auto"/>
      </w:pPr>
      <w:r w:rsidRPr="001A1836">
        <w:t>In England and Wales, the Building Regulations</w:t>
      </w:r>
      <w:r w:rsidR="00AC2383" w:rsidRPr="001A1836">
        <w:t xml:space="preserve"> </w:t>
      </w:r>
      <w:r w:rsidRPr="001A1836">
        <w:t xml:space="preserve">require all </w:t>
      </w:r>
      <w:r w:rsidR="00141A0E" w:rsidRPr="001A1836">
        <w:t>l</w:t>
      </w:r>
      <w:r w:rsidRPr="001A1836">
        <w:t xml:space="preserve">ocal </w:t>
      </w:r>
      <w:r w:rsidR="00141A0E" w:rsidRPr="001A1836">
        <w:t>a</w:t>
      </w:r>
      <w:r w:rsidRPr="001A1836">
        <w:t>uthorities to be informed w</w:t>
      </w:r>
      <w:r w:rsidR="009B77C4" w:rsidRPr="001A1836">
        <w:t xml:space="preserve">ithin </w:t>
      </w:r>
      <w:r w:rsidR="00DD1E9F" w:rsidRPr="001A1836">
        <w:t>thirty (</w:t>
      </w:r>
      <w:r w:rsidR="009B77C4" w:rsidRPr="001A1836">
        <w:t>30</w:t>
      </w:r>
      <w:r w:rsidR="00DD1E9F" w:rsidRPr="001A1836">
        <w:t>)</w:t>
      </w:r>
      <w:r w:rsidR="009B77C4" w:rsidRPr="001A1836">
        <w:t xml:space="preserve"> </w:t>
      </w:r>
      <w:r w:rsidR="00DD1E9F" w:rsidRPr="001A1836">
        <w:t>W</w:t>
      </w:r>
      <w:r w:rsidR="009B77C4" w:rsidRPr="001A1836">
        <w:t xml:space="preserve">orking </w:t>
      </w:r>
      <w:r w:rsidR="00DD1E9F" w:rsidRPr="001A1836">
        <w:t>D</w:t>
      </w:r>
      <w:r w:rsidR="009B77C4" w:rsidRPr="001A1836">
        <w:t>ays of a heat-</w:t>
      </w:r>
      <w:r w:rsidRPr="001A1836">
        <w:t>producing appliance being installed in a property.</w:t>
      </w:r>
      <w:r w:rsidR="009B77C4" w:rsidRPr="001A1836">
        <w:t xml:space="preserve"> This function </w:t>
      </w:r>
      <w:r w:rsidR="00790BFC" w:rsidRPr="001A1836">
        <w:t xml:space="preserve">shall </w:t>
      </w:r>
      <w:r w:rsidR="009B77C4" w:rsidRPr="001A1836">
        <w:t xml:space="preserve">be </w:t>
      </w:r>
      <w:r w:rsidR="00141A0E" w:rsidRPr="001A1836">
        <w:t>facilitated</w:t>
      </w:r>
      <w:r w:rsidR="009B77C4" w:rsidRPr="001A1836">
        <w:t xml:space="preserve"> by the </w:t>
      </w:r>
      <w:r w:rsidR="0086594C" w:rsidRPr="001A1836">
        <w:t>Provider</w:t>
      </w:r>
      <w:r w:rsidR="00C128E2" w:rsidRPr="001A1836">
        <w:t>.</w:t>
      </w:r>
      <w:r w:rsidR="00117861">
        <w:t xml:space="preserve"> </w:t>
      </w:r>
      <w:r w:rsidR="00117861" w:rsidRPr="00117861">
        <w:t>Gas Safe Register is currently listed as a self-certifi</w:t>
      </w:r>
      <w:r w:rsidR="00117861">
        <w:t>cation scheme in Schedule 3 of t</w:t>
      </w:r>
      <w:r w:rsidR="00117861" w:rsidRPr="00117861">
        <w:t>he Building Regulations.</w:t>
      </w:r>
    </w:p>
    <w:p w14:paraId="069E191F" w14:textId="77777777" w:rsidR="001501FC" w:rsidRPr="001A1836" w:rsidRDefault="001501FC">
      <w:pPr>
        <w:pStyle w:val="GSRL4numberedclause"/>
        <w:spacing w:line="276" w:lineRule="auto"/>
      </w:pPr>
      <w:r w:rsidRPr="001A1836">
        <w:t>The Building Regulations and Gas Safe</w:t>
      </w:r>
      <w:r w:rsidR="009B77C4" w:rsidRPr="001A1836">
        <w:t xml:space="preserve"> Register’s</w:t>
      </w:r>
      <w:r w:rsidRPr="001A1836">
        <w:t xml:space="preserve"> </w:t>
      </w:r>
      <w:r w:rsidR="00141A0E" w:rsidRPr="001A1836">
        <w:t>R</w:t>
      </w:r>
      <w:r w:rsidRPr="001A1836">
        <w:t xml:space="preserve">ules of </w:t>
      </w:r>
      <w:r w:rsidR="00141A0E" w:rsidRPr="001A1836">
        <w:t>R</w:t>
      </w:r>
      <w:r w:rsidRPr="001A1836">
        <w:t xml:space="preserve">egistration require that Gas Safe registered businesses comply with their </w:t>
      </w:r>
      <w:r w:rsidR="00B41FBD" w:rsidRPr="001A1836">
        <w:t>requirement</w:t>
      </w:r>
      <w:r w:rsidRPr="001A1836">
        <w:t xml:space="preserve">s by notifying (i.e. self-certifying) any relevant appliances </w:t>
      </w:r>
      <w:r w:rsidR="005F30E4" w:rsidRPr="001A1836">
        <w:t xml:space="preserve">they have </w:t>
      </w:r>
      <w:r w:rsidRPr="001A1836">
        <w:t xml:space="preserve">installed to the </w:t>
      </w:r>
      <w:r w:rsidR="00141A0E" w:rsidRPr="001A1836">
        <w:t>l</w:t>
      </w:r>
      <w:r w:rsidRPr="001A1836">
        <w:t xml:space="preserve">ocal </w:t>
      </w:r>
      <w:r w:rsidR="00141A0E" w:rsidRPr="001A1836">
        <w:t>a</w:t>
      </w:r>
      <w:r w:rsidRPr="001A1836">
        <w:t xml:space="preserve">uthority. </w:t>
      </w:r>
    </w:p>
    <w:p w14:paraId="069E1920" w14:textId="43CD3CF7" w:rsidR="001501FC" w:rsidRPr="001A1836" w:rsidRDefault="001501FC">
      <w:pPr>
        <w:pStyle w:val="GSRL4numberedclause"/>
        <w:spacing w:line="276" w:lineRule="auto"/>
      </w:pPr>
      <w:r w:rsidRPr="001A1836">
        <w:t xml:space="preserve">The </w:t>
      </w:r>
      <w:r w:rsidR="0086594C" w:rsidRPr="001A1836">
        <w:t>Provider</w:t>
      </w:r>
      <w:r w:rsidRPr="001A1836">
        <w:t xml:space="preserve"> </w:t>
      </w:r>
      <w:r w:rsidR="007E7A18" w:rsidRPr="001A1836">
        <w:t xml:space="preserve">shall </w:t>
      </w:r>
      <w:r w:rsidRPr="001A1836">
        <w:t xml:space="preserve">ensure there is the facility for </w:t>
      </w:r>
      <w:r w:rsidR="008A5CCB" w:rsidRPr="001A1836">
        <w:t>R</w:t>
      </w:r>
      <w:r w:rsidRPr="001A1836">
        <w:t xml:space="preserve">egistered </w:t>
      </w:r>
      <w:r w:rsidR="008A5CCB" w:rsidRPr="001A1836">
        <w:t>B</w:t>
      </w:r>
      <w:r w:rsidRPr="001A1836">
        <w:t>usinesses</w:t>
      </w:r>
      <w:r w:rsidR="008A5CCB" w:rsidRPr="001A1836">
        <w:t xml:space="preserve"> and E</w:t>
      </w:r>
      <w:r w:rsidRPr="001A1836">
        <w:t xml:space="preserve">ngineers to notify </w:t>
      </w:r>
      <w:r w:rsidR="007D78D1" w:rsidRPr="001A1836">
        <w:t xml:space="preserve">the installation of any relevant appliances in accordance with the Building </w:t>
      </w:r>
      <w:r w:rsidR="008A5CCB" w:rsidRPr="001A1836">
        <w:t>R</w:t>
      </w:r>
      <w:r w:rsidR="007D78D1" w:rsidRPr="001A1836">
        <w:t>egulations</w:t>
      </w:r>
      <w:r w:rsidR="00790BFC" w:rsidRPr="001A1836">
        <w:t xml:space="preserve"> to the local authority via the Provider</w:t>
      </w:r>
      <w:r w:rsidR="007D78D1" w:rsidRPr="001A1836">
        <w:t>. Such</w:t>
      </w:r>
      <w:r w:rsidR="00DF6810" w:rsidRPr="001A1836">
        <w:t xml:space="preserve"> noti</w:t>
      </w:r>
      <w:r w:rsidR="007D78D1" w:rsidRPr="001A1836">
        <w:t>fications</w:t>
      </w:r>
      <w:r w:rsidR="00DF6810" w:rsidRPr="001A1836">
        <w:t xml:space="preserve"> shall be capable of </w:t>
      </w:r>
      <w:r w:rsidR="008A5CCB" w:rsidRPr="001A1836">
        <w:t>b</w:t>
      </w:r>
      <w:r w:rsidR="00DF6810" w:rsidRPr="001A1836">
        <w:t>eing</w:t>
      </w:r>
      <w:r w:rsidR="009B77C4" w:rsidRPr="001A1836">
        <w:rPr>
          <w:lang w:eastAsia="en-GB"/>
        </w:rPr>
        <w:t xml:space="preserve"> submitted online</w:t>
      </w:r>
      <w:r w:rsidR="00DF6810" w:rsidRPr="001A1836">
        <w:rPr>
          <w:lang w:eastAsia="en-GB"/>
        </w:rPr>
        <w:t xml:space="preserve"> via the Gas Safe Register website</w:t>
      </w:r>
      <w:r w:rsidR="009B77C4" w:rsidRPr="001A1836">
        <w:rPr>
          <w:lang w:eastAsia="en-GB"/>
        </w:rPr>
        <w:t xml:space="preserve">, by phone or via an </w:t>
      </w:r>
      <w:r w:rsidR="004C4615" w:rsidRPr="001A1836">
        <w:rPr>
          <w:lang w:eastAsia="en-GB"/>
        </w:rPr>
        <w:t>A</w:t>
      </w:r>
      <w:r w:rsidR="009B77C4" w:rsidRPr="001A1836">
        <w:rPr>
          <w:lang w:eastAsia="en-GB"/>
        </w:rPr>
        <w:t xml:space="preserve">pproved </w:t>
      </w:r>
      <w:r w:rsidR="004C4615" w:rsidRPr="001A1836">
        <w:rPr>
          <w:lang w:eastAsia="en-GB"/>
        </w:rPr>
        <w:t>T</w:t>
      </w:r>
      <w:r w:rsidR="009B77C4" w:rsidRPr="001A1836">
        <w:rPr>
          <w:lang w:eastAsia="en-GB"/>
        </w:rPr>
        <w:t xml:space="preserve">hird </w:t>
      </w:r>
      <w:r w:rsidR="004C4615" w:rsidRPr="001A1836">
        <w:rPr>
          <w:lang w:eastAsia="en-GB"/>
        </w:rPr>
        <w:t>P</w:t>
      </w:r>
      <w:r w:rsidR="009B77C4" w:rsidRPr="001A1836">
        <w:rPr>
          <w:lang w:eastAsia="en-GB"/>
        </w:rPr>
        <w:t>arty (eg manufacturer) via API.</w:t>
      </w:r>
      <w:r w:rsidR="009B77C4" w:rsidRPr="001A1836">
        <w:t xml:space="preserve"> </w:t>
      </w:r>
    </w:p>
    <w:p w14:paraId="069E1921" w14:textId="77777777" w:rsidR="001501FC" w:rsidRPr="001A1836" w:rsidRDefault="001501FC">
      <w:pPr>
        <w:pStyle w:val="GSRL4numberedclause"/>
        <w:spacing w:line="276" w:lineRule="auto"/>
        <w:rPr>
          <w:lang w:eastAsia="en-GB"/>
        </w:rPr>
      </w:pPr>
      <w:bookmarkStart w:id="420" w:name="_Ref507752514"/>
      <w:r w:rsidRPr="001A1836">
        <w:rPr>
          <w:lang w:eastAsia="en-GB"/>
        </w:rPr>
        <w:t>Where such work is reported</w:t>
      </w:r>
      <w:r w:rsidR="005F30E4" w:rsidRPr="001A1836">
        <w:rPr>
          <w:lang w:eastAsia="en-GB"/>
        </w:rPr>
        <w:t xml:space="preserve"> </w:t>
      </w:r>
      <w:r w:rsidR="00141A0E" w:rsidRPr="001A1836">
        <w:rPr>
          <w:lang w:eastAsia="en-GB"/>
        </w:rPr>
        <w:t xml:space="preserve">to the </w:t>
      </w:r>
      <w:r w:rsidR="00790BFC" w:rsidRPr="001A1836">
        <w:rPr>
          <w:lang w:eastAsia="en-GB"/>
        </w:rPr>
        <w:t>Provider</w:t>
      </w:r>
      <w:r w:rsidR="006C7714" w:rsidRPr="001A1836">
        <w:rPr>
          <w:lang w:eastAsia="en-GB"/>
        </w:rPr>
        <w:t>,</w:t>
      </w:r>
      <w:r w:rsidRPr="001A1836">
        <w:rPr>
          <w:lang w:eastAsia="en-GB"/>
        </w:rPr>
        <w:t xml:space="preserve"> the </w:t>
      </w:r>
      <w:r w:rsidR="0086594C" w:rsidRPr="001A1836">
        <w:rPr>
          <w:lang w:eastAsia="en-GB"/>
        </w:rPr>
        <w:t>Provider</w:t>
      </w:r>
      <w:r w:rsidRPr="001A1836">
        <w:rPr>
          <w:lang w:eastAsia="en-GB"/>
        </w:rPr>
        <w:t xml:space="preserve"> </w:t>
      </w:r>
      <w:r w:rsidR="00CF5F1E" w:rsidRPr="001A1836">
        <w:rPr>
          <w:lang w:eastAsia="en-GB"/>
        </w:rPr>
        <w:t>shall</w:t>
      </w:r>
      <w:r w:rsidRPr="001A1836">
        <w:rPr>
          <w:lang w:eastAsia="en-GB"/>
        </w:rPr>
        <w:t xml:space="preserve"> be expected to:</w:t>
      </w:r>
      <w:bookmarkEnd w:id="420"/>
      <w:r w:rsidRPr="001A1836">
        <w:rPr>
          <w:lang w:eastAsia="en-GB"/>
        </w:rPr>
        <w:t xml:space="preserve"> </w:t>
      </w:r>
    </w:p>
    <w:p w14:paraId="069E1922" w14:textId="77777777" w:rsidR="001501FC" w:rsidRPr="001A1836" w:rsidRDefault="001501FC">
      <w:pPr>
        <w:pStyle w:val="GSRL5numberedclause"/>
        <w:spacing w:line="276" w:lineRule="auto"/>
      </w:pPr>
      <w:r w:rsidRPr="001A1836">
        <w:t xml:space="preserve">acknowledge receipt of the report; </w:t>
      </w:r>
    </w:p>
    <w:p w14:paraId="069E1923" w14:textId="67AC4126" w:rsidR="001501FC" w:rsidRPr="001A1836" w:rsidRDefault="0010187F">
      <w:pPr>
        <w:pStyle w:val="GSRL5numberedclause"/>
        <w:spacing w:line="276" w:lineRule="auto"/>
      </w:pPr>
      <w:r w:rsidRPr="001A1836">
        <w:t>check the E</w:t>
      </w:r>
      <w:r w:rsidR="001501FC" w:rsidRPr="001A1836">
        <w:t xml:space="preserve">ngineer who undertook the work is on the Register </w:t>
      </w:r>
      <w:r w:rsidRPr="001A1836">
        <w:t>was</w:t>
      </w:r>
      <w:r w:rsidR="001501FC" w:rsidRPr="001A1836">
        <w:t xml:space="preserve"> compe</w:t>
      </w:r>
      <w:r w:rsidR="002C6FB5" w:rsidRPr="001A1836">
        <w:t xml:space="preserve">tent to undertake such </w:t>
      </w:r>
      <w:r w:rsidR="00F4301F" w:rsidRPr="001A1836">
        <w:t>G</w:t>
      </w:r>
      <w:r w:rsidR="002C6FB5" w:rsidRPr="001A1836">
        <w:t xml:space="preserve">as </w:t>
      </w:r>
      <w:r w:rsidR="00F4301F" w:rsidRPr="001A1836">
        <w:t>W</w:t>
      </w:r>
      <w:r w:rsidR="002C6FB5" w:rsidRPr="001A1836">
        <w:t>ork</w:t>
      </w:r>
      <w:r w:rsidR="009B77C4" w:rsidRPr="001A1836">
        <w:t>;</w:t>
      </w:r>
    </w:p>
    <w:p w14:paraId="069E1924" w14:textId="77777777" w:rsidR="00F50B54" w:rsidRPr="001A1836" w:rsidRDefault="000475FF">
      <w:pPr>
        <w:pStyle w:val="GSRL5numberedclause"/>
        <w:spacing w:line="276" w:lineRule="auto"/>
      </w:pPr>
      <w:r w:rsidRPr="001A1836">
        <w:t xml:space="preserve">record </w:t>
      </w:r>
      <w:r w:rsidR="00DF6810" w:rsidRPr="001A1836">
        <w:t xml:space="preserve">the notification </w:t>
      </w:r>
      <w:r w:rsidRPr="001A1836">
        <w:t xml:space="preserve">against the registration details of the </w:t>
      </w:r>
      <w:r w:rsidR="0010187F" w:rsidRPr="001A1836">
        <w:t>Engineer/B</w:t>
      </w:r>
      <w:r w:rsidRPr="001A1836">
        <w:t>usiness</w:t>
      </w:r>
      <w:r w:rsidR="009B77C4" w:rsidRPr="001A1836">
        <w:t>;</w:t>
      </w:r>
    </w:p>
    <w:p w14:paraId="069E1925" w14:textId="4785BCA6" w:rsidR="00F50B54" w:rsidRPr="001A1836" w:rsidRDefault="00F50B54">
      <w:pPr>
        <w:pStyle w:val="GSRL5numberedclause"/>
        <w:spacing w:line="276" w:lineRule="auto"/>
      </w:pPr>
      <w:r w:rsidRPr="001A1836">
        <w:t>forward notification details to the Local Authority Building Control (LABC)</w:t>
      </w:r>
      <w:r w:rsidR="0010187F" w:rsidRPr="001A1836">
        <w:t xml:space="preserve"> within </w:t>
      </w:r>
      <w:r w:rsidR="00DD1E9F" w:rsidRPr="001A1836">
        <w:t>thirty (</w:t>
      </w:r>
      <w:r w:rsidR="0010187F" w:rsidRPr="001A1836">
        <w:t>30</w:t>
      </w:r>
      <w:r w:rsidR="00DD1E9F" w:rsidRPr="001A1836">
        <w:t>)</w:t>
      </w:r>
      <w:r w:rsidR="0010187F" w:rsidRPr="001A1836">
        <w:t xml:space="preserve"> </w:t>
      </w:r>
      <w:r w:rsidR="00DD1E9F" w:rsidRPr="001A1836">
        <w:t>W</w:t>
      </w:r>
      <w:r w:rsidR="0010187F" w:rsidRPr="001A1836">
        <w:t xml:space="preserve">orking </w:t>
      </w:r>
      <w:r w:rsidR="00DD1E9F" w:rsidRPr="001A1836">
        <w:t>D</w:t>
      </w:r>
      <w:r w:rsidR="0010187F" w:rsidRPr="001A1836">
        <w:t>ays</w:t>
      </w:r>
      <w:r w:rsidRPr="001A1836">
        <w:t xml:space="preserve">; </w:t>
      </w:r>
    </w:p>
    <w:p w14:paraId="069E1926" w14:textId="3B1B1500" w:rsidR="001501FC" w:rsidRPr="001A1836" w:rsidRDefault="001501FC">
      <w:pPr>
        <w:pStyle w:val="GSRL5numberedclause"/>
        <w:spacing w:line="276" w:lineRule="auto"/>
      </w:pPr>
      <w:r w:rsidRPr="001A1836">
        <w:t xml:space="preserve">produce and send a compliance certificate to the consumer for whom the </w:t>
      </w:r>
      <w:r w:rsidR="00790BFC" w:rsidRPr="001A1836">
        <w:t>G</w:t>
      </w:r>
      <w:r w:rsidRPr="001A1836">
        <w:t xml:space="preserve">as </w:t>
      </w:r>
      <w:r w:rsidR="00790BFC" w:rsidRPr="001A1836">
        <w:t>W</w:t>
      </w:r>
      <w:r w:rsidRPr="001A1836">
        <w:t>ork was undertaken</w:t>
      </w:r>
      <w:r w:rsidR="009B77C4" w:rsidRPr="001A1836">
        <w:t xml:space="preserve"> by post within </w:t>
      </w:r>
      <w:r w:rsidR="00DD1E9F" w:rsidRPr="001A1836">
        <w:t>fifteen (</w:t>
      </w:r>
      <w:r w:rsidR="009B77C4" w:rsidRPr="001A1836">
        <w:t>15</w:t>
      </w:r>
      <w:r w:rsidR="00DD1E9F" w:rsidRPr="001A1836">
        <w:t>)</w:t>
      </w:r>
      <w:r w:rsidR="009B77C4" w:rsidRPr="001A1836">
        <w:t xml:space="preserve"> </w:t>
      </w:r>
      <w:r w:rsidR="00F4301F" w:rsidRPr="001A1836">
        <w:t>W</w:t>
      </w:r>
      <w:r w:rsidR="009B77C4" w:rsidRPr="001A1836">
        <w:t xml:space="preserve">orking </w:t>
      </w:r>
      <w:r w:rsidR="00F4301F" w:rsidRPr="001A1836">
        <w:t>D</w:t>
      </w:r>
      <w:r w:rsidR="009B77C4" w:rsidRPr="001A1836">
        <w:t>ays</w:t>
      </w:r>
      <w:r w:rsidRPr="001A1836">
        <w:t>;</w:t>
      </w:r>
      <w:r w:rsidR="00F50B54" w:rsidRPr="001A1836">
        <w:t xml:space="preserve"> and</w:t>
      </w:r>
    </w:p>
    <w:p w14:paraId="069E1927" w14:textId="77777777" w:rsidR="001501FC" w:rsidRPr="001A1836" w:rsidRDefault="001501FC">
      <w:pPr>
        <w:pStyle w:val="GSRL5numberedclause"/>
        <w:spacing w:line="276" w:lineRule="auto"/>
      </w:pPr>
      <w:r w:rsidRPr="001A1836">
        <w:t>issue replacement certificates on request</w:t>
      </w:r>
      <w:r w:rsidR="009B77C4" w:rsidRPr="001A1836">
        <w:t>.</w:t>
      </w:r>
      <w:r w:rsidRPr="001A1836">
        <w:t xml:space="preserve"> </w:t>
      </w:r>
    </w:p>
    <w:p w14:paraId="069E1928" w14:textId="453DA3B1" w:rsidR="000475FF" w:rsidRPr="001A1836" w:rsidRDefault="001501FC">
      <w:pPr>
        <w:pStyle w:val="GSRL4numberedclause"/>
        <w:spacing w:line="276" w:lineRule="auto"/>
      </w:pPr>
      <w:r w:rsidRPr="001A1836">
        <w:t>The</w:t>
      </w:r>
      <w:r w:rsidR="003F7E74" w:rsidRPr="001A1836">
        <w:t xml:space="preserve"> </w:t>
      </w:r>
      <w:r w:rsidR="00E15F6A">
        <w:rPr>
          <w:lang w:val="en"/>
        </w:rPr>
        <w:t>Department for Levelling Up, Housing and Communities</w:t>
      </w:r>
      <w:r w:rsidR="00156434" w:rsidRPr="001A1836">
        <w:t xml:space="preserve"> </w:t>
      </w:r>
      <w:r w:rsidR="003F7E74" w:rsidRPr="001A1836">
        <w:t xml:space="preserve">may occasionally make changes to requirements </w:t>
      </w:r>
      <w:r w:rsidRPr="001A1836">
        <w:t>in accordance with Building Regulations.</w:t>
      </w:r>
      <w:r w:rsidR="003F7E74" w:rsidRPr="001A1836">
        <w:t xml:space="preserve"> The Provider shall make necessary adjustments to the notification facility </w:t>
      </w:r>
      <w:r w:rsidR="005F30E4" w:rsidRPr="001A1836">
        <w:t xml:space="preserve">referred to in paragraph </w:t>
      </w:r>
      <w:r w:rsidR="00197294" w:rsidRPr="001A1836">
        <w:fldChar w:fldCharType="begin"/>
      </w:r>
      <w:r w:rsidR="00197294" w:rsidRPr="001A1836">
        <w:instrText xml:space="preserve"> REF _Ref507752514 \r </w:instrText>
      </w:r>
      <w:r w:rsidR="001A1836">
        <w:instrText xml:space="preserve"> \* MERGEFORMAT </w:instrText>
      </w:r>
      <w:r w:rsidR="00197294" w:rsidRPr="001A1836">
        <w:fldChar w:fldCharType="separate"/>
      </w:r>
      <w:r w:rsidR="00C87D85">
        <w:t>12.4</w:t>
      </w:r>
      <w:r w:rsidR="00197294" w:rsidRPr="001A1836">
        <w:fldChar w:fldCharType="end"/>
      </w:r>
      <w:r w:rsidR="00141A0E" w:rsidRPr="001A1836">
        <w:t xml:space="preserve"> </w:t>
      </w:r>
      <w:r w:rsidR="005F30E4" w:rsidRPr="001A1836">
        <w:t xml:space="preserve">to </w:t>
      </w:r>
      <w:r w:rsidR="003F7E74" w:rsidRPr="001A1836">
        <w:t>accommodate such changes.</w:t>
      </w:r>
    </w:p>
    <w:p w14:paraId="069E192A" w14:textId="77777777" w:rsidR="00DC33BB" w:rsidRPr="001A1836" w:rsidRDefault="00BD5DC4">
      <w:pPr>
        <w:pStyle w:val="GSRL3heading"/>
        <w:spacing w:line="276" w:lineRule="auto"/>
      </w:pPr>
      <w:bookmarkStart w:id="421" w:name="_Toc501354476"/>
      <w:bookmarkStart w:id="422" w:name="_Toc507743990"/>
      <w:bookmarkStart w:id="423" w:name="_Toc521326969"/>
      <w:bookmarkStart w:id="424" w:name="_Toc521333207"/>
      <w:bookmarkStart w:id="425" w:name="_Toc521483965"/>
      <w:bookmarkStart w:id="426" w:name="_Toc521484723"/>
      <w:bookmarkStart w:id="427" w:name="_Toc521485054"/>
      <w:bookmarkStart w:id="428" w:name="_Toc521496234"/>
      <w:bookmarkStart w:id="429" w:name="_Toc521496767"/>
      <w:bookmarkStart w:id="430" w:name="_Toc521498209"/>
      <w:bookmarkStart w:id="431" w:name="_Toc521500293"/>
      <w:bookmarkStart w:id="432" w:name="_Toc529345947"/>
      <w:bookmarkStart w:id="433" w:name="_Toc129038140"/>
      <w:bookmarkStart w:id="434" w:name="_Toc129038426"/>
      <w:bookmarkStart w:id="435" w:name="_Toc132267996"/>
      <w:bookmarkStart w:id="436" w:name="_Toc132268302"/>
      <w:bookmarkStart w:id="437" w:name="_Toc136198551"/>
      <w:bookmarkStart w:id="438" w:name="_Toc136198832"/>
      <w:r w:rsidRPr="001A1836">
        <w:t>P</w:t>
      </w:r>
      <w:r w:rsidR="00E22F1F" w:rsidRPr="001A1836">
        <w:t>rovi</w:t>
      </w:r>
      <w:r w:rsidR="005D5C8A" w:rsidRPr="001A1836">
        <w:t>de</w:t>
      </w:r>
      <w:r w:rsidR="00E22F1F" w:rsidRPr="001A1836">
        <w:t xml:space="preserve"> </w:t>
      </w:r>
      <w:r w:rsidR="00CB0A3D" w:rsidRPr="001A1836">
        <w:t>assistance</w:t>
      </w:r>
      <w:r w:rsidR="00E22F1F" w:rsidRPr="001A1836">
        <w:t xml:space="preserve"> to HSE on </w:t>
      </w:r>
      <w:r w:rsidR="00CB0A3D" w:rsidRPr="001A1836">
        <w:t>all aspects of the management of the Register</w:t>
      </w:r>
      <w:r w:rsidR="0088681F" w:rsidRPr="001A1836">
        <w:t>, including contract management and reporting on performance</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00CB0A3D" w:rsidRPr="001A1836">
        <w:t xml:space="preserve"> </w:t>
      </w:r>
      <w:bookmarkEnd w:id="333"/>
    </w:p>
    <w:p w14:paraId="069E192B" w14:textId="77777777" w:rsidR="00524229" w:rsidRPr="001A1836" w:rsidRDefault="00524229" w:rsidP="007A29C3">
      <w:pPr>
        <w:rPr>
          <w:b/>
          <w:i/>
        </w:rPr>
      </w:pPr>
      <w:bookmarkStart w:id="439" w:name="_Toc501354477"/>
      <w:bookmarkStart w:id="440" w:name="_Toc507743991"/>
      <w:bookmarkStart w:id="441" w:name="_Toc521326970"/>
      <w:bookmarkStart w:id="442" w:name="_Toc521484724"/>
      <w:bookmarkStart w:id="443" w:name="_Toc521485055"/>
      <w:bookmarkStart w:id="444" w:name="_Toc521496235"/>
      <w:r w:rsidRPr="001A1836">
        <w:rPr>
          <w:b/>
          <w:i/>
        </w:rPr>
        <w:lastRenderedPageBreak/>
        <w:t>Transition arrangements</w:t>
      </w:r>
      <w:bookmarkEnd w:id="439"/>
      <w:bookmarkEnd w:id="440"/>
      <w:bookmarkEnd w:id="441"/>
      <w:bookmarkEnd w:id="442"/>
      <w:bookmarkEnd w:id="443"/>
      <w:bookmarkEnd w:id="444"/>
    </w:p>
    <w:p w14:paraId="069E192C" w14:textId="77777777" w:rsidR="00524229" w:rsidRPr="001A1836" w:rsidRDefault="00524229">
      <w:pPr>
        <w:pStyle w:val="GSRL4numberedclause"/>
        <w:spacing w:line="276" w:lineRule="auto"/>
      </w:pPr>
      <w:r w:rsidRPr="001A1836">
        <w:t xml:space="preserve">The </w:t>
      </w:r>
      <w:r w:rsidR="0086594C" w:rsidRPr="001A1836">
        <w:t>Provider</w:t>
      </w:r>
      <w:r w:rsidRPr="001A1836">
        <w:t xml:space="preserve"> </w:t>
      </w:r>
      <w:r w:rsidR="00DC0D87" w:rsidRPr="001A1836">
        <w:t>shall</w:t>
      </w:r>
      <w:r w:rsidRPr="001A1836">
        <w:t xml:space="preserve"> </w:t>
      </w:r>
      <w:r w:rsidR="000A2BF9" w:rsidRPr="001A1836">
        <w:t xml:space="preserve">at the </w:t>
      </w:r>
      <w:r w:rsidR="00D6233D" w:rsidRPr="001A1836">
        <w:t>Effective Date</w:t>
      </w:r>
      <w:r w:rsidR="007974B8" w:rsidRPr="001A1836">
        <w:t xml:space="preserve"> </w:t>
      </w:r>
      <w:r w:rsidRPr="001A1836">
        <w:t xml:space="preserve">appoint </w:t>
      </w:r>
      <w:r w:rsidR="007974B8" w:rsidRPr="001A1836">
        <w:t xml:space="preserve">and maintain </w:t>
      </w:r>
      <w:r w:rsidRPr="001A1836">
        <w:t xml:space="preserve">an appropriately qualified and resourced transition team to support HSE and liaise with the </w:t>
      </w:r>
      <w:r w:rsidR="00443144" w:rsidRPr="001A1836">
        <w:t xml:space="preserve">Previous </w:t>
      </w:r>
      <w:r w:rsidR="0086594C" w:rsidRPr="001A1836">
        <w:t>Provider</w:t>
      </w:r>
      <w:r w:rsidRPr="001A1836">
        <w:t xml:space="preserve">. This includes </w:t>
      </w:r>
      <w:r w:rsidR="007974B8" w:rsidRPr="001A1836">
        <w:t xml:space="preserve">supporting the data migration process and </w:t>
      </w:r>
      <w:r w:rsidRPr="001A1836">
        <w:t xml:space="preserve">cooperating with all parties to ensure staffing information, legal and procedural documentation, </w:t>
      </w:r>
      <w:r w:rsidR="00D6233D" w:rsidRPr="001A1836">
        <w:t xml:space="preserve">and </w:t>
      </w:r>
      <w:r w:rsidRPr="001A1836">
        <w:t xml:space="preserve">service area templates are made available and securely transferred from the </w:t>
      </w:r>
      <w:r w:rsidR="00D6233D" w:rsidRPr="001A1836">
        <w:t>Previous</w:t>
      </w:r>
      <w:r w:rsidRPr="001A1836">
        <w:t xml:space="preserve"> </w:t>
      </w:r>
      <w:r w:rsidR="00D6233D" w:rsidRPr="001A1836">
        <w:t>P</w:t>
      </w:r>
      <w:r w:rsidR="007974B8" w:rsidRPr="001A1836">
        <w:t xml:space="preserve">rovider </w:t>
      </w:r>
      <w:r w:rsidRPr="001A1836">
        <w:t xml:space="preserve">to the </w:t>
      </w:r>
      <w:r w:rsidR="0086594C" w:rsidRPr="001A1836">
        <w:t>Provider</w:t>
      </w:r>
      <w:r w:rsidR="00557F98" w:rsidRPr="001A1836">
        <w:t>.</w:t>
      </w:r>
    </w:p>
    <w:p w14:paraId="069E192D" w14:textId="77777777" w:rsidR="00C43788" w:rsidRPr="001A1836" w:rsidRDefault="00EB6AF4" w:rsidP="007A29C3">
      <w:pPr>
        <w:rPr>
          <w:b/>
          <w:i/>
        </w:rPr>
      </w:pPr>
      <w:bookmarkStart w:id="445" w:name="_Toc501354478"/>
      <w:bookmarkStart w:id="446" w:name="_Toc507743992"/>
      <w:bookmarkStart w:id="447" w:name="_Toc521326971"/>
      <w:bookmarkStart w:id="448" w:name="_Toc521484725"/>
      <w:bookmarkStart w:id="449" w:name="_Toc521485056"/>
      <w:bookmarkStart w:id="450" w:name="_Toc521496236"/>
      <w:r w:rsidRPr="001A1836">
        <w:rPr>
          <w:b/>
          <w:i/>
        </w:rPr>
        <w:t>Contract and service management</w:t>
      </w:r>
      <w:bookmarkEnd w:id="445"/>
      <w:bookmarkEnd w:id="446"/>
      <w:bookmarkEnd w:id="447"/>
      <w:bookmarkEnd w:id="448"/>
      <w:bookmarkEnd w:id="449"/>
      <w:bookmarkEnd w:id="450"/>
    </w:p>
    <w:p w14:paraId="069E192E" w14:textId="77777777" w:rsidR="00E7286C" w:rsidRPr="001A1836" w:rsidRDefault="00C43788">
      <w:pPr>
        <w:pStyle w:val="GSRL4numberedclause"/>
        <w:spacing w:line="276" w:lineRule="auto"/>
      </w:pPr>
      <w:r w:rsidRPr="001A1836">
        <w:t xml:space="preserve">The </w:t>
      </w:r>
      <w:r w:rsidR="0086594C" w:rsidRPr="001A1836">
        <w:t>Provider</w:t>
      </w:r>
      <w:r w:rsidRPr="001A1836">
        <w:t xml:space="preserve"> </w:t>
      </w:r>
      <w:r w:rsidR="007974B8" w:rsidRPr="001A1836">
        <w:t xml:space="preserve">shall </w:t>
      </w:r>
      <w:r w:rsidR="000A2BF9" w:rsidRPr="001A1836">
        <w:t xml:space="preserve">at the </w:t>
      </w:r>
      <w:r w:rsidR="00157311" w:rsidRPr="001A1836">
        <w:t>Effective Date</w:t>
      </w:r>
      <w:r w:rsidR="007974B8" w:rsidRPr="001A1836">
        <w:t xml:space="preserve"> </w:t>
      </w:r>
      <w:r w:rsidRPr="001A1836">
        <w:t>appoint a contract manager</w:t>
      </w:r>
      <w:r w:rsidR="005C0850" w:rsidRPr="001A1836">
        <w:t xml:space="preserve"> with suitable qualifications</w:t>
      </w:r>
      <w:r w:rsidR="0068503F" w:rsidRPr="001A1836">
        <w:t xml:space="preserve">, </w:t>
      </w:r>
      <w:r w:rsidR="005C0850" w:rsidRPr="001A1836">
        <w:t>experienc</w:t>
      </w:r>
      <w:r w:rsidR="0068503F" w:rsidRPr="001A1836">
        <w:t>e and</w:t>
      </w:r>
      <w:r w:rsidR="005C0850" w:rsidRPr="001A1836">
        <w:t xml:space="preserve"> s</w:t>
      </w:r>
      <w:r w:rsidR="0069726A" w:rsidRPr="001A1836">
        <w:t>ufficient authority and visibility</w:t>
      </w:r>
      <w:r w:rsidR="005C0850" w:rsidRPr="001A1836">
        <w:t xml:space="preserve"> in the organisation to manage </w:t>
      </w:r>
      <w:r w:rsidR="00321B3F" w:rsidRPr="001A1836">
        <w:t xml:space="preserve">day-to-day service delivery </w:t>
      </w:r>
      <w:r w:rsidR="001C076B" w:rsidRPr="001A1836">
        <w:t xml:space="preserve">and </w:t>
      </w:r>
      <w:r w:rsidR="005C0850" w:rsidRPr="001A1836">
        <w:t>a</w:t>
      </w:r>
      <w:r w:rsidR="00221F7D" w:rsidRPr="001A1836">
        <w:t xml:space="preserve">ct as a central point of contact </w:t>
      </w:r>
      <w:r w:rsidR="0068503F" w:rsidRPr="001A1836">
        <w:t>with HSE and</w:t>
      </w:r>
      <w:r w:rsidR="00221F7D" w:rsidRPr="001A1836">
        <w:t xml:space="preserve"> co</w:t>
      </w:r>
      <w:r w:rsidR="00A26AF8" w:rsidRPr="001A1836">
        <w:t>-</w:t>
      </w:r>
      <w:r w:rsidR="00221F7D" w:rsidRPr="001A1836">
        <w:t>ordinate the production of management information.</w:t>
      </w:r>
      <w:r w:rsidR="0068503F" w:rsidRPr="001A1836">
        <w:t xml:space="preserve"> </w:t>
      </w:r>
    </w:p>
    <w:p w14:paraId="069E192F" w14:textId="77777777" w:rsidR="00321B3F" w:rsidRPr="001A1836" w:rsidRDefault="00321B3F">
      <w:pPr>
        <w:pStyle w:val="GSRL4numberedclause"/>
        <w:spacing w:line="276" w:lineRule="auto"/>
      </w:pPr>
      <w:r w:rsidRPr="001A1836">
        <w:t xml:space="preserve">The </w:t>
      </w:r>
      <w:r w:rsidR="0086594C" w:rsidRPr="001A1836">
        <w:t>Provider</w:t>
      </w:r>
      <w:r w:rsidRPr="001A1836">
        <w:t xml:space="preserve"> </w:t>
      </w:r>
      <w:r w:rsidR="001C076B" w:rsidRPr="001A1836">
        <w:t xml:space="preserve">shall </w:t>
      </w:r>
      <w:r w:rsidRPr="001A1836">
        <w:t>establish and maintain a management structure to manage and monitor service delivery in accordance with the governance structure proposed by HSE</w:t>
      </w:r>
      <w:r w:rsidR="000358B0" w:rsidRPr="001A1836">
        <w:t xml:space="preserve"> </w:t>
      </w:r>
      <w:r w:rsidR="001C076B" w:rsidRPr="001A1836">
        <w:t xml:space="preserve">in Schedule </w:t>
      </w:r>
      <w:r w:rsidR="004B5B3A" w:rsidRPr="001A1836">
        <w:t>10</w:t>
      </w:r>
      <w:r w:rsidR="00F53E34" w:rsidRPr="001A1836">
        <w:t xml:space="preserve"> (Governance and Contract Management)</w:t>
      </w:r>
      <w:r w:rsidR="001C076B" w:rsidRPr="001A1836">
        <w:rPr>
          <w:b/>
        </w:rPr>
        <w:t>.</w:t>
      </w:r>
    </w:p>
    <w:p w14:paraId="069E1930" w14:textId="77777777" w:rsidR="005E2916" w:rsidRPr="001A1836" w:rsidRDefault="005E2916" w:rsidP="007A29C3">
      <w:pPr>
        <w:rPr>
          <w:b/>
          <w:i/>
        </w:rPr>
      </w:pPr>
      <w:bookmarkStart w:id="451" w:name="_Toc501354479"/>
      <w:bookmarkStart w:id="452" w:name="_Toc507743993"/>
      <w:bookmarkStart w:id="453" w:name="_Toc521326972"/>
      <w:bookmarkStart w:id="454" w:name="_Toc521484726"/>
      <w:bookmarkStart w:id="455" w:name="_Toc521485057"/>
      <w:bookmarkStart w:id="456" w:name="_Toc521496237"/>
      <w:r w:rsidRPr="001A1836">
        <w:rPr>
          <w:b/>
          <w:i/>
        </w:rPr>
        <w:t>Reporting</w:t>
      </w:r>
      <w:bookmarkEnd w:id="451"/>
      <w:bookmarkEnd w:id="452"/>
      <w:bookmarkEnd w:id="453"/>
      <w:bookmarkEnd w:id="454"/>
      <w:bookmarkEnd w:id="455"/>
      <w:bookmarkEnd w:id="456"/>
    </w:p>
    <w:p w14:paraId="069E1931" w14:textId="63398EE7" w:rsidR="00E7286C" w:rsidRPr="001A1836" w:rsidRDefault="00F15FAE">
      <w:pPr>
        <w:pStyle w:val="GSRL4numberedclause"/>
        <w:spacing w:line="276" w:lineRule="auto"/>
      </w:pPr>
      <w:r w:rsidRPr="001A1836">
        <w:t xml:space="preserve">The </w:t>
      </w:r>
      <w:r w:rsidR="0086594C" w:rsidRPr="001A1836">
        <w:t>Provider</w:t>
      </w:r>
      <w:r w:rsidRPr="001A1836">
        <w:t xml:space="preserve"> </w:t>
      </w:r>
      <w:r w:rsidR="001C076B" w:rsidRPr="001A1836">
        <w:t xml:space="preserve">shall </w:t>
      </w:r>
      <w:r w:rsidRPr="001A1836">
        <w:t xml:space="preserve">answer promptly all questions and provide relevant data about the operation of the </w:t>
      </w:r>
      <w:r w:rsidR="00167F07" w:rsidRPr="001A1836">
        <w:t xml:space="preserve">Register </w:t>
      </w:r>
      <w:r w:rsidRPr="001A1836">
        <w:t xml:space="preserve">to </w:t>
      </w:r>
      <w:r w:rsidR="006B73C0" w:rsidRPr="001A1836">
        <w:t xml:space="preserve">enable HSE to manage the </w:t>
      </w:r>
      <w:r w:rsidR="00255DE7">
        <w:t>Agreement</w:t>
      </w:r>
      <w:r w:rsidR="006B73C0" w:rsidRPr="001A1836">
        <w:t xml:space="preserve">, monitor </w:t>
      </w:r>
      <w:r w:rsidR="001C076B" w:rsidRPr="001A1836">
        <w:t>the Provider’s</w:t>
      </w:r>
      <w:r w:rsidR="006B73C0" w:rsidRPr="001A1836">
        <w:t xml:space="preserve"> performance </w:t>
      </w:r>
      <w:r w:rsidRPr="001A1836">
        <w:t xml:space="preserve">and </w:t>
      </w:r>
      <w:r w:rsidR="001C076B" w:rsidRPr="001A1836">
        <w:t xml:space="preserve">to </w:t>
      </w:r>
      <w:r w:rsidR="006B73C0" w:rsidRPr="001A1836">
        <w:t xml:space="preserve">inform </w:t>
      </w:r>
      <w:r w:rsidRPr="001A1836">
        <w:t xml:space="preserve">any development of </w:t>
      </w:r>
      <w:r w:rsidR="006B73C0" w:rsidRPr="001A1836">
        <w:t xml:space="preserve">the </w:t>
      </w:r>
      <w:r w:rsidR="00167F07" w:rsidRPr="001A1836">
        <w:t>Register</w:t>
      </w:r>
      <w:r w:rsidR="00157311" w:rsidRPr="001A1836">
        <w:t xml:space="preserve"> </w:t>
      </w:r>
      <w:r w:rsidR="001C076B" w:rsidRPr="001A1836">
        <w:t>by HSE.</w:t>
      </w:r>
      <w:r w:rsidR="006B73C0" w:rsidRPr="001A1836">
        <w:t xml:space="preserve"> </w:t>
      </w:r>
    </w:p>
    <w:p w14:paraId="069E1932" w14:textId="77777777" w:rsidR="00E7286C" w:rsidRPr="001A1836" w:rsidRDefault="004B4D49">
      <w:pPr>
        <w:pStyle w:val="GSRL4numberedclause"/>
        <w:spacing w:line="276" w:lineRule="auto"/>
        <w:rPr>
          <w:lang w:eastAsia="en-GB"/>
        </w:rPr>
      </w:pPr>
      <w:r w:rsidRPr="001A1836">
        <w:rPr>
          <w:lang w:eastAsia="en-GB"/>
        </w:rPr>
        <w:t xml:space="preserve">The </w:t>
      </w:r>
      <w:r w:rsidR="0086594C" w:rsidRPr="001A1836">
        <w:rPr>
          <w:lang w:eastAsia="en-GB"/>
        </w:rPr>
        <w:t>Provider</w:t>
      </w:r>
      <w:r w:rsidRPr="001A1836">
        <w:rPr>
          <w:lang w:eastAsia="en-GB"/>
        </w:rPr>
        <w:t xml:space="preserve"> </w:t>
      </w:r>
      <w:r w:rsidR="00A16C6B" w:rsidRPr="001A1836">
        <w:rPr>
          <w:lang w:eastAsia="en-GB"/>
        </w:rPr>
        <w:t>shall</w:t>
      </w:r>
      <w:r w:rsidRPr="001A1836">
        <w:rPr>
          <w:lang w:eastAsia="en-GB"/>
        </w:rPr>
        <w:t xml:space="preserve"> produce and publish </w:t>
      </w:r>
      <w:r w:rsidR="00522D84" w:rsidRPr="001A1836">
        <w:rPr>
          <w:lang w:eastAsia="en-GB"/>
        </w:rPr>
        <w:t xml:space="preserve">on the Gas Safe Register website </w:t>
      </w:r>
      <w:r w:rsidRPr="001A1836">
        <w:rPr>
          <w:lang w:eastAsia="en-GB"/>
        </w:rPr>
        <w:t xml:space="preserve">an Annual Performance Report for the industry, </w:t>
      </w:r>
      <w:r w:rsidR="00221F7D" w:rsidRPr="001A1836">
        <w:rPr>
          <w:lang w:eastAsia="en-GB"/>
        </w:rPr>
        <w:t>as a high</w:t>
      </w:r>
      <w:r w:rsidR="00F53E34" w:rsidRPr="001A1836">
        <w:rPr>
          <w:lang w:eastAsia="en-GB"/>
        </w:rPr>
        <w:t>-</w:t>
      </w:r>
      <w:r w:rsidR="00221F7D" w:rsidRPr="001A1836">
        <w:rPr>
          <w:lang w:eastAsia="en-GB"/>
        </w:rPr>
        <w:t xml:space="preserve">level summary, </w:t>
      </w:r>
      <w:r w:rsidRPr="001A1836">
        <w:rPr>
          <w:lang w:eastAsia="en-GB"/>
        </w:rPr>
        <w:t>the content of which</w:t>
      </w:r>
      <w:r w:rsidR="00221F7D" w:rsidRPr="001A1836">
        <w:rPr>
          <w:lang w:eastAsia="en-GB"/>
        </w:rPr>
        <w:t xml:space="preserve"> </w:t>
      </w:r>
      <w:r w:rsidR="00CF5F1E" w:rsidRPr="001A1836">
        <w:rPr>
          <w:lang w:eastAsia="en-GB"/>
        </w:rPr>
        <w:t>shall</w:t>
      </w:r>
      <w:r w:rsidR="00221F7D" w:rsidRPr="001A1836">
        <w:rPr>
          <w:lang w:eastAsia="en-GB"/>
        </w:rPr>
        <w:t xml:space="preserve"> be </w:t>
      </w:r>
      <w:r w:rsidR="001132CC" w:rsidRPr="001A1836">
        <w:rPr>
          <w:lang w:eastAsia="en-GB"/>
        </w:rPr>
        <w:t xml:space="preserve">developed </w:t>
      </w:r>
      <w:r w:rsidR="00181B73" w:rsidRPr="001A1836">
        <w:rPr>
          <w:lang w:eastAsia="en-GB"/>
        </w:rPr>
        <w:t xml:space="preserve">by the </w:t>
      </w:r>
      <w:r w:rsidR="0086594C" w:rsidRPr="001A1836">
        <w:rPr>
          <w:lang w:eastAsia="en-GB"/>
        </w:rPr>
        <w:t>Provider</w:t>
      </w:r>
      <w:r w:rsidR="00181B73" w:rsidRPr="001A1836">
        <w:rPr>
          <w:lang w:eastAsia="en-GB"/>
        </w:rPr>
        <w:t xml:space="preserve"> </w:t>
      </w:r>
      <w:r w:rsidR="001132CC" w:rsidRPr="001A1836">
        <w:rPr>
          <w:lang w:eastAsia="en-GB"/>
        </w:rPr>
        <w:t xml:space="preserve">and </w:t>
      </w:r>
      <w:r w:rsidR="00221F7D" w:rsidRPr="001A1836">
        <w:rPr>
          <w:lang w:eastAsia="en-GB"/>
        </w:rPr>
        <w:t>agreed with HSE.</w:t>
      </w:r>
      <w:r w:rsidRPr="001A1836">
        <w:rPr>
          <w:lang w:eastAsia="en-GB"/>
        </w:rPr>
        <w:t xml:space="preserve"> </w:t>
      </w:r>
    </w:p>
    <w:p w14:paraId="069E1933" w14:textId="77777777" w:rsidR="00BE19D6" w:rsidRPr="001A1836" w:rsidRDefault="00BE19D6" w:rsidP="007A29C3">
      <w:pPr>
        <w:rPr>
          <w:b/>
          <w:i/>
        </w:rPr>
      </w:pPr>
      <w:bookmarkStart w:id="457" w:name="_Toc521326973"/>
      <w:bookmarkStart w:id="458" w:name="_Toc521484727"/>
      <w:bookmarkStart w:id="459" w:name="_Toc521485058"/>
      <w:bookmarkStart w:id="460" w:name="_Toc521496238"/>
      <w:r w:rsidRPr="001A1836">
        <w:rPr>
          <w:b/>
          <w:i/>
        </w:rPr>
        <w:t>Policies and Procedures</w:t>
      </w:r>
      <w:bookmarkEnd w:id="457"/>
      <w:bookmarkEnd w:id="458"/>
      <w:bookmarkEnd w:id="459"/>
      <w:bookmarkEnd w:id="460"/>
    </w:p>
    <w:p w14:paraId="069E1934" w14:textId="19016C4E" w:rsidR="00BE19D6" w:rsidRPr="001A1836" w:rsidRDefault="00BE19D6">
      <w:pPr>
        <w:pStyle w:val="GSRL4numberedclause"/>
        <w:spacing w:line="276" w:lineRule="auto"/>
      </w:pPr>
      <w:bookmarkStart w:id="461" w:name="_Ref507754057"/>
      <w:r w:rsidRPr="001A1836">
        <w:t>The Provider shall maintain the Rules of Registration, the Concordat, and the Policies and Procedures listed in Schedule 18 (Assets).</w:t>
      </w:r>
      <w:bookmarkEnd w:id="461"/>
      <w:r w:rsidR="00FC4DFB" w:rsidRPr="001A1836">
        <w:t xml:space="preserve"> Any updates shall require agreement</w:t>
      </w:r>
      <w:r w:rsidR="00E53FBC" w:rsidRPr="001A1836">
        <w:t xml:space="preserve"> with HSE.</w:t>
      </w:r>
    </w:p>
    <w:p w14:paraId="069E1935" w14:textId="77777777" w:rsidR="00091053" w:rsidRPr="001A1836" w:rsidRDefault="00091053">
      <w:pPr>
        <w:pStyle w:val="GSRL4numberedclause"/>
        <w:spacing w:line="276" w:lineRule="auto"/>
      </w:pPr>
      <w:r w:rsidRPr="001A1836">
        <w:t xml:space="preserve">The IPR in these documents </w:t>
      </w:r>
      <w:r w:rsidR="00522D84" w:rsidRPr="001A1836">
        <w:t>is owned by</w:t>
      </w:r>
      <w:r w:rsidRPr="001A1836">
        <w:t xml:space="preserve"> HSE.</w:t>
      </w:r>
    </w:p>
    <w:p w14:paraId="069E1936" w14:textId="4D1F88F5" w:rsidR="00BE19D6" w:rsidRPr="001A1836" w:rsidRDefault="00BE19D6">
      <w:pPr>
        <w:pStyle w:val="GSRL4numberedclause"/>
      </w:pPr>
      <w:r w:rsidRPr="001A1836">
        <w:t xml:space="preserve">The Provider shall review the documents listed in </w:t>
      </w:r>
      <w:r w:rsidR="00197294" w:rsidRPr="001A1836">
        <w:fldChar w:fldCharType="begin"/>
      </w:r>
      <w:r w:rsidR="00197294" w:rsidRPr="001A1836">
        <w:instrText xml:space="preserve"> REF _Ref507754057 \r </w:instrText>
      </w:r>
      <w:r w:rsidR="001A1836">
        <w:instrText xml:space="preserve"> \* MERGEFORMAT </w:instrText>
      </w:r>
      <w:r w:rsidR="00197294" w:rsidRPr="001A1836">
        <w:fldChar w:fldCharType="separate"/>
      </w:r>
      <w:r w:rsidR="00C87D85">
        <w:t>13.6</w:t>
      </w:r>
      <w:r w:rsidR="00197294" w:rsidRPr="001A1836">
        <w:fldChar w:fldCharType="end"/>
      </w:r>
      <w:r w:rsidRPr="001A1836">
        <w:t xml:space="preserve"> annually, and make recommendations to HSE when changes are required. The Provider </w:t>
      </w:r>
      <w:r w:rsidR="00CF5F1E" w:rsidRPr="001A1836">
        <w:t>shall</w:t>
      </w:r>
      <w:r w:rsidRPr="001A1836">
        <w:t xml:space="preserve"> respond to ad hoc requirements to change and make recommendations to HSE.</w:t>
      </w:r>
    </w:p>
    <w:p w14:paraId="069E1937" w14:textId="22E69D18" w:rsidR="00BE19D6" w:rsidRPr="001A1836" w:rsidRDefault="00BE19D6">
      <w:pPr>
        <w:pStyle w:val="GSRL4numberedclause"/>
      </w:pPr>
      <w:r w:rsidRPr="001A1836">
        <w:t xml:space="preserve">The documents listed in </w:t>
      </w:r>
      <w:r w:rsidR="00534066" w:rsidRPr="001A1836">
        <w:t xml:space="preserve">paragraph </w:t>
      </w:r>
      <w:r w:rsidR="00197294" w:rsidRPr="001A1836">
        <w:fldChar w:fldCharType="begin"/>
      </w:r>
      <w:r w:rsidR="00197294" w:rsidRPr="001A1836">
        <w:instrText xml:space="preserve"> REF _Ref507754057 \r </w:instrText>
      </w:r>
      <w:r w:rsidR="001A1836">
        <w:instrText xml:space="preserve"> \* MERGEFORMAT </w:instrText>
      </w:r>
      <w:r w:rsidR="00197294" w:rsidRPr="001A1836">
        <w:fldChar w:fldCharType="separate"/>
      </w:r>
      <w:r w:rsidR="00C87D85">
        <w:t>13.6</w:t>
      </w:r>
      <w:r w:rsidR="00197294" w:rsidRPr="001A1836">
        <w:fldChar w:fldCharType="end"/>
      </w:r>
      <w:r w:rsidRPr="001A1836">
        <w:t xml:space="preserve"> shall only be amended with HSE’s prior permission. </w:t>
      </w:r>
    </w:p>
    <w:p w14:paraId="069E1938" w14:textId="77777777" w:rsidR="00FB6E95" w:rsidRPr="001A1836" w:rsidRDefault="00FB6E95" w:rsidP="007A29C3">
      <w:pPr>
        <w:rPr>
          <w:b/>
          <w:i/>
        </w:rPr>
      </w:pPr>
      <w:bookmarkStart w:id="462" w:name="_Toc501354480"/>
      <w:bookmarkStart w:id="463" w:name="_Toc507743994"/>
      <w:bookmarkStart w:id="464" w:name="_Toc521326974"/>
      <w:bookmarkStart w:id="465" w:name="_Toc521484728"/>
      <w:bookmarkStart w:id="466" w:name="_Toc521485059"/>
      <w:bookmarkStart w:id="467" w:name="_Toc521496239"/>
      <w:r w:rsidRPr="001A1836">
        <w:rPr>
          <w:b/>
          <w:i/>
        </w:rPr>
        <w:t>Performance management</w:t>
      </w:r>
      <w:bookmarkEnd w:id="462"/>
      <w:bookmarkEnd w:id="463"/>
      <w:bookmarkEnd w:id="464"/>
      <w:bookmarkEnd w:id="465"/>
      <w:bookmarkEnd w:id="466"/>
      <w:bookmarkEnd w:id="467"/>
    </w:p>
    <w:p w14:paraId="069E1939" w14:textId="77777777" w:rsidR="00052A3E" w:rsidRPr="001A1836" w:rsidRDefault="00052A3E">
      <w:pPr>
        <w:pStyle w:val="GSRL4numberedclause"/>
        <w:spacing w:line="276" w:lineRule="auto"/>
      </w:pPr>
      <w:r w:rsidRPr="001A1836">
        <w:t>The Provider shall be required to refine and implement the methodology</w:t>
      </w:r>
      <w:r w:rsidR="008B101A" w:rsidRPr="001A1836">
        <w:t xml:space="preserve"> proposed in </w:t>
      </w:r>
      <w:r w:rsidR="00F53E34" w:rsidRPr="001A1836">
        <w:t xml:space="preserve">Schedule 3 (Service Levels) and </w:t>
      </w:r>
      <w:r w:rsidR="008B101A" w:rsidRPr="001A1836">
        <w:t xml:space="preserve">Schedule 8 </w:t>
      </w:r>
      <w:r w:rsidR="00F53E34" w:rsidRPr="001A1836">
        <w:t xml:space="preserve">(Key Performance Indicators) </w:t>
      </w:r>
      <w:r w:rsidR="008B101A" w:rsidRPr="001A1836">
        <w:t>to measure their performance</w:t>
      </w:r>
      <w:r w:rsidRPr="001A1836">
        <w:t xml:space="preserve">, establish baselines and agree performance targets </w:t>
      </w:r>
      <w:r w:rsidR="00A26AF8" w:rsidRPr="001A1836">
        <w:t>dur</w:t>
      </w:r>
      <w:r w:rsidRPr="001A1836">
        <w:t>in</w:t>
      </w:r>
      <w:r w:rsidR="00A26AF8" w:rsidRPr="001A1836">
        <w:t>g</w:t>
      </w:r>
      <w:r w:rsidRPr="001A1836">
        <w:t xml:space="preserve"> the </w:t>
      </w:r>
      <w:r w:rsidR="00A26AF8" w:rsidRPr="001A1836">
        <w:t>T</w:t>
      </w:r>
      <w:r w:rsidRPr="001A1836">
        <w:t xml:space="preserve">ransition </w:t>
      </w:r>
      <w:r w:rsidR="00A26AF8" w:rsidRPr="001A1836">
        <w:t>P</w:t>
      </w:r>
      <w:r w:rsidRPr="001A1836">
        <w:t>eriod so that</w:t>
      </w:r>
      <w:r w:rsidR="008B101A" w:rsidRPr="001A1836">
        <w:t xml:space="preserve"> </w:t>
      </w:r>
      <w:r w:rsidR="00F53E34" w:rsidRPr="001A1836">
        <w:t xml:space="preserve">Service Level and </w:t>
      </w:r>
      <w:r w:rsidR="008B101A" w:rsidRPr="001A1836">
        <w:t>Key Performance Indicators</w:t>
      </w:r>
      <w:r w:rsidRPr="001A1836">
        <w:t xml:space="preserve"> </w:t>
      </w:r>
      <w:r w:rsidR="008B101A" w:rsidRPr="001A1836">
        <w:t>(</w:t>
      </w:r>
      <w:r w:rsidRPr="001A1836">
        <w:t>KPI</w:t>
      </w:r>
      <w:r w:rsidR="00CF0607" w:rsidRPr="001A1836">
        <w:t>s</w:t>
      </w:r>
      <w:r w:rsidR="008B101A" w:rsidRPr="001A1836">
        <w:t>)</w:t>
      </w:r>
      <w:r w:rsidRPr="001A1836">
        <w:t xml:space="preserve"> measures and targets are in place and ready to use from the </w:t>
      </w:r>
      <w:r w:rsidR="006C7714" w:rsidRPr="001A1836">
        <w:t>Service Start Date</w:t>
      </w:r>
      <w:r w:rsidRPr="001A1836">
        <w:t xml:space="preserve">. </w:t>
      </w:r>
    </w:p>
    <w:p w14:paraId="069E193A" w14:textId="77777777" w:rsidR="00052A3E" w:rsidRPr="001A1836" w:rsidRDefault="00052A3E">
      <w:pPr>
        <w:pStyle w:val="GSRL4numberedclause"/>
        <w:spacing w:line="276" w:lineRule="auto"/>
      </w:pPr>
      <w:r w:rsidRPr="001A1836">
        <w:t xml:space="preserve">The final KPI methodology and targets </w:t>
      </w:r>
      <w:r w:rsidR="00CF5F1E" w:rsidRPr="001A1836">
        <w:t>shall</w:t>
      </w:r>
      <w:r w:rsidRPr="001A1836">
        <w:t xml:space="preserve"> be agreed with HSE prior to implementation.</w:t>
      </w:r>
    </w:p>
    <w:p w14:paraId="069E193B" w14:textId="77777777" w:rsidR="006B7989" w:rsidRPr="001A1836" w:rsidRDefault="006B7989">
      <w:pPr>
        <w:pStyle w:val="GSRL3heading"/>
      </w:pPr>
      <w:bookmarkStart w:id="468" w:name="_Toc507743995"/>
      <w:bookmarkStart w:id="469" w:name="_Toc521326975"/>
      <w:bookmarkStart w:id="470" w:name="_Toc521333208"/>
      <w:bookmarkStart w:id="471" w:name="_Toc521483966"/>
      <w:bookmarkStart w:id="472" w:name="_Toc521484729"/>
      <w:bookmarkStart w:id="473" w:name="_Toc521485060"/>
      <w:bookmarkStart w:id="474" w:name="_Toc521496240"/>
      <w:bookmarkStart w:id="475" w:name="_Toc521496768"/>
      <w:bookmarkStart w:id="476" w:name="_Toc521498210"/>
      <w:bookmarkStart w:id="477" w:name="_Toc521500294"/>
      <w:bookmarkStart w:id="478" w:name="_Toc529345948"/>
      <w:bookmarkStart w:id="479" w:name="_Toc129038141"/>
      <w:bookmarkStart w:id="480" w:name="_Toc129038427"/>
      <w:bookmarkStart w:id="481" w:name="_Toc132267997"/>
      <w:bookmarkStart w:id="482" w:name="_Toc132268303"/>
      <w:bookmarkStart w:id="483" w:name="_Toc136198552"/>
      <w:bookmarkStart w:id="484" w:name="_Toc136198833"/>
      <w:bookmarkStart w:id="485" w:name="_Toc501354485"/>
      <w:r w:rsidRPr="001A1836">
        <w:t>Gas Safe Charity</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069E193C" w14:textId="77777777" w:rsidR="0029174B" w:rsidRPr="001A1836" w:rsidRDefault="006B7989">
      <w:pPr>
        <w:pStyle w:val="GSRL4numberedclause"/>
        <w:spacing w:line="276" w:lineRule="auto"/>
      </w:pPr>
      <w:r w:rsidRPr="001A1836">
        <w:lastRenderedPageBreak/>
        <w:t xml:space="preserve">The </w:t>
      </w:r>
      <w:r w:rsidR="0029174B" w:rsidRPr="001A1836">
        <w:t>Provider shall</w:t>
      </w:r>
      <w:r w:rsidR="00091053" w:rsidRPr="001A1836">
        <w:t>, before the Services Start Date,</w:t>
      </w:r>
      <w:r w:rsidR="0029174B" w:rsidRPr="001A1836">
        <w:t xml:space="preserve"> </w:t>
      </w:r>
      <w:r w:rsidR="008B101A" w:rsidRPr="001A1836">
        <w:t xml:space="preserve">agree </w:t>
      </w:r>
      <w:r w:rsidR="0029174B" w:rsidRPr="001A1836">
        <w:t>a memorandum of understanding with the Gas Safe Charity. That memorandum of understanding shall contain provision for</w:t>
      </w:r>
      <w:r w:rsidR="00CF0607" w:rsidRPr="001A1836">
        <w:t xml:space="preserve"> the</w:t>
      </w:r>
      <w:r w:rsidR="0029174B" w:rsidRPr="001A1836">
        <w:t xml:space="preserve"> Provider to act as a facilitator and coordinator, be responsible for administrative support and to be the provider of marketing expertise.</w:t>
      </w:r>
    </w:p>
    <w:p w14:paraId="069E193D" w14:textId="77777777" w:rsidR="0029174B" w:rsidRPr="001A1836" w:rsidRDefault="0029174B">
      <w:pPr>
        <w:pStyle w:val="GSRL4numberedclause"/>
        <w:spacing w:line="276" w:lineRule="auto"/>
      </w:pPr>
      <w:r w:rsidRPr="001A1836">
        <w:t>The Provider shall make available a stakeholder man</w:t>
      </w:r>
      <w:r w:rsidR="00A50F82" w:rsidRPr="001A1836">
        <w:t>ager and administration support and</w:t>
      </w:r>
      <w:r w:rsidR="00091053" w:rsidRPr="001A1836">
        <w:t>, if required,</w:t>
      </w:r>
      <w:r w:rsidR="00A50F82" w:rsidRPr="001A1836">
        <w:t xml:space="preserve"> administer the </w:t>
      </w:r>
      <w:r w:rsidR="00CF0607" w:rsidRPr="001A1836">
        <w:t>C</w:t>
      </w:r>
      <w:r w:rsidR="00A50F82" w:rsidRPr="001A1836">
        <w:t>harity’s funds.</w:t>
      </w:r>
    </w:p>
    <w:p w14:paraId="069E193E" w14:textId="77777777" w:rsidR="006B7989" w:rsidRPr="001A1836" w:rsidRDefault="0029174B">
      <w:pPr>
        <w:pStyle w:val="GSRL4numberedclause"/>
        <w:spacing w:line="276" w:lineRule="auto"/>
      </w:pPr>
      <w:r w:rsidRPr="001A1836">
        <w:t xml:space="preserve">The Provider shall </w:t>
      </w:r>
      <w:r w:rsidR="00C025D9" w:rsidRPr="001A1836">
        <w:t>nominate an individual</w:t>
      </w:r>
      <w:r w:rsidR="008B101A" w:rsidRPr="001A1836">
        <w:t xml:space="preserve"> from its organisation to act as a Trustee of the Charity (subject to formal appointment) </w:t>
      </w:r>
      <w:r w:rsidR="00923133" w:rsidRPr="001A1836">
        <w:t>during</w:t>
      </w:r>
      <w:r w:rsidR="00C025D9" w:rsidRPr="001A1836">
        <w:t xml:space="preserve"> </w:t>
      </w:r>
      <w:r w:rsidR="00923133" w:rsidRPr="001A1836">
        <w:t xml:space="preserve">(but for no longer than) </w:t>
      </w:r>
      <w:r w:rsidR="008B101A" w:rsidRPr="001A1836">
        <w:t xml:space="preserve">the </w:t>
      </w:r>
      <w:r w:rsidR="00C025D9" w:rsidRPr="001A1836">
        <w:t>T</w:t>
      </w:r>
      <w:r w:rsidR="008B101A" w:rsidRPr="001A1836">
        <w:t xml:space="preserve">erm </w:t>
      </w:r>
      <w:r w:rsidRPr="001A1836">
        <w:t xml:space="preserve">who </w:t>
      </w:r>
      <w:r w:rsidR="00CF5F1E" w:rsidRPr="001A1836">
        <w:t>shall</w:t>
      </w:r>
      <w:r w:rsidRPr="001A1836">
        <w:t xml:space="preserve">, as part of the role: </w:t>
      </w:r>
    </w:p>
    <w:p w14:paraId="069E193F" w14:textId="77777777" w:rsidR="006B7989" w:rsidRPr="001A1836" w:rsidRDefault="006B7989">
      <w:pPr>
        <w:pStyle w:val="GSRL5numberedclause"/>
        <w:spacing w:line="276" w:lineRule="auto"/>
      </w:pPr>
      <w:r w:rsidRPr="001A1836">
        <w:t>ensure the Charity is carrying out its</w:t>
      </w:r>
      <w:r w:rsidR="0029174B" w:rsidRPr="001A1836">
        <w:t xml:space="preserve"> purposes for the public benefit</w:t>
      </w:r>
      <w:r w:rsidRPr="001A1836">
        <w:t>;</w:t>
      </w:r>
    </w:p>
    <w:p w14:paraId="069E1940" w14:textId="77777777" w:rsidR="006B7989" w:rsidRPr="001A1836" w:rsidRDefault="006B7989">
      <w:pPr>
        <w:pStyle w:val="GSRL5numberedclause"/>
        <w:spacing w:line="276" w:lineRule="auto"/>
      </w:pPr>
      <w:r w:rsidRPr="001A1836">
        <w:t>comply with the Charity’s Articles of Association and the law;</w:t>
      </w:r>
    </w:p>
    <w:p w14:paraId="069E1941" w14:textId="77777777" w:rsidR="006B7989" w:rsidRPr="001A1836" w:rsidRDefault="006B7989">
      <w:pPr>
        <w:pStyle w:val="GSRL5numberedclause"/>
        <w:spacing w:line="276" w:lineRule="auto"/>
      </w:pPr>
      <w:r w:rsidRPr="001A1836">
        <w:t>act in the Charity’s best interests;</w:t>
      </w:r>
    </w:p>
    <w:p w14:paraId="069E1942" w14:textId="77777777" w:rsidR="00056C13" w:rsidRPr="001A1836" w:rsidRDefault="006B7989">
      <w:pPr>
        <w:pStyle w:val="GSRL5numberedclause"/>
        <w:spacing w:line="276" w:lineRule="auto"/>
      </w:pPr>
      <w:r w:rsidRPr="001A1836">
        <w:t>manage the Charity’s resources responsibly;</w:t>
      </w:r>
      <w:r w:rsidR="00056C13" w:rsidRPr="001A1836">
        <w:t xml:space="preserve"> and</w:t>
      </w:r>
    </w:p>
    <w:p w14:paraId="069E1943" w14:textId="77777777" w:rsidR="006B7989" w:rsidRPr="001A1836" w:rsidRDefault="006B7989">
      <w:pPr>
        <w:pStyle w:val="GSRL5numberedclause"/>
        <w:spacing w:line="276" w:lineRule="auto"/>
      </w:pPr>
      <w:r w:rsidRPr="001A1836">
        <w:t>ensure the Charity is accountable.</w:t>
      </w:r>
    </w:p>
    <w:p w14:paraId="069E1944" w14:textId="77777777" w:rsidR="006B7989" w:rsidRPr="001A1836" w:rsidRDefault="006B7989">
      <w:pPr>
        <w:pStyle w:val="GSRL4numberedclause"/>
        <w:spacing w:line="276" w:lineRule="auto"/>
      </w:pPr>
      <w:r w:rsidRPr="001A1836">
        <w:rPr>
          <w:lang w:val="en"/>
        </w:rPr>
        <w:t>On expiry or termination of this Agreement</w:t>
      </w:r>
      <w:r w:rsidR="0029174B" w:rsidRPr="001A1836">
        <w:rPr>
          <w:lang w:val="en"/>
        </w:rPr>
        <w:t>,</w:t>
      </w:r>
      <w:r w:rsidRPr="001A1836">
        <w:rPr>
          <w:lang w:val="en"/>
        </w:rPr>
        <w:t xml:space="preserve"> the appointment of </w:t>
      </w:r>
      <w:r w:rsidR="00CF0607" w:rsidRPr="001A1836">
        <w:rPr>
          <w:lang w:val="en"/>
        </w:rPr>
        <w:t xml:space="preserve">the </w:t>
      </w:r>
      <w:r w:rsidRPr="001A1836">
        <w:rPr>
          <w:lang w:val="en"/>
        </w:rPr>
        <w:t>Provider’s nominated trustee and</w:t>
      </w:r>
      <w:r w:rsidR="00CF0607" w:rsidRPr="001A1836">
        <w:rPr>
          <w:lang w:val="en"/>
        </w:rPr>
        <w:t xml:space="preserve"> the</w:t>
      </w:r>
      <w:r w:rsidRPr="001A1836">
        <w:rPr>
          <w:lang w:val="en"/>
        </w:rPr>
        <w:t xml:space="preserve"> Provider’s right to nominate trustees shall cease.</w:t>
      </w:r>
    </w:p>
    <w:p w14:paraId="069E1945" w14:textId="1CEC3C20" w:rsidR="0088681F" w:rsidRPr="001A1836" w:rsidRDefault="00381548">
      <w:pPr>
        <w:pStyle w:val="GSRL3heading"/>
        <w:spacing w:line="276" w:lineRule="auto"/>
      </w:pPr>
      <w:bookmarkStart w:id="486" w:name="_Toc136198553"/>
      <w:bookmarkStart w:id="487" w:name="_Toc136198834"/>
      <w:bookmarkStart w:id="488" w:name="_Toc507743996"/>
      <w:bookmarkStart w:id="489" w:name="_Toc521326976"/>
      <w:bookmarkStart w:id="490" w:name="_Toc521333209"/>
      <w:bookmarkStart w:id="491" w:name="_Toc521483967"/>
      <w:bookmarkStart w:id="492" w:name="_Toc521484730"/>
      <w:bookmarkStart w:id="493" w:name="_Toc521485061"/>
      <w:bookmarkStart w:id="494" w:name="_Toc521496241"/>
      <w:bookmarkStart w:id="495" w:name="_Toc521496769"/>
      <w:bookmarkStart w:id="496" w:name="_Toc521498211"/>
      <w:bookmarkStart w:id="497" w:name="_Toc521500295"/>
      <w:bookmarkStart w:id="498" w:name="_Toc529345949"/>
      <w:bookmarkStart w:id="499" w:name="_Toc129038142"/>
      <w:bookmarkStart w:id="500" w:name="_Toc129038428"/>
      <w:bookmarkStart w:id="501" w:name="_Toc132267998"/>
      <w:bookmarkStart w:id="502" w:name="_Toc132268304"/>
      <w:r>
        <w:t>Undertake a student engagement trial</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4C2EA645" w14:textId="40CC6BEE" w:rsidR="00381548" w:rsidRDefault="00381548" w:rsidP="00381548">
      <w:pPr>
        <w:pStyle w:val="GSRL4numberedclause"/>
      </w:pPr>
      <w:r w:rsidRPr="00381548">
        <w:t xml:space="preserve">For the purposes of this </w:t>
      </w:r>
      <w:r>
        <w:t>Agreement</w:t>
      </w:r>
      <w:r w:rsidRPr="00381548">
        <w:t xml:space="preserve">, a ‘student’ includes any learner, including apprentices, undertaking training in the gas work as defined under </w:t>
      </w:r>
      <w:r w:rsidR="00E43D25">
        <w:t>Gas Safety (Installation and Use) Regulations 1998</w:t>
      </w:r>
      <w:r w:rsidRPr="00381548">
        <w:t>.</w:t>
      </w:r>
    </w:p>
    <w:p w14:paraId="069E1946" w14:textId="299C959E" w:rsidR="006073B9" w:rsidRPr="001A1836" w:rsidRDefault="00FE2149">
      <w:pPr>
        <w:pStyle w:val="GSRL4numberedclause"/>
        <w:spacing w:line="276" w:lineRule="auto"/>
      </w:pPr>
      <w:r w:rsidRPr="001A1836">
        <w:t>T</w:t>
      </w:r>
      <w:r w:rsidR="00C429E9" w:rsidRPr="001A1836">
        <w:t xml:space="preserve">he </w:t>
      </w:r>
      <w:r w:rsidR="0086594C" w:rsidRPr="001A1836">
        <w:t>Provider</w:t>
      </w:r>
      <w:r w:rsidR="00762C20" w:rsidRPr="001A1836">
        <w:t xml:space="preserve"> </w:t>
      </w:r>
      <w:r w:rsidR="002C3DA5" w:rsidRPr="001A1836">
        <w:t>shall</w:t>
      </w:r>
      <w:r w:rsidR="006073B9" w:rsidRPr="001A1836">
        <w:t xml:space="preserve"> carry out a </w:t>
      </w:r>
      <w:r w:rsidR="00762C20" w:rsidRPr="001A1836">
        <w:t xml:space="preserve">student </w:t>
      </w:r>
      <w:r w:rsidR="00E43D25">
        <w:t>engagement trial</w:t>
      </w:r>
      <w:r w:rsidR="00762C20" w:rsidRPr="001A1836">
        <w:t>, including analysis of the</w:t>
      </w:r>
      <w:r w:rsidR="000848A6" w:rsidRPr="001A1836">
        <w:t xml:space="preserve"> </w:t>
      </w:r>
      <w:r w:rsidR="009F1585" w:rsidRPr="001A1836">
        <w:t>pot</w:t>
      </w:r>
      <w:r w:rsidR="000848A6" w:rsidRPr="001A1836">
        <w:t>ential</w:t>
      </w:r>
      <w:r w:rsidR="00762C20" w:rsidRPr="001A1836">
        <w:t xml:space="preserve"> cost and benefits. </w:t>
      </w:r>
    </w:p>
    <w:p w14:paraId="069E1947" w14:textId="37905E2B" w:rsidR="006073B9" w:rsidRPr="001A1836" w:rsidRDefault="00762C20">
      <w:pPr>
        <w:pStyle w:val="GSRL4numberedclause"/>
        <w:spacing w:line="276" w:lineRule="auto"/>
      </w:pPr>
      <w:r w:rsidRPr="001A1836">
        <w:t>The f</w:t>
      </w:r>
      <w:r w:rsidR="006073B9" w:rsidRPr="001A1836">
        <w:t xml:space="preserve">indings of the feasibility study should be presented to HSE </w:t>
      </w:r>
      <w:r w:rsidR="00FE2149" w:rsidRPr="001A1836">
        <w:t xml:space="preserve">by the end of </w:t>
      </w:r>
      <w:r w:rsidR="009C561D">
        <w:t xml:space="preserve">December </w:t>
      </w:r>
      <w:r w:rsidR="00FE2149" w:rsidRPr="001A1836">
        <w:t>202</w:t>
      </w:r>
      <w:r w:rsidR="00455915">
        <w:t>5</w:t>
      </w:r>
      <w:r w:rsidR="00FE2149" w:rsidRPr="001A1836">
        <w:t>.</w:t>
      </w:r>
    </w:p>
    <w:p w14:paraId="069E1948" w14:textId="507FEA10" w:rsidR="00E7286C" w:rsidRPr="001A1836" w:rsidRDefault="0053539B">
      <w:pPr>
        <w:pStyle w:val="GSRL4numberedclause"/>
        <w:spacing w:line="276" w:lineRule="auto"/>
      </w:pPr>
      <w:r w:rsidRPr="001A1836">
        <w:t>Based on</w:t>
      </w:r>
      <w:r w:rsidR="000848A6" w:rsidRPr="001A1836">
        <w:t xml:space="preserve"> the outcome of the </w:t>
      </w:r>
      <w:r w:rsidR="00E43D25">
        <w:t>trial</w:t>
      </w:r>
      <w:r w:rsidR="00762C20" w:rsidRPr="001A1836">
        <w:t>, the</w:t>
      </w:r>
      <w:r w:rsidR="00185F17" w:rsidRPr="001A1836">
        <w:t xml:space="preserve"> Provider shall</w:t>
      </w:r>
      <w:r w:rsidR="00762C20" w:rsidRPr="001A1836">
        <w:t xml:space="preserve"> deliver</w:t>
      </w:r>
      <w:r w:rsidR="008E1B3A" w:rsidRPr="001A1836">
        <w:t xml:space="preserve"> a report outlining</w:t>
      </w:r>
      <w:r w:rsidR="00762C20" w:rsidRPr="001A1836">
        <w:t>:</w:t>
      </w:r>
    </w:p>
    <w:p w14:paraId="069E1949" w14:textId="56433729" w:rsidR="00E7286C" w:rsidRPr="001A1836" w:rsidRDefault="006073B9">
      <w:pPr>
        <w:pStyle w:val="GSRL5numberedclause"/>
        <w:spacing w:line="276" w:lineRule="auto"/>
      </w:pPr>
      <w:r w:rsidRPr="001A1836">
        <w:t xml:space="preserve">proposals for implementing student </w:t>
      </w:r>
      <w:r w:rsidR="00E43D25">
        <w:t>engagement</w:t>
      </w:r>
      <w:r w:rsidR="00E43D25" w:rsidRPr="001A1836">
        <w:t xml:space="preserve"> </w:t>
      </w:r>
      <w:r w:rsidRPr="001A1836">
        <w:t xml:space="preserve">which reflect the findings of the review; </w:t>
      </w:r>
    </w:p>
    <w:p w14:paraId="069E194A" w14:textId="66CD4A70" w:rsidR="00E7286C" w:rsidRPr="001A1836" w:rsidRDefault="006073B9">
      <w:pPr>
        <w:pStyle w:val="GSRL5numberedclause"/>
        <w:spacing w:line="276" w:lineRule="auto"/>
      </w:pPr>
      <w:r w:rsidRPr="001A1836">
        <w:t xml:space="preserve">a clear pathway </w:t>
      </w:r>
      <w:r w:rsidR="00762C20" w:rsidRPr="001A1836">
        <w:t xml:space="preserve">and timetable </w:t>
      </w:r>
      <w:r w:rsidRPr="001A1836">
        <w:t xml:space="preserve">for delivering each proposal; and </w:t>
      </w:r>
    </w:p>
    <w:p w14:paraId="069E194B" w14:textId="6CADA485" w:rsidR="006073B9" w:rsidRPr="001A1836" w:rsidRDefault="006073B9">
      <w:pPr>
        <w:pStyle w:val="GSRL5numberedclause"/>
        <w:spacing w:line="276" w:lineRule="auto"/>
      </w:pPr>
      <w:r w:rsidRPr="001A1836">
        <w:t xml:space="preserve">a cost/benefit analysis of each proposal for HSE and industry. </w:t>
      </w:r>
    </w:p>
    <w:p w14:paraId="069E194C" w14:textId="5D510511" w:rsidR="00C00696" w:rsidRPr="001A1836" w:rsidRDefault="002C28EC">
      <w:pPr>
        <w:pStyle w:val="GSRL3heading"/>
      </w:pPr>
      <w:bookmarkStart w:id="503" w:name="_Toc521326977"/>
      <w:bookmarkStart w:id="504" w:name="_Toc521333210"/>
      <w:bookmarkStart w:id="505" w:name="_Toc521483968"/>
      <w:bookmarkStart w:id="506" w:name="_Toc521484731"/>
      <w:bookmarkStart w:id="507" w:name="_Toc521485062"/>
      <w:bookmarkStart w:id="508" w:name="_Toc521496242"/>
      <w:bookmarkStart w:id="509" w:name="_Toc521496770"/>
      <w:bookmarkStart w:id="510" w:name="_Toc521498212"/>
      <w:bookmarkStart w:id="511" w:name="_Toc521500296"/>
      <w:bookmarkStart w:id="512" w:name="_Toc529345950"/>
      <w:bookmarkStart w:id="513" w:name="_Toc129038143"/>
      <w:bookmarkStart w:id="514" w:name="_Toc129038429"/>
      <w:bookmarkStart w:id="515" w:name="_Toc132267999"/>
      <w:bookmarkStart w:id="516" w:name="_Toc132268305"/>
      <w:bookmarkStart w:id="517" w:name="_Toc136198554"/>
      <w:bookmarkStart w:id="518" w:name="_Toc136198835"/>
      <w:r w:rsidRPr="001A1836">
        <w:t>Standards Setting Body</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14:paraId="069E194D" w14:textId="4E8CD276" w:rsidR="0097496C" w:rsidRPr="001A1836" w:rsidRDefault="00C00696">
      <w:pPr>
        <w:pStyle w:val="GSRL4numberedclause"/>
      </w:pPr>
      <w:r w:rsidRPr="001A1836">
        <w:t>During Year 1, on behalf of the Standards Setting Body (SSB)</w:t>
      </w:r>
      <w:r w:rsidR="0097496C" w:rsidRPr="001A1836">
        <w:t>,</w:t>
      </w:r>
      <w:r w:rsidR="00CF5F1E" w:rsidRPr="001A1836">
        <w:t xml:space="preserve"> the Provider sha</w:t>
      </w:r>
      <w:r w:rsidRPr="001A1836">
        <w:t>ll conduct a procurement exercise to appoint an organisation to undertake the Standards Setting Function</w:t>
      </w:r>
      <w:r w:rsidR="0097496C" w:rsidRPr="001A1836">
        <w:t xml:space="preserve"> (SSF)</w:t>
      </w:r>
      <w:r w:rsidRPr="001A1836">
        <w:t xml:space="preserve"> (including secretariat) from Year 2 onwards u</w:t>
      </w:r>
      <w:r w:rsidR="007A3DE3" w:rsidRPr="001A1836">
        <w:t>nder a four-</w:t>
      </w:r>
      <w:r w:rsidRPr="001A1836">
        <w:t>year contract (with option to extend and novate to HSE or the</w:t>
      </w:r>
      <w:r w:rsidR="0097496C" w:rsidRPr="001A1836">
        <w:t xml:space="preserve"> next Provider at the end of this Agreement</w:t>
      </w:r>
      <w:r w:rsidR="00B50775" w:rsidRPr="001A1836">
        <w:t>)</w:t>
      </w:r>
      <w:r w:rsidR="0097496C" w:rsidRPr="001A1836">
        <w:t>.</w:t>
      </w:r>
    </w:p>
    <w:p w14:paraId="069E194E" w14:textId="77777777" w:rsidR="0097496C" w:rsidRPr="001A1836" w:rsidRDefault="0097496C">
      <w:pPr>
        <w:pStyle w:val="GSRL4numberedclause"/>
      </w:pPr>
      <w:r w:rsidRPr="001A1836">
        <w:t xml:space="preserve">The contract for </w:t>
      </w:r>
      <w:r w:rsidR="00AD373D" w:rsidRPr="001A1836">
        <w:t xml:space="preserve">the procured </w:t>
      </w:r>
      <w:r w:rsidR="00B50775" w:rsidRPr="001A1836">
        <w:t>s</w:t>
      </w:r>
      <w:r w:rsidR="00CF5F1E" w:rsidRPr="001A1836">
        <w:t>ervices sha</w:t>
      </w:r>
      <w:r w:rsidRPr="001A1836">
        <w:t>ll be between the Provider and the SSF</w:t>
      </w:r>
      <w:r w:rsidR="00C00696" w:rsidRPr="001A1836">
        <w:t xml:space="preserve"> </w:t>
      </w:r>
      <w:r w:rsidRPr="001A1836">
        <w:t xml:space="preserve">service delivery provider. </w:t>
      </w:r>
    </w:p>
    <w:p w14:paraId="069E194F" w14:textId="77777777" w:rsidR="00C00696" w:rsidRPr="001A1836" w:rsidRDefault="00CF5F1E">
      <w:pPr>
        <w:pStyle w:val="GSRL4numberedclause"/>
      </w:pPr>
      <w:r w:rsidRPr="001A1836">
        <w:lastRenderedPageBreak/>
        <w:t>The Provider sha</w:t>
      </w:r>
      <w:r w:rsidR="0097496C" w:rsidRPr="001A1836">
        <w:t>ll develop the service levels and KPIs</w:t>
      </w:r>
      <w:r w:rsidR="00BB3DD0" w:rsidRPr="001A1836">
        <w:t xml:space="preserve"> for the procured services</w:t>
      </w:r>
      <w:r w:rsidR="0097496C" w:rsidRPr="001A1836">
        <w:t xml:space="preserve"> in conjunction with the SSB and HSE. HSE and the SSB will participate in procurement exercise as evaluators.</w:t>
      </w:r>
      <w:r w:rsidR="00C00696" w:rsidRPr="001A1836">
        <w:t xml:space="preserve"> </w:t>
      </w:r>
    </w:p>
    <w:p w14:paraId="069E1950" w14:textId="77777777" w:rsidR="00F6145A" w:rsidRPr="001A1836" w:rsidRDefault="00F6145A">
      <w:pPr>
        <w:pStyle w:val="GSRL4numberedclause"/>
      </w:pPr>
      <w:r w:rsidRPr="001A1836">
        <w:t>D</w:t>
      </w:r>
      <w:r w:rsidR="00BD7007" w:rsidRPr="001A1836">
        <w:t>uring Year 1, the SSF service will be</w:t>
      </w:r>
      <w:r w:rsidRPr="001A1836">
        <w:t xml:space="preserve"> provided by EU Skills.</w:t>
      </w:r>
    </w:p>
    <w:p w14:paraId="4A1B55A9" w14:textId="77777777" w:rsidR="00F41C1C" w:rsidRDefault="00D636BC">
      <w:pPr>
        <w:pStyle w:val="GSRL4numberedclause"/>
      </w:pPr>
      <w:r w:rsidRPr="001A1836">
        <w:t>The Provider shall f</w:t>
      </w:r>
      <w:r w:rsidR="00F6145A" w:rsidRPr="001A1836">
        <w:t xml:space="preserve">und the SSB </w:t>
      </w:r>
      <w:r w:rsidRPr="001A1836">
        <w:t>a</w:t>
      </w:r>
      <w:r w:rsidR="00F6145A" w:rsidRPr="001A1836">
        <w:t>s outlined in Schedule 5 (Financial Model and Gain Share).</w:t>
      </w:r>
    </w:p>
    <w:p w14:paraId="38BAFFAD" w14:textId="2A05C6BA" w:rsidR="00F41C1C" w:rsidRPr="00F41C1C" w:rsidRDefault="00F41C1C" w:rsidP="00F41C1C">
      <w:pPr>
        <w:pStyle w:val="GSRL4numberedclause"/>
      </w:pPr>
      <w:r w:rsidRPr="00F41C1C">
        <w:t>During Year 1</w:t>
      </w:r>
      <w:r>
        <w:t>, t</w:t>
      </w:r>
      <w:r w:rsidRPr="00F41C1C">
        <w:t xml:space="preserve">he Provider will work with the current </w:t>
      </w:r>
      <w:r w:rsidR="00F11B0E" w:rsidRPr="001A1836">
        <w:t>SSF service delivery provider</w:t>
      </w:r>
      <w:r w:rsidRPr="00F41C1C">
        <w:t xml:space="preserve"> to make proposals for HSE</w:t>
      </w:r>
      <w:r>
        <w:t>'</w:t>
      </w:r>
      <w:r w:rsidR="00551189">
        <w:t>s</w:t>
      </w:r>
      <w:r>
        <w:t xml:space="preserve"> review and, if appropriate,</w:t>
      </w:r>
      <w:r w:rsidRPr="00F41C1C">
        <w:t xml:space="preserve"> approv</w:t>
      </w:r>
      <w:r>
        <w:t xml:space="preserve">al as to how best to integrate </w:t>
      </w:r>
      <w:r w:rsidRPr="00F41C1C">
        <w:t xml:space="preserve">and fund the </w:t>
      </w:r>
      <w:r w:rsidR="00551189">
        <w:t>relevant</w:t>
      </w:r>
      <w:r w:rsidRPr="00F41C1C">
        <w:t xml:space="preserve"> </w:t>
      </w:r>
      <w:r w:rsidR="00831ED6">
        <w:t>Mandatory Technical Competence requirements (as referred to in paragraph 4.29)</w:t>
      </w:r>
      <w:r w:rsidRPr="00F41C1C">
        <w:t xml:space="preserve"> into the Standards Setting Function.</w:t>
      </w:r>
    </w:p>
    <w:p w14:paraId="39616EB6" w14:textId="53D0A36E" w:rsidR="00065B0A" w:rsidRDefault="00065B0A">
      <w:pPr>
        <w:pStyle w:val="GSRL3heading"/>
        <w:spacing w:line="276" w:lineRule="auto"/>
      </w:pPr>
      <w:bookmarkStart w:id="519" w:name="_Toc136198555"/>
      <w:bookmarkStart w:id="520" w:name="_Toc136198836"/>
      <w:bookmarkStart w:id="521" w:name="_Toc501354486"/>
      <w:bookmarkStart w:id="522" w:name="_Toc507743997"/>
      <w:bookmarkStart w:id="523" w:name="_Toc521326978"/>
      <w:bookmarkStart w:id="524" w:name="_Toc521333211"/>
      <w:bookmarkStart w:id="525" w:name="_Toc521483969"/>
      <w:bookmarkStart w:id="526" w:name="_Toc521484732"/>
      <w:bookmarkStart w:id="527" w:name="_Toc521485063"/>
      <w:bookmarkStart w:id="528" w:name="_Toc521496243"/>
      <w:bookmarkStart w:id="529" w:name="_Toc521496771"/>
      <w:bookmarkStart w:id="530" w:name="_Toc521498213"/>
      <w:bookmarkStart w:id="531" w:name="_Toc521500297"/>
      <w:bookmarkStart w:id="532" w:name="_Toc529345951"/>
      <w:bookmarkStart w:id="533" w:name="_Toc129038144"/>
      <w:bookmarkStart w:id="534" w:name="_Toc129038430"/>
      <w:bookmarkStart w:id="535" w:name="_Toc132268000"/>
      <w:bookmarkStart w:id="536" w:name="_Toc132268306"/>
      <w:r>
        <w:t>Gas Installation Unsafe Situations Procedure Group</w:t>
      </w:r>
    </w:p>
    <w:p w14:paraId="458D9C91" w14:textId="292361E1" w:rsidR="00065B0A" w:rsidRDefault="00065B0A" w:rsidP="00065B0A">
      <w:pPr>
        <w:pStyle w:val="GSRL4numberedclause"/>
      </w:pPr>
      <w:r>
        <w:t>The Gas Installation Unsafe Situations Procedure Group (</w:t>
      </w:r>
      <w:r w:rsidRPr="00065B0A">
        <w:rPr>
          <w:b/>
        </w:rPr>
        <w:t>"GIUSPG"</w:t>
      </w:r>
      <w:r>
        <w:t>) assists and supports registered gas businesses, to correctly identify, classify and deal with a wide variety of gas-related unsafe situations that they are likely to encounter during the course of their work.</w:t>
      </w:r>
    </w:p>
    <w:p w14:paraId="64BC471B" w14:textId="6EC99BDE" w:rsidR="00065B0A" w:rsidRDefault="00065B0A" w:rsidP="00065B0A">
      <w:pPr>
        <w:pStyle w:val="GSRL4numberedclause"/>
      </w:pPr>
      <w:r>
        <w:t xml:space="preserve">The Gas Installation Unsafe Situations Procedure Group has representation from across the industry, including </w:t>
      </w:r>
      <w:r w:rsidR="00171FDC">
        <w:t>the Provider, HSE</w:t>
      </w:r>
      <w:r>
        <w:t xml:space="preserve"> and subject matter experts. The resulting documentation, ‘The Gas Installation Unsafe Situations Procedure (GIUSP)’ is regarded across the industry as an essential safety document. </w:t>
      </w:r>
    </w:p>
    <w:p w14:paraId="2600CE3F" w14:textId="78DEDDAD" w:rsidR="00065B0A" w:rsidRDefault="00065B0A" w:rsidP="00065B0A">
      <w:pPr>
        <w:pStyle w:val="GSRL4numberedclause"/>
      </w:pPr>
      <w:r>
        <w:t xml:space="preserve">The Institute of Gas Engineers and Managers (IGEM) currently provides the secretariat for the Group. </w:t>
      </w:r>
    </w:p>
    <w:p w14:paraId="42613456" w14:textId="6085B7D3" w:rsidR="00065B0A" w:rsidRPr="001A1836" w:rsidRDefault="00065B0A" w:rsidP="00065B0A">
      <w:pPr>
        <w:pStyle w:val="GSRL4numberedclause"/>
      </w:pPr>
      <w:r w:rsidRPr="001A1836">
        <w:t xml:space="preserve">The Provider shall fund the </w:t>
      </w:r>
      <w:r>
        <w:t>GIUSP</w:t>
      </w:r>
      <w:r w:rsidRPr="001A1836">
        <w:t xml:space="preserve"> as outlined in Schedule 5 (Financial Model and Gain Share). </w:t>
      </w:r>
    </w:p>
    <w:p w14:paraId="5F493005" w14:textId="7E14D51A" w:rsidR="00065B0A" w:rsidRDefault="00065B0A" w:rsidP="00065B0A">
      <w:pPr>
        <w:pStyle w:val="GSRL4numberedclause"/>
      </w:pPr>
      <w:r>
        <w:t xml:space="preserve">The evaluation and monitoring of said funding will be agreed between the Provider and IGEM. </w:t>
      </w:r>
    </w:p>
    <w:p w14:paraId="39ACD701" w14:textId="476D8D7B" w:rsidR="00065B0A" w:rsidRDefault="00065B0A" w:rsidP="00065B0A">
      <w:pPr>
        <w:pStyle w:val="GSRL4numberedclause"/>
      </w:pPr>
      <w:r>
        <w:t xml:space="preserve">A memorandum of understanding (MOU) between IGEM and </w:t>
      </w:r>
      <w:r w:rsidR="00171FDC">
        <w:t>the Provider</w:t>
      </w:r>
      <w:r>
        <w:t xml:space="preserve"> will  be maintained to ensure there is a suitable and sufficient process for communicating the findings, results and learnings of the GIUSPG with Businesses and Engineers.</w:t>
      </w:r>
    </w:p>
    <w:p w14:paraId="069E1952" w14:textId="708F0482" w:rsidR="0088681F" w:rsidRPr="001A1836" w:rsidRDefault="00E43D25">
      <w:pPr>
        <w:pStyle w:val="GSRL3heading"/>
        <w:spacing w:line="276" w:lineRule="auto"/>
      </w:pPr>
      <w:r>
        <w:t>Undertake a Decade Review</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6FF37F16" w14:textId="25567AE8" w:rsidR="00E43D25" w:rsidRDefault="00E43D25" w:rsidP="00E43D25">
      <w:pPr>
        <w:pStyle w:val="GSRL4numberedclause"/>
      </w:pPr>
      <w:r>
        <w:t>The Provider shall undertake a review before the end of 2026 in accordance with this paragraph 1</w:t>
      </w:r>
      <w:r w:rsidR="007E3302">
        <w:t>8</w:t>
      </w:r>
      <w:r>
        <w:t xml:space="preserve"> to understand the wider industry and prepare for the future of the gas industry (the </w:t>
      </w:r>
      <w:r w:rsidRPr="00E43D25">
        <w:rPr>
          <w:b/>
        </w:rPr>
        <w:t>"Decade Review"</w:t>
      </w:r>
      <w:r>
        <w:t>).</w:t>
      </w:r>
    </w:p>
    <w:p w14:paraId="6B5F63E1" w14:textId="0144C869" w:rsidR="00E43D25" w:rsidRDefault="00E43D25" w:rsidP="00E43D25">
      <w:pPr>
        <w:pStyle w:val="GSRL4numberedclause"/>
      </w:pPr>
      <w:r>
        <w:t>The purpose of the Decade Review is to:</w:t>
      </w:r>
    </w:p>
    <w:p w14:paraId="4587965D" w14:textId="6F92BC33" w:rsidR="00E43D25" w:rsidRDefault="00E43D25" w:rsidP="00E43D25">
      <w:pPr>
        <w:pStyle w:val="GSRL5numberedclause"/>
      </w:pPr>
      <w:r>
        <w:t>explore the current arrangements to promote domestic gas safety across the UK;</w:t>
      </w:r>
    </w:p>
    <w:p w14:paraId="7DA04FB7" w14:textId="0F37E018" w:rsidR="00E43D25" w:rsidRDefault="00E43D25" w:rsidP="00E43D25">
      <w:pPr>
        <w:pStyle w:val="GSRL5numberedclause"/>
      </w:pPr>
      <w:r>
        <w:t>identify areas of strength and weakness; and</w:t>
      </w:r>
    </w:p>
    <w:p w14:paraId="0A1F08D5" w14:textId="5FD3B9CB" w:rsidR="00E43D25" w:rsidRDefault="00E43D25" w:rsidP="00E43D25">
      <w:pPr>
        <w:pStyle w:val="GSRL5numberedclause"/>
      </w:pPr>
      <w:r>
        <w:t>make recommendations for the future.</w:t>
      </w:r>
    </w:p>
    <w:p w14:paraId="63A295D7" w14:textId="04CDA0C9" w:rsidR="00E43D25" w:rsidRDefault="00E43D25" w:rsidP="00E43D25">
      <w:pPr>
        <w:pStyle w:val="GSRL4numberedclause"/>
      </w:pPr>
      <w:r>
        <w:t xml:space="preserve">The Decade Review will cover, but not exclusively, the following topics: </w:t>
      </w:r>
    </w:p>
    <w:p w14:paraId="6F5B375D" w14:textId="0753C985" w:rsidR="00E43D25" w:rsidRDefault="00E43D25" w:rsidP="00E43D25">
      <w:pPr>
        <w:pStyle w:val="GSRL5numberedclause"/>
      </w:pPr>
      <w:r>
        <w:t xml:space="preserve">the industry </w:t>
      </w:r>
    </w:p>
    <w:p w14:paraId="1967D7F5" w14:textId="308E3EC1" w:rsidR="00E43D25" w:rsidRDefault="00E43D25" w:rsidP="00E43D25">
      <w:pPr>
        <w:pStyle w:val="GSRL6numberedclause"/>
      </w:pPr>
      <w:r>
        <w:t xml:space="preserve">The current state of the gas and gas safety industry. </w:t>
      </w:r>
    </w:p>
    <w:p w14:paraId="3FD49E82" w14:textId="4062097C" w:rsidR="00E43D25" w:rsidRDefault="00E43D25" w:rsidP="00E43D25">
      <w:pPr>
        <w:pStyle w:val="GSRL6numberedclause"/>
      </w:pPr>
      <w:r>
        <w:t xml:space="preserve">How has the industry changed in the past ten years? </w:t>
      </w:r>
    </w:p>
    <w:p w14:paraId="37E050EE" w14:textId="4B95C435" w:rsidR="00E43D25" w:rsidRDefault="00E43D25" w:rsidP="00E43D25">
      <w:pPr>
        <w:pStyle w:val="GSRL5numberedclause"/>
      </w:pPr>
      <w:r>
        <w:lastRenderedPageBreak/>
        <w:t xml:space="preserve">Engineers </w:t>
      </w:r>
    </w:p>
    <w:p w14:paraId="338D92BA" w14:textId="0AB6F4A4" w:rsidR="00E43D25" w:rsidRDefault="00E43D25" w:rsidP="00E43D25">
      <w:pPr>
        <w:pStyle w:val="GSRL6numberedclause"/>
      </w:pPr>
      <w:r>
        <w:t xml:space="preserve">What do engineers expect and need from the Register? </w:t>
      </w:r>
    </w:p>
    <w:p w14:paraId="5942C25C" w14:textId="38094AAE" w:rsidR="00E43D25" w:rsidRDefault="00E43D25" w:rsidP="00E43D25">
      <w:pPr>
        <w:pStyle w:val="GSRL6numberedclause"/>
      </w:pPr>
      <w:r>
        <w:t xml:space="preserve">Have engineer attitudes, behaviour and motivation changed in the past decade? </w:t>
      </w:r>
    </w:p>
    <w:p w14:paraId="712726A0" w14:textId="461D3A00" w:rsidR="00E43D25" w:rsidRDefault="00E43D25" w:rsidP="00E43D25">
      <w:pPr>
        <w:pStyle w:val="GSRL5numberedclause"/>
      </w:pPr>
      <w:r>
        <w:t xml:space="preserve">Training, skills and competence </w:t>
      </w:r>
    </w:p>
    <w:p w14:paraId="0601B4DA" w14:textId="4D5132A3" w:rsidR="00E43D25" w:rsidRDefault="00E43D25" w:rsidP="00E43D25">
      <w:pPr>
        <w:pStyle w:val="GSRL6numberedclause"/>
      </w:pPr>
      <w:r>
        <w:t xml:space="preserve">What are engineers' views on the current training and re-assessment regime? </w:t>
      </w:r>
    </w:p>
    <w:p w14:paraId="0A83B1E4" w14:textId="6958F009" w:rsidR="00E43D25" w:rsidRDefault="00E43D25" w:rsidP="00E43D25">
      <w:pPr>
        <w:pStyle w:val="GSRL5numberedclause"/>
      </w:pPr>
      <w:r>
        <w:t xml:space="preserve">The future </w:t>
      </w:r>
    </w:p>
    <w:p w14:paraId="794C2F1F" w14:textId="69DBA47A" w:rsidR="00E43D25" w:rsidRDefault="00E43D25" w:rsidP="00E43D25">
      <w:pPr>
        <w:pStyle w:val="GSRL6numberedclause"/>
      </w:pPr>
      <w:r>
        <w:t xml:space="preserve">What might the industry look like in years to come? </w:t>
      </w:r>
    </w:p>
    <w:p w14:paraId="7AB8BA69" w14:textId="58F525A6" w:rsidR="00E43D25" w:rsidRDefault="00E43D25" w:rsidP="00E43D25">
      <w:pPr>
        <w:pStyle w:val="GSRL6numberedclause"/>
      </w:pPr>
      <w:r>
        <w:t xml:space="preserve">What are future issues that the industry might face, such as ageing installations, new fuels, government intervention and new technologies and appliances? </w:t>
      </w:r>
    </w:p>
    <w:p w14:paraId="0EEB53F4" w14:textId="7D046F06" w:rsidR="00150831" w:rsidRDefault="00150831" w:rsidP="00065B0A">
      <w:pPr>
        <w:pStyle w:val="GSRL4numberedclause"/>
        <w:numPr>
          <w:ilvl w:val="0"/>
          <w:numId w:val="0"/>
        </w:numPr>
        <w:spacing w:line="276" w:lineRule="auto"/>
        <w:ind w:left="720"/>
      </w:pPr>
    </w:p>
    <w:p w14:paraId="214559F3" w14:textId="44D567F7" w:rsidR="00E43D25" w:rsidRDefault="003B0837" w:rsidP="00E43D25">
      <w:pPr>
        <w:pStyle w:val="GSRL3heading"/>
      </w:pPr>
      <w:bookmarkStart w:id="537" w:name="_Toc136198556"/>
      <w:bookmarkStart w:id="538" w:name="_Toc136198837"/>
      <w:r>
        <w:t xml:space="preserve">Develop the newly introduced role of </w:t>
      </w:r>
      <w:r w:rsidR="00E43D25">
        <w:t>SME Champion</w:t>
      </w:r>
      <w:bookmarkEnd w:id="537"/>
      <w:bookmarkEnd w:id="538"/>
    </w:p>
    <w:p w14:paraId="0BCFA96E" w14:textId="49E36F63" w:rsidR="00E43D25" w:rsidRDefault="00E43D25" w:rsidP="003B0837">
      <w:pPr>
        <w:pStyle w:val="GSRL4numberedclause"/>
        <w:spacing w:line="23" w:lineRule="atLeast"/>
      </w:pPr>
      <w:r>
        <w:t xml:space="preserve">In recognition that over 98% of Registered Business are Small and Medium Enterprises (SME), </w:t>
      </w:r>
      <w:r w:rsidR="003B0837">
        <w:t>a new</w:t>
      </w:r>
      <w:r>
        <w:t xml:space="preserve"> position of "SME Champion" </w:t>
      </w:r>
      <w:r w:rsidR="003B0837">
        <w:t xml:space="preserve">has been introduced </w:t>
      </w:r>
      <w:r>
        <w:t>to ensure the views of these businesses are represented and enable wider engagement with the sector.</w:t>
      </w:r>
      <w:r w:rsidR="003B0837">
        <w:t xml:space="preserve"> </w:t>
      </w:r>
      <w:r w:rsidR="003B0837" w:rsidRPr="003B0837">
        <w:t xml:space="preserve">The </w:t>
      </w:r>
      <w:r w:rsidR="003B0837">
        <w:t>Provider</w:t>
      </w:r>
      <w:r w:rsidR="003B0837" w:rsidRPr="003B0837">
        <w:t xml:space="preserve"> will be expected to further develop this role.</w:t>
      </w:r>
    </w:p>
    <w:p w14:paraId="38A3938A" w14:textId="2437518D" w:rsidR="00E43D25" w:rsidRDefault="00E43D25" w:rsidP="00E43D25">
      <w:pPr>
        <w:pStyle w:val="GSRL4numberedclause"/>
      </w:pPr>
      <w:r>
        <w:t>The ambitions of the SME Champion are to:</w:t>
      </w:r>
    </w:p>
    <w:p w14:paraId="765FDFE9" w14:textId="622BD437" w:rsidR="00E43D25" w:rsidRDefault="00E43D25" w:rsidP="00E43D25">
      <w:pPr>
        <w:pStyle w:val="GSRL5numberedclause"/>
      </w:pPr>
      <w:r>
        <w:t>lead on the overall relationship between Gas Safe Register and SMEs;</w:t>
      </w:r>
    </w:p>
    <w:p w14:paraId="571DD21F" w14:textId="24030492" w:rsidR="00E43D25" w:rsidRDefault="00E43D25" w:rsidP="00E43D25">
      <w:pPr>
        <w:pStyle w:val="GSRL5numberedclause"/>
      </w:pPr>
      <w:r>
        <w:t>work with SMEs to identify and overcome any barriers between SMEs and GSR; and</w:t>
      </w:r>
    </w:p>
    <w:p w14:paraId="4019503A" w14:textId="6B740BED" w:rsidR="00E43D25" w:rsidRDefault="00E43D25" w:rsidP="00E43D25">
      <w:pPr>
        <w:pStyle w:val="GSRL5numberedclause"/>
      </w:pPr>
      <w:r>
        <w:t>act as a representative of SME views at appropriate opportunities such as the Standards Setting Body and Large Business Forum.</w:t>
      </w:r>
    </w:p>
    <w:p w14:paraId="7668D19E" w14:textId="0D9700B7" w:rsidR="00E43D25" w:rsidRDefault="00E43D25" w:rsidP="00E43D25">
      <w:pPr>
        <w:pStyle w:val="GSRL3heading"/>
      </w:pPr>
      <w:bookmarkStart w:id="539" w:name="_Toc136198557"/>
      <w:bookmarkStart w:id="540" w:name="_Toc136198838"/>
      <w:r w:rsidRPr="00E43D25">
        <w:t>Facilitate UK Government ambitions towards the Net Zero agenda</w:t>
      </w:r>
      <w:bookmarkEnd w:id="539"/>
      <w:bookmarkEnd w:id="540"/>
      <w:r w:rsidRPr="00E43D25">
        <w:t xml:space="preserve"> </w:t>
      </w:r>
    </w:p>
    <w:p w14:paraId="45B2FCAC" w14:textId="26E85167" w:rsidR="00E43D25" w:rsidRDefault="00E43D25" w:rsidP="00E43D25">
      <w:pPr>
        <w:pStyle w:val="GSRL4numberedclause"/>
      </w:pPr>
      <w:r>
        <w:t>Under the Gas Safety (Installation and Use) Regulations 1998 (GSIUR), for a gas engineering business to legally undertake gas work that is within the scope of GSIUR they must be on the Register. The use of alternatives to natural gas, such as hydrogen or natural gas blended with hydrogen, in domestic premises is also regulated under the GSIUR.</w:t>
      </w:r>
    </w:p>
    <w:p w14:paraId="7E943E74" w14:textId="0A9C29A2" w:rsidR="00E43D25" w:rsidRDefault="00E43D25" w:rsidP="00E43D25">
      <w:pPr>
        <w:pStyle w:val="GSRL4numberedclause"/>
      </w:pPr>
      <w:r>
        <w:t xml:space="preserve">The Provider must work with HSE and UK Government to help enable Net Zero technologies – including potential options for 100% hydrogen heating and hydrogen blends within the gas network.  </w:t>
      </w:r>
    </w:p>
    <w:p w14:paraId="182CDE88" w14:textId="02A5157C" w:rsidR="00E43D25" w:rsidRDefault="00E43D25" w:rsidP="00E43D25">
      <w:pPr>
        <w:pStyle w:val="GSRL4numberedclause"/>
      </w:pPr>
      <w:r>
        <w:t>The Provider will work closely with the Standard Setting Body in the creation of new assessments and registration requirements.</w:t>
      </w:r>
    </w:p>
    <w:p w14:paraId="0C61BA96" w14:textId="16670933" w:rsidR="00E43D25" w:rsidRDefault="00E43D25" w:rsidP="00E43D25">
      <w:pPr>
        <w:pStyle w:val="GSRL4numberedclause"/>
      </w:pPr>
      <w:r>
        <w:t xml:space="preserve">The Provider will enable current and future Hydrogen Heating Programmes Trials, pilots or other limited scale projects using alternatives to natural gas, such as hydrogen or hydrogen blends, by ensuring that the number of </w:t>
      </w:r>
      <w:r w:rsidR="00313A1B">
        <w:t>C</w:t>
      </w:r>
      <w:r>
        <w:t xml:space="preserve">ompetency </w:t>
      </w:r>
      <w:r w:rsidR="00313A1B">
        <w:t>C</w:t>
      </w:r>
      <w:r>
        <w:t xml:space="preserve">hecks and inspectors is proportionate to the risk. </w:t>
      </w:r>
    </w:p>
    <w:p w14:paraId="1C3FC24B" w14:textId="0FD112D6" w:rsidR="00E43D25" w:rsidRDefault="00E43D25" w:rsidP="00E43D25">
      <w:pPr>
        <w:pStyle w:val="GSRL4numberedclause"/>
      </w:pPr>
      <w:r>
        <w:t>The Provider will within the scope of their remit communicate with the public regarding any trials, pilots or other limited scale projects including but not exclusively:</w:t>
      </w:r>
    </w:p>
    <w:p w14:paraId="550D7AC1" w14:textId="149B1EFC" w:rsidR="00E43D25" w:rsidRDefault="00E43D25" w:rsidP="00E43D25">
      <w:pPr>
        <w:pStyle w:val="GSRL5numberedclause"/>
      </w:pPr>
      <w:r>
        <w:lastRenderedPageBreak/>
        <w:t>publicising and communicating with industry regarding competency criteria and assessments</w:t>
      </w:r>
      <w:r w:rsidR="00313A1B">
        <w:t>; and</w:t>
      </w:r>
    </w:p>
    <w:p w14:paraId="012B3135" w14:textId="0A91F314" w:rsidR="00E43D25" w:rsidRDefault="00E43D25" w:rsidP="00E43D25">
      <w:pPr>
        <w:pStyle w:val="GSRL5numberedclause"/>
      </w:pPr>
      <w:r>
        <w:t xml:space="preserve">communicating with members of the public on relevant developments within the programme and the effect it will have on consumer choice of engineers. </w:t>
      </w:r>
    </w:p>
    <w:p w14:paraId="5F16E49B" w14:textId="55137DC3" w:rsidR="00E43D25" w:rsidRDefault="00E43D25" w:rsidP="00E43D25">
      <w:pPr>
        <w:pStyle w:val="GSRL4numberedclause"/>
      </w:pPr>
      <w:r>
        <w:t>The Provider will</w:t>
      </w:r>
      <w:r w:rsidR="0056692E">
        <w:t xml:space="preserve"> </w:t>
      </w:r>
      <w:r>
        <w:t>innovate and adapt where necessary to help enable Net Zero through continued service provision in line with the 2026 Government policy decisions on the use of alternatives to natural gas, such as hydrogen or hydrogen blends, gas network and potential changes to relevant legislation (including GSIUR) following the policy decision.</w:t>
      </w:r>
    </w:p>
    <w:p w14:paraId="7F1C3855" w14:textId="0AB039E5" w:rsidR="00E43D25" w:rsidRDefault="00E43D25" w:rsidP="00E43D25">
      <w:pPr>
        <w:pStyle w:val="GSRL4numberedclause"/>
      </w:pPr>
      <w:r>
        <w:t xml:space="preserve">The Provider will consider implications of future policy decisions and regulatory changes on service delivery, policy and procedures, publishing and communications. </w:t>
      </w:r>
    </w:p>
    <w:p w14:paraId="3D4FEAFE" w14:textId="28D3FBDF" w:rsidR="00E43D25" w:rsidRDefault="00E43D25" w:rsidP="00E43D25">
      <w:pPr>
        <w:pStyle w:val="GSRL4numberedclause"/>
      </w:pPr>
      <w:r>
        <w:t xml:space="preserve">The Provider will work with HSE to evaluate any impact of the aforementioned programmes on the </w:t>
      </w:r>
      <w:r w:rsidR="0056692E">
        <w:t xml:space="preserve">Risk </w:t>
      </w:r>
      <w:r w:rsidR="002E0AB5">
        <w:t>Model</w:t>
      </w:r>
      <w:r>
        <w:t xml:space="preserve"> and update it </w:t>
      </w:r>
      <w:r w:rsidR="0056692E">
        <w:t xml:space="preserve">(subject to the prior written agreement of HSE) </w:t>
      </w:r>
      <w:r>
        <w:t>accordingly to ensure its continued fitness for purpose.</w:t>
      </w:r>
    </w:p>
    <w:p w14:paraId="6A175242" w14:textId="77777777" w:rsidR="00580582" w:rsidRDefault="00580582" w:rsidP="00580582">
      <w:pPr>
        <w:pStyle w:val="GSRL4numberedclause"/>
        <w:numPr>
          <w:ilvl w:val="0"/>
          <w:numId w:val="0"/>
        </w:numPr>
        <w:sectPr w:rsidR="00580582" w:rsidSect="00F87B8D">
          <w:footerReference w:type="default" r:id="rId15"/>
          <w:pgSz w:w="11900" w:h="16840"/>
          <w:pgMar w:top="1134" w:right="1440" w:bottom="1440" w:left="1440" w:header="1077" w:footer="833" w:gutter="0"/>
          <w:cols w:space="708"/>
        </w:sectPr>
      </w:pPr>
    </w:p>
    <w:p w14:paraId="7577A2A8" w14:textId="77777777" w:rsidR="00580582" w:rsidRDefault="00580582" w:rsidP="00580582">
      <w:pPr>
        <w:pStyle w:val="Heading2"/>
        <w:keepNext w:val="0"/>
        <w:spacing w:before="0" w:after="180" w:line="300" w:lineRule="atLeast"/>
        <w:jc w:val="both"/>
        <w:rPr>
          <w:rFonts w:cs="Arial"/>
          <w:b w:val="0"/>
          <w:sz w:val="22"/>
          <w:szCs w:val="22"/>
          <w:lang w:eastAsia="zh-CN"/>
        </w:rPr>
      </w:pPr>
    </w:p>
    <w:p w14:paraId="130CA87C" w14:textId="3A5A49AE" w:rsidR="00580582" w:rsidRPr="001A1836" w:rsidRDefault="00580582" w:rsidP="00580582">
      <w:pPr>
        <w:pStyle w:val="GSRL2Sectionheading"/>
      </w:pPr>
      <w:r w:rsidRPr="001A1836">
        <w:t xml:space="preserve">Annex 1 – </w:t>
      </w:r>
      <w:r w:rsidR="00735986">
        <w:t xml:space="preserve">TABLE 4: </w:t>
      </w:r>
      <w:r>
        <w:t>INSPECTION METHODOLOGY MATRIX</w:t>
      </w:r>
    </w:p>
    <w:p w14:paraId="419A6C03" w14:textId="7D56C8FC" w:rsidR="00580582" w:rsidRDefault="00735986" w:rsidP="00580582">
      <w:r>
        <w:t xml:space="preserve">Note: </w:t>
      </w:r>
      <w:r w:rsidR="00580582">
        <w:t>All on-site Inspection activity is subject to permission from the property owner or responsible person for the gas installation.</w:t>
      </w:r>
    </w:p>
    <w:p w14:paraId="71BAA1AB" w14:textId="77777777" w:rsidR="00580582" w:rsidRDefault="00580582" w:rsidP="00580582"/>
    <w:p w14:paraId="63AEB6DB" w14:textId="71C14FB2" w:rsidR="00580582" w:rsidRPr="00580582" w:rsidRDefault="00580582" w:rsidP="00580582">
      <w:pPr>
        <w:rPr>
          <w:b/>
        </w:rPr>
      </w:pPr>
      <w:r w:rsidRPr="00580582">
        <w:rPr>
          <w:b/>
        </w:rPr>
        <w:t>Glossary for Table 4</w:t>
      </w:r>
    </w:p>
    <w:p w14:paraId="201B4E56" w14:textId="77777777" w:rsidR="00580582" w:rsidRDefault="00580582" w:rsidP="00580582"/>
    <w:p w14:paraId="5C2E7D2A" w14:textId="263BEAE2" w:rsidR="00580582" w:rsidRDefault="00580582" w:rsidP="00580582">
      <w:r w:rsidRPr="002E1F12">
        <w:rPr>
          <w:b/>
        </w:rPr>
        <w:t>CCE</w:t>
      </w:r>
      <w:r>
        <w:tab/>
      </w:r>
      <w:r>
        <w:tab/>
        <w:t>Competency Check Event</w:t>
      </w:r>
    </w:p>
    <w:p w14:paraId="7E84986F" w14:textId="5D6242D8" w:rsidR="00580582" w:rsidRDefault="00580582" w:rsidP="00580582">
      <w:pPr>
        <w:ind w:left="1440" w:hanging="1440"/>
      </w:pPr>
      <w:r w:rsidRPr="002E1F12">
        <w:rPr>
          <w:b/>
        </w:rPr>
        <w:t>TA</w:t>
      </w:r>
      <w:r w:rsidRPr="00B07059">
        <w:tab/>
        <w:t>On-site Technical Assessment</w:t>
      </w:r>
      <w:r>
        <w:t xml:space="preserve"> – additional verbal assessment of supplementary scope (eg assessment of LPG or Commercial competence if on-site inspection was a natural gas domestic installation)</w:t>
      </w:r>
    </w:p>
    <w:p w14:paraId="3FD8D4E8" w14:textId="77777777" w:rsidR="00580582" w:rsidRDefault="00580582" w:rsidP="00580582">
      <w:pPr>
        <w:rPr>
          <w:b/>
          <w:bCs/>
          <w:sz w:val="28"/>
          <w:szCs w:val="28"/>
        </w:rPr>
      </w:pPr>
      <w:r w:rsidRPr="002E1F12">
        <w:rPr>
          <w:b/>
        </w:rPr>
        <w:t>MAE</w:t>
      </w:r>
      <w:r>
        <w:tab/>
      </w:r>
      <w:r>
        <w:tab/>
        <w:t>Mandatory Attendance Event</w:t>
      </w:r>
      <w:r>
        <w:rPr>
          <w:b/>
          <w:bCs/>
          <w:sz w:val="28"/>
          <w:szCs w:val="28"/>
        </w:rPr>
        <w:tab/>
      </w:r>
    </w:p>
    <w:p w14:paraId="7C6CA869" w14:textId="34048DA4" w:rsidR="00580582" w:rsidRDefault="00580582" w:rsidP="00580582">
      <w:pPr>
        <w:ind w:left="1440" w:hanging="1440"/>
      </w:pPr>
      <w:r w:rsidRPr="002E1F12">
        <w:rPr>
          <w:b/>
        </w:rPr>
        <w:t>CC</w:t>
      </w:r>
      <w:r>
        <w:tab/>
        <w:t xml:space="preserve">Competency Checks - </w:t>
      </w:r>
      <w:r w:rsidRPr="00F14506">
        <w:t>Risk based inspection</w:t>
      </w:r>
      <w:r>
        <w:t>, includes Low</w:t>
      </w:r>
      <w:r w:rsidR="00735986">
        <w:t>er</w:t>
      </w:r>
      <w:r>
        <w:t>, Medium and High-risk business inspections and Targeted Competence inspections</w:t>
      </w:r>
    </w:p>
    <w:p w14:paraId="6F85C611" w14:textId="1F7F4DB1" w:rsidR="00580582" w:rsidRDefault="00580582" w:rsidP="00580582">
      <w:r w:rsidRPr="002E1F12">
        <w:rPr>
          <w:b/>
        </w:rPr>
        <w:t>Prob</w:t>
      </w:r>
      <w:r w:rsidR="00735986">
        <w:tab/>
      </w:r>
      <w:r w:rsidR="00735986">
        <w:tab/>
        <w:t>Probationary registration I</w:t>
      </w:r>
      <w:r w:rsidRPr="009B7B2D">
        <w:t>nspection</w:t>
      </w:r>
    </w:p>
    <w:p w14:paraId="7A0C792D" w14:textId="2F63F158" w:rsidR="00580582" w:rsidRDefault="00580582" w:rsidP="00580582">
      <w:r w:rsidRPr="002E1F12">
        <w:rPr>
          <w:b/>
        </w:rPr>
        <w:t>Illegal</w:t>
      </w:r>
      <w:r w:rsidRPr="002E1F12">
        <w:rPr>
          <w:b/>
        </w:rPr>
        <w:tab/>
      </w:r>
      <w:r>
        <w:tab/>
        <w:t xml:space="preserve">Illegal </w:t>
      </w:r>
      <w:r w:rsidR="00735986">
        <w:t>Gas Work I</w:t>
      </w:r>
      <w:r>
        <w:t>nspection</w:t>
      </w:r>
    </w:p>
    <w:p w14:paraId="4B91AF0E" w14:textId="08EDB533" w:rsidR="00580582" w:rsidRDefault="00580582" w:rsidP="00580582">
      <w:r w:rsidRPr="002E1F12">
        <w:rPr>
          <w:b/>
        </w:rPr>
        <w:t>Complaint</w:t>
      </w:r>
      <w:r>
        <w:tab/>
      </w:r>
      <w:r w:rsidR="002E1F12">
        <w:t>Complaint I</w:t>
      </w:r>
      <w:r>
        <w:t>nspection</w:t>
      </w:r>
    </w:p>
    <w:p w14:paraId="2EF581BB" w14:textId="056B895F" w:rsidR="00580582" w:rsidRPr="00F14506" w:rsidRDefault="00580582" w:rsidP="00580582">
      <w:r w:rsidRPr="002E1F12">
        <w:rPr>
          <w:b/>
        </w:rPr>
        <w:t>LBCC</w:t>
      </w:r>
      <w:r w:rsidR="00735986">
        <w:tab/>
      </w:r>
      <w:r w:rsidR="00735986">
        <w:tab/>
        <w:t>Large Business Competency C</w:t>
      </w:r>
      <w:r>
        <w:t>hecks</w:t>
      </w:r>
    </w:p>
    <w:p w14:paraId="74572090" w14:textId="77777777" w:rsidR="00580582" w:rsidRDefault="00580582" w:rsidP="00580582">
      <w:pPr>
        <w:rPr>
          <w:b/>
        </w:rPr>
      </w:pPr>
    </w:p>
    <w:p w14:paraId="1B7EAE04" w14:textId="27C02B23" w:rsidR="00580582" w:rsidRDefault="00580582" w:rsidP="00580582">
      <w:pPr>
        <w:rPr>
          <w:b/>
        </w:rPr>
      </w:pPr>
      <w:r>
        <w:rPr>
          <w:b/>
        </w:rPr>
        <w:t>Table 4 – Competency Check</w:t>
      </w:r>
    </w:p>
    <w:p w14:paraId="1243AEDE" w14:textId="77777777" w:rsidR="00580582" w:rsidRPr="00146D4A" w:rsidRDefault="00580582" w:rsidP="00580582">
      <w:pPr>
        <w:rPr>
          <w:b/>
        </w:rPr>
      </w:pPr>
    </w:p>
    <w:tbl>
      <w:tblPr>
        <w:tblStyle w:val="TableGrid"/>
        <w:tblW w:w="13157" w:type="dxa"/>
        <w:tblInd w:w="-5" w:type="dxa"/>
        <w:tblLayout w:type="fixed"/>
        <w:tblLook w:val="04A0" w:firstRow="1" w:lastRow="0" w:firstColumn="1" w:lastColumn="0" w:noHBand="0" w:noVBand="1"/>
      </w:tblPr>
      <w:tblGrid>
        <w:gridCol w:w="3828"/>
        <w:gridCol w:w="1166"/>
        <w:gridCol w:w="1166"/>
        <w:gridCol w:w="1166"/>
        <w:gridCol w:w="1166"/>
        <w:gridCol w:w="1166"/>
        <w:gridCol w:w="1166"/>
        <w:gridCol w:w="1166"/>
        <w:gridCol w:w="1167"/>
      </w:tblGrid>
      <w:tr w:rsidR="00580582" w:rsidRPr="007B0F12" w14:paraId="36EC2DDE" w14:textId="77777777" w:rsidTr="00580582">
        <w:trPr>
          <w:tblHeader/>
        </w:trPr>
        <w:tc>
          <w:tcPr>
            <w:tcW w:w="3828" w:type="dxa"/>
          </w:tcPr>
          <w:p w14:paraId="65E68314" w14:textId="77777777" w:rsidR="00580582" w:rsidRPr="007B0F12" w:rsidRDefault="00580582" w:rsidP="009B0680">
            <w:pPr>
              <w:rPr>
                <w:b/>
                <w:bCs/>
              </w:rPr>
            </w:pPr>
            <w:r w:rsidRPr="007B0F12">
              <w:rPr>
                <w:b/>
                <w:bCs/>
              </w:rPr>
              <w:t>Activity</w:t>
            </w:r>
          </w:p>
        </w:tc>
        <w:tc>
          <w:tcPr>
            <w:tcW w:w="1166" w:type="dxa"/>
          </w:tcPr>
          <w:p w14:paraId="573F75DF" w14:textId="77777777" w:rsidR="00580582" w:rsidRPr="007B0F12" w:rsidRDefault="00580582" w:rsidP="009B0680">
            <w:pPr>
              <w:jc w:val="center"/>
              <w:rPr>
                <w:b/>
                <w:bCs/>
              </w:rPr>
            </w:pPr>
            <w:r>
              <w:rPr>
                <w:b/>
                <w:bCs/>
              </w:rPr>
              <w:t>CCE</w:t>
            </w:r>
          </w:p>
        </w:tc>
        <w:tc>
          <w:tcPr>
            <w:tcW w:w="1166" w:type="dxa"/>
          </w:tcPr>
          <w:p w14:paraId="3899E386" w14:textId="77777777" w:rsidR="00580582" w:rsidRPr="003C0B7F" w:rsidRDefault="00580582" w:rsidP="009B0680">
            <w:pPr>
              <w:jc w:val="center"/>
              <w:rPr>
                <w:b/>
                <w:bCs/>
              </w:rPr>
            </w:pPr>
            <w:r w:rsidRPr="003C0B7F">
              <w:rPr>
                <w:b/>
                <w:bCs/>
              </w:rPr>
              <w:t>TA</w:t>
            </w:r>
          </w:p>
        </w:tc>
        <w:tc>
          <w:tcPr>
            <w:tcW w:w="1166" w:type="dxa"/>
          </w:tcPr>
          <w:p w14:paraId="02BA5AA8" w14:textId="77777777" w:rsidR="00580582" w:rsidRPr="007B0F12" w:rsidRDefault="00580582" w:rsidP="009B0680">
            <w:pPr>
              <w:jc w:val="center"/>
              <w:rPr>
                <w:b/>
                <w:bCs/>
              </w:rPr>
            </w:pPr>
            <w:r w:rsidRPr="007B0F12">
              <w:rPr>
                <w:b/>
                <w:bCs/>
              </w:rPr>
              <w:t>MAE</w:t>
            </w:r>
          </w:p>
        </w:tc>
        <w:tc>
          <w:tcPr>
            <w:tcW w:w="1166" w:type="dxa"/>
          </w:tcPr>
          <w:p w14:paraId="4234A3BE" w14:textId="77777777" w:rsidR="00580582" w:rsidRPr="007B0F12" w:rsidRDefault="00580582" w:rsidP="009B0680">
            <w:pPr>
              <w:jc w:val="center"/>
              <w:rPr>
                <w:b/>
                <w:bCs/>
              </w:rPr>
            </w:pPr>
            <w:r>
              <w:rPr>
                <w:b/>
                <w:bCs/>
              </w:rPr>
              <w:t>CC</w:t>
            </w:r>
          </w:p>
        </w:tc>
        <w:tc>
          <w:tcPr>
            <w:tcW w:w="1166" w:type="dxa"/>
          </w:tcPr>
          <w:p w14:paraId="787A7927" w14:textId="77777777" w:rsidR="00580582" w:rsidRPr="009B7B2D" w:rsidRDefault="00580582" w:rsidP="009B0680">
            <w:pPr>
              <w:jc w:val="center"/>
              <w:rPr>
                <w:b/>
                <w:bCs/>
              </w:rPr>
            </w:pPr>
            <w:r w:rsidRPr="009B7B2D">
              <w:rPr>
                <w:b/>
                <w:bCs/>
              </w:rPr>
              <w:t>Prob</w:t>
            </w:r>
          </w:p>
        </w:tc>
        <w:tc>
          <w:tcPr>
            <w:tcW w:w="1166" w:type="dxa"/>
          </w:tcPr>
          <w:p w14:paraId="0D86C8CE" w14:textId="77777777" w:rsidR="00580582" w:rsidRPr="007B0F12" w:rsidRDefault="00580582" w:rsidP="009B0680">
            <w:pPr>
              <w:jc w:val="center"/>
              <w:rPr>
                <w:b/>
                <w:bCs/>
              </w:rPr>
            </w:pPr>
            <w:r w:rsidRPr="007B0F12">
              <w:rPr>
                <w:b/>
                <w:bCs/>
              </w:rPr>
              <w:t>Illegal</w:t>
            </w:r>
          </w:p>
        </w:tc>
        <w:tc>
          <w:tcPr>
            <w:tcW w:w="1166" w:type="dxa"/>
          </w:tcPr>
          <w:p w14:paraId="06D22F3A" w14:textId="77777777" w:rsidR="00580582" w:rsidRPr="007B0F12" w:rsidRDefault="00580582" w:rsidP="009B0680">
            <w:pPr>
              <w:jc w:val="center"/>
              <w:rPr>
                <w:b/>
                <w:bCs/>
              </w:rPr>
            </w:pPr>
            <w:r w:rsidRPr="007B0F12">
              <w:rPr>
                <w:b/>
                <w:bCs/>
              </w:rPr>
              <w:t>Complaint</w:t>
            </w:r>
          </w:p>
        </w:tc>
        <w:tc>
          <w:tcPr>
            <w:tcW w:w="1167" w:type="dxa"/>
          </w:tcPr>
          <w:p w14:paraId="486A73E0" w14:textId="77777777" w:rsidR="00580582" w:rsidRPr="007B0F12" w:rsidRDefault="00580582" w:rsidP="009B0680">
            <w:pPr>
              <w:jc w:val="center"/>
              <w:rPr>
                <w:b/>
                <w:bCs/>
              </w:rPr>
            </w:pPr>
            <w:r>
              <w:rPr>
                <w:b/>
                <w:bCs/>
              </w:rPr>
              <w:t>LBCC</w:t>
            </w:r>
          </w:p>
        </w:tc>
      </w:tr>
      <w:tr w:rsidR="00580582" w:rsidRPr="007B0F12" w14:paraId="62B73634" w14:textId="77777777" w:rsidTr="00580582">
        <w:tc>
          <w:tcPr>
            <w:tcW w:w="3828" w:type="dxa"/>
          </w:tcPr>
          <w:p w14:paraId="1DA88128" w14:textId="77777777" w:rsidR="00580582" w:rsidRDefault="00580582" w:rsidP="009B0680">
            <w:r>
              <w:t>All</w:t>
            </w:r>
            <w:r w:rsidRPr="001B00A2">
              <w:t xml:space="preserve"> on-site inspection (planned or reactive)</w:t>
            </w:r>
            <w:r>
              <w:t xml:space="preserve"> used </w:t>
            </w:r>
            <w:r w:rsidRPr="001B00A2">
              <w:t xml:space="preserve"> to monitor an engineer’s competence shall include the following:</w:t>
            </w:r>
          </w:p>
          <w:p w14:paraId="646F9766" w14:textId="77777777" w:rsidR="00580582" w:rsidRDefault="00580582" w:rsidP="004E2262">
            <w:pPr>
              <w:pStyle w:val="ListParagraph"/>
              <w:numPr>
                <w:ilvl w:val="0"/>
                <w:numId w:val="111"/>
              </w:numPr>
              <w:spacing w:before="0"/>
              <w:contextualSpacing/>
              <w:jc w:val="left"/>
            </w:pPr>
            <w:r w:rsidRPr="001B00A2">
              <w:t xml:space="preserve">the requirements of regulation 26(9) of the </w:t>
            </w:r>
            <w:r w:rsidRPr="001B00A2">
              <w:lastRenderedPageBreak/>
              <w:t>Gas Safety (Installation and Use) Regulations 1998;</w:t>
            </w:r>
          </w:p>
          <w:p w14:paraId="281002EA" w14:textId="77777777" w:rsidR="00580582" w:rsidRDefault="00580582" w:rsidP="004E2262">
            <w:pPr>
              <w:pStyle w:val="ListParagraph"/>
              <w:numPr>
                <w:ilvl w:val="0"/>
                <w:numId w:val="111"/>
              </w:numPr>
              <w:spacing w:before="0"/>
              <w:contextualSpacing/>
              <w:jc w:val="left"/>
            </w:pPr>
            <w:r w:rsidRPr="001B00A2">
              <w:t>gas tightness testing;</w:t>
            </w:r>
          </w:p>
          <w:p w14:paraId="094CA334" w14:textId="77777777" w:rsidR="00580582" w:rsidRDefault="00580582" w:rsidP="004E2262">
            <w:pPr>
              <w:pStyle w:val="ListParagraph"/>
              <w:numPr>
                <w:ilvl w:val="0"/>
                <w:numId w:val="111"/>
              </w:numPr>
              <w:spacing w:before="0"/>
              <w:contextualSpacing/>
              <w:jc w:val="left"/>
            </w:pPr>
            <w:r w:rsidRPr="001B00A2">
              <w:t>meter operating pressure checks;</w:t>
            </w:r>
          </w:p>
          <w:p w14:paraId="5C1DAD59" w14:textId="77777777" w:rsidR="00580582" w:rsidRDefault="00580582" w:rsidP="004E2262">
            <w:pPr>
              <w:pStyle w:val="ListParagraph"/>
              <w:numPr>
                <w:ilvl w:val="0"/>
                <w:numId w:val="111"/>
              </w:numPr>
              <w:spacing w:before="0"/>
              <w:contextualSpacing/>
              <w:jc w:val="left"/>
            </w:pPr>
            <w:r w:rsidRPr="001B00A2">
              <w:t>combustion performance flue gas analysis, where appropriate</w:t>
            </w:r>
          </w:p>
          <w:p w14:paraId="799016A8" w14:textId="77777777" w:rsidR="00580582" w:rsidRPr="001B00A2" w:rsidRDefault="00580582" w:rsidP="009B0680"/>
        </w:tc>
        <w:tc>
          <w:tcPr>
            <w:tcW w:w="1166" w:type="dxa"/>
          </w:tcPr>
          <w:p w14:paraId="27C21761" w14:textId="77777777" w:rsidR="00580582" w:rsidRDefault="00580582" w:rsidP="009B0680">
            <w:pPr>
              <w:jc w:val="center"/>
              <w:rPr>
                <w:b/>
                <w:bCs/>
              </w:rPr>
            </w:pPr>
          </w:p>
          <w:p w14:paraId="5C07B0E3" w14:textId="77777777" w:rsidR="00580582" w:rsidRDefault="00580582" w:rsidP="009B0680">
            <w:pPr>
              <w:jc w:val="center"/>
              <w:rPr>
                <w:b/>
                <w:bCs/>
              </w:rPr>
            </w:pPr>
          </w:p>
          <w:p w14:paraId="2E19EDB3" w14:textId="77777777" w:rsidR="00580582" w:rsidRDefault="00580582" w:rsidP="009B0680">
            <w:pPr>
              <w:jc w:val="center"/>
              <w:rPr>
                <w:b/>
                <w:bCs/>
              </w:rPr>
            </w:pPr>
          </w:p>
          <w:p w14:paraId="33C0C1D2" w14:textId="77777777" w:rsidR="00580582" w:rsidRDefault="00580582" w:rsidP="009B0680">
            <w:pPr>
              <w:jc w:val="center"/>
              <w:rPr>
                <w:b/>
                <w:bCs/>
              </w:rPr>
            </w:pPr>
          </w:p>
          <w:p w14:paraId="04D86E4F" w14:textId="77777777" w:rsidR="00580582" w:rsidRPr="007B0F12" w:rsidRDefault="00580582" w:rsidP="009B0680">
            <w:pPr>
              <w:jc w:val="center"/>
              <w:rPr>
                <w:b/>
                <w:bCs/>
              </w:rPr>
            </w:pPr>
            <w:r>
              <w:rPr>
                <w:b/>
                <w:bCs/>
              </w:rPr>
              <w:t>-</w:t>
            </w:r>
          </w:p>
        </w:tc>
        <w:tc>
          <w:tcPr>
            <w:tcW w:w="1166" w:type="dxa"/>
          </w:tcPr>
          <w:p w14:paraId="7E0C7814" w14:textId="77777777" w:rsidR="00580582" w:rsidRPr="003C0B7F" w:rsidRDefault="00580582" w:rsidP="009B0680">
            <w:pPr>
              <w:jc w:val="center"/>
              <w:rPr>
                <w:b/>
                <w:bCs/>
              </w:rPr>
            </w:pPr>
          </w:p>
          <w:p w14:paraId="3F679DFD" w14:textId="77777777" w:rsidR="00580582" w:rsidRPr="003C0B7F" w:rsidRDefault="00580582" w:rsidP="009B0680">
            <w:pPr>
              <w:jc w:val="center"/>
              <w:rPr>
                <w:b/>
                <w:bCs/>
              </w:rPr>
            </w:pPr>
          </w:p>
          <w:p w14:paraId="0524BD2B" w14:textId="77777777" w:rsidR="00580582" w:rsidRPr="003C0B7F" w:rsidRDefault="00580582" w:rsidP="009B0680">
            <w:pPr>
              <w:jc w:val="center"/>
              <w:rPr>
                <w:b/>
                <w:bCs/>
              </w:rPr>
            </w:pPr>
          </w:p>
          <w:p w14:paraId="6D79CE52" w14:textId="77777777" w:rsidR="00580582" w:rsidRPr="003C0B7F" w:rsidRDefault="00580582" w:rsidP="009B0680">
            <w:pPr>
              <w:jc w:val="center"/>
              <w:rPr>
                <w:b/>
                <w:bCs/>
              </w:rPr>
            </w:pPr>
          </w:p>
          <w:p w14:paraId="74ED065D" w14:textId="77777777" w:rsidR="00580582" w:rsidRPr="003C0B7F" w:rsidRDefault="00580582" w:rsidP="009B0680">
            <w:pPr>
              <w:jc w:val="center"/>
              <w:rPr>
                <w:b/>
                <w:bCs/>
              </w:rPr>
            </w:pPr>
            <w:r w:rsidRPr="003C0B7F">
              <w:rPr>
                <w:b/>
                <w:bCs/>
              </w:rPr>
              <w:t>-</w:t>
            </w:r>
          </w:p>
        </w:tc>
        <w:tc>
          <w:tcPr>
            <w:tcW w:w="1166" w:type="dxa"/>
          </w:tcPr>
          <w:p w14:paraId="441A1140" w14:textId="77777777" w:rsidR="00580582" w:rsidRDefault="00580582" w:rsidP="009B0680">
            <w:pPr>
              <w:jc w:val="center"/>
              <w:rPr>
                <w:b/>
                <w:bCs/>
              </w:rPr>
            </w:pPr>
          </w:p>
          <w:p w14:paraId="37149AA5" w14:textId="77777777" w:rsidR="00580582" w:rsidRDefault="00580582" w:rsidP="009B0680">
            <w:pPr>
              <w:jc w:val="center"/>
              <w:rPr>
                <w:b/>
                <w:bCs/>
              </w:rPr>
            </w:pPr>
          </w:p>
          <w:p w14:paraId="2C7D6FFA" w14:textId="77777777" w:rsidR="00580582" w:rsidRDefault="00580582" w:rsidP="009B0680">
            <w:pPr>
              <w:jc w:val="center"/>
              <w:rPr>
                <w:b/>
                <w:bCs/>
              </w:rPr>
            </w:pPr>
          </w:p>
          <w:p w14:paraId="633DA0F6" w14:textId="77777777" w:rsidR="00580582" w:rsidRDefault="00580582" w:rsidP="009B0680">
            <w:pPr>
              <w:jc w:val="center"/>
              <w:rPr>
                <w:b/>
                <w:bCs/>
              </w:rPr>
            </w:pPr>
          </w:p>
          <w:p w14:paraId="4E54E0B9" w14:textId="77777777" w:rsidR="00580582" w:rsidRPr="007B0F12" w:rsidRDefault="00580582" w:rsidP="009B0680">
            <w:pPr>
              <w:rPr>
                <w:b/>
                <w:bCs/>
              </w:rPr>
            </w:pPr>
            <w:r>
              <w:rPr>
                <w:b/>
                <w:bCs/>
              </w:rPr>
              <w:t xml:space="preserve">        -</w:t>
            </w:r>
          </w:p>
        </w:tc>
        <w:tc>
          <w:tcPr>
            <w:tcW w:w="1166" w:type="dxa"/>
          </w:tcPr>
          <w:p w14:paraId="293DED81" w14:textId="77777777" w:rsidR="00580582" w:rsidRPr="001B00A2" w:rsidRDefault="00580582" w:rsidP="009B0680">
            <w:pPr>
              <w:jc w:val="center"/>
            </w:pPr>
          </w:p>
          <w:p w14:paraId="47CD2E9A" w14:textId="77777777" w:rsidR="00580582" w:rsidRPr="001B00A2" w:rsidRDefault="00580582" w:rsidP="009B0680">
            <w:pPr>
              <w:jc w:val="center"/>
            </w:pPr>
          </w:p>
          <w:p w14:paraId="2581A163" w14:textId="77777777" w:rsidR="00580582" w:rsidRPr="001B00A2" w:rsidRDefault="00580582" w:rsidP="009B0680">
            <w:pPr>
              <w:jc w:val="center"/>
            </w:pPr>
          </w:p>
          <w:p w14:paraId="79192BD4" w14:textId="77777777" w:rsidR="00580582" w:rsidRPr="001B00A2" w:rsidRDefault="00580582" w:rsidP="009B0680">
            <w:pPr>
              <w:jc w:val="center"/>
            </w:pPr>
          </w:p>
          <w:p w14:paraId="55B34E30" w14:textId="77777777" w:rsidR="00580582" w:rsidRPr="001B00A2" w:rsidRDefault="00580582" w:rsidP="009B0680">
            <w:pPr>
              <w:jc w:val="center"/>
            </w:pPr>
            <w:r>
              <w:rPr>
                <w:rFonts w:ascii="Wingdings" w:eastAsia="Wingdings" w:hAnsi="Wingdings" w:cs="Wingdings"/>
              </w:rPr>
              <w:t></w:t>
            </w:r>
          </w:p>
        </w:tc>
        <w:tc>
          <w:tcPr>
            <w:tcW w:w="1166" w:type="dxa"/>
          </w:tcPr>
          <w:p w14:paraId="5ACB701C" w14:textId="77777777" w:rsidR="00580582" w:rsidRPr="009B7B2D" w:rsidRDefault="00580582" w:rsidP="009B0680">
            <w:pPr>
              <w:jc w:val="center"/>
            </w:pPr>
          </w:p>
          <w:p w14:paraId="4998D8DC" w14:textId="77777777" w:rsidR="00580582" w:rsidRPr="009B7B2D" w:rsidRDefault="00580582" w:rsidP="009B0680">
            <w:pPr>
              <w:jc w:val="center"/>
            </w:pPr>
          </w:p>
          <w:p w14:paraId="07C43EFA" w14:textId="77777777" w:rsidR="00580582" w:rsidRPr="009B7B2D" w:rsidRDefault="00580582" w:rsidP="009B0680">
            <w:pPr>
              <w:jc w:val="center"/>
            </w:pPr>
          </w:p>
          <w:p w14:paraId="0EB0A223" w14:textId="77777777" w:rsidR="00580582" w:rsidRPr="009B7B2D" w:rsidRDefault="00580582" w:rsidP="009B0680">
            <w:pPr>
              <w:jc w:val="center"/>
            </w:pPr>
          </w:p>
          <w:p w14:paraId="2948DDBA" w14:textId="77777777" w:rsidR="00580582" w:rsidRPr="009B7B2D" w:rsidRDefault="00580582" w:rsidP="009B0680">
            <w:pPr>
              <w:jc w:val="center"/>
            </w:pPr>
            <w:r w:rsidRPr="009B7B2D">
              <w:rPr>
                <w:rFonts w:ascii="Wingdings" w:eastAsia="Wingdings" w:hAnsi="Wingdings" w:cs="Wingdings"/>
              </w:rPr>
              <w:t></w:t>
            </w:r>
          </w:p>
        </w:tc>
        <w:tc>
          <w:tcPr>
            <w:tcW w:w="1166" w:type="dxa"/>
          </w:tcPr>
          <w:p w14:paraId="6B6EE735" w14:textId="77777777" w:rsidR="00580582" w:rsidRDefault="00580582" w:rsidP="009B0680">
            <w:pPr>
              <w:jc w:val="center"/>
              <w:rPr>
                <w:b/>
                <w:bCs/>
              </w:rPr>
            </w:pPr>
          </w:p>
          <w:p w14:paraId="18A8D6C4" w14:textId="77777777" w:rsidR="00580582" w:rsidRDefault="00580582" w:rsidP="009B0680">
            <w:pPr>
              <w:jc w:val="center"/>
              <w:rPr>
                <w:b/>
                <w:bCs/>
              </w:rPr>
            </w:pPr>
          </w:p>
          <w:p w14:paraId="2043D015" w14:textId="77777777" w:rsidR="00580582" w:rsidRDefault="00580582" w:rsidP="009B0680">
            <w:pPr>
              <w:jc w:val="center"/>
              <w:rPr>
                <w:b/>
                <w:bCs/>
              </w:rPr>
            </w:pPr>
          </w:p>
          <w:p w14:paraId="649275EA" w14:textId="77777777" w:rsidR="00580582" w:rsidRDefault="00580582" w:rsidP="009B0680">
            <w:pPr>
              <w:jc w:val="center"/>
              <w:rPr>
                <w:b/>
                <w:bCs/>
              </w:rPr>
            </w:pPr>
          </w:p>
          <w:p w14:paraId="61C28C5D" w14:textId="77777777" w:rsidR="00580582" w:rsidRPr="007B0F12" w:rsidRDefault="00580582" w:rsidP="009B0680">
            <w:pPr>
              <w:jc w:val="center"/>
              <w:rPr>
                <w:b/>
                <w:bCs/>
              </w:rPr>
            </w:pPr>
            <w:r w:rsidRPr="003C0B7F">
              <w:rPr>
                <w:rFonts w:ascii="Wingdings" w:eastAsia="Wingdings" w:hAnsi="Wingdings" w:cs="Wingdings"/>
              </w:rPr>
              <w:t></w:t>
            </w:r>
          </w:p>
        </w:tc>
        <w:tc>
          <w:tcPr>
            <w:tcW w:w="1166" w:type="dxa"/>
          </w:tcPr>
          <w:p w14:paraId="7F8FBD5F" w14:textId="77777777" w:rsidR="00580582" w:rsidRDefault="00580582" w:rsidP="009B0680">
            <w:pPr>
              <w:jc w:val="center"/>
              <w:rPr>
                <w:b/>
                <w:bCs/>
              </w:rPr>
            </w:pPr>
          </w:p>
          <w:p w14:paraId="4860F3CD" w14:textId="77777777" w:rsidR="00580582" w:rsidRDefault="00580582" w:rsidP="009B0680">
            <w:pPr>
              <w:jc w:val="center"/>
              <w:rPr>
                <w:b/>
                <w:bCs/>
              </w:rPr>
            </w:pPr>
          </w:p>
          <w:p w14:paraId="4A75D6EA" w14:textId="77777777" w:rsidR="00580582" w:rsidRDefault="00580582" w:rsidP="009B0680">
            <w:pPr>
              <w:jc w:val="center"/>
              <w:rPr>
                <w:b/>
                <w:bCs/>
              </w:rPr>
            </w:pPr>
          </w:p>
          <w:p w14:paraId="25C2A7E0" w14:textId="77777777" w:rsidR="00580582" w:rsidRDefault="00580582" w:rsidP="009B0680">
            <w:pPr>
              <w:jc w:val="center"/>
              <w:rPr>
                <w:b/>
                <w:bCs/>
              </w:rPr>
            </w:pPr>
          </w:p>
          <w:p w14:paraId="37AF0030" w14:textId="77777777" w:rsidR="00580582" w:rsidRPr="007B0F12" w:rsidRDefault="00580582" w:rsidP="009B0680">
            <w:pPr>
              <w:rPr>
                <w:b/>
                <w:bCs/>
              </w:rPr>
            </w:pPr>
            <w:r>
              <w:rPr>
                <w:b/>
                <w:bCs/>
              </w:rPr>
              <w:t xml:space="preserve">         </w:t>
            </w:r>
            <w:r w:rsidRPr="003C0B7F">
              <w:rPr>
                <w:rFonts w:ascii="Wingdings" w:eastAsia="Wingdings" w:hAnsi="Wingdings" w:cs="Wingdings"/>
              </w:rPr>
              <w:t></w:t>
            </w:r>
          </w:p>
        </w:tc>
        <w:tc>
          <w:tcPr>
            <w:tcW w:w="1167" w:type="dxa"/>
          </w:tcPr>
          <w:p w14:paraId="4FA6F3AC" w14:textId="77777777" w:rsidR="00580582" w:rsidRDefault="00580582" w:rsidP="009B0680">
            <w:pPr>
              <w:jc w:val="center"/>
              <w:rPr>
                <w:b/>
                <w:bCs/>
              </w:rPr>
            </w:pPr>
          </w:p>
          <w:p w14:paraId="52DEFD34" w14:textId="77777777" w:rsidR="00580582" w:rsidRDefault="00580582" w:rsidP="009B0680">
            <w:pPr>
              <w:jc w:val="center"/>
              <w:rPr>
                <w:b/>
                <w:bCs/>
              </w:rPr>
            </w:pPr>
          </w:p>
          <w:p w14:paraId="4FA4870F" w14:textId="77777777" w:rsidR="00580582" w:rsidRDefault="00580582" w:rsidP="009B0680">
            <w:pPr>
              <w:jc w:val="center"/>
              <w:rPr>
                <w:b/>
                <w:bCs/>
              </w:rPr>
            </w:pPr>
          </w:p>
          <w:p w14:paraId="75DE3C1D" w14:textId="77777777" w:rsidR="00580582" w:rsidRDefault="00580582" w:rsidP="009B0680">
            <w:pPr>
              <w:jc w:val="center"/>
              <w:rPr>
                <w:b/>
                <w:bCs/>
              </w:rPr>
            </w:pPr>
          </w:p>
          <w:p w14:paraId="69B5136D" w14:textId="77777777" w:rsidR="00580582" w:rsidRPr="007B0F12" w:rsidRDefault="00580582" w:rsidP="009B0680">
            <w:pPr>
              <w:jc w:val="center"/>
              <w:rPr>
                <w:b/>
                <w:bCs/>
              </w:rPr>
            </w:pPr>
            <w:r>
              <w:rPr>
                <w:rFonts w:ascii="Wingdings" w:eastAsia="Wingdings" w:hAnsi="Wingdings" w:cs="Wingdings"/>
              </w:rPr>
              <w:t></w:t>
            </w:r>
          </w:p>
        </w:tc>
      </w:tr>
      <w:tr w:rsidR="00580582" w14:paraId="08EF707E" w14:textId="77777777" w:rsidTr="00580582">
        <w:tc>
          <w:tcPr>
            <w:tcW w:w="3828" w:type="dxa"/>
          </w:tcPr>
          <w:p w14:paraId="29A76187" w14:textId="77777777" w:rsidR="00580582" w:rsidRPr="00F14506" w:rsidRDefault="00580582" w:rsidP="009B0680">
            <w:r w:rsidRPr="00F14506">
              <w:t xml:space="preserve">Check policies and procedures in place for effective </w:t>
            </w:r>
          </w:p>
          <w:p w14:paraId="15553C75" w14:textId="77777777" w:rsidR="00580582" w:rsidRPr="00F14506" w:rsidRDefault="00580582" w:rsidP="009B0680">
            <w:r w:rsidRPr="00F14506">
              <w:t xml:space="preserve">planning, organisation, control, monitoring and review of the preventive and protective </w:t>
            </w:r>
          </w:p>
          <w:p w14:paraId="01FD01C4" w14:textId="77777777" w:rsidR="00580582" w:rsidRDefault="00580582" w:rsidP="009B0680">
            <w:r w:rsidRPr="00F14506">
              <w:t>measures in place to comply with the Gas Safety (Installation and Use) Regulations: for example: Engineer selection; Tools and equipment; work records; technical support; supervision and QC; complaints/RIDDOR management</w:t>
            </w:r>
          </w:p>
        </w:tc>
        <w:tc>
          <w:tcPr>
            <w:tcW w:w="1166" w:type="dxa"/>
            <w:vAlign w:val="center"/>
          </w:tcPr>
          <w:p w14:paraId="62396496" w14:textId="77777777" w:rsidR="00580582" w:rsidRDefault="00580582" w:rsidP="009B0680">
            <w:pPr>
              <w:jc w:val="center"/>
            </w:pPr>
            <w:r>
              <w:t>-</w:t>
            </w:r>
          </w:p>
        </w:tc>
        <w:tc>
          <w:tcPr>
            <w:tcW w:w="1166" w:type="dxa"/>
            <w:vAlign w:val="center"/>
          </w:tcPr>
          <w:p w14:paraId="4ED4CB06" w14:textId="77777777" w:rsidR="00580582" w:rsidRPr="003C0B7F" w:rsidRDefault="00580582" w:rsidP="009B0680">
            <w:pPr>
              <w:jc w:val="center"/>
            </w:pPr>
            <w:r w:rsidRPr="003C0B7F">
              <w:t>-</w:t>
            </w:r>
          </w:p>
        </w:tc>
        <w:tc>
          <w:tcPr>
            <w:tcW w:w="1166" w:type="dxa"/>
            <w:vAlign w:val="center"/>
          </w:tcPr>
          <w:p w14:paraId="547D91AD" w14:textId="77777777" w:rsidR="00580582" w:rsidRDefault="00580582" w:rsidP="009B0680">
            <w:pPr>
              <w:jc w:val="center"/>
            </w:pPr>
            <w:r>
              <w:t>-</w:t>
            </w:r>
          </w:p>
        </w:tc>
        <w:tc>
          <w:tcPr>
            <w:tcW w:w="1166" w:type="dxa"/>
            <w:vAlign w:val="center"/>
          </w:tcPr>
          <w:p w14:paraId="704A7449" w14:textId="77777777" w:rsidR="00580582" w:rsidRDefault="00580582" w:rsidP="009B0680">
            <w:pPr>
              <w:jc w:val="center"/>
            </w:pPr>
            <w:r>
              <w:t>-</w:t>
            </w:r>
          </w:p>
        </w:tc>
        <w:tc>
          <w:tcPr>
            <w:tcW w:w="1166" w:type="dxa"/>
            <w:vAlign w:val="center"/>
          </w:tcPr>
          <w:p w14:paraId="735BF792" w14:textId="77777777" w:rsidR="00580582" w:rsidRPr="009B7B2D" w:rsidRDefault="00580582" w:rsidP="009B0680">
            <w:pPr>
              <w:jc w:val="center"/>
            </w:pPr>
            <w:r w:rsidRPr="009B7B2D">
              <w:t>-</w:t>
            </w:r>
          </w:p>
        </w:tc>
        <w:tc>
          <w:tcPr>
            <w:tcW w:w="1166" w:type="dxa"/>
            <w:vAlign w:val="center"/>
          </w:tcPr>
          <w:p w14:paraId="2A35A157" w14:textId="77777777" w:rsidR="00580582" w:rsidRDefault="00580582" w:rsidP="009B0680">
            <w:pPr>
              <w:jc w:val="center"/>
            </w:pPr>
            <w:r>
              <w:t>-</w:t>
            </w:r>
          </w:p>
        </w:tc>
        <w:tc>
          <w:tcPr>
            <w:tcW w:w="1166" w:type="dxa"/>
            <w:vAlign w:val="center"/>
          </w:tcPr>
          <w:p w14:paraId="667B3F79" w14:textId="77777777" w:rsidR="00580582" w:rsidRDefault="00580582" w:rsidP="009B0680">
            <w:pPr>
              <w:jc w:val="center"/>
            </w:pPr>
            <w:r>
              <w:t>-</w:t>
            </w:r>
          </w:p>
        </w:tc>
        <w:tc>
          <w:tcPr>
            <w:tcW w:w="1167" w:type="dxa"/>
            <w:vAlign w:val="center"/>
          </w:tcPr>
          <w:p w14:paraId="213EFFFE" w14:textId="77777777" w:rsidR="00580582" w:rsidRDefault="00580582" w:rsidP="009B0680">
            <w:pPr>
              <w:jc w:val="center"/>
            </w:pPr>
            <w:r>
              <w:rPr>
                <w:rFonts w:ascii="Wingdings" w:eastAsia="Wingdings" w:hAnsi="Wingdings" w:cs="Wingdings"/>
              </w:rPr>
              <w:t></w:t>
            </w:r>
          </w:p>
        </w:tc>
      </w:tr>
      <w:tr w:rsidR="00580582" w14:paraId="22D448F7" w14:textId="77777777" w:rsidTr="00580582">
        <w:tc>
          <w:tcPr>
            <w:tcW w:w="3828" w:type="dxa"/>
          </w:tcPr>
          <w:p w14:paraId="64BB549C" w14:textId="77777777" w:rsidR="00580582" w:rsidRDefault="00580582" w:rsidP="009B0680">
            <w:r>
              <w:t>Written examination to demonstrate knowledge of Gas Industry Unsafe Situations Procedure (GSIUP)</w:t>
            </w:r>
          </w:p>
        </w:tc>
        <w:tc>
          <w:tcPr>
            <w:tcW w:w="1166" w:type="dxa"/>
            <w:vAlign w:val="center"/>
          </w:tcPr>
          <w:p w14:paraId="01A9BF6A" w14:textId="77777777" w:rsidR="00580582" w:rsidRDefault="00580582" w:rsidP="009B0680">
            <w:pPr>
              <w:jc w:val="center"/>
            </w:pPr>
            <w:r>
              <w:rPr>
                <w:rFonts w:ascii="Wingdings" w:eastAsia="Wingdings" w:hAnsi="Wingdings" w:cs="Wingdings"/>
              </w:rPr>
              <w:t></w:t>
            </w:r>
          </w:p>
        </w:tc>
        <w:tc>
          <w:tcPr>
            <w:tcW w:w="1166" w:type="dxa"/>
            <w:vAlign w:val="center"/>
          </w:tcPr>
          <w:p w14:paraId="6820F7B5" w14:textId="77777777" w:rsidR="00580582" w:rsidRPr="003C0B7F" w:rsidRDefault="00580582" w:rsidP="009B0680">
            <w:pPr>
              <w:jc w:val="center"/>
            </w:pPr>
            <w:r w:rsidRPr="003C0B7F">
              <w:t>-</w:t>
            </w:r>
          </w:p>
        </w:tc>
        <w:tc>
          <w:tcPr>
            <w:tcW w:w="1166" w:type="dxa"/>
            <w:vAlign w:val="center"/>
          </w:tcPr>
          <w:p w14:paraId="53CBCF6B" w14:textId="77777777" w:rsidR="00580582" w:rsidRDefault="00580582" w:rsidP="009B0680">
            <w:pPr>
              <w:jc w:val="center"/>
            </w:pPr>
            <w:r>
              <w:rPr>
                <w:rFonts w:ascii="Wingdings" w:eastAsia="Wingdings" w:hAnsi="Wingdings" w:cs="Wingdings"/>
              </w:rPr>
              <w:t></w:t>
            </w:r>
          </w:p>
        </w:tc>
        <w:tc>
          <w:tcPr>
            <w:tcW w:w="1166" w:type="dxa"/>
            <w:vAlign w:val="center"/>
          </w:tcPr>
          <w:p w14:paraId="4CE11A0E" w14:textId="77777777" w:rsidR="00580582" w:rsidRDefault="00580582" w:rsidP="009B0680">
            <w:pPr>
              <w:jc w:val="center"/>
            </w:pPr>
            <w:r>
              <w:t>-</w:t>
            </w:r>
          </w:p>
        </w:tc>
        <w:tc>
          <w:tcPr>
            <w:tcW w:w="1166" w:type="dxa"/>
            <w:vAlign w:val="center"/>
          </w:tcPr>
          <w:p w14:paraId="72B17149" w14:textId="77777777" w:rsidR="00580582" w:rsidRPr="009B7B2D" w:rsidRDefault="00580582" w:rsidP="009B0680">
            <w:pPr>
              <w:jc w:val="center"/>
            </w:pPr>
            <w:r w:rsidRPr="009B7B2D">
              <w:t>-</w:t>
            </w:r>
          </w:p>
        </w:tc>
        <w:tc>
          <w:tcPr>
            <w:tcW w:w="1166" w:type="dxa"/>
            <w:vAlign w:val="center"/>
          </w:tcPr>
          <w:p w14:paraId="1C53F46F" w14:textId="77777777" w:rsidR="00580582" w:rsidRDefault="00580582" w:rsidP="009B0680">
            <w:pPr>
              <w:jc w:val="center"/>
            </w:pPr>
            <w:r>
              <w:t>-</w:t>
            </w:r>
          </w:p>
        </w:tc>
        <w:tc>
          <w:tcPr>
            <w:tcW w:w="1166" w:type="dxa"/>
            <w:vAlign w:val="center"/>
          </w:tcPr>
          <w:p w14:paraId="5BD503FD" w14:textId="77777777" w:rsidR="00580582" w:rsidRDefault="00580582" w:rsidP="009B0680">
            <w:pPr>
              <w:jc w:val="center"/>
            </w:pPr>
            <w:r>
              <w:t>-</w:t>
            </w:r>
          </w:p>
        </w:tc>
        <w:tc>
          <w:tcPr>
            <w:tcW w:w="1167" w:type="dxa"/>
            <w:vAlign w:val="center"/>
          </w:tcPr>
          <w:p w14:paraId="1606ED8F" w14:textId="77777777" w:rsidR="00580582" w:rsidRDefault="00580582" w:rsidP="009B0680">
            <w:pPr>
              <w:jc w:val="center"/>
            </w:pPr>
            <w:r>
              <w:t>-</w:t>
            </w:r>
          </w:p>
        </w:tc>
      </w:tr>
      <w:tr w:rsidR="00580582" w14:paraId="4652FF84" w14:textId="77777777" w:rsidTr="00580582">
        <w:tc>
          <w:tcPr>
            <w:tcW w:w="3828" w:type="dxa"/>
          </w:tcPr>
          <w:p w14:paraId="44FFE02E" w14:textId="77777777" w:rsidR="00580582" w:rsidRDefault="00580582" w:rsidP="009B0680">
            <w:r w:rsidRPr="009559F0">
              <w:t xml:space="preserve">Full day awareness events including two </w:t>
            </w:r>
            <w:r w:rsidRPr="00F029DD">
              <w:t>knowledge-based tests</w:t>
            </w:r>
          </w:p>
        </w:tc>
        <w:tc>
          <w:tcPr>
            <w:tcW w:w="1166" w:type="dxa"/>
            <w:vAlign w:val="center"/>
          </w:tcPr>
          <w:p w14:paraId="2748243F" w14:textId="77777777" w:rsidR="00580582" w:rsidRDefault="00580582" w:rsidP="009B0680">
            <w:pPr>
              <w:jc w:val="center"/>
            </w:pPr>
            <w:r>
              <w:t>-</w:t>
            </w:r>
          </w:p>
        </w:tc>
        <w:tc>
          <w:tcPr>
            <w:tcW w:w="1166" w:type="dxa"/>
            <w:vAlign w:val="center"/>
          </w:tcPr>
          <w:p w14:paraId="15A34F12" w14:textId="77777777" w:rsidR="00580582" w:rsidRPr="003C0B7F" w:rsidRDefault="00580582" w:rsidP="009B0680">
            <w:pPr>
              <w:jc w:val="center"/>
            </w:pPr>
            <w:r w:rsidRPr="003C0B7F">
              <w:t>-</w:t>
            </w:r>
          </w:p>
        </w:tc>
        <w:tc>
          <w:tcPr>
            <w:tcW w:w="1166" w:type="dxa"/>
            <w:vAlign w:val="center"/>
          </w:tcPr>
          <w:p w14:paraId="351D1246" w14:textId="77777777" w:rsidR="00580582" w:rsidRDefault="00580582" w:rsidP="009B0680">
            <w:pPr>
              <w:jc w:val="center"/>
            </w:pPr>
            <w:r>
              <w:rPr>
                <w:rFonts w:ascii="Wingdings" w:eastAsia="Wingdings" w:hAnsi="Wingdings" w:cs="Wingdings"/>
              </w:rPr>
              <w:t></w:t>
            </w:r>
          </w:p>
        </w:tc>
        <w:tc>
          <w:tcPr>
            <w:tcW w:w="1166" w:type="dxa"/>
            <w:vAlign w:val="center"/>
          </w:tcPr>
          <w:p w14:paraId="3752CBC4" w14:textId="77777777" w:rsidR="00580582" w:rsidRDefault="00580582" w:rsidP="009B0680">
            <w:pPr>
              <w:jc w:val="center"/>
            </w:pPr>
            <w:r>
              <w:t>-</w:t>
            </w:r>
          </w:p>
        </w:tc>
        <w:tc>
          <w:tcPr>
            <w:tcW w:w="1166" w:type="dxa"/>
            <w:vAlign w:val="center"/>
          </w:tcPr>
          <w:p w14:paraId="7E5FEADA" w14:textId="77777777" w:rsidR="00580582" w:rsidRPr="009B7B2D" w:rsidRDefault="00580582" w:rsidP="009B0680">
            <w:pPr>
              <w:jc w:val="center"/>
            </w:pPr>
            <w:r w:rsidRPr="009B7B2D">
              <w:t>-</w:t>
            </w:r>
          </w:p>
        </w:tc>
        <w:tc>
          <w:tcPr>
            <w:tcW w:w="1166" w:type="dxa"/>
            <w:vAlign w:val="center"/>
          </w:tcPr>
          <w:p w14:paraId="40C1A66E" w14:textId="77777777" w:rsidR="00580582" w:rsidRDefault="00580582" w:rsidP="009B0680">
            <w:pPr>
              <w:jc w:val="center"/>
            </w:pPr>
            <w:r>
              <w:t>-</w:t>
            </w:r>
          </w:p>
        </w:tc>
        <w:tc>
          <w:tcPr>
            <w:tcW w:w="1166" w:type="dxa"/>
            <w:vAlign w:val="center"/>
          </w:tcPr>
          <w:p w14:paraId="601A9FE7" w14:textId="77777777" w:rsidR="00580582" w:rsidRDefault="00580582" w:rsidP="009B0680">
            <w:pPr>
              <w:jc w:val="center"/>
            </w:pPr>
            <w:r>
              <w:t>-</w:t>
            </w:r>
          </w:p>
        </w:tc>
        <w:tc>
          <w:tcPr>
            <w:tcW w:w="1167" w:type="dxa"/>
            <w:vAlign w:val="center"/>
          </w:tcPr>
          <w:p w14:paraId="787547DE" w14:textId="77777777" w:rsidR="00580582" w:rsidRDefault="00580582" w:rsidP="009B0680">
            <w:pPr>
              <w:jc w:val="center"/>
            </w:pPr>
            <w:r>
              <w:t>-</w:t>
            </w:r>
          </w:p>
        </w:tc>
      </w:tr>
      <w:tr w:rsidR="00580582" w14:paraId="72C7BAE9" w14:textId="77777777" w:rsidTr="00580582">
        <w:tc>
          <w:tcPr>
            <w:tcW w:w="3828" w:type="dxa"/>
          </w:tcPr>
          <w:p w14:paraId="79214C22" w14:textId="77777777" w:rsidR="00580582" w:rsidRDefault="00580582" w:rsidP="009B0680">
            <w:r>
              <w:lastRenderedPageBreak/>
              <w:t xml:space="preserve">Discussion (if appropriate) GIUSP; RIDDOR, Work Records, Technical reference material &amp; LGSR </w:t>
            </w:r>
          </w:p>
        </w:tc>
        <w:tc>
          <w:tcPr>
            <w:tcW w:w="1166" w:type="dxa"/>
            <w:vAlign w:val="center"/>
          </w:tcPr>
          <w:p w14:paraId="0D72A4BF" w14:textId="77777777" w:rsidR="00580582" w:rsidRPr="007B0F12" w:rsidRDefault="00580582" w:rsidP="009B0680">
            <w:pPr>
              <w:jc w:val="center"/>
              <w:rPr>
                <w:color w:val="FF0000"/>
              </w:rPr>
            </w:pPr>
            <w:r w:rsidRPr="00F14506">
              <w:rPr>
                <w:rFonts w:ascii="Wingdings" w:eastAsia="Wingdings" w:hAnsi="Wingdings" w:cs="Wingdings"/>
              </w:rPr>
              <w:t></w:t>
            </w:r>
          </w:p>
        </w:tc>
        <w:tc>
          <w:tcPr>
            <w:tcW w:w="1166" w:type="dxa"/>
            <w:vAlign w:val="center"/>
          </w:tcPr>
          <w:p w14:paraId="0226F88D" w14:textId="77777777" w:rsidR="00580582" w:rsidRPr="003C0B7F" w:rsidRDefault="00580582" w:rsidP="009B0680">
            <w:pPr>
              <w:jc w:val="center"/>
              <w:rPr>
                <w:color w:val="FF0000"/>
              </w:rPr>
            </w:pPr>
            <w:r w:rsidRPr="003C0B7F">
              <w:rPr>
                <w:rFonts w:ascii="Wingdings" w:eastAsia="Wingdings" w:hAnsi="Wingdings" w:cs="Wingdings"/>
              </w:rPr>
              <w:t></w:t>
            </w:r>
          </w:p>
        </w:tc>
        <w:tc>
          <w:tcPr>
            <w:tcW w:w="1166" w:type="dxa"/>
            <w:vAlign w:val="center"/>
          </w:tcPr>
          <w:p w14:paraId="2C19DF70" w14:textId="77777777" w:rsidR="00580582" w:rsidRPr="00F14506" w:rsidRDefault="00580582" w:rsidP="009B0680">
            <w:pPr>
              <w:jc w:val="center"/>
            </w:pPr>
            <w:r w:rsidRPr="00F14506">
              <w:rPr>
                <w:rFonts w:ascii="Wingdings" w:eastAsia="Wingdings" w:hAnsi="Wingdings" w:cs="Wingdings"/>
              </w:rPr>
              <w:t></w:t>
            </w:r>
          </w:p>
        </w:tc>
        <w:tc>
          <w:tcPr>
            <w:tcW w:w="1166" w:type="dxa"/>
            <w:vAlign w:val="center"/>
          </w:tcPr>
          <w:p w14:paraId="779D9797" w14:textId="77777777" w:rsidR="00580582" w:rsidRPr="00F14506" w:rsidRDefault="00580582" w:rsidP="009B0680">
            <w:pPr>
              <w:jc w:val="center"/>
            </w:pPr>
            <w:r>
              <w:rPr>
                <w:rFonts w:ascii="Wingdings" w:eastAsia="Wingdings" w:hAnsi="Wingdings" w:cs="Wingdings"/>
              </w:rPr>
              <w:t></w:t>
            </w:r>
          </w:p>
        </w:tc>
        <w:tc>
          <w:tcPr>
            <w:tcW w:w="1166" w:type="dxa"/>
            <w:vAlign w:val="center"/>
          </w:tcPr>
          <w:p w14:paraId="73CD6CC5" w14:textId="77777777" w:rsidR="00580582" w:rsidRPr="009B7B2D" w:rsidRDefault="00580582" w:rsidP="009B0680">
            <w:pPr>
              <w:jc w:val="center"/>
            </w:pPr>
            <w:r w:rsidRPr="009B7B2D">
              <w:rPr>
                <w:rFonts w:ascii="Wingdings" w:eastAsia="Wingdings" w:hAnsi="Wingdings" w:cs="Wingdings"/>
              </w:rPr>
              <w:t></w:t>
            </w:r>
          </w:p>
        </w:tc>
        <w:tc>
          <w:tcPr>
            <w:tcW w:w="1166" w:type="dxa"/>
            <w:vAlign w:val="center"/>
          </w:tcPr>
          <w:p w14:paraId="2AD2B795" w14:textId="77777777" w:rsidR="00580582" w:rsidRPr="00F14506" w:rsidRDefault="00580582" w:rsidP="009B0680">
            <w:pPr>
              <w:jc w:val="center"/>
            </w:pPr>
            <w:r w:rsidRPr="00887B86">
              <w:rPr>
                <w:rFonts w:ascii="MS Gothic" w:eastAsia="MS Gothic" w:hAnsi="MS Gothic"/>
              </w:rPr>
              <w:t>-</w:t>
            </w:r>
          </w:p>
        </w:tc>
        <w:tc>
          <w:tcPr>
            <w:tcW w:w="1166" w:type="dxa"/>
            <w:vAlign w:val="center"/>
          </w:tcPr>
          <w:p w14:paraId="70D985E6" w14:textId="77777777" w:rsidR="00580582" w:rsidRPr="00F14506" w:rsidRDefault="00580582" w:rsidP="009B0680">
            <w:pPr>
              <w:jc w:val="center"/>
            </w:pPr>
            <w:r w:rsidRPr="00F14506">
              <w:t>-</w:t>
            </w:r>
          </w:p>
        </w:tc>
        <w:tc>
          <w:tcPr>
            <w:tcW w:w="1167" w:type="dxa"/>
            <w:vAlign w:val="center"/>
          </w:tcPr>
          <w:p w14:paraId="63F2C04A" w14:textId="77777777" w:rsidR="00580582" w:rsidRPr="00F14506" w:rsidRDefault="00580582" w:rsidP="009B0680">
            <w:pPr>
              <w:jc w:val="center"/>
            </w:pPr>
            <w:r>
              <w:rPr>
                <w:rFonts w:ascii="Wingdings" w:eastAsia="Wingdings" w:hAnsi="Wingdings" w:cs="Wingdings"/>
              </w:rPr>
              <w:t></w:t>
            </w:r>
          </w:p>
        </w:tc>
      </w:tr>
      <w:tr w:rsidR="00580582" w14:paraId="7447E339" w14:textId="77777777" w:rsidTr="00580582">
        <w:tc>
          <w:tcPr>
            <w:tcW w:w="3828" w:type="dxa"/>
          </w:tcPr>
          <w:p w14:paraId="735A694A" w14:textId="77777777" w:rsidR="00580582" w:rsidRDefault="00580582" w:rsidP="009B0680">
            <w:r>
              <w:t>Oral technical questions regarding individual core work categories that are not inspected on site</w:t>
            </w:r>
          </w:p>
        </w:tc>
        <w:tc>
          <w:tcPr>
            <w:tcW w:w="1166" w:type="dxa"/>
            <w:vAlign w:val="center"/>
          </w:tcPr>
          <w:p w14:paraId="6E862468" w14:textId="77777777" w:rsidR="00580582" w:rsidRPr="0085618E" w:rsidRDefault="00580582" w:rsidP="009B0680">
            <w:pPr>
              <w:jc w:val="center"/>
              <w:rPr>
                <w:color w:val="FF0000"/>
              </w:rPr>
            </w:pPr>
            <w:r w:rsidRPr="009559F0">
              <w:t>-</w:t>
            </w:r>
          </w:p>
        </w:tc>
        <w:tc>
          <w:tcPr>
            <w:tcW w:w="1166" w:type="dxa"/>
            <w:vAlign w:val="center"/>
          </w:tcPr>
          <w:p w14:paraId="2B2F929C" w14:textId="77777777" w:rsidR="00580582" w:rsidRPr="003C0B7F" w:rsidRDefault="00580582" w:rsidP="009B0680">
            <w:pPr>
              <w:jc w:val="center"/>
            </w:pPr>
            <w:r w:rsidRPr="003C0B7F">
              <w:rPr>
                <w:rFonts w:ascii="Wingdings" w:eastAsia="Wingdings" w:hAnsi="Wingdings" w:cs="Wingdings"/>
              </w:rPr>
              <w:t></w:t>
            </w:r>
          </w:p>
        </w:tc>
        <w:tc>
          <w:tcPr>
            <w:tcW w:w="1166" w:type="dxa"/>
            <w:vAlign w:val="center"/>
          </w:tcPr>
          <w:p w14:paraId="5B1822A4" w14:textId="77777777" w:rsidR="00580582" w:rsidRPr="00F14506" w:rsidRDefault="00580582" w:rsidP="009B0680">
            <w:pPr>
              <w:jc w:val="center"/>
            </w:pPr>
            <w:r w:rsidRPr="00F14506">
              <w:t>-</w:t>
            </w:r>
          </w:p>
        </w:tc>
        <w:tc>
          <w:tcPr>
            <w:tcW w:w="1166" w:type="dxa"/>
            <w:vAlign w:val="center"/>
          </w:tcPr>
          <w:p w14:paraId="47F5E1B8" w14:textId="77777777" w:rsidR="00580582" w:rsidRPr="00F14506" w:rsidRDefault="00580582" w:rsidP="009B0680">
            <w:pPr>
              <w:jc w:val="center"/>
            </w:pPr>
            <w:r>
              <w:rPr>
                <w:rFonts w:ascii="Wingdings" w:eastAsia="Wingdings" w:hAnsi="Wingdings" w:cs="Wingdings"/>
              </w:rPr>
              <w:t></w:t>
            </w:r>
          </w:p>
        </w:tc>
        <w:tc>
          <w:tcPr>
            <w:tcW w:w="1166" w:type="dxa"/>
            <w:vAlign w:val="center"/>
          </w:tcPr>
          <w:p w14:paraId="3EE11826" w14:textId="77777777" w:rsidR="00580582" w:rsidRPr="009B7B2D" w:rsidRDefault="00580582" w:rsidP="009B0680">
            <w:pPr>
              <w:jc w:val="center"/>
            </w:pPr>
            <w:r>
              <w:rPr>
                <w:rFonts w:ascii="Wingdings" w:eastAsia="Wingdings" w:hAnsi="Wingdings" w:cs="Wingdings"/>
              </w:rPr>
              <w:t></w:t>
            </w:r>
          </w:p>
        </w:tc>
        <w:tc>
          <w:tcPr>
            <w:tcW w:w="1166" w:type="dxa"/>
            <w:vAlign w:val="center"/>
          </w:tcPr>
          <w:p w14:paraId="5C684E82" w14:textId="77777777" w:rsidR="00580582" w:rsidRPr="00F14506" w:rsidRDefault="00580582" w:rsidP="009B0680">
            <w:pPr>
              <w:jc w:val="center"/>
            </w:pPr>
          </w:p>
        </w:tc>
        <w:tc>
          <w:tcPr>
            <w:tcW w:w="1166" w:type="dxa"/>
            <w:vAlign w:val="center"/>
          </w:tcPr>
          <w:p w14:paraId="2898AFDD" w14:textId="77777777" w:rsidR="00580582" w:rsidRPr="00F14506" w:rsidRDefault="00580582" w:rsidP="009B0680">
            <w:pPr>
              <w:jc w:val="center"/>
            </w:pPr>
          </w:p>
        </w:tc>
        <w:tc>
          <w:tcPr>
            <w:tcW w:w="1167" w:type="dxa"/>
            <w:vAlign w:val="center"/>
          </w:tcPr>
          <w:p w14:paraId="049F7493" w14:textId="77777777" w:rsidR="00580582" w:rsidRPr="00F14506" w:rsidRDefault="00580582" w:rsidP="009B0680">
            <w:pPr>
              <w:jc w:val="center"/>
            </w:pPr>
            <w:r>
              <w:t>-</w:t>
            </w:r>
          </w:p>
        </w:tc>
      </w:tr>
      <w:tr w:rsidR="00580582" w14:paraId="54E7727A" w14:textId="77777777" w:rsidTr="00580582">
        <w:tc>
          <w:tcPr>
            <w:tcW w:w="3828" w:type="dxa"/>
          </w:tcPr>
          <w:p w14:paraId="04E4E7EA" w14:textId="77777777" w:rsidR="00580582" w:rsidRDefault="00580582" w:rsidP="009B0680">
            <w:r>
              <w:t>Visual check of consumables used by engineer. Including, but not limited to, Equipment/Tools, Advice Notices and Labels</w:t>
            </w:r>
          </w:p>
        </w:tc>
        <w:tc>
          <w:tcPr>
            <w:tcW w:w="1166" w:type="dxa"/>
            <w:vAlign w:val="center"/>
          </w:tcPr>
          <w:p w14:paraId="5CA1A631" w14:textId="77777777" w:rsidR="00580582" w:rsidRPr="009559F0" w:rsidRDefault="00580582" w:rsidP="009B0680">
            <w:pPr>
              <w:jc w:val="center"/>
            </w:pPr>
            <w:r>
              <w:t>-</w:t>
            </w:r>
          </w:p>
        </w:tc>
        <w:tc>
          <w:tcPr>
            <w:tcW w:w="1166" w:type="dxa"/>
            <w:vAlign w:val="center"/>
          </w:tcPr>
          <w:p w14:paraId="407189C1" w14:textId="77777777" w:rsidR="00580582" w:rsidRPr="003C0B7F" w:rsidRDefault="00580582" w:rsidP="009B0680">
            <w:pPr>
              <w:jc w:val="center"/>
            </w:pPr>
            <w:r w:rsidRPr="003C0B7F">
              <w:rPr>
                <w:rFonts w:ascii="Wingdings" w:eastAsia="Wingdings" w:hAnsi="Wingdings" w:cs="Wingdings"/>
              </w:rPr>
              <w:t></w:t>
            </w:r>
          </w:p>
        </w:tc>
        <w:tc>
          <w:tcPr>
            <w:tcW w:w="1166" w:type="dxa"/>
            <w:vAlign w:val="center"/>
          </w:tcPr>
          <w:p w14:paraId="5EBE96CA" w14:textId="77777777" w:rsidR="00580582" w:rsidRPr="00F14506" w:rsidRDefault="00580582" w:rsidP="009B0680">
            <w:pPr>
              <w:jc w:val="center"/>
            </w:pPr>
            <w:r w:rsidRPr="00F14506">
              <w:t>-</w:t>
            </w:r>
          </w:p>
        </w:tc>
        <w:tc>
          <w:tcPr>
            <w:tcW w:w="1166" w:type="dxa"/>
            <w:vAlign w:val="center"/>
          </w:tcPr>
          <w:p w14:paraId="50ABAFE1" w14:textId="77777777" w:rsidR="00580582" w:rsidRPr="00F14506" w:rsidRDefault="00580582" w:rsidP="009B0680">
            <w:pPr>
              <w:jc w:val="center"/>
            </w:pPr>
            <w:r w:rsidRPr="003C0B7F">
              <w:rPr>
                <w:rFonts w:ascii="Wingdings" w:eastAsia="Wingdings" w:hAnsi="Wingdings" w:cs="Wingdings"/>
              </w:rPr>
              <w:t></w:t>
            </w:r>
          </w:p>
        </w:tc>
        <w:tc>
          <w:tcPr>
            <w:tcW w:w="1166" w:type="dxa"/>
            <w:vAlign w:val="center"/>
          </w:tcPr>
          <w:p w14:paraId="6587252D" w14:textId="77777777" w:rsidR="00580582" w:rsidRPr="009B7B2D" w:rsidRDefault="00580582" w:rsidP="009B0680">
            <w:pPr>
              <w:jc w:val="center"/>
            </w:pPr>
            <w:r w:rsidRPr="003C0B7F">
              <w:rPr>
                <w:rFonts w:ascii="Wingdings" w:eastAsia="Wingdings" w:hAnsi="Wingdings" w:cs="Wingdings"/>
              </w:rPr>
              <w:t></w:t>
            </w:r>
          </w:p>
        </w:tc>
        <w:tc>
          <w:tcPr>
            <w:tcW w:w="1166" w:type="dxa"/>
            <w:vAlign w:val="center"/>
          </w:tcPr>
          <w:p w14:paraId="0CAA1268" w14:textId="77777777" w:rsidR="00580582" w:rsidRPr="00F14506" w:rsidRDefault="00580582" w:rsidP="009B0680">
            <w:pPr>
              <w:jc w:val="center"/>
            </w:pPr>
            <w:r w:rsidRPr="00F14506">
              <w:t>-</w:t>
            </w:r>
          </w:p>
        </w:tc>
        <w:tc>
          <w:tcPr>
            <w:tcW w:w="1166" w:type="dxa"/>
            <w:vAlign w:val="center"/>
          </w:tcPr>
          <w:p w14:paraId="7390D833" w14:textId="77777777" w:rsidR="00580582" w:rsidRPr="00F14506" w:rsidRDefault="00580582" w:rsidP="009B0680">
            <w:pPr>
              <w:jc w:val="center"/>
            </w:pPr>
            <w:r w:rsidRPr="00F14506">
              <w:t>-</w:t>
            </w:r>
          </w:p>
        </w:tc>
        <w:tc>
          <w:tcPr>
            <w:tcW w:w="1167" w:type="dxa"/>
            <w:vAlign w:val="center"/>
          </w:tcPr>
          <w:p w14:paraId="16C3141E" w14:textId="77777777" w:rsidR="00580582" w:rsidRPr="00F14506" w:rsidRDefault="00580582" w:rsidP="009B0680">
            <w:pPr>
              <w:jc w:val="center"/>
            </w:pPr>
            <w:r>
              <w:t>-</w:t>
            </w:r>
          </w:p>
        </w:tc>
      </w:tr>
      <w:tr w:rsidR="00580582" w14:paraId="5781E40A" w14:textId="77777777" w:rsidTr="00580582">
        <w:tc>
          <w:tcPr>
            <w:tcW w:w="3828" w:type="dxa"/>
          </w:tcPr>
          <w:p w14:paraId="4E1F9945" w14:textId="77777777" w:rsidR="00580582" w:rsidRDefault="00580582" w:rsidP="009B0680">
            <w:r>
              <w:t>Practical (where unavailable a visual) demonstration of knowledge of Gas Industry Unsafe Situations Procedure (GSIUP)</w:t>
            </w:r>
          </w:p>
        </w:tc>
        <w:tc>
          <w:tcPr>
            <w:tcW w:w="1166" w:type="dxa"/>
            <w:vAlign w:val="center"/>
          </w:tcPr>
          <w:p w14:paraId="2D47DBF0" w14:textId="77777777" w:rsidR="00580582" w:rsidRDefault="00580582" w:rsidP="009B0680">
            <w:pPr>
              <w:jc w:val="center"/>
            </w:pPr>
            <w:r>
              <w:t>-</w:t>
            </w:r>
          </w:p>
        </w:tc>
        <w:tc>
          <w:tcPr>
            <w:tcW w:w="1166" w:type="dxa"/>
            <w:vAlign w:val="center"/>
          </w:tcPr>
          <w:p w14:paraId="38CD40EF" w14:textId="77777777" w:rsidR="00580582" w:rsidRPr="003C0B7F" w:rsidRDefault="00580582" w:rsidP="009B0680">
            <w:pPr>
              <w:jc w:val="center"/>
            </w:pPr>
            <w:r w:rsidRPr="003C0B7F">
              <w:t>-</w:t>
            </w:r>
          </w:p>
        </w:tc>
        <w:tc>
          <w:tcPr>
            <w:tcW w:w="1166" w:type="dxa"/>
            <w:vAlign w:val="center"/>
          </w:tcPr>
          <w:p w14:paraId="3540D3E3" w14:textId="77777777" w:rsidR="00580582" w:rsidRDefault="00580582" w:rsidP="009B0680">
            <w:pPr>
              <w:jc w:val="center"/>
            </w:pPr>
            <w:r>
              <w:t>-</w:t>
            </w:r>
          </w:p>
        </w:tc>
        <w:tc>
          <w:tcPr>
            <w:tcW w:w="1166" w:type="dxa"/>
            <w:vAlign w:val="center"/>
          </w:tcPr>
          <w:p w14:paraId="130D74BF" w14:textId="77777777" w:rsidR="00580582" w:rsidRDefault="00580582" w:rsidP="009B0680">
            <w:pPr>
              <w:jc w:val="center"/>
            </w:pPr>
            <w:r>
              <w:rPr>
                <w:rFonts w:ascii="Wingdings" w:eastAsia="Wingdings" w:hAnsi="Wingdings" w:cs="Wingdings"/>
              </w:rPr>
              <w:t></w:t>
            </w:r>
          </w:p>
        </w:tc>
        <w:tc>
          <w:tcPr>
            <w:tcW w:w="1166" w:type="dxa"/>
            <w:vAlign w:val="center"/>
          </w:tcPr>
          <w:p w14:paraId="06448F98" w14:textId="77777777" w:rsidR="00580582" w:rsidRPr="009B7B2D" w:rsidRDefault="00580582" w:rsidP="009B0680">
            <w:pPr>
              <w:jc w:val="center"/>
            </w:pPr>
            <w:r w:rsidRPr="009B7B2D">
              <w:rPr>
                <w:rFonts w:ascii="Wingdings" w:eastAsia="Wingdings" w:hAnsi="Wingdings" w:cs="Wingdings"/>
              </w:rPr>
              <w:t></w:t>
            </w:r>
          </w:p>
        </w:tc>
        <w:tc>
          <w:tcPr>
            <w:tcW w:w="1166" w:type="dxa"/>
            <w:vAlign w:val="center"/>
          </w:tcPr>
          <w:p w14:paraId="0F456348" w14:textId="77777777" w:rsidR="00580582" w:rsidRDefault="00580582" w:rsidP="009B0680">
            <w:pPr>
              <w:jc w:val="center"/>
            </w:pPr>
            <w:r>
              <w:t>-</w:t>
            </w:r>
          </w:p>
        </w:tc>
        <w:tc>
          <w:tcPr>
            <w:tcW w:w="1166" w:type="dxa"/>
            <w:vAlign w:val="center"/>
          </w:tcPr>
          <w:p w14:paraId="73FE894F" w14:textId="77777777" w:rsidR="00580582" w:rsidRDefault="00580582" w:rsidP="009B0680">
            <w:pPr>
              <w:jc w:val="center"/>
            </w:pPr>
            <w:r>
              <w:rPr>
                <w:rFonts w:ascii="Wingdings" w:eastAsia="Wingdings" w:hAnsi="Wingdings" w:cs="Wingdings"/>
              </w:rPr>
              <w:t></w:t>
            </w:r>
          </w:p>
        </w:tc>
        <w:tc>
          <w:tcPr>
            <w:tcW w:w="1167" w:type="dxa"/>
            <w:vAlign w:val="center"/>
          </w:tcPr>
          <w:p w14:paraId="06E698D5" w14:textId="77777777" w:rsidR="00580582" w:rsidRDefault="00580582" w:rsidP="009B0680">
            <w:pPr>
              <w:jc w:val="center"/>
            </w:pPr>
            <w:r>
              <w:rPr>
                <w:rFonts w:ascii="Wingdings" w:eastAsia="Wingdings" w:hAnsi="Wingdings" w:cs="Wingdings"/>
              </w:rPr>
              <w:t></w:t>
            </w:r>
          </w:p>
        </w:tc>
      </w:tr>
      <w:tr w:rsidR="00580582" w14:paraId="122B7CE5" w14:textId="77777777" w:rsidTr="00580582">
        <w:tc>
          <w:tcPr>
            <w:tcW w:w="3828" w:type="dxa"/>
          </w:tcPr>
          <w:p w14:paraId="2D164A78" w14:textId="77777777" w:rsidR="00580582" w:rsidRDefault="00580582" w:rsidP="009B0680">
            <w:r>
              <w:t xml:space="preserve">Practical (where unavailable a visual) demonstration of business and engineers compliances with </w:t>
            </w:r>
            <w:r w:rsidRPr="00B32632">
              <w:t>relevant geographical gas safety legislation</w:t>
            </w:r>
            <w:r>
              <w:t xml:space="preserve"> e.g. aspects of GSIUR 1998 appropriate to downstream engineers.</w:t>
            </w:r>
          </w:p>
        </w:tc>
        <w:tc>
          <w:tcPr>
            <w:tcW w:w="1166" w:type="dxa"/>
            <w:vAlign w:val="center"/>
          </w:tcPr>
          <w:p w14:paraId="4B33BA94" w14:textId="77777777" w:rsidR="00580582" w:rsidRDefault="00580582" w:rsidP="009B0680">
            <w:pPr>
              <w:jc w:val="center"/>
            </w:pPr>
            <w:r>
              <w:t>-</w:t>
            </w:r>
          </w:p>
        </w:tc>
        <w:tc>
          <w:tcPr>
            <w:tcW w:w="1166" w:type="dxa"/>
            <w:vAlign w:val="center"/>
          </w:tcPr>
          <w:p w14:paraId="1A89A991" w14:textId="77777777" w:rsidR="00580582" w:rsidRPr="003C0B7F" w:rsidRDefault="00580582" w:rsidP="009B0680">
            <w:pPr>
              <w:jc w:val="center"/>
            </w:pPr>
            <w:r w:rsidRPr="003C0B7F">
              <w:t>-</w:t>
            </w:r>
          </w:p>
        </w:tc>
        <w:tc>
          <w:tcPr>
            <w:tcW w:w="1166" w:type="dxa"/>
            <w:vAlign w:val="center"/>
          </w:tcPr>
          <w:p w14:paraId="2E3AE56F" w14:textId="77777777" w:rsidR="00580582" w:rsidRDefault="00580582" w:rsidP="009B0680">
            <w:pPr>
              <w:jc w:val="center"/>
            </w:pPr>
            <w:r>
              <w:t>-</w:t>
            </w:r>
          </w:p>
        </w:tc>
        <w:tc>
          <w:tcPr>
            <w:tcW w:w="1166" w:type="dxa"/>
            <w:vAlign w:val="center"/>
          </w:tcPr>
          <w:p w14:paraId="2480B149" w14:textId="77777777" w:rsidR="00580582" w:rsidRDefault="00580582" w:rsidP="009B0680">
            <w:pPr>
              <w:jc w:val="center"/>
            </w:pPr>
            <w:r>
              <w:rPr>
                <w:rFonts w:ascii="Wingdings" w:eastAsia="Wingdings" w:hAnsi="Wingdings" w:cs="Wingdings"/>
              </w:rPr>
              <w:t></w:t>
            </w:r>
          </w:p>
        </w:tc>
        <w:tc>
          <w:tcPr>
            <w:tcW w:w="1166" w:type="dxa"/>
            <w:vAlign w:val="center"/>
          </w:tcPr>
          <w:p w14:paraId="781E0ED0" w14:textId="77777777" w:rsidR="00580582" w:rsidRPr="009B7B2D" w:rsidRDefault="00580582" w:rsidP="009B0680">
            <w:pPr>
              <w:jc w:val="center"/>
            </w:pPr>
            <w:r w:rsidRPr="009B7B2D">
              <w:rPr>
                <w:rFonts w:ascii="Wingdings" w:eastAsia="Wingdings" w:hAnsi="Wingdings" w:cs="Wingdings"/>
              </w:rPr>
              <w:t></w:t>
            </w:r>
          </w:p>
        </w:tc>
        <w:tc>
          <w:tcPr>
            <w:tcW w:w="1166" w:type="dxa"/>
            <w:vAlign w:val="center"/>
          </w:tcPr>
          <w:p w14:paraId="342B44D7" w14:textId="77777777" w:rsidR="00580582" w:rsidRDefault="00580582" w:rsidP="009B0680">
            <w:pPr>
              <w:jc w:val="center"/>
            </w:pPr>
            <w:r>
              <w:rPr>
                <w:rFonts w:ascii="Wingdings" w:eastAsia="Wingdings" w:hAnsi="Wingdings" w:cs="Wingdings"/>
              </w:rPr>
              <w:t></w:t>
            </w:r>
          </w:p>
        </w:tc>
        <w:tc>
          <w:tcPr>
            <w:tcW w:w="1166" w:type="dxa"/>
            <w:vAlign w:val="center"/>
          </w:tcPr>
          <w:p w14:paraId="7AFCA892" w14:textId="77777777" w:rsidR="00580582" w:rsidRDefault="00580582" w:rsidP="009B0680">
            <w:pPr>
              <w:jc w:val="center"/>
            </w:pPr>
            <w:r>
              <w:rPr>
                <w:rFonts w:ascii="Wingdings" w:eastAsia="Wingdings" w:hAnsi="Wingdings" w:cs="Wingdings"/>
              </w:rPr>
              <w:t></w:t>
            </w:r>
          </w:p>
        </w:tc>
        <w:tc>
          <w:tcPr>
            <w:tcW w:w="1167" w:type="dxa"/>
            <w:vAlign w:val="center"/>
          </w:tcPr>
          <w:p w14:paraId="49DBD948" w14:textId="77777777" w:rsidR="00580582" w:rsidRDefault="00580582" w:rsidP="009B0680">
            <w:pPr>
              <w:jc w:val="center"/>
            </w:pPr>
            <w:r>
              <w:rPr>
                <w:rFonts w:ascii="Wingdings" w:eastAsia="Wingdings" w:hAnsi="Wingdings" w:cs="Wingdings"/>
              </w:rPr>
              <w:t></w:t>
            </w:r>
          </w:p>
        </w:tc>
      </w:tr>
      <w:tr w:rsidR="00580582" w14:paraId="2148C434" w14:textId="77777777" w:rsidTr="00580582">
        <w:tc>
          <w:tcPr>
            <w:tcW w:w="3828" w:type="dxa"/>
          </w:tcPr>
          <w:p w14:paraId="29631996" w14:textId="77777777" w:rsidR="00580582" w:rsidRDefault="00580582" w:rsidP="009B0680">
            <w:r>
              <w:t>Practical (where unavailable a visual) demonstration of relevant geographical Building Regulations (eg Mandatory Technical Competence and applicable functional requirements and Approved Documents L, J, F, G, B, in England)</w:t>
            </w:r>
          </w:p>
        </w:tc>
        <w:tc>
          <w:tcPr>
            <w:tcW w:w="1166" w:type="dxa"/>
            <w:vAlign w:val="center"/>
          </w:tcPr>
          <w:p w14:paraId="59D95267" w14:textId="77777777" w:rsidR="00580582" w:rsidRDefault="00580582" w:rsidP="009B0680">
            <w:pPr>
              <w:jc w:val="center"/>
            </w:pPr>
            <w:r>
              <w:t>-</w:t>
            </w:r>
          </w:p>
        </w:tc>
        <w:tc>
          <w:tcPr>
            <w:tcW w:w="1166" w:type="dxa"/>
            <w:vAlign w:val="center"/>
          </w:tcPr>
          <w:p w14:paraId="013B1B21" w14:textId="77777777" w:rsidR="00580582" w:rsidRPr="003C0B7F" w:rsidRDefault="00580582" w:rsidP="009B0680">
            <w:pPr>
              <w:jc w:val="center"/>
            </w:pPr>
            <w:r w:rsidRPr="003C0B7F">
              <w:t>-</w:t>
            </w:r>
          </w:p>
        </w:tc>
        <w:tc>
          <w:tcPr>
            <w:tcW w:w="1166" w:type="dxa"/>
            <w:vAlign w:val="center"/>
          </w:tcPr>
          <w:p w14:paraId="538C6F11" w14:textId="77777777" w:rsidR="00580582" w:rsidRDefault="00580582" w:rsidP="009B0680">
            <w:pPr>
              <w:jc w:val="center"/>
            </w:pPr>
            <w:r>
              <w:t>-</w:t>
            </w:r>
          </w:p>
        </w:tc>
        <w:tc>
          <w:tcPr>
            <w:tcW w:w="1166" w:type="dxa"/>
            <w:vAlign w:val="center"/>
          </w:tcPr>
          <w:p w14:paraId="4D8DD437" w14:textId="77777777" w:rsidR="00580582" w:rsidRDefault="00580582" w:rsidP="009B0680">
            <w:pPr>
              <w:jc w:val="center"/>
            </w:pPr>
            <w:r>
              <w:rPr>
                <w:rFonts w:ascii="Wingdings" w:eastAsia="Wingdings" w:hAnsi="Wingdings" w:cs="Wingdings"/>
              </w:rPr>
              <w:t></w:t>
            </w:r>
          </w:p>
        </w:tc>
        <w:tc>
          <w:tcPr>
            <w:tcW w:w="1166" w:type="dxa"/>
            <w:vAlign w:val="center"/>
          </w:tcPr>
          <w:p w14:paraId="55131CA5" w14:textId="77777777" w:rsidR="00580582" w:rsidRPr="009B7B2D" w:rsidRDefault="00580582" w:rsidP="009B0680">
            <w:pPr>
              <w:jc w:val="center"/>
            </w:pPr>
            <w:r w:rsidRPr="009B7B2D">
              <w:rPr>
                <w:rFonts w:ascii="Wingdings" w:eastAsia="Wingdings" w:hAnsi="Wingdings" w:cs="Wingdings"/>
              </w:rPr>
              <w:t></w:t>
            </w:r>
          </w:p>
        </w:tc>
        <w:tc>
          <w:tcPr>
            <w:tcW w:w="1166" w:type="dxa"/>
            <w:vAlign w:val="center"/>
          </w:tcPr>
          <w:p w14:paraId="593EB789" w14:textId="77777777" w:rsidR="00580582" w:rsidRDefault="00580582" w:rsidP="009B0680">
            <w:pPr>
              <w:jc w:val="center"/>
            </w:pPr>
            <w:r>
              <w:rPr>
                <w:rFonts w:ascii="Wingdings" w:eastAsia="Wingdings" w:hAnsi="Wingdings" w:cs="Wingdings"/>
              </w:rPr>
              <w:t></w:t>
            </w:r>
          </w:p>
        </w:tc>
        <w:tc>
          <w:tcPr>
            <w:tcW w:w="1166" w:type="dxa"/>
            <w:vAlign w:val="center"/>
          </w:tcPr>
          <w:p w14:paraId="5613FB8E" w14:textId="77777777" w:rsidR="00580582" w:rsidRDefault="00580582" w:rsidP="009B0680">
            <w:pPr>
              <w:jc w:val="center"/>
            </w:pPr>
            <w:r>
              <w:rPr>
                <w:rFonts w:ascii="Wingdings" w:eastAsia="Wingdings" w:hAnsi="Wingdings" w:cs="Wingdings"/>
              </w:rPr>
              <w:t></w:t>
            </w:r>
          </w:p>
        </w:tc>
        <w:tc>
          <w:tcPr>
            <w:tcW w:w="1167" w:type="dxa"/>
            <w:vAlign w:val="center"/>
          </w:tcPr>
          <w:p w14:paraId="57A648EE" w14:textId="77777777" w:rsidR="00580582" w:rsidRDefault="00580582" w:rsidP="009B0680">
            <w:pPr>
              <w:jc w:val="center"/>
            </w:pPr>
            <w:r>
              <w:rPr>
                <w:rFonts w:ascii="Wingdings" w:eastAsia="Wingdings" w:hAnsi="Wingdings" w:cs="Wingdings"/>
              </w:rPr>
              <w:t></w:t>
            </w:r>
          </w:p>
        </w:tc>
      </w:tr>
    </w:tbl>
    <w:p w14:paraId="7F9BCE63" w14:textId="77777777" w:rsidR="00580582" w:rsidRDefault="00580582" w:rsidP="00580582"/>
    <w:p w14:paraId="7EC3B1C8" w14:textId="4EF33895" w:rsidR="00580582" w:rsidRDefault="00735986" w:rsidP="00735986">
      <w:r>
        <w:t>For background, the</w:t>
      </w:r>
      <w:r w:rsidR="00580582" w:rsidRPr="00815382">
        <w:t xml:space="preserve"> above activ</w:t>
      </w:r>
      <w:r>
        <w:t>ities are required so that the R</w:t>
      </w:r>
      <w:r w:rsidR="00580582" w:rsidRPr="00815382">
        <w:t>egister can confirm:</w:t>
      </w:r>
    </w:p>
    <w:p w14:paraId="34885346" w14:textId="30E6E041" w:rsidR="00580582" w:rsidRDefault="00735986" w:rsidP="00735986">
      <w:r>
        <w:t xml:space="preserve">(a) </w:t>
      </w:r>
      <w:r w:rsidR="00580582" w:rsidRPr="00815382">
        <w:t>the installation does not pose a risk to people or property and that any defects have been recorded and the responsib</w:t>
      </w:r>
      <w:r>
        <w:t>le person for the property and Registered Business has been made aware; and</w:t>
      </w:r>
    </w:p>
    <w:p w14:paraId="6CEF6398" w14:textId="34F18218" w:rsidR="00580582" w:rsidRPr="00815382" w:rsidRDefault="00735986" w:rsidP="00735986">
      <w:r>
        <w:t>(b) that the E</w:t>
      </w:r>
      <w:r w:rsidR="00580582" w:rsidRPr="00815382">
        <w:t xml:space="preserve">ngineer being inspected has the technical and underpinning knowledge and understanding to </w:t>
      </w:r>
      <w:r w:rsidR="00580582">
        <w:t>demonstrate</w:t>
      </w:r>
      <w:r w:rsidR="00580582" w:rsidRPr="00815382">
        <w:t xml:space="preserve"> the installation complies with the GSIUR, manufacturer's instructions or where relevant appropriate normative industry standards and can assess existing gas installations they encounter against the GIUSP and take appropriate actions.</w:t>
      </w:r>
    </w:p>
    <w:p w14:paraId="0B846C71" w14:textId="64903AE2" w:rsidR="00580582" w:rsidRDefault="00580582" w:rsidP="00580582">
      <w:pPr>
        <w:pStyle w:val="GSRL4numberedclause"/>
        <w:numPr>
          <w:ilvl w:val="0"/>
          <w:numId w:val="0"/>
        </w:numPr>
      </w:pPr>
    </w:p>
    <w:p w14:paraId="0C2FD27C" w14:textId="35FCBCF5" w:rsidR="00580582" w:rsidRDefault="00580582" w:rsidP="00580582">
      <w:pPr>
        <w:pStyle w:val="GSRL4numberedclause"/>
        <w:numPr>
          <w:ilvl w:val="0"/>
          <w:numId w:val="0"/>
        </w:numPr>
      </w:pPr>
    </w:p>
    <w:p w14:paraId="3BE9D580" w14:textId="0C1ABC93" w:rsidR="00580582" w:rsidRDefault="00580582" w:rsidP="00580582">
      <w:pPr>
        <w:pStyle w:val="GSRL4numberedclause"/>
        <w:numPr>
          <w:ilvl w:val="0"/>
          <w:numId w:val="0"/>
        </w:numPr>
      </w:pPr>
    </w:p>
    <w:p w14:paraId="78C11C4E" w14:textId="7FD1CC04" w:rsidR="00580582" w:rsidRDefault="00580582" w:rsidP="00580582">
      <w:pPr>
        <w:pStyle w:val="GSRL4numberedclause"/>
        <w:numPr>
          <w:ilvl w:val="0"/>
          <w:numId w:val="0"/>
        </w:numPr>
      </w:pPr>
    </w:p>
    <w:p w14:paraId="2E8CB1C3" w14:textId="1E4EDE4E" w:rsidR="00580582" w:rsidRDefault="00580582" w:rsidP="00580582">
      <w:pPr>
        <w:pStyle w:val="GSRL4numberedclause"/>
        <w:numPr>
          <w:ilvl w:val="0"/>
          <w:numId w:val="0"/>
        </w:numPr>
      </w:pPr>
    </w:p>
    <w:p w14:paraId="52B30E88" w14:textId="28C5F63B" w:rsidR="00580582" w:rsidRDefault="00580582" w:rsidP="00580582">
      <w:pPr>
        <w:pStyle w:val="GSRL4numberedclause"/>
        <w:numPr>
          <w:ilvl w:val="0"/>
          <w:numId w:val="0"/>
        </w:numPr>
      </w:pPr>
    </w:p>
    <w:p w14:paraId="4D84066E" w14:textId="491CDA7D" w:rsidR="00580582" w:rsidRDefault="00580582" w:rsidP="00580582">
      <w:pPr>
        <w:pStyle w:val="GSRL4numberedclause"/>
        <w:numPr>
          <w:ilvl w:val="0"/>
          <w:numId w:val="0"/>
        </w:numPr>
      </w:pPr>
    </w:p>
    <w:p w14:paraId="58DF0CB9" w14:textId="77777777" w:rsidR="00580582" w:rsidRDefault="00580582" w:rsidP="00580582">
      <w:pPr>
        <w:pStyle w:val="GSRL4numberedclause"/>
        <w:numPr>
          <w:ilvl w:val="0"/>
          <w:numId w:val="0"/>
        </w:numPr>
        <w:sectPr w:rsidR="00580582" w:rsidSect="00580582">
          <w:pgSz w:w="16840" w:h="11900" w:orient="landscape"/>
          <w:pgMar w:top="1440" w:right="1134" w:bottom="1440" w:left="1440" w:header="1077" w:footer="833" w:gutter="0"/>
          <w:cols w:space="708"/>
          <w:docGrid w:linePitch="299"/>
        </w:sectPr>
      </w:pPr>
    </w:p>
    <w:p w14:paraId="21B90E63" w14:textId="77777777" w:rsidR="00580582" w:rsidRDefault="00580582" w:rsidP="00580582">
      <w:pPr>
        <w:pStyle w:val="GSRL4numberedclause"/>
        <w:numPr>
          <w:ilvl w:val="0"/>
          <w:numId w:val="0"/>
        </w:numPr>
      </w:pPr>
    </w:p>
    <w:p w14:paraId="01C4AF63" w14:textId="77777777" w:rsidR="00E43D25" w:rsidRPr="00E43D25" w:rsidRDefault="00E43D25" w:rsidP="00E43D25">
      <w:pPr>
        <w:ind w:left="720"/>
        <w:rPr>
          <w:lang w:eastAsia="zh-CN"/>
        </w:rPr>
      </w:pPr>
    </w:p>
    <w:bookmarkEnd w:id="34"/>
    <w:p w14:paraId="069E195B" w14:textId="6F7B74B0" w:rsidR="00631AEE" w:rsidRPr="001A1836" w:rsidRDefault="00631AEE" w:rsidP="00091053">
      <w:pPr>
        <w:spacing w:after="0" w:line="276" w:lineRule="auto"/>
        <w:ind w:left="720" w:hanging="720"/>
        <w:rPr>
          <w:rFonts w:cs="Arial"/>
          <w:kern w:val="0"/>
          <w:szCs w:val="24"/>
          <w:lang w:eastAsia="en-GB"/>
        </w:rPr>
      </w:pPr>
    </w:p>
    <w:p w14:paraId="11673C76" w14:textId="77777777" w:rsidR="009064B4" w:rsidRPr="001A1836" w:rsidRDefault="009064B4" w:rsidP="009064B4">
      <w:pPr>
        <w:spacing w:before="0" w:after="0"/>
        <w:rPr>
          <w:rFonts w:cs="Arial"/>
          <w:szCs w:val="24"/>
        </w:rPr>
      </w:pPr>
      <w:bookmarkStart w:id="541" w:name="_Toc468284249"/>
      <w:bookmarkStart w:id="542" w:name="LASTCURSORPOSITION"/>
      <w:bookmarkEnd w:id="541"/>
      <w:bookmarkEnd w:id="542"/>
    </w:p>
    <w:p w14:paraId="5D22D0C6" w14:textId="77777777" w:rsidR="00394111" w:rsidRPr="001A1836" w:rsidRDefault="00394111" w:rsidP="00580582">
      <w:pPr>
        <w:pStyle w:val="GSRL1Scheduleheader"/>
        <w:ind w:left="0"/>
        <w:jc w:val="left"/>
        <w:sectPr w:rsidR="00394111" w:rsidRPr="001A1836" w:rsidSect="00F87B8D">
          <w:pgSz w:w="11900" w:h="16840"/>
          <w:pgMar w:top="1134" w:right="1440" w:bottom="1440" w:left="1440" w:header="1077" w:footer="833" w:gutter="0"/>
          <w:cols w:space="708"/>
        </w:sectPr>
      </w:pPr>
    </w:p>
    <w:p w14:paraId="0C764F51" w14:textId="18144835" w:rsidR="008B04B9" w:rsidRPr="001A1836" w:rsidRDefault="008B04B9" w:rsidP="009064B4">
      <w:pPr>
        <w:pStyle w:val="GSRL1Scheduleheader"/>
        <w:rPr>
          <w:szCs w:val="24"/>
        </w:rPr>
      </w:pPr>
      <w:bookmarkStart w:id="543" w:name="_Toc129038145"/>
      <w:bookmarkStart w:id="544" w:name="_Toc129038431"/>
      <w:bookmarkStart w:id="545" w:name="_Toc132268001"/>
      <w:bookmarkStart w:id="546" w:name="_Toc132268307"/>
      <w:bookmarkStart w:id="547" w:name="_Toc136198558"/>
      <w:bookmarkStart w:id="548" w:name="_Toc136198839"/>
      <w:bookmarkStart w:id="549" w:name="_Toc188885248"/>
      <w:r w:rsidRPr="001A1836">
        <w:lastRenderedPageBreak/>
        <w:t xml:space="preserve">SCHEDULE 2: </w:t>
      </w:r>
      <w:r w:rsidR="004C2FF4" w:rsidRPr="001A1836">
        <w:t>Additional and Ancillary Services</w:t>
      </w:r>
      <w:bookmarkEnd w:id="543"/>
      <w:bookmarkEnd w:id="544"/>
      <w:bookmarkEnd w:id="545"/>
      <w:bookmarkEnd w:id="546"/>
      <w:bookmarkEnd w:id="547"/>
      <w:bookmarkEnd w:id="548"/>
      <w:bookmarkEnd w:id="549"/>
    </w:p>
    <w:p w14:paraId="31CD9D76" w14:textId="77777777" w:rsidR="008B04B9" w:rsidRPr="001A1836" w:rsidRDefault="008B04B9" w:rsidP="009064B4"/>
    <w:p w14:paraId="381E72D6" w14:textId="77777777" w:rsidR="008B04B9" w:rsidRPr="001A1836" w:rsidRDefault="008B04B9" w:rsidP="008B04B9"/>
    <w:p w14:paraId="3D202A09" w14:textId="2B49D421" w:rsidR="00B47925" w:rsidRPr="001A1836" w:rsidRDefault="008B04B9" w:rsidP="000671D8">
      <w:pPr>
        <w:pStyle w:val="GSRL2Sectionheading"/>
        <w:tabs>
          <w:tab w:val="clear" w:pos="1656"/>
        </w:tabs>
      </w:pPr>
      <w:r w:rsidRPr="001A1836">
        <w:br w:type="page"/>
      </w:r>
    </w:p>
    <w:p w14:paraId="3906AD3D" w14:textId="77777777" w:rsidR="008B04B9" w:rsidRPr="001A1836" w:rsidRDefault="008B04B9" w:rsidP="008B04B9"/>
    <w:p w14:paraId="779D4073" w14:textId="2140E143" w:rsidR="008B04B9" w:rsidRPr="001A1836" w:rsidRDefault="008B04B9" w:rsidP="00B27196">
      <w:pPr>
        <w:pStyle w:val="GSRL2Sectionheading"/>
        <w:tabs>
          <w:tab w:val="clear" w:pos="1656"/>
        </w:tabs>
      </w:pPr>
      <w:bookmarkStart w:id="550" w:name="_Toc521319318"/>
      <w:bookmarkStart w:id="551" w:name="_Toc521326980"/>
      <w:bookmarkStart w:id="552" w:name="_Toc521333213"/>
      <w:bookmarkStart w:id="553" w:name="_Toc521496773"/>
      <w:bookmarkStart w:id="554" w:name="_Toc521498215"/>
      <w:bookmarkStart w:id="555" w:name="_Toc529345952"/>
      <w:bookmarkStart w:id="556" w:name="_Toc129038147"/>
      <w:bookmarkStart w:id="557" w:name="_Toc129038433"/>
      <w:bookmarkStart w:id="558" w:name="_Toc132268003"/>
      <w:bookmarkStart w:id="559" w:name="_Toc132268309"/>
      <w:bookmarkStart w:id="560" w:name="_Toc136198560"/>
      <w:bookmarkStart w:id="561" w:name="_Toc136198841"/>
      <w:bookmarkStart w:id="562" w:name="Schedule2"/>
      <w:r w:rsidRPr="001A1836">
        <w:t>Purpose</w:t>
      </w:r>
      <w:bookmarkEnd w:id="550"/>
      <w:bookmarkEnd w:id="551"/>
      <w:bookmarkEnd w:id="552"/>
      <w:bookmarkEnd w:id="553"/>
      <w:bookmarkEnd w:id="554"/>
      <w:bookmarkEnd w:id="555"/>
      <w:bookmarkEnd w:id="556"/>
      <w:bookmarkEnd w:id="557"/>
      <w:bookmarkEnd w:id="558"/>
      <w:bookmarkEnd w:id="559"/>
      <w:bookmarkEnd w:id="560"/>
      <w:bookmarkEnd w:id="561"/>
    </w:p>
    <w:p w14:paraId="66BE62A7" w14:textId="77777777" w:rsidR="008B04B9" w:rsidRPr="001A1836" w:rsidRDefault="008B04B9" w:rsidP="004E2262">
      <w:pPr>
        <w:pStyle w:val="GSRL3heading"/>
        <w:numPr>
          <w:ilvl w:val="0"/>
          <w:numId w:val="59"/>
        </w:numPr>
      </w:pPr>
      <w:bookmarkStart w:id="563" w:name="_Toc521319319"/>
      <w:bookmarkStart w:id="564" w:name="_Toc521326981"/>
      <w:bookmarkStart w:id="565" w:name="_Toc521333214"/>
      <w:bookmarkStart w:id="566" w:name="_Toc521483970"/>
      <w:bookmarkStart w:id="567" w:name="_Toc521484733"/>
      <w:bookmarkStart w:id="568" w:name="_Toc521485064"/>
      <w:bookmarkStart w:id="569" w:name="_Toc521496774"/>
      <w:bookmarkStart w:id="570" w:name="_Toc521498216"/>
      <w:bookmarkStart w:id="571" w:name="_Toc529345953"/>
      <w:bookmarkStart w:id="572" w:name="_Toc129038148"/>
      <w:bookmarkStart w:id="573" w:name="_Toc129038434"/>
      <w:bookmarkStart w:id="574" w:name="_Toc132268004"/>
      <w:bookmarkStart w:id="575" w:name="_Toc132268310"/>
      <w:bookmarkStart w:id="576" w:name="_Toc136198561"/>
      <w:bookmarkStart w:id="577" w:name="_Toc136198842"/>
      <w:r w:rsidRPr="001A1836">
        <w:t>Purpose and effect</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r w:rsidRPr="001A1836">
        <w:t xml:space="preserve"> </w:t>
      </w:r>
    </w:p>
    <w:p w14:paraId="30DB89A5" w14:textId="77777777" w:rsidR="008B04B9" w:rsidRPr="001A1836" w:rsidRDefault="008B04B9">
      <w:pPr>
        <w:pStyle w:val="GSRL4numberedclause"/>
      </w:pPr>
      <w:r w:rsidRPr="001A1836">
        <w:t xml:space="preserve">This Schedule sets out: </w:t>
      </w:r>
    </w:p>
    <w:p w14:paraId="713C44C6" w14:textId="77777777" w:rsidR="008B04B9" w:rsidRPr="001A1836" w:rsidRDefault="008B04B9">
      <w:pPr>
        <w:pStyle w:val="GSRL5numberedclause"/>
      </w:pPr>
      <w:r w:rsidRPr="001A1836">
        <w:t>The Additional Services that the Provider is authorised to provide;</w:t>
      </w:r>
    </w:p>
    <w:p w14:paraId="302744DC" w14:textId="77777777" w:rsidR="008B04B9" w:rsidRPr="001A1836" w:rsidRDefault="008B04B9">
      <w:pPr>
        <w:pStyle w:val="GSRL5numberedclause"/>
      </w:pPr>
      <w:r w:rsidRPr="001A1836">
        <w:t xml:space="preserve">The conditions applying to the provision of such Additional Services; </w:t>
      </w:r>
    </w:p>
    <w:p w14:paraId="6D89792C" w14:textId="77777777" w:rsidR="008B04B9" w:rsidRPr="001A1836" w:rsidRDefault="008B04B9">
      <w:pPr>
        <w:pStyle w:val="GSRL5numberedclause"/>
      </w:pPr>
      <w:r w:rsidRPr="001A1836">
        <w:t>The Ancillary Services that HSE and the Provider have agreed that the Provider will provide;</w:t>
      </w:r>
    </w:p>
    <w:p w14:paraId="4DFA713D" w14:textId="77777777" w:rsidR="008B04B9" w:rsidRPr="001A1836" w:rsidRDefault="008B04B9">
      <w:pPr>
        <w:pStyle w:val="GSRL5numberedclause"/>
      </w:pPr>
      <w:r w:rsidRPr="001A1836">
        <w:t xml:space="preserve">The conditions upon which the Provider shall provide Ancillary Services; and </w:t>
      </w:r>
    </w:p>
    <w:p w14:paraId="1BD70C80" w14:textId="77777777" w:rsidR="008B04B9" w:rsidRPr="001A1836" w:rsidRDefault="008B04B9">
      <w:pPr>
        <w:pStyle w:val="GSRL5numberedclause"/>
      </w:pPr>
      <w:r w:rsidRPr="001A1836">
        <w:t xml:space="preserve">The costs for Ancillary Services. </w:t>
      </w:r>
    </w:p>
    <w:p w14:paraId="24074E16" w14:textId="77777777" w:rsidR="008B04B9" w:rsidRPr="001A1836" w:rsidRDefault="008B04B9">
      <w:pPr>
        <w:pStyle w:val="GSRL4numberedclause"/>
      </w:pPr>
      <w:r w:rsidRPr="001A1836">
        <w:t xml:space="preserve">This Schedule shall have effect: </w:t>
      </w:r>
    </w:p>
    <w:p w14:paraId="474B75B0" w14:textId="77777777" w:rsidR="008B04B9" w:rsidRPr="001A1836" w:rsidRDefault="008B04B9">
      <w:pPr>
        <w:pStyle w:val="GSRL5numberedclause"/>
      </w:pPr>
      <w:r w:rsidRPr="001A1836">
        <w:t xml:space="preserve">throughout the term in respect of Additional Services; and </w:t>
      </w:r>
    </w:p>
    <w:p w14:paraId="34EEB6A8" w14:textId="77777777" w:rsidR="008B04B9" w:rsidRPr="001A1836" w:rsidRDefault="008B04B9">
      <w:pPr>
        <w:pStyle w:val="GSRL5numberedclause"/>
      </w:pPr>
      <w:r w:rsidRPr="001A1836">
        <w:t xml:space="preserve">whenever HSE orders Ancillary Services. </w:t>
      </w:r>
    </w:p>
    <w:p w14:paraId="44E21D14" w14:textId="77777777" w:rsidR="008B04B9" w:rsidRPr="001A1836" w:rsidRDefault="008B04B9" w:rsidP="00B27196">
      <w:pPr>
        <w:pStyle w:val="GSRL2Sectionheading"/>
        <w:tabs>
          <w:tab w:val="clear" w:pos="1656"/>
        </w:tabs>
      </w:pPr>
      <w:bookmarkStart w:id="578" w:name="_Toc521319320"/>
      <w:bookmarkStart w:id="579" w:name="_Toc521326982"/>
      <w:bookmarkStart w:id="580" w:name="_Toc521333215"/>
      <w:bookmarkStart w:id="581" w:name="_Toc521496775"/>
      <w:bookmarkStart w:id="582" w:name="_Toc521498217"/>
      <w:bookmarkStart w:id="583" w:name="_Toc529345954"/>
      <w:bookmarkStart w:id="584" w:name="_Toc129038149"/>
      <w:bookmarkStart w:id="585" w:name="_Toc129038435"/>
      <w:bookmarkStart w:id="586" w:name="_Toc132268005"/>
      <w:bookmarkStart w:id="587" w:name="_Toc132268311"/>
      <w:bookmarkStart w:id="588" w:name="_Toc136198562"/>
      <w:bookmarkStart w:id="589" w:name="_Toc136198843"/>
      <w:r w:rsidRPr="001A1836">
        <w:t>Part A: Additional Services</w:t>
      </w:r>
      <w:bookmarkEnd w:id="578"/>
      <w:bookmarkEnd w:id="579"/>
      <w:bookmarkEnd w:id="580"/>
      <w:bookmarkEnd w:id="581"/>
      <w:bookmarkEnd w:id="582"/>
      <w:bookmarkEnd w:id="583"/>
      <w:bookmarkEnd w:id="584"/>
      <w:bookmarkEnd w:id="585"/>
      <w:bookmarkEnd w:id="586"/>
      <w:bookmarkEnd w:id="587"/>
      <w:bookmarkEnd w:id="588"/>
      <w:bookmarkEnd w:id="589"/>
    </w:p>
    <w:p w14:paraId="31825E22" w14:textId="77777777" w:rsidR="008B04B9" w:rsidRPr="001A1836" w:rsidRDefault="008B04B9">
      <w:pPr>
        <w:pStyle w:val="GSRL3heading"/>
      </w:pPr>
      <w:bookmarkStart w:id="590" w:name="_Toc521319321"/>
      <w:bookmarkStart w:id="591" w:name="_Toc521326983"/>
      <w:bookmarkStart w:id="592" w:name="_Toc521333216"/>
      <w:bookmarkStart w:id="593" w:name="_Toc521483971"/>
      <w:bookmarkStart w:id="594" w:name="_Toc521484734"/>
      <w:bookmarkStart w:id="595" w:name="_Toc521485065"/>
      <w:bookmarkStart w:id="596" w:name="_Toc521496776"/>
      <w:bookmarkStart w:id="597" w:name="_Toc521498218"/>
      <w:bookmarkStart w:id="598" w:name="_Toc529345955"/>
      <w:bookmarkStart w:id="599" w:name="_Toc129038150"/>
      <w:bookmarkStart w:id="600" w:name="_Toc129038436"/>
      <w:bookmarkStart w:id="601" w:name="_Toc132268006"/>
      <w:bookmarkStart w:id="602" w:name="_Toc132268312"/>
      <w:bookmarkStart w:id="603" w:name="_Toc136198563"/>
      <w:bookmarkStart w:id="604" w:name="_Toc136198844"/>
      <w:r w:rsidRPr="001A1836">
        <w:t>Additional Services</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r w:rsidRPr="001A1836">
        <w:t xml:space="preserve"> </w:t>
      </w:r>
    </w:p>
    <w:p w14:paraId="71621E55" w14:textId="6670E179" w:rsidR="008B04B9" w:rsidRPr="001A1836" w:rsidRDefault="008B04B9">
      <w:pPr>
        <w:pStyle w:val="GSRL4numberedclause"/>
      </w:pPr>
      <w:r w:rsidRPr="001A1836">
        <w:t>HSE has approved the Provider to undertake the following Additional Services:</w:t>
      </w:r>
    </w:p>
    <w:p w14:paraId="1386CB62" w14:textId="77777777" w:rsidR="00B47925" w:rsidRPr="001A1836" w:rsidRDefault="00B47925" w:rsidP="00B47925">
      <w:pPr>
        <w:pStyle w:val="GSRL4numberedclause"/>
        <w:numPr>
          <w:ilvl w:val="0"/>
          <w:numId w:val="0"/>
        </w:numPr>
        <w:ind w:left="720"/>
      </w:pPr>
    </w:p>
    <w:p w14:paraId="5C3296DE" w14:textId="77777777" w:rsidR="008B04B9" w:rsidRPr="001A1836" w:rsidRDefault="008B04B9" w:rsidP="008B04B9">
      <w:pPr>
        <w:pStyle w:val="Number"/>
        <w:ind w:left="0" w:firstLine="0"/>
      </w:pPr>
      <w:r w:rsidRPr="001A1836">
        <w:rPr>
          <w:b/>
        </w:rPr>
        <w:t>Table 1</w:t>
      </w:r>
      <w:r w:rsidRPr="001A1836">
        <w:t xml:space="preserve"> Additional Services</w:t>
      </w:r>
    </w:p>
    <w:tbl>
      <w:tblPr>
        <w:tblStyle w:val="TableGrid"/>
        <w:tblW w:w="0" w:type="auto"/>
        <w:tblInd w:w="200" w:type="dxa"/>
        <w:tblLook w:val="04A0" w:firstRow="1" w:lastRow="0" w:firstColumn="1" w:lastColumn="0" w:noHBand="0" w:noVBand="1"/>
      </w:tblPr>
      <w:tblGrid>
        <w:gridCol w:w="2796"/>
        <w:gridCol w:w="1684"/>
        <w:gridCol w:w="4330"/>
      </w:tblGrid>
      <w:tr w:rsidR="008B04B9" w:rsidRPr="001A1836" w14:paraId="71FFC4C5" w14:textId="77777777" w:rsidTr="00D33621">
        <w:trPr>
          <w:cantSplit/>
          <w:tblHeader/>
        </w:trPr>
        <w:tc>
          <w:tcPr>
            <w:tcW w:w="2796" w:type="dxa"/>
          </w:tcPr>
          <w:p w14:paraId="1BD2A362" w14:textId="77777777" w:rsidR="008B04B9" w:rsidRPr="001A1836" w:rsidRDefault="008B04B9">
            <w:pPr>
              <w:pStyle w:val="Number"/>
              <w:spacing w:after="60"/>
              <w:ind w:left="0" w:firstLine="0"/>
              <w:rPr>
                <w:b/>
              </w:rPr>
            </w:pPr>
            <w:r w:rsidRPr="001A1836">
              <w:rPr>
                <w:b/>
              </w:rPr>
              <w:t>Service</w:t>
            </w:r>
          </w:p>
        </w:tc>
        <w:tc>
          <w:tcPr>
            <w:tcW w:w="1684" w:type="dxa"/>
          </w:tcPr>
          <w:p w14:paraId="7AD2AD2E" w14:textId="77777777" w:rsidR="008B04B9" w:rsidRPr="001A1836" w:rsidRDefault="008B04B9">
            <w:pPr>
              <w:pStyle w:val="Number"/>
              <w:spacing w:after="60"/>
              <w:ind w:left="0" w:firstLine="0"/>
              <w:rPr>
                <w:b/>
              </w:rPr>
            </w:pPr>
            <w:r w:rsidRPr="001A1836">
              <w:rPr>
                <w:b/>
              </w:rPr>
              <w:t>Date agreed</w:t>
            </w:r>
          </w:p>
        </w:tc>
        <w:tc>
          <w:tcPr>
            <w:tcW w:w="4330" w:type="dxa"/>
          </w:tcPr>
          <w:p w14:paraId="7F4AC1F5" w14:textId="77777777" w:rsidR="008B04B9" w:rsidRPr="001A1836" w:rsidRDefault="008B04B9">
            <w:pPr>
              <w:pStyle w:val="Number"/>
              <w:spacing w:after="60"/>
              <w:ind w:left="0" w:firstLine="0"/>
              <w:rPr>
                <w:b/>
              </w:rPr>
            </w:pPr>
            <w:r w:rsidRPr="001A1836">
              <w:rPr>
                <w:b/>
              </w:rPr>
              <w:t>Description</w:t>
            </w:r>
          </w:p>
        </w:tc>
      </w:tr>
      <w:tr w:rsidR="008B04B9" w:rsidRPr="001A1836" w14:paraId="55DA2CEB" w14:textId="77777777" w:rsidTr="00D33621">
        <w:trPr>
          <w:cantSplit/>
        </w:trPr>
        <w:tc>
          <w:tcPr>
            <w:tcW w:w="2796" w:type="dxa"/>
          </w:tcPr>
          <w:p w14:paraId="7C2CA1A3" w14:textId="4E620108" w:rsidR="008B04B9" w:rsidRPr="001A1836" w:rsidRDefault="005359AE" w:rsidP="008B04B9">
            <w:pPr>
              <w:pStyle w:val="Number"/>
              <w:spacing w:after="60"/>
              <w:ind w:left="0" w:firstLine="0"/>
            </w:pPr>
            <w:r w:rsidRPr="001A1836">
              <w:t>Rules of Registration hard copy</w:t>
            </w:r>
          </w:p>
        </w:tc>
        <w:tc>
          <w:tcPr>
            <w:tcW w:w="1684" w:type="dxa"/>
          </w:tcPr>
          <w:p w14:paraId="5741F5F4" w14:textId="3DA77811" w:rsidR="008B04B9" w:rsidRPr="001A1836" w:rsidRDefault="00E17E78" w:rsidP="008B04B9">
            <w:pPr>
              <w:pStyle w:val="Number"/>
              <w:spacing w:after="60"/>
              <w:ind w:left="0" w:firstLine="0"/>
            </w:pPr>
            <w:r w:rsidRPr="001A1836">
              <w:t>Effective Date</w:t>
            </w:r>
          </w:p>
        </w:tc>
        <w:tc>
          <w:tcPr>
            <w:tcW w:w="4330" w:type="dxa"/>
          </w:tcPr>
          <w:p w14:paraId="188588B4" w14:textId="5D825C0F" w:rsidR="008B04B9" w:rsidRPr="001A1836" w:rsidRDefault="005359AE" w:rsidP="008B04B9">
            <w:pPr>
              <w:pStyle w:val="Number"/>
              <w:spacing w:after="60"/>
              <w:ind w:left="0" w:firstLine="0"/>
            </w:pPr>
            <w:r w:rsidRPr="001A1836">
              <w:rPr>
                <w:sz w:val="20"/>
                <w:szCs w:val="20"/>
              </w:rPr>
              <w:t>Production and sale of hard copy versions of the Rules of Registration other than those hard copies versions to be provided for free to Registered Businesses in accordance with paragraphs 3.3 of Schedule 1 (Concession Services Requirements)</w:t>
            </w:r>
          </w:p>
        </w:tc>
      </w:tr>
      <w:tr w:rsidR="005359AE" w:rsidRPr="001A1836" w14:paraId="523B4E22" w14:textId="2AEDAF4B" w:rsidTr="00D33621">
        <w:trPr>
          <w:cantSplit/>
        </w:trPr>
        <w:tc>
          <w:tcPr>
            <w:tcW w:w="2796" w:type="dxa"/>
          </w:tcPr>
          <w:p w14:paraId="0D7D0145" w14:textId="67982DB0" w:rsidR="005359AE" w:rsidRPr="001A1836" w:rsidRDefault="005359AE" w:rsidP="008B04B9">
            <w:pPr>
              <w:pStyle w:val="Number"/>
              <w:spacing w:after="60"/>
              <w:ind w:left="0" w:firstLine="0"/>
            </w:pPr>
            <w:r w:rsidRPr="001A1836">
              <w:t>Brand marketing material</w:t>
            </w:r>
          </w:p>
        </w:tc>
        <w:tc>
          <w:tcPr>
            <w:tcW w:w="1684" w:type="dxa"/>
          </w:tcPr>
          <w:p w14:paraId="0FA66359" w14:textId="1115859E" w:rsidR="005359AE" w:rsidRPr="001A1836" w:rsidRDefault="00E17E78" w:rsidP="008B04B9">
            <w:pPr>
              <w:pStyle w:val="Number"/>
              <w:spacing w:after="60"/>
              <w:ind w:left="0" w:firstLine="0"/>
            </w:pPr>
            <w:r w:rsidRPr="001A1836">
              <w:t>Effective Date</w:t>
            </w:r>
          </w:p>
        </w:tc>
        <w:tc>
          <w:tcPr>
            <w:tcW w:w="4330" w:type="dxa"/>
          </w:tcPr>
          <w:p w14:paraId="7D3E1868" w14:textId="687350BF" w:rsidR="005359AE" w:rsidRPr="001A1836" w:rsidRDefault="005359AE" w:rsidP="008B04B9">
            <w:pPr>
              <w:pStyle w:val="Number"/>
              <w:spacing w:after="60"/>
              <w:ind w:left="0" w:firstLine="0"/>
            </w:pPr>
            <w:r w:rsidRPr="001A1836">
              <w:rPr>
                <w:sz w:val="20"/>
                <w:szCs w:val="20"/>
              </w:rPr>
              <w:t>Production and sale of Brand marketing material in conjunction with third parties under paragraph 9.3 of Schedule 1 (Concession Services Requirements)</w:t>
            </w:r>
          </w:p>
        </w:tc>
      </w:tr>
      <w:tr w:rsidR="008B04B9" w:rsidRPr="001A1836" w14:paraId="2032B777" w14:textId="4826FB4F" w:rsidTr="00D33621">
        <w:trPr>
          <w:cantSplit/>
        </w:trPr>
        <w:tc>
          <w:tcPr>
            <w:tcW w:w="2796" w:type="dxa"/>
          </w:tcPr>
          <w:p w14:paraId="2DFA10CF" w14:textId="4417B62B" w:rsidR="008B04B9" w:rsidRPr="001A1836" w:rsidRDefault="005359AE" w:rsidP="008B04B9">
            <w:pPr>
              <w:pStyle w:val="Number"/>
              <w:spacing w:after="60"/>
              <w:ind w:left="0" w:firstLine="0"/>
            </w:pPr>
            <w:r w:rsidRPr="001A1836">
              <w:t>Magazine</w:t>
            </w:r>
          </w:p>
        </w:tc>
        <w:tc>
          <w:tcPr>
            <w:tcW w:w="1684" w:type="dxa"/>
          </w:tcPr>
          <w:p w14:paraId="6D639C14" w14:textId="0E673AC0" w:rsidR="008B04B9" w:rsidRPr="001A1836" w:rsidRDefault="00E17E78" w:rsidP="008B04B9">
            <w:pPr>
              <w:pStyle w:val="Number"/>
              <w:spacing w:after="60"/>
              <w:ind w:left="0" w:firstLine="0"/>
            </w:pPr>
            <w:r w:rsidRPr="001A1836">
              <w:t>Effective Date</w:t>
            </w:r>
          </w:p>
        </w:tc>
        <w:tc>
          <w:tcPr>
            <w:tcW w:w="4330" w:type="dxa"/>
          </w:tcPr>
          <w:p w14:paraId="2167A507" w14:textId="708562AA" w:rsidR="008B04B9" w:rsidRPr="001A1836" w:rsidRDefault="005359AE" w:rsidP="008B04B9">
            <w:pPr>
              <w:pStyle w:val="Number"/>
              <w:spacing w:after="60"/>
              <w:ind w:left="0" w:firstLine="0"/>
            </w:pPr>
            <w:r w:rsidRPr="001A1836">
              <w:rPr>
                <w:sz w:val="20"/>
                <w:szCs w:val="20"/>
              </w:rPr>
              <w:t xml:space="preserve">Sale of </w:t>
            </w:r>
            <w:r w:rsidR="00435961" w:rsidRPr="001A1836">
              <w:rPr>
                <w:i/>
                <w:sz w:val="20"/>
                <w:szCs w:val="20"/>
              </w:rPr>
              <w:t>Registered Gas Engineer</w:t>
            </w:r>
            <w:r w:rsidRPr="001A1836">
              <w:rPr>
                <w:sz w:val="20"/>
                <w:szCs w:val="20"/>
              </w:rPr>
              <w:t xml:space="preserve"> magazine to the parties in accordance with paragraphs 7.23 to 7.26 of Schedule 1 (Concession Services Requirements)</w:t>
            </w:r>
          </w:p>
        </w:tc>
      </w:tr>
      <w:tr w:rsidR="005A3BB2" w:rsidRPr="001A1836" w14:paraId="4306057C" w14:textId="7CEDE820" w:rsidTr="00D33621">
        <w:trPr>
          <w:cantSplit/>
        </w:trPr>
        <w:tc>
          <w:tcPr>
            <w:tcW w:w="2796" w:type="dxa"/>
          </w:tcPr>
          <w:p w14:paraId="65AE0E59" w14:textId="505180BC" w:rsidR="005A3BB2" w:rsidRPr="001A1836" w:rsidRDefault="00E3436C" w:rsidP="008B04B9">
            <w:pPr>
              <w:pStyle w:val="Number"/>
              <w:spacing w:after="60"/>
              <w:ind w:left="0" w:firstLine="0"/>
            </w:pPr>
            <w:r w:rsidRPr="001A1836">
              <w:lastRenderedPageBreak/>
              <w:t>3rd Party Provider API (excluding notification)</w:t>
            </w:r>
          </w:p>
        </w:tc>
        <w:tc>
          <w:tcPr>
            <w:tcW w:w="1684" w:type="dxa"/>
          </w:tcPr>
          <w:p w14:paraId="616948DE" w14:textId="4CE76C8A" w:rsidR="005A3BB2" w:rsidRPr="001A1836" w:rsidRDefault="00E3436C" w:rsidP="008B04B9">
            <w:pPr>
              <w:pStyle w:val="Number"/>
              <w:spacing w:after="60"/>
              <w:ind w:left="0" w:firstLine="0"/>
            </w:pPr>
            <w:r w:rsidRPr="001A1836">
              <w:t>Effective Date</w:t>
            </w:r>
          </w:p>
        </w:tc>
        <w:tc>
          <w:tcPr>
            <w:tcW w:w="4330" w:type="dxa"/>
          </w:tcPr>
          <w:p w14:paraId="627F307C" w14:textId="525F26FA" w:rsidR="005A3BB2" w:rsidRPr="001A1836" w:rsidRDefault="00E3436C" w:rsidP="008B04B9">
            <w:pPr>
              <w:pStyle w:val="Number"/>
              <w:spacing w:after="60"/>
              <w:ind w:left="0" w:firstLine="0"/>
              <w:rPr>
                <w:sz w:val="20"/>
                <w:szCs w:val="20"/>
              </w:rPr>
            </w:pPr>
            <w:r w:rsidRPr="001A1836">
              <w:rPr>
                <w:sz w:val="20"/>
                <w:szCs w:val="20"/>
              </w:rPr>
              <w:t xml:space="preserve">Make provision for approved </w:t>
            </w:r>
            <w:r w:rsidR="001235A5" w:rsidRPr="001A1836">
              <w:rPr>
                <w:sz w:val="20"/>
                <w:szCs w:val="20"/>
              </w:rPr>
              <w:t>Third</w:t>
            </w:r>
            <w:r w:rsidRPr="001A1836">
              <w:rPr>
                <w:sz w:val="20"/>
                <w:szCs w:val="20"/>
              </w:rPr>
              <w:t xml:space="preserve"> Party Providers to access the GSR database for the purposes detailed within each individual agreement e.g. validate engineer registration.</w:t>
            </w:r>
          </w:p>
          <w:p w14:paraId="6B3AF251" w14:textId="4D07830A" w:rsidR="00440B2E" w:rsidRPr="001A1836" w:rsidRDefault="00440B2E" w:rsidP="008B04B9">
            <w:pPr>
              <w:pStyle w:val="Number"/>
              <w:spacing w:after="60"/>
              <w:ind w:left="0" w:firstLine="0"/>
              <w:rPr>
                <w:sz w:val="20"/>
                <w:szCs w:val="20"/>
              </w:rPr>
            </w:pPr>
            <w:r w:rsidRPr="001A1836">
              <w:rPr>
                <w:sz w:val="20"/>
                <w:szCs w:val="20"/>
              </w:rPr>
              <w:t xml:space="preserve">The </w:t>
            </w:r>
            <w:r w:rsidR="00ED203D" w:rsidRPr="001A1836">
              <w:rPr>
                <w:sz w:val="20"/>
                <w:szCs w:val="20"/>
              </w:rPr>
              <w:t>agreed</w:t>
            </w:r>
            <w:r w:rsidRPr="001A1836">
              <w:rPr>
                <w:sz w:val="20"/>
                <w:szCs w:val="20"/>
              </w:rPr>
              <w:t xml:space="preserve"> Additional Charges for this Additional Service are:</w:t>
            </w:r>
          </w:p>
          <w:p w14:paraId="6DE6EC51" w14:textId="6F685F1F" w:rsidR="00440B2E" w:rsidRPr="006D3A69" w:rsidRDefault="00440B2E" w:rsidP="008B04B9">
            <w:pPr>
              <w:pStyle w:val="Number"/>
              <w:spacing w:after="60"/>
              <w:ind w:left="0" w:firstLine="0"/>
              <w:rPr>
                <w:sz w:val="20"/>
                <w:szCs w:val="20"/>
              </w:rPr>
            </w:pPr>
            <w:r w:rsidRPr="001A1836">
              <w:rPr>
                <w:sz w:val="20"/>
                <w:szCs w:val="20"/>
              </w:rPr>
              <w:t>(i</w:t>
            </w:r>
            <w:r w:rsidRPr="006D3A69">
              <w:rPr>
                <w:sz w:val="20"/>
                <w:szCs w:val="20"/>
              </w:rPr>
              <w:t>) Initial set-up</w:t>
            </w:r>
            <w:r w:rsidR="00EF589E" w:rsidRPr="006D3A69">
              <w:rPr>
                <w:sz w:val="20"/>
                <w:szCs w:val="20"/>
              </w:rPr>
              <w:t xml:space="preserve"> </w:t>
            </w:r>
            <w:r w:rsidR="00247876">
              <w:rPr>
                <w:sz w:val="20"/>
                <w:szCs w:val="20"/>
              </w:rPr>
              <w:t xml:space="preserve">REDACTED </w:t>
            </w:r>
            <w:r w:rsidRPr="006D3A69">
              <w:rPr>
                <w:sz w:val="20"/>
                <w:szCs w:val="20"/>
              </w:rPr>
              <w:t>; and</w:t>
            </w:r>
          </w:p>
          <w:p w14:paraId="1F1D5301" w14:textId="73C57576" w:rsidR="00CF5D47" w:rsidRPr="00CF5D47" w:rsidRDefault="00440B2E" w:rsidP="00EF589E">
            <w:pPr>
              <w:pStyle w:val="Number"/>
              <w:spacing w:after="60"/>
              <w:ind w:left="0" w:firstLine="0"/>
            </w:pPr>
            <w:r w:rsidRPr="006D3A69">
              <w:rPr>
                <w:sz w:val="20"/>
                <w:szCs w:val="20"/>
              </w:rPr>
              <w:t>(ii) annual subscription</w:t>
            </w:r>
            <w:r w:rsidR="00247876">
              <w:rPr>
                <w:sz w:val="20"/>
                <w:szCs w:val="20"/>
              </w:rPr>
              <w:t xml:space="preserve"> REDACTED</w:t>
            </w:r>
            <w:r w:rsidR="00CF5D47" w:rsidRPr="006D3A69">
              <w:rPr>
                <w:sz w:val="20"/>
                <w:szCs w:val="20"/>
              </w:rPr>
              <w:t xml:space="preserve"> </w:t>
            </w:r>
            <w:r w:rsidRPr="006D3A69">
              <w:rPr>
                <w:sz w:val="20"/>
                <w:szCs w:val="20"/>
              </w:rPr>
              <w:t>.</w:t>
            </w:r>
          </w:p>
        </w:tc>
      </w:tr>
    </w:tbl>
    <w:p w14:paraId="54B5135E" w14:textId="77777777" w:rsidR="008B04B9" w:rsidRPr="001A1836" w:rsidRDefault="008B04B9" w:rsidP="008B04B9">
      <w:pPr>
        <w:pStyle w:val="Number"/>
      </w:pPr>
      <w:r w:rsidRPr="001A1836">
        <w:t xml:space="preserve"> </w:t>
      </w:r>
    </w:p>
    <w:p w14:paraId="41B4CD66" w14:textId="77777777" w:rsidR="008B04B9" w:rsidRPr="001A1836" w:rsidRDefault="008B04B9">
      <w:pPr>
        <w:pStyle w:val="GSRL4numberedclause"/>
      </w:pPr>
      <w:r w:rsidRPr="001A1836">
        <w:t xml:space="preserve">The Provider shall not undertake Additional Services without the express prior written permission of HSE. </w:t>
      </w:r>
    </w:p>
    <w:p w14:paraId="50388A23" w14:textId="77777777" w:rsidR="008B04B9" w:rsidRPr="001A1836" w:rsidRDefault="008B04B9" w:rsidP="00B27196">
      <w:pPr>
        <w:pStyle w:val="GSRL2Sectionheading"/>
        <w:tabs>
          <w:tab w:val="clear" w:pos="1656"/>
        </w:tabs>
      </w:pPr>
      <w:bookmarkStart w:id="605" w:name="_Toc521319322"/>
      <w:bookmarkStart w:id="606" w:name="_Toc521326984"/>
      <w:bookmarkStart w:id="607" w:name="_Toc521333217"/>
      <w:bookmarkStart w:id="608" w:name="_Toc521496777"/>
      <w:bookmarkStart w:id="609" w:name="_Toc521498219"/>
      <w:bookmarkStart w:id="610" w:name="_Toc529345956"/>
      <w:bookmarkStart w:id="611" w:name="_Toc129038151"/>
      <w:bookmarkStart w:id="612" w:name="_Toc129038437"/>
      <w:bookmarkStart w:id="613" w:name="_Toc132268007"/>
      <w:bookmarkStart w:id="614" w:name="_Toc132268313"/>
      <w:bookmarkStart w:id="615" w:name="_Toc136198564"/>
      <w:bookmarkStart w:id="616" w:name="_Toc136198845"/>
      <w:r w:rsidRPr="001A1836">
        <w:t>Part B: Conditions Applying to Provision of Additional Services</w:t>
      </w:r>
      <w:bookmarkEnd w:id="605"/>
      <w:bookmarkEnd w:id="606"/>
      <w:bookmarkEnd w:id="607"/>
      <w:bookmarkEnd w:id="608"/>
      <w:bookmarkEnd w:id="609"/>
      <w:bookmarkEnd w:id="610"/>
      <w:bookmarkEnd w:id="611"/>
      <w:bookmarkEnd w:id="612"/>
      <w:bookmarkEnd w:id="613"/>
      <w:bookmarkEnd w:id="614"/>
      <w:bookmarkEnd w:id="615"/>
      <w:bookmarkEnd w:id="616"/>
    </w:p>
    <w:p w14:paraId="24183084" w14:textId="77777777" w:rsidR="008B04B9" w:rsidRPr="001A1836" w:rsidRDefault="008B04B9">
      <w:pPr>
        <w:pStyle w:val="GSRL3heading"/>
      </w:pPr>
      <w:bookmarkStart w:id="617" w:name="_Toc521319323"/>
      <w:bookmarkStart w:id="618" w:name="_Toc521326985"/>
      <w:bookmarkStart w:id="619" w:name="_Toc521333218"/>
      <w:bookmarkStart w:id="620" w:name="_Toc521483972"/>
      <w:bookmarkStart w:id="621" w:name="_Toc521484735"/>
      <w:bookmarkStart w:id="622" w:name="_Toc521485066"/>
      <w:bookmarkStart w:id="623" w:name="_Toc521496778"/>
      <w:bookmarkStart w:id="624" w:name="_Toc521498220"/>
      <w:bookmarkStart w:id="625" w:name="_Toc529345957"/>
      <w:bookmarkStart w:id="626" w:name="_Toc129038152"/>
      <w:bookmarkStart w:id="627" w:name="_Toc129038438"/>
      <w:bookmarkStart w:id="628" w:name="_Toc132268008"/>
      <w:bookmarkStart w:id="629" w:name="_Toc132268314"/>
      <w:bookmarkStart w:id="630" w:name="_Toc136198565"/>
      <w:bookmarkStart w:id="631" w:name="_Toc136198846"/>
      <w:r w:rsidRPr="001A1836">
        <w:t>Conditions</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r w:rsidRPr="001A1836">
        <w:t xml:space="preserve"> </w:t>
      </w:r>
    </w:p>
    <w:p w14:paraId="4F09FC96" w14:textId="064F1920" w:rsidR="008B04B9" w:rsidRPr="001A1836" w:rsidRDefault="008B04B9">
      <w:pPr>
        <w:pStyle w:val="GSRL4numberedclause"/>
      </w:pPr>
      <w:r w:rsidRPr="001A1836">
        <w:t xml:space="preserve">HSE has imposed no conditions other than those set out in </w:t>
      </w:r>
      <w:r w:rsidR="001235A5" w:rsidRPr="001A1836">
        <w:t>paragraph</w:t>
      </w:r>
      <w:r w:rsidRPr="001A1836">
        <w:t xml:space="preserve"> 2</w:t>
      </w:r>
      <w:r w:rsidR="001235A5" w:rsidRPr="001A1836">
        <w:t xml:space="preserve"> of this Schedule 2</w:t>
      </w:r>
      <w:r w:rsidRPr="001A1836">
        <w:t xml:space="preserve"> on the provision by Provider of Additional Services. </w:t>
      </w:r>
    </w:p>
    <w:p w14:paraId="4D2BEF04" w14:textId="77777777" w:rsidR="008B04B9" w:rsidRPr="001A1836" w:rsidRDefault="008B04B9" w:rsidP="00B27196">
      <w:pPr>
        <w:pStyle w:val="GSRL2Sectionheading"/>
        <w:tabs>
          <w:tab w:val="clear" w:pos="1656"/>
        </w:tabs>
      </w:pPr>
      <w:bookmarkStart w:id="632" w:name="_Toc521319324"/>
      <w:bookmarkStart w:id="633" w:name="_Toc521326986"/>
      <w:bookmarkStart w:id="634" w:name="_Toc521333219"/>
      <w:bookmarkStart w:id="635" w:name="_Toc521496779"/>
      <w:bookmarkStart w:id="636" w:name="_Toc521498221"/>
      <w:bookmarkStart w:id="637" w:name="_Toc529345958"/>
      <w:bookmarkStart w:id="638" w:name="_Toc129038153"/>
      <w:bookmarkStart w:id="639" w:name="_Toc129038439"/>
      <w:bookmarkStart w:id="640" w:name="_Toc132268009"/>
      <w:bookmarkStart w:id="641" w:name="_Toc132268315"/>
      <w:bookmarkStart w:id="642" w:name="_Toc136198566"/>
      <w:bookmarkStart w:id="643" w:name="_Toc136198847"/>
      <w:r w:rsidRPr="001A1836">
        <w:t>Part C: Conditions Applying to the Provision of Ancillary Services</w:t>
      </w:r>
      <w:bookmarkEnd w:id="632"/>
      <w:bookmarkEnd w:id="633"/>
      <w:bookmarkEnd w:id="634"/>
      <w:bookmarkEnd w:id="635"/>
      <w:bookmarkEnd w:id="636"/>
      <w:bookmarkEnd w:id="637"/>
      <w:bookmarkEnd w:id="638"/>
      <w:bookmarkEnd w:id="639"/>
      <w:bookmarkEnd w:id="640"/>
      <w:bookmarkEnd w:id="641"/>
      <w:bookmarkEnd w:id="642"/>
      <w:bookmarkEnd w:id="643"/>
    </w:p>
    <w:p w14:paraId="297D5534" w14:textId="77777777" w:rsidR="008B04B9" w:rsidRPr="001A1836" w:rsidRDefault="008B04B9">
      <w:pPr>
        <w:pStyle w:val="GSRL3heading"/>
      </w:pPr>
      <w:bookmarkStart w:id="644" w:name="_Toc521319325"/>
      <w:bookmarkStart w:id="645" w:name="_Toc521326987"/>
      <w:bookmarkStart w:id="646" w:name="_Toc521333220"/>
      <w:bookmarkStart w:id="647" w:name="_Toc521483973"/>
      <w:bookmarkStart w:id="648" w:name="_Toc521484736"/>
      <w:bookmarkStart w:id="649" w:name="_Toc521485067"/>
      <w:bookmarkStart w:id="650" w:name="_Toc521496780"/>
      <w:bookmarkStart w:id="651" w:name="_Toc521498222"/>
      <w:bookmarkStart w:id="652" w:name="_Toc529345959"/>
      <w:bookmarkStart w:id="653" w:name="_Toc129038154"/>
      <w:bookmarkStart w:id="654" w:name="_Toc129038440"/>
      <w:bookmarkStart w:id="655" w:name="_Toc132268010"/>
      <w:bookmarkStart w:id="656" w:name="_Toc132268316"/>
      <w:bookmarkStart w:id="657" w:name="_Toc136198567"/>
      <w:bookmarkStart w:id="658" w:name="_Toc136198848"/>
      <w:r w:rsidRPr="001A1836">
        <w:t>Introduction</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r w:rsidRPr="001A1836">
        <w:t xml:space="preserve"> </w:t>
      </w:r>
    </w:p>
    <w:p w14:paraId="483A832F" w14:textId="1A35A4D9" w:rsidR="008B04B9" w:rsidRPr="001A1836" w:rsidRDefault="008B04B9">
      <w:pPr>
        <w:pStyle w:val="GSRL4numberedclause"/>
      </w:pPr>
      <w:r w:rsidRPr="001A1836">
        <w:t xml:space="preserve">This Part C sets out the Ancillary Services HSE and the Provider have agreed that the Provider shall provide and the procedures for HSE to order and Provider to undertake Ancillary </w:t>
      </w:r>
      <w:r w:rsidR="00EE264B">
        <w:t>S</w:t>
      </w:r>
      <w:r w:rsidRPr="001A1836">
        <w:t xml:space="preserve">ervices. </w:t>
      </w:r>
    </w:p>
    <w:p w14:paraId="07C76D02" w14:textId="77777777" w:rsidR="008B04B9" w:rsidRPr="001A1836" w:rsidRDefault="008B04B9">
      <w:pPr>
        <w:pStyle w:val="GSRL3heading"/>
      </w:pPr>
      <w:bookmarkStart w:id="659" w:name="_Toc521319326"/>
      <w:bookmarkStart w:id="660" w:name="_Toc521326988"/>
      <w:bookmarkStart w:id="661" w:name="_Toc521333221"/>
      <w:bookmarkStart w:id="662" w:name="_Toc521483974"/>
      <w:bookmarkStart w:id="663" w:name="_Toc521484737"/>
      <w:bookmarkStart w:id="664" w:name="_Toc521485068"/>
      <w:bookmarkStart w:id="665" w:name="_Toc521496781"/>
      <w:bookmarkStart w:id="666" w:name="_Toc521498223"/>
      <w:bookmarkStart w:id="667" w:name="_Toc529345960"/>
      <w:bookmarkStart w:id="668" w:name="_Toc129038155"/>
      <w:bookmarkStart w:id="669" w:name="_Toc129038441"/>
      <w:bookmarkStart w:id="670" w:name="_Toc132268011"/>
      <w:bookmarkStart w:id="671" w:name="_Toc132268317"/>
      <w:bookmarkStart w:id="672" w:name="_Toc136198568"/>
      <w:bookmarkStart w:id="673" w:name="_Toc136198849"/>
      <w:r w:rsidRPr="001A1836">
        <w:t>Ancillary Services</w:t>
      </w:r>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08AD8B6B" w14:textId="28133835" w:rsidR="008B04B9" w:rsidRPr="001A1836" w:rsidRDefault="00EE264B">
      <w:pPr>
        <w:pStyle w:val="GSRL4numberedclause"/>
      </w:pPr>
      <w:r>
        <w:t xml:space="preserve">As at the Effective Date, </w:t>
      </w:r>
      <w:r w:rsidR="008B04B9" w:rsidRPr="001A1836">
        <w:t>HSE and the Provider have agreed that the Provider shall provide the following Ancillary Service</w:t>
      </w:r>
      <w:r>
        <w:t xml:space="preserve"> (if any)</w:t>
      </w:r>
      <w:r w:rsidR="008B04B9" w:rsidRPr="001A1836">
        <w:t>:</w:t>
      </w:r>
    </w:p>
    <w:p w14:paraId="04CA495D" w14:textId="746D27FF" w:rsidR="008B04B9" w:rsidRPr="001A1836" w:rsidRDefault="008B04B9">
      <w:pPr>
        <w:pStyle w:val="Number"/>
        <w:numPr>
          <w:ilvl w:val="0"/>
          <w:numId w:val="18"/>
        </w:numPr>
        <w:spacing w:before="0"/>
        <w:jc w:val="both"/>
      </w:pPr>
      <w:r w:rsidRPr="001A1836">
        <w:rPr>
          <w:b/>
        </w:rPr>
        <w:t>Table 2</w:t>
      </w:r>
      <w:r w:rsidRPr="001A1836">
        <w:t xml:space="preserve"> Ancillary Services</w:t>
      </w:r>
    </w:p>
    <w:tbl>
      <w:tblPr>
        <w:tblStyle w:val="TableGrid"/>
        <w:tblW w:w="0" w:type="auto"/>
        <w:tblInd w:w="200" w:type="dxa"/>
        <w:tblLook w:val="04A0" w:firstRow="1" w:lastRow="0" w:firstColumn="1" w:lastColumn="0" w:noHBand="0" w:noVBand="1"/>
      </w:tblPr>
      <w:tblGrid>
        <w:gridCol w:w="2793"/>
        <w:gridCol w:w="1821"/>
        <w:gridCol w:w="4196"/>
      </w:tblGrid>
      <w:tr w:rsidR="008B04B9" w:rsidRPr="001A1836" w14:paraId="2E6CE370" w14:textId="77777777" w:rsidTr="0050147E">
        <w:trPr>
          <w:cantSplit/>
          <w:tblHeader/>
        </w:trPr>
        <w:tc>
          <w:tcPr>
            <w:tcW w:w="2793" w:type="dxa"/>
          </w:tcPr>
          <w:p w14:paraId="5F6D1ED1" w14:textId="77777777" w:rsidR="008B04B9" w:rsidRPr="001A1836" w:rsidRDefault="008B04B9">
            <w:pPr>
              <w:pStyle w:val="Number"/>
              <w:spacing w:after="60"/>
              <w:ind w:left="0" w:firstLine="0"/>
              <w:rPr>
                <w:b/>
              </w:rPr>
            </w:pPr>
            <w:r w:rsidRPr="001A1836">
              <w:rPr>
                <w:b/>
              </w:rPr>
              <w:t>Service</w:t>
            </w:r>
          </w:p>
        </w:tc>
        <w:tc>
          <w:tcPr>
            <w:tcW w:w="1821" w:type="dxa"/>
          </w:tcPr>
          <w:p w14:paraId="7844344E" w14:textId="77777777" w:rsidR="008B04B9" w:rsidRPr="001A1836" w:rsidRDefault="008B04B9">
            <w:pPr>
              <w:pStyle w:val="Number"/>
              <w:spacing w:after="60"/>
              <w:ind w:left="0" w:firstLine="0"/>
              <w:rPr>
                <w:b/>
              </w:rPr>
            </w:pPr>
            <w:r w:rsidRPr="001A1836">
              <w:rPr>
                <w:b/>
              </w:rPr>
              <w:t>Date agreed</w:t>
            </w:r>
          </w:p>
        </w:tc>
        <w:tc>
          <w:tcPr>
            <w:tcW w:w="4196" w:type="dxa"/>
          </w:tcPr>
          <w:p w14:paraId="6B978241" w14:textId="77777777" w:rsidR="008B04B9" w:rsidRPr="001A1836" w:rsidRDefault="008B04B9">
            <w:pPr>
              <w:pStyle w:val="Number"/>
              <w:spacing w:after="60"/>
              <w:ind w:left="0" w:firstLine="0"/>
              <w:rPr>
                <w:b/>
              </w:rPr>
            </w:pPr>
            <w:r w:rsidRPr="001A1836">
              <w:rPr>
                <w:b/>
              </w:rPr>
              <w:t>Description</w:t>
            </w:r>
          </w:p>
        </w:tc>
      </w:tr>
      <w:tr w:rsidR="008B04B9" w:rsidRPr="001A1836" w14:paraId="52073329" w14:textId="77777777" w:rsidTr="0050147E">
        <w:trPr>
          <w:cantSplit/>
        </w:trPr>
        <w:tc>
          <w:tcPr>
            <w:tcW w:w="2793" w:type="dxa"/>
          </w:tcPr>
          <w:p w14:paraId="225E01DA" w14:textId="0FE2E9D0" w:rsidR="008B04B9" w:rsidRPr="001A1836" w:rsidRDefault="004A451F" w:rsidP="008B04B9">
            <w:pPr>
              <w:pStyle w:val="Number"/>
              <w:spacing w:after="60"/>
              <w:ind w:left="0" w:firstLine="0"/>
            </w:pPr>
            <w:r>
              <w:t>There are no Ancillary Services as at the Effective Date.</w:t>
            </w:r>
          </w:p>
        </w:tc>
        <w:tc>
          <w:tcPr>
            <w:tcW w:w="1821" w:type="dxa"/>
          </w:tcPr>
          <w:p w14:paraId="0B79CA96" w14:textId="77777777" w:rsidR="008B04B9" w:rsidRPr="001A1836" w:rsidRDefault="008B04B9" w:rsidP="008B04B9">
            <w:pPr>
              <w:pStyle w:val="Number"/>
              <w:spacing w:after="60"/>
              <w:ind w:left="0" w:firstLine="0"/>
            </w:pPr>
          </w:p>
        </w:tc>
        <w:tc>
          <w:tcPr>
            <w:tcW w:w="4196" w:type="dxa"/>
          </w:tcPr>
          <w:p w14:paraId="5A5D8D6B" w14:textId="77777777" w:rsidR="008B04B9" w:rsidRPr="001A1836" w:rsidRDefault="008B04B9" w:rsidP="008B04B9">
            <w:pPr>
              <w:pStyle w:val="Number"/>
              <w:spacing w:after="60"/>
              <w:ind w:left="0" w:firstLine="0"/>
            </w:pPr>
          </w:p>
        </w:tc>
      </w:tr>
    </w:tbl>
    <w:p w14:paraId="7392E5FE" w14:textId="77777777" w:rsidR="008B04B9" w:rsidRPr="001A1836" w:rsidRDefault="008B04B9" w:rsidP="0050147E">
      <w:pPr>
        <w:pStyle w:val="Number"/>
        <w:ind w:left="0" w:firstLine="0"/>
      </w:pPr>
    </w:p>
    <w:p w14:paraId="658E2DD8" w14:textId="77777777" w:rsidR="008B04B9" w:rsidRPr="001A1836" w:rsidRDefault="008B04B9">
      <w:pPr>
        <w:pStyle w:val="GSRL3heading"/>
      </w:pPr>
      <w:bookmarkStart w:id="674" w:name="_Toc521319327"/>
      <w:bookmarkStart w:id="675" w:name="_Toc521326989"/>
      <w:bookmarkStart w:id="676" w:name="_Toc521333222"/>
      <w:bookmarkStart w:id="677" w:name="_Toc521483975"/>
      <w:bookmarkStart w:id="678" w:name="_Toc521484738"/>
      <w:bookmarkStart w:id="679" w:name="_Toc521485069"/>
      <w:bookmarkStart w:id="680" w:name="_Toc521496782"/>
      <w:bookmarkStart w:id="681" w:name="_Toc521498224"/>
      <w:bookmarkStart w:id="682" w:name="_Toc529345961"/>
      <w:bookmarkStart w:id="683" w:name="_Toc129038156"/>
      <w:bookmarkStart w:id="684" w:name="_Toc129038442"/>
      <w:bookmarkStart w:id="685" w:name="_Toc132268012"/>
      <w:bookmarkStart w:id="686" w:name="_Toc132268318"/>
      <w:bookmarkStart w:id="687" w:name="_Toc136198569"/>
      <w:bookmarkStart w:id="688" w:name="_Toc136198850"/>
      <w:r w:rsidRPr="001A1836">
        <w:t>Order of Ancillary Services</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r w:rsidRPr="001A1836">
        <w:t xml:space="preserve"> </w:t>
      </w:r>
    </w:p>
    <w:p w14:paraId="1A8198F4" w14:textId="77777777" w:rsidR="008B04B9" w:rsidRPr="001A1836" w:rsidRDefault="008B04B9">
      <w:pPr>
        <w:pStyle w:val="GSRL4numberedclause"/>
      </w:pPr>
      <w:r w:rsidRPr="001A1836">
        <w:t>The ordering of Ancillary Services shall be subject to the Change Control Procedure.</w:t>
      </w:r>
    </w:p>
    <w:p w14:paraId="78D5882D" w14:textId="77777777" w:rsidR="008B04B9" w:rsidRPr="001A1836" w:rsidRDefault="008B04B9">
      <w:pPr>
        <w:pStyle w:val="GSRL3heading"/>
      </w:pPr>
      <w:bookmarkStart w:id="689" w:name="_Toc505695990"/>
      <w:bookmarkStart w:id="690" w:name="_Toc521319328"/>
      <w:bookmarkStart w:id="691" w:name="_Toc521326990"/>
      <w:bookmarkStart w:id="692" w:name="_Toc521333223"/>
      <w:bookmarkStart w:id="693" w:name="_Toc521483976"/>
      <w:bookmarkStart w:id="694" w:name="_Toc521484739"/>
      <w:bookmarkStart w:id="695" w:name="_Toc521485070"/>
      <w:bookmarkStart w:id="696" w:name="_Toc521496783"/>
      <w:bookmarkStart w:id="697" w:name="_Toc521498225"/>
      <w:bookmarkStart w:id="698" w:name="_Toc529345962"/>
      <w:bookmarkStart w:id="699" w:name="_Toc129038157"/>
      <w:bookmarkStart w:id="700" w:name="_Toc129038443"/>
      <w:bookmarkStart w:id="701" w:name="_Toc132268013"/>
      <w:bookmarkStart w:id="702" w:name="_Toc132268319"/>
      <w:bookmarkStart w:id="703" w:name="_Toc136198570"/>
      <w:bookmarkStart w:id="704" w:name="_Toc136198851"/>
      <w:bookmarkEnd w:id="689"/>
      <w:r w:rsidRPr="001A1836">
        <w:t>Charges for Ancillary Services</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r w:rsidRPr="001A1836">
        <w:t xml:space="preserve"> </w:t>
      </w:r>
    </w:p>
    <w:p w14:paraId="32D627C0" w14:textId="3B5DF4AF" w:rsidR="008B04B9" w:rsidRPr="001A1836" w:rsidRDefault="008B04B9">
      <w:pPr>
        <w:pStyle w:val="GSRL4numberedclause"/>
      </w:pPr>
      <w:r w:rsidRPr="001A1836">
        <w:lastRenderedPageBreak/>
        <w:t xml:space="preserve">Ancillary Charges for each Work Package shall be </w:t>
      </w:r>
      <w:r w:rsidR="00545071">
        <w:t xml:space="preserve">agreed between the Parties and set out in the relevant Work Package, </w:t>
      </w:r>
      <w:r w:rsidRPr="001A1836">
        <w:t>based on the appropriate combination of:</w:t>
      </w:r>
    </w:p>
    <w:p w14:paraId="5CBFBEE6" w14:textId="77777777" w:rsidR="008B04B9" w:rsidRPr="001A1836" w:rsidRDefault="008B04B9">
      <w:pPr>
        <w:pStyle w:val="GSRL5numberedclause"/>
      </w:pPr>
      <w:r w:rsidRPr="001A1836">
        <w:t>the Day Rates set out in Part D; and/or</w:t>
      </w:r>
    </w:p>
    <w:p w14:paraId="27BC917E" w14:textId="77777777" w:rsidR="008B04B9" w:rsidRPr="001A1836" w:rsidRDefault="008B04B9">
      <w:pPr>
        <w:pStyle w:val="GSRL5numberedclause"/>
      </w:pPr>
      <w:r w:rsidRPr="001A1836">
        <w:t>Any other additional costs agreed by HSE.</w:t>
      </w:r>
    </w:p>
    <w:p w14:paraId="082648EC" w14:textId="77777777" w:rsidR="008B04B9" w:rsidRPr="001A1836" w:rsidRDefault="008B04B9">
      <w:pPr>
        <w:pStyle w:val="GSRL4numberedclause"/>
      </w:pPr>
      <w:r w:rsidRPr="001A1836">
        <w:t>Ancillary Charges for an agreed Work Package shall in no circumstances be subject to increase or reduction and the entire risk in respect of increased or decreased costs compared to the proposal shall rest with the Provider subject to HSE fulfilling any obligations it may have in respect of such Work Package.</w:t>
      </w:r>
    </w:p>
    <w:p w14:paraId="3FC8376A" w14:textId="77777777" w:rsidR="008B04B9" w:rsidRPr="001A1836" w:rsidRDefault="008B04B9">
      <w:pPr>
        <w:pStyle w:val="GSRL4numberedclause"/>
      </w:pPr>
      <w:r w:rsidRPr="001A1836">
        <w:t xml:space="preserve">Any changes to a Work Package shall be made in accordance with the Change Control Procedure. </w:t>
      </w:r>
    </w:p>
    <w:p w14:paraId="7F02A164" w14:textId="77777777" w:rsidR="008B04B9" w:rsidRPr="001A1836" w:rsidRDefault="008B04B9">
      <w:pPr>
        <w:pStyle w:val="GSRL3heading"/>
      </w:pPr>
      <w:bookmarkStart w:id="705" w:name="_Toc521319329"/>
      <w:bookmarkStart w:id="706" w:name="_Toc521326991"/>
      <w:bookmarkStart w:id="707" w:name="_Toc521333224"/>
      <w:bookmarkStart w:id="708" w:name="_Toc521483977"/>
      <w:bookmarkStart w:id="709" w:name="_Toc521484740"/>
      <w:bookmarkStart w:id="710" w:name="_Toc521485071"/>
      <w:bookmarkStart w:id="711" w:name="_Toc521496784"/>
      <w:bookmarkStart w:id="712" w:name="_Toc521498226"/>
      <w:bookmarkStart w:id="713" w:name="_Toc529345963"/>
      <w:bookmarkStart w:id="714" w:name="_Toc129038158"/>
      <w:bookmarkStart w:id="715" w:name="_Toc129038444"/>
      <w:bookmarkStart w:id="716" w:name="_Toc132268014"/>
      <w:bookmarkStart w:id="717" w:name="_Toc132268320"/>
      <w:bookmarkStart w:id="718" w:name="_Toc136198571"/>
      <w:bookmarkStart w:id="719" w:name="_Toc136198852"/>
      <w:r w:rsidRPr="001A1836">
        <w:t>Payment terms</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r w:rsidRPr="001A1836">
        <w:t xml:space="preserve"> </w:t>
      </w:r>
    </w:p>
    <w:p w14:paraId="1DA74FD5" w14:textId="465F1F45" w:rsidR="00422C8D" w:rsidRDefault="00422C8D">
      <w:pPr>
        <w:pStyle w:val="GSRL4numberedclause"/>
      </w:pPr>
      <w:r>
        <w:t>Ancillary Charges</w:t>
      </w:r>
      <w:r w:rsidR="00545071">
        <w:t xml:space="preserve"> that are properly due to the Provider</w:t>
      </w:r>
      <w:r>
        <w:t xml:space="preserve"> shall be deducted by the Provider from Funds for Distribution, except:</w:t>
      </w:r>
    </w:p>
    <w:p w14:paraId="6379A550" w14:textId="16A8CB89" w:rsidR="008D764A" w:rsidRDefault="00422C8D">
      <w:pPr>
        <w:pStyle w:val="GSRL5numberedclause"/>
      </w:pPr>
      <w:r>
        <w:t>if and solely to the extent that there are insufficient amounts remaining in the Funds for Distribution</w:t>
      </w:r>
      <w:r w:rsidR="00545071">
        <w:t xml:space="preserve"> in order to meet the relevant Ancillary Charges; or</w:t>
      </w:r>
    </w:p>
    <w:p w14:paraId="279E0047" w14:textId="4AD828A9" w:rsidR="00545071" w:rsidRDefault="00545071">
      <w:pPr>
        <w:pStyle w:val="GSRL5numberedclause"/>
      </w:pPr>
      <w:r>
        <w:t xml:space="preserve">where HSE (in its sole discretion) expressly advises the Provider that the relevant Ancillary Charges will not be met through Funds for Distribution. </w:t>
      </w:r>
    </w:p>
    <w:p w14:paraId="22F668E6" w14:textId="6535997D" w:rsidR="008B04B9" w:rsidRPr="001A1836" w:rsidRDefault="00545071">
      <w:pPr>
        <w:pStyle w:val="GSRL4numberedclause"/>
      </w:pPr>
      <w:r>
        <w:t xml:space="preserve">The </w:t>
      </w:r>
      <w:r w:rsidR="00010038">
        <w:t>Provider</w:t>
      </w:r>
      <w:r>
        <w:t xml:space="preserve"> shall only be entitled to deduct sums from the Funds for Distribution in order to meet Ancillary Charges </w:t>
      </w:r>
      <w:r w:rsidR="00D64792">
        <w:t>in accordance with the terms</w:t>
      </w:r>
      <w:r>
        <w:t xml:space="preserve"> agreed between the Parties as part of the Change Control Procedure and set out in the relevant Work Package</w:t>
      </w:r>
      <w:r w:rsidR="00E718A6">
        <w:t>. Where p</w:t>
      </w:r>
      <w:r>
        <w:t xml:space="preserve">aragraph 8.1.1 or 8.1.2 applies, the terms on which the </w:t>
      </w:r>
      <w:r w:rsidR="008B04B9" w:rsidRPr="001A1836">
        <w:t xml:space="preserve">Ancillary </w:t>
      </w:r>
      <w:r>
        <w:t>Charges</w:t>
      </w:r>
      <w:r w:rsidRPr="001A1836">
        <w:t xml:space="preserve"> </w:t>
      </w:r>
      <w:r>
        <w:t xml:space="preserve">will be payable by HSE </w:t>
      </w:r>
      <w:r w:rsidR="008B04B9" w:rsidRPr="001A1836">
        <w:t>shall be agreed between the Parties as part of the Change Control Procedure</w:t>
      </w:r>
      <w:r>
        <w:t xml:space="preserve"> and set out in the relevant Work Package</w:t>
      </w:r>
      <w:r w:rsidR="008B04B9" w:rsidRPr="001A1836">
        <w:t xml:space="preserve">. </w:t>
      </w:r>
    </w:p>
    <w:p w14:paraId="622304DD" w14:textId="77777777" w:rsidR="008B04B9" w:rsidRPr="001A1836" w:rsidRDefault="008B04B9" w:rsidP="00B27196">
      <w:pPr>
        <w:pStyle w:val="GSRL2Sectionheading"/>
        <w:tabs>
          <w:tab w:val="clear" w:pos="1656"/>
        </w:tabs>
      </w:pPr>
      <w:r w:rsidRPr="001A1836">
        <w:br w:type="page"/>
      </w:r>
      <w:bookmarkStart w:id="720" w:name="_Toc521319330"/>
      <w:bookmarkStart w:id="721" w:name="_Toc521326992"/>
      <w:bookmarkStart w:id="722" w:name="_Toc521333225"/>
      <w:bookmarkStart w:id="723" w:name="_Toc521496785"/>
      <w:bookmarkStart w:id="724" w:name="_Toc521498227"/>
      <w:bookmarkStart w:id="725" w:name="_Toc529345964"/>
      <w:bookmarkStart w:id="726" w:name="_Toc129038159"/>
      <w:bookmarkStart w:id="727" w:name="_Toc129038445"/>
      <w:bookmarkStart w:id="728" w:name="_Toc132268015"/>
      <w:bookmarkStart w:id="729" w:name="_Toc132268321"/>
      <w:bookmarkStart w:id="730" w:name="_Toc136198572"/>
      <w:bookmarkStart w:id="731" w:name="_Toc136198853"/>
      <w:r w:rsidRPr="001A1836">
        <w:lastRenderedPageBreak/>
        <w:t>Part D: Day Rates</w:t>
      </w:r>
      <w:bookmarkEnd w:id="720"/>
      <w:bookmarkEnd w:id="721"/>
      <w:bookmarkEnd w:id="722"/>
      <w:bookmarkEnd w:id="723"/>
      <w:bookmarkEnd w:id="724"/>
      <w:bookmarkEnd w:id="725"/>
      <w:bookmarkEnd w:id="726"/>
      <w:bookmarkEnd w:id="727"/>
      <w:bookmarkEnd w:id="728"/>
      <w:bookmarkEnd w:id="729"/>
      <w:bookmarkEnd w:id="730"/>
      <w:bookmarkEnd w:id="731"/>
    </w:p>
    <w:p w14:paraId="747E6CCC" w14:textId="77777777" w:rsidR="008B04B9" w:rsidRPr="001A1836" w:rsidRDefault="008B04B9">
      <w:pPr>
        <w:pStyle w:val="GSRL3heading"/>
      </w:pPr>
      <w:bookmarkStart w:id="732" w:name="_Toc521319331"/>
      <w:bookmarkStart w:id="733" w:name="_Toc521326993"/>
      <w:bookmarkStart w:id="734" w:name="_Toc521333226"/>
      <w:bookmarkStart w:id="735" w:name="_Toc521483978"/>
      <w:bookmarkStart w:id="736" w:name="_Toc521484741"/>
      <w:bookmarkStart w:id="737" w:name="_Toc521485072"/>
      <w:bookmarkStart w:id="738" w:name="_Toc521496786"/>
      <w:bookmarkStart w:id="739" w:name="_Toc521498228"/>
      <w:bookmarkStart w:id="740" w:name="_Toc529345965"/>
      <w:bookmarkStart w:id="741" w:name="_Toc129038160"/>
      <w:bookmarkStart w:id="742" w:name="_Toc129038446"/>
      <w:bookmarkStart w:id="743" w:name="_Toc132268016"/>
      <w:bookmarkStart w:id="744" w:name="_Toc132268322"/>
      <w:bookmarkStart w:id="745" w:name="_Toc136198573"/>
      <w:bookmarkStart w:id="746" w:name="_Toc136198854"/>
      <w:r w:rsidRPr="001A1836">
        <w:t>Rates</w:t>
      </w:r>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r w:rsidRPr="001A1836">
        <w:t xml:space="preserve"> </w:t>
      </w:r>
    </w:p>
    <w:p w14:paraId="3120B822" w14:textId="77777777" w:rsidR="008B04B9" w:rsidRPr="001A1836" w:rsidRDefault="008B04B9">
      <w:pPr>
        <w:pStyle w:val="GSRL4numberedclause"/>
      </w:pPr>
      <w:r w:rsidRPr="001A1836">
        <w:t>The day rates for Work Packages are set out in Table 3.</w:t>
      </w:r>
    </w:p>
    <w:p w14:paraId="4F44CB17" w14:textId="7293C9C5" w:rsidR="008B04B9" w:rsidRPr="001A1836" w:rsidRDefault="008B04B9">
      <w:pPr>
        <w:pStyle w:val="Number"/>
        <w:numPr>
          <w:ilvl w:val="0"/>
          <w:numId w:val="18"/>
        </w:numPr>
        <w:spacing w:before="0"/>
        <w:jc w:val="both"/>
      </w:pPr>
      <w:r w:rsidRPr="001A1836">
        <w:rPr>
          <w:b/>
        </w:rPr>
        <w:t>Table 3</w:t>
      </w:r>
      <w:r w:rsidRPr="001A1836">
        <w:t xml:space="preserve"> Day rates</w:t>
      </w: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3468"/>
        <w:gridCol w:w="1828"/>
        <w:gridCol w:w="1828"/>
        <w:gridCol w:w="1828"/>
      </w:tblGrid>
      <w:tr w:rsidR="008B04B9" w:rsidRPr="001A1836" w14:paraId="3A7238FE" w14:textId="77777777" w:rsidTr="00247876">
        <w:trPr>
          <w:cantSplit/>
          <w:tblHeader/>
        </w:trPr>
        <w:tc>
          <w:tcPr>
            <w:tcW w:w="3468" w:type="dxa"/>
            <w:vMerge w:val="restart"/>
            <w:shd w:val="clear" w:color="auto" w:fill="auto"/>
            <w:vAlign w:val="center"/>
          </w:tcPr>
          <w:p w14:paraId="1D3009EC" w14:textId="77777777" w:rsidR="008B04B9" w:rsidRPr="001A1836" w:rsidRDefault="008B04B9">
            <w:pPr>
              <w:spacing w:after="0"/>
              <w:rPr>
                <w:b/>
              </w:rPr>
            </w:pPr>
            <w:r w:rsidRPr="001A1836">
              <w:rPr>
                <w:b/>
              </w:rPr>
              <w:t>Role</w:t>
            </w:r>
          </w:p>
        </w:tc>
        <w:tc>
          <w:tcPr>
            <w:tcW w:w="5484" w:type="dxa"/>
            <w:gridSpan w:val="3"/>
            <w:shd w:val="clear" w:color="auto" w:fill="auto"/>
            <w:vAlign w:val="center"/>
          </w:tcPr>
          <w:p w14:paraId="56F97109" w14:textId="77777777" w:rsidR="008B04B9" w:rsidRPr="001A1836" w:rsidRDefault="008B04B9">
            <w:pPr>
              <w:spacing w:after="0"/>
              <w:jc w:val="center"/>
              <w:rPr>
                <w:b/>
              </w:rPr>
            </w:pPr>
            <w:r w:rsidRPr="001A1836">
              <w:rPr>
                <w:b/>
              </w:rPr>
              <w:t>Day Rate (£)</w:t>
            </w:r>
          </w:p>
        </w:tc>
      </w:tr>
      <w:tr w:rsidR="008B04B9" w:rsidRPr="001A1836" w14:paraId="314B0AD1" w14:textId="77777777" w:rsidTr="00247876">
        <w:trPr>
          <w:cantSplit/>
          <w:tblHeader/>
        </w:trPr>
        <w:tc>
          <w:tcPr>
            <w:tcW w:w="3468" w:type="dxa"/>
            <w:vMerge/>
            <w:shd w:val="clear" w:color="auto" w:fill="auto"/>
            <w:vAlign w:val="center"/>
          </w:tcPr>
          <w:p w14:paraId="4B013021" w14:textId="77777777" w:rsidR="008B04B9" w:rsidRPr="001A1836" w:rsidRDefault="008B04B9" w:rsidP="008B04B9">
            <w:pPr>
              <w:spacing w:after="0"/>
              <w:jc w:val="center"/>
              <w:rPr>
                <w:b/>
              </w:rPr>
            </w:pPr>
          </w:p>
        </w:tc>
        <w:tc>
          <w:tcPr>
            <w:tcW w:w="1828" w:type="dxa"/>
            <w:shd w:val="clear" w:color="auto" w:fill="auto"/>
            <w:vAlign w:val="center"/>
          </w:tcPr>
          <w:p w14:paraId="07A04340" w14:textId="77777777" w:rsidR="008B04B9" w:rsidRPr="001A1836" w:rsidRDefault="008B04B9">
            <w:pPr>
              <w:spacing w:after="0"/>
              <w:jc w:val="center"/>
              <w:rPr>
                <w:b/>
              </w:rPr>
            </w:pPr>
            <w:r w:rsidRPr="001A1836">
              <w:rPr>
                <w:b/>
              </w:rPr>
              <w:t>20 Days or Less</w:t>
            </w:r>
          </w:p>
        </w:tc>
        <w:tc>
          <w:tcPr>
            <w:tcW w:w="1828" w:type="dxa"/>
            <w:shd w:val="clear" w:color="auto" w:fill="auto"/>
            <w:vAlign w:val="center"/>
          </w:tcPr>
          <w:p w14:paraId="2A4098E3" w14:textId="77777777" w:rsidR="008B04B9" w:rsidRPr="001A1836" w:rsidRDefault="008B04B9">
            <w:pPr>
              <w:spacing w:after="0"/>
              <w:jc w:val="center"/>
              <w:rPr>
                <w:b/>
              </w:rPr>
            </w:pPr>
            <w:r w:rsidRPr="001A1836">
              <w:rPr>
                <w:b/>
              </w:rPr>
              <w:t>21 to 50 Days</w:t>
            </w:r>
          </w:p>
        </w:tc>
        <w:tc>
          <w:tcPr>
            <w:tcW w:w="1828" w:type="dxa"/>
            <w:shd w:val="clear" w:color="auto" w:fill="auto"/>
            <w:vAlign w:val="center"/>
          </w:tcPr>
          <w:p w14:paraId="0B35FD82" w14:textId="77777777" w:rsidR="008B04B9" w:rsidRPr="001A1836" w:rsidRDefault="008B04B9">
            <w:pPr>
              <w:spacing w:after="0"/>
              <w:jc w:val="center"/>
              <w:rPr>
                <w:b/>
              </w:rPr>
            </w:pPr>
            <w:r w:rsidRPr="001A1836">
              <w:rPr>
                <w:b/>
              </w:rPr>
              <w:t>51 Days +</w:t>
            </w:r>
          </w:p>
        </w:tc>
      </w:tr>
      <w:tr w:rsidR="00247876" w:rsidRPr="001A1836" w14:paraId="50EC22BD" w14:textId="77777777" w:rsidTr="00247876">
        <w:trPr>
          <w:cantSplit/>
        </w:trPr>
        <w:tc>
          <w:tcPr>
            <w:tcW w:w="3468" w:type="dxa"/>
            <w:shd w:val="clear" w:color="auto" w:fill="auto"/>
            <w:vAlign w:val="center"/>
          </w:tcPr>
          <w:p w14:paraId="26EABC4F" w14:textId="77777777" w:rsidR="00247876" w:rsidRPr="001A1836" w:rsidRDefault="00247876" w:rsidP="00247876">
            <w:pPr>
              <w:spacing w:after="0"/>
            </w:pPr>
            <w:r w:rsidRPr="001A1836">
              <w:t>Chief Executive/Managing Director</w:t>
            </w:r>
          </w:p>
        </w:tc>
        <w:tc>
          <w:tcPr>
            <w:tcW w:w="1828" w:type="dxa"/>
            <w:tcBorders>
              <w:top w:val="nil"/>
              <w:left w:val="single" w:sz="8" w:space="0" w:color="auto"/>
              <w:bottom w:val="single" w:sz="8" w:space="0" w:color="auto"/>
              <w:right w:val="single" w:sz="8" w:space="0" w:color="auto"/>
            </w:tcBorders>
            <w:shd w:val="clear" w:color="auto" w:fill="auto"/>
            <w:vAlign w:val="center"/>
          </w:tcPr>
          <w:p w14:paraId="1646E803" w14:textId="054C2DFA" w:rsidR="00247876" w:rsidRPr="001A1836" w:rsidRDefault="00247876" w:rsidP="00247876">
            <w:pPr>
              <w:spacing w:after="0"/>
              <w:jc w:val="right"/>
            </w:pPr>
            <w:r>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393F6F3E" w14:textId="568C8325" w:rsidR="00247876" w:rsidRPr="001A1836" w:rsidRDefault="00247876" w:rsidP="00247876">
            <w:pPr>
              <w:spacing w:after="0"/>
              <w:jc w:val="right"/>
            </w:pPr>
            <w:r w:rsidRPr="003F14FE">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519B612F" w14:textId="67900C8A" w:rsidR="00247876" w:rsidRPr="001A1836" w:rsidRDefault="00247876" w:rsidP="00247876">
            <w:pPr>
              <w:spacing w:after="0"/>
              <w:jc w:val="right"/>
            </w:pPr>
            <w:r w:rsidRPr="00F82FDD">
              <w:rPr>
                <w:rFonts w:cs="Arial"/>
                <w:color w:val="000000"/>
                <w:sz w:val="20"/>
              </w:rPr>
              <w:t>REDACTED</w:t>
            </w:r>
          </w:p>
        </w:tc>
      </w:tr>
      <w:tr w:rsidR="00247876" w:rsidRPr="001A1836" w14:paraId="445012C2" w14:textId="77777777" w:rsidTr="00247876">
        <w:trPr>
          <w:cantSplit/>
        </w:trPr>
        <w:tc>
          <w:tcPr>
            <w:tcW w:w="3468" w:type="dxa"/>
            <w:shd w:val="clear" w:color="auto" w:fill="auto"/>
            <w:vAlign w:val="center"/>
          </w:tcPr>
          <w:p w14:paraId="0DFD7E43" w14:textId="77777777" w:rsidR="00247876" w:rsidRPr="001A1836" w:rsidRDefault="00247876" w:rsidP="00247876">
            <w:pPr>
              <w:spacing w:after="0"/>
            </w:pPr>
            <w:r w:rsidRPr="001A1836">
              <w:t>Head of Field Operations &amp; Enforcement</w:t>
            </w:r>
          </w:p>
        </w:tc>
        <w:tc>
          <w:tcPr>
            <w:tcW w:w="1828" w:type="dxa"/>
            <w:tcBorders>
              <w:top w:val="nil"/>
              <w:left w:val="single" w:sz="8" w:space="0" w:color="auto"/>
              <w:bottom w:val="single" w:sz="8" w:space="0" w:color="auto"/>
              <w:right w:val="single" w:sz="8" w:space="0" w:color="auto"/>
            </w:tcBorders>
            <w:shd w:val="clear" w:color="auto" w:fill="auto"/>
          </w:tcPr>
          <w:p w14:paraId="50E17C66" w14:textId="1C3DEBC4" w:rsidR="00247876" w:rsidRPr="001A1836" w:rsidRDefault="00247876" w:rsidP="00247876">
            <w:pPr>
              <w:spacing w:after="0"/>
              <w:jc w:val="right"/>
            </w:pPr>
            <w:r w:rsidRPr="003224B9">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756E2766" w14:textId="0E8A8BAF" w:rsidR="00247876" w:rsidRPr="001A1836" w:rsidRDefault="00247876" w:rsidP="00247876">
            <w:pPr>
              <w:spacing w:after="0"/>
              <w:jc w:val="right"/>
            </w:pPr>
            <w:r w:rsidRPr="003F14FE">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1DEA65CC" w14:textId="741D6501" w:rsidR="00247876" w:rsidRPr="001A1836" w:rsidRDefault="00247876" w:rsidP="00247876">
            <w:pPr>
              <w:spacing w:after="0"/>
              <w:jc w:val="right"/>
            </w:pPr>
            <w:r w:rsidRPr="00F82FDD">
              <w:rPr>
                <w:rFonts w:cs="Arial"/>
                <w:color w:val="000000"/>
                <w:sz w:val="20"/>
              </w:rPr>
              <w:t>REDACTED</w:t>
            </w:r>
          </w:p>
        </w:tc>
      </w:tr>
      <w:tr w:rsidR="00247876" w:rsidRPr="001A1836" w14:paraId="5A9FAAB1" w14:textId="77777777" w:rsidTr="00247876">
        <w:trPr>
          <w:cantSplit/>
        </w:trPr>
        <w:tc>
          <w:tcPr>
            <w:tcW w:w="3468" w:type="dxa"/>
            <w:shd w:val="clear" w:color="auto" w:fill="auto"/>
            <w:vAlign w:val="center"/>
          </w:tcPr>
          <w:p w14:paraId="4EEC7989" w14:textId="77777777" w:rsidR="00247876" w:rsidRPr="001A1836" w:rsidRDefault="00247876" w:rsidP="00247876">
            <w:pPr>
              <w:spacing w:after="0"/>
            </w:pPr>
            <w:r w:rsidRPr="001A1836">
              <w:t>National Field Operations Manager</w:t>
            </w:r>
          </w:p>
        </w:tc>
        <w:tc>
          <w:tcPr>
            <w:tcW w:w="1828" w:type="dxa"/>
            <w:tcBorders>
              <w:top w:val="nil"/>
              <w:left w:val="single" w:sz="8" w:space="0" w:color="auto"/>
              <w:bottom w:val="single" w:sz="8" w:space="0" w:color="auto"/>
              <w:right w:val="single" w:sz="8" w:space="0" w:color="auto"/>
            </w:tcBorders>
            <w:shd w:val="clear" w:color="auto" w:fill="auto"/>
          </w:tcPr>
          <w:p w14:paraId="60FF6D89" w14:textId="26B8CC8E" w:rsidR="00247876" w:rsidRPr="001A1836" w:rsidRDefault="00247876" w:rsidP="00247876">
            <w:pPr>
              <w:spacing w:after="0"/>
              <w:jc w:val="right"/>
            </w:pPr>
            <w:r w:rsidRPr="003224B9">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421A08C5" w14:textId="1A8C1A5C" w:rsidR="00247876" w:rsidRPr="001A1836" w:rsidRDefault="00247876" w:rsidP="00247876">
            <w:pPr>
              <w:spacing w:after="0"/>
              <w:jc w:val="right"/>
            </w:pPr>
            <w:r w:rsidRPr="003F14FE">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7BCF4BE6" w14:textId="0BDC0CCC" w:rsidR="00247876" w:rsidRPr="001A1836" w:rsidRDefault="00247876" w:rsidP="00247876">
            <w:pPr>
              <w:spacing w:after="0"/>
              <w:jc w:val="right"/>
            </w:pPr>
            <w:r w:rsidRPr="00F82FDD">
              <w:rPr>
                <w:rFonts w:cs="Arial"/>
                <w:color w:val="000000"/>
                <w:sz w:val="20"/>
              </w:rPr>
              <w:t>REDACTED</w:t>
            </w:r>
          </w:p>
        </w:tc>
      </w:tr>
      <w:tr w:rsidR="00247876" w:rsidRPr="001A1836" w14:paraId="0C3C3969" w14:textId="77777777" w:rsidTr="00247876">
        <w:trPr>
          <w:cantSplit/>
        </w:trPr>
        <w:tc>
          <w:tcPr>
            <w:tcW w:w="3468" w:type="dxa"/>
            <w:shd w:val="clear" w:color="auto" w:fill="auto"/>
            <w:vAlign w:val="center"/>
          </w:tcPr>
          <w:p w14:paraId="3A64371F" w14:textId="77777777" w:rsidR="00247876" w:rsidRPr="001A1836" w:rsidRDefault="00247876" w:rsidP="00247876">
            <w:pPr>
              <w:spacing w:after="0"/>
            </w:pPr>
            <w:r w:rsidRPr="001A1836">
              <w:t>Technical Operations &amp; Compliance Manager</w:t>
            </w:r>
          </w:p>
        </w:tc>
        <w:tc>
          <w:tcPr>
            <w:tcW w:w="1828" w:type="dxa"/>
            <w:tcBorders>
              <w:top w:val="nil"/>
              <w:left w:val="single" w:sz="8" w:space="0" w:color="auto"/>
              <w:bottom w:val="single" w:sz="8" w:space="0" w:color="auto"/>
              <w:right w:val="single" w:sz="8" w:space="0" w:color="auto"/>
            </w:tcBorders>
            <w:shd w:val="clear" w:color="auto" w:fill="auto"/>
          </w:tcPr>
          <w:p w14:paraId="31A36C8A" w14:textId="13E3ABA1" w:rsidR="00247876" w:rsidRPr="001A1836" w:rsidRDefault="00247876" w:rsidP="00247876">
            <w:pPr>
              <w:spacing w:after="0"/>
              <w:jc w:val="right"/>
            </w:pPr>
            <w:r w:rsidRPr="003224B9">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6587C086" w14:textId="203BF7D6" w:rsidR="00247876" w:rsidRPr="001A1836" w:rsidRDefault="00247876" w:rsidP="00247876">
            <w:pPr>
              <w:spacing w:after="0"/>
              <w:jc w:val="right"/>
            </w:pPr>
            <w:r w:rsidRPr="003F14FE">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23F1BF14" w14:textId="379F96FF" w:rsidR="00247876" w:rsidRPr="001A1836" w:rsidRDefault="00247876" w:rsidP="00247876">
            <w:pPr>
              <w:spacing w:after="0"/>
              <w:jc w:val="right"/>
            </w:pPr>
            <w:r w:rsidRPr="00F82FDD">
              <w:rPr>
                <w:rFonts w:cs="Arial"/>
                <w:color w:val="000000"/>
                <w:sz w:val="20"/>
              </w:rPr>
              <w:t>REDACTED</w:t>
            </w:r>
          </w:p>
        </w:tc>
      </w:tr>
      <w:tr w:rsidR="00247876" w:rsidRPr="001A1836" w14:paraId="62826F42" w14:textId="77777777" w:rsidTr="00247876">
        <w:trPr>
          <w:cantSplit/>
        </w:trPr>
        <w:tc>
          <w:tcPr>
            <w:tcW w:w="3468" w:type="dxa"/>
            <w:shd w:val="clear" w:color="auto" w:fill="auto"/>
            <w:vAlign w:val="center"/>
          </w:tcPr>
          <w:p w14:paraId="7D732E22" w14:textId="77777777" w:rsidR="00247876" w:rsidRPr="001A1836" w:rsidRDefault="00247876" w:rsidP="00247876">
            <w:pPr>
              <w:spacing w:after="0"/>
            </w:pPr>
            <w:r w:rsidRPr="001A1836">
              <w:t>Field Operations Support Manager</w:t>
            </w:r>
          </w:p>
        </w:tc>
        <w:tc>
          <w:tcPr>
            <w:tcW w:w="1828" w:type="dxa"/>
            <w:tcBorders>
              <w:top w:val="nil"/>
              <w:left w:val="single" w:sz="8" w:space="0" w:color="auto"/>
              <w:bottom w:val="single" w:sz="8" w:space="0" w:color="auto"/>
              <w:right w:val="single" w:sz="8" w:space="0" w:color="auto"/>
            </w:tcBorders>
            <w:shd w:val="clear" w:color="auto" w:fill="auto"/>
          </w:tcPr>
          <w:p w14:paraId="46BDC902" w14:textId="00708EB4" w:rsidR="00247876" w:rsidRPr="001A1836" w:rsidRDefault="00247876" w:rsidP="00247876">
            <w:pPr>
              <w:spacing w:after="0"/>
              <w:jc w:val="right"/>
            </w:pPr>
            <w:r w:rsidRPr="003224B9">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79D538E6" w14:textId="791F4F9A" w:rsidR="00247876" w:rsidRPr="001A1836" w:rsidRDefault="00247876" w:rsidP="00247876">
            <w:pPr>
              <w:spacing w:after="0"/>
              <w:jc w:val="right"/>
            </w:pPr>
            <w:r w:rsidRPr="003F14FE">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03F4D455" w14:textId="413DBA56" w:rsidR="00247876" w:rsidRPr="001A1836" w:rsidRDefault="00247876" w:rsidP="00247876">
            <w:pPr>
              <w:spacing w:after="0"/>
              <w:jc w:val="right"/>
            </w:pPr>
            <w:r w:rsidRPr="00F82FDD">
              <w:rPr>
                <w:rFonts w:cs="Arial"/>
                <w:color w:val="000000"/>
                <w:sz w:val="20"/>
              </w:rPr>
              <w:t>REDACTED</w:t>
            </w:r>
          </w:p>
        </w:tc>
      </w:tr>
      <w:tr w:rsidR="00247876" w:rsidRPr="001A1836" w14:paraId="5344BBB0" w14:textId="77777777" w:rsidTr="00247876">
        <w:trPr>
          <w:cantSplit/>
        </w:trPr>
        <w:tc>
          <w:tcPr>
            <w:tcW w:w="3468" w:type="dxa"/>
            <w:shd w:val="clear" w:color="auto" w:fill="auto"/>
            <w:vAlign w:val="center"/>
          </w:tcPr>
          <w:p w14:paraId="40F32186" w14:textId="77777777" w:rsidR="00247876" w:rsidRPr="001A1836" w:rsidRDefault="00247876" w:rsidP="00247876">
            <w:pPr>
              <w:spacing w:after="0"/>
            </w:pPr>
            <w:r w:rsidRPr="001A1836">
              <w:t>Business Improvements Manager</w:t>
            </w:r>
          </w:p>
        </w:tc>
        <w:tc>
          <w:tcPr>
            <w:tcW w:w="1828" w:type="dxa"/>
            <w:tcBorders>
              <w:top w:val="nil"/>
              <w:left w:val="single" w:sz="8" w:space="0" w:color="auto"/>
              <w:bottom w:val="single" w:sz="8" w:space="0" w:color="auto"/>
              <w:right w:val="single" w:sz="8" w:space="0" w:color="auto"/>
            </w:tcBorders>
            <w:shd w:val="clear" w:color="auto" w:fill="auto"/>
          </w:tcPr>
          <w:p w14:paraId="4A59F6C2" w14:textId="78225021" w:rsidR="00247876" w:rsidRPr="001A1836" w:rsidRDefault="00247876" w:rsidP="00247876">
            <w:pPr>
              <w:spacing w:after="0"/>
              <w:jc w:val="right"/>
            </w:pPr>
            <w:r w:rsidRPr="003224B9">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785C4B96" w14:textId="5768E87D" w:rsidR="00247876" w:rsidRPr="001A1836" w:rsidRDefault="00247876" w:rsidP="00247876">
            <w:pPr>
              <w:spacing w:after="0"/>
              <w:jc w:val="right"/>
            </w:pPr>
            <w:r w:rsidRPr="003F14FE">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07CCB4E7" w14:textId="6EABEFD4" w:rsidR="00247876" w:rsidRPr="001A1836" w:rsidRDefault="00247876" w:rsidP="00247876">
            <w:pPr>
              <w:spacing w:after="0"/>
              <w:jc w:val="right"/>
            </w:pPr>
            <w:r w:rsidRPr="00F82FDD">
              <w:rPr>
                <w:rFonts w:cs="Arial"/>
                <w:color w:val="000000"/>
                <w:sz w:val="20"/>
              </w:rPr>
              <w:t>REDACTED</w:t>
            </w:r>
          </w:p>
        </w:tc>
      </w:tr>
      <w:tr w:rsidR="00247876" w:rsidRPr="001A1836" w14:paraId="1A6203BA" w14:textId="77777777" w:rsidTr="00247876">
        <w:trPr>
          <w:cantSplit/>
        </w:trPr>
        <w:tc>
          <w:tcPr>
            <w:tcW w:w="3468" w:type="dxa"/>
            <w:shd w:val="clear" w:color="auto" w:fill="auto"/>
            <w:vAlign w:val="center"/>
          </w:tcPr>
          <w:p w14:paraId="0EE12A81" w14:textId="77777777" w:rsidR="00247876" w:rsidRPr="001A1836" w:rsidRDefault="00247876" w:rsidP="00247876">
            <w:pPr>
              <w:spacing w:after="0"/>
            </w:pPr>
            <w:r w:rsidRPr="001A1836">
              <w:t>Business Analyst</w:t>
            </w:r>
          </w:p>
        </w:tc>
        <w:tc>
          <w:tcPr>
            <w:tcW w:w="1828" w:type="dxa"/>
            <w:tcBorders>
              <w:top w:val="nil"/>
              <w:left w:val="single" w:sz="8" w:space="0" w:color="auto"/>
              <w:bottom w:val="single" w:sz="8" w:space="0" w:color="auto"/>
              <w:right w:val="single" w:sz="8" w:space="0" w:color="auto"/>
            </w:tcBorders>
            <w:shd w:val="clear" w:color="auto" w:fill="auto"/>
          </w:tcPr>
          <w:p w14:paraId="6F2848FD" w14:textId="551C91D9" w:rsidR="00247876" w:rsidRPr="001A1836" w:rsidRDefault="00247876" w:rsidP="00247876">
            <w:pPr>
              <w:spacing w:after="0"/>
              <w:jc w:val="right"/>
            </w:pPr>
            <w:r w:rsidRPr="003224B9">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7784FF9A" w14:textId="44141929" w:rsidR="00247876" w:rsidRPr="001A1836" w:rsidRDefault="00247876" w:rsidP="00247876">
            <w:pPr>
              <w:spacing w:after="0"/>
              <w:jc w:val="right"/>
            </w:pPr>
            <w:r w:rsidRPr="003F14FE">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444EB427" w14:textId="5215FFE0" w:rsidR="00247876" w:rsidRPr="001A1836" w:rsidRDefault="00247876" w:rsidP="00247876">
            <w:pPr>
              <w:spacing w:after="0"/>
              <w:jc w:val="right"/>
            </w:pPr>
            <w:r w:rsidRPr="00F82FDD">
              <w:rPr>
                <w:rFonts w:cs="Arial"/>
                <w:color w:val="000000"/>
                <w:sz w:val="20"/>
              </w:rPr>
              <w:t>REDACTED</w:t>
            </w:r>
          </w:p>
        </w:tc>
      </w:tr>
      <w:tr w:rsidR="00247876" w:rsidRPr="001A1836" w14:paraId="483807AF" w14:textId="77777777" w:rsidTr="00247876">
        <w:trPr>
          <w:cantSplit/>
        </w:trPr>
        <w:tc>
          <w:tcPr>
            <w:tcW w:w="3468" w:type="dxa"/>
            <w:shd w:val="clear" w:color="auto" w:fill="auto"/>
            <w:vAlign w:val="center"/>
          </w:tcPr>
          <w:p w14:paraId="3D35BBF4" w14:textId="77777777" w:rsidR="00247876" w:rsidRPr="001A1836" w:rsidRDefault="00247876" w:rsidP="00247876">
            <w:pPr>
              <w:spacing w:after="0"/>
            </w:pPr>
            <w:r w:rsidRPr="001A1836">
              <w:t>Senior Inspector / Area Manager</w:t>
            </w:r>
          </w:p>
        </w:tc>
        <w:tc>
          <w:tcPr>
            <w:tcW w:w="1828" w:type="dxa"/>
            <w:tcBorders>
              <w:top w:val="nil"/>
              <w:left w:val="single" w:sz="8" w:space="0" w:color="auto"/>
              <w:bottom w:val="single" w:sz="8" w:space="0" w:color="auto"/>
              <w:right w:val="single" w:sz="8" w:space="0" w:color="auto"/>
            </w:tcBorders>
            <w:shd w:val="clear" w:color="auto" w:fill="auto"/>
          </w:tcPr>
          <w:p w14:paraId="5178611F" w14:textId="3106273E" w:rsidR="00247876" w:rsidRPr="001A1836" w:rsidRDefault="00247876" w:rsidP="00247876">
            <w:pPr>
              <w:spacing w:after="0"/>
              <w:jc w:val="right"/>
            </w:pPr>
            <w:r w:rsidRPr="003224B9">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1232C82B" w14:textId="541C3A75" w:rsidR="00247876" w:rsidRPr="001A1836" w:rsidRDefault="00247876" w:rsidP="00247876">
            <w:pPr>
              <w:spacing w:after="0"/>
              <w:jc w:val="right"/>
            </w:pPr>
            <w:r w:rsidRPr="003F14FE">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4135CE4C" w14:textId="59FB788A" w:rsidR="00247876" w:rsidRPr="001A1836" w:rsidRDefault="00247876" w:rsidP="00247876">
            <w:pPr>
              <w:spacing w:after="0"/>
              <w:jc w:val="right"/>
            </w:pPr>
            <w:r w:rsidRPr="00F82FDD">
              <w:rPr>
                <w:rFonts w:cs="Arial"/>
                <w:color w:val="000000"/>
                <w:sz w:val="20"/>
              </w:rPr>
              <w:t>REDACTED</w:t>
            </w:r>
          </w:p>
        </w:tc>
      </w:tr>
      <w:tr w:rsidR="00247876" w:rsidRPr="001A1836" w14:paraId="6C01624E" w14:textId="77777777" w:rsidTr="00247876">
        <w:trPr>
          <w:cantSplit/>
        </w:trPr>
        <w:tc>
          <w:tcPr>
            <w:tcW w:w="3468" w:type="dxa"/>
            <w:shd w:val="clear" w:color="auto" w:fill="auto"/>
            <w:vAlign w:val="center"/>
          </w:tcPr>
          <w:p w14:paraId="288BA8C1" w14:textId="77777777" w:rsidR="00247876" w:rsidRPr="001A1836" w:rsidRDefault="00247876" w:rsidP="00247876">
            <w:pPr>
              <w:spacing w:after="0"/>
            </w:pPr>
            <w:r w:rsidRPr="001A1836">
              <w:t xml:space="preserve">Inspector </w:t>
            </w:r>
          </w:p>
        </w:tc>
        <w:tc>
          <w:tcPr>
            <w:tcW w:w="1828" w:type="dxa"/>
            <w:tcBorders>
              <w:top w:val="nil"/>
              <w:left w:val="single" w:sz="8" w:space="0" w:color="auto"/>
              <w:bottom w:val="single" w:sz="8" w:space="0" w:color="auto"/>
              <w:right w:val="single" w:sz="8" w:space="0" w:color="auto"/>
            </w:tcBorders>
            <w:shd w:val="clear" w:color="auto" w:fill="auto"/>
          </w:tcPr>
          <w:p w14:paraId="10D5C856" w14:textId="1F4C1E67" w:rsidR="00247876" w:rsidRPr="001A1836" w:rsidRDefault="00247876" w:rsidP="00247876">
            <w:pPr>
              <w:spacing w:after="0"/>
              <w:jc w:val="right"/>
            </w:pPr>
            <w:r w:rsidRPr="003224B9">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74734502" w14:textId="463707D8" w:rsidR="00247876" w:rsidRPr="001A1836" w:rsidRDefault="00247876" w:rsidP="00247876">
            <w:pPr>
              <w:spacing w:after="0"/>
              <w:jc w:val="right"/>
            </w:pPr>
            <w:r w:rsidRPr="003F14FE">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052B5FA8" w14:textId="4834CCAC" w:rsidR="00247876" w:rsidRPr="001A1836" w:rsidRDefault="00247876" w:rsidP="00247876">
            <w:pPr>
              <w:spacing w:after="0"/>
              <w:jc w:val="right"/>
            </w:pPr>
            <w:r w:rsidRPr="00F82FDD">
              <w:rPr>
                <w:rFonts w:cs="Arial"/>
                <w:color w:val="000000"/>
                <w:sz w:val="20"/>
              </w:rPr>
              <w:t>REDACTED</w:t>
            </w:r>
          </w:p>
        </w:tc>
      </w:tr>
      <w:tr w:rsidR="00247876" w:rsidRPr="001A1836" w14:paraId="0448FE56" w14:textId="77777777" w:rsidTr="00247876">
        <w:trPr>
          <w:cantSplit/>
        </w:trPr>
        <w:tc>
          <w:tcPr>
            <w:tcW w:w="3468" w:type="dxa"/>
            <w:shd w:val="clear" w:color="auto" w:fill="auto"/>
            <w:vAlign w:val="center"/>
          </w:tcPr>
          <w:p w14:paraId="0C2545F9" w14:textId="77777777" w:rsidR="00247876" w:rsidRPr="001A1836" w:rsidRDefault="00247876" w:rsidP="00247876">
            <w:pPr>
              <w:spacing w:after="0"/>
            </w:pPr>
            <w:r w:rsidRPr="001A1836">
              <w:t>Inspection Scheduler</w:t>
            </w:r>
          </w:p>
        </w:tc>
        <w:tc>
          <w:tcPr>
            <w:tcW w:w="1828" w:type="dxa"/>
            <w:tcBorders>
              <w:top w:val="nil"/>
              <w:left w:val="single" w:sz="8" w:space="0" w:color="auto"/>
              <w:bottom w:val="single" w:sz="8" w:space="0" w:color="auto"/>
              <w:right w:val="single" w:sz="8" w:space="0" w:color="auto"/>
            </w:tcBorders>
            <w:shd w:val="clear" w:color="auto" w:fill="auto"/>
          </w:tcPr>
          <w:p w14:paraId="0CFA09D9" w14:textId="2C9CCF35" w:rsidR="00247876" w:rsidRPr="001A1836" w:rsidRDefault="00247876" w:rsidP="00247876">
            <w:pPr>
              <w:spacing w:after="0"/>
              <w:jc w:val="right"/>
            </w:pPr>
            <w:r w:rsidRPr="003224B9">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6F5879A2" w14:textId="16C5ED3D" w:rsidR="00247876" w:rsidRPr="001A1836" w:rsidRDefault="00247876" w:rsidP="00247876">
            <w:pPr>
              <w:spacing w:after="0"/>
              <w:jc w:val="right"/>
            </w:pPr>
            <w:r w:rsidRPr="003F14FE">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303F37B6" w14:textId="422AED7D" w:rsidR="00247876" w:rsidRPr="001A1836" w:rsidRDefault="00247876" w:rsidP="00247876">
            <w:pPr>
              <w:spacing w:after="0"/>
              <w:jc w:val="right"/>
            </w:pPr>
            <w:r w:rsidRPr="00F82FDD">
              <w:rPr>
                <w:rFonts w:cs="Arial"/>
                <w:color w:val="000000"/>
                <w:sz w:val="20"/>
              </w:rPr>
              <w:t>REDACTED</w:t>
            </w:r>
          </w:p>
        </w:tc>
      </w:tr>
      <w:tr w:rsidR="00247876" w:rsidRPr="001A1836" w14:paraId="720A6973" w14:textId="77777777" w:rsidTr="00247876">
        <w:trPr>
          <w:cantSplit/>
        </w:trPr>
        <w:tc>
          <w:tcPr>
            <w:tcW w:w="3468" w:type="dxa"/>
            <w:shd w:val="clear" w:color="auto" w:fill="auto"/>
            <w:vAlign w:val="center"/>
          </w:tcPr>
          <w:p w14:paraId="7F51EC13" w14:textId="77777777" w:rsidR="00247876" w:rsidRPr="001A1836" w:rsidRDefault="00247876" w:rsidP="00247876">
            <w:pPr>
              <w:spacing w:after="0"/>
            </w:pPr>
            <w:r w:rsidRPr="001A1836">
              <w:t>Technical &amp; Registration Manager</w:t>
            </w:r>
          </w:p>
        </w:tc>
        <w:tc>
          <w:tcPr>
            <w:tcW w:w="1828" w:type="dxa"/>
            <w:tcBorders>
              <w:top w:val="nil"/>
              <w:left w:val="single" w:sz="8" w:space="0" w:color="auto"/>
              <w:bottom w:val="single" w:sz="8" w:space="0" w:color="auto"/>
              <w:right w:val="single" w:sz="8" w:space="0" w:color="auto"/>
            </w:tcBorders>
            <w:shd w:val="clear" w:color="auto" w:fill="auto"/>
          </w:tcPr>
          <w:p w14:paraId="04DA9602" w14:textId="03E5B453" w:rsidR="00247876" w:rsidRPr="001A1836" w:rsidRDefault="00247876" w:rsidP="00247876">
            <w:pPr>
              <w:spacing w:after="0"/>
              <w:jc w:val="right"/>
            </w:pPr>
            <w:r w:rsidRPr="003224B9">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50B97D01" w14:textId="1E437473" w:rsidR="00247876" w:rsidRPr="001A1836" w:rsidRDefault="00247876" w:rsidP="00247876">
            <w:pPr>
              <w:spacing w:after="0"/>
              <w:jc w:val="right"/>
            </w:pPr>
            <w:r w:rsidRPr="003F14FE">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76FD64A1" w14:textId="1CD71E45" w:rsidR="00247876" w:rsidRPr="001A1836" w:rsidRDefault="00247876" w:rsidP="00247876">
            <w:pPr>
              <w:spacing w:after="0"/>
              <w:jc w:val="right"/>
            </w:pPr>
            <w:r w:rsidRPr="00F82FDD">
              <w:rPr>
                <w:rFonts w:cs="Arial"/>
                <w:color w:val="000000"/>
                <w:sz w:val="20"/>
              </w:rPr>
              <w:t>REDACTED</w:t>
            </w:r>
          </w:p>
        </w:tc>
      </w:tr>
      <w:tr w:rsidR="00247876" w:rsidRPr="001A1836" w14:paraId="7E0BFA42" w14:textId="77777777" w:rsidTr="00247876">
        <w:trPr>
          <w:cantSplit/>
        </w:trPr>
        <w:tc>
          <w:tcPr>
            <w:tcW w:w="3468" w:type="dxa"/>
            <w:shd w:val="clear" w:color="auto" w:fill="auto"/>
            <w:vAlign w:val="center"/>
          </w:tcPr>
          <w:p w14:paraId="147C4F73" w14:textId="77777777" w:rsidR="00247876" w:rsidRPr="001A1836" w:rsidRDefault="00247876" w:rsidP="00247876">
            <w:pPr>
              <w:spacing w:after="0"/>
            </w:pPr>
            <w:r w:rsidRPr="001A1836">
              <w:t>Head of Service Operations (Technical &amp; Customer Service)</w:t>
            </w:r>
          </w:p>
        </w:tc>
        <w:tc>
          <w:tcPr>
            <w:tcW w:w="1828" w:type="dxa"/>
            <w:tcBorders>
              <w:top w:val="nil"/>
              <w:left w:val="single" w:sz="8" w:space="0" w:color="auto"/>
              <w:bottom w:val="single" w:sz="8" w:space="0" w:color="auto"/>
              <w:right w:val="single" w:sz="8" w:space="0" w:color="auto"/>
            </w:tcBorders>
            <w:shd w:val="clear" w:color="auto" w:fill="auto"/>
          </w:tcPr>
          <w:p w14:paraId="0000AD32" w14:textId="03B10347" w:rsidR="00247876" w:rsidRPr="001A1836" w:rsidRDefault="00247876" w:rsidP="00247876">
            <w:pPr>
              <w:spacing w:after="0"/>
              <w:jc w:val="right"/>
            </w:pPr>
            <w:r w:rsidRPr="003224B9">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35011668" w14:textId="38D775D6" w:rsidR="00247876" w:rsidRPr="001A1836" w:rsidRDefault="00247876" w:rsidP="00247876">
            <w:pPr>
              <w:spacing w:after="0"/>
              <w:jc w:val="right"/>
            </w:pPr>
            <w:r w:rsidRPr="003F14FE">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05C552F3" w14:textId="3CD071AD" w:rsidR="00247876" w:rsidRPr="001A1836" w:rsidRDefault="00247876" w:rsidP="00247876">
            <w:pPr>
              <w:spacing w:after="0"/>
              <w:jc w:val="right"/>
            </w:pPr>
            <w:r w:rsidRPr="00F82FDD">
              <w:rPr>
                <w:rFonts w:cs="Arial"/>
                <w:color w:val="000000"/>
                <w:sz w:val="20"/>
              </w:rPr>
              <w:t>REDACTED</w:t>
            </w:r>
          </w:p>
        </w:tc>
      </w:tr>
      <w:tr w:rsidR="00247876" w:rsidRPr="001A1836" w14:paraId="30B81CC6" w14:textId="77777777" w:rsidTr="00247876">
        <w:trPr>
          <w:cantSplit/>
        </w:trPr>
        <w:tc>
          <w:tcPr>
            <w:tcW w:w="3468" w:type="dxa"/>
            <w:shd w:val="clear" w:color="auto" w:fill="auto"/>
            <w:vAlign w:val="center"/>
          </w:tcPr>
          <w:p w14:paraId="2C8CA8D8" w14:textId="77777777" w:rsidR="00247876" w:rsidRPr="001A1836" w:rsidRDefault="00247876" w:rsidP="00247876">
            <w:pPr>
              <w:spacing w:after="0"/>
            </w:pPr>
            <w:r w:rsidRPr="001A1836">
              <w:t>Technical Support Manager</w:t>
            </w:r>
          </w:p>
        </w:tc>
        <w:tc>
          <w:tcPr>
            <w:tcW w:w="1828" w:type="dxa"/>
            <w:tcBorders>
              <w:top w:val="nil"/>
              <w:left w:val="single" w:sz="8" w:space="0" w:color="auto"/>
              <w:bottom w:val="single" w:sz="8" w:space="0" w:color="auto"/>
              <w:right w:val="single" w:sz="8" w:space="0" w:color="auto"/>
            </w:tcBorders>
            <w:shd w:val="clear" w:color="auto" w:fill="auto"/>
          </w:tcPr>
          <w:p w14:paraId="2B362B7B" w14:textId="23A5D902" w:rsidR="00247876" w:rsidRPr="001A1836" w:rsidRDefault="00247876" w:rsidP="00247876">
            <w:pPr>
              <w:spacing w:after="0"/>
              <w:jc w:val="right"/>
            </w:pPr>
            <w:r w:rsidRPr="003224B9">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582ECC53" w14:textId="2C82EF6E" w:rsidR="00247876" w:rsidRPr="001A1836" w:rsidRDefault="00247876" w:rsidP="00247876">
            <w:pPr>
              <w:spacing w:after="0"/>
              <w:jc w:val="right"/>
            </w:pPr>
            <w:r w:rsidRPr="003F14FE">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1661604D" w14:textId="3628104D" w:rsidR="00247876" w:rsidRPr="001A1836" w:rsidRDefault="00247876" w:rsidP="00247876">
            <w:pPr>
              <w:spacing w:after="0"/>
              <w:jc w:val="right"/>
            </w:pPr>
            <w:r w:rsidRPr="00F82FDD">
              <w:rPr>
                <w:rFonts w:cs="Arial"/>
                <w:color w:val="000000"/>
                <w:sz w:val="20"/>
              </w:rPr>
              <w:t>REDACTED</w:t>
            </w:r>
          </w:p>
        </w:tc>
      </w:tr>
      <w:tr w:rsidR="00247876" w:rsidRPr="001A1836" w14:paraId="5901524F" w14:textId="77777777" w:rsidTr="00247876">
        <w:trPr>
          <w:cantSplit/>
        </w:trPr>
        <w:tc>
          <w:tcPr>
            <w:tcW w:w="3468" w:type="dxa"/>
            <w:shd w:val="clear" w:color="auto" w:fill="auto"/>
            <w:vAlign w:val="center"/>
          </w:tcPr>
          <w:p w14:paraId="2234B79E" w14:textId="77777777" w:rsidR="00247876" w:rsidRPr="001A1836" w:rsidRDefault="00247876" w:rsidP="00247876">
            <w:pPr>
              <w:spacing w:after="0"/>
            </w:pPr>
            <w:r w:rsidRPr="001A1836">
              <w:t>Standards Manager</w:t>
            </w:r>
          </w:p>
        </w:tc>
        <w:tc>
          <w:tcPr>
            <w:tcW w:w="1828" w:type="dxa"/>
            <w:tcBorders>
              <w:top w:val="nil"/>
              <w:left w:val="single" w:sz="8" w:space="0" w:color="auto"/>
              <w:bottom w:val="single" w:sz="8" w:space="0" w:color="auto"/>
              <w:right w:val="single" w:sz="8" w:space="0" w:color="auto"/>
            </w:tcBorders>
            <w:shd w:val="clear" w:color="auto" w:fill="auto"/>
          </w:tcPr>
          <w:p w14:paraId="5B74DA26" w14:textId="3A061C6F" w:rsidR="00247876" w:rsidRPr="001A1836" w:rsidRDefault="00247876" w:rsidP="00247876">
            <w:pPr>
              <w:spacing w:after="0"/>
              <w:jc w:val="right"/>
            </w:pPr>
            <w:r w:rsidRPr="003224B9">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2CE1D506" w14:textId="177DAC96" w:rsidR="00247876" w:rsidRPr="001A1836" w:rsidRDefault="00247876" w:rsidP="00247876">
            <w:pPr>
              <w:spacing w:after="0"/>
              <w:jc w:val="right"/>
            </w:pPr>
            <w:r w:rsidRPr="003F14FE">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6EB60C43" w14:textId="4B52BD4D" w:rsidR="00247876" w:rsidRPr="001A1836" w:rsidRDefault="00247876" w:rsidP="00247876">
            <w:pPr>
              <w:spacing w:after="0"/>
              <w:jc w:val="right"/>
            </w:pPr>
            <w:r w:rsidRPr="00F82FDD">
              <w:rPr>
                <w:rFonts w:cs="Arial"/>
                <w:color w:val="000000"/>
                <w:sz w:val="20"/>
              </w:rPr>
              <w:t>REDACTED</w:t>
            </w:r>
          </w:p>
        </w:tc>
      </w:tr>
      <w:tr w:rsidR="00247876" w:rsidRPr="001A1836" w14:paraId="73363E51" w14:textId="77777777" w:rsidTr="00247876">
        <w:trPr>
          <w:cantSplit/>
        </w:trPr>
        <w:tc>
          <w:tcPr>
            <w:tcW w:w="3468" w:type="dxa"/>
            <w:shd w:val="clear" w:color="auto" w:fill="auto"/>
            <w:vAlign w:val="center"/>
          </w:tcPr>
          <w:p w14:paraId="22BF972A" w14:textId="77777777" w:rsidR="00247876" w:rsidRPr="001A1836" w:rsidRDefault="00247876" w:rsidP="00247876">
            <w:pPr>
              <w:spacing w:after="0"/>
            </w:pPr>
            <w:r w:rsidRPr="001A1836">
              <w:t>Technical Officer</w:t>
            </w:r>
          </w:p>
        </w:tc>
        <w:tc>
          <w:tcPr>
            <w:tcW w:w="1828" w:type="dxa"/>
            <w:tcBorders>
              <w:top w:val="nil"/>
              <w:left w:val="single" w:sz="8" w:space="0" w:color="auto"/>
              <w:bottom w:val="single" w:sz="8" w:space="0" w:color="auto"/>
              <w:right w:val="single" w:sz="8" w:space="0" w:color="auto"/>
            </w:tcBorders>
            <w:shd w:val="clear" w:color="auto" w:fill="auto"/>
          </w:tcPr>
          <w:p w14:paraId="2B16E067" w14:textId="4034FF66" w:rsidR="00247876" w:rsidRPr="001A1836" w:rsidRDefault="00247876" w:rsidP="00247876">
            <w:pPr>
              <w:spacing w:after="0"/>
              <w:jc w:val="right"/>
            </w:pPr>
            <w:r w:rsidRPr="003224B9">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27ABA776" w14:textId="4C36D062" w:rsidR="00247876" w:rsidRPr="001A1836" w:rsidRDefault="00247876" w:rsidP="00247876">
            <w:pPr>
              <w:spacing w:after="0"/>
              <w:jc w:val="right"/>
            </w:pPr>
            <w:r w:rsidRPr="003F14FE">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7F441DC0" w14:textId="6DE521C1" w:rsidR="00247876" w:rsidRPr="001A1836" w:rsidRDefault="00247876" w:rsidP="00247876">
            <w:pPr>
              <w:spacing w:after="0"/>
              <w:jc w:val="right"/>
            </w:pPr>
            <w:r w:rsidRPr="00F82FDD">
              <w:rPr>
                <w:rFonts w:cs="Arial"/>
                <w:color w:val="000000"/>
                <w:sz w:val="20"/>
              </w:rPr>
              <w:t>REDACTED</w:t>
            </w:r>
          </w:p>
        </w:tc>
      </w:tr>
      <w:tr w:rsidR="00247876" w:rsidRPr="001A1836" w14:paraId="4B2AB768" w14:textId="77777777" w:rsidTr="00247876">
        <w:trPr>
          <w:cantSplit/>
        </w:trPr>
        <w:tc>
          <w:tcPr>
            <w:tcW w:w="3468" w:type="dxa"/>
            <w:shd w:val="clear" w:color="auto" w:fill="auto"/>
            <w:vAlign w:val="center"/>
          </w:tcPr>
          <w:p w14:paraId="0301951A" w14:textId="77777777" w:rsidR="00247876" w:rsidRPr="001A1836" w:rsidRDefault="00247876" w:rsidP="00247876">
            <w:pPr>
              <w:spacing w:after="0"/>
            </w:pPr>
            <w:r w:rsidRPr="001A1836">
              <w:t>Technical Support Officer</w:t>
            </w:r>
          </w:p>
        </w:tc>
        <w:tc>
          <w:tcPr>
            <w:tcW w:w="1828" w:type="dxa"/>
            <w:tcBorders>
              <w:top w:val="nil"/>
              <w:left w:val="single" w:sz="8" w:space="0" w:color="auto"/>
              <w:bottom w:val="single" w:sz="8" w:space="0" w:color="auto"/>
              <w:right w:val="single" w:sz="8" w:space="0" w:color="auto"/>
            </w:tcBorders>
            <w:shd w:val="clear" w:color="auto" w:fill="auto"/>
          </w:tcPr>
          <w:p w14:paraId="6EC1BAAB" w14:textId="0A4CE75F" w:rsidR="00247876" w:rsidRPr="001A1836" w:rsidRDefault="00247876" w:rsidP="00247876">
            <w:pPr>
              <w:spacing w:after="0"/>
              <w:jc w:val="right"/>
            </w:pPr>
            <w:r w:rsidRPr="003224B9">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1923231E" w14:textId="4354DD89" w:rsidR="00247876" w:rsidRPr="001A1836" w:rsidRDefault="00247876" w:rsidP="00247876">
            <w:pPr>
              <w:spacing w:after="0"/>
              <w:jc w:val="right"/>
            </w:pPr>
            <w:r w:rsidRPr="003F14FE">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7406FD27" w14:textId="29C3A930" w:rsidR="00247876" w:rsidRPr="001A1836" w:rsidRDefault="00247876" w:rsidP="00247876">
            <w:pPr>
              <w:spacing w:after="0"/>
              <w:jc w:val="right"/>
            </w:pPr>
            <w:r w:rsidRPr="00F82FDD">
              <w:rPr>
                <w:rFonts w:cs="Arial"/>
                <w:color w:val="000000"/>
                <w:sz w:val="20"/>
              </w:rPr>
              <w:t>REDACTED</w:t>
            </w:r>
          </w:p>
        </w:tc>
      </w:tr>
      <w:tr w:rsidR="00247876" w:rsidRPr="001A1836" w14:paraId="57A5AA22" w14:textId="77777777" w:rsidTr="00247876">
        <w:trPr>
          <w:cantSplit/>
        </w:trPr>
        <w:tc>
          <w:tcPr>
            <w:tcW w:w="3468" w:type="dxa"/>
            <w:shd w:val="clear" w:color="auto" w:fill="auto"/>
            <w:vAlign w:val="center"/>
          </w:tcPr>
          <w:p w14:paraId="40CADC89" w14:textId="77777777" w:rsidR="00247876" w:rsidRPr="001A1836" w:rsidRDefault="00247876" w:rsidP="00247876">
            <w:pPr>
              <w:spacing w:after="0"/>
            </w:pPr>
            <w:r w:rsidRPr="001A1836">
              <w:t>Program Manager</w:t>
            </w:r>
          </w:p>
        </w:tc>
        <w:tc>
          <w:tcPr>
            <w:tcW w:w="1828" w:type="dxa"/>
            <w:tcBorders>
              <w:top w:val="nil"/>
              <w:left w:val="single" w:sz="8" w:space="0" w:color="auto"/>
              <w:bottom w:val="single" w:sz="8" w:space="0" w:color="auto"/>
              <w:right w:val="single" w:sz="8" w:space="0" w:color="auto"/>
            </w:tcBorders>
            <w:shd w:val="clear" w:color="auto" w:fill="auto"/>
          </w:tcPr>
          <w:p w14:paraId="417B3FBF" w14:textId="523E56CD" w:rsidR="00247876" w:rsidRPr="001A1836" w:rsidRDefault="00247876" w:rsidP="00247876">
            <w:pPr>
              <w:spacing w:after="0"/>
              <w:jc w:val="right"/>
            </w:pPr>
            <w:r w:rsidRPr="003224B9">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30496345" w14:textId="3C94D170" w:rsidR="00247876" w:rsidRPr="001A1836" w:rsidRDefault="00247876" w:rsidP="00247876">
            <w:pPr>
              <w:spacing w:after="0"/>
              <w:jc w:val="right"/>
            </w:pPr>
            <w:r w:rsidRPr="003F14FE">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0A722297" w14:textId="34337CCC" w:rsidR="00247876" w:rsidRPr="001A1836" w:rsidRDefault="00247876" w:rsidP="00247876">
            <w:pPr>
              <w:spacing w:after="0"/>
              <w:jc w:val="right"/>
            </w:pPr>
            <w:r w:rsidRPr="00F82FDD">
              <w:rPr>
                <w:rFonts w:cs="Arial"/>
                <w:color w:val="000000"/>
                <w:sz w:val="20"/>
              </w:rPr>
              <w:t>REDACTED</w:t>
            </w:r>
          </w:p>
        </w:tc>
      </w:tr>
      <w:tr w:rsidR="00247876" w:rsidRPr="001A1836" w14:paraId="6A2C2302" w14:textId="77777777" w:rsidTr="00247876">
        <w:trPr>
          <w:cantSplit/>
        </w:trPr>
        <w:tc>
          <w:tcPr>
            <w:tcW w:w="3468" w:type="dxa"/>
            <w:shd w:val="clear" w:color="auto" w:fill="auto"/>
            <w:vAlign w:val="center"/>
          </w:tcPr>
          <w:p w14:paraId="097CCBCC" w14:textId="77777777" w:rsidR="00247876" w:rsidRPr="001A1836" w:rsidRDefault="00247876" w:rsidP="00247876">
            <w:pPr>
              <w:spacing w:after="0"/>
            </w:pPr>
            <w:r w:rsidRPr="001A1836">
              <w:t>Business Improvement Manager</w:t>
            </w:r>
          </w:p>
        </w:tc>
        <w:tc>
          <w:tcPr>
            <w:tcW w:w="1828" w:type="dxa"/>
            <w:tcBorders>
              <w:top w:val="nil"/>
              <w:left w:val="single" w:sz="8" w:space="0" w:color="auto"/>
              <w:bottom w:val="single" w:sz="8" w:space="0" w:color="auto"/>
              <w:right w:val="single" w:sz="8" w:space="0" w:color="auto"/>
            </w:tcBorders>
            <w:shd w:val="clear" w:color="auto" w:fill="auto"/>
          </w:tcPr>
          <w:p w14:paraId="13A304BD" w14:textId="3647600C" w:rsidR="00247876" w:rsidRPr="001A1836" w:rsidRDefault="00247876" w:rsidP="00247876">
            <w:pPr>
              <w:spacing w:after="0"/>
              <w:jc w:val="right"/>
            </w:pPr>
            <w:r w:rsidRPr="003224B9">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6FF97FE7" w14:textId="6B3C8034" w:rsidR="00247876" w:rsidRPr="001A1836" w:rsidRDefault="00247876" w:rsidP="00247876">
            <w:pPr>
              <w:spacing w:after="0"/>
              <w:jc w:val="right"/>
            </w:pPr>
            <w:r w:rsidRPr="003F14FE">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51ACB86E" w14:textId="0B0F2E8C" w:rsidR="00247876" w:rsidRPr="001A1836" w:rsidRDefault="00247876" w:rsidP="00247876">
            <w:pPr>
              <w:spacing w:after="0"/>
              <w:jc w:val="right"/>
            </w:pPr>
            <w:r w:rsidRPr="00F82FDD">
              <w:rPr>
                <w:rFonts w:cs="Arial"/>
                <w:color w:val="000000"/>
                <w:sz w:val="20"/>
              </w:rPr>
              <w:t>REDACTED</w:t>
            </w:r>
          </w:p>
        </w:tc>
      </w:tr>
      <w:tr w:rsidR="00247876" w:rsidRPr="001A1836" w14:paraId="0EB54557" w14:textId="77777777" w:rsidTr="00247876">
        <w:trPr>
          <w:cantSplit/>
        </w:trPr>
        <w:tc>
          <w:tcPr>
            <w:tcW w:w="3468" w:type="dxa"/>
            <w:shd w:val="clear" w:color="auto" w:fill="auto"/>
            <w:vAlign w:val="center"/>
          </w:tcPr>
          <w:p w14:paraId="3A47F5C5" w14:textId="77777777" w:rsidR="00247876" w:rsidRPr="001A1836" w:rsidRDefault="00247876" w:rsidP="00247876">
            <w:pPr>
              <w:spacing w:after="0"/>
            </w:pPr>
            <w:r w:rsidRPr="001A1836">
              <w:t>MI Development Manager</w:t>
            </w:r>
          </w:p>
        </w:tc>
        <w:tc>
          <w:tcPr>
            <w:tcW w:w="1828" w:type="dxa"/>
            <w:tcBorders>
              <w:top w:val="nil"/>
              <w:left w:val="single" w:sz="8" w:space="0" w:color="auto"/>
              <w:bottom w:val="single" w:sz="8" w:space="0" w:color="auto"/>
              <w:right w:val="single" w:sz="8" w:space="0" w:color="auto"/>
            </w:tcBorders>
            <w:shd w:val="clear" w:color="auto" w:fill="auto"/>
          </w:tcPr>
          <w:p w14:paraId="75AC4B93" w14:textId="60797AD0" w:rsidR="00247876" w:rsidRPr="001A1836" w:rsidRDefault="00247876" w:rsidP="00247876">
            <w:pPr>
              <w:spacing w:after="0"/>
              <w:jc w:val="right"/>
            </w:pPr>
            <w:r w:rsidRPr="003224B9">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6DDC2B67" w14:textId="2F69621E" w:rsidR="00247876" w:rsidRPr="001A1836" w:rsidRDefault="00247876" w:rsidP="00247876">
            <w:pPr>
              <w:spacing w:after="0"/>
              <w:jc w:val="right"/>
            </w:pPr>
            <w:r w:rsidRPr="003F14FE">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327A08ED" w14:textId="78E5E998" w:rsidR="00247876" w:rsidRPr="001A1836" w:rsidRDefault="00247876" w:rsidP="00247876">
            <w:pPr>
              <w:spacing w:after="0"/>
              <w:jc w:val="right"/>
            </w:pPr>
            <w:r w:rsidRPr="00F82FDD">
              <w:rPr>
                <w:rFonts w:cs="Arial"/>
                <w:color w:val="000000"/>
                <w:sz w:val="20"/>
              </w:rPr>
              <w:t>REDACTED</w:t>
            </w:r>
          </w:p>
        </w:tc>
      </w:tr>
      <w:tr w:rsidR="00247876" w:rsidRPr="001A1836" w14:paraId="5077DCF1" w14:textId="77777777" w:rsidTr="00247876">
        <w:trPr>
          <w:cantSplit/>
        </w:trPr>
        <w:tc>
          <w:tcPr>
            <w:tcW w:w="3468" w:type="dxa"/>
            <w:shd w:val="clear" w:color="auto" w:fill="auto"/>
            <w:vAlign w:val="center"/>
          </w:tcPr>
          <w:p w14:paraId="5B31DAE5" w14:textId="77777777" w:rsidR="00247876" w:rsidRPr="001A1836" w:rsidRDefault="00247876" w:rsidP="00247876">
            <w:pPr>
              <w:spacing w:after="0"/>
            </w:pPr>
            <w:r w:rsidRPr="001A1836">
              <w:t>Contact Centre Manager</w:t>
            </w:r>
          </w:p>
        </w:tc>
        <w:tc>
          <w:tcPr>
            <w:tcW w:w="1828" w:type="dxa"/>
            <w:tcBorders>
              <w:top w:val="nil"/>
              <w:left w:val="single" w:sz="8" w:space="0" w:color="auto"/>
              <w:bottom w:val="single" w:sz="8" w:space="0" w:color="auto"/>
              <w:right w:val="single" w:sz="8" w:space="0" w:color="auto"/>
            </w:tcBorders>
            <w:shd w:val="clear" w:color="auto" w:fill="auto"/>
          </w:tcPr>
          <w:p w14:paraId="22A75730" w14:textId="273F5E1D" w:rsidR="00247876" w:rsidRPr="001A1836" w:rsidRDefault="00247876" w:rsidP="00247876">
            <w:pPr>
              <w:spacing w:after="0"/>
              <w:jc w:val="right"/>
            </w:pPr>
            <w:r w:rsidRPr="003224B9">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08C897AB" w14:textId="450A359C" w:rsidR="00247876" w:rsidRPr="001A1836" w:rsidRDefault="00247876" w:rsidP="00247876">
            <w:pPr>
              <w:spacing w:after="0"/>
              <w:jc w:val="right"/>
            </w:pPr>
            <w:r w:rsidRPr="003F14FE">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126F3CB0" w14:textId="33B7688E" w:rsidR="00247876" w:rsidRPr="001A1836" w:rsidRDefault="00247876" w:rsidP="00247876">
            <w:pPr>
              <w:spacing w:after="0"/>
              <w:jc w:val="right"/>
            </w:pPr>
            <w:r w:rsidRPr="00F82FDD">
              <w:rPr>
                <w:rFonts w:cs="Arial"/>
                <w:color w:val="000000"/>
                <w:sz w:val="20"/>
              </w:rPr>
              <w:t>REDACTED</w:t>
            </w:r>
          </w:p>
        </w:tc>
      </w:tr>
      <w:tr w:rsidR="00247876" w:rsidRPr="001A1836" w14:paraId="53450239" w14:textId="77777777" w:rsidTr="00247876">
        <w:trPr>
          <w:cantSplit/>
        </w:trPr>
        <w:tc>
          <w:tcPr>
            <w:tcW w:w="3468" w:type="dxa"/>
            <w:shd w:val="clear" w:color="auto" w:fill="auto"/>
            <w:vAlign w:val="center"/>
          </w:tcPr>
          <w:p w14:paraId="2163DB73" w14:textId="77777777" w:rsidR="00247876" w:rsidRPr="001A1836" w:rsidRDefault="00247876" w:rsidP="00247876">
            <w:pPr>
              <w:spacing w:after="0"/>
            </w:pPr>
            <w:r w:rsidRPr="001A1836">
              <w:t>Contact Centre Team Leader</w:t>
            </w:r>
          </w:p>
        </w:tc>
        <w:tc>
          <w:tcPr>
            <w:tcW w:w="1828" w:type="dxa"/>
            <w:tcBorders>
              <w:top w:val="nil"/>
              <w:left w:val="single" w:sz="8" w:space="0" w:color="auto"/>
              <w:bottom w:val="single" w:sz="8" w:space="0" w:color="auto"/>
              <w:right w:val="single" w:sz="8" w:space="0" w:color="auto"/>
            </w:tcBorders>
            <w:shd w:val="clear" w:color="auto" w:fill="auto"/>
          </w:tcPr>
          <w:p w14:paraId="0EE692B6" w14:textId="1E32E2FC" w:rsidR="00247876" w:rsidRPr="001A1836" w:rsidRDefault="00247876" w:rsidP="00247876">
            <w:pPr>
              <w:spacing w:after="0"/>
              <w:jc w:val="right"/>
            </w:pPr>
            <w:r w:rsidRPr="003224B9">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3E9711FB" w14:textId="213A9765" w:rsidR="00247876" w:rsidRPr="001A1836" w:rsidRDefault="00247876" w:rsidP="00247876">
            <w:pPr>
              <w:spacing w:after="0"/>
              <w:jc w:val="right"/>
            </w:pPr>
            <w:r w:rsidRPr="003F14FE">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4499970F" w14:textId="5FCEB9DB" w:rsidR="00247876" w:rsidRPr="001A1836" w:rsidRDefault="00247876" w:rsidP="00247876">
            <w:pPr>
              <w:spacing w:after="0"/>
              <w:jc w:val="right"/>
            </w:pPr>
            <w:r w:rsidRPr="00F82FDD">
              <w:rPr>
                <w:rFonts w:cs="Arial"/>
                <w:color w:val="000000"/>
                <w:sz w:val="20"/>
              </w:rPr>
              <w:t>REDACTED</w:t>
            </w:r>
          </w:p>
        </w:tc>
      </w:tr>
      <w:tr w:rsidR="00247876" w:rsidRPr="001A1836" w14:paraId="0636D1DB" w14:textId="77777777" w:rsidTr="00247876">
        <w:trPr>
          <w:cantSplit/>
        </w:trPr>
        <w:tc>
          <w:tcPr>
            <w:tcW w:w="3468" w:type="dxa"/>
            <w:shd w:val="clear" w:color="auto" w:fill="auto"/>
            <w:vAlign w:val="center"/>
          </w:tcPr>
          <w:p w14:paraId="19733481" w14:textId="77777777" w:rsidR="00247876" w:rsidRPr="001A1836" w:rsidRDefault="00247876" w:rsidP="00247876">
            <w:pPr>
              <w:spacing w:after="0"/>
            </w:pPr>
            <w:r w:rsidRPr="001A1836">
              <w:lastRenderedPageBreak/>
              <w:t>Senior Customer Service Advisor</w:t>
            </w:r>
          </w:p>
        </w:tc>
        <w:tc>
          <w:tcPr>
            <w:tcW w:w="1828" w:type="dxa"/>
            <w:tcBorders>
              <w:top w:val="nil"/>
              <w:left w:val="single" w:sz="8" w:space="0" w:color="auto"/>
              <w:bottom w:val="single" w:sz="8" w:space="0" w:color="auto"/>
              <w:right w:val="single" w:sz="8" w:space="0" w:color="auto"/>
            </w:tcBorders>
            <w:shd w:val="clear" w:color="auto" w:fill="auto"/>
          </w:tcPr>
          <w:p w14:paraId="73B1ECA3" w14:textId="18BD014B" w:rsidR="00247876" w:rsidRPr="001A1836" w:rsidRDefault="00247876" w:rsidP="00247876">
            <w:pPr>
              <w:spacing w:after="0"/>
              <w:jc w:val="right"/>
            </w:pPr>
            <w:r w:rsidRPr="003224B9">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0BD016C3" w14:textId="25E761F4" w:rsidR="00247876" w:rsidRPr="001A1836" w:rsidRDefault="00247876" w:rsidP="00247876">
            <w:pPr>
              <w:spacing w:after="0"/>
              <w:jc w:val="right"/>
            </w:pPr>
            <w:r w:rsidRPr="003F14FE">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4905FFE5" w14:textId="38A5A0F6" w:rsidR="00247876" w:rsidRPr="001A1836" w:rsidRDefault="00247876" w:rsidP="00247876">
            <w:pPr>
              <w:spacing w:after="0"/>
              <w:jc w:val="right"/>
            </w:pPr>
            <w:r w:rsidRPr="00F82FDD">
              <w:rPr>
                <w:rFonts w:cs="Arial"/>
                <w:color w:val="000000"/>
                <w:sz w:val="20"/>
              </w:rPr>
              <w:t>REDACTED</w:t>
            </w:r>
          </w:p>
        </w:tc>
      </w:tr>
      <w:tr w:rsidR="00247876" w:rsidRPr="001A1836" w14:paraId="5D5D43D4" w14:textId="77777777" w:rsidTr="00247876">
        <w:trPr>
          <w:cantSplit/>
        </w:trPr>
        <w:tc>
          <w:tcPr>
            <w:tcW w:w="3468" w:type="dxa"/>
            <w:shd w:val="clear" w:color="auto" w:fill="auto"/>
            <w:vAlign w:val="center"/>
          </w:tcPr>
          <w:p w14:paraId="001D73FD" w14:textId="77777777" w:rsidR="00247876" w:rsidRPr="001A1836" w:rsidRDefault="00247876" w:rsidP="00247876">
            <w:pPr>
              <w:spacing w:after="0"/>
            </w:pPr>
            <w:r w:rsidRPr="001A1836">
              <w:t>Customer Service Advisor</w:t>
            </w:r>
          </w:p>
        </w:tc>
        <w:tc>
          <w:tcPr>
            <w:tcW w:w="1828" w:type="dxa"/>
            <w:tcBorders>
              <w:top w:val="nil"/>
              <w:left w:val="single" w:sz="8" w:space="0" w:color="auto"/>
              <w:bottom w:val="single" w:sz="8" w:space="0" w:color="auto"/>
              <w:right w:val="single" w:sz="8" w:space="0" w:color="auto"/>
            </w:tcBorders>
            <w:shd w:val="clear" w:color="auto" w:fill="auto"/>
          </w:tcPr>
          <w:p w14:paraId="04F75195" w14:textId="451CD69B" w:rsidR="00247876" w:rsidRPr="001A1836" w:rsidRDefault="00247876" w:rsidP="00247876">
            <w:pPr>
              <w:spacing w:after="0"/>
              <w:jc w:val="right"/>
            </w:pPr>
            <w:r w:rsidRPr="003224B9">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1F017C1A" w14:textId="7E61DEF5" w:rsidR="00247876" w:rsidRPr="001A1836" w:rsidRDefault="00247876" w:rsidP="00247876">
            <w:pPr>
              <w:spacing w:after="0"/>
              <w:jc w:val="right"/>
            </w:pPr>
            <w:r w:rsidRPr="003F14FE">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1702B16C" w14:textId="0BB3575E" w:rsidR="00247876" w:rsidRPr="001A1836" w:rsidRDefault="00247876" w:rsidP="00247876">
            <w:pPr>
              <w:spacing w:after="0"/>
              <w:jc w:val="right"/>
            </w:pPr>
            <w:r w:rsidRPr="00F82FDD">
              <w:rPr>
                <w:rFonts w:cs="Arial"/>
                <w:color w:val="000000"/>
                <w:sz w:val="20"/>
              </w:rPr>
              <w:t>REDACTED</w:t>
            </w:r>
          </w:p>
        </w:tc>
      </w:tr>
      <w:tr w:rsidR="00247876" w:rsidRPr="001A1836" w14:paraId="10461CFB" w14:textId="77777777" w:rsidTr="00247876">
        <w:trPr>
          <w:cantSplit/>
        </w:trPr>
        <w:tc>
          <w:tcPr>
            <w:tcW w:w="3468" w:type="dxa"/>
            <w:shd w:val="clear" w:color="auto" w:fill="auto"/>
            <w:vAlign w:val="center"/>
          </w:tcPr>
          <w:p w14:paraId="5DFFF810" w14:textId="77777777" w:rsidR="00247876" w:rsidRPr="001A1836" w:rsidRDefault="00247876" w:rsidP="00247876">
            <w:pPr>
              <w:spacing w:after="0"/>
            </w:pPr>
            <w:r w:rsidRPr="001A1836">
              <w:t>Head of Marketing &amp; Communications</w:t>
            </w:r>
          </w:p>
        </w:tc>
        <w:tc>
          <w:tcPr>
            <w:tcW w:w="1828" w:type="dxa"/>
            <w:tcBorders>
              <w:top w:val="nil"/>
              <w:left w:val="single" w:sz="8" w:space="0" w:color="auto"/>
              <w:bottom w:val="single" w:sz="8" w:space="0" w:color="auto"/>
              <w:right w:val="single" w:sz="8" w:space="0" w:color="auto"/>
            </w:tcBorders>
            <w:shd w:val="clear" w:color="auto" w:fill="auto"/>
          </w:tcPr>
          <w:p w14:paraId="3FDC7074" w14:textId="7A2B5616" w:rsidR="00247876" w:rsidRPr="001A1836" w:rsidRDefault="00247876" w:rsidP="00247876">
            <w:pPr>
              <w:spacing w:after="0"/>
              <w:jc w:val="right"/>
            </w:pPr>
            <w:r w:rsidRPr="00D12E31">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06D2E889" w14:textId="6B9278E2" w:rsidR="00247876" w:rsidRPr="001A1836" w:rsidRDefault="00247876" w:rsidP="00247876">
            <w:pPr>
              <w:spacing w:after="0"/>
              <w:jc w:val="right"/>
            </w:pPr>
            <w:r w:rsidRPr="007538BE">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642F93CD" w14:textId="6D346FB5" w:rsidR="00247876" w:rsidRPr="001A1836" w:rsidRDefault="00247876" w:rsidP="00247876">
            <w:pPr>
              <w:spacing w:after="0"/>
              <w:jc w:val="right"/>
            </w:pPr>
            <w:r w:rsidRPr="0032558F">
              <w:rPr>
                <w:rFonts w:cs="Arial"/>
                <w:color w:val="000000"/>
                <w:sz w:val="20"/>
              </w:rPr>
              <w:t>REDACTED</w:t>
            </w:r>
          </w:p>
        </w:tc>
      </w:tr>
      <w:tr w:rsidR="00247876" w:rsidRPr="001A1836" w14:paraId="2205556D" w14:textId="77777777" w:rsidTr="00247876">
        <w:trPr>
          <w:cantSplit/>
        </w:trPr>
        <w:tc>
          <w:tcPr>
            <w:tcW w:w="3468" w:type="dxa"/>
            <w:shd w:val="clear" w:color="auto" w:fill="auto"/>
            <w:vAlign w:val="center"/>
          </w:tcPr>
          <w:p w14:paraId="6CD2862C" w14:textId="77777777" w:rsidR="00247876" w:rsidRPr="001A1836" w:rsidRDefault="00247876" w:rsidP="00247876">
            <w:pPr>
              <w:spacing w:after="0"/>
            </w:pPr>
            <w:r w:rsidRPr="001A1836">
              <w:t>Marketing Manager</w:t>
            </w:r>
          </w:p>
        </w:tc>
        <w:tc>
          <w:tcPr>
            <w:tcW w:w="1828" w:type="dxa"/>
            <w:tcBorders>
              <w:top w:val="nil"/>
              <w:left w:val="single" w:sz="8" w:space="0" w:color="auto"/>
              <w:bottom w:val="single" w:sz="8" w:space="0" w:color="auto"/>
              <w:right w:val="single" w:sz="8" w:space="0" w:color="auto"/>
            </w:tcBorders>
            <w:shd w:val="clear" w:color="auto" w:fill="auto"/>
          </w:tcPr>
          <w:p w14:paraId="637240A4" w14:textId="0FAE6B77" w:rsidR="00247876" w:rsidRPr="001A1836" w:rsidRDefault="00247876" w:rsidP="00247876">
            <w:pPr>
              <w:spacing w:after="0"/>
              <w:jc w:val="right"/>
            </w:pPr>
            <w:r w:rsidRPr="00D12E31">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3126BAC1" w14:textId="315D7FAF" w:rsidR="00247876" w:rsidRPr="001A1836" w:rsidRDefault="00247876" w:rsidP="00247876">
            <w:pPr>
              <w:spacing w:after="0"/>
              <w:jc w:val="right"/>
            </w:pPr>
            <w:r w:rsidRPr="007538BE">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35D75C86" w14:textId="6AF8330A" w:rsidR="00247876" w:rsidRPr="001A1836" w:rsidRDefault="00247876" w:rsidP="00247876">
            <w:pPr>
              <w:spacing w:after="0"/>
              <w:jc w:val="right"/>
            </w:pPr>
            <w:r w:rsidRPr="0032558F">
              <w:rPr>
                <w:rFonts w:cs="Arial"/>
                <w:color w:val="000000"/>
                <w:sz w:val="20"/>
              </w:rPr>
              <w:t>REDACTED</w:t>
            </w:r>
          </w:p>
        </w:tc>
      </w:tr>
      <w:tr w:rsidR="00247876" w:rsidRPr="001A1836" w14:paraId="5B06A87F" w14:textId="77777777" w:rsidTr="00247876">
        <w:trPr>
          <w:cantSplit/>
        </w:trPr>
        <w:tc>
          <w:tcPr>
            <w:tcW w:w="3468" w:type="dxa"/>
            <w:shd w:val="clear" w:color="auto" w:fill="auto"/>
            <w:vAlign w:val="center"/>
          </w:tcPr>
          <w:p w14:paraId="41AAFAC8" w14:textId="77777777" w:rsidR="00247876" w:rsidRPr="001A1836" w:rsidRDefault="00247876" w:rsidP="00247876">
            <w:pPr>
              <w:spacing w:after="0"/>
            </w:pPr>
            <w:r w:rsidRPr="001A1836">
              <w:t>Marketing Executive</w:t>
            </w:r>
          </w:p>
        </w:tc>
        <w:tc>
          <w:tcPr>
            <w:tcW w:w="1828" w:type="dxa"/>
            <w:tcBorders>
              <w:top w:val="nil"/>
              <w:left w:val="single" w:sz="8" w:space="0" w:color="auto"/>
              <w:bottom w:val="single" w:sz="8" w:space="0" w:color="auto"/>
              <w:right w:val="single" w:sz="8" w:space="0" w:color="auto"/>
            </w:tcBorders>
            <w:shd w:val="clear" w:color="auto" w:fill="auto"/>
          </w:tcPr>
          <w:p w14:paraId="5763AFBC" w14:textId="4ECAF800" w:rsidR="00247876" w:rsidRPr="001A1836" w:rsidRDefault="00247876" w:rsidP="00247876">
            <w:pPr>
              <w:spacing w:after="0"/>
              <w:jc w:val="right"/>
            </w:pPr>
            <w:r w:rsidRPr="00D12E31">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26599A69" w14:textId="5B98EB18" w:rsidR="00247876" w:rsidRPr="001A1836" w:rsidRDefault="00247876" w:rsidP="00247876">
            <w:pPr>
              <w:spacing w:after="0"/>
              <w:jc w:val="right"/>
            </w:pPr>
            <w:r w:rsidRPr="007538BE">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56858330" w14:textId="147FE26B" w:rsidR="00247876" w:rsidRPr="001A1836" w:rsidRDefault="00247876" w:rsidP="00247876">
            <w:pPr>
              <w:spacing w:after="0"/>
              <w:jc w:val="right"/>
            </w:pPr>
            <w:r w:rsidRPr="0032558F">
              <w:rPr>
                <w:rFonts w:cs="Arial"/>
                <w:color w:val="000000"/>
                <w:sz w:val="20"/>
              </w:rPr>
              <w:t>REDACTED</w:t>
            </w:r>
          </w:p>
        </w:tc>
      </w:tr>
      <w:tr w:rsidR="00247876" w:rsidRPr="001A1836" w14:paraId="4E16061E" w14:textId="77777777" w:rsidTr="00247876">
        <w:trPr>
          <w:cantSplit/>
        </w:trPr>
        <w:tc>
          <w:tcPr>
            <w:tcW w:w="3468" w:type="dxa"/>
            <w:shd w:val="clear" w:color="auto" w:fill="auto"/>
            <w:vAlign w:val="center"/>
          </w:tcPr>
          <w:p w14:paraId="297AE4BC" w14:textId="77777777" w:rsidR="00247876" w:rsidRPr="001A1836" w:rsidRDefault="00247876" w:rsidP="00247876">
            <w:pPr>
              <w:spacing w:after="0"/>
            </w:pPr>
            <w:r w:rsidRPr="001A1836">
              <w:t>Head of Communications / PR Manager</w:t>
            </w:r>
          </w:p>
        </w:tc>
        <w:tc>
          <w:tcPr>
            <w:tcW w:w="1828" w:type="dxa"/>
            <w:tcBorders>
              <w:top w:val="nil"/>
              <w:left w:val="single" w:sz="8" w:space="0" w:color="auto"/>
              <w:bottom w:val="single" w:sz="8" w:space="0" w:color="auto"/>
              <w:right w:val="single" w:sz="8" w:space="0" w:color="auto"/>
            </w:tcBorders>
            <w:shd w:val="clear" w:color="auto" w:fill="auto"/>
          </w:tcPr>
          <w:p w14:paraId="6AA5B68B" w14:textId="091DEF87" w:rsidR="00247876" w:rsidRPr="001A1836" w:rsidRDefault="00247876" w:rsidP="00247876">
            <w:pPr>
              <w:spacing w:after="0"/>
              <w:jc w:val="right"/>
            </w:pPr>
            <w:r w:rsidRPr="00D12E31">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7258DFD0" w14:textId="5C7ABA8D" w:rsidR="00247876" w:rsidRPr="001A1836" w:rsidRDefault="00247876" w:rsidP="00247876">
            <w:pPr>
              <w:spacing w:after="0"/>
              <w:jc w:val="right"/>
            </w:pPr>
            <w:r w:rsidRPr="007538BE">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568F2F4A" w14:textId="6B538903" w:rsidR="00247876" w:rsidRPr="001A1836" w:rsidRDefault="00247876" w:rsidP="00247876">
            <w:pPr>
              <w:spacing w:after="0"/>
              <w:jc w:val="right"/>
            </w:pPr>
            <w:r w:rsidRPr="0032558F">
              <w:rPr>
                <w:rFonts w:cs="Arial"/>
                <w:color w:val="000000"/>
                <w:sz w:val="20"/>
              </w:rPr>
              <w:t>REDACTED</w:t>
            </w:r>
          </w:p>
        </w:tc>
      </w:tr>
      <w:tr w:rsidR="00247876" w:rsidRPr="001A1836" w14:paraId="5FFFA047" w14:textId="77777777" w:rsidTr="00247876">
        <w:trPr>
          <w:cantSplit/>
        </w:trPr>
        <w:tc>
          <w:tcPr>
            <w:tcW w:w="3468" w:type="dxa"/>
            <w:shd w:val="clear" w:color="auto" w:fill="auto"/>
            <w:vAlign w:val="center"/>
          </w:tcPr>
          <w:p w14:paraId="3DF59DBE" w14:textId="77777777" w:rsidR="00247876" w:rsidRPr="001A1836" w:rsidRDefault="00247876" w:rsidP="00247876">
            <w:pPr>
              <w:spacing w:after="0"/>
            </w:pPr>
            <w:r w:rsidRPr="001A1836">
              <w:t>Stakeholder Manager</w:t>
            </w:r>
          </w:p>
        </w:tc>
        <w:tc>
          <w:tcPr>
            <w:tcW w:w="1828" w:type="dxa"/>
            <w:tcBorders>
              <w:top w:val="nil"/>
              <w:left w:val="single" w:sz="8" w:space="0" w:color="auto"/>
              <w:bottom w:val="single" w:sz="8" w:space="0" w:color="auto"/>
              <w:right w:val="single" w:sz="8" w:space="0" w:color="auto"/>
            </w:tcBorders>
            <w:shd w:val="clear" w:color="auto" w:fill="auto"/>
          </w:tcPr>
          <w:p w14:paraId="12B14AA2" w14:textId="7EBC3777" w:rsidR="00247876" w:rsidRPr="001A1836" w:rsidRDefault="00247876" w:rsidP="00247876">
            <w:pPr>
              <w:spacing w:after="0"/>
              <w:jc w:val="right"/>
            </w:pPr>
            <w:r w:rsidRPr="00D12E31">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3688DCB4" w14:textId="15A8C858" w:rsidR="00247876" w:rsidRPr="001A1836" w:rsidRDefault="00247876" w:rsidP="00247876">
            <w:pPr>
              <w:spacing w:after="0"/>
              <w:jc w:val="right"/>
            </w:pPr>
            <w:r w:rsidRPr="007538BE">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3B87B38B" w14:textId="071A920B" w:rsidR="00247876" w:rsidRPr="001A1836" w:rsidRDefault="00247876" w:rsidP="00247876">
            <w:pPr>
              <w:spacing w:after="0"/>
              <w:jc w:val="right"/>
            </w:pPr>
            <w:r w:rsidRPr="0032558F">
              <w:rPr>
                <w:rFonts w:cs="Arial"/>
                <w:color w:val="000000"/>
                <w:sz w:val="20"/>
              </w:rPr>
              <w:t>REDACTED</w:t>
            </w:r>
          </w:p>
        </w:tc>
      </w:tr>
      <w:tr w:rsidR="00247876" w:rsidRPr="001A1836" w14:paraId="24796CC9" w14:textId="77777777" w:rsidTr="00247876">
        <w:trPr>
          <w:cantSplit/>
        </w:trPr>
        <w:tc>
          <w:tcPr>
            <w:tcW w:w="3468" w:type="dxa"/>
            <w:shd w:val="clear" w:color="auto" w:fill="auto"/>
            <w:vAlign w:val="center"/>
          </w:tcPr>
          <w:p w14:paraId="6CB4BA41" w14:textId="77777777" w:rsidR="00247876" w:rsidRPr="001A1836" w:rsidRDefault="00247876" w:rsidP="00247876">
            <w:pPr>
              <w:spacing w:after="0"/>
            </w:pPr>
            <w:r w:rsidRPr="001A1836">
              <w:t>Head of Finance</w:t>
            </w:r>
          </w:p>
        </w:tc>
        <w:tc>
          <w:tcPr>
            <w:tcW w:w="1828" w:type="dxa"/>
            <w:tcBorders>
              <w:top w:val="nil"/>
              <w:left w:val="single" w:sz="8" w:space="0" w:color="auto"/>
              <w:bottom w:val="single" w:sz="8" w:space="0" w:color="auto"/>
              <w:right w:val="single" w:sz="8" w:space="0" w:color="auto"/>
            </w:tcBorders>
            <w:shd w:val="clear" w:color="auto" w:fill="auto"/>
          </w:tcPr>
          <w:p w14:paraId="6C5A301E" w14:textId="21615AB5" w:rsidR="00247876" w:rsidRPr="001A1836" w:rsidRDefault="00247876" w:rsidP="00247876">
            <w:pPr>
              <w:spacing w:after="0"/>
              <w:jc w:val="right"/>
            </w:pPr>
            <w:r w:rsidRPr="00D12E31">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5AF4ED4D" w14:textId="2EE199C3" w:rsidR="00247876" w:rsidRPr="001A1836" w:rsidRDefault="00247876" w:rsidP="00247876">
            <w:pPr>
              <w:spacing w:after="0"/>
              <w:jc w:val="right"/>
            </w:pPr>
            <w:r w:rsidRPr="007538BE">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01408D4D" w14:textId="1FD496AC" w:rsidR="00247876" w:rsidRPr="001A1836" w:rsidRDefault="00247876" w:rsidP="00247876">
            <w:pPr>
              <w:spacing w:after="0"/>
              <w:jc w:val="right"/>
            </w:pPr>
            <w:r w:rsidRPr="0032558F">
              <w:rPr>
                <w:rFonts w:cs="Arial"/>
                <w:color w:val="000000"/>
                <w:sz w:val="20"/>
              </w:rPr>
              <w:t>REDACTED</w:t>
            </w:r>
          </w:p>
        </w:tc>
      </w:tr>
      <w:tr w:rsidR="00247876" w:rsidRPr="001A1836" w14:paraId="118C3CB9" w14:textId="77777777" w:rsidTr="00247876">
        <w:trPr>
          <w:cantSplit/>
        </w:trPr>
        <w:tc>
          <w:tcPr>
            <w:tcW w:w="3468" w:type="dxa"/>
            <w:shd w:val="clear" w:color="auto" w:fill="auto"/>
            <w:vAlign w:val="center"/>
          </w:tcPr>
          <w:p w14:paraId="614F1C22" w14:textId="77777777" w:rsidR="00247876" w:rsidRPr="001A1836" w:rsidRDefault="00247876" w:rsidP="00247876">
            <w:pPr>
              <w:spacing w:after="0"/>
            </w:pPr>
            <w:r w:rsidRPr="001A1836">
              <w:t>Finance Manager</w:t>
            </w:r>
          </w:p>
        </w:tc>
        <w:tc>
          <w:tcPr>
            <w:tcW w:w="1828" w:type="dxa"/>
            <w:tcBorders>
              <w:top w:val="nil"/>
              <w:left w:val="single" w:sz="8" w:space="0" w:color="auto"/>
              <w:bottom w:val="single" w:sz="8" w:space="0" w:color="auto"/>
              <w:right w:val="single" w:sz="8" w:space="0" w:color="auto"/>
            </w:tcBorders>
            <w:shd w:val="clear" w:color="auto" w:fill="auto"/>
          </w:tcPr>
          <w:p w14:paraId="32F723C6" w14:textId="39A50D3E" w:rsidR="00247876" w:rsidRPr="001A1836" w:rsidRDefault="00247876" w:rsidP="00247876">
            <w:pPr>
              <w:spacing w:after="0"/>
              <w:jc w:val="right"/>
            </w:pPr>
            <w:r w:rsidRPr="00D12E31">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4E2435CD" w14:textId="0BF9C550" w:rsidR="00247876" w:rsidRPr="001A1836" w:rsidRDefault="00247876" w:rsidP="00247876">
            <w:pPr>
              <w:spacing w:after="0"/>
              <w:jc w:val="right"/>
            </w:pPr>
            <w:r w:rsidRPr="007538BE">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5E30CF44" w14:textId="081353F9" w:rsidR="00247876" w:rsidRPr="001A1836" w:rsidRDefault="00247876" w:rsidP="00247876">
            <w:pPr>
              <w:spacing w:after="0"/>
              <w:jc w:val="right"/>
            </w:pPr>
            <w:r w:rsidRPr="0032558F">
              <w:rPr>
                <w:rFonts w:cs="Arial"/>
                <w:color w:val="000000"/>
                <w:sz w:val="20"/>
              </w:rPr>
              <w:t>REDACTED</w:t>
            </w:r>
          </w:p>
        </w:tc>
      </w:tr>
      <w:tr w:rsidR="00247876" w:rsidRPr="001A1836" w14:paraId="1C7822B8" w14:textId="77777777" w:rsidTr="00247876">
        <w:trPr>
          <w:cantSplit/>
        </w:trPr>
        <w:tc>
          <w:tcPr>
            <w:tcW w:w="3468" w:type="dxa"/>
            <w:shd w:val="clear" w:color="auto" w:fill="auto"/>
            <w:vAlign w:val="center"/>
          </w:tcPr>
          <w:p w14:paraId="4C023097" w14:textId="77777777" w:rsidR="00247876" w:rsidRPr="001A1836" w:rsidRDefault="00247876" w:rsidP="00247876">
            <w:pPr>
              <w:spacing w:after="0"/>
            </w:pPr>
            <w:r w:rsidRPr="001A1836">
              <w:t xml:space="preserve">IT Developer </w:t>
            </w:r>
          </w:p>
        </w:tc>
        <w:tc>
          <w:tcPr>
            <w:tcW w:w="1828" w:type="dxa"/>
            <w:tcBorders>
              <w:top w:val="nil"/>
              <w:left w:val="single" w:sz="8" w:space="0" w:color="auto"/>
              <w:bottom w:val="single" w:sz="8" w:space="0" w:color="auto"/>
              <w:right w:val="single" w:sz="8" w:space="0" w:color="auto"/>
            </w:tcBorders>
            <w:shd w:val="clear" w:color="auto" w:fill="auto"/>
          </w:tcPr>
          <w:p w14:paraId="0B0EF138" w14:textId="68893CFD" w:rsidR="00247876" w:rsidRPr="001A1836" w:rsidRDefault="00247876" w:rsidP="00247876">
            <w:pPr>
              <w:spacing w:after="0"/>
              <w:jc w:val="right"/>
            </w:pPr>
            <w:r w:rsidRPr="00D12E31">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57489515" w14:textId="73F5A553" w:rsidR="00247876" w:rsidRPr="001A1836" w:rsidRDefault="00247876" w:rsidP="00247876">
            <w:pPr>
              <w:spacing w:after="0"/>
              <w:jc w:val="right"/>
            </w:pPr>
            <w:r w:rsidRPr="007538BE">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168C391F" w14:textId="31D4652D" w:rsidR="00247876" w:rsidRPr="001A1836" w:rsidRDefault="00247876" w:rsidP="00247876">
            <w:pPr>
              <w:spacing w:after="0"/>
              <w:jc w:val="right"/>
            </w:pPr>
            <w:r w:rsidRPr="0032558F">
              <w:rPr>
                <w:rFonts w:cs="Arial"/>
                <w:color w:val="000000"/>
                <w:sz w:val="20"/>
              </w:rPr>
              <w:t>REDACTED</w:t>
            </w:r>
          </w:p>
        </w:tc>
      </w:tr>
      <w:tr w:rsidR="00247876" w:rsidRPr="001A1836" w14:paraId="65E6A6DB" w14:textId="77777777" w:rsidTr="00247876">
        <w:trPr>
          <w:cantSplit/>
        </w:trPr>
        <w:tc>
          <w:tcPr>
            <w:tcW w:w="3468" w:type="dxa"/>
            <w:shd w:val="clear" w:color="auto" w:fill="auto"/>
            <w:vAlign w:val="center"/>
          </w:tcPr>
          <w:p w14:paraId="47D8B91F" w14:textId="77777777" w:rsidR="00247876" w:rsidRPr="001A1836" w:rsidRDefault="00247876" w:rsidP="00247876">
            <w:pPr>
              <w:spacing w:after="0"/>
            </w:pPr>
            <w:r w:rsidRPr="001A1836">
              <w:t>IT Technical Architect</w:t>
            </w:r>
          </w:p>
        </w:tc>
        <w:tc>
          <w:tcPr>
            <w:tcW w:w="1828" w:type="dxa"/>
            <w:tcBorders>
              <w:top w:val="nil"/>
              <w:left w:val="single" w:sz="8" w:space="0" w:color="auto"/>
              <w:bottom w:val="single" w:sz="8" w:space="0" w:color="auto"/>
              <w:right w:val="single" w:sz="8" w:space="0" w:color="auto"/>
            </w:tcBorders>
            <w:shd w:val="clear" w:color="auto" w:fill="auto"/>
          </w:tcPr>
          <w:p w14:paraId="6042B0A7" w14:textId="3C3A4B49" w:rsidR="00247876" w:rsidRPr="001A1836" w:rsidRDefault="00247876" w:rsidP="00247876">
            <w:pPr>
              <w:spacing w:after="0"/>
              <w:jc w:val="right"/>
            </w:pPr>
            <w:r w:rsidRPr="00D12E31">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797FE110" w14:textId="2367047E" w:rsidR="00247876" w:rsidRPr="001A1836" w:rsidRDefault="00247876" w:rsidP="00247876">
            <w:pPr>
              <w:spacing w:after="0"/>
              <w:jc w:val="right"/>
            </w:pPr>
            <w:r w:rsidRPr="007538BE">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39EA2051" w14:textId="42240880" w:rsidR="00247876" w:rsidRPr="001A1836" w:rsidRDefault="00247876" w:rsidP="00247876">
            <w:pPr>
              <w:spacing w:after="0"/>
              <w:jc w:val="right"/>
            </w:pPr>
            <w:r w:rsidRPr="0032558F">
              <w:rPr>
                <w:rFonts w:cs="Arial"/>
                <w:color w:val="000000"/>
                <w:sz w:val="20"/>
              </w:rPr>
              <w:t>REDACTED</w:t>
            </w:r>
          </w:p>
        </w:tc>
      </w:tr>
      <w:tr w:rsidR="00247876" w:rsidRPr="001A1836" w14:paraId="6AB2F10E" w14:textId="77777777" w:rsidTr="00247876">
        <w:trPr>
          <w:cantSplit/>
        </w:trPr>
        <w:tc>
          <w:tcPr>
            <w:tcW w:w="3468" w:type="dxa"/>
            <w:shd w:val="clear" w:color="auto" w:fill="auto"/>
            <w:vAlign w:val="center"/>
          </w:tcPr>
          <w:p w14:paraId="5C9BFAD2" w14:textId="77777777" w:rsidR="00247876" w:rsidRPr="001A1836" w:rsidRDefault="00247876" w:rsidP="00247876">
            <w:pPr>
              <w:spacing w:after="0"/>
            </w:pPr>
            <w:r w:rsidRPr="001A1836">
              <w:t xml:space="preserve">IT Data Analyst </w:t>
            </w:r>
          </w:p>
        </w:tc>
        <w:tc>
          <w:tcPr>
            <w:tcW w:w="1828" w:type="dxa"/>
            <w:tcBorders>
              <w:top w:val="nil"/>
              <w:left w:val="single" w:sz="8" w:space="0" w:color="auto"/>
              <w:bottom w:val="single" w:sz="8" w:space="0" w:color="auto"/>
              <w:right w:val="single" w:sz="8" w:space="0" w:color="auto"/>
            </w:tcBorders>
            <w:shd w:val="clear" w:color="auto" w:fill="auto"/>
          </w:tcPr>
          <w:p w14:paraId="66F22D44" w14:textId="7B66EF36" w:rsidR="00247876" w:rsidRPr="001A1836" w:rsidRDefault="00247876" w:rsidP="00247876">
            <w:pPr>
              <w:spacing w:after="0"/>
              <w:jc w:val="right"/>
            </w:pPr>
            <w:r w:rsidRPr="00D12E31">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73BF87E1" w14:textId="36F3ED38" w:rsidR="00247876" w:rsidRPr="001A1836" w:rsidRDefault="00247876" w:rsidP="00247876">
            <w:pPr>
              <w:spacing w:after="0"/>
              <w:jc w:val="right"/>
            </w:pPr>
            <w:r w:rsidRPr="007538BE">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15CCBE73" w14:textId="46E047E6" w:rsidR="00247876" w:rsidRPr="001A1836" w:rsidRDefault="00247876" w:rsidP="00247876">
            <w:pPr>
              <w:spacing w:after="0"/>
              <w:jc w:val="right"/>
            </w:pPr>
            <w:r w:rsidRPr="0032558F">
              <w:rPr>
                <w:rFonts w:cs="Arial"/>
                <w:color w:val="000000"/>
                <w:sz w:val="20"/>
              </w:rPr>
              <w:t>REDACTED</w:t>
            </w:r>
          </w:p>
        </w:tc>
      </w:tr>
      <w:tr w:rsidR="00247876" w:rsidRPr="001A1836" w14:paraId="5C3A854F" w14:textId="77777777" w:rsidTr="00247876">
        <w:trPr>
          <w:cantSplit/>
        </w:trPr>
        <w:tc>
          <w:tcPr>
            <w:tcW w:w="3468" w:type="dxa"/>
            <w:shd w:val="clear" w:color="auto" w:fill="auto"/>
            <w:vAlign w:val="center"/>
          </w:tcPr>
          <w:p w14:paraId="6DD69786" w14:textId="77777777" w:rsidR="00247876" w:rsidRPr="001A1836" w:rsidRDefault="00247876" w:rsidP="00247876">
            <w:pPr>
              <w:spacing w:after="0"/>
            </w:pPr>
            <w:r w:rsidRPr="001A1836">
              <w:t xml:space="preserve">IT Tester </w:t>
            </w:r>
          </w:p>
        </w:tc>
        <w:tc>
          <w:tcPr>
            <w:tcW w:w="1828" w:type="dxa"/>
            <w:tcBorders>
              <w:top w:val="nil"/>
              <w:left w:val="single" w:sz="8" w:space="0" w:color="auto"/>
              <w:bottom w:val="single" w:sz="8" w:space="0" w:color="auto"/>
              <w:right w:val="single" w:sz="8" w:space="0" w:color="auto"/>
            </w:tcBorders>
            <w:shd w:val="clear" w:color="auto" w:fill="auto"/>
          </w:tcPr>
          <w:p w14:paraId="5C7FF008" w14:textId="25331221" w:rsidR="00247876" w:rsidRPr="001A1836" w:rsidRDefault="00247876" w:rsidP="00247876">
            <w:pPr>
              <w:spacing w:after="0"/>
              <w:jc w:val="right"/>
            </w:pPr>
            <w:r w:rsidRPr="00D12E31">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33284297" w14:textId="334B5215" w:rsidR="00247876" w:rsidRPr="001A1836" w:rsidRDefault="00247876" w:rsidP="00247876">
            <w:pPr>
              <w:spacing w:after="0"/>
              <w:jc w:val="right"/>
            </w:pPr>
            <w:r w:rsidRPr="007538BE">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2A8F72F9" w14:textId="6B98BE27" w:rsidR="00247876" w:rsidRPr="001A1836" w:rsidRDefault="00247876" w:rsidP="00247876">
            <w:pPr>
              <w:spacing w:after="0"/>
              <w:jc w:val="right"/>
            </w:pPr>
            <w:r w:rsidRPr="0032558F">
              <w:rPr>
                <w:rFonts w:cs="Arial"/>
                <w:color w:val="000000"/>
                <w:sz w:val="20"/>
              </w:rPr>
              <w:t>REDACTED</w:t>
            </w:r>
          </w:p>
        </w:tc>
      </w:tr>
      <w:tr w:rsidR="00247876" w:rsidRPr="001A1836" w14:paraId="4C42CA13" w14:textId="77777777" w:rsidTr="00247876">
        <w:trPr>
          <w:cantSplit/>
        </w:trPr>
        <w:tc>
          <w:tcPr>
            <w:tcW w:w="3468" w:type="dxa"/>
            <w:shd w:val="clear" w:color="auto" w:fill="auto"/>
            <w:vAlign w:val="center"/>
          </w:tcPr>
          <w:p w14:paraId="4C191325" w14:textId="77777777" w:rsidR="00247876" w:rsidRPr="001A1836" w:rsidRDefault="00247876" w:rsidP="00247876">
            <w:pPr>
              <w:spacing w:after="0"/>
            </w:pPr>
            <w:r w:rsidRPr="001A1836">
              <w:t xml:space="preserve">IT Architect </w:t>
            </w:r>
          </w:p>
        </w:tc>
        <w:tc>
          <w:tcPr>
            <w:tcW w:w="1828" w:type="dxa"/>
            <w:tcBorders>
              <w:top w:val="nil"/>
              <w:left w:val="single" w:sz="8" w:space="0" w:color="auto"/>
              <w:bottom w:val="single" w:sz="8" w:space="0" w:color="auto"/>
              <w:right w:val="single" w:sz="8" w:space="0" w:color="auto"/>
            </w:tcBorders>
            <w:shd w:val="clear" w:color="auto" w:fill="auto"/>
          </w:tcPr>
          <w:p w14:paraId="79005E69" w14:textId="5DC3C5CB" w:rsidR="00247876" w:rsidRPr="001A1836" w:rsidRDefault="00247876" w:rsidP="00247876">
            <w:pPr>
              <w:spacing w:after="0"/>
              <w:jc w:val="right"/>
            </w:pPr>
            <w:r w:rsidRPr="00D12E31">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1E32D889" w14:textId="3A87DEAE" w:rsidR="00247876" w:rsidRPr="001A1836" w:rsidRDefault="00247876" w:rsidP="00247876">
            <w:pPr>
              <w:spacing w:after="0"/>
              <w:jc w:val="right"/>
            </w:pPr>
            <w:r w:rsidRPr="007538BE">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1FA9B2F3" w14:textId="09767C33" w:rsidR="00247876" w:rsidRPr="001A1836" w:rsidRDefault="00247876" w:rsidP="00247876">
            <w:pPr>
              <w:spacing w:after="0"/>
              <w:jc w:val="right"/>
            </w:pPr>
            <w:r w:rsidRPr="0032558F">
              <w:rPr>
                <w:rFonts w:cs="Arial"/>
                <w:color w:val="000000"/>
                <w:sz w:val="20"/>
              </w:rPr>
              <w:t>REDACTED</w:t>
            </w:r>
          </w:p>
        </w:tc>
      </w:tr>
      <w:tr w:rsidR="00247876" w:rsidRPr="001A1836" w14:paraId="0C70B8C9" w14:textId="77777777" w:rsidTr="00247876">
        <w:trPr>
          <w:cantSplit/>
        </w:trPr>
        <w:tc>
          <w:tcPr>
            <w:tcW w:w="3468" w:type="dxa"/>
            <w:shd w:val="clear" w:color="auto" w:fill="auto"/>
            <w:vAlign w:val="center"/>
          </w:tcPr>
          <w:p w14:paraId="394F24C7" w14:textId="77777777" w:rsidR="00247876" w:rsidRPr="001A1836" w:rsidRDefault="00247876" w:rsidP="00247876">
            <w:pPr>
              <w:spacing w:after="0"/>
            </w:pPr>
            <w:r w:rsidRPr="001A1836">
              <w:t>Administrator</w:t>
            </w:r>
          </w:p>
        </w:tc>
        <w:tc>
          <w:tcPr>
            <w:tcW w:w="1828" w:type="dxa"/>
            <w:tcBorders>
              <w:top w:val="nil"/>
              <w:left w:val="single" w:sz="8" w:space="0" w:color="auto"/>
              <w:bottom w:val="single" w:sz="8" w:space="0" w:color="auto"/>
              <w:right w:val="single" w:sz="8" w:space="0" w:color="auto"/>
            </w:tcBorders>
            <w:shd w:val="clear" w:color="auto" w:fill="auto"/>
          </w:tcPr>
          <w:p w14:paraId="2C42B305" w14:textId="218772D7" w:rsidR="00247876" w:rsidRPr="001A1836" w:rsidRDefault="00247876" w:rsidP="00247876">
            <w:pPr>
              <w:spacing w:after="0"/>
              <w:jc w:val="right"/>
            </w:pPr>
            <w:r w:rsidRPr="00D12E31">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15DAA0A9" w14:textId="644D726D" w:rsidR="00247876" w:rsidRPr="001A1836" w:rsidRDefault="00247876" w:rsidP="00247876">
            <w:pPr>
              <w:spacing w:after="0"/>
              <w:jc w:val="right"/>
            </w:pPr>
            <w:r w:rsidRPr="007538BE">
              <w:rPr>
                <w:rFonts w:cs="Arial"/>
                <w:color w:val="000000"/>
                <w:sz w:val="20"/>
              </w:rPr>
              <w:t>REDACTED</w:t>
            </w:r>
          </w:p>
        </w:tc>
        <w:tc>
          <w:tcPr>
            <w:tcW w:w="1828" w:type="dxa"/>
            <w:tcBorders>
              <w:top w:val="nil"/>
              <w:left w:val="nil"/>
              <w:bottom w:val="single" w:sz="8" w:space="0" w:color="auto"/>
              <w:right w:val="single" w:sz="8" w:space="0" w:color="auto"/>
            </w:tcBorders>
            <w:shd w:val="clear" w:color="auto" w:fill="auto"/>
          </w:tcPr>
          <w:p w14:paraId="7F521EB3" w14:textId="0A2BB504" w:rsidR="00247876" w:rsidRPr="001A1836" w:rsidRDefault="00247876" w:rsidP="00247876">
            <w:pPr>
              <w:spacing w:after="0"/>
              <w:jc w:val="right"/>
            </w:pPr>
            <w:r w:rsidRPr="0032558F">
              <w:rPr>
                <w:rFonts w:cs="Arial"/>
                <w:color w:val="000000"/>
                <w:sz w:val="20"/>
              </w:rPr>
              <w:t>REDACTED</w:t>
            </w:r>
          </w:p>
        </w:tc>
      </w:tr>
    </w:tbl>
    <w:p w14:paraId="5B6D9EF4" w14:textId="77777777" w:rsidR="008B04B9" w:rsidRPr="001A1836" w:rsidRDefault="008B04B9" w:rsidP="008B04B9">
      <w:pPr>
        <w:ind w:left="720"/>
      </w:pPr>
    </w:p>
    <w:p w14:paraId="1777EFBA" w14:textId="3BD3C063" w:rsidR="008B04B9" w:rsidRPr="001A1836" w:rsidRDefault="008B04B9">
      <w:pPr>
        <w:pStyle w:val="GSRL4numberedclause"/>
      </w:pPr>
      <w:r w:rsidRPr="001A1836">
        <w:t xml:space="preserve">The overtime rates for additional services outside </w:t>
      </w:r>
      <w:r w:rsidR="00010038">
        <w:t>the Agreement</w:t>
      </w:r>
      <w:r w:rsidRPr="001A1836">
        <w:t xml:space="preserve"> are set out in Table 4.</w:t>
      </w:r>
    </w:p>
    <w:p w14:paraId="6F347A6D" w14:textId="588F43F4" w:rsidR="008B04B9" w:rsidRPr="001A1836" w:rsidRDefault="008B04B9">
      <w:pPr>
        <w:pStyle w:val="Number"/>
        <w:numPr>
          <w:ilvl w:val="0"/>
          <w:numId w:val="18"/>
        </w:numPr>
        <w:spacing w:before="0"/>
        <w:jc w:val="both"/>
      </w:pPr>
      <w:r w:rsidRPr="001A1836">
        <w:rPr>
          <w:b/>
        </w:rPr>
        <w:t>Table 4</w:t>
      </w:r>
      <w:r w:rsidRPr="001A1836">
        <w:t xml:space="preserve"> Overtime rates</w:t>
      </w:r>
    </w:p>
    <w:tbl>
      <w:tblPr>
        <w:tblStyle w:val="TableGrid"/>
        <w:tblW w:w="0" w:type="auto"/>
        <w:tblLook w:val="04A0" w:firstRow="1" w:lastRow="0" w:firstColumn="1" w:lastColumn="0" w:noHBand="0" w:noVBand="1"/>
      </w:tblPr>
      <w:tblGrid>
        <w:gridCol w:w="5728"/>
        <w:gridCol w:w="2700"/>
      </w:tblGrid>
      <w:tr w:rsidR="00247876" w:rsidRPr="001A1836" w14:paraId="1EEB90BB" w14:textId="77777777" w:rsidTr="008B04B9">
        <w:tc>
          <w:tcPr>
            <w:tcW w:w="5728" w:type="dxa"/>
          </w:tcPr>
          <w:p w14:paraId="4B4988DB" w14:textId="77777777" w:rsidR="00247876" w:rsidRPr="001A1836" w:rsidRDefault="00247876" w:rsidP="00247876">
            <w:r w:rsidRPr="001A1836">
              <w:t>Number of minimum chargeable hours</w:t>
            </w:r>
          </w:p>
        </w:tc>
        <w:tc>
          <w:tcPr>
            <w:tcW w:w="2700" w:type="dxa"/>
          </w:tcPr>
          <w:p w14:paraId="5F140AB4" w14:textId="49CBFFC4" w:rsidR="00247876" w:rsidRPr="001A1836" w:rsidRDefault="00247876" w:rsidP="00247876">
            <w:pPr>
              <w:jc w:val="right"/>
            </w:pPr>
            <w:r w:rsidRPr="005C7CA7">
              <w:rPr>
                <w:rFonts w:cs="Arial"/>
                <w:color w:val="000000"/>
                <w:sz w:val="20"/>
              </w:rPr>
              <w:t>REDACTED</w:t>
            </w:r>
          </w:p>
        </w:tc>
      </w:tr>
      <w:tr w:rsidR="00247876" w:rsidRPr="001A1836" w14:paraId="0264982C" w14:textId="77777777" w:rsidTr="008B04B9">
        <w:tc>
          <w:tcPr>
            <w:tcW w:w="5728" w:type="dxa"/>
          </w:tcPr>
          <w:p w14:paraId="4E1C1AA4" w14:textId="77777777" w:rsidR="00247876" w:rsidRPr="001A1836" w:rsidRDefault="00247876" w:rsidP="00247876">
            <w:r w:rsidRPr="001A1836">
              <w:t xml:space="preserve">Rate premium (if applicable) for weekday activity commencing outside standard service support hours. If the rate premium does not apply in respect of all grades, annotate the grades it does not apply to with an *. </w:t>
            </w:r>
          </w:p>
        </w:tc>
        <w:tc>
          <w:tcPr>
            <w:tcW w:w="2700" w:type="dxa"/>
          </w:tcPr>
          <w:p w14:paraId="2736F513" w14:textId="0DEA0569" w:rsidR="00247876" w:rsidRPr="001A1836" w:rsidRDefault="00247876" w:rsidP="00247876">
            <w:pPr>
              <w:jc w:val="right"/>
            </w:pPr>
            <w:r w:rsidRPr="005C7CA7">
              <w:rPr>
                <w:rFonts w:cs="Arial"/>
                <w:color w:val="000000"/>
                <w:sz w:val="20"/>
              </w:rPr>
              <w:t>REDACTED</w:t>
            </w:r>
          </w:p>
        </w:tc>
      </w:tr>
      <w:tr w:rsidR="00247876" w:rsidRPr="001A1836" w14:paraId="5E77FAB2" w14:textId="77777777" w:rsidTr="008B04B9">
        <w:tc>
          <w:tcPr>
            <w:tcW w:w="5728" w:type="dxa"/>
          </w:tcPr>
          <w:p w14:paraId="682E8149" w14:textId="72574882" w:rsidR="00247876" w:rsidRPr="001A1836" w:rsidRDefault="00247876" w:rsidP="00247876">
            <w:r w:rsidRPr="001A1836">
              <w:t>Rate premium (if applicable) for weekend activity commencing outside standard service support hours. If the rate premium does not apply in respect of all grades, annotate the grades it does not apply to with an *.</w:t>
            </w:r>
          </w:p>
        </w:tc>
        <w:tc>
          <w:tcPr>
            <w:tcW w:w="2700" w:type="dxa"/>
          </w:tcPr>
          <w:p w14:paraId="5B22BB4A" w14:textId="19876F44" w:rsidR="00247876" w:rsidRPr="001A1836" w:rsidRDefault="00247876" w:rsidP="00247876">
            <w:pPr>
              <w:jc w:val="right"/>
            </w:pPr>
            <w:r w:rsidRPr="005C7CA7">
              <w:rPr>
                <w:rFonts w:cs="Arial"/>
                <w:color w:val="000000"/>
                <w:sz w:val="20"/>
              </w:rPr>
              <w:t>REDACTED</w:t>
            </w:r>
          </w:p>
        </w:tc>
      </w:tr>
      <w:tr w:rsidR="00247876" w:rsidRPr="001A1836" w14:paraId="0A18EB37" w14:textId="77777777" w:rsidTr="008B04B9">
        <w:tc>
          <w:tcPr>
            <w:tcW w:w="5728" w:type="dxa"/>
          </w:tcPr>
          <w:p w14:paraId="3BD95F52" w14:textId="77777777" w:rsidR="00247876" w:rsidRPr="001A1836" w:rsidRDefault="00247876" w:rsidP="00247876">
            <w:r w:rsidRPr="001A1836">
              <w:t>Rate premium for bank holiday hours (if applicable). If the rate premium does not apply in respect of all grades, annotate the grades it does not apply to with an *.</w:t>
            </w:r>
          </w:p>
        </w:tc>
        <w:tc>
          <w:tcPr>
            <w:tcW w:w="2700" w:type="dxa"/>
          </w:tcPr>
          <w:p w14:paraId="1D2AB2C5" w14:textId="3265E74C" w:rsidR="00247876" w:rsidRPr="001A1836" w:rsidRDefault="00247876" w:rsidP="00247876">
            <w:pPr>
              <w:jc w:val="right"/>
            </w:pPr>
            <w:r w:rsidRPr="005C7CA7">
              <w:rPr>
                <w:rFonts w:cs="Arial"/>
                <w:color w:val="000000"/>
                <w:sz w:val="20"/>
              </w:rPr>
              <w:t>REDACTED</w:t>
            </w:r>
          </w:p>
        </w:tc>
      </w:tr>
      <w:bookmarkEnd w:id="562"/>
    </w:tbl>
    <w:p w14:paraId="79044091" w14:textId="77777777" w:rsidR="008B04B9" w:rsidRPr="001A1836" w:rsidRDefault="008B04B9"/>
    <w:p w14:paraId="332E0598" w14:textId="77777777" w:rsidR="008B04B9" w:rsidRPr="001A1836" w:rsidRDefault="008B04B9" w:rsidP="008B04B9"/>
    <w:p w14:paraId="274CE7C7" w14:textId="77777777" w:rsidR="00394111" w:rsidRPr="001A1836" w:rsidRDefault="00394111" w:rsidP="009064B4">
      <w:pPr>
        <w:pStyle w:val="GSRL1Scheduleheader"/>
        <w:sectPr w:rsidR="00394111" w:rsidRPr="001A1836" w:rsidSect="00F87B8D">
          <w:footerReference w:type="default" r:id="rId16"/>
          <w:pgSz w:w="11900" w:h="16840"/>
          <w:pgMar w:top="1134" w:right="1440" w:bottom="1440" w:left="1440" w:header="1077" w:footer="833" w:gutter="0"/>
          <w:cols w:space="708"/>
        </w:sectPr>
      </w:pPr>
    </w:p>
    <w:p w14:paraId="28E602A3" w14:textId="3B9A3E18" w:rsidR="00B074CC" w:rsidRPr="001A1836" w:rsidRDefault="00B074CC" w:rsidP="009064B4">
      <w:pPr>
        <w:pStyle w:val="GSRL1Scheduleheader"/>
      </w:pPr>
      <w:bookmarkStart w:id="747" w:name="_Toc129038161"/>
      <w:bookmarkStart w:id="748" w:name="_Toc129038447"/>
      <w:bookmarkStart w:id="749" w:name="_Toc132268017"/>
      <w:bookmarkStart w:id="750" w:name="_Toc132268323"/>
      <w:bookmarkStart w:id="751" w:name="_Toc136198574"/>
      <w:bookmarkStart w:id="752" w:name="_Toc136198855"/>
      <w:bookmarkStart w:id="753" w:name="_Toc188885249"/>
      <w:r w:rsidRPr="001A1836">
        <w:lastRenderedPageBreak/>
        <w:t xml:space="preserve">SCHEDULE 3: </w:t>
      </w:r>
      <w:r w:rsidR="004C2FF4" w:rsidRPr="001A1836">
        <w:t>Service Levels</w:t>
      </w:r>
      <w:bookmarkEnd w:id="747"/>
      <w:bookmarkEnd w:id="748"/>
      <w:bookmarkEnd w:id="749"/>
      <w:bookmarkEnd w:id="750"/>
      <w:bookmarkEnd w:id="751"/>
      <w:bookmarkEnd w:id="752"/>
      <w:bookmarkEnd w:id="753"/>
    </w:p>
    <w:p w14:paraId="1AFFEF4C" w14:textId="77777777" w:rsidR="00B074CC" w:rsidRPr="001A1836" w:rsidRDefault="00B074CC" w:rsidP="009064B4"/>
    <w:p w14:paraId="1A789E16" w14:textId="77777777" w:rsidR="00B074CC" w:rsidRPr="001A1836" w:rsidRDefault="00B074CC" w:rsidP="00B47925">
      <w:pPr>
        <w:pStyle w:val="GSRL2Sectionheading"/>
      </w:pPr>
      <w:r w:rsidRPr="001A1836">
        <w:br w:type="page"/>
      </w:r>
      <w:bookmarkStart w:id="754" w:name="_Toc521326995"/>
      <w:bookmarkStart w:id="755" w:name="_Toc521333228"/>
      <w:bookmarkStart w:id="756" w:name="_Toc521496788"/>
      <w:bookmarkStart w:id="757" w:name="_Toc521498230"/>
      <w:bookmarkStart w:id="758" w:name="_Toc529345966"/>
      <w:bookmarkStart w:id="759" w:name="_Toc129038163"/>
      <w:bookmarkStart w:id="760" w:name="_Toc129038449"/>
      <w:bookmarkStart w:id="761" w:name="_Toc132268019"/>
      <w:bookmarkStart w:id="762" w:name="_Toc132268325"/>
      <w:bookmarkStart w:id="763" w:name="_Toc136198576"/>
      <w:bookmarkStart w:id="764" w:name="_Toc136198857"/>
      <w:bookmarkStart w:id="765" w:name="Schedule3"/>
      <w:r w:rsidRPr="001A1836">
        <w:lastRenderedPageBreak/>
        <w:t>Introduction</w:t>
      </w:r>
      <w:bookmarkEnd w:id="754"/>
      <w:bookmarkEnd w:id="755"/>
      <w:bookmarkEnd w:id="756"/>
      <w:bookmarkEnd w:id="757"/>
      <w:bookmarkEnd w:id="758"/>
      <w:bookmarkEnd w:id="759"/>
      <w:bookmarkEnd w:id="760"/>
      <w:bookmarkEnd w:id="761"/>
      <w:bookmarkEnd w:id="762"/>
      <w:bookmarkEnd w:id="763"/>
      <w:bookmarkEnd w:id="764"/>
    </w:p>
    <w:p w14:paraId="20558132" w14:textId="77777777" w:rsidR="00B074CC" w:rsidRPr="001A1836" w:rsidRDefault="00B074CC" w:rsidP="004E2262">
      <w:pPr>
        <w:pStyle w:val="GSRL3heading"/>
        <w:numPr>
          <w:ilvl w:val="0"/>
          <w:numId w:val="60"/>
        </w:numPr>
      </w:pPr>
      <w:bookmarkStart w:id="766" w:name="_Toc521326996"/>
      <w:bookmarkStart w:id="767" w:name="_Toc521333229"/>
      <w:bookmarkStart w:id="768" w:name="_Toc521483979"/>
      <w:bookmarkStart w:id="769" w:name="_Toc521484742"/>
      <w:bookmarkStart w:id="770" w:name="_Toc521485073"/>
      <w:bookmarkStart w:id="771" w:name="_Toc521496789"/>
      <w:bookmarkStart w:id="772" w:name="_Toc521498231"/>
      <w:bookmarkStart w:id="773" w:name="_Toc529345967"/>
      <w:bookmarkStart w:id="774" w:name="_Toc129038164"/>
      <w:bookmarkStart w:id="775" w:name="_Toc129038450"/>
      <w:bookmarkStart w:id="776" w:name="_Toc132268020"/>
      <w:bookmarkStart w:id="777" w:name="_Toc132268326"/>
      <w:bookmarkStart w:id="778" w:name="_Toc136198577"/>
      <w:bookmarkStart w:id="779" w:name="_Toc136198858"/>
      <w:r w:rsidRPr="001A1836">
        <w:t>Overview</w:t>
      </w:r>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r w:rsidRPr="001A1836">
        <w:t xml:space="preserve"> </w:t>
      </w:r>
    </w:p>
    <w:p w14:paraId="0B4A0E6B" w14:textId="77777777" w:rsidR="00B074CC" w:rsidRPr="001A1836" w:rsidRDefault="00B074CC">
      <w:pPr>
        <w:pStyle w:val="GSRL4numberedclause"/>
      </w:pPr>
      <w:r w:rsidRPr="001A1836">
        <w:t>This Schedule sets out:</w:t>
      </w:r>
    </w:p>
    <w:p w14:paraId="3317DBA4" w14:textId="77777777" w:rsidR="00B074CC" w:rsidRPr="001A1836" w:rsidRDefault="00B074CC">
      <w:pPr>
        <w:pStyle w:val="GSRL5numberedclause"/>
      </w:pPr>
      <w:r w:rsidRPr="001A1836">
        <w:t>the Service Levels that the Provider is required to achieve when delivering the Services, the mechanism by which Service Level Failures will be managed and the method by which the Provider's performance of the Services will be monitored;</w:t>
      </w:r>
    </w:p>
    <w:p w14:paraId="3551E1F8" w14:textId="77777777" w:rsidR="00B074CC" w:rsidRPr="001A1836" w:rsidRDefault="00B074CC">
      <w:pPr>
        <w:pStyle w:val="GSRL5numberedclause"/>
      </w:pPr>
      <w:r w:rsidRPr="001A1836">
        <w:t xml:space="preserve">how Service Points are accumulated; </w:t>
      </w:r>
    </w:p>
    <w:p w14:paraId="2156B432" w14:textId="77777777" w:rsidR="00B074CC" w:rsidRPr="001A1836" w:rsidRDefault="00B074CC">
      <w:pPr>
        <w:pStyle w:val="GSRL5numberedclause"/>
      </w:pPr>
      <w:r w:rsidRPr="001A1836">
        <w:t>how Service Credits are applied; and</w:t>
      </w:r>
    </w:p>
    <w:p w14:paraId="164BB87C" w14:textId="77777777" w:rsidR="00B074CC" w:rsidRPr="001A1836" w:rsidRDefault="00B074CC">
      <w:pPr>
        <w:pStyle w:val="GSRL5numberedclause"/>
      </w:pPr>
      <w:r w:rsidRPr="001A1836">
        <w:t xml:space="preserve">any additional measures required where there is a Service Level Failure. </w:t>
      </w:r>
    </w:p>
    <w:p w14:paraId="71F12A1C" w14:textId="77777777" w:rsidR="00B074CC" w:rsidRPr="001A1836" w:rsidRDefault="00B074CC">
      <w:pPr>
        <w:pStyle w:val="GSRL4numberedclause"/>
      </w:pPr>
      <w:r w:rsidRPr="001A1836">
        <w:t xml:space="preserve">The objectives of the Service Levels, Service Points and Service Credits are to: </w:t>
      </w:r>
    </w:p>
    <w:p w14:paraId="4BE975CC" w14:textId="77777777" w:rsidR="00B074CC" w:rsidRPr="001A1836" w:rsidRDefault="00B074CC">
      <w:pPr>
        <w:pStyle w:val="GSRL5numberedclause"/>
      </w:pPr>
      <w:r w:rsidRPr="001A1836">
        <w:t xml:space="preserve">ensure that the Services are of a consistently high quality; and </w:t>
      </w:r>
    </w:p>
    <w:p w14:paraId="5658F63D" w14:textId="77777777" w:rsidR="00B074CC" w:rsidRPr="001A1836" w:rsidRDefault="00B074CC">
      <w:pPr>
        <w:pStyle w:val="GSRL5numberedclause"/>
      </w:pPr>
      <w:r w:rsidRPr="001A1836">
        <w:t xml:space="preserve">incentivise the Provider to meet the Service Levels and to remedy any failure to meet Service Levels expeditiously. </w:t>
      </w:r>
    </w:p>
    <w:p w14:paraId="2DEB67EA" w14:textId="77777777" w:rsidR="00B074CC" w:rsidRPr="001A1836" w:rsidRDefault="00B074CC">
      <w:pPr>
        <w:pStyle w:val="GSRL4numberedclause"/>
      </w:pPr>
      <w:r w:rsidRPr="001A1836">
        <w:t xml:space="preserve">The Provider shall provide accurate, complete and up-to-date reports on the Service Levels in accordance with the provisions set out in this Agreement, including any relevant Schedules. </w:t>
      </w:r>
    </w:p>
    <w:p w14:paraId="3AFE491C" w14:textId="77777777" w:rsidR="00B074CC" w:rsidRPr="001A1836" w:rsidRDefault="00B074CC" w:rsidP="00B47925">
      <w:pPr>
        <w:pStyle w:val="GSRL2Sectionheading"/>
      </w:pPr>
      <w:bookmarkStart w:id="780" w:name="_Toc521326997"/>
      <w:bookmarkStart w:id="781" w:name="_Toc521333230"/>
      <w:bookmarkStart w:id="782" w:name="_Toc521496790"/>
      <w:bookmarkStart w:id="783" w:name="_Toc521498232"/>
      <w:bookmarkStart w:id="784" w:name="_Toc529345968"/>
      <w:bookmarkStart w:id="785" w:name="_Toc129038165"/>
      <w:bookmarkStart w:id="786" w:name="_Toc129038451"/>
      <w:bookmarkStart w:id="787" w:name="_Toc132268021"/>
      <w:bookmarkStart w:id="788" w:name="_Toc132268327"/>
      <w:bookmarkStart w:id="789" w:name="_Toc136198578"/>
      <w:bookmarkStart w:id="790" w:name="_Toc136198859"/>
      <w:r w:rsidRPr="001A1836">
        <w:t>General Principles</w:t>
      </w:r>
      <w:bookmarkEnd w:id="780"/>
      <w:bookmarkEnd w:id="781"/>
      <w:bookmarkEnd w:id="782"/>
      <w:bookmarkEnd w:id="783"/>
      <w:bookmarkEnd w:id="784"/>
      <w:bookmarkEnd w:id="785"/>
      <w:bookmarkEnd w:id="786"/>
      <w:bookmarkEnd w:id="787"/>
      <w:bookmarkEnd w:id="788"/>
      <w:bookmarkEnd w:id="789"/>
      <w:bookmarkEnd w:id="790"/>
    </w:p>
    <w:p w14:paraId="48478D7D" w14:textId="77777777" w:rsidR="00B074CC" w:rsidRPr="001A1836" w:rsidRDefault="00B074CC">
      <w:pPr>
        <w:pStyle w:val="GSRL3heading"/>
      </w:pPr>
      <w:bookmarkStart w:id="791" w:name="_Toc521326998"/>
      <w:bookmarkStart w:id="792" w:name="_Toc521333231"/>
      <w:bookmarkStart w:id="793" w:name="_Toc521483980"/>
      <w:bookmarkStart w:id="794" w:name="_Toc521484743"/>
      <w:bookmarkStart w:id="795" w:name="_Toc521485074"/>
      <w:bookmarkStart w:id="796" w:name="_Toc521496791"/>
      <w:bookmarkStart w:id="797" w:name="_Toc521498233"/>
      <w:bookmarkStart w:id="798" w:name="_Toc529345969"/>
      <w:bookmarkStart w:id="799" w:name="_Toc129038166"/>
      <w:bookmarkStart w:id="800" w:name="_Toc129038452"/>
      <w:bookmarkStart w:id="801" w:name="_Toc132268022"/>
      <w:bookmarkStart w:id="802" w:name="_Toc132268328"/>
      <w:bookmarkStart w:id="803" w:name="_Toc136198579"/>
      <w:bookmarkStart w:id="804" w:name="_Toc136198860"/>
      <w:r w:rsidRPr="001A1836">
        <w:t>Service Levels</w:t>
      </w:r>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p>
    <w:p w14:paraId="7C0BD7D6" w14:textId="1D1ECEF2" w:rsidR="00B074CC" w:rsidRPr="001A1836" w:rsidRDefault="00B074CC">
      <w:pPr>
        <w:pStyle w:val="GSRL4numberedclause"/>
      </w:pPr>
      <w:r w:rsidRPr="001A1836">
        <w:t xml:space="preserve">The Provider shall at all times during the Term provide the Services to meet or exceed the Service Level Performance Measure for each Service Level as set out in Annex 1 to this Schedule. </w:t>
      </w:r>
    </w:p>
    <w:p w14:paraId="6D642E5E" w14:textId="440072E9" w:rsidR="00B074CC" w:rsidRPr="001A1836" w:rsidRDefault="00B074CC">
      <w:pPr>
        <w:pStyle w:val="GSRL4numberedclause"/>
      </w:pPr>
      <w:r w:rsidRPr="001A1836">
        <w:t xml:space="preserve">A failure to meet or exceed the </w:t>
      </w:r>
      <w:r w:rsidR="00E35575">
        <w:t>Service Level Performance Measure</w:t>
      </w:r>
      <w:r w:rsidRPr="001A1836">
        <w:t xml:space="preserve"> for each Service Level shall constitute a Service Level Failure.</w:t>
      </w:r>
    </w:p>
    <w:p w14:paraId="3753AF48" w14:textId="77777777" w:rsidR="00B074CC" w:rsidRPr="001A1836" w:rsidRDefault="00B074CC">
      <w:pPr>
        <w:pStyle w:val="GSRL4numberedclause"/>
      </w:pPr>
      <w:r w:rsidRPr="001A1836">
        <w:t>Service Level Failures shall result in:</w:t>
      </w:r>
    </w:p>
    <w:p w14:paraId="20781C9F" w14:textId="77777777" w:rsidR="00B074CC" w:rsidRPr="001A1836" w:rsidRDefault="00B074CC">
      <w:pPr>
        <w:pStyle w:val="GSRL5numberedclause"/>
      </w:pPr>
      <w:r w:rsidRPr="001A1836">
        <w:t>the accumulation of Service Points; and/or</w:t>
      </w:r>
    </w:p>
    <w:p w14:paraId="3AEED3D5" w14:textId="77777777" w:rsidR="00B074CC" w:rsidRPr="001A1836" w:rsidRDefault="00B074CC">
      <w:pPr>
        <w:pStyle w:val="GSRL5numberedclause"/>
      </w:pPr>
      <w:r w:rsidRPr="001A1836">
        <w:t>Service Credits; and/or</w:t>
      </w:r>
    </w:p>
    <w:p w14:paraId="77416492" w14:textId="77777777" w:rsidR="00B074CC" w:rsidRPr="001A1836" w:rsidRDefault="00B074CC">
      <w:pPr>
        <w:pStyle w:val="GSRL5numberedclause"/>
      </w:pPr>
      <w:r w:rsidRPr="001A1836">
        <w:t>the implementation of additional measures.</w:t>
      </w:r>
    </w:p>
    <w:p w14:paraId="22BC3F35" w14:textId="77777777" w:rsidR="00B074CC" w:rsidRPr="001A1836" w:rsidRDefault="00B074CC">
      <w:pPr>
        <w:pStyle w:val="GSRL3heading"/>
      </w:pPr>
      <w:bookmarkStart w:id="805" w:name="_Toc521326999"/>
      <w:bookmarkStart w:id="806" w:name="_Toc521333232"/>
      <w:bookmarkStart w:id="807" w:name="_Toc521483981"/>
      <w:bookmarkStart w:id="808" w:name="_Toc521484744"/>
      <w:bookmarkStart w:id="809" w:name="_Toc521485075"/>
      <w:bookmarkStart w:id="810" w:name="_Toc521496792"/>
      <w:bookmarkStart w:id="811" w:name="_Toc521498234"/>
      <w:bookmarkStart w:id="812" w:name="_Toc529345970"/>
      <w:bookmarkStart w:id="813" w:name="_Toc129038167"/>
      <w:bookmarkStart w:id="814" w:name="_Toc129038453"/>
      <w:bookmarkStart w:id="815" w:name="_Toc132268023"/>
      <w:bookmarkStart w:id="816" w:name="_Toc132268329"/>
      <w:bookmarkStart w:id="817" w:name="_Toc136198580"/>
      <w:bookmarkStart w:id="818" w:name="_Toc136198861"/>
      <w:r w:rsidRPr="001A1836">
        <w:t>Service Points</w:t>
      </w:r>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p>
    <w:p w14:paraId="2AD1ABFF" w14:textId="77777777" w:rsidR="00B074CC" w:rsidRPr="001A1836" w:rsidRDefault="00B074CC">
      <w:pPr>
        <w:pStyle w:val="GSRL4numberedclause"/>
      </w:pPr>
      <w:r w:rsidRPr="001A1836">
        <w:t xml:space="preserve">Where there is a Service Level Failure, the Provider shall accumulate Service Points in respect of the specific Service Level Failure. </w:t>
      </w:r>
    </w:p>
    <w:p w14:paraId="48C02403" w14:textId="77777777" w:rsidR="00B074CC" w:rsidRPr="001A1836" w:rsidRDefault="00B074CC">
      <w:pPr>
        <w:pStyle w:val="GSRL4numberedclause"/>
      </w:pPr>
      <w:r w:rsidRPr="001A1836">
        <w:t>The number of Service Points that shall accumulate shall be calculated as follows:</w:t>
      </w:r>
    </w:p>
    <w:p w14:paraId="0E3260C8" w14:textId="77777777" w:rsidR="00B074CC" w:rsidRPr="001A1836" w:rsidRDefault="00B074CC" w:rsidP="00626054">
      <w:pPr>
        <w:spacing w:after="0"/>
        <w:ind w:left="720" w:hanging="720"/>
        <w:rPr>
          <w:rFonts w:eastAsia="Calibri"/>
        </w:rPr>
      </w:pPr>
    </w:p>
    <w:p w14:paraId="3DB79C64" w14:textId="77777777" w:rsidR="00B074CC" w:rsidRPr="001A1836" w:rsidRDefault="00B074CC" w:rsidP="00626054">
      <w:pPr>
        <w:spacing w:after="0"/>
        <w:ind w:left="720" w:hanging="720"/>
        <w:rPr>
          <w:rFonts w:eastAsia="Calibri"/>
          <w:b/>
        </w:rPr>
      </w:pPr>
      <w:r w:rsidRPr="001A1836">
        <w:rPr>
          <w:rFonts w:eastAsia="Calibri"/>
          <w:b/>
        </w:rPr>
        <w:tab/>
        <w:t xml:space="preserve">SP = P x M </w:t>
      </w:r>
    </w:p>
    <w:p w14:paraId="47F789F6" w14:textId="77777777" w:rsidR="00B074CC" w:rsidRPr="001A1836" w:rsidRDefault="00B074CC" w:rsidP="00626054">
      <w:pPr>
        <w:spacing w:after="0"/>
        <w:ind w:left="720" w:hanging="720"/>
        <w:rPr>
          <w:rFonts w:eastAsia="Calibri"/>
        </w:rPr>
      </w:pPr>
    </w:p>
    <w:p w14:paraId="7E746FD7" w14:textId="77777777" w:rsidR="00B074CC" w:rsidRPr="001A1836" w:rsidRDefault="00B074CC" w:rsidP="00626054">
      <w:pPr>
        <w:spacing w:after="0"/>
        <w:ind w:left="720" w:hanging="720"/>
        <w:rPr>
          <w:rFonts w:eastAsia="Calibri"/>
        </w:rPr>
      </w:pPr>
      <w:r w:rsidRPr="001A1836">
        <w:rPr>
          <w:rFonts w:eastAsia="Calibri"/>
        </w:rPr>
        <w:tab/>
        <w:t xml:space="preserve">Where: </w:t>
      </w:r>
    </w:p>
    <w:p w14:paraId="53F38443" w14:textId="77777777" w:rsidR="00B074CC" w:rsidRPr="001A1836" w:rsidRDefault="00B074CC" w:rsidP="00626054">
      <w:pPr>
        <w:spacing w:after="0"/>
        <w:ind w:left="720" w:hanging="720"/>
        <w:rPr>
          <w:rFonts w:eastAsia="Calibri"/>
        </w:rPr>
      </w:pPr>
      <w:r w:rsidRPr="001A1836">
        <w:rPr>
          <w:rFonts w:eastAsia="Calibri"/>
        </w:rPr>
        <w:tab/>
      </w:r>
    </w:p>
    <w:p w14:paraId="4025F39A" w14:textId="77777777" w:rsidR="00B074CC" w:rsidRPr="001A1836" w:rsidRDefault="00B074CC" w:rsidP="00626054">
      <w:pPr>
        <w:spacing w:after="0"/>
        <w:ind w:left="720" w:hanging="720"/>
        <w:rPr>
          <w:rFonts w:eastAsia="Calibri"/>
        </w:rPr>
      </w:pPr>
      <w:r w:rsidRPr="001A1836">
        <w:rPr>
          <w:rFonts w:eastAsia="Calibri"/>
          <w:b/>
        </w:rPr>
        <w:lastRenderedPageBreak/>
        <w:tab/>
        <w:t>SP</w:t>
      </w:r>
      <w:r w:rsidRPr="001A1836">
        <w:rPr>
          <w:rFonts w:eastAsia="Calibri"/>
        </w:rPr>
        <w:t xml:space="preserve"> = the number of Service Points that shall accumulate in respect of a Service Level Failure; </w:t>
      </w:r>
    </w:p>
    <w:p w14:paraId="0AFF3F0E" w14:textId="77777777" w:rsidR="00B074CC" w:rsidRPr="001A1836" w:rsidRDefault="00B074CC" w:rsidP="00626054">
      <w:pPr>
        <w:spacing w:after="0"/>
        <w:ind w:left="720" w:hanging="720"/>
        <w:rPr>
          <w:rFonts w:eastAsia="Calibri"/>
        </w:rPr>
      </w:pPr>
    </w:p>
    <w:p w14:paraId="7D22A2F8" w14:textId="77777777" w:rsidR="00B074CC" w:rsidRPr="001A1836" w:rsidRDefault="00B074CC" w:rsidP="00626054">
      <w:pPr>
        <w:spacing w:after="0"/>
        <w:ind w:left="720" w:hanging="720"/>
        <w:rPr>
          <w:rFonts w:eastAsia="Calibri"/>
        </w:rPr>
      </w:pPr>
      <w:r w:rsidRPr="001A1836">
        <w:rPr>
          <w:rFonts w:eastAsia="Calibri"/>
          <w:b/>
        </w:rPr>
        <w:tab/>
        <w:t>P</w:t>
      </w:r>
      <w:r w:rsidRPr="001A1836">
        <w:rPr>
          <w:rFonts w:eastAsia="Calibri"/>
        </w:rPr>
        <w:t xml:space="preserve"> = the number of Service Points accumulated in accordance with Annex 1 to this Schedule 3; and</w:t>
      </w:r>
    </w:p>
    <w:p w14:paraId="34D30EB6" w14:textId="77777777" w:rsidR="00B074CC" w:rsidRPr="001A1836" w:rsidRDefault="00B074CC" w:rsidP="00626054">
      <w:pPr>
        <w:spacing w:after="0"/>
        <w:ind w:left="720" w:hanging="720"/>
        <w:rPr>
          <w:rFonts w:eastAsia="Calibri"/>
        </w:rPr>
      </w:pPr>
    </w:p>
    <w:p w14:paraId="1FE83775" w14:textId="77777777" w:rsidR="00B074CC" w:rsidRPr="001A1836" w:rsidRDefault="00B074CC" w:rsidP="00626054">
      <w:pPr>
        <w:spacing w:after="0"/>
        <w:ind w:left="720" w:hanging="720"/>
        <w:rPr>
          <w:rFonts w:eastAsia="Calibri"/>
        </w:rPr>
      </w:pPr>
      <w:r w:rsidRPr="001A1836">
        <w:rPr>
          <w:rFonts w:eastAsia="Calibri"/>
          <w:b/>
        </w:rPr>
        <w:tab/>
        <w:t>M</w:t>
      </w:r>
      <w:r w:rsidRPr="001A1836">
        <w:rPr>
          <w:rFonts w:eastAsia="Calibri"/>
        </w:rPr>
        <w:t xml:space="preserve"> = the Repeat Multiplier as shown in Table 1 below.</w:t>
      </w:r>
    </w:p>
    <w:p w14:paraId="7B48110C" w14:textId="70607045" w:rsidR="00B074CC" w:rsidRPr="001A1836" w:rsidRDefault="00B074CC" w:rsidP="00626054">
      <w:pPr>
        <w:spacing w:after="0"/>
        <w:rPr>
          <w:rFonts w:eastAsia="Calibri"/>
        </w:rPr>
      </w:pPr>
    </w:p>
    <w:p w14:paraId="504EC219" w14:textId="2443C4A1" w:rsidR="00B074CC" w:rsidRPr="001A1836" w:rsidRDefault="00B074CC">
      <w:pPr>
        <w:pStyle w:val="GSRL4numberedclause"/>
      </w:pPr>
      <w:r w:rsidRPr="001A1836">
        <w:t>In respect of Service Levels with a Monthly Service Measurement Period, Service Points shall accumulate as identified in Annex 1 to this Schedule 3.</w:t>
      </w:r>
    </w:p>
    <w:p w14:paraId="573F6042" w14:textId="6A0FDBE1" w:rsidR="00B074CC" w:rsidRPr="001A1836" w:rsidRDefault="00B074CC">
      <w:pPr>
        <w:pStyle w:val="GSRL4numberedclause"/>
      </w:pPr>
      <w:r w:rsidRPr="001A1836">
        <w:t>In respect of Service Levels with an Annual Service Measurement Period, Service Points shall accumulate as identified in Annex 1 to this Schedule 3.</w:t>
      </w:r>
    </w:p>
    <w:p w14:paraId="355CB80B" w14:textId="77777777" w:rsidR="00B074CC" w:rsidRPr="001A1836" w:rsidRDefault="00B074CC">
      <w:pPr>
        <w:pStyle w:val="GSRL3heading"/>
      </w:pPr>
      <w:bookmarkStart w:id="819" w:name="_Toc521327000"/>
      <w:bookmarkStart w:id="820" w:name="_Toc521333233"/>
      <w:bookmarkStart w:id="821" w:name="_Toc521483982"/>
      <w:bookmarkStart w:id="822" w:name="_Toc521484745"/>
      <w:bookmarkStart w:id="823" w:name="_Toc521485076"/>
      <w:bookmarkStart w:id="824" w:name="_Toc521496793"/>
      <w:bookmarkStart w:id="825" w:name="_Toc521498235"/>
      <w:bookmarkStart w:id="826" w:name="_Toc529345971"/>
      <w:bookmarkStart w:id="827" w:name="_Toc129038168"/>
      <w:bookmarkStart w:id="828" w:name="_Toc129038454"/>
      <w:bookmarkStart w:id="829" w:name="_Toc132268024"/>
      <w:bookmarkStart w:id="830" w:name="_Toc132268330"/>
      <w:bookmarkStart w:id="831" w:name="_Toc136198581"/>
      <w:bookmarkStart w:id="832" w:name="_Toc136198862"/>
      <w:bookmarkStart w:id="833" w:name="_Hlk525215278"/>
      <w:r w:rsidRPr="001A1836">
        <w:t>Repeat Service Level Failure</w:t>
      </w:r>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p>
    <w:p w14:paraId="410D3F55" w14:textId="77777777" w:rsidR="00B074CC" w:rsidRPr="001A1836" w:rsidRDefault="00B074CC">
      <w:pPr>
        <w:pStyle w:val="GSRL4numberedclause"/>
      </w:pPr>
      <w:r w:rsidRPr="001A1836">
        <w:t>Service Levels with Monthly Service Measurement Period</w:t>
      </w:r>
    </w:p>
    <w:p w14:paraId="344388B4" w14:textId="0C069CF4" w:rsidR="00B074CC" w:rsidRPr="001A1836" w:rsidRDefault="00B074CC">
      <w:pPr>
        <w:pStyle w:val="GSRL5numberedclause"/>
      </w:pPr>
      <w:r w:rsidRPr="001A1836">
        <w:t xml:space="preserve">Where the Provider fails to meet or exceed a particular Service Level Performance Measure in respect of a Monthly Service Level more than once in any given three (3) Month Rolling Period, the Service Points accumulated by the Provider in respect </w:t>
      </w:r>
      <w:r w:rsidR="0046405B" w:rsidRPr="001A1836">
        <w:t>of t</w:t>
      </w:r>
      <w:r w:rsidR="007D7BB9" w:rsidRPr="001A1836">
        <w:t>hat</w:t>
      </w:r>
      <w:r w:rsidR="0046405B" w:rsidRPr="001A1836">
        <w:t xml:space="preserve"> </w:t>
      </w:r>
      <w:r w:rsidR="00C03019" w:rsidRPr="001A1836">
        <w:t xml:space="preserve">particular Service Level Performance Measure failure </w:t>
      </w:r>
      <w:r w:rsidRPr="001A1836">
        <w:t>shall be subject to the Repeat Failure Multiplier set out in Table 1 below.</w:t>
      </w:r>
    </w:p>
    <w:p w14:paraId="1DE03FA7" w14:textId="77777777" w:rsidR="00B074CC" w:rsidRPr="001A1836" w:rsidRDefault="00B074CC">
      <w:pPr>
        <w:pStyle w:val="GSRL4numberedclause"/>
      </w:pPr>
      <w:r w:rsidRPr="001A1836">
        <w:t>Service Levels with an Annual Service Measurement Period</w:t>
      </w:r>
    </w:p>
    <w:p w14:paraId="3EF6B07A" w14:textId="36032A71" w:rsidR="00B074CC" w:rsidRPr="001A1836" w:rsidRDefault="00B074CC">
      <w:pPr>
        <w:pStyle w:val="GSRL5numberedclause"/>
      </w:pPr>
      <w:r w:rsidRPr="001A1836">
        <w:t xml:space="preserve">Where the Provider fails to meet or exceed a </w:t>
      </w:r>
      <w:r w:rsidR="00C03019" w:rsidRPr="001A1836">
        <w:t xml:space="preserve">particular </w:t>
      </w:r>
      <w:r w:rsidRPr="001A1836">
        <w:t>Service Level Performance Measure in respect of a</w:t>
      </w:r>
      <w:r w:rsidR="00C03019" w:rsidRPr="001A1836">
        <w:t>n</w:t>
      </w:r>
      <w:r w:rsidRPr="001A1836">
        <w:t xml:space="preserve"> Annual Service Level in a Service Measurement Period and then fails to meet or exceed the same </w:t>
      </w:r>
      <w:r w:rsidR="006B133D">
        <w:t>Service</w:t>
      </w:r>
      <w:r w:rsidRPr="001A1836">
        <w:t xml:space="preserve"> Level</w:t>
      </w:r>
      <w:r w:rsidR="006B133D">
        <w:t xml:space="preserve"> Performance Measure</w:t>
      </w:r>
      <w:r w:rsidRPr="001A1836">
        <w:t xml:space="preserve"> in the subsequent Service Measurement Period, the Service Points accumulated by the Provider in respect of t</w:t>
      </w:r>
      <w:r w:rsidR="007D7BB9" w:rsidRPr="001A1836">
        <w:t>hat</w:t>
      </w:r>
      <w:r w:rsidRPr="001A1836">
        <w:t xml:space="preserve"> </w:t>
      </w:r>
      <w:r w:rsidR="00C03019" w:rsidRPr="001A1836">
        <w:t xml:space="preserve">particular Service Level Performance Measure failure </w:t>
      </w:r>
      <w:r w:rsidR="00E35575">
        <w:t xml:space="preserve">for such Service Measurement Period </w:t>
      </w:r>
      <w:r w:rsidRPr="001A1836">
        <w:t>shall be subject to the Repeat Failure Multiplier set out in Table 1 below.</w:t>
      </w:r>
    </w:p>
    <w:p w14:paraId="18DD04C0" w14:textId="77777777" w:rsidR="00B074CC" w:rsidRPr="001A1836" w:rsidRDefault="00B074CC">
      <w:pPr>
        <w:pStyle w:val="GSRL4numberedclause"/>
      </w:pPr>
      <w:r w:rsidRPr="001A1836">
        <w:t>The Repeat Failure Multiplier applicable for Service Levels referenced in either paragraphs 4.1 or 4.2 shall be reset to one (1) once there have been two (2) consecutive Service Measurement Periods in which the Service Level Performance Measure has been met.</w:t>
      </w:r>
    </w:p>
    <w:p w14:paraId="3CC1DAEA" w14:textId="77777777" w:rsidR="005E43DB" w:rsidRPr="001A1836" w:rsidRDefault="005E43DB" w:rsidP="00626054">
      <w:pPr>
        <w:spacing w:after="0"/>
        <w:ind w:left="720" w:hanging="720"/>
        <w:rPr>
          <w:rFonts w:eastAsia="Calibri"/>
          <w:b/>
        </w:rPr>
      </w:pPr>
    </w:p>
    <w:p w14:paraId="720BF7B7" w14:textId="47FC7FDB" w:rsidR="00B074CC" w:rsidRPr="001A1836" w:rsidRDefault="00B074CC" w:rsidP="00626054">
      <w:pPr>
        <w:spacing w:after="0"/>
        <w:ind w:left="720" w:hanging="720"/>
        <w:rPr>
          <w:rFonts w:eastAsia="Calibri"/>
        </w:rPr>
      </w:pPr>
      <w:r w:rsidRPr="001A1836">
        <w:rPr>
          <w:rFonts w:eastAsia="Calibri"/>
          <w:b/>
        </w:rPr>
        <w:t xml:space="preserve">Table 1 </w:t>
      </w:r>
      <w:r w:rsidRPr="001A1836">
        <w:rPr>
          <w:rFonts w:eastAsia="Calibri"/>
        </w:rPr>
        <w:t>Repeat Failure Multipliers</w:t>
      </w:r>
    </w:p>
    <w:p w14:paraId="502B09A3" w14:textId="77777777" w:rsidR="00B074CC" w:rsidRPr="001A1836" w:rsidRDefault="00B074CC" w:rsidP="00626054">
      <w:pPr>
        <w:spacing w:after="0"/>
        <w:ind w:left="720" w:hanging="720"/>
        <w:rPr>
          <w:rFonts w:eastAsia="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0"/>
        <w:gridCol w:w="2839"/>
      </w:tblGrid>
      <w:tr w:rsidR="00B074CC" w:rsidRPr="001A1836" w14:paraId="3945EC7E" w14:textId="77777777" w:rsidTr="00626054">
        <w:trPr>
          <w:cantSplit/>
          <w:tblHeader/>
        </w:trPr>
        <w:tc>
          <w:tcPr>
            <w:tcW w:w="3450" w:type="dxa"/>
            <w:shd w:val="clear" w:color="auto" w:fill="auto"/>
          </w:tcPr>
          <w:p w14:paraId="1E1D8A42" w14:textId="77777777" w:rsidR="00B074CC" w:rsidRPr="001A1836" w:rsidRDefault="00B074CC" w:rsidP="00626054">
            <w:pPr>
              <w:jc w:val="center"/>
              <w:rPr>
                <w:b/>
              </w:rPr>
            </w:pPr>
            <w:r w:rsidRPr="001A1836">
              <w:rPr>
                <w:b/>
              </w:rPr>
              <w:t xml:space="preserve">Repeat Failure count </w:t>
            </w:r>
          </w:p>
        </w:tc>
        <w:tc>
          <w:tcPr>
            <w:tcW w:w="2839" w:type="dxa"/>
            <w:shd w:val="clear" w:color="auto" w:fill="auto"/>
          </w:tcPr>
          <w:p w14:paraId="6E4DC9DC" w14:textId="77777777" w:rsidR="00B074CC" w:rsidRPr="001A1836" w:rsidRDefault="00B074CC" w:rsidP="00626054">
            <w:pPr>
              <w:jc w:val="center"/>
              <w:rPr>
                <w:b/>
              </w:rPr>
            </w:pPr>
            <w:r w:rsidRPr="001A1836">
              <w:rPr>
                <w:b/>
              </w:rPr>
              <w:t>Repeat Failure Multiplier</w:t>
            </w:r>
          </w:p>
        </w:tc>
      </w:tr>
      <w:tr w:rsidR="00B074CC" w:rsidRPr="001A1836" w14:paraId="55C50A1A" w14:textId="77777777" w:rsidTr="00626054">
        <w:trPr>
          <w:cantSplit/>
        </w:trPr>
        <w:tc>
          <w:tcPr>
            <w:tcW w:w="3450" w:type="dxa"/>
            <w:shd w:val="clear" w:color="auto" w:fill="auto"/>
          </w:tcPr>
          <w:p w14:paraId="4A8E6315" w14:textId="77777777" w:rsidR="00B074CC" w:rsidRPr="001A1836" w:rsidRDefault="00B074CC" w:rsidP="00626054">
            <w:pPr>
              <w:jc w:val="center"/>
            </w:pPr>
            <w:r w:rsidRPr="001A1836">
              <w:t>0</w:t>
            </w:r>
          </w:p>
        </w:tc>
        <w:tc>
          <w:tcPr>
            <w:tcW w:w="2839" w:type="dxa"/>
            <w:shd w:val="clear" w:color="auto" w:fill="auto"/>
          </w:tcPr>
          <w:p w14:paraId="537BF724" w14:textId="77777777" w:rsidR="00B074CC" w:rsidRPr="001A1836" w:rsidRDefault="00B074CC" w:rsidP="00626054">
            <w:pPr>
              <w:jc w:val="center"/>
            </w:pPr>
            <w:r w:rsidRPr="001A1836">
              <w:t>1</w:t>
            </w:r>
          </w:p>
        </w:tc>
      </w:tr>
      <w:tr w:rsidR="00B074CC" w:rsidRPr="001A1836" w14:paraId="2F5A60FE" w14:textId="77777777" w:rsidTr="00626054">
        <w:trPr>
          <w:cantSplit/>
        </w:trPr>
        <w:tc>
          <w:tcPr>
            <w:tcW w:w="3450" w:type="dxa"/>
            <w:shd w:val="clear" w:color="auto" w:fill="auto"/>
          </w:tcPr>
          <w:p w14:paraId="0321621D" w14:textId="77777777" w:rsidR="00B074CC" w:rsidRPr="001A1836" w:rsidRDefault="00B074CC" w:rsidP="00626054">
            <w:pPr>
              <w:jc w:val="center"/>
            </w:pPr>
            <w:r w:rsidRPr="001A1836">
              <w:t>1</w:t>
            </w:r>
          </w:p>
        </w:tc>
        <w:tc>
          <w:tcPr>
            <w:tcW w:w="2839" w:type="dxa"/>
            <w:shd w:val="clear" w:color="auto" w:fill="auto"/>
          </w:tcPr>
          <w:p w14:paraId="32BD9DC5" w14:textId="77777777" w:rsidR="00B074CC" w:rsidRPr="001A1836" w:rsidRDefault="00B074CC" w:rsidP="00626054">
            <w:pPr>
              <w:jc w:val="center"/>
            </w:pPr>
            <w:r w:rsidRPr="001A1836">
              <w:t>1.3</w:t>
            </w:r>
          </w:p>
        </w:tc>
      </w:tr>
      <w:tr w:rsidR="00B074CC" w:rsidRPr="001A1836" w14:paraId="4A287DFE" w14:textId="77777777" w:rsidTr="00626054">
        <w:trPr>
          <w:cantSplit/>
        </w:trPr>
        <w:tc>
          <w:tcPr>
            <w:tcW w:w="3450" w:type="dxa"/>
            <w:shd w:val="clear" w:color="auto" w:fill="auto"/>
          </w:tcPr>
          <w:p w14:paraId="3947B343" w14:textId="77777777" w:rsidR="00B074CC" w:rsidRPr="001A1836" w:rsidRDefault="00B074CC" w:rsidP="00626054">
            <w:pPr>
              <w:jc w:val="center"/>
            </w:pPr>
            <w:r w:rsidRPr="001A1836">
              <w:t>2</w:t>
            </w:r>
          </w:p>
        </w:tc>
        <w:tc>
          <w:tcPr>
            <w:tcW w:w="2839" w:type="dxa"/>
            <w:shd w:val="clear" w:color="auto" w:fill="auto"/>
          </w:tcPr>
          <w:p w14:paraId="0EB4D3A8" w14:textId="77777777" w:rsidR="00B074CC" w:rsidRPr="001A1836" w:rsidRDefault="00B074CC" w:rsidP="00626054">
            <w:pPr>
              <w:jc w:val="center"/>
            </w:pPr>
            <w:r w:rsidRPr="001A1836">
              <w:t>2.1</w:t>
            </w:r>
          </w:p>
        </w:tc>
      </w:tr>
      <w:tr w:rsidR="00B074CC" w:rsidRPr="001A1836" w14:paraId="181FA764" w14:textId="77777777" w:rsidTr="00626054">
        <w:trPr>
          <w:cantSplit/>
        </w:trPr>
        <w:tc>
          <w:tcPr>
            <w:tcW w:w="3450" w:type="dxa"/>
            <w:shd w:val="clear" w:color="auto" w:fill="auto"/>
          </w:tcPr>
          <w:p w14:paraId="0E764853" w14:textId="77777777" w:rsidR="00B074CC" w:rsidRPr="001A1836" w:rsidRDefault="00B074CC" w:rsidP="00626054">
            <w:pPr>
              <w:jc w:val="center"/>
            </w:pPr>
            <w:r w:rsidRPr="001A1836">
              <w:t>3 and above</w:t>
            </w:r>
          </w:p>
        </w:tc>
        <w:tc>
          <w:tcPr>
            <w:tcW w:w="2839" w:type="dxa"/>
            <w:shd w:val="clear" w:color="auto" w:fill="auto"/>
          </w:tcPr>
          <w:p w14:paraId="6AC163D4" w14:textId="77777777" w:rsidR="00B074CC" w:rsidRPr="001A1836" w:rsidRDefault="00B074CC" w:rsidP="00626054">
            <w:pPr>
              <w:jc w:val="center"/>
            </w:pPr>
            <w:r w:rsidRPr="001A1836">
              <w:t>3</w:t>
            </w:r>
          </w:p>
        </w:tc>
      </w:tr>
      <w:bookmarkEnd w:id="833"/>
    </w:tbl>
    <w:p w14:paraId="116565F9" w14:textId="77777777" w:rsidR="00B074CC" w:rsidRPr="001A1836" w:rsidRDefault="00B074CC" w:rsidP="00626054">
      <w:pPr>
        <w:pStyle w:val="Number"/>
        <w:ind w:left="0" w:firstLine="0"/>
      </w:pPr>
    </w:p>
    <w:p w14:paraId="7A05AF3C" w14:textId="77777777" w:rsidR="00B074CC" w:rsidRPr="001A1836" w:rsidRDefault="00B074CC">
      <w:pPr>
        <w:pStyle w:val="GSRL3heading"/>
      </w:pPr>
      <w:bookmarkStart w:id="834" w:name="_Toc521327001"/>
      <w:bookmarkStart w:id="835" w:name="_Toc521333234"/>
      <w:bookmarkStart w:id="836" w:name="_Toc521483983"/>
      <w:bookmarkStart w:id="837" w:name="_Toc521484746"/>
      <w:bookmarkStart w:id="838" w:name="_Toc521485077"/>
      <w:bookmarkStart w:id="839" w:name="_Toc521496794"/>
      <w:bookmarkStart w:id="840" w:name="_Toc521498236"/>
      <w:bookmarkStart w:id="841" w:name="_Toc529345972"/>
      <w:bookmarkStart w:id="842" w:name="_Toc129038169"/>
      <w:bookmarkStart w:id="843" w:name="_Toc129038455"/>
      <w:bookmarkStart w:id="844" w:name="_Toc132268025"/>
      <w:bookmarkStart w:id="845" w:name="_Toc132268331"/>
      <w:bookmarkStart w:id="846" w:name="_Toc136198582"/>
      <w:bookmarkStart w:id="847" w:name="_Toc136198863"/>
      <w:r w:rsidRPr="001A1836">
        <w:lastRenderedPageBreak/>
        <w:t>Service Credits</w:t>
      </w:r>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p>
    <w:p w14:paraId="47209053" w14:textId="540F0370" w:rsidR="00B074CC" w:rsidRPr="001A1836" w:rsidRDefault="00B074CC">
      <w:pPr>
        <w:pStyle w:val="GSRL4numberedclause"/>
      </w:pPr>
      <w:r w:rsidRPr="001A1836">
        <w:t xml:space="preserve">The Service Points Threshold set out in Table 2 shall be applied to the sum total of all Service Points accumulated in any given Service Measurement Period, and Service Credits shall then be applied as shown opposite the applicable Service Points Threshold. </w:t>
      </w:r>
    </w:p>
    <w:p w14:paraId="474D9FFC" w14:textId="29EC6C76" w:rsidR="00B074CC" w:rsidRPr="001A1836" w:rsidRDefault="00B074CC">
      <w:pPr>
        <w:pStyle w:val="GSRL4numberedclause"/>
      </w:pPr>
      <w:r w:rsidRPr="001A1836">
        <w:t xml:space="preserve">Service Credits shall be calculated as a percentage of, and deducted from, the sum of the Provider’s </w:t>
      </w:r>
      <w:r w:rsidR="005504F6">
        <w:t>Agreed Operating Costs</w:t>
      </w:r>
      <w:r w:rsidRPr="001A1836">
        <w:t xml:space="preserve"> plus </w:t>
      </w:r>
      <w:r w:rsidR="008A01A1" w:rsidRPr="001A1836">
        <w:t xml:space="preserve">Provider </w:t>
      </w:r>
      <w:r w:rsidRPr="001A1836">
        <w:t xml:space="preserve">Profit, in accordance with </w:t>
      </w:r>
      <w:r w:rsidR="00C03019" w:rsidRPr="001A1836">
        <w:t xml:space="preserve">Annex 1 of this Schedule 3, and </w:t>
      </w:r>
      <w:r w:rsidRPr="001A1836">
        <w:t xml:space="preserve">the principles set out in Schedule 5 (Financial Model and Gain Share).   </w:t>
      </w:r>
    </w:p>
    <w:p w14:paraId="60287D03" w14:textId="1E8A1B50" w:rsidR="0086501A" w:rsidRPr="001A1836" w:rsidRDefault="0086501A">
      <w:pPr>
        <w:pStyle w:val="GSRL4numberedclause"/>
      </w:pPr>
      <w:r w:rsidRPr="001A1836">
        <w:t>Service Points and Service Credits are calculated monthly or annually for each individual Service Level as set out in Annex</w:t>
      </w:r>
      <w:r w:rsidR="006C719C" w:rsidRPr="001A1836">
        <w:t xml:space="preserve"> 1</w:t>
      </w:r>
      <w:r w:rsidRPr="001A1836">
        <w:t xml:space="preserve"> to this Schedule 3.</w:t>
      </w:r>
    </w:p>
    <w:p w14:paraId="6CF6128E" w14:textId="77777777" w:rsidR="00B074CC" w:rsidRPr="001A1836" w:rsidRDefault="00B074CC" w:rsidP="00626054">
      <w:pPr>
        <w:pStyle w:val="Number"/>
        <w:ind w:left="0" w:firstLine="0"/>
      </w:pPr>
    </w:p>
    <w:p w14:paraId="3732BDC9" w14:textId="77777777" w:rsidR="00B074CC" w:rsidRPr="001A1836" w:rsidRDefault="00B074CC" w:rsidP="00626054">
      <w:pPr>
        <w:spacing w:after="0"/>
        <w:ind w:left="720" w:hanging="720"/>
        <w:rPr>
          <w:rFonts w:eastAsia="Arial"/>
          <w:b/>
        </w:rPr>
      </w:pPr>
      <w:r w:rsidRPr="001A1836">
        <w:rPr>
          <w:rFonts w:eastAsia="Arial"/>
          <w:b/>
        </w:rPr>
        <w:t xml:space="preserve">Table 2 </w:t>
      </w:r>
      <w:r w:rsidRPr="001A1836">
        <w:rPr>
          <w:rFonts w:eastAsia="Arial"/>
        </w:rPr>
        <w:t>Service Credits</w:t>
      </w:r>
    </w:p>
    <w:p w14:paraId="30A78696" w14:textId="77777777" w:rsidR="00B074CC" w:rsidRPr="001A1836" w:rsidRDefault="00B074CC" w:rsidP="00626054">
      <w:pPr>
        <w:spacing w:after="0"/>
        <w:ind w:left="720" w:hanging="720"/>
        <w:rPr>
          <w:rFonts w:eastAsia="Ari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8"/>
        <w:gridCol w:w="4132"/>
      </w:tblGrid>
      <w:tr w:rsidR="00B074CC" w:rsidRPr="001A1836" w14:paraId="47B93B17" w14:textId="77777777" w:rsidTr="00626054">
        <w:trPr>
          <w:cantSplit/>
          <w:tblHeader/>
        </w:trPr>
        <w:tc>
          <w:tcPr>
            <w:tcW w:w="4745" w:type="dxa"/>
            <w:shd w:val="clear" w:color="auto" w:fill="auto"/>
          </w:tcPr>
          <w:p w14:paraId="25E2F5AC" w14:textId="77777777" w:rsidR="00B074CC" w:rsidRPr="001A1836" w:rsidRDefault="00B074CC" w:rsidP="00626054">
            <w:pPr>
              <w:rPr>
                <w:rFonts w:eastAsia="Calibri"/>
                <w:b/>
              </w:rPr>
            </w:pPr>
            <w:r w:rsidRPr="001A1836">
              <w:rPr>
                <w:rFonts w:eastAsia="Calibri"/>
                <w:b/>
              </w:rPr>
              <w:t>Service Points Threshold</w:t>
            </w:r>
          </w:p>
        </w:tc>
        <w:tc>
          <w:tcPr>
            <w:tcW w:w="4241" w:type="dxa"/>
            <w:shd w:val="clear" w:color="auto" w:fill="auto"/>
          </w:tcPr>
          <w:p w14:paraId="0EF77E69" w14:textId="77777777" w:rsidR="00B074CC" w:rsidRPr="001A1836" w:rsidRDefault="00B074CC" w:rsidP="00626054">
            <w:pPr>
              <w:rPr>
                <w:rFonts w:eastAsia="Calibri"/>
                <w:b/>
              </w:rPr>
            </w:pPr>
            <w:r w:rsidRPr="001A1836">
              <w:rPr>
                <w:rFonts w:eastAsia="Calibri"/>
                <w:b/>
              </w:rPr>
              <w:t>Service Credit (%)</w:t>
            </w:r>
          </w:p>
        </w:tc>
      </w:tr>
      <w:tr w:rsidR="00B074CC" w:rsidRPr="001A1836" w14:paraId="057F5E83" w14:textId="77777777" w:rsidTr="00626054">
        <w:trPr>
          <w:cantSplit/>
        </w:trPr>
        <w:tc>
          <w:tcPr>
            <w:tcW w:w="4745" w:type="dxa"/>
            <w:shd w:val="clear" w:color="auto" w:fill="auto"/>
          </w:tcPr>
          <w:p w14:paraId="281CBCFF" w14:textId="77777777" w:rsidR="00B074CC" w:rsidRPr="001A1836" w:rsidRDefault="00B074CC" w:rsidP="00626054">
            <w:pPr>
              <w:rPr>
                <w:rFonts w:eastAsia="Calibri"/>
              </w:rPr>
            </w:pPr>
            <w:r w:rsidRPr="001A1836">
              <w:rPr>
                <w:rFonts w:eastAsia="Calibri"/>
              </w:rPr>
              <w:t>Up to 5</w:t>
            </w:r>
          </w:p>
        </w:tc>
        <w:tc>
          <w:tcPr>
            <w:tcW w:w="4241" w:type="dxa"/>
            <w:shd w:val="clear" w:color="auto" w:fill="auto"/>
          </w:tcPr>
          <w:p w14:paraId="718B3BBB" w14:textId="77777777" w:rsidR="00B074CC" w:rsidRPr="001A1836" w:rsidRDefault="00B074CC" w:rsidP="00626054">
            <w:pPr>
              <w:rPr>
                <w:rFonts w:eastAsia="Calibri"/>
              </w:rPr>
            </w:pPr>
            <w:r w:rsidRPr="001A1836">
              <w:rPr>
                <w:rFonts w:eastAsia="Calibri"/>
              </w:rPr>
              <w:t>0</w:t>
            </w:r>
          </w:p>
        </w:tc>
      </w:tr>
      <w:tr w:rsidR="00B074CC" w:rsidRPr="001A1836" w14:paraId="3F46A9F1" w14:textId="77777777" w:rsidTr="00626054">
        <w:trPr>
          <w:cantSplit/>
        </w:trPr>
        <w:tc>
          <w:tcPr>
            <w:tcW w:w="4745" w:type="dxa"/>
            <w:shd w:val="clear" w:color="auto" w:fill="auto"/>
          </w:tcPr>
          <w:p w14:paraId="02597886" w14:textId="77777777" w:rsidR="00B074CC" w:rsidRPr="001A1836" w:rsidRDefault="00B074CC" w:rsidP="00626054">
            <w:pPr>
              <w:rPr>
                <w:rFonts w:eastAsia="Calibri"/>
              </w:rPr>
            </w:pPr>
            <w:r w:rsidRPr="001A1836">
              <w:rPr>
                <w:rFonts w:eastAsia="Calibri"/>
              </w:rPr>
              <w:t>5.01 – 15.00</w:t>
            </w:r>
          </w:p>
        </w:tc>
        <w:tc>
          <w:tcPr>
            <w:tcW w:w="4241" w:type="dxa"/>
            <w:shd w:val="clear" w:color="auto" w:fill="auto"/>
          </w:tcPr>
          <w:p w14:paraId="3D71513F" w14:textId="77777777" w:rsidR="00B074CC" w:rsidRPr="001A1836" w:rsidRDefault="00B074CC" w:rsidP="00626054">
            <w:pPr>
              <w:rPr>
                <w:rFonts w:eastAsia="Calibri"/>
              </w:rPr>
            </w:pPr>
            <w:r w:rsidRPr="001A1836">
              <w:rPr>
                <w:rFonts w:eastAsia="Calibri"/>
              </w:rPr>
              <w:t>1</w:t>
            </w:r>
          </w:p>
        </w:tc>
      </w:tr>
      <w:tr w:rsidR="00B074CC" w:rsidRPr="001A1836" w14:paraId="57FD795B" w14:textId="77777777" w:rsidTr="00626054">
        <w:trPr>
          <w:cantSplit/>
        </w:trPr>
        <w:tc>
          <w:tcPr>
            <w:tcW w:w="4745" w:type="dxa"/>
            <w:shd w:val="clear" w:color="auto" w:fill="auto"/>
          </w:tcPr>
          <w:p w14:paraId="14F25B0B" w14:textId="77777777" w:rsidR="00B074CC" w:rsidRPr="001A1836" w:rsidRDefault="00B074CC" w:rsidP="00626054">
            <w:pPr>
              <w:rPr>
                <w:rFonts w:eastAsia="Calibri"/>
              </w:rPr>
            </w:pPr>
            <w:r w:rsidRPr="001A1836">
              <w:rPr>
                <w:rFonts w:eastAsia="Calibri"/>
              </w:rPr>
              <w:t>15.01 – 30.00</w:t>
            </w:r>
          </w:p>
        </w:tc>
        <w:tc>
          <w:tcPr>
            <w:tcW w:w="4241" w:type="dxa"/>
            <w:shd w:val="clear" w:color="auto" w:fill="auto"/>
          </w:tcPr>
          <w:p w14:paraId="309B7C54" w14:textId="77777777" w:rsidR="00B074CC" w:rsidRPr="001A1836" w:rsidRDefault="00B074CC" w:rsidP="00626054">
            <w:pPr>
              <w:rPr>
                <w:rFonts w:eastAsia="Calibri"/>
              </w:rPr>
            </w:pPr>
            <w:r w:rsidRPr="001A1836">
              <w:rPr>
                <w:rFonts w:eastAsia="Calibri"/>
              </w:rPr>
              <w:t>2</w:t>
            </w:r>
          </w:p>
        </w:tc>
      </w:tr>
      <w:tr w:rsidR="00B074CC" w:rsidRPr="001A1836" w14:paraId="565C3944" w14:textId="77777777" w:rsidTr="00626054">
        <w:trPr>
          <w:cantSplit/>
        </w:trPr>
        <w:tc>
          <w:tcPr>
            <w:tcW w:w="4745" w:type="dxa"/>
            <w:shd w:val="clear" w:color="auto" w:fill="auto"/>
          </w:tcPr>
          <w:p w14:paraId="322585E8" w14:textId="77777777" w:rsidR="00B074CC" w:rsidRPr="001A1836" w:rsidRDefault="00B074CC" w:rsidP="00626054">
            <w:pPr>
              <w:rPr>
                <w:rFonts w:eastAsia="Calibri"/>
              </w:rPr>
            </w:pPr>
            <w:r w:rsidRPr="001A1836">
              <w:rPr>
                <w:rFonts w:eastAsia="Calibri"/>
              </w:rPr>
              <w:t>30.01 – 40.00</w:t>
            </w:r>
          </w:p>
        </w:tc>
        <w:tc>
          <w:tcPr>
            <w:tcW w:w="4241" w:type="dxa"/>
            <w:shd w:val="clear" w:color="auto" w:fill="auto"/>
          </w:tcPr>
          <w:p w14:paraId="648ED3B2" w14:textId="77777777" w:rsidR="00B074CC" w:rsidRPr="001A1836" w:rsidRDefault="00B074CC" w:rsidP="00626054">
            <w:pPr>
              <w:rPr>
                <w:rFonts w:eastAsia="Calibri"/>
              </w:rPr>
            </w:pPr>
            <w:r w:rsidRPr="001A1836">
              <w:rPr>
                <w:rFonts w:eastAsia="Calibri"/>
              </w:rPr>
              <w:t>3</w:t>
            </w:r>
          </w:p>
        </w:tc>
      </w:tr>
      <w:tr w:rsidR="00B074CC" w:rsidRPr="001A1836" w14:paraId="1CA716F5" w14:textId="77777777" w:rsidTr="00626054">
        <w:trPr>
          <w:cantSplit/>
        </w:trPr>
        <w:tc>
          <w:tcPr>
            <w:tcW w:w="4745" w:type="dxa"/>
            <w:shd w:val="clear" w:color="auto" w:fill="auto"/>
          </w:tcPr>
          <w:p w14:paraId="2B0DCB3C" w14:textId="77777777" w:rsidR="00B074CC" w:rsidRPr="001A1836" w:rsidRDefault="00B074CC" w:rsidP="00626054">
            <w:pPr>
              <w:rPr>
                <w:rFonts w:eastAsia="Calibri"/>
              </w:rPr>
            </w:pPr>
            <w:r w:rsidRPr="001A1836">
              <w:rPr>
                <w:rFonts w:eastAsia="Calibri"/>
              </w:rPr>
              <w:t>40.01 – 50.00</w:t>
            </w:r>
          </w:p>
        </w:tc>
        <w:tc>
          <w:tcPr>
            <w:tcW w:w="4241" w:type="dxa"/>
            <w:shd w:val="clear" w:color="auto" w:fill="auto"/>
          </w:tcPr>
          <w:p w14:paraId="4B3A74FE" w14:textId="77777777" w:rsidR="00B074CC" w:rsidRPr="001A1836" w:rsidRDefault="00B074CC" w:rsidP="00626054">
            <w:pPr>
              <w:rPr>
                <w:rFonts w:eastAsia="Calibri"/>
              </w:rPr>
            </w:pPr>
            <w:r w:rsidRPr="001A1836">
              <w:rPr>
                <w:rFonts w:eastAsia="Calibri"/>
              </w:rPr>
              <w:t>4</w:t>
            </w:r>
          </w:p>
        </w:tc>
      </w:tr>
      <w:tr w:rsidR="00B074CC" w:rsidRPr="001A1836" w14:paraId="6B8B2217" w14:textId="77777777" w:rsidTr="00626054">
        <w:trPr>
          <w:cantSplit/>
        </w:trPr>
        <w:tc>
          <w:tcPr>
            <w:tcW w:w="4745" w:type="dxa"/>
            <w:shd w:val="clear" w:color="auto" w:fill="auto"/>
          </w:tcPr>
          <w:p w14:paraId="512870F2" w14:textId="77777777" w:rsidR="00B074CC" w:rsidRPr="001A1836" w:rsidRDefault="00B074CC" w:rsidP="00626054">
            <w:pPr>
              <w:rPr>
                <w:rFonts w:eastAsia="Calibri"/>
              </w:rPr>
            </w:pPr>
            <w:r w:rsidRPr="001A1836">
              <w:rPr>
                <w:rFonts w:eastAsia="Calibri"/>
              </w:rPr>
              <w:t>50.01 – 60.00</w:t>
            </w:r>
          </w:p>
        </w:tc>
        <w:tc>
          <w:tcPr>
            <w:tcW w:w="4241" w:type="dxa"/>
            <w:shd w:val="clear" w:color="auto" w:fill="auto"/>
          </w:tcPr>
          <w:p w14:paraId="1781D9BF" w14:textId="77777777" w:rsidR="00B074CC" w:rsidRPr="001A1836" w:rsidRDefault="00B074CC" w:rsidP="00626054">
            <w:pPr>
              <w:rPr>
                <w:rFonts w:eastAsia="Calibri"/>
              </w:rPr>
            </w:pPr>
            <w:r w:rsidRPr="001A1836">
              <w:rPr>
                <w:rFonts w:eastAsia="Calibri"/>
              </w:rPr>
              <w:t>5</w:t>
            </w:r>
          </w:p>
        </w:tc>
      </w:tr>
      <w:tr w:rsidR="00B074CC" w:rsidRPr="001A1836" w14:paraId="603F6B2C" w14:textId="77777777" w:rsidTr="00626054">
        <w:trPr>
          <w:cantSplit/>
        </w:trPr>
        <w:tc>
          <w:tcPr>
            <w:tcW w:w="4745" w:type="dxa"/>
            <w:shd w:val="clear" w:color="auto" w:fill="auto"/>
          </w:tcPr>
          <w:p w14:paraId="53A7C4EA" w14:textId="77777777" w:rsidR="00B074CC" w:rsidRPr="001A1836" w:rsidRDefault="00B074CC" w:rsidP="00626054">
            <w:pPr>
              <w:rPr>
                <w:rFonts w:eastAsia="Calibri"/>
              </w:rPr>
            </w:pPr>
            <w:r w:rsidRPr="001A1836">
              <w:rPr>
                <w:rFonts w:eastAsia="Calibri"/>
              </w:rPr>
              <w:t>60.01 – 70.00</w:t>
            </w:r>
          </w:p>
        </w:tc>
        <w:tc>
          <w:tcPr>
            <w:tcW w:w="4241" w:type="dxa"/>
            <w:shd w:val="clear" w:color="auto" w:fill="auto"/>
          </w:tcPr>
          <w:p w14:paraId="663A28E3" w14:textId="77777777" w:rsidR="00B074CC" w:rsidRPr="001A1836" w:rsidRDefault="00B074CC" w:rsidP="00626054">
            <w:pPr>
              <w:rPr>
                <w:rFonts w:eastAsia="Calibri"/>
              </w:rPr>
            </w:pPr>
            <w:r w:rsidRPr="001A1836">
              <w:rPr>
                <w:rFonts w:eastAsia="Calibri"/>
              </w:rPr>
              <w:t>6</w:t>
            </w:r>
          </w:p>
        </w:tc>
      </w:tr>
      <w:tr w:rsidR="00B074CC" w:rsidRPr="001A1836" w14:paraId="10018875" w14:textId="77777777" w:rsidTr="00626054">
        <w:trPr>
          <w:cantSplit/>
        </w:trPr>
        <w:tc>
          <w:tcPr>
            <w:tcW w:w="4745" w:type="dxa"/>
            <w:shd w:val="clear" w:color="auto" w:fill="auto"/>
          </w:tcPr>
          <w:p w14:paraId="7BFF6799" w14:textId="77777777" w:rsidR="00B074CC" w:rsidRPr="001A1836" w:rsidRDefault="00B074CC" w:rsidP="00626054">
            <w:pPr>
              <w:rPr>
                <w:rFonts w:eastAsia="Calibri"/>
              </w:rPr>
            </w:pPr>
            <w:r w:rsidRPr="001A1836">
              <w:rPr>
                <w:rFonts w:eastAsia="Calibri"/>
              </w:rPr>
              <w:t>70.01 – 80.00</w:t>
            </w:r>
          </w:p>
        </w:tc>
        <w:tc>
          <w:tcPr>
            <w:tcW w:w="4241" w:type="dxa"/>
            <w:shd w:val="clear" w:color="auto" w:fill="auto"/>
          </w:tcPr>
          <w:p w14:paraId="10365903" w14:textId="77777777" w:rsidR="00B074CC" w:rsidRPr="001A1836" w:rsidRDefault="00B074CC" w:rsidP="00626054">
            <w:pPr>
              <w:rPr>
                <w:rFonts w:eastAsia="Calibri"/>
              </w:rPr>
            </w:pPr>
            <w:r w:rsidRPr="001A1836">
              <w:rPr>
                <w:rFonts w:eastAsia="Calibri"/>
              </w:rPr>
              <w:t>8</w:t>
            </w:r>
          </w:p>
        </w:tc>
      </w:tr>
      <w:tr w:rsidR="00B074CC" w:rsidRPr="001A1836" w14:paraId="2A86D04F" w14:textId="77777777" w:rsidTr="00626054">
        <w:trPr>
          <w:cantSplit/>
        </w:trPr>
        <w:tc>
          <w:tcPr>
            <w:tcW w:w="4745" w:type="dxa"/>
            <w:shd w:val="clear" w:color="auto" w:fill="auto"/>
          </w:tcPr>
          <w:p w14:paraId="25DCA51B" w14:textId="77777777" w:rsidR="00B074CC" w:rsidRPr="001A1836" w:rsidRDefault="00B074CC" w:rsidP="00626054">
            <w:pPr>
              <w:rPr>
                <w:rFonts w:eastAsia="Calibri"/>
              </w:rPr>
            </w:pPr>
            <w:r w:rsidRPr="001A1836">
              <w:rPr>
                <w:rFonts w:eastAsia="Calibri"/>
              </w:rPr>
              <w:t>80.01 – 90.00</w:t>
            </w:r>
          </w:p>
        </w:tc>
        <w:tc>
          <w:tcPr>
            <w:tcW w:w="4241" w:type="dxa"/>
            <w:shd w:val="clear" w:color="auto" w:fill="auto"/>
          </w:tcPr>
          <w:p w14:paraId="1CB6C3EB" w14:textId="77777777" w:rsidR="00B074CC" w:rsidRPr="001A1836" w:rsidRDefault="00B074CC" w:rsidP="00626054">
            <w:pPr>
              <w:rPr>
                <w:rFonts w:eastAsia="Calibri"/>
              </w:rPr>
            </w:pPr>
            <w:r w:rsidRPr="001A1836">
              <w:rPr>
                <w:rFonts w:eastAsia="Calibri"/>
              </w:rPr>
              <w:t>9</w:t>
            </w:r>
          </w:p>
        </w:tc>
      </w:tr>
      <w:tr w:rsidR="00B074CC" w:rsidRPr="001A1836" w14:paraId="60A403F8" w14:textId="77777777" w:rsidTr="00626054">
        <w:trPr>
          <w:cantSplit/>
        </w:trPr>
        <w:tc>
          <w:tcPr>
            <w:tcW w:w="4745" w:type="dxa"/>
            <w:shd w:val="clear" w:color="auto" w:fill="auto"/>
          </w:tcPr>
          <w:p w14:paraId="10F23A8C" w14:textId="77777777" w:rsidR="00B074CC" w:rsidRPr="001A1836" w:rsidRDefault="00B074CC" w:rsidP="00626054">
            <w:pPr>
              <w:rPr>
                <w:rFonts w:eastAsia="Calibri"/>
              </w:rPr>
            </w:pPr>
            <w:r w:rsidRPr="001A1836">
              <w:rPr>
                <w:rFonts w:eastAsia="Calibri"/>
              </w:rPr>
              <w:t>90.01 – 100.00</w:t>
            </w:r>
          </w:p>
        </w:tc>
        <w:tc>
          <w:tcPr>
            <w:tcW w:w="4241" w:type="dxa"/>
            <w:shd w:val="clear" w:color="auto" w:fill="auto"/>
          </w:tcPr>
          <w:p w14:paraId="37BCCA27" w14:textId="77777777" w:rsidR="00B074CC" w:rsidRPr="001A1836" w:rsidRDefault="00B074CC" w:rsidP="00626054">
            <w:pPr>
              <w:rPr>
                <w:rFonts w:eastAsia="Calibri"/>
              </w:rPr>
            </w:pPr>
            <w:r w:rsidRPr="001A1836">
              <w:rPr>
                <w:rFonts w:eastAsia="Calibri"/>
              </w:rPr>
              <w:t>10</w:t>
            </w:r>
          </w:p>
        </w:tc>
      </w:tr>
      <w:tr w:rsidR="00B074CC" w:rsidRPr="001A1836" w14:paraId="3CDE243F" w14:textId="77777777" w:rsidTr="00626054">
        <w:trPr>
          <w:cantSplit/>
        </w:trPr>
        <w:tc>
          <w:tcPr>
            <w:tcW w:w="4745" w:type="dxa"/>
            <w:shd w:val="clear" w:color="auto" w:fill="auto"/>
          </w:tcPr>
          <w:p w14:paraId="0F393E14" w14:textId="77777777" w:rsidR="00B074CC" w:rsidRPr="001A1836" w:rsidRDefault="00B074CC" w:rsidP="00626054">
            <w:pPr>
              <w:rPr>
                <w:rFonts w:eastAsia="Calibri"/>
              </w:rPr>
            </w:pPr>
            <w:r w:rsidRPr="001A1836">
              <w:rPr>
                <w:rFonts w:eastAsia="Calibri"/>
              </w:rPr>
              <w:t>100+</w:t>
            </w:r>
          </w:p>
        </w:tc>
        <w:tc>
          <w:tcPr>
            <w:tcW w:w="4241" w:type="dxa"/>
            <w:shd w:val="clear" w:color="auto" w:fill="auto"/>
          </w:tcPr>
          <w:p w14:paraId="220F37D8" w14:textId="77777777" w:rsidR="00B074CC" w:rsidRPr="001A1836" w:rsidRDefault="00B074CC" w:rsidP="00626054">
            <w:pPr>
              <w:rPr>
                <w:rFonts w:eastAsia="Calibri"/>
              </w:rPr>
            </w:pPr>
            <w:r w:rsidRPr="001A1836">
              <w:rPr>
                <w:rFonts w:eastAsia="Calibri"/>
              </w:rPr>
              <w:t>20</w:t>
            </w:r>
          </w:p>
        </w:tc>
      </w:tr>
    </w:tbl>
    <w:p w14:paraId="3121695E" w14:textId="77777777" w:rsidR="00B074CC" w:rsidRPr="001A1836" w:rsidRDefault="00B074CC" w:rsidP="00626054"/>
    <w:p w14:paraId="69D404E0" w14:textId="77777777" w:rsidR="00B074CC" w:rsidRPr="001A1836" w:rsidRDefault="00B074CC">
      <w:pPr>
        <w:pStyle w:val="GSRL3heading"/>
      </w:pPr>
      <w:bookmarkStart w:id="848" w:name="_Toc521327002"/>
      <w:bookmarkStart w:id="849" w:name="_Toc521333235"/>
      <w:bookmarkStart w:id="850" w:name="_Toc521483984"/>
      <w:bookmarkStart w:id="851" w:name="_Toc521484747"/>
      <w:bookmarkStart w:id="852" w:name="_Toc521485078"/>
      <w:bookmarkStart w:id="853" w:name="_Toc521496795"/>
      <w:bookmarkStart w:id="854" w:name="_Toc521498237"/>
      <w:bookmarkStart w:id="855" w:name="_Toc529345973"/>
      <w:bookmarkStart w:id="856" w:name="_Toc129038170"/>
      <w:bookmarkStart w:id="857" w:name="_Toc129038456"/>
      <w:bookmarkStart w:id="858" w:name="_Toc132268026"/>
      <w:bookmarkStart w:id="859" w:name="_Toc132268332"/>
      <w:bookmarkStart w:id="860" w:name="_Toc136198583"/>
      <w:bookmarkStart w:id="861" w:name="_Toc136198864"/>
      <w:r w:rsidRPr="001A1836">
        <w:t>Additional Measures</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p>
    <w:p w14:paraId="03DAA64D" w14:textId="363DFA4A" w:rsidR="00AE746D" w:rsidRPr="001A1836" w:rsidRDefault="00AE746D">
      <w:pPr>
        <w:pStyle w:val="GSRL4numberedclause"/>
      </w:pPr>
      <w:r w:rsidRPr="001A1836">
        <w:t xml:space="preserve">HSE requires additional action to be taken in respect of any and all Service Level Failures. Nothing described in this </w:t>
      </w:r>
      <w:r w:rsidR="00F76A1F" w:rsidRPr="001A1836">
        <w:t>paragraph 6 of Schedule 3</w:t>
      </w:r>
      <w:r w:rsidRPr="001A1836">
        <w:t xml:space="preserve"> has any impact on the amount of Service Points applied in the event of Service Level Failure(s).</w:t>
      </w:r>
    </w:p>
    <w:p w14:paraId="7C6FF040" w14:textId="38BBA107" w:rsidR="00F76A1F" w:rsidRPr="001A1836" w:rsidRDefault="00B074CC">
      <w:pPr>
        <w:pStyle w:val="GSRL4numberedclause"/>
      </w:pPr>
      <w:r w:rsidRPr="001A1836">
        <w:t xml:space="preserve">Service Level Failures or repeat Service Level Failures shall be categorised in accordance with Table 3 below. </w:t>
      </w:r>
    </w:p>
    <w:p w14:paraId="74261A52" w14:textId="111D4C02" w:rsidR="00F76A1F" w:rsidRPr="001A1836" w:rsidRDefault="00B074CC">
      <w:pPr>
        <w:pStyle w:val="GSRL4numberedclause"/>
      </w:pPr>
      <w:r w:rsidRPr="001A1836">
        <w:t>For Service Levels with a Monthly Service Measurement Period, a Rolling Period of 3 months is used when calculating Repeat Service Level Failures.</w:t>
      </w:r>
    </w:p>
    <w:p w14:paraId="7B26F0F2" w14:textId="2BF9A0A0" w:rsidR="00B074CC" w:rsidRPr="001A1836" w:rsidRDefault="00B074CC">
      <w:pPr>
        <w:pStyle w:val="GSRL4numberedclause"/>
      </w:pPr>
      <w:r w:rsidRPr="001A1836">
        <w:t>For Service Levels with an Annual Service Measurement Period, a Rolling Period of 2 years is used when calculating Repeat Service Level Failures.</w:t>
      </w:r>
      <w:r w:rsidR="00F76A1F" w:rsidRPr="001A1836">
        <w:t xml:space="preserve"> </w:t>
      </w:r>
    </w:p>
    <w:p w14:paraId="5288A3A1" w14:textId="77777777" w:rsidR="00B074CC" w:rsidRPr="001A1836" w:rsidRDefault="00AE746D">
      <w:pPr>
        <w:pStyle w:val="GSRL4numberedclause"/>
      </w:pPr>
      <w:r w:rsidRPr="001A1836">
        <w:t xml:space="preserve">In the event that any individual Service Level fails on more than one occasion in any rolling Service Measurement Period to differing degrees, the extent of the failures will </w:t>
      </w:r>
      <w:r w:rsidRPr="001A1836">
        <w:lastRenderedPageBreak/>
        <w:t>be determined by the greatest level of failure</w:t>
      </w:r>
      <w:r w:rsidR="00F76A1F" w:rsidRPr="001A1836">
        <w:t>,</w:t>
      </w:r>
      <w:r w:rsidRPr="001A1836">
        <w:t xml:space="preserve"> i.e. </w:t>
      </w:r>
      <w:r w:rsidR="00F76A1F" w:rsidRPr="001A1836">
        <w:t xml:space="preserve">where </w:t>
      </w:r>
      <w:r w:rsidRPr="001A1836">
        <w:t>one is a Minor Service Level Failure and one is a Moderate Service L</w:t>
      </w:r>
      <w:r w:rsidR="00F76A1F" w:rsidRPr="001A1836">
        <w:t>evel Failure, f</w:t>
      </w:r>
      <w:r w:rsidRPr="001A1836">
        <w:t xml:space="preserve">or the purposes of this </w:t>
      </w:r>
      <w:r w:rsidR="00F76A1F" w:rsidRPr="001A1836">
        <w:t>paragraph 6</w:t>
      </w:r>
      <w:r w:rsidRPr="001A1836">
        <w:t xml:space="preserve"> both will be determined to be Moderate Service Level Failures.  </w:t>
      </w:r>
    </w:p>
    <w:p w14:paraId="72302C45" w14:textId="579820F6" w:rsidR="00B074CC" w:rsidRPr="001A1836" w:rsidRDefault="00B074CC" w:rsidP="00626054">
      <w:pPr>
        <w:pStyle w:val="Number"/>
        <w:ind w:left="0" w:firstLine="0"/>
      </w:pPr>
      <w:r w:rsidRPr="001A1836">
        <w:rPr>
          <w:b/>
        </w:rPr>
        <w:t xml:space="preserve">Table 3 </w:t>
      </w:r>
      <w:r w:rsidRPr="001A1836">
        <w:t xml:space="preserve">Categorisation of Service Level Failures </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6"/>
        <w:gridCol w:w="1523"/>
        <w:gridCol w:w="1276"/>
        <w:gridCol w:w="1276"/>
        <w:gridCol w:w="2268"/>
      </w:tblGrid>
      <w:tr w:rsidR="00B074CC" w:rsidRPr="001A1836" w14:paraId="0EF10714" w14:textId="77777777" w:rsidTr="00626054">
        <w:tc>
          <w:tcPr>
            <w:tcW w:w="3969" w:type="dxa"/>
            <w:gridSpan w:val="2"/>
            <w:shd w:val="clear" w:color="auto" w:fill="auto"/>
          </w:tcPr>
          <w:p w14:paraId="3D1F506C" w14:textId="77777777" w:rsidR="00B074CC" w:rsidRPr="001A1836" w:rsidRDefault="00B074CC" w:rsidP="00626054">
            <w:pPr>
              <w:rPr>
                <w:rFonts w:eastAsia="Calibri"/>
                <w:b/>
              </w:rPr>
            </w:pPr>
          </w:p>
        </w:tc>
        <w:tc>
          <w:tcPr>
            <w:tcW w:w="4820" w:type="dxa"/>
            <w:gridSpan w:val="3"/>
            <w:shd w:val="clear" w:color="auto" w:fill="auto"/>
          </w:tcPr>
          <w:p w14:paraId="755D14BA" w14:textId="02355437" w:rsidR="00B074CC" w:rsidRPr="001A1836" w:rsidRDefault="00B074CC" w:rsidP="00626054">
            <w:pPr>
              <w:rPr>
                <w:rFonts w:eastAsia="Calibri"/>
                <w:b/>
              </w:rPr>
            </w:pPr>
            <w:r w:rsidRPr="001A1836">
              <w:rPr>
                <w:rFonts w:eastAsia="Calibri"/>
                <w:b/>
              </w:rPr>
              <w:t xml:space="preserve">Number of failures </w:t>
            </w:r>
            <w:r w:rsidR="00AE746D" w:rsidRPr="001A1836">
              <w:rPr>
                <w:rFonts w:eastAsia="Calibri"/>
                <w:b/>
              </w:rPr>
              <w:t>(</w:t>
            </w:r>
            <w:r w:rsidRPr="001A1836">
              <w:rPr>
                <w:rFonts w:eastAsia="Calibri"/>
                <w:b/>
              </w:rPr>
              <w:t>of any individual Service Level</w:t>
            </w:r>
            <w:r w:rsidR="00AE746D" w:rsidRPr="001A1836">
              <w:rPr>
                <w:rFonts w:eastAsia="Calibri"/>
                <w:b/>
              </w:rPr>
              <w:t>)</w:t>
            </w:r>
            <w:r w:rsidRPr="001A1836">
              <w:rPr>
                <w:rFonts w:eastAsia="Calibri"/>
                <w:b/>
              </w:rPr>
              <w:t xml:space="preserve"> in a rolling Service Measurement Period</w:t>
            </w:r>
          </w:p>
        </w:tc>
      </w:tr>
      <w:tr w:rsidR="00B074CC" w:rsidRPr="001A1836" w14:paraId="40BB8761" w14:textId="77777777" w:rsidTr="00626054">
        <w:tc>
          <w:tcPr>
            <w:tcW w:w="2446" w:type="dxa"/>
            <w:vMerge w:val="restart"/>
            <w:shd w:val="clear" w:color="auto" w:fill="auto"/>
          </w:tcPr>
          <w:p w14:paraId="4FA94622" w14:textId="77777777" w:rsidR="00B074CC" w:rsidRPr="001A1836" w:rsidRDefault="00B074CC" w:rsidP="00626054">
            <w:pPr>
              <w:rPr>
                <w:rFonts w:eastAsia="Calibri"/>
                <w:b/>
              </w:rPr>
            </w:pPr>
          </w:p>
          <w:p w14:paraId="2BF46536" w14:textId="77777777" w:rsidR="00B074CC" w:rsidRPr="001A1836" w:rsidRDefault="00B074CC" w:rsidP="00626054">
            <w:pPr>
              <w:rPr>
                <w:rFonts w:eastAsia="Calibri"/>
                <w:b/>
              </w:rPr>
            </w:pPr>
          </w:p>
          <w:p w14:paraId="59DBA0CE" w14:textId="77777777" w:rsidR="00B074CC" w:rsidRPr="001A1836" w:rsidRDefault="00B074CC" w:rsidP="00626054">
            <w:pPr>
              <w:rPr>
                <w:rFonts w:eastAsia="Calibri"/>
                <w:b/>
              </w:rPr>
            </w:pPr>
            <w:r w:rsidRPr="001A1836">
              <w:rPr>
                <w:rFonts w:eastAsia="Calibri"/>
                <w:b/>
              </w:rPr>
              <w:t xml:space="preserve">Extent of Service Level Failure </w:t>
            </w:r>
          </w:p>
        </w:tc>
        <w:tc>
          <w:tcPr>
            <w:tcW w:w="1523" w:type="dxa"/>
            <w:shd w:val="clear" w:color="auto" w:fill="auto"/>
          </w:tcPr>
          <w:p w14:paraId="59B4F705" w14:textId="77777777" w:rsidR="00B074CC" w:rsidRPr="001A1836" w:rsidRDefault="00B074CC" w:rsidP="00626054">
            <w:pPr>
              <w:rPr>
                <w:rFonts w:eastAsia="Calibri"/>
              </w:rPr>
            </w:pPr>
          </w:p>
        </w:tc>
        <w:tc>
          <w:tcPr>
            <w:tcW w:w="1276" w:type="dxa"/>
            <w:shd w:val="clear" w:color="auto" w:fill="auto"/>
          </w:tcPr>
          <w:p w14:paraId="0E756225" w14:textId="77777777" w:rsidR="00B074CC" w:rsidRPr="001A1836" w:rsidRDefault="00B074CC" w:rsidP="00626054">
            <w:pPr>
              <w:rPr>
                <w:rFonts w:eastAsia="Calibri"/>
              </w:rPr>
            </w:pPr>
            <w:r w:rsidRPr="001A1836">
              <w:rPr>
                <w:rFonts w:eastAsia="Calibri"/>
              </w:rPr>
              <w:t>1</w:t>
            </w:r>
          </w:p>
        </w:tc>
        <w:tc>
          <w:tcPr>
            <w:tcW w:w="1276" w:type="dxa"/>
            <w:shd w:val="clear" w:color="auto" w:fill="auto"/>
          </w:tcPr>
          <w:p w14:paraId="4842EB6D" w14:textId="77777777" w:rsidR="00B074CC" w:rsidRPr="001A1836" w:rsidRDefault="00B074CC" w:rsidP="00626054">
            <w:pPr>
              <w:rPr>
                <w:rFonts w:eastAsia="Calibri"/>
              </w:rPr>
            </w:pPr>
            <w:r w:rsidRPr="001A1836">
              <w:rPr>
                <w:rFonts w:eastAsia="Calibri"/>
              </w:rPr>
              <w:t>2</w:t>
            </w:r>
          </w:p>
        </w:tc>
        <w:tc>
          <w:tcPr>
            <w:tcW w:w="2268" w:type="dxa"/>
            <w:shd w:val="clear" w:color="auto" w:fill="auto"/>
          </w:tcPr>
          <w:p w14:paraId="4A4E8119" w14:textId="77777777" w:rsidR="00B074CC" w:rsidRPr="001A1836" w:rsidRDefault="00B074CC" w:rsidP="00626054">
            <w:pPr>
              <w:rPr>
                <w:rFonts w:eastAsia="Calibri"/>
              </w:rPr>
            </w:pPr>
            <w:r w:rsidRPr="001A1836">
              <w:rPr>
                <w:rFonts w:eastAsia="Calibri"/>
              </w:rPr>
              <w:t>3 or more</w:t>
            </w:r>
          </w:p>
        </w:tc>
      </w:tr>
      <w:tr w:rsidR="00B074CC" w:rsidRPr="001A1836" w14:paraId="2E08D0B0" w14:textId="77777777" w:rsidTr="00626054">
        <w:trPr>
          <w:trHeight w:val="320"/>
        </w:trPr>
        <w:tc>
          <w:tcPr>
            <w:tcW w:w="2446" w:type="dxa"/>
            <w:vMerge/>
            <w:shd w:val="clear" w:color="auto" w:fill="auto"/>
          </w:tcPr>
          <w:p w14:paraId="75457245" w14:textId="77777777" w:rsidR="00B074CC" w:rsidRPr="001A1836" w:rsidRDefault="00B074CC" w:rsidP="00626054">
            <w:pPr>
              <w:rPr>
                <w:rFonts w:eastAsia="Calibri"/>
                <w:b/>
              </w:rPr>
            </w:pPr>
          </w:p>
        </w:tc>
        <w:tc>
          <w:tcPr>
            <w:tcW w:w="1523" w:type="dxa"/>
            <w:shd w:val="clear" w:color="auto" w:fill="auto"/>
          </w:tcPr>
          <w:p w14:paraId="043DBFB3" w14:textId="77777777" w:rsidR="00B074CC" w:rsidRPr="001A1836" w:rsidRDefault="00B074CC" w:rsidP="00626054">
            <w:pPr>
              <w:rPr>
                <w:rFonts w:eastAsia="Calibri"/>
              </w:rPr>
            </w:pPr>
            <w:r w:rsidRPr="001A1836">
              <w:rPr>
                <w:rFonts w:eastAsia="Calibri"/>
              </w:rPr>
              <w:t>Minor</w:t>
            </w:r>
          </w:p>
        </w:tc>
        <w:tc>
          <w:tcPr>
            <w:tcW w:w="1276" w:type="dxa"/>
            <w:shd w:val="clear" w:color="auto" w:fill="auto"/>
          </w:tcPr>
          <w:p w14:paraId="4FEFE89A" w14:textId="77777777" w:rsidR="00B074CC" w:rsidRPr="001A1836" w:rsidRDefault="00B074CC" w:rsidP="00626054">
            <w:pPr>
              <w:rPr>
                <w:rFonts w:eastAsia="Calibri"/>
              </w:rPr>
            </w:pPr>
            <w:r w:rsidRPr="001A1836">
              <w:rPr>
                <w:rFonts w:eastAsia="Calibri"/>
              </w:rPr>
              <w:t>Minor</w:t>
            </w:r>
          </w:p>
        </w:tc>
        <w:tc>
          <w:tcPr>
            <w:tcW w:w="1276" w:type="dxa"/>
            <w:shd w:val="clear" w:color="auto" w:fill="auto"/>
          </w:tcPr>
          <w:p w14:paraId="41BB4D16" w14:textId="77777777" w:rsidR="00B074CC" w:rsidRPr="001A1836" w:rsidRDefault="00B074CC" w:rsidP="00626054">
            <w:pPr>
              <w:rPr>
                <w:rFonts w:eastAsia="Calibri"/>
              </w:rPr>
            </w:pPr>
            <w:r w:rsidRPr="001A1836">
              <w:rPr>
                <w:rFonts w:eastAsia="Calibri"/>
              </w:rPr>
              <w:t xml:space="preserve">Moderate </w:t>
            </w:r>
          </w:p>
        </w:tc>
        <w:tc>
          <w:tcPr>
            <w:tcW w:w="2268" w:type="dxa"/>
            <w:shd w:val="clear" w:color="auto" w:fill="auto"/>
          </w:tcPr>
          <w:p w14:paraId="49892979" w14:textId="77777777" w:rsidR="00B074CC" w:rsidRPr="001A1836" w:rsidRDefault="00B074CC" w:rsidP="00626054">
            <w:pPr>
              <w:rPr>
                <w:rFonts w:eastAsia="Calibri"/>
              </w:rPr>
            </w:pPr>
            <w:r w:rsidRPr="001A1836">
              <w:rPr>
                <w:rFonts w:eastAsia="Calibri"/>
              </w:rPr>
              <w:t>Major</w:t>
            </w:r>
          </w:p>
        </w:tc>
      </w:tr>
      <w:tr w:rsidR="00B074CC" w:rsidRPr="001A1836" w14:paraId="5CE55AF5" w14:textId="77777777" w:rsidTr="00626054">
        <w:tc>
          <w:tcPr>
            <w:tcW w:w="2446" w:type="dxa"/>
            <w:vMerge/>
            <w:shd w:val="clear" w:color="auto" w:fill="auto"/>
          </w:tcPr>
          <w:p w14:paraId="233ABF97" w14:textId="77777777" w:rsidR="00B074CC" w:rsidRPr="001A1836" w:rsidRDefault="00B074CC" w:rsidP="00626054">
            <w:pPr>
              <w:rPr>
                <w:rFonts w:eastAsia="Calibri"/>
                <w:b/>
              </w:rPr>
            </w:pPr>
          </w:p>
        </w:tc>
        <w:tc>
          <w:tcPr>
            <w:tcW w:w="1523" w:type="dxa"/>
            <w:shd w:val="clear" w:color="auto" w:fill="auto"/>
          </w:tcPr>
          <w:p w14:paraId="1FD4BA8E" w14:textId="77777777" w:rsidR="00B074CC" w:rsidRPr="001A1836" w:rsidRDefault="00B074CC" w:rsidP="00626054">
            <w:pPr>
              <w:rPr>
                <w:rFonts w:eastAsia="Calibri"/>
              </w:rPr>
            </w:pPr>
            <w:r w:rsidRPr="001A1836">
              <w:rPr>
                <w:rFonts w:eastAsia="Calibri"/>
              </w:rPr>
              <w:t>Moderate</w:t>
            </w:r>
          </w:p>
        </w:tc>
        <w:tc>
          <w:tcPr>
            <w:tcW w:w="1276" w:type="dxa"/>
            <w:shd w:val="clear" w:color="auto" w:fill="auto"/>
          </w:tcPr>
          <w:p w14:paraId="3F05A3FD" w14:textId="77777777" w:rsidR="00B074CC" w:rsidRPr="001A1836" w:rsidRDefault="00B074CC" w:rsidP="00626054">
            <w:pPr>
              <w:rPr>
                <w:rFonts w:eastAsia="Calibri"/>
              </w:rPr>
            </w:pPr>
            <w:r w:rsidRPr="001A1836">
              <w:rPr>
                <w:rFonts w:eastAsia="Calibri"/>
              </w:rPr>
              <w:t>Moderate</w:t>
            </w:r>
          </w:p>
        </w:tc>
        <w:tc>
          <w:tcPr>
            <w:tcW w:w="1276" w:type="dxa"/>
            <w:shd w:val="clear" w:color="auto" w:fill="auto"/>
          </w:tcPr>
          <w:p w14:paraId="567108E9" w14:textId="77777777" w:rsidR="00B074CC" w:rsidRPr="001A1836" w:rsidRDefault="00B074CC" w:rsidP="00626054">
            <w:pPr>
              <w:rPr>
                <w:rFonts w:eastAsia="Calibri"/>
              </w:rPr>
            </w:pPr>
            <w:r w:rsidRPr="001A1836">
              <w:rPr>
                <w:rFonts w:eastAsia="Calibri"/>
              </w:rPr>
              <w:t>Major</w:t>
            </w:r>
          </w:p>
        </w:tc>
        <w:tc>
          <w:tcPr>
            <w:tcW w:w="2268" w:type="dxa"/>
            <w:shd w:val="clear" w:color="auto" w:fill="auto"/>
          </w:tcPr>
          <w:p w14:paraId="496FB0FB" w14:textId="77777777" w:rsidR="00B074CC" w:rsidRPr="001A1836" w:rsidRDefault="00B074CC" w:rsidP="00626054">
            <w:pPr>
              <w:rPr>
                <w:rFonts w:eastAsia="Calibri"/>
              </w:rPr>
            </w:pPr>
            <w:r w:rsidRPr="001A1836">
              <w:rPr>
                <w:rFonts w:eastAsia="Calibri"/>
              </w:rPr>
              <w:t>Major</w:t>
            </w:r>
          </w:p>
        </w:tc>
      </w:tr>
      <w:tr w:rsidR="00B074CC" w:rsidRPr="001A1836" w14:paraId="0805DEB6" w14:textId="77777777" w:rsidTr="00626054">
        <w:tc>
          <w:tcPr>
            <w:tcW w:w="2446" w:type="dxa"/>
            <w:vMerge/>
            <w:shd w:val="clear" w:color="auto" w:fill="auto"/>
          </w:tcPr>
          <w:p w14:paraId="65DF57AC" w14:textId="77777777" w:rsidR="00B074CC" w:rsidRPr="001A1836" w:rsidRDefault="00B074CC" w:rsidP="00626054">
            <w:pPr>
              <w:rPr>
                <w:rFonts w:eastAsia="Calibri"/>
                <w:b/>
              </w:rPr>
            </w:pPr>
          </w:p>
        </w:tc>
        <w:tc>
          <w:tcPr>
            <w:tcW w:w="1523" w:type="dxa"/>
            <w:shd w:val="clear" w:color="auto" w:fill="auto"/>
          </w:tcPr>
          <w:p w14:paraId="44334630" w14:textId="77777777" w:rsidR="00B074CC" w:rsidRPr="001A1836" w:rsidRDefault="00B074CC" w:rsidP="00626054">
            <w:pPr>
              <w:rPr>
                <w:rFonts w:eastAsia="Calibri"/>
              </w:rPr>
            </w:pPr>
            <w:r w:rsidRPr="001A1836">
              <w:rPr>
                <w:rFonts w:eastAsia="Calibri"/>
              </w:rPr>
              <w:t>Major</w:t>
            </w:r>
          </w:p>
        </w:tc>
        <w:tc>
          <w:tcPr>
            <w:tcW w:w="1276" w:type="dxa"/>
            <w:shd w:val="clear" w:color="auto" w:fill="auto"/>
          </w:tcPr>
          <w:p w14:paraId="7E187E12" w14:textId="77777777" w:rsidR="00B074CC" w:rsidRPr="001A1836" w:rsidRDefault="00B074CC" w:rsidP="00626054">
            <w:pPr>
              <w:rPr>
                <w:rFonts w:eastAsia="Calibri"/>
              </w:rPr>
            </w:pPr>
            <w:r w:rsidRPr="001A1836">
              <w:rPr>
                <w:rFonts w:eastAsia="Calibri"/>
              </w:rPr>
              <w:t>Major</w:t>
            </w:r>
          </w:p>
        </w:tc>
        <w:tc>
          <w:tcPr>
            <w:tcW w:w="1276" w:type="dxa"/>
            <w:shd w:val="clear" w:color="auto" w:fill="auto"/>
          </w:tcPr>
          <w:p w14:paraId="0CA96231" w14:textId="77777777" w:rsidR="00B074CC" w:rsidRPr="001A1836" w:rsidRDefault="00B074CC" w:rsidP="00626054">
            <w:pPr>
              <w:rPr>
                <w:rFonts w:eastAsia="Calibri"/>
              </w:rPr>
            </w:pPr>
            <w:r w:rsidRPr="001A1836">
              <w:rPr>
                <w:rFonts w:eastAsia="Calibri"/>
              </w:rPr>
              <w:t>Major</w:t>
            </w:r>
          </w:p>
        </w:tc>
        <w:tc>
          <w:tcPr>
            <w:tcW w:w="2268" w:type="dxa"/>
            <w:shd w:val="clear" w:color="auto" w:fill="auto"/>
          </w:tcPr>
          <w:p w14:paraId="5928A9C5" w14:textId="77777777" w:rsidR="00B074CC" w:rsidRPr="001A1836" w:rsidRDefault="00B074CC" w:rsidP="00626054">
            <w:pPr>
              <w:rPr>
                <w:rFonts w:eastAsia="Calibri"/>
              </w:rPr>
            </w:pPr>
            <w:r w:rsidRPr="001A1836">
              <w:rPr>
                <w:rFonts w:eastAsia="Calibri"/>
              </w:rPr>
              <w:t>Major</w:t>
            </w:r>
          </w:p>
        </w:tc>
      </w:tr>
    </w:tbl>
    <w:p w14:paraId="643D8E0F" w14:textId="77777777" w:rsidR="00B074CC" w:rsidRPr="001A1836" w:rsidRDefault="00B074CC" w:rsidP="00626054"/>
    <w:p w14:paraId="287FBA28" w14:textId="52EC6319" w:rsidR="00B074CC" w:rsidRPr="001A1836" w:rsidRDefault="00B074CC">
      <w:pPr>
        <w:pStyle w:val="GSRL4numberedclause"/>
      </w:pPr>
      <w:r w:rsidRPr="001A1836">
        <w:t xml:space="preserve">In the event of a Service Level Failure, the Provider shall comply with the provisions of </w:t>
      </w:r>
      <w:r w:rsidR="00C54CC7" w:rsidRPr="001A1836">
        <w:t>C</w:t>
      </w:r>
      <w:r w:rsidRPr="001A1836">
        <w:t xml:space="preserve">lause 11 </w:t>
      </w:r>
      <w:r w:rsidR="00135384" w:rsidRPr="001A1836">
        <w:t xml:space="preserve">(Improvement Plan) </w:t>
      </w:r>
      <w:r w:rsidRPr="001A1836">
        <w:t>of the SCA.</w:t>
      </w:r>
    </w:p>
    <w:p w14:paraId="0A35D9AB" w14:textId="74C22F3F" w:rsidR="00AB065C" w:rsidRPr="00F3702D" w:rsidRDefault="00715874" w:rsidP="00AB065C">
      <w:pPr>
        <w:pStyle w:val="GSRL3heading"/>
      </w:pPr>
      <w:r w:rsidRPr="00F3702D">
        <w:t>RELIEF</w:t>
      </w:r>
    </w:p>
    <w:p w14:paraId="64CFA1A3" w14:textId="77777777" w:rsidR="009A011A" w:rsidRPr="00F3702D" w:rsidRDefault="009A011A" w:rsidP="009A011A">
      <w:pPr>
        <w:pStyle w:val="GSRL4numberedclause"/>
      </w:pPr>
      <w:r w:rsidRPr="00F3702D">
        <w:t xml:space="preserve">In acknowledgement of the delay in contract award, in entering into this Agreement, and the acknowledged impact that this may have on the Provider’s performance of the Services and certain Service Levels, the Parties have agreed as follows:  </w:t>
      </w:r>
    </w:p>
    <w:p w14:paraId="5B863A98" w14:textId="77777777" w:rsidR="0084765D" w:rsidRPr="00F3702D" w:rsidRDefault="0084765D" w:rsidP="0084765D">
      <w:pPr>
        <w:pStyle w:val="GSRL5numberedclause"/>
      </w:pPr>
      <w:r w:rsidRPr="00F3702D">
        <w:t>certain Service Level Performance Measures and associated thresholds for Minor Service Level Failure, Moderate Service Level Failure and Major Service Level Failure shall be varied for either (i) the period of four months from and including the Services Start Date (the “</w:t>
      </w:r>
      <w:r w:rsidRPr="00F3702D">
        <w:rPr>
          <w:b/>
        </w:rPr>
        <w:t>Relief Period</w:t>
      </w:r>
      <w:r w:rsidRPr="00F3702D">
        <w:t>”) in respect of Services Levels measured on a monthly basis or (ii) Year 1 in respect of Service Levels measured on an annual basis.  Details of the variations are set out in the appropriate Service Level in Annex 1; and</w:t>
      </w:r>
    </w:p>
    <w:p w14:paraId="4782BA07" w14:textId="77777777" w:rsidR="0084765D" w:rsidRPr="00F3702D" w:rsidRDefault="0084765D" w:rsidP="0084765D">
      <w:pPr>
        <w:pStyle w:val="GSRL5numberedclause"/>
      </w:pPr>
      <w:r w:rsidRPr="00F3702D">
        <w:t xml:space="preserve">on the expiry of the Relief Period or Year 1 (as applicable) in respect of the Service Levels which have been varied, only Minor Service Level Failures (unless otherwise agreed between the Parties) shall be disregarded for the purpose of the application of the Repeat Failure Multiplier, such that the first Service Level Failure in respect of a Service Level after the expiry of the Relief Period or Year 1 (as applicable) shall be deemed to the first.  </w:t>
      </w:r>
    </w:p>
    <w:p w14:paraId="416227F7" w14:textId="77777777" w:rsidR="009A011A" w:rsidRDefault="009A011A" w:rsidP="009A011A">
      <w:pPr>
        <w:pStyle w:val="GSRL4numberedclause"/>
        <w:numPr>
          <w:ilvl w:val="0"/>
          <w:numId w:val="0"/>
        </w:numPr>
        <w:ind w:left="720"/>
        <w:rPr>
          <w:highlight w:val="yellow"/>
        </w:rPr>
      </w:pPr>
    </w:p>
    <w:p w14:paraId="10819313" w14:textId="1EEE23CD" w:rsidR="00F84E98" w:rsidRPr="00CF2589" w:rsidRDefault="00F84E98" w:rsidP="00DD4297">
      <w:pPr>
        <w:pStyle w:val="GSRL4numberedclause"/>
        <w:numPr>
          <w:ilvl w:val="0"/>
          <w:numId w:val="0"/>
        </w:numPr>
        <w:ind w:left="720"/>
      </w:pPr>
    </w:p>
    <w:p w14:paraId="1529ECFF" w14:textId="77777777" w:rsidR="00F84E98" w:rsidRPr="00CF2589" w:rsidRDefault="00F84E98" w:rsidP="00771C35">
      <w:pPr>
        <w:pStyle w:val="GSRL4numberedclause"/>
        <w:numPr>
          <w:ilvl w:val="0"/>
          <w:numId w:val="0"/>
        </w:numPr>
        <w:ind w:left="720"/>
      </w:pPr>
    </w:p>
    <w:p w14:paraId="471548CD" w14:textId="25A168CD" w:rsidR="00B074CC" w:rsidRPr="001A1836" w:rsidRDefault="00B074CC" w:rsidP="00626054"/>
    <w:p w14:paraId="0F0C9D96" w14:textId="77777777" w:rsidR="00E1640D" w:rsidRDefault="00E1640D">
      <w:pPr>
        <w:spacing w:before="0" w:after="0"/>
        <w:rPr>
          <w:rFonts w:eastAsia="STZhongsong" w:cs="Arial"/>
          <w:b/>
          <w:caps/>
          <w:kern w:val="0"/>
          <w:sz w:val="24"/>
          <w:szCs w:val="22"/>
          <w:lang w:eastAsia="zh-CN"/>
        </w:rPr>
      </w:pPr>
      <w:bookmarkStart w:id="862" w:name="_Toc521327003"/>
      <w:bookmarkStart w:id="863" w:name="_Toc521333236"/>
      <w:bookmarkStart w:id="864" w:name="_Toc521496796"/>
      <w:bookmarkStart w:id="865" w:name="_Toc521498238"/>
      <w:bookmarkStart w:id="866" w:name="_Toc529345974"/>
      <w:bookmarkStart w:id="867" w:name="_Toc129038171"/>
      <w:bookmarkStart w:id="868" w:name="_Toc129038457"/>
      <w:bookmarkStart w:id="869" w:name="_Toc132268027"/>
      <w:bookmarkStart w:id="870" w:name="_Toc132268333"/>
      <w:bookmarkStart w:id="871" w:name="_Toc136198584"/>
      <w:bookmarkStart w:id="872" w:name="_Toc136198865"/>
      <w:r>
        <w:br w:type="page"/>
      </w:r>
    </w:p>
    <w:p w14:paraId="1696CA20" w14:textId="2E690C60" w:rsidR="00B074CC" w:rsidRPr="001A1836" w:rsidRDefault="00B074CC" w:rsidP="005E43DB">
      <w:pPr>
        <w:pStyle w:val="GSRL2Sectionheading"/>
      </w:pPr>
      <w:r w:rsidRPr="001A1836">
        <w:lastRenderedPageBreak/>
        <w:t>A</w:t>
      </w:r>
      <w:r w:rsidR="004C2FF4" w:rsidRPr="001A1836">
        <w:t>nnex</w:t>
      </w:r>
      <w:r w:rsidRPr="001A1836">
        <w:t xml:space="preserve"> 1 – </w:t>
      </w:r>
      <w:bookmarkEnd w:id="862"/>
      <w:bookmarkEnd w:id="863"/>
      <w:bookmarkEnd w:id="864"/>
      <w:bookmarkEnd w:id="865"/>
      <w:r w:rsidR="004C2FF4" w:rsidRPr="001A1836">
        <w:t>Service Levels</w:t>
      </w:r>
      <w:bookmarkEnd w:id="866"/>
      <w:bookmarkEnd w:id="867"/>
      <w:bookmarkEnd w:id="868"/>
      <w:bookmarkEnd w:id="869"/>
      <w:bookmarkEnd w:id="870"/>
      <w:bookmarkEnd w:id="871"/>
      <w:bookmarkEnd w:id="872"/>
    </w:p>
    <w:p w14:paraId="31D4E573" w14:textId="77777777" w:rsidR="00B074CC" w:rsidRPr="001A1836" w:rsidRDefault="00B074CC" w:rsidP="00626054">
      <w:pPr>
        <w:spacing w:after="0"/>
        <w:rPr>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4678"/>
        <w:gridCol w:w="1899"/>
      </w:tblGrid>
      <w:tr w:rsidR="00B074CC" w:rsidRPr="001A1836" w14:paraId="1EEA1CDF" w14:textId="77777777" w:rsidTr="00B4557D">
        <w:trPr>
          <w:tblHeader/>
        </w:trPr>
        <w:tc>
          <w:tcPr>
            <w:tcW w:w="1951" w:type="dxa"/>
            <w:shd w:val="clear" w:color="auto" w:fill="auto"/>
          </w:tcPr>
          <w:p w14:paraId="4F732C9E" w14:textId="77777777" w:rsidR="00B074CC" w:rsidRPr="001A1836" w:rsidRDefault="00B074CC" w:rsidP="00626054">
            <w:pPr>
              <w:rPr>
                <w:b/>
                <w:szCs w:val="24"/>
              </w:rPr>
            </w:pPr>
            <w:r w:rsidRPr="001A1836">
              <w:rPr>
                <w:b/>
                <w:szCs w:val="24"/>
              </w:rPr>
              <w:t xml:space="preserve">SL01 </w:t>
            </w:r>
          </w:p>
        </w:tc>
        <w:tc>
          <w:tcPr>
            <w:tcW w:w="6577" w:type="dxa"/>
            <w:gridSpan w:val="2"/>
            <w:shd w:val="clear" w:color="auto" w:fill="auto"/>
          </w:tcPr>
          <w:p w14:paraId="108379F3" w14:textId="4CCB79D2" w:rsidR="00B074CC" w:rsidRPr="001A1836" w:rsidRDefault="00B074CC" w:rsidP="00313A1B">
            <w:pPr>
              <w:rPr>
                <w:b/>
                <w:szCs w:val="24"/>
              </w:rPr>
            </w:pPr>
            <w:r w:rsidRPr="001A1836">
              <w:rPr>
                <w:b/>
                <w:szCs w:val="24"/>
              </w:rPr>
              <w:t xml:space="preserve">Total number of </w:t>
            </w:r>
            <w:r w:rsidR="000263B5">
              <w:rPr>
                <w:b/>
                <w:szCs w:val="24"/>
              </w:rPr>
              <w:t>C</w:t>
            </w:r>
            <w:r w:rsidR="00117B45">
              <w:rPr>
                <w:b/>
                <w:szCs w:val="24"/>
              </w:rPr>
              <w:t xml:space="preserve">ompetency </w:t>
            </w:r>
            <w:r w:rsidR="000263B5">
              <w:rPr>
                <w:b/>
                <w:szCs w:val="24"/>
              </w:rPr>
              <w:t>C</w:t>
            </w:r>
            <w:r w:rsidR="00117B45">
              <w:rPr>
                <w:b/>
                <w:szCs w:val="24"/>
              </w:rPr>
              <w:t>hecks</w:t>
            </w:r>
          </w:p>
        </w:tc>
      </w:tr>
      <w:tr w:rsidR="00B074CC" w:rsidRPr="001A1836" w14:paraId="0023DE92" w14:textId="77777777" w:rsidTr="00626054">
        <w:tc>
          <w:tcPr>
            <w:tcW w:w="1951" w:type="dxa"/>
            <w:shd w:val="clear" w:color="auto" w:fill="auto"/>
          </w:tcPr>
          <w:p w14:paraId="16625654" w14:textId="77777777" w:rsidR="00B074CC" w:rsidRPr="001A1836" w:rsidRDefault="00B074CC" w:rsidP="00626054">
            <w:pPr>
              <w:rPr>
                <w:sz w:val="20"/>
                <w:szCs w:val="24"/>
              </w:rPr>
            </w:pPr>
            <w:r w:rsidRPr="001A1836">
              <w:rPr>
                <w:sz w:val="20"/>
                <w:szCs w:val="24"/>
              </w:rPr>
              <w:t>Service Level description</w:t>
            </w:r>
          </w:p>
        </w:tc>
        <w:tc>
          <w:tcPr>
            <w:tcW w:w="6577" w:type="dxa"/>
            <w:gridSpan w:val="2"/>
            <w:shd w:val="clear" w:color="auto" w:fill="auto"/>
          </w:tcPr>
          <w:p w14:paraId="55969AA6" w14:textId="5CCCE7DC" w:rsidR="00B074CC" w:rsidRPr="001A1836" w:rsidRDefault="00B074CC" w:rsidP="00626054">
            <w:pPr>
              <w:rPr>
                <w:sz w:val="20"/>
                <w:szCs w:val="24"/>
              </w:rPr>
            </w:pPr>
            <w:r w:rsidRPr="001A1836">
              <w:rPr>
                <w:sz w:val="20"/>
                <w:szCs w:val="24"/>
              </w:rPr>
              <w:t xml:space="preserve">The total number of </w:t>
            </w:r>
            <w:r w:rsidR="00F635F2">
              <w:rPr>
                <w:sz w:val="20"/>
                <w:szCs w:val="24"/>
              </w:rPr>
              <w:t xml:space="preserve">Competency </w:t>
            </w:r>
            <w:r w:rsidR="000263B5">
              <w:rPr>
                <w:sz w:val="20"/>
                <w:szCs w:val="24"/>
              </w:rPr>
              <w:t>C</w:t>
            </w:r>
            <w:r w:rsidR="00F635F2">
              <w:rPr>
                <w:sz w:val="20"/>
                <w:szCs w:val="24"/>
              </w:rPr>
              <w:t xml:space="preserve">hecks </w:t>
            </w:r>
            <w:r w:rsidR="000263B5">
              <w:rPr>
                <w:sz w:val="20"/>
                <w:szCs w:val="24"/>
              </w:rPr>
              <w:t xml:space="preserve">(and other types of Inspections) </w:t>
            </w:r>
            <w:r w:rsidRPr="001A1836">
              <w:rPr>
                <w:sz w:val="20"/>
                <w:szCs w:val="24"/>
              </w:rPr>
              <w:t xml:space="preserve">is a fixed target set at the start of </w:t>
            </w:r>
            <w:r w:rsidR="000263B5">
              <w:rPr>
                <w:sz w:val="20"/>
                <w:szCs w:val="24"/>
              </w:rPr>
              <w:t>each Y</w:t>
            </w:r>
            <w:r w:rsidRPr="001A1836">
              <w:rPr>
                <w:sz w:val="20"/>
                <w:szCs w:val="24"/>
              </w:rPr>
              <w:t>ear, in accordance with the provisions of Schedule 1.</w:t>
            </w:r>
          </w:p>
          <w:p w14:paraId="7DB176DA" w14:textId="1CD8D70C" w:rsidR="00B074CC" w:rsidRPr="001A1836" w:rsidRDefault="00B074CC" w:rsidP="00626054">
            <w:pPr>
              <w:rPr>
                <w:sz w:val="20"/>
                <w:szCs w:val="24"/>
              </w:rPr>
            </w:pPr>
            <w:r w:rsidRPr="001A1836">
              <w:rPr>
                <w:sz w:val="20"/>
                <w:szCs w:val="24"/>
              </w:rPr>
              <w:t xml:space="preserve">The required number of </w:t>
            </w:r>
            <w:r w:rsidR="000263B5">
              <w:rPr>
                <w:sz w:val="20"/>
                <w:szCs w:val="24"/>
              </w:rPr>
              <w:t>C</w:t>
            </w:r>
            <w:r w:rsidR="00E34074">
              <w:rPr>
                <w:sz w:val="20"/>
                <w:szCs w:val="24"/>
              </w:rPr>
              <w:t xml:space="preserve">ompetency </w:t>
            </w:r>
            <w:r w:rsidR="000263B5">
              <w:rPr>
                <w:sz w:val="20"/>
                <w:szCs w:val="24"/>
              </w:rPr>
              <w:t>C</w:t>
            </w:r>
            <w:r w:rsidR="00E34074">
              <w:rPr>
                <w:sz w:val="20"/>
                <w:szCs w:val="24"/>
              </w:rPr>
              <w:t>hecks</w:t>
            </w:r>
            <w:r w:rsidRPr="001A1836">
              <w:rPr>
                <w:sz w:val="20"/>
                <w:szCs w:val="24"/>
              </w:rPr>
              <w:t xml:space="preserve"> in each category will be defined in the annual </w:t>
            </w:r>
            <w:r w:rsidR="000263B5">
              <w:rPr>
                <w:sz w:val="20"/>
                <w:szCs w:val="24"/>
              </w:rPr>
              <w:t>C</w:t>
            </w:r>
            <w:r w:rsidR="00E34074">
              <w:rPr>
                <w:sz w:val="20"/>
                <w:szCs w:val="24"/>
              </w:rPr>
              <w:t xml:space="preserve">ompetency </w:t>
            </w:r>
            <w:r w:rsidR="000263B5">
              <w:rPr>
                <w:sz w:val="20"/>
                <w:szCs w:val="24"/>
              </w:rPr>
              <w:t>C</w:t>
            </w:r>
            <w:r w:rsidR="00E34074">
              <w:rPr>
                <w:sz w:val="20"/>
                <w:szCs w:val="24"/>
              </w:rPr>
              <w:t>heck</w:t>
            </w:r>
            <w:r w:rsidR="000F3C20">
              <w:rPr>
                <w:sz w:val="20"/>
                <w:szCs w:val="24"/>
              </w:rPr>
              <w:t xml:space="preserve"> </w:t>
            </w:r>
            <w:r w:rsidR="00506043">
              <w:rPr>
                <w:sz w:val="20"/>
                <w:szCs w:val="24"/>
              </w:rPr>
              <w:t>ta</w:t>
            </w:r>
            <w:r w:rsidRPr="001A1836">
              <w:rPr>
                <w:sz w:val="20"/>
                <w:szCs w:val="24"/>
              </w:rPr>
              <w:t xml:space="preserve">rget breakdown calculated by application of the Risk Model. </w:t>
            </w:r>
          </w:p>
          <w:p w14:paraId="1C299683" w14:textId="5BC81979" w:rsidR="00B074CC" w:rsidRPr="004A451F" w:rsidRDefault="000263B5" w:rsidP="00626054">
            <w:pPr>
              <w:rPr>
                <w:sz w:val="20"/>
                <w:szCs w:val="24"/>
              </w:rPr>
            </w:pPr>
            <w:r>
              <w:rPr>
                <w:sz w:val="20"/>
                <w:szCs w:val="24"/>
              </w:rPr>
              <w:t>For the purposes of this SL01, o</w:t>
            </w:r>
            <w:r w:rsidR="00B074CC" w:rsidRPr="001A1836">
              <w:rPr>
                <w:sz w:val="20"/>
                <w:szCs w:val="24"/>
              </w:rPr>
              <w:t xml:space="preserve">ne </w:t>
            </w:r>
            <w:r w:rsidR="00506043">
              <w:rPr>
                <w:sz w:val="20"/>
                <w:szCs w:val="24"/>
              </w:rPr>
              <w:t>‘competency check</w:t>
            </w:r>
            <w:r w:rsidR="000F3C20">
              <w:rPr>
                <w:sz w:val="20"/>
                <w:szCs w:val="24"/>
              </w:rPr>
              <w:t xml:space="preserve"> </w:t>
            </w:r>
            <w:r w:rsidR="00B074CC" w:rsidRPr="001A1836">
              <w:rPr>
                <w:sz w:val="20"/>
                <w:szCs w:val="24"/>
              </w:rPr>
              <w:t xml:space="preserve">’ </w:t>
            </w:r>
            <w:r>
              <w:rPr>
                <w:sz w:val="20"/>
                <w:szCs w:val="24"/>
              </w:rPr>
              <w:t xml:space="preserve">that will count towards achievement of this SL01 </w:t>
            </w:r>
            <w:r w:rsidR="00B074CC" w:rsidRPr="001A1836">
              <w:rPr>
                <w:sz w:val="20"/>
                <w:szCs w:val="24"/>
              </w:rPr>
              <w:t>is as defined in paragraphs 4.</w:t>
            </w:r>
            <w:r w:rsidR="00387139">
              <w:rPr>
                <w:sz w:val="20"/>
                <w:szCs w:val="24"/>
              </w:rPr>
              <w:t>18</w:t>
            </w:r>
            <w:r w:rsidR="00B074CC" w:rsidRPr="001A1836">
              <w:rPr>
                <w:sz w:val="20"/>
                <w:szCs w:val="24"/>
              </w:rPr>
              <w:t xml:space="preserve"> – 4</w:t>
            </w:r>
            <w:r w:rsidR="00B074CC" w:rsidRPr="004A451F">
              <w:rPr>
                <w:sz w:val="20"/>
                <w:szCs w:val="24"/>
              </w:rPr>
              <w:t>.2</w:t>
            </w:r>
            <w:r w:rsidR="001635E3">
              <w:rPr>
                <w:sz w:val="20"/>
                <w:szCs w:val="24"/>
              </w:rPr>
              <w:t>8</w:t>
            </w:r>
            <w:r w:rsidR="00B074CC" w:rsidRPr="004A451F">
              <w:rPr>
                <w:sz w:val="20"/>
                <w:szCs w:val="24"/>
              </w:rPr>
              <w:t xml:space="preserve"> </w:t>
            </w:r>
            <w:r w:rsidRPr="004A451F">
              <w:rPr>
                <w:sz w:val="20"/>
                <w:szCs w:val="24"/>
              </w:rPr>
              <w:t xml:space="preserve">(and Annex 1) </w:t>
            </w:r>
            <w:r w:rsidR="00B074CC" w:rsidRPr="004A451F">
              <w:rPr>
                <w:sz w:val="20"/>
                <w:szCs w:val="24"/>
              </w:rPr>
              <w:t>of Schedule 1.</w:t>
            </w:r>
          </w:p>
          <w:p w14:paraId="027FE940" w14:textId="7C81D4CF" w:rsidR="00B074CC" w:rsidRPr="001A1836" w:rsidRDefault="00B074CC" w:rsidP="00457CD0">
            <w:pPr>
              <w:rPr>
                <w:sz w:val="20"/>
                <w:szCs w:val="24"/>
              </w:rPr>
            </w:pPr>
            <w:r w:rsidRPr="004A451F">
              <w:rPr>
                <w:sz w:val="20"/>
                <w:szCs w:val="24"/>
              </w:rPr>
              <w:t xml:space="preserve">The number of </w:t>
            </w:r>
            <w:r w:rsidR="00781141" w:rsidRPr="004A451F">
              <w:rPr>
                <w:sz w:val="20"/>
                <w:szCs w:val="24"/>
              </w:rPr>
              <w:t>C</w:t>
            </w:r>
            <w:r w:rsidR="00B66255" w:rsidRPr="004A451F">
              <w:rPr>
                <w:sz w:val="20"/>
                <w:szCs w:val="24"/>
              </w:rPr>
              <w:t>ompe</w:t>
            </w:r>
            <w:r w:rsidR="008B5D74" w:rsidRPr="004A451F">
              <w:rPr>
                <w:sz w:val="20"/>
                <w:szCs w:val="24"/>
              </w:rPr>
              <w:t xml:space="preserve">tency </w:t>
            </w:r>
            <w:r w:rsidR="00C3094F" w:rsidRPr="004A451F">
              <w:rPr>
                <w:sz w:val="20"/>
                <w:szCs w:val="24"/>
              </w:rPr>
              <w:t>C</w:t>
            </w:r>
            <w:r w:rsidR="008B5D74" w:rsidRPr="004A451F">
              <w:rPr>
                <w:sz w:val="20"/>
                <w:szCs w:val="24"/>
              </w:rPr>
              <w:t>heck</w:t>
            </w:r>
            <w:r w:rsidR="00F635F2" w:rsidRPr="004A451F">
              <w:rPr>
                <w:sz w:val="20"/>
                <w:szCs w:val="24"/>
              </w:rPr>
              <w:t xml:space="preserve"> </w:t>
            </w:r>
            <w:r w:rsidR="00154940" w:rsidRPr="004A451F">
              <w:rPr>
                <w:sz w:val="20"/>
                <w:szCs w:val="24"/>
              </w:rPr>
              <w:t>E</w:t>
            </w:r>
            <w:r w:rsidRPr="004A451F">
              <w:rPr>
                <w:sz w:val="20"/>
                <w:szCs w:val="24"/>
              </w:rPr>
              <w:t xml:space="preserve">vent attendees, each counting as one </w:t>
            </w:r>
            <w:r w:rsidR="00CE5EC0" w:rsidRPr="004A451F">
              <w:rPr>
                <w:sz w:val="20"/>
                <w:szCs w:val="24"/>
              </w:rPr>
              <w:t>C</w:t>
            </w:r>
            <w:r w:rsidR="008B5D74" w:rsidRPr="004A451F">
              <w:rPr>
                <w:sz w:val="20"/>
                <w:szCs w:val="24"/>
              </w:rPr>
              <w:t xml:space="preserve">ompetency </w:t>
            </w:r>
            <w:r w:rsidR="00CE5EC0" w:rsidRPr="004A451F">
              <w:rPr>
                <w:sz w:val="20"/>
                <w:szCs w:val="24"/>
              </w:rPr>
              <w:t>C</w:t>
            </w:r>
            <w:r w:rsidR="008B5D74" w:rsidRPr="004A451F">
              <w:rPr>
                <w:sz w:val="20"/>
                <w:szCs w:val="24"/>
              </w:rPr>
              <w:t xml:space="preserve">heck </w:t>
            </w:r>
            <w:r w:rsidRPr="004A451F">
              <w:rPr>
                <w:sz w:val="20"/>
                <w:szCs w:val="24"/>
              </w:rPr>
              <w:t>for this Service Level, is capped at the low</w:t>
            </w:r>
            <w:r w:rsidR="00C3094F" w:rsidRPr="004A451F">
              <w:rPr>
                <w:sz w:val="20"/>
                <w:szCs w:val="24"/>
              </w:rPr>
              <w:t xml:space="preserve">er </w:t>
            </w:r>
            <w:r w:rsidRPr="004A451F">
              <w:rPr>
                <w:sz w:val="20"/>
                <w:szCs w:val="24"/>
              </w:rPr>
              <w:t xml:space="preserve">risk </w:t>
            </w:r>
            <w:r w:rsidR="00C3094F" w:rsidRPr="004A451F">
              <w:rPr>
                <w:sz w:val="20"/>
                <w:szCs w:val="24"/>
              </w:rPr>
              <w:t>C</w:t>
            </w:r>
            <w:r w:rsidR="00451434" w:rsidRPr="004A451F">
              <w:rPr>
                <w:sz w:val="20"/>
                <w:szCs w:val="24"/>
              </w:rPr>
              <w:t xml:space="preserve">ompetency </w:t>
            </w:r>
            <w:r w:rsidR="00C3094F" w:rsidRPr="004A451F">
              <w:rPr>
                <w:sz w:val="20"/>
                <w:szCs w:val="24"/>
              </w:rPr>
              <w:t>C</w:t>
            </w:r>
            <w:r w:rsidR="00451434" w:rsidRPr="004A451F">
              <w:rPr>
                <w:sz w:val="20"/>
                <w:szCs w:val="24"/>
              </w:rPr>
              <w:t>heck</w:t>
            </w:r>
            <w:r w:rsidR="00F635F2" w:rsidRPr="004A451F">
              <w:rPr>
                <w:sz w:val="20"/>
                <w:szCs w:val="24"/>
              </w:rPr>
              <w:t xml:space="preserve"> </w:t>
            </w:r>
            <w:r w:rsidRPr="004A451F">
              <w:rPr>
                <w:sz w:val="20"/>
                <w:szCs w:val="24"/>
              </w:rPr>
              <w:t xml:space="preserve">target number </w:t>
            </w:r>
            <w:r w:rsidR="00CA1B14" w:rsidRPr="004A451F">
              <w:rPr>
                <w:sz w:val="20"/>
                <w:szCs w:val="24"/>
              </w:rPr>
              <w:t xml:space="preserve">as specified for Year 1 or </w:t>
            </w:r>
            <w:r w:rsidRPr="004A451F">
              <w:rPr>
                <w:sz w:val="20"/>
                <w:szCs w:val="24"/>
              </w:rPr>
              <w:t>as calculated by the Risk Model</w:t>
            </w:r>
            <w:r w:rsidR="00CA1B14" w:rsidRPr="004A451F">
              <w:rPr>
                <w:sz w:val="20"/>
                <w:szCs w:val="24"/>
              </w:rPr>
              <w:t xml:space="preserve"> for Years 2–5</w:t>
            </w:r>
            <w:r w:rsidRPr="004A451F">
              <w:rPr>
                <w:sz w:val="20"/>
                <w:szCs w:val="24"/>
              </w:rPr>
              <w:t xml:space="preserve">. Any </w:t>
            </w:r>
            <w:r w:rsidR="00C3094F" w:rsidRPr="004A451F">
              <w:rPr>
                <w:sz w:val="20"/>
                <w:szCs w:val="24"/>
              </w:rPr>
              <w:t>C</w:t>
            </w:r>
            <w:r w:rsidR="00451434" w:rsidRPr="004A451F">
              <w:rPr>
                <w:sz w:val="20"/>
                <w:szCs w:val="24"/>
              </w:rPr>
              <w:t>ompetency</w:t>
            </w:r>
            <w:r w:rsidR="00451434">
              <w:rPr>
                <w:sz w:val="20"/>
                <w:szCs w:val="24"/>
              </w:rPr>
              <w:t xml:space="preserve"> </w:t>
            </w:r>
            <w:r w:rsidR="00C3094F">
              <w:rPr>
                <w:sz w:val="20"/>
                <w:szCs w:val="24"/>
              </w:rPr>
              <w:t>C</w:t>
            </w:r>
            <w:r w:rsidR="00F72FF3">
              <w:rPr>
                <w:sz w:val="20"/>
                <w:szCs w:val="24"/>
              </w:rPr>
              <w:t xml:space="preserve">heck </w:t>
            </w:r>
            <w:r w:rsidR="00154940">
              <w:rPr>
                <w:sz w:val="20"/>
                <w:szCs w:val="24"/>
              </w:rPr>
              <w:t>E</w:t>
            </w:r>
            <w:r w:rsidRPr="001A1836">
              <w:rPr>
                <w:sz w:val="20"/>
                <w:szCs w:val="24"/>
              </w:rPr>
              <w:t xml:space="preserve">vent attendees above this number are discounted from the overall total number of </w:t>
            </w:r>
            <w:r w:rsidR="00CE5EC0">
              <w:rPr>
                <w:sz w:val="20"/>
                <w:szCs w:val="24"/>
              </w:rPr>
              <w:t>C</w:t>
            </w:r>
            <w:r w:rsidR="00F72FF3">
              <w:rPr>
                <w:sz w:val="20"/>
                <w:szCs w:val="24"/>
              </w:rPr>
              <w:t>ompet</w:t>
            </w:r>
            <w:r w:rsidR="00136C3C">
              <w:rPr>
                <w:sz w:val="20"/>
                <w:szCs w:val="24"/>
              </w:rPr>
              <w:t xml:space="preserve">ency </w:t>
            </w:r>
            <w:r w:rsidR="00CE5EC0">
              <w:rPr>
                <w:sz w:val="20"/>
                <w:szCs w:val="24"/>
              </w:rPr>
              <w:t>C</w:t>
            </w:r>
            <w:r w:rsidR="00136C3C">
              <w:rPr>
                <w:sz w:val="20"/>
                <w:szCs w:val="24"/>
              </w:rPr>
              <w:t>heck</w:t>
            </w:r>
            <w:r w:rsidR="00CE5EC0">
              <w:rPr>
                <w:sz w:val="20"/>
                <w:szCs w:val="24"/>
              </w:rPr>
              <w:t>s</w:t>
            </w:r>
            <w:r w:rsidR="00F635F2">
              <w:rPr>
                <w:sz w:val="20"/>
                <w:szCs w:val="24"/>
              </w:rPr>
              <w:t xml:space="preserve"> </w:t>
            </w:r>
            <w:r w:rsidRPr="001A1836">
              <w:rPr>
                <w:sz w:val="20"/>
                <w:szCs w:val="24"/>
              </w:rPr>
              <w:t>for the purpose of the Service Level calculation.</w:t>
            </w:r>
          </w:p>
        </w:tc>
      </w:tr>
      <w:tr w:rsidR="00B074CC" w:rsidRPr="001A1836" w14:paraId="40F5A926" w14:textId="77777777" w:rsidTr="00626054">
        <w:tc>
          <w:tcPr>
            <w:tcW w:w="1951" w:type="dxa"/>
            <w:shd w:val="clear" w:color="auto" w:fill="auto"/>
          </w:tcPr>
          <w:p w14:paraId="7B1E41DB" w14:textId="77777777" w:rsidR="00B074CC" w:rsidRPr="001A1836" w:rsidRDefault="00B074CC" w:rsidP="00626054">
            <w:pPr>
              <w:rPr>
                <w:sz w:val="20"/>
                <w:szCs w:val="24"/>
              </w:rPr>
            </w:pPr>
            <w:r w:rsidRPr="001A1836">
              <w:rPr>
                <w:sz w:val="20"/>
                <w:szCs w:val="24"/>
              </w:rPr>
              <w:t>Service Level calculation</w:t>
            </w:r>
          </w:p>
        </w:tc>
        <w:tc>
          <w:tcPr>
            <w:tcW w:w="6577" w:type="dxa"/>
            <w:gridSpan w:val="2"/>
            <w:shd w:val="clear" w:color="auto" w:fill="auto"/>
          </w:tcPr>
          <w:p w14:paraId="52D175F3" w14:textId="77777777" w:rsidR="00B074CC" w:rsidRPr="001A1836" w:rsidRDefault="00B074CC" w:rsidP="00626054">
            <w:pPr>
              <w:rPr>
                <w:sz w:val="20"/>
                <w:szCs w:val="24"/>
              </w:rPr>
            </w:pPr>
            <w:r w:rsidRPr="001A1836">
              <w:rPr>
                <w:sz w:val="20"/>
                <w:szCs w:val="24"/>
              </w:rPr>
              <w:t xml:space="preserve">= A + B + C </w:t>
            </w:r>
          </w:p>
          <w:p w14:paraId="48A6BDA0" w14:textId="77777777" w:rsidR="00B074CC" w:rsidRPr="001A1836" w:rsidRDefault="00B074CC" w:rsidP="00626054">
            <w:pPr>
              <w:rPr>
                <w:sz w:val="20"/>
                <w:szCs w:val="24"/>
              </w:rPr>
            </w:pPr>
          </w:p>
          <w:p w14:paraId="3FC56E81" w14:textId="77777777" w:rsidR="00B074CC" w:rsidRPr="001A1836" w:rsidRDefault="00B074CC" w:rsidP="00626054">
            <w:pPr>
              <w:rPr>
                <w:sz w:val="20"/>
                <w:szCs w:val="24"/>
              </w:rPr>
            </w:pPr>
            <w:r w:rsidRPr="001A1836">
              <w:rPr>
                <w:sz w:val="20"/>
                <w:szCs w:val="24"/>
              </w:rPr>
              <w:t>Where:</w:t>
            </w:r>
          </w:p>
          <w:p w14:paraId="142D1A5D" w14:textId="7C5E1836" w:rsidR="00B074CC" w:rsidRPr="001A1836" w:rsidRDefault="00B074CC" w:rsidP="00626054">
            <w:pPr>
              <w:rPr>
                <w:sz w:val="20"/>
                <w:szCs w:val="24"/>
              </w:rPr>
            </w:pPr>
            <w:r w:rsidRPr="001A1836">
              <w:rPr>
                <w:sz w:val="20"/>
                <w:szCs w:val="24"/>
              </w:rPr>
              <w:t xml:space="preserve">A = Number of site-based </w:t>
            </w:r>
            <w:r w:rsidR="006E7AE2">
              <w:rPr>
                <w:sz w:val="20"/>
                <w:szCs w:val="24"/>
              </w:rPr>
              <w:t>C</w:t>
            </w:r>
            <w:r w:rsidR="00136C3C">
              <w:rPr>
                <w:sz w:val="20"/>
                <w:szCs w:val="24"/>
              </w:rPr>
              <w:t xml:space="preserve">ompetency </w:t>
            </w:r>
            <w:r w:rsidR="006E7AE2">
              <w:rPr>
                <w:sz w:val="20"/>
                <w:szCs w:val="24"/>
              </w:rPr>
              <w:t>C</w:t>
            </w:r>
            <w:r w:rsidR="00136C3C">
              <w:rPr>
                <w:sz w:val="20"/>
                <w:szCs w:val="24"/>
              </w:rPr>
              <w:t>hecks</w:t>
            </w:r>
            <w:r w:rsidR="00F635F2">
              <w:rPr>
                <w:sz w:val="20"/>
                <w:szCs w:val="24"/>
              </w:rPr>
              <w:t xml:space="preserve"> </w:t>
            </w:r>
            <w:r w:rsidR="000263B5">
              <w:rPr>
                <w:sz w:val="20"/>
                <w:szCs w:val="24"/>
              </w:rPr>
              <w:t>(or other qualifying Inspections)</w:t>
            </w:r>
            <w:r w:rsidRPr="001A1836">
              <w:rPr>
                <w:sz w:val="20"/>
                <w:szCs w:val="24"/>
              </w:rPr>
              <w:t xml:space="preserve">, which is the sum of the total </w:t>
            </w:r>
            <w:r w:rsidR="000263B5">
              <w:rPr>
                <w:sz w:val="20"/>
                <w:szCs w:val="24"/>
              </w:rPr>
              <w:t>C</w:t>
            </w:r>
            <w:r w:rsidR="00136C3C">
              <w:rPr>
                <w:sz w:val="20"/>
                <w:szCs w:val="24"/>
              </w:rPr>
              <w:t xml:space="preserve">ompetency </w:t>
            </w:r>
            <w:r w:rsidR="000263B5">
              <w:rPr>
                <w:sz w:val="20"/>
                <w:szCs w:val="24"/>
              </w:rPr>
              <w:t>C</w:t>
            </w:r>
            <w:r w:rsidR="00136C3C">
              <w:rPr>
                <w:sz w:val="20"/>
                <w:szCs w:val="24"/>
              </w:rPr>
              <w:t>heck</w:t>
            </w:r>
            <w:r w:rsidRPr="001A1836">
              <w:rPr>
                <w:sz w:val="20"/>
                <w:szCs w:val="24"/>
              </w:rPr>
              <w:t xml:space="preserve">s </w:t>
            </w:r>
            <w:r w:rsidR="000263B5">
              <w:rPr>
                <w:sz w:val="20"/>
                <w:szCs w:val="24"/>
              </w:rPr>
              <w:t xml:space="preserve">(or other qualifying Inspections) </w:t>
            </w:r>
            <w:r w:rsidRPr="001A1836">
              <w:rPr>
                <w:sz w:val="20"/>
                <w:szCs w:val="24"/>
              </w:rPr>
              <w:t>carried out in the following categories:</w:t>
            </w:r>
          </w:p>
          <w:p w14:paraId="215930E9" w14:textId="4A50C645" w:rsidR="00B074CC" w:rsidRPr="001A1836" w:rsidRDefault="00B074CC" w:rsidP="00626054">
            <w:pPr>
              <w:ind w:left="720"/>
              <w:rPr>
                <w:sz w:val="20"/>
                <w:szCs w:val="24"/>
              </w:rPr>
            </w:pPr>
            <w:r w:rsidRPr="001A1836">
              <w:rPr>
                <w:sz w:val="20"/>
                <w:szCs w:val="24"/>
              </w:rPr>
              <w:t xml:space="preserve">A1 = Risk-based </w:t>
            </w:r>
            <w:r w:rsidR="00457CD0">
              <w:rPr>
                <w:sz w:val="20"/>
                <w:szCs w:val="24"/>
              </w:rPr>
              <w:t>C</w:t>
            </w:r>
            <w:r w:rsidR="00166D42">
              <w:rPr>
                <w:sz w:val="20"/>
                <w:szCs w:val="24"/>
              </w:rPr>
              <w:t xml:space="preserve">ompetency </w:t>
            </w:r>
            <w:r w:rsidR="00457CD0">
              <w:rPr>
                <w:sz w:val="20"/>
                <w:szCs w:val="24"/>
              </w:rPr>
              <w:t>C</w:t>
            </w:r>
            <w:r w:rsidR="00166D42">
              <w:rPr>
                <w:sz w:val="20"/>
                <w:szCs w:val="24"/>
              </w:rPr>
              <w:t>hecks</w:t>
            </w:r>
            <w:r w:rsidRPr="001A1836">
              <w:rPr>
                <w:sz w:val="20"/>
                <w:szCs w:val="24"/>
              </w:rPr>
              <w:t xml:space="preserve"> of medium</w:t>
            </w:r>
            <w:r w:rsidR="000263B5">
              <w:rPr>
                <w:sz w:val="20"/>
                <w:szCs w:val="24"/>
              </w:rPr>
              <w:t xml:space="preserve"> R</w:t>
            </w:r>
            <w:r w:rsidRPr="001A1836">
              <w:rPr>
                <w:sz w:val="20"/>
                <w:szCs w:val="24"/>
              </w:rPr>
              <w:t xml:space="preserve">isk </w:t>
            </w:r>
            <w:r w:rsidR="000263B5">
              <w:rPr>
                <w:sz w:val="20"/>
                <w:szCs w:val="24"/>
              </w:rPr>
              <w:t>Category B</w:t>
            </w:r>
            <w:r w:rsidRPr="001A1836">
              <w:rPr>
                <w:sz w:val="20"/>
                <w:szCs w:val="24"/>
              </w:rPr>
              <w:t>usinesses</w:t>
            </w:r>
          </w:p>
          <w:p w14:paraId="75B62D4A" w14:textId="17D31910" w:rsidR="00B074CC" w:rsidRPr="001A1836" w:rsidRDefault="00B074CC" w:rsidP="00626054">
            <w:pPr>
              <w:ind w:left="720"/>
              <w:rPr>
                <w:sz w:val="20"/>
                <w:szCs w:val="24"/>
              </w:rPr>
            </w:pPr>
            <w:r w:rsidRPr="001A1836">
              <w:rPr>
                <w:sz w:val="20"/>
                <w:szCs w:val="24"/>
              </w:rPr>
              <w:t xml:space="preserve">A2 = Risk-based </w:t>
            </w:r>
            <w:r w:rsidR="00457CD0">
              <w:rPr>
                <w:sz w:val="20"/>
                <w:szCs w:val="24"/>
              </w:rPr>
              <w:t>C</w:t>
            </w:r>
            <w:r w:rsidR="00166D42">
              <w:rPr>
                <w:sz w:val="20"/>
                <w:szCs w:val="24"/>
              </w:rPr>
              <w:t xml:space="preserve">ompetency </w:t>
            </w:r>
            <w:r w:rsidR="00457CD0">
              <w:rPr>
                <w:sz w:val="20"/>
                <w:szCs w:val="24"/>
              </w:rPr>
              <w:t>C</w:t>
            </w:r>
            <w:r w:rsidR="00166D42">
              <w:rPr>
                <w:sz w:val="20"/>
                <w:szCs w:val="24"/>
              </w:rPr>
              <w:t>hecks</w:t>
            </w:r>
            <w:r w:rsidRPr="001A1836">
              <w:rPr>
                <w:sz w:val="20"/>
                <w:szCs w:val="24"/>
              </w:rPr>
              <w:t xml:space="preserve"> of higher</w:t>
            </w:r>
            <w:r w:rsidR="000263B5">
              <w:rPr>
                <w:sz w:val="20"/>
                <w:szCs w:val="24"/>
              </w:rPr>
              <w:t xml:space="preserve"> R</w:t>
            </w:r>
            <w:r w:rsidRPr="001A1836">
              <w:rPr>
                <w:sz w:val="20"/>
                <w:szCs w:val="24"/>
              </w:rPr>
              <w:t xml:space="preserve">isk </w:t>
            </w:r>
            <w:r w:rsidR="000263B5">
              <w:rPr>
                <w:sz w:val="20"/>
                <w:szCs w:val="24"/>
              </w:rPr>
              <w:t xml:space="preserve">Category </w:t>
            </w:r>
            <w:r w:rsidRPr="001A1836">
              <w:rPr>
                <w:sz w:val="20"/>
                <w:szCs w:val="24"/>
              </w:rPr>
              <w:t>businesses</w:t>
            </w:r>
          </w:p>
          <w:p w14:paraId="68F45722" w14:textId="76C300DA" w:rsidR="00B074CC" w:rsidRPr="001A1836" w:rsidRDefault="00B074CC" w:rsidP="00626054">
            <w:pPr>
              <w:ind w:left="720"/>
              <w:rPr>
                <w:sz w:val="20"/>
                <w:szCs w:val="24"/>
              </w:rPr>
            </w:pPr>
            <w:r w:rsidRPr="001A1836">
              <w:rPr>
                <w:sz w:val="20"/>
                <w:szCs w:val="24"/>
              </w:rPr>
              <w:t xml:space="preserve">A3 = Risk-based </w:t>
            </w:r>
            <w:r w:rsidR="00457CD0">
              <w:rPr>
                <w:sz w:val="20"/>
                <w:szCs w:val="24"/>
              </w:rPr>
              <w:t>C</w:t>
            </w:r>
            <w:r w:rsidR="00166D42">
              <w:rPr>
                <w:sz w:val="20"/>
                <w:szCs w:val="24"/>
              </w:rPr>
              <w:t xml:space="preserve">ompetency </w:t>
            </w:r>
            <w:r w:rsidR="00457CD0">
              <w:rPr>
                <w:sz w:val="20"/>
                <w:szCs w:val="24"/>
              </w:rPr>
              <w:t>C</w:t>
            </w:r>
            <w:r w:rsidR="00166D42">
              <w:rPr>
                <w:sz w:val="20"/>
                <w:szCs w:val="24"/>
              </w:rPr>
              <w:t xml:space="preserve">hecks </w:t>
            </w:r>
            <w:r w:rsidRPr="001A1836">
              <w:rPr>
                <w:sz w:val="20"/>
                <w:szCs w:val="24"/>
              </w:rPr>
              <w:t>of targeted higher</w:t>
            </w:r>
            <w:r w:rsidR="000263B5">
              <w:rPr>
                <w:sz w:val="20"/>
                <w:szCs w:val="24"/>
              </w:rPr>
              <w:t xml:space="preserve"> R</w:t>
            </w:r>
            <w:r w:rsidRPr="001A1836">
              <w:rPr>
                <w:sz w:val="20"/>
                <w:szCs w:val="24"/>
              </w:rPr>
              <w:t xml:space="preserve">isk </w:t>
            </w:r>
            <w:r w:rsidR="000263B5">
              <w:rPr>
                <w:sz w:val="20"/>
                <w:szCs w:val="24"/>
              </w:rPr>
              <w:t>Category B</w:t>
            </w:r>
            <w:r w:rsidRPr="001A1836">
              <w:rPr>
                <w:sz w:val="20"/>
                <w:szCs w:val="24"/>
              </w:rPr>
              <w:t xml:space="preserve">usinesses (site based and attendance at </w:t>
            </w:r>
            <w:r w:rsidR="000263B5">
              <w:rPr>
                <w:sz w:val="20"/>
                <w:szCs w:val="24"/>
              </w:rPr>
              <w:t>M</w:t>
            </w:r>
            <w:r w:rsidRPr="001A1836">
              <w:rPr>
                <w:sz w:val="20"/>
                <w:szCs w:val="24"/>
              </w:rPr>
              <w:t xml:space="preserve">andatory </w:t>
            </w:r>
            <w:r w:rsidR="000263B5">
              <w:rPr>
                <w:sz w:val="20"/>
                <w:szCs w:val="24"/>
              </w:rPr>
              <w:t>A</w:t>
            </w:r>
            <w:r w:rsidRPr="001A1836">
              <w:rPr>
                <w:sz w:val="20"/>
                <w:szCs w:val="24"/>
              </w:rPr>
              <w:t xml:space="preserve">ttendance </w:t>
            </w:r>
            <w:r w:rsidR="000263B5">
              <w:rPr>
                <w:sz w:val="20"/>
                <w:szCs w:val="24"/>
              </w:rPr>
              <w:t>E</w:t>
            </w:r>
            <w:r w:rsidRPr="001A1836">
              <w:rPr>
                <w:sz w:val="20"/>
                <w:szCs w:val="24"/>
              </w:rPr>
              <w:t>vents)</w:t>
            </w:r>
          </w:p>
          <w:p w14:paraId="00BF98E2" w14:textId="02607ECA" w:rsidR="00B074CC" w:rsidRPr="001A1836" w:rsidRDefault="00B074CC" w:rsidP="00626054">
            <w:pPr>
              <w:ind w:left="720"/>
              <w:rPr>
                <w:sz w:val="20"/>
                <w:szCs w:val="24"/>
              </w:rPr>
            </w:pPr>
            <w:r w:rsidRPr="001A1836">
              <w:rPr>
                <w:sz w:val="20"/>
                <w:szCs w:val="24"/>
              </w:rPr>
              <w:t>A4 = Probationary</w:t>
            </w:r>
            <w:r w:rsidR="00166D42">
              <w:rPr>
                <w:sz w:val="20"/>
                <w:szCs w:val="24"/>
              </w:rPr>
              <w:t xml:space="preserve"> </w:t>
            </w:r>
            <w:r w:rsidR="000263B5">
              <w:rPr>
                <w:sz w:val="20"/>
                <w:szCs w:val="24"/>
              </w:rPr>
              <w:t xml:space="preserve">registration </w:t>
            </w:r>
            <w:r w:rsidR="00457CD0">
              <w:rPr>
                <w:sz w:val="20"/>
                <w:szCs w:val="24"/>
              </w:rPr>
              <w:t>C</w:t>
            </w:r>
            <w:r w:rsidR="00166D42">
              <w:rPr>
                <w:sz w:val="20"/>
                <w:szCs w:val="24"/>
              </w:rPr>
              <w:t xml:space="preserve">ompetency </w:t>
            </w:r>
            <w:r w:rsidR="00457CD0">
              <w:rPr>
                <w:sz w:val="20"/>
                <w:szCs w:val="24"/>
              </w:rPr>
              <w:t>C</w:t>
            </w:r>
            <w:r w:rsidR="00166D42">
              <w:rPr>
                <w:sz w:val="20"/>
                <w:szCs w:val="24"/>
              </w:rPr>
              <w:t>hecks</w:t>
            </w:r>
          </w:p>
          <w:p w14:paraId="5158CE4C" w14:textId="11B0CAE6" w:rsidR="00B074CC" w:rsidRPr="001A1836" w:rsidRDefault="00B074CC" w:rsidP="00626054">
            <w:pPr>
              <w:ind w:left="720"/>
              <w:rPr>
                <w:sz w:val="20"/>
                <w:szCs w:val="24"/>
              </w:rPr>
            </w:pPr>
            <w:r w:rsidRPr="001A1836">
              <w:rPr>
                <w:sz w:val="20"/>
                <w:szCs w:val="24"/>
              </w:rPr>
              <w:t xml:space="preserve">A5 = Complaint </w:t>
            </w:r>
            <w:r w:rsidR="00154940">
              <w:rPr>
                <w:sz w:val="20"/>
                <w:szCs w:val="24"/>
              </w:rPr>
              <w:t>Inspections</w:t>
            </w:r>
          </w:p>
          <w:p w14:paraId="709AE745" w14:textId="2ADAA123" w:rsidR="000245BF" w:rsidRDefault="00B074CC" w:rsidP="000245BF">
            <w:pPr>
              <w:ind w:left="720"/>
              <w:rPr>
                <w:sz w:val="20"/>
                <w:szCs w:val="24"/>
              </w:rPr>
            </w:pPr>
            <w:r w:rsidRPr="001A1836">
              <w:rPr>
                <w:sz w:val="20"/>
                <w:szCs w:val="24"/>
              </w:rPr>
              <w:t xml:space="preserve">A6 = Illegal </w:t>
            </w:r>
            <w:r w:rsidR="000C1F5C" w:rsidRPr="001A1836">
              <w:rPr>
                <w:sz w:val="20"/>
                <w:szCs w:val="24"/>
              </w:rPr>
              <w:t>Gas Work</w:t>
            </w:r>
            <w:r w:rsidRPr="001A1836">
              <w:rPr>
                <w:sz w:val="20"/>
                <w:szCs w:val="24"/>
              </w:rPr>
              <w:t xml:space="preserve"> </w:t>
            </w:r>
            <w:r w:rsidR="00CB1E37">
              <w:rPr>
                <w:sz w:val="20"/>
                <w:szCs w:val="24"/>
              </w:rPr>
              <w:t>I</w:t>
            </w:r>
            <w:r w:rsidR="00435F96">
              <w:rPr>
                <w:sz w:val="20"/>
                <w:szCs w:val="24"/>
              </w:rPr>
              <w:t>nvestigations</w:t>
            </w:r>
          </w:p>
          <w:p w14:paraId="3784A0C6" w14:textId="191C0744" w:rsidR="000245BF" w:rsidRDefault="00B074CC" w:rsidP="000245BF">
            <w:pPr>
              <w:ind w:left="720"/>
              <w:rPr>
                <w:sz w:val="20"/>
                <w:szCs w:val="24"/>
              </w:rPr>
            </w:pPr>
            <w:r w:rsidRPr="001A1836">
              <w:rPr>
                <w:sz w:val="20"/>
                <w:szCs w:val="24"/>
              </w:rPr>
              <w:t xml:space="preserve">A7 = Support </w:t>
            </w:r>
            <w:r w:rsidR="00CB1E37">
              <w:rPr>
                <w:sz w:val="20"/>
                <w:szCs w:val="24"/>
              </w:rPr>
              <w:t>Investigations</w:t>
            </w:r>
          </w:p>
          <w:p w14:paraId="2E1D30A7" w14:textId="38265AF1" w:rsidR="00B074CC" w:rsidRPr="001A1836" w:rsidRDefault="00B074CC" w:rsidP="000245BF">
            <w:pPr>
              <w:ind w:left="720"/>
              <w:rPr>
                <w:sz w:val="20"/>
                <w:szCs w:val="24"/>
              </w:rPr>
            </w:pPr>
            <w:r w:rsidRPr="001A1836">
              <w:rPr>
                <w:sz w:val="20"/>
                <w:szCs w:val="24"/>
              </w:rPr>
              <w:t xml:space="preserve"> </w:t>
            </w:r>
          </w:p>
          <w:p w14:paraId="30E0547B" w14:textId="67939E9D" w:rsidR="00B074CC" w:rsidRPr="001A1836" w:rsidRDefault="00B074CC" w:rsidP="00626054">
            <w:pPr>
              <w:rPr>
                <w:sz w:val="20"/>
                <w:szCs w:val="24"/>
              </w:rPr>
            </w:pPr>
            <w:r w:rsidRPr="001A1836">
              <w:rPr>
                <w:sz w:val="20"/>
                <w:szCs w:val="24"/>
              </w:rPr>
              <w:t xml:space="preserve">B = Number of large </w:t>
            </w:r>
            <w:r w:rsidR="000263B5">
              <w:rPr>
                <w:sz w:val="20"/>
                <w:szCs w:val="24"/>
              </w:rPr>
              <w:t>B</w:t>
            </w:r>
            <w:r w:rsidRPr="001A1836">
              <w:rPr>
                <w:sz w:val="20"/>
                <w:szCs w:val="24"/>
              </w:rPr>
              <w:t xml:space="preserve">usiness </w:t>
            </w:r>
            <w:r w:rsidR="000263B5">
              <w:rPr>
                <w:sz w:val="20"/>
                <w:szCs w:val="24"/>
              </w:rPr>
              <w:t>C</w:t>
            </w:r>
            <w:r w:rsidR="00FC10C5" w:rsidRPr="00154940">
              <w:rPr>
                <w:sz w:val="20"/>
                <w:szCs w:val="24"/>
              </w:rPr>
              <w:t xml:space="preserve">ompetency </w:t>
            </w:r>
            <w:r w:rsidR="000263B5">
              <w:rPr>
                <w:sz w:val="20"/>
                <w:szCs w:val="24"/>
              </w:rPr>
              <w:t>C</w:t>
            </w:r>
            <w:r w:rsidR="00FC10C5" w:rsidRPr="00154940">
              <w:rPr>
                <w:sz w:val="20"/>
                <w:szCs w:val="24"/>
              </w:rPr>
              <w:t>hecks</w:t>
            </w:r>
          </w:p>
          <w:p w14:paraId="2915B60C" w14:textId="74333434" w:rsidR="00B074CC" w:rsidRPr="001A1836" w:rsidRDefault="00B074CC" w:rsidP="00626054">
            <w:pPr>
              <w:rPr>
                <w:sz w:val="20"/>
                <w:szCs w:val="24"/>
              </w:rPr>
            </w:pPr>
            <w:r w:rsidRPr="001A1836">
              <w:rPr>
                <w:sz w:val="20"/>
                <w:szCs w:val="24"/>
              </w:rPr>
              <w:t>C = Number of Risk-based</w:t>
            </w:r>
            <w:r w:rsidR="00E531BF">
              <w:rPr>
                <w:sz w:val="20"/>
                <w:szCs w:val="24"/>
              </w:rPr>
              <w:t xml:space="preserve"> Competency Checks</w:t>
            </w:r>
            <w:r w:rsidRPr="001A1836">
              <w:rPr>
                <w:sz w:val="20"/>
                <w:szCs w:val="24"/>
              </w:rPr>
              <w:t xml:space="preserve"> of low</w:t>
            </w:r>
            <w:r w:rsidR="000263B5">
              <w:rPr>
                <w:sz w:val="20"/>
                <w:szCs w:val="24"/>
              </w:rPr>
              <w:t>er R</w:t>
            </w:r>
            <w:r w:rsidRPr="001A1836">
              <w:rPr>
                <w:sz w:val="20"/>
                <w:szCs w:val="24"/>
              </w:rPr>
              <w:t xml:space="preserve">isk </w:t>
            </w:r>
            <w:r w:rsidR="000263B5">
              <w:rPr>
                <w:sz w:val="20"/>
                <w:szCs w:val="24"/>
              </w:rPr>
              <w:t>Category B</w:t>
            </w:r>
            <w:r w:rsidRPr="001A1836">
              <w:rPr>
                <w:sz w:val="20"/>
                <w:szCs w:val="24"/>
              </w:rPr>
              <w:t>usinesses (capped at the target for low</w:t>
            </w:r>
            <w:r w:rsidR="000263B5">
              <w:rPr>
                <w:sz w:val="20"/>
                <w:szCs w:val="24"/>
              </w:rPr>
              <w:t>er R</w:t>
            </w:r>
            <w:r w:rsidRPr="001A1836">
              <w:rPr>
                <w:sz w:val="20"/>
                <w:szCs w:val="24"/>
              </w:rPr>
              <w:t xml:space="preserve">isk </w:t>
            </w:r>
            <w:r w:rsidR="000263B5">
              <w:rPr>
                <w:sz w:val="20"/>
                <w:szCs w:val="24"/>
              </w:rPr>
              <w:t xml:space="preserve">Category </w:t>
            </w:r>
            <w:r w:rsidRPr="001A1836">
              <w:rPr>
                <w:sz w:val="20"/>
                <w:szCs w:val="24"/>
              </w:rPr>
              <w:t xml:space="preserve">business </w:t>
            </w:r>
            <w:r w:rsidR="000263B5">
              <w:rPr>
                <w:sz w:val="20"/>
                <w:szCs w:val="24"/>
              </w:rPr>
              <w:t>C</w:t>
            </w:r>
            <w:r w:rsidR="00D72B43">
              <w:rPr>
                <w:sz w:val="20"/>
                <w:szCs w:val="24"/>
              </w:rPr>
              <w:t xml:space="preserve">ompetency </w:t>
            </w:r>
            <w:r w:rsidR="000263B5">
              <w:rPr>
                <w:sz w:val="20"/>
                <w:szCs w:val="24"/>
              </w:rPr>
              <w:t>C</w:t>
            </w:r>
            <w:r w:rsidR="00D72B43">
              <w:rPr>
                <w:sz w:val="20"/>
                <w:szCs w:val="24"/>
              </w:rPr>
              <w:t>hecks</w:t>
            </w:r>
            <w:r w:rsidRPr="001A1836">
              <w:rPr>
                <w:sz w:val="20"/>
                <w:szCs w:val="24"/>
              </w:rPr>
              <w:t>)</w:t>
            </w:r>
          </w:p>
        </w:tc>
      </w:tr>
      <w:tr w:rsidR="00B074CC" w:rsidRPr="001A1836" w14:paraId="19FA4D21" w14:textId="77777777" w:rsidTr="00626054">
        <w:tc>
          <w:tcPr>
            <w:tcW w:w="1951" w:type="dxa"/>
            <w:shd w:val="clear" w:color="auto" w:fill="auto"/>
          </w:tcPr>
          <w:p w14:paraId="2B66F8E3" w14:textId="01C64345" w:rsidR="00B074CC" w:rsidRPr="001A1836" w:rsidRDefault="00B074CC" w:rsidP="00626054">
            <w:pPr>
              <w:rPr>
                <w:sz w:val="20"/>
                <w:szCs w:val="24"/>
              </w:rPr>
            </w:pPr>
            <w:r w:rsidRPr="001A1836">
              <w:rPr>
                <w:sz w:val="20"/>
                <w:szCs w:val="24"/>
              </w:rPr>
              <w:t>Reporting frequency</w:t>
            </w:r>
          </w:p>
        </w:tc>
        <w:tc>
          <w:tcPr>
            <w:tcW w:w="6577" w:type="dxa"/>
            <w:gridSpan w:val="2"/>
            <w:shd w:val="clear" w:color="auto" w:fill="auto"/>
          </w:tcPr>
          <w:p w14:paraId="0FADCF67" w14:textId="4697D530" w:rsidR="00B876A2" w:rsidRPr="001A1836" w:rsidRDefault="00B074CC" w:rsidP="00626054">
            <w:pPr>
              <w:rPr>
                <w:sz w:val="20"/>
                <w:szCs w:val="24"/>
              </w:rPr>
            </w:pPr>
            <w:r w:rsidRPr="001A1836">
              <w:rPr>
                <w:sz w:val="20"/>
                <w:szCs w:val="24"/>
              </w:rPr>
              <w:t>Performance is reported monthly.</w:t>
            </w:r>
          </w:p>
        </w:tc>
      </w:tr>
      <w:tr w:rsidR="00F4301F" w:rsidRPr="001A1836" w14:paraId="5D0DDA47" w14:textId="77777777" w:rsidTr="00626054">
        <w:tc>
          <w:tcPr>
            <w:tcW w:w="1951" w:type="dxa"/>
            <w:shd w:val="clear" w:color="auto" w:fill="auto"/>
          </w:tcPr>
          <w:p w14:paraId="10C875B6" w14:textId="24F0C290" w:rsidR="00F4301F" w:rsidRPr="001A1836" w:rsidRDefault="00F4301F" w:rsidP="00626054">
            <w:pPr>
              <w:rPr>
                <w:sz w:val="20"/>
                <w:szCs w:val="24"/>
              </w:rPr>
            </w:pPr>
            <w:r w:rsidRPr="001A1836">
              <w:rPr>
                <w:sz w:val="20"/>
                <w:szCs w:val="24"/>
              </w:rPr>
              <w:t>Service Measurement Period</w:t>
            </w:r>
          </w:p>
        </w:tc>
        <w:tc>
          <w:tcPr>
            <w:tcW w:w="6577" w:type="dxa"/>
            <w:gridSpan w:val="2"/>
            <w:shd w:val="clear" w:color="auto" w:fill="auto"/>
          </w:tcPr>
          <w:p w14:paraId="755871AC" w14:textId="6AD0572D" w:rsidR="00F4301F" w:rsidRPr="001A1836" w:rsidRDefault="00F4301F" w:rsidP="00626054">
            <w:pPr>
              <w:rPr>
                <w:sz w:val="20"/>
                <w:szCs w:val="24"/>
              </w:rPr>
            </w:pPr>
            <w:r w:rsidRPr="001A1836">
              <w:rPr>
                <w:sz w:val="20"/>
                <w:szCs w:val="24"/>
              </w:rPr>
              <w:t>Service Credits are calculated annually.</w:t>
            </w:r>
          </w:p>
        </w:tc>
      </w:tr>
      <w:tr w:rsidR="00F4301F" w:rsidRPr="001A1836" w14:paraId="0292D9DD" w14:textId="77777777" w:rsidTr="00626054">
        <w:tc>
          <w:tcPr>
            <w:tcW w:w="1951" w:type="dxa"/>
            <w:shd w:val="clear" w:color="auto" w:fill="auto"/>
          </w:tcPr>
          <w:p w14:paraId="3F65D9EC" w14:textId="27BCEDDB" w:rsidR="00F4301F" w:rsidRPr="00457CD0" w:rsidRDefault="00F4301F" w:rsidP="00626054">
            <w:pPr>
              <w:rPr>
                <w:sz w:val="20"/>
              </w:rPr>
            </w:pPr>
            <w:r w:rsidRPr="00457CD0">
              <w:rPr>
                <w:sz w:val="20"/>
              </w:rPr>
              <w:t>Service Point Application Period</w:t>
            </w:r>
          </w:p>
        </w:tc>
        <w:tc>
          <w:tcPr>
            <w:tcW w:w="6577" w:type="dxa"/>
            <w:gridSpan w:val="2"/>
            <w:shd w:val="clear" w:color="auto" w:fill="auto"/>
          </w:tcPr>
          <w:p w14:paraId="416609CD" w14:textId="4768AD5F" w:rsidR="00F4301F" w:rsidRPr="00457CD0" w:rsidRDefault="00EF3E7B" w:rsidP="00626054">
            <w:pPr>
              <w:rPr>
                <w:sz w:val="20"/>
              </w:rPr>
            </w:pPr>
            <w:r w:rsidRPr="00457CD0">
              <w:rPr>
                <w:rFonts w:cs="Arial"/>
                <w:sz w:val="20"/>
              </w:rPr>
              <w:t xml:space="preserve">Service Points are applied annually in respect of each Contract Year against the sum of </w:t>
            </w:r>
            <w:r w:rsidR="00457CD0" w:rsidRPr="00457CD0">
              <w:rPr>
                <w:rFonts w:cs="Arial"/>
                <w:sz w:val="20"/>
              </w:rPr>
              <w:t>t</w:t>
            </w:r>
            <w:r w:rsidRPr="00457CD0">
              <w:rPr>
                <w:rFonts w:cs="Arial"/>
                <w:sz w:val="20"/>
              </w:rPr>
              <w:t>he Provider’s annual Agreed Operating Costs plus Provider Profit for such Contract Year.</w:t>
            </w:r>
          </w:p>
        </w:tc>
      </w:tr>
      <w:tr w:rsidR="00B074CC" w:rsidRPr="001A1836" w14:paraId="2CD1D9D9" w14:textId="77777777" w:rsidTr="00626054">
        <w:tc>
          <w:tcPr>
            <w:tcW w:w="1951" w:type="dxa"/>
            <w:shd w:val="clear" w:color="auto" w:fill="auto"/>
          </w:tcPr>
          <w:p w14:paraId="326DB2FF" w14:textId="77777777" w:rsidR="00B074CC" w:rsidRPr="00457CD0" w:rsidRDefault="00B074CC" w:rsidP="00626054">
            <w:pPr>
              <w:rPr>
                <w:sz w:val="20"/>
              </w:rPr>
            </w:pPr>
            <w:r w:rsidRPr="00457CD0">
              <w:rPr>
                <w:sz w:val="20"/>
              </w:rPr>
              <w:t>Data capture</w:t>
            </w:r>
          </w:p>
        </w:tc>
        <w:tc>
          <w:tcPr>
            <w:tcW w:w="6577" w:type="dxa"/>
            <w:gridSpan w:val="2"/>
            <w:shd w:val="clear" w:color="auto" w:fill="auto"/>
          </w:tcPr>
          <w:p w14:paraId="3578A978" w14:textId="2F7AE07B" w:rsidR="00B074CC" w:rsidRPr="00457CD0" w:rsidRDefault="00B074CC" w:rsidP="00626054">
            <w:pPr>
              <w:rPr>
                <w:sz w:val="20"/>
              </w:rPr>
            </w:pPr>
            <w:r w:rsidRPr="00457CD0">
              <w:rPr>
                <w:sz w:val="20"/>
              </w:rPr>
              <w:t xml:space="preserve">Number of </w:t>
            </w:r>
            <w:r w:rsidR="00920135" w:rsidRPr="00457CD0">
              <w:rPr>
                <w:sz w:val="20"/>
              </w:rPr>
              <w:t>I</w:t>
            </w:r>
            <w:r w:rsidRPr="00457CD0">
              <w:rPr>
                <w:sz w:val="20"/>
              </w:rPr>
              <w:t>nspections carried out in each category:</w:t>
            </w:r>
          </w:p>
          <w:p w14:paraId="6506B165" w14:textId="4B16839C" w:rsidR="000734A5" w:rsidRPr="00457CD0" w:rsidRDefault="00B074CC">
            <w:pPr>
              <w:numPr>
                <w:ilvl w:val="0"/>
                <w:numId w:val="19"/>
              </w:numPr>
              <w:rPr>
                <w:sz w:val="20"/>
              </w:rPr>
            </w:pPr>
            <w:r w:rsidRPr="00457CD0">
              <w:rPr>
                <w:sz w:val="20"/>
              </w:rPr>
              <w:lastRenderedPageBreak/>
              <w:t xml:space="preserve">Large business </w:t>
            </w:r>
            <w:r w:rsidR="00457CD0">
              <w:rPr>
                <w:sz w:val="20"/>
              </w:rPr>
              <w:t>C</w:t>
            </w:r>
            <w:r w:rsidR="00D72B43" w:rsidRPr="00457CD0">
              <w:rPr>
                <w:sz w:val="20"/>
              </w:rPr>
              <w:t xml:space="preserve">ompetency </w:t>
            </w:r>
            <w:r w:rsidR="00457CD0">
              <w:rPr>
                <w:sz w:val="20"/>
              </w:rPr>
              <w:t>C</w:t>
            </w:r>
            <w:r w:rsidR="00D72B43" w:rsidRPr="00457CD0">
              <w:rPr>
                <w:sz w:val="20"/>
              </w:rPr>
              <w:t>hecks</w:t>
            </w:r>
          </w:p>
          <w:p w14:paraId="2DE1237C" w14:textId="39239BC8" w:rsidR="00B074CC" w:rsidRPr="00457CD0" w:rsidRDefault="000734A5">
            <w:pPr>
              <w:numPr>
                <w:ilvl w:val="0"/>
                <w:numId w:val="19"/>
              </w:numPr>
              <w:rPr>
                <w:sz w:val="20"/>
              </w:rPr>
            </w:pPr>
            <w:r w:rsidRPr="00457CD0">
              <w:rPr>
                <w:sz w:val="20"/>
              </w:rPr>
              <w:t>Risk-based</w:t>
            </w:r>
            <w:r w:rsidR="00B074CC" w:rsidRPr="00457CD0">
              <w:rPr>
                <w:sz w:val="20"/>
              </w:rPr>
              <w:t xml:space="preserve"> </w:t>
            </w:r>
            <w:r w:rsidR="000263B5">
              <w:rPr>
                <w:sz w:val="20"/>
              </w:rPr>
              <w:t>C</w:t>
            </w:r>
            <w:r w:rsidRPr="00457CD0">
              <w:rPr>
                <w:sz w:val="20"/>
              </w:rPr>
              <w:t xml:space="preserve">ompetency </w:t>
            </w:r>
            <w:r w:rsidR="000263B5">
              <w:rPr>
                <w:sz w:val="20"/>
              </w:rPr>
              <w:t>C</w:t>
            </w:r>
            <w:r w:rsidRPr="00457CD0">
              <w:rPr>
                <w:sz w:val="20"/>
              </w:rPr>
              <w:t>hecks</w:t>
            </w:r>
            <w:r w:rsidR="00B074CC" w:rsidRPr="00457CD0">
              <w:rPr>
                <w:sz w:val="20"/>
              </w:rPr>
              <w:t xml:space="preserve"> of low</w:t>
            </w:r>
            <w:r w:rsidR="00457CD0">
              <w:rPr>
                <w:sz w:val="20"/>
              </w:rPr>
              <w:t xml:space="preserve">er </w:t>
            </w:r>
            <w:r w:rsidR="000263B5">
              <w:rPr>
                <w:sz w:val="20"/>
              </w:rPr>
              <w:t>R</w:t>
            </w:r>
            <w:r w:rsidR="00B074CC" w:rsidRPr="00457CD0">
              <w:rPr>
                <w:sz w:val="20"/>
              </w:rPr>
              <w:t xml:space="preserve">isk </w:t>
            </w:r>
            <w:r w:rsidR="000263B5">
              <w:rPr>
                <w:sz w:val="20"/>
              </w:rPr>
              <w:t>Category B</w:t>
            </w:r>
            <w:r w:rsidR="00B074CC" w:rsidRPr="00457CD0">
              <w:rPr>
                <w:sz w:val="20"/>
              </w:rPr>
              <w:t xml:space="preserve">usinesses (site-based </w:t>
            </w:r>
            <w:r w:rsidR="00457CD0">
              <w:rPr>
                <w:sz w:val="20"/>
              </w:rPr>
              <w:t>C</w:t>
            </w:r>
            <w:r w:rsidRPr="00457CD0">
              <w:rPr>
                <w:sz w:val="20"/>
              </w:rPr>
              <w:t xml:space="preserve">ompetency </w:t>
            </w:r>
            <w:r w:rsidR="00457CD0">
              <w:rPr>
                <w:sz w:val="20"/>
              </w:rPr>
              <w:t>C</w:t>
            </w:r>
            <w:r w:rsidRPr="00457CD0">
              <w:rPr>
                <w:sz w:val="20"/>
              </w:rPr>
              <w:t>hecks</w:t>
            </w:r>
            <w:r w:rsidR="00B074CC" w:rsidRPr="00457CD0">
              <w:rPr>
                <w:sz w:val="20"/>
              </w:rPr>
              <w:t xml:space="preserve"> and </w:t>
            </w:r>
            <w:r w:rsidR="00457CD0">
              <w:rPr>
                <w:sz w:val="20"/>
              </w:rPr>
              <w:t>C</w:t>
            </w:r>
            <w:r w:rsidRPr="00457CD0">
              <w:rPr>
                <w:sz w:val="20"/>
              </w:rPr>
              <w:t xml:space="preserve">ompetency </w:t>
            </w:r>
            <w:r w:rsidR="00457CD0">
              <w:rPr>
                <w:sz w:val="20"/>
              </w:rPr>
              <w:t>C</w:t>
            </w:r>
            <w:r w:rsidRPr="00457CD0">
              <w:rPr>
                <w:sz w:val="20"/>
              </w:rPr>
              <w:t>hecks</w:t>
            </w:r>
            <w:r w:rsidR="00B074CC" w:rsidRPr="00457CD0">
              <w:rPr>
                <w:sz w:val="20"/>
              </w:rPr>
              <w:t xml:space="preserve"> </w:t>
            </w:r>
            <w:r w:rsidR="00154940" w:rsidRPr="00457CD0">
              <w:rPr>
                <w:sz w:val="20"/>
              </w:rPr>
              <w:t>E</w:t>
            </w:r>
            <w:r w:rsidR="00B074CC" w:rsidRPr="00457CD0">
              <w:rPr>
                <w:sz w:val="20"/>
              </w:rPr>
              <w:t>vent attendees)</w:t>
            </w:r>
          </w:p>
          <w:p w14:paraId="311B121B" w14:textId="73FD4434" w:rsidR="00B074CC" w:rsidRPr="00457CD0" w:rsidRDefault="00B074CC">
            <w:pPr>
              <w:numPr>
                <w:ilvl w:val="0"/>
                <w:numId w:val="19"/>
              </w:numPr>
              <w:rPr>
                <w:sz w:val="20"/>
              </w:rPr>
            </w:pPr>
            <w:r w:rsidRPr="00457CD0">
              <w:rPr>
                <w:sz w:val="20"/>
              </w:rPr>
              <w:t xml:space="preserve">Risk-based </w:t>
            </w:r>
            <w:r w:rsidR="00457CD0">
              <w:rPr>
                <w:sz w:val="20"/>
              </w:rPr>
              <w:t>C</w:t>
            </w:r>
            <w:r w:rsidR="000734A5" w:rsidRPr="00457CD0">
              <w:rPr>
                <w:sz w:val="20"/>
              </w:rPr>
              <w:t xml:space="preserve">ompetency </w:t>
            </w:r>
            <w:r w:rsidR="00457CD0">
              <w:rPr>
                <w:sz w:val="20"/>
              </w:rPr>
              <w:t>C</w:t>
            </w:r>
            <w:r w:rsidR="000734A5" w:rsidRPr="00457CD0">
              <w:rPr>
                <w:sz w:val="20"/>
              </w:rPr>
              <w:t>hecks</w:t>
            </w:r>
            <w:r w:rsidRPr="00457CD0">
              <w:rPr>
                <w:sz w:val="20"/>
              </w:rPr>
              <w:t xml:space="preserve"> of medium</w:t>
            </w:r>
            <w:r w:rsidR="000263B5">
              <w:rPr>
                <w:sz w:val="20"/>
              </w:rPr>
              <w:t xml:space="preserve"> R</w:t>
            </w:r>
            <w:r w:rsidRPr="00457CD0">
              <w:rPr>
                <w:sz w:val="20"/>
              </w:rPr>
              <w:t xml:space="preserve">isk </w:t>
            </w:r>
            <w:r w:rsidR="000263B5">
              <w:rPr>
                <w:sz w:val="20"/>
              </w:rPr>
              <w:t>Category B</w:t>
            </w:r>
            <w:r w:rsidRPr="00457CD0">
              <w:rPr>
                <w:sz w:val="20"/>
              </w:rPr>
              <w:t>usinesses</w:t>
            </w:r>
          </w:p>
          <w:p w14:paraId="76926947" w14:textId="696C3E3B" w:rsidR="00B074CC" w:rsidRPr="00457CD0" w:rsidRDefault="00B074CC">
            <w:pPr>
              <w:numPr>
                <w:ilvl w:val="0"/>
                <w:numId w:val="19"/>
              </w:numPr>
              <w:rPr>
                <w:sz w:val="20"/>
              </w:rPr>
            </w:pPr>
            <w:r w:rsidRPr="00457CD0">
              <w:rPr>
                <w:sz w:val="20"/>
              </w:rPr>
              <w:t xml:space="preserve">Risk-based </w:t>
            </w:r>
            <w:r w:rsidR="00457CD0">
              <w:rPr>
                <w:sz w:val="20"/>
              </w:rPr>
              <w:t>C</w:t>
            </w:r>
            <w:r w:rsidR="000734A5" w:rsidRPr="00457CD0">
              <w:rPr>
                <w:sz w:val="20"/>
              </w:rPr>
              <w:t xml:space="preserve">ompetency </w:t>
            </w:r>
            <w:r w:rsidR="00457CD0">
              <w:rPr>
                <w:sz w:val="20"/>
              </w:rPr>
              <w:t>C</w:t>
            </w:r>
            <w:r w:rsidR="000734A5" w:rsidRPr="00457CD0">
              <w:rPr>
                <w:sz w:val="20"/>
              </w:rPr>
              <w:t xml:space="preserve">hecks </w:t>
            </w:r>
            <w:r w:rsidRPr="00457CD0">
              <w:rPr>
                <w:sz w:val="20"/>
              </w:rPr>
              <w:t>of higher</w:t>
            </w:r>
            <w:r w:rsidR="000263B5">
              <w:rPr>
                <w:sz w:val="20"/>
              </w:rPr>
              <w:t xml:space="preserve"> R</w:t>
            </w:r>
            <w:r w:rsidRPr="00457CD0">
              <w:rPr>
                <w:sz w:val="20"/>
              </w:rPr>
              <w:t xml:space="preserve">isk </w:t>
            </w:r>
            <w:r w:rsidR="000263B5">
              <w:rPr>
                <w:sz w:val="20"/>
              </w:rPr>
              <w:t xml:space="preserve">Category </w:t>
            </w:r>
            <w:r w:rsidRPr="00457CD0">
              <w:rPr>
                <w:sz w:val="20"/>
              </w:rPr>
              <w:t>businesses</w:t>
            </w:r>
          </w:p>
          <w:p w14:paraId="69DDAFF8" w14:textId="69DB366E" w:rsidR="00B074CC" w:rsidRPr="00457CD0" w:rsidRDefault="00B074CC">
            <w:pPr>
              <w:numPr>
                <w:ilvl w:val="0"/>
                <w:numId w:val="19"/>
              </w:numPr>
              <w:rPr>
                <w:sz w:val="20"/>
              </w:rPr>
            </w:pPr>
            <w:r w:rsidRPr="00457CD0">
              <w:rPr>
                <w:sz w:val="20"/>
              </w:rPr>
              <w:t xml:space="preserve">Risk-based </w:t>
            </w:r>
            <w:r w:rsidR="00457CD0">
              <w:rPr>
                <w:sz w:val="20"/>
              </w:rPr>
              <w:t>C</w:t>
            </w:r>
            <w:r w:rsidR="005B034F" w:rsidRPr="00457CD0">
              <w:rPr>
                <w:sz w:val="20"/>
              </w:rPr>
              <w:t xml:space="preserve">ompetency </w:t>
            </w:r>
            <w:r w:rsidR="00457CD0">
              <w:rPr>
                <w:sz w:val="20"/>
              </w:rPr>
              <w:t>C</w:t>
            </w:r>
            <w:r w:rsidR="005B034F" w:rsidRPr="00457CD0">
              <w:rPr>
                <w:sz w:val="20"/>
              </w:rPr>
              <w:t xml:space="preserve">hecks </w:t>
            </w:r>
            <w:r w:rsidRPr="00457CD0">
              <w:rPr>
                <w:sz w:val="20"/>
              </w:rPr>
              <w:t xml:space="preserve">of targeted </w:t>
            </w:r>
            <w:r w:rsidR="000263B5">
              <w:rPr>
                <w:sz w:val="20"/>
              </w:rPr>
              <w:t>higher Risk Category B</w:t>
            </w:r>
            <w:r w:rsidRPr="00457CD0">
              <w:rPr>
                <w:sz w:val="20"/>
              </w:rPr>
              <w:t xml:space="preserve">usinesses (site-based </w:t>
            </w:r>
            <w:r w:rsidR="00457CD0">
              <w:rPr>
                <w:sz w:val="20"/>
              </w:rPr>
              <w:t>C</w:t>
            </w:r>
            <w:r w:rsidR="00441C8D" w:rsidRPr="00457CD0">
              <w:rPr>
                <w:sz w:val="20"/>
              </w:rPr>
              <w:t xml:space="preserve">ompetency </w:t>
            </w:r>
            <w:r w:rsidR="00457CD0">
              <w:rPr>
                <w:sz w:val="20"/>
              </w:rPr>
              <w:t>C</w:t>
            </w:r>
            <w:r w:rsidR="00441C8D" w:rsidRPr="00457CD0">
              <w:rPr>
                <w:sz w:val="20"/>
              </w:rPr>
              <w:t>hecks</w:t>
            </w:r>
            <w:r w:rsidRPr="00457CD0">
              <w:rPr>
                <w:sz w:val="20"/>
              </w:rPr>
              <w:t xml:space="preserve"> and </w:t>
            </w:r>
            <w:r w:rsidR="000263B5">
              <w:rPr>
                <w:sz w:val="20"/>
              </w:rPr>
              <w:t>M</w:t>
            </w:r>
            <w:r w:rsidRPr="00457CD0">
              <w:rPr>
                <w:sz w:val="20"/>
              </w:rPr>
              <w:t xml:space="preserve">andatory </w:t>
            </w:r>
            <w:r w:rsidR="000263B5">
              <w:rPr>
                <w:sz w:val="20"/>
              </w:rPr>
              <w:t>A</w:t>
            </w:r>
            <w:r w:rsidRPr="00457CD0">
              <w:rPr>
                <w:sz w:val="20"/>
              </w:rPr>
              <w:t xml:space="preserve">ttendance </w:t>
            </w:r>
            <w:r w:rsidR="000263B5">
              <w:rPr>
                <w:sz w:val="20"/>
              </w:rPr>
              <w:t>E</w:t>
            </w:r>
            <w:r w:rsidRPr="00457CD0">
              <w:rPr>
                <w:sz w:val="20"/>
              </w:rPr>
              <w:t>vent attendees)</w:t>
            </w:r>
          </w:p>
          <w:p w14:paraId="78B49B93" w14:textId="3A1289D0" w:rsidR="00B074CC" w:rsidRPr="00457CD0" w:rsidRDefault="00B074CC">
            <w:pPr>
              <w:numPr>
                <w:ilvl w:val="0"/>
                <w:numId w:val="19"/>
              </w:numPr>
              <w:rPr>
                <w:sz w:val="20"/>
              </w:rPr>
            </w:pPr>
            <w:r w:rsidRPr="00457CD0">
              <w:rPr>
                <w:sz w:val="20"/>
              </w:rPr>
              <w:t xml:space="preserve">Probationary </w:t>
            </w:r>
            <w:r w:rsidR="000263B5">
              <w:rPr>
                <w:sz w:val="20"/>
              </w:rPr>
              <w:t xml:space="preserve">registration </w:t>
            </w:r>
            <w:r w:rsidR="00457CD0">
              <w:rPr>
                <w:sz w:val="20"/>
              </w:rPr>
              <w:t>C</w:t>
            </w:r>
            <w:r w:rsidR="00441C8D" w:rsidRPr="00457CD0">
              <w:rPr>
                <w:sz w:val="20"/>
              </w:rPr>
              <w:t xml:space="preserve">ompetency </w:t>
            </w:r>
            <w:r w:rsidR="00457CD0">
              <w:rPr>
                <w:sz w:val="20"/>
              </w:rPr>
              <w:t>C</w:t>
            </w:r>
            <w:r w:rsidR="00441C8D" w:rsidRPr="00457CD0">
              <w:rPr>
                <w:sz w:val="20"/>
              </w:rPr>
              <w:t xml:space="preserve">hecks </w:t>
            </w:r>
          </w:p>
          <w:p w14:paraId="43C1587A" w14:textId="38DFB02A" w:rsidR="00B074CC" w:rsidRPr="00457CD0" w:rsidRDefault="00B074CC">
            <w:pPr>
              <w:numPr>
                <w:ilvl w:val="0"/>
                <w:numId w:val="19"/>
              </w:numPr>
              <w:rPr>
                <w:sz w:val="20"/>
              </w:rPr>
            </w:pPr>
            <w:r w:rsidRPr="00457CD0">
              <w:rPr>
                <w:sz w:val="20"/>
              </w:rPr>
              <w:t xml:space="preserve">Complaint </w:t>
            </w:r>
            <w:r w:rsidR="00920135" w:rsidRPr="00457CD0">
              <w:rPr>
                <w:sz w:val="20"/>
              </w:rPr>
              <w:t>I</w:t>
            </w:r>
            <w:r w:rsidRPr="00457CD0">
              <w:rPr>
                <w:sz w:val="20"/>
              </w:rPr>
              <w:t>nspections</w:t>
            </w:r>
          </w:p>
          <w:p w14:paraId="6B6C26BF" w14:textId="3599BC24" w:rsidR="00B074CC" w:rsidRPr="00457CD0" w:rsidRDefault="00B074CC">
            <w:pPr>
              <w:numPr>
                <w:ilvl w:val="0"/>
                <w:numId w:val="19"/>
              </w:numPr>
              <w:rPr>
                <w:sz w:val="20"/>
              </w:rPr>
            </w:pPr>
            <w:r w:rsidRPr="00457CD0">
              <w:rPr>
                <w:sz w:val="20"/>
              </w:rPr>
              <w:t xml:space="preserve">Illegal </w:t>
            </w:r>
            <w:r w:rsidR="000C1F5C" w:rsidRPr="00457CD0">
              <w:rPr>
                <w:sz w:val="20"/>
              </w:rPr>
              <w:t>Gas Work</w:t>
            </w:r>
            <w:r w:rsidRPr="00457CD0">
              <w:rPr>
                <w:sz w:val="20"/>
              </w:rPr>
              <w:t xml:space="preserve"> </w:t>
            </w:r>
            <w:r w:rsidR="00014AE9" w:rsidRPr="00457CD0">
              <w:rPr>
                <w:sz w:val="20"/>
              </w:rPr>
              <w:t>I</w:t>
            </w:r>
            <w:r w:rsidR="00435F96" w:rsidRPr="00457CD0">
              <w:rPr>
                <w:sz w:val="20"/>
              </w:rPr>
              <w:t>nvestigations</w:t>
            </w:r>
          </w:p>
          <w:p w14:paraId="2F1752D7" w14:textId="2480101E" w:rsidR="00B074CC" w:rsidRPr="00457CD0" w:rsidRDefault="00B074CC" w:rsidP="00014AE9">
            <w:pPr>
              <w:numPr>
                <w:ilvl w:val="0"/>
                <w:numId w:val="19"/>
              </w:numPr>
              <w:rPr>
                <w:sz w:val="20"/>
              </w:rPr>
            </w:pPr>
            <w:r w:rsidRPr="00457CD0">
              <w:rPr>
                <w:sz w:val="20"/>
              </w:rPr>
              <w:t xml:space="preserve">Support </w:t>
            </w:r>
            <w:r w:rsidR="00014AE9" w:rsidRPr="00457CD0">
              <w:rPr>
                <w:sz w:val="20"/>
              </w:rPr>
              <w:t>Investigations</w:t>
            </w:r>
          </w:p>
        </w:tc>
      </w:tr>
      <w:tr w:rsidR="00B074CC" w:rsidRPr="001A1836" w14:paraId="6E38D1A6" w14:textId="77777777" w:rsidTr="00626054">
        <w:tc>
          <w:tcPr>
            <w:tcW w:w="1951" w:type="dxa"/>
            <w:shd w:val="clear" w:color="auto" w:fill="auto"/>
          </w:tcPr>
          <w:p w14:paraId="099F2836" w14:textId="77777777" w:rsidR="00B074CC" w:rsidRPr="001A1836" w:rsidRDefault="00B074CC" w:rsidP="00626054">
            <w:pPr>
              <w:rPr>
                <w:sz w:val="20"/>
                <w:szCs w:val="24"/>
              </w:rPr>
            </w:pPr>
            <w:r w:rsidRPr="001A1836">
              <w:rPr>
                <w:sz w:val="20"/>
                <w:szCs w:val="24"/>
              </w:rPr>
              <w:lastRenderedPageBreak/>
              <w:t>Impact</w:t>
            </w:r>
          </w:p>
        </w:tc>
        <w:tc>
          <w:tcPr>
            <w:tcW w:w="6577" w:type="dxa"/>
            <w:gridSpan w:val="2"/>
            <w:shd w:val="clear" w:color="auto" w:fill="auto"/>
          </w:tcPr>
          <w:p w14:paraId="39D652F2" w14:textId="77777777" w:rsidR="00B074CC" w:rsidRPr="001A1836" w:rsidRDefault="00B074CC" w:rsidP="00626054">
            <w:pPr>
              <w:rPr>
                <w:sz w:val="20"/>
                <w:szCs w:val="24"/>
              </w:rPr>
            </w:pPr>
            <w:r w:rsidRPr="001A1836">
              <w:rPr>
                <w:sz w:val="20"/>
                <w:szCs w:val="24"/>
              </w:rPr>
              <w:t>High</w:t>
            </w:r>
          </w:p>
        </w:tc>
      </w:tr>
      <w:tr w:rsidR="00B074CC" w:rsidRPr="001A1836" w14:paraId="357DFE6D" w14:textId="77777777" w:rsidTr="00626054">
        <w:tc>
          <w:tcPr>
            <w:tcW w:w="1951" w:type="dxa"/>
            <w:shd w:val="clear" w:color="auto" w:fill="auto"/>
          </w:tcPr>
          <w:p w14:paraId="14CFAEF0" w14:textId="77777777" w:rsidR="00B074CC" w:rsidRPr="001A1836" w:rsidRDefault="00B074CC" w:rsidP="00626054">
            <w:pPr>
              <w:rPr>
                <w:sz w:val="20"/>
                <w:szCs w:val="24"/>
              </w:rPr>
            </w:pPr>
            <w:r w:rsidRPr="001A1836">
              <w:rPr>
                <w:sz w:val="20"/>
                <w:szCs w:val="24"/>
              </w:rPr>
              <w:t>Criticality</w:t>
            </w:r>
          </w:p>
        </w:tc>
        <w:tc>
          <w:tcPr>
            <w:tcW w:w="6577" w:type="dxa"/>
            <w:gridSpan w:val="2"/>
            <w:shd w:val="clear" w:color="auto" w:fill="auto"/>
          </w:tcPr>
          <w:p w14:paraId="7E76FABC" w14:textId="77777777" w:rsidR="00B074CC" w:rsidRPr="001A1836" w:rsidRDefault="00B074CC" w:rsidP="00626054">
            <w:pPr>
              <w:rPr>
                <w:sz w:val="20"/>
                <w:szCs w:val="24"/>
              </w:rPr>
            </w:pPr>
            <w:r w:rsidRPr="001A1836">
              <w:rPr>
                <w:sz w:val="20"/>
                <w:szCs w:val="24"/>
              </w:rPr>
              <w:t>A</w:t>
            </w:r>
          </w:p>
        </w:tc>
      </w:tr>
      <w:tr w:rsidR="00B074CC" w:rsidRPr="001A1836" w14:paraId="6D37B7AD" w14:textId="77777777" w:rsidTr="00626054">
        <w:tc>
          <w:tcPr>
            <w:tcW w:w="1951" w:type="dxa"/>
            <w:shd w:val="clear" w:color="auto" w:fill="auto"/>
          </w:tcPr>
          <w:p w14:paraId="3D966674" w14:textId="77777777" w:rsidR="00B074CC" w:rsidRPr="001A1836" w:rsidRDefault="00B074CC" w:rsidP="00626054">
            <w:pPr>
              <w:rPr>
                <w:sz w:val="20"/>
                <w:szCs w:val="24"/>
              </w:rPr>
            </w:pPr>
            <w:r w:rsidRPr="001A1836">
              <w:rPr>
                <w:sz w:val="20"/>
                <w:szCs w:val="24"/>
              </w:rPr>
              <w:t>Service Level Performance Measure</w:t>
            </w:r>
          </w:p>
        </w:tc>
        <w:tc>
          <w:tcPr>
            <w:tcW w:w="6577" w:type="dxa"/>
            <w:gridSpan w:val="2"/>
            <w:shd w:val="clear" w:color="auto" w:fill="auto"/>
          </w:tcPr>
          <w:p w14:paraId="12F142E5" w14:textId="700B197E" w:rsidR="009A011A" w:rsidRPr="00004CBD" w:rsidRDefault="009A011A" w:rsidP="00457CD0">
            <w:pPr>
              <w:rPr>
                <w:sz w:val="20"/>
                <w:szCs w:val="24"/>
              </w:rPr>
            </w:pPr>
            <w:r w:rsidRPr="00004CBD">
              <w:rPr>
                <w:sz w:val="20"/>
                <w:szCs w:val="24"/>
              </w:rPr>
              <w:t>Contract Year 1 – 98% of target achieved</w:t>
            </w:r>
          </w:p>
          <w:p w14:paraId="4DE53539" w14:textId="083FCEE8" w:rsidR="00B074CC" w:rsidRPr="00004CBD" w:rsidRDefault="009A011A" w:rsidP="00457CD0">
            <w:pPr>
              <w:rPr>
                <w:sz w:val="20"/>
                <w:szCs w:val="24"/>
              </w:rPr>
            </w:pPr>
            <w:r w:rsidRPr="00004CBD">
              <w:rPr>
                <w:sz w:val="20"/>
                <w:szCs w:val="24"/>
              </w:rPr>
              <w:t xml:space="preserve">Contract Years 2 to 5 - </w:t>
            </w:r>
            <w:r w:rsidR="00B074CC" w:rsidRPr="00004CBD">
              <w:rPr>
                <w:sz w:val="20"/>
                <w:szCs w:val="24"/>
              </w:rPr>
              <w:t xml:space="preserve">100% of </w:t>
            </w:r>
            <w:r w:rsidR="00514303" w:rsidRPr="00004CBD">
              <w:rPr>
                <w:sz w:val="20"/>
                <w:szCs w:val="24"/>
              </w:rPr>
              <w:t xml:space="preserve"> </w:t>
            </w:r>
            <w:r w:rsidR="00B074CC" w:rsidRPr="00004CBD">
              <w:rPr>
                <w:sz w:val="20"/>
                <w:szCs w:val="24"/>
              </w:rPr>
              <w:t xml:space="preserve">target achieved </w:t>
            </w:r>
          </w:p>
        </w:tc>
      </w:tr>
      <w:tr w:rsidR="00B074CC" w:rsidRPr="001A1836" w14:paraId="09E9614C" w14:textId="77777777" w:rsidTr="00626054">
        <w:tc>
          <w:tcPr>
            <w:tcW w:w="1951" w:type="dxa"/>
            <w:shd w:val="clear" w:color="auto" w:fill="auto"/>
          </w:tcPr>
          <w:p w14:paraId="0D8E5E3D" w14:textId="77777777" w:rsidR="00B074CC" w:rsidRPr="001A1836" w:rsidRDefault="00B074CC" w:rsidP="00626054">
            <w:pPr>
              <w:rPr>
                <w:sz w:val="20"/>
                <w:szCs w:val="24"/>
              </w:rPr>
            </w:pPr>
          </w:p>
        </w:tc>
        <w:tc>
          <w:tcPr>
            <w:tcW w:w="4678" w:type="dxa"/>
            <w:shd w:val="clear" w:color="auto" w:fill="auto"/>
          </w:tcPr>
          <w:p w14:paraId="29C1FD56" w14:textId="77777777" w:rsidR="00B074CC" w:rsidRPr="001A1836" w:rsidRDefault="00B074CC" w:rsidP="00626054">
            <w:pPr>
              <w:rPr>
                <w:b/>
                <w:sz w:val="20"/>
                <w:szCs w:val="24"/>
              </w:rPr>
            </w:pPr>
            <w:r w:rsidRPr="001A1836">
              <w:rPr>
                <w:b/>
                <w:sz w:val="20"/>
                <w:szCs w:val="24"/>
              </w:rPr>
              <w:t>Service Level Performance Measure</w:t>
            </w:r>
          </w:p>
        </w:tc>
        <w:tc>
          <w:tcPr>
            <w:tcW w:w="1899" w:type="dxa"/>
            <w:shd w:val="clear" w:color="auto" w:fill="auto"/>
          </w:tcPr>
          <w:p w14:paraId="1220A868" w14:textId="77777777" w:rsidR="00B074CC" w:rsidRPr="001A1836" w:rsidRDefault="00B074CC" w:rsidP="00626054">
            <w:pPr>
              <w:rPr>
                <w:b/>
                <w:sz w:val="20"/>
                <w:szCs w:val="24"/>
              </w:rPr>
            </w:pPr>
            <w:r w:rsidRPr="001A1836">
              <w:rPr>
                <w:b/>
                <w:sz w:val="20"/>
                <w:szCs w:val="24"/>
              </w:rPr>
              <w:t>Service points</w:t>
            </w:r>
          </w:p>
        </w:tc>
      </w:tr>
      <w:tr w:rsidR="00B074CC" w:rsidRPr="001A1836" w14:paraId="1B353CB3" w14:textId="77777777" w:rsidTr="00626054">
        <w:tc>
          <w:tcPr>
            <w:tcW w:w="1951" w:type="dxa"/>
            <w:shd w:val="clear" w:color="auto" w:fill="auto"/>
          </w:tcPr>
          <w:p w14:paraId="594646F9" w14:textId="5A75FD1A" w:rsidR="00B074CC" w:rsidRPr="001A1836" w:rsidRDefault="00B074CC" w:rsidP="00626054">
            <w:pPr>
              <w:rPr>
                <w:sz w:val="20"/>
                <w:szCs w:val="24"/>
              </w:rPr>
            </w:pPr>
            <w:r w:rsidRPr="001A1836">
              <w:rPr>
                <w:sz w:val="20"/>
                <w:szCs w:val="24"/>
              </w:rPr>
              <w:t xml:space="preserve">Service </w:t>
            </w:r>
            <w:r w:rsidR="00747264" w:rsidRPr="001A1836">
              <w:rPr>
                <w:sz w:val="20"/>
                <w:szCs w:val="24"/>
              </w:rPr>
              <w:t>L</w:t>
            </w:r>
            <w:r w:rsidRPr="001A1836">
              <w:rPr>
                <w:sz w:val="20"/>
                <w:szCs w:val="24"/>
              </w:rPr>
              <w:t>evel met</w:t>
            </w:r>
          </w:p>
        </w:tc>
        <w:tc>
          <w:tcPr>
            <w:tcW w:w="4678" w:type="dxa"/>
            <w:shd w:val="clear" w:color="auto" w:fill="auto"/>
          </w:tcPr>
          <w:p w14:paraId="119538A8" w14:textId="6B78B336" w:rsidR="009A011A" w:rsidRDefault="009A011A" w:rsidP="00626054">
            <w:pPr>
              <w:rPr>
                <w:sz w:val="20"/>
                <w:szCs w:val="24"/>
              </w:rPr>
            </w:pPr>
            <w:r w:rsidRPr="009A011A">
              <w:rPr>
                <w:sz w:val="20"/>
                <w:szCs w:val="24"/>
              </w:rPr>
              <w:t>Contract Year 1 – 98%</w:t>
            </w:r>
          </w:p>
          <w:p w14:paraId="781D984B" w14:textId="325D01D3" w:rsidR="00B074CC" w:rsidRPr="001A1836" w:rsidRDefault="009A011A" w:rsidP="00626054">
            <w:pPr>
              <w:rPr>
                <w:sz w:val="20"/>
                <w:szCs w:val="24"/>
              </w:rPr>
            </w:pPr>
            <w:r w:rsidRPr="009A011A">
              <w:rPr>
                <w:sz w:val="20"/>
                <w:szCs w:val="24"/>
              </w:rPr>
              <w:t xml:space="preserve">Contract Years 2 to 5 - </w:t>
            </w:r>
            <w:r w:rsidR="00B074CC" w:rsidRPr="001A1836">
              <w:rPr>
                <w:sz w:val="20"/>
                <w:szCs w:val="24"/>
              </w:rPr>
              <w:t xml:space="preserve">100% </w:t>
            </w:r>
          </w:p>
        </w:tc>
        <w:tc>
          <w:tcPr>
            <w:tcW w:w="1899" w:type="dxa"/>
            <w:shd w:val="clear" w:color="auto" w:fill="auto"/>
          </w:tcPr>
          <w:p w14:paraId="22686D49" w14:textId="77777777" w:rsidR="00B074CC" w:rsidRPr="001A1836" w:rsidRDefault="00B074CC" w:rsidP="00626054">
            <w:pPr>
              <w:rPr>
                <w:sz w:val="20"/>
                <w:szCs w:val="24"/>
              </w:rPr>
            </w:pPr>
            <w:r w:rsidRPr="001A1836">
              <w:rPr>
                <w:sz w:val="20"/>
                <w:szCs w:val="24"/>
              </w:rPr>
              <w:t>0</w:t>
            </w:r>
          </w:p>
        </w:tc>
      </w:tr>
      <w:tr w:rsidR="00B074CC" w:rsidRPr="001A1836" w14:paraId="2F325668" w14:textId="77777777" w:rsidTr="00626054">
        <w:tc>
          <w:tcPr>
            <w:tcW w:w="1951" w:type="dxa"/>
            <w:shd w:val="clear" w:color="auto" w:fill="auto"/>
          </w:tcPr>
          <w:p w14:paraId="646654D3" w14:textId="77777777" w:rsidR="00B074CC" w:rsidRPr="001A1836" w:rsidRDefault="00B074CC" w:rsidP="00626054">
            <w:pPr>
              <w:rPr>
                <w:sz w:val="20"/>
                <w:szCs w:val="24"/>
              </w:rPr>
            </w:pPr>
            <w:r w:rsidRPr="001A1836">
              <w:rPr>
                <w:sz w:val="20"/>
                <w:szCs w:val="24"/>
              </w:rPr>
              <w:t>Minor Service Level Failure</w:t>
            </w:r>
          </w:p>
        </w:tc>
        <w:tc>
          <w:tcPr>
            <w:tcW w:w="4678" w:type="dxa"/>
            <w:shd w:val="clear" w:color="auto" w:fill="auto"/>
          </w:tcPr>
          <w:p w14:paraId="3AF21FB7" w14:textId="0A55A1ED" w:rsidR="009A011A" w:rsidRDefault="009A011A" w:rsidP="00626054">
            <w:pPr>
              <w:rPr>
                <w:sz w:val="20"/>
                <w:szCs w:val="24"/>
              </w:rPr>
            </w:pPr>
            <w:r w:rsidRPr="009A011A">
              <w:rPr>
                <w:sz w:val="20"/>
                <w:szCs w:val="24"/>
              </w:rPr>
              <w:t>Contract Year 1 – Less than 98% but greater than 97%</w:t>
            </w:r>
          </w:p>
          <w:p w14:paraId="44D10C87" w14:textId="50E49A3E" w:rsidR="00B074CC" w:rsidRPr="001A1836" w:rsidRDefault="009A011A" w:rsidP="00626054">
            <w:pPr>
              <w:rPr>
                <w:sz w:val="20"/>
                <w:szCs w:val="24"/>
              </w:rPr>
            </w:pPr>
            <w:r w:rsidRPr="009A011A">
              <w:rPr>
                <w:sz w:val="20"/>
                <w:szCs w:val="24"/>
              </w:rPr>
              <w:t xml:space="preserve">Contract Years 2 to 5 - </w:t>
            </w:r>
            <w:r w:rsidR="00B074CC" w:rsidRPr="001A1836">
              <w:rPr>
                <w:sz w:val="20"/>
                <w:szCs w:val="24"/>
              </w:rPr>
              <w:t>Less than 100% but greater than 99%</w:t>
            </w:r>
          </w:p>
        </w:tc>
        <w:tc>
          <w:tcPr>
            <w:tcW w:w="1899" w:type="dxa"/>
            <w:shd w:val="clear" w:color="auto" w:fill="auto"/>
          </w:tcPr>
          <w:p w14:paraId="22DA63C6" w14:textId="77777777" w:rsidR="00B074CC" w:rsidRPr="001A1836" w:rsidRDefault="00B074CC" w:rsidP="00626054">
            <w:pPr>
              <w:rPr>
                <w:sz w:val="20"/>
                <w:szCs w:val="24"/>
              </w:rPr>
            </w:pPr>
            <w:r w:rsidRPr="001A1836">
              <w:rPr>
                <w:sz w:val="20"/>
                <w:szCs w:val="24"/>
              </w:rPr>
              <w:t>3.0</w:t>
            </w:r>
          </w:p>
        </w:tc>
      </w:tr>
      <w:tr w:rsidR="00B074CC" w:rsidRPr="001A1836" w14:paraId="2A30B19B" w14:textId="77777777" w:rsidTr="00626054">
        <w:tc>
          <w:tcPr>
            <w:tcW w:w="1951" w:type="dxa"/>
            <w:shd w:val="clear" w:color="auto" w:fill="auto"/>
          </w:tcPr>
          <w:p w14:paraId="3929A574" w14:textId="77777777" w:rsidR="00B074CC" w:rsidRPr="001A1836" w:rsidRDefault="00B074CC" w:rsidP="00626054">
            <w:pPr>
              <w:rPr>
                <w:sz w:val="20"/>
                <w:szCs w:val="24"/>
              </w:rPr>
            </w:pPr>
            <w:r w:rsidRPr="001A1836">
              <w:rPr>
                <w:sz w:val="20"/>
                <w:szCs w:val="24"/>
              </w:rPr>
              <w:t>Moderate Service Level Failure</w:t>
            </w:r>
          </w:p>
        </w:tc>
        <w:tc>
          <w:tcPr>
            <w:tcW w:w="4678" w:type="dxa"/>
            <w:shd w:val="clear" w:color="auto" w:fill="auto"/>
          </w:tcPr>
          <w:p w14:paraId="273A0271" w14:textId="60C3169E" w:rsidR="009A011A" w:rsidRDefault="009A011A" w:rsidP="00626054">
            <w:pPr>
              <w:rPr>
                <w:sz w:val="20"/>
                <w:szCs w:val="24"/>
              </w:rPr>
            </w:pPr>
            <w:r w:rsidRPr="009A011A">
              <w:rPr>
                <w:sz w:val="20"/>
                <w:szCs w:val="24"/>
              </w:rPr>
              <w:t>Contract Year 1 – Between 97% to 96%</w:t>
            </w:r>
          </w:p>
          <w:p w14:paraId="0DBD2C89" w14:textId="2CA86A4D" w:rsidR="00B074CC" w:rsidRPr="001A1836" w:rsidRDefault="009A011A" w:rsidP="00626054">
            <w:pPr>
              <w:rPr>
                <w:sz w:val="20"/>
                <w:szCs w:val="24"/>
              </w:rPr>
            </w:pPr>
            <w:r w:rsidRPr="009A011A">
              <w:rPr>
                <w:sz w:val="20"/>
                <w:szCs w:val="24"/>
              </w:rPr>
              <w:t xml:space="preserve">Contract Years 2 to 5 - </w:t>
            </w:r>
            <w:r w:rsidR="00B074CC" w:rsidRPr="001A1836">
              <w:rPr>
                <w:sz w:val="20"/>
                <w:szCs w:val="24"/>
              </w:rPr>
              <w:t>Between 99% and 98% inclusive</w:t>
            </w:r>
          </w:p>
        </w:tc>
        <w:tc>
          <w:tcPr>
            <w:tcW w:w="1899" w:type="dxa"/>
            <w:shd w:val="clear" w:color="auto" w:fill="auto"/>
          </w:tcPr>
          <w:p w14:paraId="2D622BA2" w14:textId="77777777" w:rsidR="00B074CC" w:rsidRPr="001A1836" w:rsidRDefault="00B074CC" w:rsidP="00626054">
            <w:pPr>
              <w:rPr>
                <w:sz w:val="20"/>
                <w:szCs w:val="24"/>
              </w:rPr>
            </w:pPr>
            <w:r w:rsidRPr="001A1836">
              <w:rPr>
                <w:sz w:val="20"/>
                <w:szCs w:val="24"/>
              </w:rPr>
              <w:t>6.0</w:t>
            </w:r>
          </w:p>
        </w:tc>
      </w:tr>
      <w:tr w:rsidR="00B074CC" w:rsidRPr="001A1836" w14:paraId="37C2DBD5" w14:textId="77777777" w:rsidTr="00626054">
        <w:tc>
          <w:tcPr>
            <w:tcW w:w="1951" w:type="dxa"/>
            <w:shd w:val="clear" w:color="auto" w:fill="auto"/>
          </w:tcPr>
          <w:p w14:paraId="291A534A" w14:textId="77777777" w:rsidR="00B074CC" w:rsidRPr="001A1836" w:rsidRDefault="00B074CC" w:rsidP="00626054">
            <w:pPr>
              <w:rPr>
                <w:sz w:val="20"/>
                <w:szCs w:val="24"/>
              </w:rPr>
            </w:pPr>
            <w:r w:rsidRPr="001A1836">
              <w:rPr>
                <w:sz w:val="20"/>
                <w:szCs w:val="24"/>
              </w:rPr>
              <w:t>Major Service Level Failure</w:t>
            </w:r>
          </w:p>
        </w:tc>
        <w:tc>
          <w:tcPr>
            <w:tcW w:w="4678" w:type="dxa"/>
            <w:shd w:val="clear" w:color="auto" w:fill="auto"/>
          </w:tcPr>
          <w:p w14:paraId="22302977" w14:textId="69FFC296" w:rsidR="009A011A" w:rsidRDefault="009A011A" w:rsidP="00626054">
            <w:pPr>
              <w:rPr>
                <w:sz w:val="20"/>
                <w:szCs w:val="24"/>
              </w:rPr>
            </w:pPr>
            <w:r w:rsidRPr="009A011A">
              <w:rPr>
                <w:sz w:val="20"/>
                <w:szCs w:val="24"/>
              </w:rPr>
              <w:t>Contract Year 1 – Less than 96%</w:t>
            </w:r>
          </w:p>
          <w:p w14:paraId="71F9F866" w14:textId="36ADC5BA" w:rsidR="00B074CC" w:rsidRPr="001A1836" w:rsidRDefault="009A011A" w:rsidP="00626054">
            <w:pPr>
              <w:rPr>
                <w:sz w:val="20"/>
                <w:szCs w:val="24"/>
              </w:rPr>
            </w:pPr>
            <w:r w:rsidRPr="009A011A">
              <w:rPr>
                <w:sz w:val="20"/>
                <w:szCs w:val="24"/>
              </w:rPr>
              <w:t xml:space="preserve">Contract Years 2 to 5 - </w:t>
            </w:r>
            <w:r w:rsidR="00B074CC" w:rsidRPr="001A1836">
              <w:rPr>
                <w:sz w:val="20"/>
                <w:szCs w:val="24"/>
              </w:rPr>
              <w:t>Less than 98%</w:t>
            </w:r>
          </w:p>
        </w:tc>
        <w:tc>
          <w:tcPr>
            <w:tcW w:w="1899" w:type="dxa"/>
            <w:shd w:val="clear" w:color="auto" w:fill="auto"/>
          </w:tcPr>
          <w:p w14:paraId="1DBB5BF1" w14:textId="77777777" w:rsidR="00B074CC" w:rsidRPr="001A1836" w:rsidRDefault="00B074CC" w:rsidP="00626054">
            <w:pPr>
              <w:rPr>
                <w:sz w:val="20"/>
                <w:szCs w:val="24"/>
              </w:rPr>
            </w:pPr>
            <w:r w:rsidRPr="001A1836">
              <w:rPr>
                <w:sz w:val="20"/>
                <w:szCs w:val="24"/>
              </w:rPr>
              <w:t>9.0</w:t>
            </w:r>
          </w:p>
        </w:tc>
      </w:tr>
    </w:tbl>
    <w:p w14:paraId="49784575" w14:textId="77777777" w:rsidR="00B074CC" w:rsidRPr="001A1836" w:rsidRDefault="00B074CC" w:rsidP="00626054">
      <w:pPr>
        <w:spacing w:after="0"/>
        <w:rPr>
          <w:sz w:val="20"/>
          <w:szCs w:val="24"/>
        </w:rPr>
      </w:pPr>
    </w:p>
    <w:p w14:paraId="260D737F" w14:textId="77777777" w:rsidR="00B074CC" w:rsidRPr="001A1836" w:rsidRDefault="00B074CC" w:rsidP="00626054">
      <w:pPr>
        <w:spacing w:after="0"/>
        <w:rPr>
          <w:sz w:val="20"/>
          <w:szCs w:val="24"/>
        </w:rPr>
      </w:pPr>
      <w:r w:rsidRPr="001A1836">
        <w:rPr>
          <w:sz w:val="20"/>
          <w:szCs w:val="24"/>
        </w:rPr>
        <w:br w:type="page"/>
      </w:r>
    </w:p>
    <w:p w14:paraId="6D148861" w14:textId="77777777" w:rsidR="00B074CC" w:rsidRPr="001A1836" w:rsidRDefault="00B074CC" w:rsidP="00626054">
      <w:pPr>
        <w:spacing w:after="0"/>
        <w:rPr>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4678"/>
        <w:gridCol w:w="1899"/>
      </w:tblGrid>
      <w:tr w:rsidR="00B074CC" w:rsidRPr="001A1836" w14:paraId="7EFC7026" w14:textId="77777777" w:rsidTr="00B4557D">
        <w:trPr>
          <w:tblHeader/>
        </w:trPr>
        <w:tc>
          <w:tcPr>
            <w:tcW w:w="1951" w:type="dxa"/>
            <w:shd w:val="clear" w:color="auto" w:fill="auto"/>
          </w:tcPr>
          <w:p w14:paraId="47C0E8C0" w14:textId="77777777" w:rsidR="00B074CC" w:rsidRPr="001A1836" w:rsidRDefault="00B074CC" w:rsidP="00626054">
            <w:pPr>
              <w:rPr>
                <w:b/>
                <w:szCs w:val="24"/>
              </w:rPr>
            </w:pPr>
            <w:r w:rsidRPr="001A1836">
              <w:rPr>
                <w:b/>
                <w:szCs w:val="24"/>
              </w:rPr>
              <w:t>SL02</w:t>
            </w:r>
          </w:p>
        </w:tc>
        <w:tc>
          <w:tcPr>
            <w:tcW w:w="6577" w:type="dxa"/>
            <w:gridSpan w:val="2"/>
            <w:shd w:val="clear" w:color="auto" w:fill="auto"/>
          </w:tcPr>
          <w:p w14:paraId="4EADDCCC" w14:textId="77777777" w:rsidR="00B074CC" w:rsidRPr="001A1836" w:rsidRDefault="00B074CC" w:rsidP="00626054">
            <w:pPr>
              <w:rPr>
                <w:b/>
                <w:szCs w:val="24"/>
              </w:rPr>
            </w:pPr>
            <w:r w:rsidRPr="001A1836">
              <w:rPr>
                <w:b/>
                <w:szCs w:val="24"/>
              </w:rPr>
              <w:t xml:space="preserve">Number of businesses unseen since start of SCA </w:t>
            </w:r>
          </w:p>
        </w:tc>
      </w:tr>
      <w:tr w:rsidR="00B074CC" w:rsidRPr="001A1836" w14:paraId="40FB669F" w14:textId="77777777" w:rsidTr="00626054">
        <w:tc>
          <w:tcPr>
            <w:tcW w:w="1951" w:type="dxa"/>
            <w:shd w:val="clear" w:color="auto" w:fill="auto"/>
          </w:tcPr>
          <w:p w14:paraId="35674D2E" w14:textId="7B7BC175" w:rsidR="00B074CC" w:rsidRPr="001A1836" w:rsidRDefault="00B074CC" w:rsidP="00626054">
            <w:pPr>
              <w:rPr>
                <w:sz w:val="20"/>
                <w:szCs w:val="24"/>
              </w:rPr>
            </w:pPr>
            <w:r w:rsidRPr="001A1836">
              <w:rPr>
                <w:sz w:val="20"/>
                <w:szCs w:val="24"/>
              </w:rPr>
              <w:t xml:space="preserve">Service </w:t>
            </w:r>
            <w:r w:rsidR="00747264" w:rsidRPr="001A1836">
              <w:rPr>
                <w:sz w:val="20"/>
                <w:szCs w:val="24"/>
              </w:rPr>
              <w:t>L</w:t>
            </w:r>
            <w:r w:rsidRPr="001A1836">
              <w:rPr>
                <w:sz w:val="20"/>
                <w:szCs w:val="24"/>
              </w:rPr>
              <w:t>evel description</w:t>
            </w:r>
          </w:p>
        </w:tc>
        <w:tc>
          <w:tcPr>
            <w:tcW w:w="6577" w:type="dxa"/>
            <w:gridSpan w:val="2"/>
            <w:shd w:val="clear" w:color="auto" w:fill="auto"/>
          </w:tcPr>
          <w:p w14:paraId="57089C6D" w14:textId="29B0CD32" w:rsidR="00B074CC" w:rsidRPr="001A1836" w:rsidRDefault="00B074CC" w:rsidP="00626054">
            <w:pPr>
              <w:rPr>
                <w:sz w:val="20"/>
                <w:szCs w:val="24"/>
              </w:rPr>
            </w:pPr>
            <w:r w:rsidRPr="001A1836">
              <w:rPr>
                <w:sz w:val="20"/>
                <w:szCs w:val="24"/>
              </w:rPr>
              <w:t>All Registered Businesses should be seen (</w:t>
            </w:r>
            <w:r w:rsidR="002B7EF9">
              <w:rPr>
                <w:sz w:val="20"/>
                <w:szCs w:val="24"/>
              </w:rPr>
              <w:t>competency checked</w:t>
            </w:r>
            <w:r w:rsidRPr="001A1836">
              <w:rPr>
                <w:sz w:val="20"/>
                <w:szCs w:val="24"/>
              </w:rPr>
              <w:t xml:space="preserve">) at least once </w:t>
            </w:r>
            <w:r w:rsidR="001635E3">
              <w:rPr>
                <w:sz w:val="20"/>
                <w:szCs w:val="24"/>
              </w:rPr>
              <w:t>during the term of the Agreement</w:t>
            </w:r>
            <w:r w:rsidRPr="001A1836">
              <w:rPr>
                <w:sz w:val="20"/>
                <w:szCs w:val="24"/>
              </w:rPr>
              <w:t xml:space="preserve">. </w:t>
            </w:r>
            <w:r w:rsidR="00EA4BD8" w:rsidRPr="001A1836">
              <w:rPr>
                <w:sz w:val="20"/>
                <w:szCs w:val="24"/>
              </w:rPr>
              <w:t>Therefore</w:t>
            </w:r>
            <w:r w:rsidR="00EA4BD8">
              <w:rPr>
                <w:sz w:val="20"/>
                <w:szCs w:val="24"/>
              </w:rPr>
              <w:t xml:space="preserve">, the annual target </w:t>
            </w:r>
            <w:r w:rsidR="001635E3">
              <w:rPr>
                <w:sz w:val="20"/>
                <w:szCs w:val="24"/>
              </w:rPr>
              <w:t xml:space="preserve">(9 month target in Year 5 of the Agreement) </w:t>
            </w:r>
            <w:r w:rsidR="00EA4BD8">
              <w:rPr>
                <w:sz w:val="20"/>
                <w:szCs w:val="24"/>
              </w:rPr>
              <w:t>will be number of unseen</w:t>
            </w:r>
            <w:r w:rsidR="00EA4BD8" w:rsidRPr="001A1836">
              <w:rPr>
                <w:sz w:val="20"/>
                <w:szCs w:val="24"/>
              </w:rPr>
              <w:t xml:space="preserve"> unique business registrations </w:t>
            </w:r>
            <w:r w:rsidR="00EA4BD8">
              <w:rPr>
                <w:sz w:val="20"/>
                <w:szCs w:val="24"/>
              </w:rPr>
              <w:t>on the Register at the beginning of each Contract Y</w:t>
            </w:r>
            <w:r w:rsidR="00EA4BD8" w:rsidRPr="001A1836">
              <w:rPr>
                <w:sz w:val="20"/>
                <w:szCs w:val="24"/>
              </w:rPr>
              <w:t>ear</w:t>
            </w:r>
            <w:r w:rsidR="00EA4BD8">
              <w:rPr>
                <w:sz w:val="20"/>
                <w:szCs w:val="24"/>
              </w:rPr>
              <w:t xml:space="preserve"> divided by the number of </w:t>
            </w:r>
            <w:r w:rsidR="00BB4DBE">
              <w:rPr>
                <w:sz w:val="20"/>
                <w:szCs w:val="24"/>
              </w:rPr>
              <w:t>months</w:t>
            </w:r>
            <w:r w:rsidR="00EA4BD8">
              <w:rPr>
                <w:sz w:val="20"/>
                <w:szCs w:val="24"/>
              </w:rPr>
              <w:t xml:space="preserve"> remaining</w:t>
            </w:r>
            <w:r w:rsidR="00BB4DBE">
              <w:rPr>
                <w:sz w:val="20"/>
                <w:szCs w:val="24"/>
              </w:rPr>
              <w:t xml:space="preserve"> and multiplied by twelve (multiplied by 9 in Year 5 of the Agreement)</w:t>
            </w:r>
            <w:r w:rsidR="00EA4BD8" w:rsidRPr="001A1836">
              <w:rPr>
                <w:sz w:val="20"/>
                <w:szCs w:val="24"/>
              </w:rPr>
              <w:t>.</w:t>
            </w:r>
          </w:p>
          <w:p w14:paraId="0065DCB7" w14:textId="70E845C4" w:rsidR="00B074CC" w:rsidRPr="001A1836" w:rsidRDefault="00B074CC" w:rsidP="00626054">
            <w:pPr>
              <w:rPr>
                <w:sz w:val="20"/>
                <w:szCs w:val="24"/>
              </w:rPr>
            </w:pPr>
            <w:r w:rsidRPr="001A1836">
              <w:rPr>
                <w:sz w:val="20"/>
                <w:szCs w:val="24"/>
              </w:rPr>
              <w:t xml:space="preserve">A </w:t>
            </w:r>
            <w:r w:rsidR="00CA1B14" w:rsidRPr="001A1836">
              <w:rPr>
                <w:sz w:val="20"/>
                <w:szCs w:val="24"/>
              </w:rPr>
              <w:t>Registered B</w:t>
            </w:r>
            <w:r w:rsidRPr="001A1836">
              <w:rPr>
                <w:sz w:val="20"/>
                <w:szCs w:val="24"/>
              </w:rPr>
              <w:t xml:space="preserve">usiness is counted as ‘seen’ if it has had a site-based </w:t>
            </w:r>
            <w:r w:rsidR="00457CD0">
              <w:rPr>
                <w:sz w:val="20"/>
                <w:szCs w:val="24"/>
              </w:rPr>
              <w:t>C</w:t>
            </w:r>
            <w:r w:rsidR="002B7EF9">
              <w:rPr>
                <w:sz w:val="20"/>
                <w:szCs w:val="24"/>
              </w:rPr>
              <w:t xml:space="preserve">ompetency </w:t>
            </w:r>
            <w:r w:rsidR="00457CD0">
              <w:rPr>
                <w:sz w:val="20"/>
                <w:szCs w:val="24"/>
              </w:rPr>
              <w:t>C</w:t>
            </w:r>
            <w:r w:rsidR="002B7EF9">
              <w:rPr>
                <w:sz w:val="20"/>
                <w:szCs w:val="24"/>
              </w:rPr>
              <w:t xml:space="preserve">heck </w:t>
            </w:r>
            <w:r w:rsidRPr="001A1836">
              <w:rPr>
                <w:sz w:val="20"/>
                <w:szCs w:val="24"/>
              </w:rPr>
              <w:t xml:space="preserve">visit; for large businesses, a management audit inspection; or attended </w:t>
            </w:r>
            <w:r w:rsidR="00014AE9">
              <w:rPr>
                <w:sz w:val="20"/>
                <w:szCs w:val="24"/>
              </w:rPr>
              <w:t>a Competency Check</w:t>
            </w:r>
            <w:r w:rsidRPr="001A1836">
              <w:rPr>
                <w:sz w:val="20"/>
                <w:szCs w:val="24"/>
              </w:rPr>
              <w:t xml:space="preserve"> </w:t>
            </w:r>
            <w:r w:rsidR="00920135">
              <w:rPr>
                <w:sz w:val="20"/>
                <w:szCs w:val="24"/>
              </w:rPr>
              <w:t>E</w:t>
            </w:r>
            <w:r w:rsidRPr="001A1836">
              <w:rPr>
                <w:sz w:val="20"/>
                <w:szCs w:val="24"/>
              </w:rPr>
              <w:t>vent.</w:t>
            </w:r>
          </w:p>
          <w:p w14:paraId="5ED10729" w14:textId="37219C19" w:rsidR="00B074CC" w:rsidRPr="001A1836" w:rsidRDefault="00B074CC" w:rsidP="00626054">
            <w:pPr>
              <w:rPr>
                <w:sz w:val="20"/>
                <w:szCs w:val="24"/>
              </w:rPr>
            </w:pPr>
            <w:r w:rsidRPr="001A1836">
              <w:rPr>
                <w:sz w:val="20"/>
                <w:szCs w:val="24"/>
              </w:rPr>
              <w:t xml:space="preserve">The target number of unseen businesses at the end of the </w:t>
            </w:r>
            <w:r w:rsidR="00457CD0">
              <w:rPr>
                <w:sz w:val="20"/>
                <w:szCs w:val="24"/>
              </w:rPr>
              <w:t>term of this Agreement</w:t>
            </w:r>
            <w:r w:rsidR="00457CD0" w:rsidRPr="001A1836">
              <w:rPr>
                <w:sz w:val="20"/>
                <w:szCs w:val="24"/>
              </w:rPr>
              <w:t xml:space="preserve"> </w:t>
            </w:r>
            <w:r w:rsidRPr="001A1836">
              <w:rPr>
                <w:sz w:val="20"/>
                <w:szCs w:val="24"/>
              </w:rPr>
              <w:t>is zero</w:t>
            </w:r>
            <w:r w:rsidR="00266521" w:rsidRPr="001A1836">
              <w:rPr>
                <w:sz w:val="20"/>
                <w:szCs w:val="24"/>
              </w:rPr>
              <w:t xml:space="preserve"> (excluding any </w:t>
            </w:r>
            <w:r w:rsidR="00EE33B5" w:rsidRPr="001A1836">
              <w:rPr>
                <w:sz w:val="20"/>
                <w:szCs w:val="24"/>
              </w:rPr>
              <w:t>probationary</w:t>
            </w:r>
            <w:r w:rsidR="00266521" w:rsidRPr="001A1836">
              <w:rPr>
                <w:sz w:val="20"/>
                <w:szCs w:val="24"/>
              </w:rPr>
              <w:t xml:space="preserve"> businesses </w:t>
            </w:r>
            <w:r w:rsidR="00EE33B5" w:rsidRPr="001A1836">
              <w:rPr>
                <w:sz w:val="20"/>
                <w:szCs w:val="24"/>
              </w:rPr>
              <w:t xml:space="preserve">registered </w:t>
            </w:r>
            <w:r w:rsidR="00266521" w:rsidRPr="001A1836">
              <w:rPr>
                <w:sz w:val="20"/>
                <w:szCs w:val="24"/>
              </w:rPr>
              <w:t xml:space="preserve">after </w:t>
            </w:r>
            <w:r w:rsidR="002104FE">
              <w:rPr>
                <w:sz w:val="20"/>
                <w:szCs w:val="24"/>
              </w:rPr>
              <w:t>3</w:t>
            </w:r>
            <w:r w:rsidR="00266521" w:rsidRPr="001A1836">
              <w:rPr>
                <w:sz w:val="20"/>
                <w:szCs w:val="24"/>
              </w:rPr>
              <w:t xml:space="preserve">1 </w:t>
            </w:r>
            <w:r w:rsidR="002104FE">
              <w:rPr>
                <w:sz w:val="20"/>
                <w:szCs w:val="24"/>
              </w:rPr>
              <w:t>October</w:t>
            </w:r>
            <w:r w:rsidR="00266521" w:rsidRPr="001A1836">
              <w:rPr>
                <w:sz w:val="20"/>
                <w:szCs w:val="24"/>
              </w:rPr>
              <w:t xml:space="preserve"> 202</w:t>
            </w:r>
            <w:r w:rsidR="002104FE">
              <w:rPr>
                <w:sz w:val="20"/>
                <w:szCs w:val="24"/>
              </w:rPr>
              <w:t>9</w:t>
            </w:r>
            <w:r w:rsidR="00266521" w:rsidRPr="001A1836">
              <w:rPr>
                <w:sz w:val="20"/>
                <w:szCs w:val="24"/>
              </w:rPr>
              <w:t>)</w:t>
            </w:r>
            <w:r w:rsidRPr="001A1836">
              <w:rPr>
                <w:sz w:val="20"/>
                <w:szCs w:val="24"/>
              </w:rPr>
              <w:t>.</w:t>
            </w:r>
          </w:p>
          <w:p w14:paraId="140C8FF5" w14:textId="646FA420" w:rsidR="00B074CC" w:rsidRPr="001A1836" w:rsidRDefault="00B074CC" w:rsidP="00626054">
            <w:pPr>
              <w:rPr>
                <w:sz w:val="20"/>
                <w:szCs w:val="24"/>
              </w:rPr>
            </w:pPr>
            <w:r w:rsidRPr="001A1836">
              <w:rPr>
                <w:sz w:val="20"/>
                <w:szCs w:val="24"/>
              </w:rPr>
              <w:t xml:space="preserve">Overachievement in </w:t>
            </w:r>
            <w:r w:rsidR="00457CD0">
              <w:rPr>
                <w:sz w:val="20"/>
                <w:szCs w:val="24"/>
              </w:rPr>
              <w:t xml:space="preserve">any of </w:t>
            </w:r>
            <w:r w:rsidR="00CA1B14" w:rsidRPr="001A1836">
              <w:rPr>
                <w:sz w:val="20"/>
                <w:szCs w:val="24"/>
              </w:rPr>
              <w:t>Y</w:t>
            </w:r>
            <w:r w:rsidRPr="001A1836">
              <w:rPr>
                <w:sz w:val="20"/>
                <w:szCs w:val="24"/>
              </w:rPr>
              <w:t>ears 1 to 4 can be offset against the target for the following year.</w:t>
            </w:r>
          </w:p>
        </w:tc>
      </w:tr>
      <w:tr w:rsidR="00B074CC" w:rsidRPr="001A1836" w14:paraId="7660361C" w14:textId="77777777" w:rsidTr="00626054">
        <w:tc>
          <w:tcPr>
            <w:tcW w:w="1951" w:type="dxa"/>
            <w:shd w:val="clear" w:color="auto" w:fill="auto"/>
          </w:tcPr>
          <w:p w14:paraId="079CB995" w14:textId="660CAA02" w:rsidR="00B074CC" w:rsidRPr="001A1836" w:rsidRDefault="00B074CC" w:rsidP="00626054">
            <w:pPr>
              <w:rPr>
                <w:sz w:val="20"/>
                <w:szCs w:val="24"/>
              </w:rPr>
            </w:pPr>
            <w:r w:rsidRPr="001A1836">
              <w:rPr>
                <w:sz w:val="20"/>
                <w:szCs w:val="24"/>
              </w:rPr>
              <w:t xml:space="preserve">Service </w:t>
            </w:r>
            <w:r w:rsidR="00747264" w:rsidRPr="001A1836">
              <w:rPr>
                <w:sz w:val="20"/>
                <w:szCs w:val="24"/>
              </w:rPr>
              <w:t>L</w:t>
            </w:r>
            <w:r w:rsidRPr="001A1836">
              <w:rPr>
                <w:sz w:val="20"/>
                <w:szCs w:val="24"/>
              </w:rPr>
              <w:t>evel calculation</w:t>
            </w:r>
          </w:p>
        </w:tc>
        <w:tc>
          <w:tcPr>
            <w:tcW w:w="6577" w:type="dxa"/>
            <w:gridSpan w:val="2"/>
            <w:shd w:val="clear" w:color="auto" w:fill="auto"/>
          </w:tcPr>
          <w:p w14:paraId="2288381C" w14:textId="30793DEB" w:rsidR="00B074CC" w:rsidRPr="001A1836" w:rsidRDefault="00B074CC" w:rsidP="00626054">
            <w:pPr>
              <w:rPr>
                <w:sz w:val="20"/>
                <w:szCs w:val="24"/>
              </w:rPr>
            </w:pPr>
            <w:r w:rsidRPr="001A1836">
              <w:rPr>
                <w:sz w:val="20"/>
                <w:szCs w:val="24"/>
              </w:rPr>
              <w:t xml:space="preserve">A / B = </w:t>
            </w:r>
            <w:r w:rsidR="00B121A6" w:rsidRPr="001A1836">
              <w:rPr>
                <w:sz w:val="20"/>
                <w:szCs w:val="24"/>
              </w:rPr>
              <w:t xml:space="preserve">unseen </w:t>
            </w:r>
            <w:r w:rsidR="00266521" w:rsidRPr="001A1836">
              <w:rPr>
                <w:sz w:val="20"/>
                <w:szCs w:val="24"/>
              </w:rPr>
              <w:t>Registered B</w:t>
            </w:r>
            <w:r w:rsidR="00B121A6" w:rsidRPr="001A1836">
              <w:rPr>
                <w:sz w:val="20"/>
                <w:szCs w:val="24"/>
              </w:rPr>
              <w:t xml:space="preserve">usinesses </w:t>
            </w:r>
            <w:r w:rsidRPr="001A1836">
              <w:rPr>
                <w:sz w:val="20"/>
                <w:szCs w:val="24"/>
              </w:rPr>
              <w:t>target</w:t>
            </w:r>
          </w:p>
          <w:p w14:paraId="5EDD5FBD" w14:textId="77777777" w:rsidR="00B074CC" w:rsidRPr="001A1836" w:rsidRDefault="00B074CC" w:rsidP="00626054">
            <w:pPr>
              <w:rPr>
                <w:sz w:val="20"/>
                <w:szCs w:val="24"/>
              </w:rPr>
            </w:pPr>
          </w:p>
          <w:p w14:paraId="6DAEC021" w14:textId="77777777" w:rsidR="00B074CC" w:rsidRPr="001A1836" w:rsidRDefault="00B074CC" w:rsidP="00626054">
            <w:pPr>
              <w:rPr>
                <w:sz w:val="20"/>
                <w:szCs w:val="24"/>
              </w:rPr>
            </w:pPr>
            <w:r w:rsidRPr="001A1836">
              <w:rPr>
                <w:sz w:val="20"/>
                <w:szCs w:val="24"/>
              </w:rPr>
              <w:t>Where:</w:t>
            </w:r>
          </w:p>
          <w:p w14:paraId="640DB676" w14:textId="4896F867" w:rsidR="00B074CC" w:rsidRPr="001A1836" w:rsidRDefault="00B074CC" w:rsidP="00626054">
            <w:pPr>
              <w:rPr>
                <w:sz w:val="20"/>
                <w:szCs w:val="24"/>
              </w:rPr>
            </w:pPr>
            <w:r w:rsidRPr="001A1836">
              <w:rPr>
                <w:sz w:val="20"/>
                <w:szCs w:val="24"/>
              </w:rPr>
              <w:t xml:space="preserve">A = The number of </w:t>
            </w:r>
            <w:r w:rsidR="00EA4BD8">
              <w:rPr>
                <w:sz w:val="20"/>
                <w:szCs w:val="24"/>
              </w:rPr>
              <w:t xml:space="preserve">unseen </w:t>
            </w:r>
            <w:r w:rsidR="00266521" w:rsidRPr="001A1836">
              <w:rPr>
                <w:sz w:val="20"/>
                <w:szCs w:val="24"/>
              </w:rPr>
              <w:t>Registered B</w:t>
            </w:r>
            <w:r w:rsidRPr="001A1836">
              <w:rPr>
                <w:sz w:val="20"/>
                <w:szCs w:val="24"/>
              </w:rPr>
              <w:t xml:space="preserve">usinesses </w:t>
            </w:r>
            <w:r w:rsidR="00EA4BD8">
              <w:rPr>
                <w:sz w:val="20"/>
                <w:szCs w:val="24"/>
              </w:rPr>
              <w:t>on the Register</w:t>
            </w:r>
            <w:r w:rsidR="00EA4BD8" w:rsidRPr="001A1836">
              <w:rPr>
                <w:sz w:val="20"/>
                <w:szCs w:val="24"/>
              </w:rPr>
              <w:t xml:space="preserve"> </w:t>
            </w:r>
            <w:r w:rsidRPr="001A1836">
              <w:rPr>
                <w:sz w:val="20"/>
                <w:szCs w:val="24"/>
              </w:rPr>
              <w:t xml:space="preserve">at </w:t>
            </w:r>
            <w:r w:rsidR="00EA4BD8">
              <w:rPr>
                <w:sz w:val="20"/>
                <w:szCs w:val="24"/>
              </w:rPr>
              <w:t>00:00am on 1 April (</w:t>
            </w:r>
            <w:r w:rsidRPr="001A1836">
              <w:rPr>
                <w:sz w:val="20"/>
                <w:szCs w:val="24"/>
              </w:rPr>
              <w:t xml:space="preserve">start of the </w:t>
            </w:r>
            <w:r w:rsidR="00266521" w:rsidRPr="001A1836">
              <w:rPr>
                <w:sz w:val="20"/>
                <w:szCs w:val="24"/>
              </w:rPr>
              <w:t>C</w:t>
            </w:r>
            <w:r w:rsidRPr="001A1836">
              <w:rPr>
                <w:sz w:val="20"/>
                <w:szCs w:val="24"/>
              </w:rPr>
              <w:t xml:space="preserve">ontract </w:t>
            </w:r>
            <w:r w:rsidR="00266521" w:rsidRPr="001A1836">
              <w:rPr>
                <w:sz w:val="20"/>
                <w:szCs w:val="24"/>
              </w:rPr>
              <w:t>Y</w:t>
            </w:r>
            <w:r w:rsidRPr="001A1836">
              <w:rPr>
                <w:sz w:val="20"/>
                <w:szCs w:val="24"/>
              </w:rPr>
              <w:t>ear</w:t>
            </w:r>
            <w:r w:rsidR="00EA4BD8">
              <w:rPr>
                <w:sz w:val="20"/>
                <w:szCs w:val="24"/>
              </w:rPr>
              <w:t>).</w:t>
            </w:r>
          </w:p>
          <w:p w14:paraId="7D1DAC19" w14:textId="24DB89A4" w:rsidR="00B074CC" w:rsidRPr="001A1836" w:rsidRDefault="00B074CC" w:rsidP="00B121A6">
            <w:pPr>
              <w:rPr>
                <w:sz w:val="20"/>
                <w:szCs w:val="24"/>
              </w:rPr>
            </w:pPr>
            <w:r w:rsidRPr="001A1836">
              <w:rPr>
                <w:sz w:val="20"/>
                <w:szCs w:val="24"/>
              </w:rPr>
              <w:t xml:space="preserve">B = The number </w:t>
            </w:r>
            <w:r w:rsidR="00B121A6" w:rsidRPr="001A1836">
              <w:rPr>
                <w:sz w:val="20"/>
                <w:szCs w:val="24"/>
              </w:rPr>
              <w:t xml:space="preserve">of </w:t>
            </w:r>
            <w:r w:rsidRPr="001A1836">
              <w:rPr>
                <w:sz w:val="20"/>
                <w:szCs w:val="24"/>
              </w:rPr>
              <w:t xml:space="preserve">years remaining in the </w:t>
            </w:r>
            <w:r w:rsidR="00B121A6" w:rsidRPr="001A1836">
              <w:rPr>
                <w:sz w:val="20"/>
                <w:szCs w:val="24"/>
              </w:rPr>
              <w:t>Term, as at the start of the Contract Year</w:t>
            </w:r>
            <w:r w:rsidR="00EE33B5" w:rsidRPr="001A1836">
              <w:rPr>
                <w:sz w:val="20"/>
                <w:szCs w:val="24"/>
              </w:rPr>
              <w:t xml:space="preserve"> being measured</w:t>
            </w:r>
          </w:p>
        </w:tc>
      </w:tr>
      <w:tr w:rsidR="00B074CC" w:rsidRPr="001A1836" w14:paraId="0DE41222" w14:textId="77777777" w:rsidTr="00626054">
        <w:tc>
          <w:tcPr>
            <w:tcW w:w="1951" w:type="dxa"/>
            <w:shd w:val="clear" w:color="auto" w:fill="auto"/>
          </w:tcPr>
          <w:p w14:paraId="6408DA43" w14:textId="406A0FED" w:rsidR="00B074CC" w:rsidRPr="001A1836" w:rsidRDefault="00B074CC" w:rsidP="00626054">
            <w:pPr>
              <w:rPr>
                <w:sz w:val="20"/>
                <w:szCs w:val="24"/>
              </w:rPr>
            </w:pPr>
            <w:r w:rsidRPr="001A1836">
              <w:rPr>
                <w:sz w:val="20"/>
                <w:szCs w:val="24"/>
              </w:rPr>
              <w:t>Reporting frequency</w:t>
            </w:r>
          </w:p>
        </w:tc>
        <w:tc>
          <w:tcPr>
            <w:tcW w:w="6577" w:type="dxa"/>
            <w:gridSpan w:val="2"/>
            <w:shd w:val="clear" w:color="auto" w:fill="auto"/>
          </w:tcPr>
          <w:p w14:paraId="42AA338D" w14:textId="77777777" w:rsidR="00B074CC" w:rsidRPr="001A1836" w:rsidRDefault="00B074CC" w:rsidP="00626054">
            <w:pPr>
              <w:rPr>
                <w:sz w:val="20"/>
                <w:szCs w:val="24"/>
              </w:rPr>
            </w:pPr>
            <w:r w:rsidRPr="001A1836">
              <w:rPr>
                <w:sz w:val="20"/>
                <w:szCs w:val="24"/>
              </w:rPr>
              <w:t>Performance is reported monthly.</w:t>
            </w:r>
          </w:p>
          <w:p w14:paraId="168881B1" w14:textId="47B0364C" w:rsidR="00B876A2" w:rsidRPr="001A1836" w:rsidRDefault="00B876A2" w:rsidP="0091349E">
            <w:pPr>
              <w:rPr>
                <w:sz w:val="20"/>
                <w:szCs w:val="24"/>
              </w:rPr>
            </w:pPr>
          </w:p>
        </w:tc>
      </w:tr>
      <w:tr w:rsidR="00F70CAB" w:rsidRPr="001A1836" w14:paraId="212C8A08" w14:textId="77777777" w:rsidTr="00626054">
        <w:tc>
          <w:tcPr>
            <w:tcW w:w="1951" w:type="dxa"/>
            <w:shd w:val="clear" w:color="auto" w:fill="auto"/>
          </w:tcPr>
          <w:p w14:paraId="67967D5D" w14:textId="26314B54" w:rsidR="00F70CAB" w:rsidRPr="001A1836" w:rsidDel="00B20DB7" w:rsidRDefault="004F1C82" w:rsidP="00626054">
            <w:pPr>
              <w:rPr>
                <w:sz w:val="20"/>
                <w:szCs w:val="24"/>
              </w:rPr>
            </w:pPr>
            <w:r w:rsidRPr="001A1836">
              <w:rPr>
                <w:sz w:val="20"/>
                <w:szCs w:val="24"/>
              </w:rPr>
              <w:t>Service Measurement Period</w:t>
            </w:r>
          </w:p>
        </w:tc>
        <w:tc>
          <w:tcPr>
            <w:tcW w:w="6577" w:type="dxa"/>
            <w:gridSpan w:val="2"/>
            <w:shd w:val="clear" w:color="auto" w:fill="auto"/>
          </w:tcPr>
          <w:p w14:paraId="13543972" w14:textId="55B2334A" w:rsidR="00F70CAB" w:rsidRPr="001A1836" w:rsidRDefault="004F1C82" w:rsidP="00626054">
            <w:pPr>
              <w:rPr>
                <w:sz w:val="20"/>
                <w:szCs w:val="24"/>
              </w:rPr>
            </w:pPr>
            <w:r w:rsidRPr="001A1836">
              <w:rPr>
                <w:sz w:val="20"/>
                <w:szCs w:val="24"/>
              </w:rPr>
              <w:t>Service Credits are calculated annually.</w:t>
            </w:r>
          </w:p>
        </w:tc>
      </w:tr>
      <w:tr w:rsidR="00F70CAB" w:rsidRPr="001A1836" w14:paraId="05AE47EE" w14:textId="77777777" w:rsidTr="00626054">
        <w:tc>
          <w:tcPr>
            <w:tcW w:w="1951" w:type="dxa"/>
            <w:shd w:val="clear" w:color="auto" w:fill="auto"/>
          </w:tcPr>
          <w:p w14:paraId="479C91E7" w14:textId="7A50C88A" w:rsidR="00F70CAB" w:rsidRPr="001A1836" w:rsidDel="00B20DB7" w:rsidRDefault="004F1C82" w:rsidP="00626054">
            <w:pPr>
              <w:rPr>
                <w:sz w:val="20"/>
                <w:szCs w:val="24"/>
              </w:rPr>
            </w:pPr>
            <w:r w:rsidRPr="001A1836">
              <w:rPr>
                <w:sz w:val="20"/>
                <w:szCs w:val="24"/>
              </w:rPr>
              <w:t>Service Point Application Period</w:t>
            </w:r>
          </w:p>
        </w:tc>
        <w:tc>
          <w:tcPr>
            <w:tcW w:w="6577" w:type="dxa"/>
            <w:gridSpan w:val="2"/>
            <w:shd w:val="clear" w:color="auto" w:fill="auto"/>
          </w:tcPr>
          <w:p w14:paraId="5C961B9D" w14:textId="085DEF83" w:rsidR="00F70CAB" w:rsidRPr="001A1836" w:rsidRDefault="00EA4BD8" w:rsidP="00626054">
            <w:pPr>
              <w:rPr>
                <w:sz w:val="20"/>
                <w:szCs w:val="24"/>
              </w:rPr>
            </w:pPr>
            <w:r w:rsidRPr="001A1836">
              <w:rPr>
                <w:sz w:val="20"/>
                <w:szCs w:val="24"/>
              </w:rPr>
              <w:t xml:space="preserve">Service Points are applied annually </w:t>
            </w:r>
            <w:r>
              <w:rPr>
                <w:sz w:val="20"/>
                <w:szCs w:val="24"/>
              </w:rPr>
              <w:t xml:space="preserve">in respect of each Contract Year </w:t>
            </w:r>
            <w:r w:rsidRPr="001A1836">
              <w:rPr>
                <w:sz w:val="20"/>
                <w:szCs w:val="24"/>
              </w:rPr>
              <w:t xml:space="preserve">against the </w:t>
            </w:r>
            <w:r>
              <w:rPr>
                <w:sz w:val="20"/>
                <w:szCs w:val="24"/>
              </w:rPr>
              <w:t xml:space="preserve">sum of the </w:t>
            </w:r>
            <w:r w:rsidRPr="001A1836">
              <w:rPr>
                <w:sz w:val="20"/>
                <w:szCs w:val="24"/>
              </w:rPr>
              <w:t xml:space="preserve">Provider’s annual </w:t>
            </w:r>
            <w:r>
              <w:rPr>
                <w:sz w:val="20"/>
                <w:szCs w:val="24"/>
              </w:rPr>
              <w:t>A</w:t>
            </w:r>
            <w:r w:rsidRPr="001A1836">
              <w:rPr>
                <w:sz w:val="20"/>
                <w:szCs w:val="24"/>
              </w:rPr>
              <w:t xml:space="preserve">greed Operating Costs plus </w:t>
            </w:r>
            <w:r>
              <w:rPr>
                <w:sz w:val="20"/>
                <w:szCs w:val="24"/>
              </w:rPr>
              <w:t xml:space="preserve">Provider </w:t>
            </w:r>
            <w:r w:rsidRPr="001A1836">
              <w:rPr>
                <w:sz w:val="20"/>
                <w:szCs w:val="24"/>
              </w:rPr>
              <w:t>Profit</w:t>
            </w:r>
            <w:r>
              <w:rPr>
                <w:sz w:val="20"/>
                <w:szCs w:val="24"/>
              </w:rPr>
              <w:t xml:space="preserve"> for such Contract Year</w:t>
            </w:r>
            <w:r w:rsidRPr="001A1836">
              <w:rPr>
                <w:sz w:val="20"/>
                <w:szCs w:val="24"/>
              </w:rPr>
              <w:t>.</w:t>
            </w:r>
          </w:p>
        </w:tc>
      </w:tr>
      <w:tr w:rsidR="00B074CC" w:rsidRPr="001A1836" w14:paraId="0620DAC1" w14:textId="77777777" w:rsidTr="00626054">
        <w:tc>
          <w:tcPr>
            <w:tcW w:w="1951" w:type="dxa"/>
            <w:shd w:val="clear" w:color="auto" w:fill="auto"/>
          </w:tcPr>
          <w:p w14:paraId="019869FD" w14:textId="77777777" w:rsidR="00B074CC" w:rsidRPr="001A1836" w:rsidRDefault="00B074CC" w:rsidP="00626054">
            <w:pPr>
              <w:rPr>
                <w:sz w:val="20"/>
                <w:szCs w:val="24"/>
              </w:rPr>
            </w:pPr>
            <w:r w:rsidRPr="001A1836">
              <w:rPr>
                <w:sz w:val="20"/>
                <w:szCs w:val="24"/>
              </w:rPr>
              <w:t>Data capture</w:t>
            </w:r>
          </w:p>
        </w:tc>
        <w:tc>
          <w:tcPr>
            <w:tcW w:w="6577" w:type="dxa"/>
            <w:gridSpan w:val="2"/>
            <w:shd w:val="clear" w:color="auto" w:fill="auto"/>
          </w:tcPr>
          <w:p w14:paraId="4F26B4E6" w14:textId="1CE5C689" w:rsidR="00B074CC" w:rsidRPr="001A1836" w:rsidRDefault="00B074CC">
            <w:pPr>
              <w:numPr>
                <w:ilvl w:val="0"/>
                <w:numId w:val="22"/>
              </w:numPr>
              <w:rPr>
                <w:sz w:val="20"/>
                <w:szCs w:val="24"/>
              </w:rPr>
            </w:pPr>
            <w:r w:rsidRPr="001A1836">
              <w:rPr>
                <w:sz w:val="20"/>
                <w:szCs w:val="24"/>
              </w:rPr>
              <w:t>The number of</w:t>
            </w:r>
            <w:r w:rsidR="00616156">
              <w:rPr>
                <w:sz w:val="20"/>
                <w:szCs w:val="24"/>
              </w:rPr>
              <w:t xml:space="preserve"> </w:t>
            </w:r>
            <w:r w:rsidR="009F50C6">
              <w:rPr>
                <w:sz w:val="20"/>
                <w:szCs w:val="24"/>
              </w:rPr>
              <w:t>C</w:t>
            </w:r>
            <w:r w:rsidR="00616156">
              <w:rPr>
                <w:sz w:val="20"/>
                <w:szCs w:val="24"/>
              </w:rPr>
              <w:t xml:space="preserve">ompetency </w:t>
            </w:r>
            <w:r w:rsidR="009F50C6">
              <w:rPr>
                <w:sz w:val="20"/>
                <w:szCs w:val="24"/>
              </w:rPr>
              <w:t>C</w:t>
            </w:r>
            <w:r w:rsidR="00616156">
              <w:rPr>
                <w:sz w:val="20"/>
                <w:szCs w:val="24"/>
              </w:rPr>
              <w:t xml:space="preserve">hecks </w:t>
            </w:r>
            <w:r w:rsidRPr="001A1836">
              <w:rPr>
                <w:sz w:val="20"/>
                <w:szCs w:val="24"/>
              </w:rPr>
              <w:t xml:space="preserve">of unseen </w:t>
            </w:r>
            <w:r w:rsidR="00CA1B14" w:rsidRPr="001A1836">
              <w:rPr>
                <w:sz w:val="20"/>
                <w:szCs w:val="24"/>
              </w:rPr>
              <w:t>Registered B</w:t>
            </w:r>
            <w:r w:rsidRPr="001A1836">
              <w:rPr>
                <w:sz w:val="20"/>
                <w:szCs w:val="24"/>
              </w:rPr>
              <w:t xml:space="preserve">usinesses carried out in the </w:t>
            </w:r>
            <w:r w:rsidR="00EE33B5" w:rsidRPr="001A1836">
              <w:rPr>
                <w:sz w:val="20"/>
                <w:szCs w:val="24"/>
              </w:rPr>
              <w:t>C</w:t>
            </w:r>
            <w:r w:rsidRPr="001A1836">
              <w:rPr>
                <w:sz w:val="20"/>
                <w:szCs w:val="24"/>
              </w:rPr>
              <w:t xml:space="preserve">ontract </w:t>
            </w:r>
            <w:r w:rsidR="00EE33B5" w:rsidRPr="001A1836">
              <w:rPr>
                <w:sz w:val="20"/>
                <w:szCs w:val="24"/>
              </w:rPr>
              <w:t>Y</w:t>
            </w:r>
            <w:r w:rsidRPr="001A1836">
              <w:rPr>
                <w:sz w:val="20"/>
                <w:szCs w:val="24"/>
              </w:rPr>
              <w:t>ear</w:t>
            </w:r>
          </w:p>
          <w:p w14:paraId="1AF6B8EB" w14:textId="575FB4E5" w:rsidR="00B074CC" w:rsidRPr="001A1836" w:rsidRDefault="00B074CC" w:rsidP="00457CD0">
            <w:pPr>
              <w:numPr>
                <w:ilvl w:val="0"/>
                <w:numId w:val="22"/>
              </w:numPr>
              <w:rPr>
                <w:sz w:val="20"/>
                <w:szCs w:val="24"/>
              </w:rPr>
            </w:pPr>
            <w:r w:rsidRPr="001A1836">
              <w:rPr>
                <w:sz w:val="20"/>
                <w:szCs w:val="24"/>
              </w:rPr>
              <w:t xml:space="preserve">The number of </w:t>
            </w:r>
            <w:r w:rsidR="00CA1B14" w:rsidRPr="001A1836">
              <w:rPr>
                <w:sz w:val="20"/>
                <w:szCs w:val="24"/>
              </w:rPr>
              <w:t>Registered B</w:t>
            </w:r>
            <w:r w:rsidRPr="001A1836">
              <w:rPr>
                <w:sz w:val="20"/>
                <w:szCs w:val="24"/>
              </w:rPr>
              <w:t xml:space="preserve">usinesses that have not yet been seen since the start of the </w:t>
            </w:r>
            <w:r w:rsidR="00457CD0">
              <w:rPr>
                <w:sz w:val="20"/>
                <w:szCs w:val="24"/>
              </w:rPr>
              <w:t>Agreement</w:t>
            </w:r>
          </w:p>
        </w:tc>
      </w:tr>
      <w:tr w:rsidR="00B074CC" w:rsidRPr="001A1836" w14:paraId="6DFD8285" w14:textId="77777777" w:rsidTr="00626054">
        <w:tc>
          <w:tcPr>
            <w:tcW w:w="1951" w:type="dxa"/>
            <w:shd w:val="clear" w:color="auto" w:fill="auto"/>
          </w:tcPr>
          <w:p w14:paraId="3574C740" w14:textId="77777777" w:rsidR="00B074CC" w:rsidRPr="001A1836" w:rsidRDefault="00B074CC" w:rsidP="00626054">
            <w:pPr>
              <w:rPr>
                <w:sz w:val="20"/>
                <w:szCs w:val="24"/>
              </w:rPr>
            </w:pPr>
            <w:r w:rsidRPr="001A1836">
              <w:rPr>
                <w:sz w:val="20"/>
                <w:szCs w:val="24"/>
              </w:rPr>
              <w:t>Impact</w:t>
            </w:r>
          </w:p>
        </w:tc>
        <w:tc>
          <w:tcPr>
            <w:tcW w:w="6577" w:type="dxa"/>
            <w:gridSpan w:val="2"/>
            <w:shd w:val="clear" w:color="auto" w:fill="auto"/>
          </w:tcPr>
          <w:p w14:paraId="5C0CB15F" w14:textId="77777777" w:rsidR="00B074CC" w:rsidRPr="001A1836" w:rsidRDefault="00B074CC" w:rsidP="00626054">
            <w:pPr>
              <w:rPr>
                <w:sz w:val="20"/>
                <w:szCs w:val="24"/>
              </w:rPr>
            </w:pPr>
            <w:r w:rsidRPr="001A1836">
              <w:rPr>
                <w:sz w:val="20"/>
                <w:szCs w:val="24"/>
              </w:rPr>
              <w:t>Medium</w:t>
            </w:r>
          </w:p>
        </w:tc>
      </w:tr>
      <w:tr w:rsidR="00B074CC" w:rsidRPr="001A1836" w14:paraId="68F49073" w14:textId="77777777" w:rsidTr="00626054">
        <w:tc>
          <w:tcPr>
            <w:tcW w:w="1951" w:type="dxa"/>
            <w:shd w:val="clear" w:color="auto" w:fill="auto"/>
          </w:tcPr>
          <w:p w14:paraId="31850F92" w14:textId="77777777" w:rsidR="00B074CC" w:rsidRPr="001A1836" w:rsidRDefault="00B074CC" w:rsidP="00626054">
            <w:pPr>
              <w:rPr>
                <w:sz w:val="20"/>
                <w:szCs w:val="24"/>
              </w:rPr>
            </w:pPr>
            <w:r w:rsidRPr="001A1836">
              <w:rPr>
                <w:sz w:val="20"/>
                <w:szCs w:val="24"/>
              </w:rPr>
              <w:t>Criticality</w:t>
            </w:r>
          </w:p>
        </w:tc>
        <w:tc>
          <w:tcPr>
            <w:tcW w:w="6577" w:type="dxa"/>
            <w:gridSpan w:val="2"/>
            <w:shd w:val="clear" w:color="auto" w:fill="auto"/>
          </w:tcPr>
          <w:p w14:paraId="58B31334" w14:textId="77777777" w:rsidR="00B074CC" w:rsidRPr="001A1836" w:rsidRDefault="00B074CC" w:rsidP="00626054">
            <w:pPr>
              <w:rPr>
                <w:sz w:val="20"/>
                <w:szCs w:val="24"/>
              </w:rPr>
            </w:pPr>
            <w:r w:rsidRPr="001A1836">
              <w:rPr>
                <w:sz w:val="20"/>
                <w:szCs w:val="24"/>
              </w:rPr>
              <w:t>A</w:t>
            </w:r>
          </w:p>
        </w:tc>
      </w:tr>
      <w:tr w:rsidR="00B074CC" w:rsidRPr="001A1836" w14:paraId="2F06CB07" w14:textId="77777777" w:rsidTr="00626054">
        <w:tc>
          <w:tcPr>
            <w:tcW w:w="1951" w:type="dxa"/>
            <w:shd w:val="clear" w:color="auto" w:fill="auto"/>
          </w:tcPr>
          <w:p w14:paraId="09566E76" w14:textId="77777777" w:rsidR="00B074CC" w:rsidRPr="001A1836" w:rsidRDefault="00B074CC" w:rsidP="00626054">
            <w:pPr>
              <w:rPr>
                <w:sz w:val="20"/>
                <w:szCs w:val="24"/>
              </w:rPr>
            </w:pPr>
            <w:r w:rsidRPr="001A1836">
              <w:rPr>
                <w:sz w:val="20"/>
                <w:szCs w:val="24"/>
              </w:rPr>
              <w:t>Service Level Performance Measure</w:t>
            </w:r>
          </w:p>
        </w:tc>
        <w:tc>
          <w:tcPr>
            <w:tcW w:w="6577" w:type="dxa"/>
            <w:gridSpan w:val="2"/>
            <w:shd w:val="clear" w:color="auto" w:fill="auto"/>
          </w:tcPr>
          <w:p w14:paraId="47B6110C" w14:textId="63137DDD" w:rsidR="00B576EE" w:rsidRDefault="00B576EE" w:rsidP="00626054">
            <w:pPr>
              <w:rPr>
                <w:sz w:val="20"/>
                <w:szCs w:val="24"/>
              </w:rPr>
            </w:pPr>
            <w:r w:rsidRPr="00B576EE">
              <w:rPr>
                <w:sz w:val="20"/>
                <w:szCs w:val="24"/>
              </w:rPr>
              <w:t>Contract Year 1 – 98% of unseen Registered Businesses target met</w:t>
            </w:r>
          </w:p>
          <w:p w14:paraId="144E9C2C" w14:textId="77777777" w:rsidR="00B074CC" w:rsidRDefault="00B576EE" w:rsidP="00626054">
            <w:pPr>
              <w:rPr>
                <w:sz w:val="20"/>
                <w:szCs w:val="24"/>
              </w:rPr>
            </w:pPr>
            <w:r w:rsidRPr="00B576EE">
              <w:rPr>
                <w:sz w:val="20"/>
                <w:szCs w:val="24"/>
              </w:rPr>
              <w:t xml:space="preserve">Contract Years 2 to 5 - </w:t>
            </w:r>
            <w:r w:rsidR="00B074CC" w:rsidRPr="001A1836">
              <w:rPr>
                <w:sz w:val="20"/>
                <w:szCs w:val="24"/>
              </w:rPr>
              <w:t xml:space="preserve">100% of unseen </w:t>
            </w:r>
            <w:r w:rsidR="00CA1B14" w:rsidRPr="001A1836">
              <w:rPr>
                <w:sz w:val="20"/>
                <w:szCs w:val="24"/>
              </w:rPr>
              <w:t>Registered B</w:t>
            </w:r>
            <w:r w:rsidR="00B074CC" w:rsidRPr="001A1836">
              <w:rPr>
                <w:sz w:val="20"/>
                <w:szCs w:val="24"/>
              </w:rPr>
              <w:t xml:space="preserve">usinesses target met </w:t>
            </w:r>
          </w:p>
          <w:p w14:paraId="53D860CF" w14:textId="2D80AB24" w:rsidR="00B576EE" w:rsidRPr="001A1836" w:rsidRDefault="00B576EE" w:rsidP="00626054">
            <w:pPr>
              <w:rPr>
                <w:sz w:val="20"/>
                <w:szCs w:val="24"/>
              </w:rPr>
            </w:pPr>
            <w:r w:rsidRPr="00B576EE">
              <w:rPr>
                <w:sz w:val="20"/>
                <w:szCs w:val="24"/>
              </w:rPr>
              <w:t>Notwithstanding the reduction in target for Year 1, the Provider shall ensure all Registered Businesses are seen within the concession period in accordance with Schedule 1 paragraph 4.12 of this Agreement.</w:t>
            </w:r>
          </w:p>
        </w:tc>
      </w:tr>
      <w:tr w:rsidR="00B074CC" w:rsidRPr="001A1836" w14:paraId="3679E6E7" w14:textId="77777777" w:rsidTr="00626054">
        <w:tc>
          <w:tcPr>
            <w:tcW w:w="1951" w:type="dxa"/>
            <w:shd w:val="clear" w:color="auto" w:fill="auto"/>
          </w:tcPr>
          <w:p w14:paraId="32A79F9D" w14:textId="77777777" w:rsidR="00B074CC" w:rsidRPr="001A1836" w:rsidRDefault="00B074CC" w:rsidP="00626054">
            <w:pPr>
              <w:rPr>
                <w:sz w:val="20"/>
                <w:szCs w:val="24"/>
              </w:rPr>
            </w:pPr>
          </w:p>
        </w:tc>
        <w:tc>
          <w:tcPr>
            <w:tcW w:w="4678" w:type="dxa"/>
            <w:shd w:val="clear" w:color="auto" w:fill="auto"/>
          </w:tcPr>
          <w:p w14:paraId="63A31C3B" w14:textId="77777777" w:rsidR="00B074CC" w:rsidRPr="001A1836" w:rsidRDefault="00B074CC" w:rsidP="00626054">
            <w:pPr>
              <w:rPr>
                <w:b/>
                <w:sz w:val="20"/>
                <w:szCs w:val="24"/>
              </w:rPr>
            </w:pPr>
            <w:r w:rsidRPr="001A1836">
              <w:rPr>
                <w:b/>
                <w:sz w:val="20"/>
                <w:szCs w:val="24"/>
              </w:rPr>
              <w:t>Service Level Performance Measure</w:t>
            </w:r>
          </w:p>
        </w:tc>
        <w:tc>
          <w:tcPr>
            <w:tcW w:w="1899" w:type="dxa"/>
            <w:shd w:val="clear" w:color="auto" w:fill="auto"/>
          </w:tcPr>
          <w:p w14:paraId="037EE73E" w14:textId="77777777" w:rsidR="00B074CC" w:rsidRPr="001A1836" w:rsidRDefault="00B074CC" w:rsidP="00626054">
            <w:pPr>
              <w:rPr>
                <w:b/>
                <w:sz w:val="20"/>
                <w:szCs w:val="24"/>
              </w:rPr>
            </w:pPr>
            <w:r w:rsidRPr="001A1836">
              <w:rPr>
                <w:b/>
                <w:sz w:val="20"/>
                <w:szCs w:val="24"/>
              </w:rPr>
              <w:t>Service points</w:t>
            </w:r>
          </w:p>
        </w:tc>
      </w:tr>
      <w:tr w:rsidR="00B074CC" w:rsidRPr="001A1836" w14:paraId="0D05D93D" w14:textId="77777777" w:rsidTr="00626054">
        <w:tc>
          <w:tcPr>
            <w:tcW w:w="1951" w:type="dxa"/>
            <w:shd w:val="clear" w:color="auto" w:fill="auto"/>
          </w:tcPr>
          <w:p w14:paraId="7D9BFA4A" w14:textId="1ACDEFB6" w:rsidR="00B074CC" w:rsidRPr="001A1836" w:rsidRDefault="00B074CC" w:rsidP="00626054">
            <w:pPr>
              <w:rPr>
                <w:sz w:val="20"/>
                <w:szCs w:val="24"/>
              </w:rPr>
            </w:pPr>
            <w:r w:rsidRPr="001A1836">
              <w:rPr>
                <w:sz w:val="20"/>
                <w:szCs w:val="24"/>
              </w:rPr>
              <w:t xml:space="preserve">Service </w:t>
            </w:r>
            <w:r w:rsidR="00747264" w:rsidRPr="001A1836">
              <w:rPr>
                <w:sz w:val="20"/>
                <w:szCs w:val="24"/>
              </w:rPr>
              <w:t>L</w:t>
            </w:r>
            <w:r w:rsidRPr="001A1836">
              <w:rPr>
                <w:sz w:val="20"/>
                <w:szCs w:val="24"/>
              </w:rPr>
              <w:t>evel met</w:t>
            </w:r>
          </w:p>
        </w:tc>
        <w:tc>
          <w:tcPr>
            <w:tcW w:w="4678" w:type="dxa"/>
            <w:shd w:val="clear" w:color="auto" w:fill="auto"/>
          </w:tcPr>
          <w:p w14:paraId="674D7A2F" w14:textId="379B03AB" w:rsidR="00B576EE" w:rsidRDefault="00B576EE" w:rsidP="00626054">
            <w:pPr>
              <w:rPr>
                <w:sz w:val="20"/>
                <w:szCs w:val="24"/>
              </w:rPr>
            </w:pPr>
            <w:r w:rsidRPr="00B576EE">
              <w:rPr>
                <w:sz w:val="20"/>
                <w:szCs w:val="24"/>
              </w:rPr>
              <w:t>Contract Year 1 – 98%</w:t>
            </w:r>
          </w:p>
          <w:p w14:paraId="63DDE8EF" w14:textId="24017761" w:rsidR="00B074CC" w:rsidRPr="001A1836" w:rsidRDefault="00B576EE" w:rsidP="00626054">
            <w:pPr>
              <w:rPr>
                <w:sz w:val="20"/>
                <w:szCs w:val="24"/>
              </w:rPr>
            </w:pPr>
            <w:r w:rsidRPr="00B576EE">
              <w:rPr>
                <w:sz w:val="20"/>
                <w:szCs w:val="24"/>
              </w:rPr>
              <w:t xml:space="preserve">Contract Years 2 to 5 - </w:t>
            </w:r>
            <w:r w:rsidR="00B074CC" w:rsidRPr="001A1836">
              <w:rPr>
                <w:sz w:val="20"/>
                <w:szCs w:val="24"/>
              </w:rPr>
              <w:t xml:space="preserve">100% </w:t>
            </w:r>
          </w:p>
        </w:tc>
        <w:tc>
          <w:tcPr>
            <w:tcW w:w="1899" w:type="dxa"/>
            <w:shd w:val="clear" w:color="auto" w:fill="auto"/>
          </w:tcPr>
          <w:p w14:paraId="533E02FF" w14:textId="77777777" w:rsidR="00B074CC" w:rsidRPr="001A1836" w:rsidRDefault="00B074CC" w:rsidP="00626054">
            <w:pPr>
              <w:rPr>
                <w:sz w:val="20"/>
                <w:szCs w:val="24"/>
              </w:rPr>
            </w:pPr>
            <w:r w:rsidRPr="001A1836">
              <w:rPr>
                <w:sz w:val="20"/>
                <w:szCs w:val="24"/>
              </w:rPr>
              <w:t>0</w:t>
            </w:r>
          </w:p>
        </w:tc>
      </w:tr>
      <w:tr w:rsidR="00B074CC" w:rsidRPr="001A1836" w14:paraId="2C8B6DFE" w14:textId="77777777" w:rsidTr="00626054">
        <w:tc>
          <w:tcPr>
            <w:tcW w:w="1951" w:type="dxa"/>
            <w:shd w:val="clear" w:color="auto" w:fill="auto"/>
          </w:tcPr>
          <w:p w14:paraId="346BC284" w14:textId="77777777" w:rsidR="00B074CC" w:rsidRPr="001A1836" w:rsidRDefault="00B074CC" w:rsidP="00626054">
            <w:pPr>
              <w:rPr>
                <w:sz w:val="20"/>
                <w:szCs w:val="24"/>
              </w:rPr>
            </w:pPr>
            <w:r w:rsidRPr="001A1836">
              <w:rPr>
                <w:sz w:val="20"/>
                <w:szCs w:val="24"/>
              </w:rPr>
              <w:t>Minor Service Level Failure</w:t>
            </w:r>
          </w:p>
        </w:tc>
        <w:tc>
          <w:tcPr>
            <w:tcW w:w="4678" w:type="dxa"/>
            <w:shd w:val="clear" w:color="auto" w:fill="auto"/>
          </w:tcPr>
          <w:p w14:paraId="66524344" w14:textId="1F34EA60" w:rsidR="00B576EE" w:rsidRDefault="00B576EE" w:rsidP="00626054">
            <w:pPr>
              <w:rPr>
                <w:sz w:val="20"/>
                <w:szCs w:val="24"/>
              </w:rPr>
            </w:pPr>
            <w:r w:rsidRPr="00B576EE">
              <w:rPr>
                <w:sz w:val="20"/>
                <w:szCs w:val="24"/>
              </w:rPr>
              <w:t>Contract Year 1 – Less than 98% but greater than 96%</w:t>
            </w:r>
          </w:p>
          <w:p w14:paraId="25121520" w14:textId="23ECD148" w:rsidR="00B074CC" w:rsidRPr="001A1836" w:rsidRDefault="00B576EE" w:rsidP="00626054">
            <w:pPr>
              <w:rPr>
                <w:sz w:val="20"/>
                <w:szCs w:val="24"/>
              </w:rPr>
            </w:pPr>
            <w:r w:rsidRPr="00B576EE">
              <w:rPr>
                <w:sz w:val="20"/>
                <w:szCs w:val="24"/>
              </w:rPr>
              <w:lastRenderedPageBreak/>
              <w:t xml:space="preserve">Contract Years 2 to 5 - </w:t>
            </w:r>
            <w:r w:rsidR="00B074CC" w:rsidRPr="001A1836">
              <w:rPr>
                <w:sz w:val="20"/>
                <w:szCs w:val="24"/>
              </w:rPr>
              <w:t>Less than 100% but greater than 98%</w:t>
            </w:r>
          </w:p>
        </w:tc>
        <w:tc>
          <w:tcPr>
            <w:tcW w:w="1899" w:type="dxa"/>
            <w:shd w:val="clear" w:color="auto" w:fill="auto"/>
          </w:tcPr>
          <w:p w14:paraId="41C137EE" w14:textId="77777777" w:rsidR="00B074CC" w:rsidRPr="001A1836" w:rsidRDefault="00B074CC" w:rsidP="00626054">
            <w:pPr>
              <w:rPr>
                <w:sz w:val="20"/>
                <w:szCs w:val="24"/>
              </w:rPr>
            </w:pPr>
            <w:r w:rsidRPr="001A1836">
              <w:rPr>
                <w:sz w:val="20"/>
                <w:szCs w:val="24"/>
              </w:rPr>
              <w:lastRenderedPageBreak/>
              <w:t>3.0</w:t>
            </w:r>
          </w:p>
        </w:tc>
      </w:tr>
      <w:tr w:rsidR="00B074CC" w:rsidRPr="001A1836" w14:paraId="6B72A110" w14:textId="77777777" w:rsidTr="00626054">
        <w:tc>
          <w:tcPr>
            <w:tcW w:w="1951" w:type="dxa"/>
            <w:shd w:val="clear" w:color="auto" w:fill="auto"/>
          </w:tcPr>
          <w:p w14:paraId="7C077C84" w14:textId="77777777" w:rsidR="00B074CC" w:rsidRPr="001A1836" w:rsidRDefault="00B074CC" w:rsidP="00626054">
            <w:pPr>
              <w:rPr>
                <w:sz w:val="20"/>
                <w:szCs w:val="24"/>
              </w:rPr>
            </w:pPr>
            <w:r w:rsidRPr="001A1836">
              <w:rPr>
                <w:sz w:val="20"/>
                <w:szCs w:val="24"/>
              </w:rPr>
              <w:t>Moderate Service Level Failure</w:t>
            </w:r>
          </w:p>
        </w:tc>
        <w:tc>
          <w:tcPr>
            <w:tcW w:w="4678" w:type="dxa"/>
            <w:shd w:val="clear" w:color="auto" w:fill="auto"/>
          </w:tcPr>
          <w:p w14:paraId="749CBAB4" w14:textId="066ABE76" w:rsidR="00B576EE" w:rsidRDefault="00B576EE" w:rsidP="00626054">
            <w:pPr>
              <w:rPr>
                <w:sz w:val="20"/>
                <w:szCs w:val="24"/>
              </w:rPr>
            </w:pPr>
            <w:r w:rsidRPr="00B576EE">
              <w:rPr>
                <w:sz w:val="20"/>
                <w:szCs w:val="24"/>
              </w:rPr>
              <w:t>Contract Year 1 – Between 96% and 93%</w:t>
            </w:r>
          </w:p>
          <w:p w14:paraId="4640CC96" w14:textId="508760E3" w:rsidR="00B074CC" w:rsidRPr="001A1836" w:rsidRDefault="00B576EE" w:rsidP="00626054">
            <w:pPr>
              <w:rPr>
                <w:sz w:val="20"/>
                <w:szCs w:val="24"/>
              </w:rPr>
            </w:pPr>
            <w:r w:rsidRPr="00B576EE">
              <w:rPr>
                <w:sz w:val="20"/>
                <w:szCs w:val="24"/>
              </w:rPr>
              <w:t xml:space="preserve">Contract Years 2 to 5 - </w:t>
            </w:r>
            <w:r w:rsidR="00B074CC" w:rsidRPr="001A1836">
              <w:rPr>
                <w:sz w:val="20"/>
                <w:szCs w:val="24"/>
              </w:rPr>
              <w:t>Between 98% and 95% inclusive</w:t>
            </w:r>
          </w:p>
        </w:tc>
        <w:tc>
          <w:tcPr>
            <w:tcW w:w="1899" w:type="dxa"/>
            <w:shd w:val="clear" w:color="auto" w:fill="auto"/>
          </w:tcPr>
          <w:p w14:paraId="3EF5816A" w14:textId="77777777" w:rsidR="00B074CC" w:rsidRPr="001A1836" w:rsidRDefault="00B074CC" w:rsidP="00626054">
            <w:pPr>
              <w:rPr>
                <w:sz w:val="20"/>
                <w:szCs w:val="24"/>
              </w:rPr>
            </w:pPr>
            <w:r w:rsidRPr="001A1836">
              <w:rPr>
                <w:sz w:val="20"/>
                <w:szCs w:val="24"/>
              </w:rPr>
              <w:t>6.0</w:t>
            </w:r>
          </w:p>
        </w:tc>
      </w:tr>
      <w:tr w:rsidR="00B074CC" w:rsidRPr="001A1836" w14:paraId="3D336041" w14:textId="77777777" w:rsidTr="00626054">
        <w:tc>
          <w:tcPr>
            <w:tcW w:w="1951" w:type="dxa"/>
            <w:shd w:val="clear" w:color="auto" w:fill="auto"/>
          </w:tcPr>
          <w:p w14:paraId="2799CFAF" w14:textId="77777777" w:rsidR="00B074CC" w:rsidRPr="001A1836" w:rsidRDefault="00B074CC" w:rsidP="00626054">
            <w:pPr>
              <w:rPr>
                <w:sz w:val="20"/>
                <w:szCs w:val="24"/>
              </w:rPr>
            </w:pPr>
            <w:r w:rsidRPr="001A1836">
              <w:rPr>
                <w:sz w:val="20"/>
                <w:szCs w:val="24"/>
              </w:rPr>
              <w:t>Major Service Level Failure</w:t>
            </w:r>
          </w:p>
        </w:tc>
        <w:tc>
          <w:tcPr>
            <w:tcW w:w="4678" w:type="dxa"/>
            <w:shd w:val="clear" w:color="auto" w:fill="auto"/>
          </w:tcPr>
          <w:p w14:paraId="21B0856E" w14:textId="2DD451BA" w:rsidR="00B576EE" w:rsidRDefault="00B576EE" w:rsidP="00626054">
            <w:pPr>
              <w:rPr>
                <w:sz w:val="20"/>
                <w:szCs w:val="24"/>
              </w:rPr>
            </w:pPr>
            <w:r w:rsidRPr="00B576EE">
              <w:rPr>
                <w:sz w:val="20"/>
                <w:szCs w:val="24"/>
              </w:rPr>
              <w:t>Contract Year 1 – Less than 93%</w:t>
            </w:r>
          </w:p>
          <w:p w14:paraId="52C14391" w14:textId="399BA1AA" w:rsidR="00B074CC" w:rsidRPr="001A1836" w:rsidRDefault="00B576EE" w:rsidP="00626054">
            <w:pPr>
              <w:rPr>
                <w:sz w:val="20"/>
                <w:szCs w:val="24"/>
              </w:rPr>
            </w:pPr>
            <w:r w:rsidRPr="00B576EE">
              <w:rPr>
                <w:sz w:val="20"/>
                <w:szCs w:val="24"/>
              </w:rPr>
              <w:t xml:space="preserve">Contract Years 2 to 5 - </w:t>
            </w:r>
            <w:r w:rsidR="00B074CC" w:rsidRPr="001A1836">
              <w:rPr>
                <w:sz w:val="20"/>
                <w:szCs w:val="24"/>
              </w:rPr>
              <w:t>Less than 95%</w:t>
            </w:r>
          </w:p>
        </w:tc>
        <w:tc>
          <w:tcPr>
            <w:tcW w:w="1899" w:type="dxa"/>
            <w:shd w:val="clear" w:color="auto" w:fill="auto"/>
          </w:tcPr>
          <w:p w14:paraId="5B49E718" w14:textId="77777777" w:rsidR="00B074CC" w:rsidRPr="001A1836" w:rsidRDefault="00B074CC" w:rsidP="00626054">
            <w:pPr>
              <w:rPr>
                <w:sz w:val="20"/>
                <w:szCs w:val="24"/>
              </w:rPr>
            </w:pPr>
            <w:r w:rsidRPr="001A1836">
              <w:rPr>
                <w:sz w:val="20"/>
                <w:szCs w:val="24"/>
              </w:rPr>
              <w:t>9.0</w:t>
            </w:r>
          </w:p>
        </w:tc>
      </w:tr>
    </w:tbl>
    <w:p w14:paraId="770083F6" w14:textId="77777777" w:rsidR="00B074CC" w:rsidRPr="001A1836" w:rsidRDefault="00B074CC" w:rsidP="00626054">
      <w:pPr>
        <w:spacing w:after="0"/>
        <w:rPr>
          <w:sz w:val="20"/>
          <w:szCs w:val="24"/>
        </w:rPr>
      </w:pPr>
    </w:p>
    <w:p w14:paraId="69D37936" w14:textId="77777777" w:rsidR="00B074CC" w:rsidRPr="001A1836" w:rsidRDefault="00B074CC" w:rsidP="00626054">
      <w:pPr>
        <w:spacing w:after="0"/>
        <w:rPr>
          <w:sz w:val="20"/>
          <w:szCs w:val="24"/>
        </w:rPr>
      </w:pPr>
    </w:p>
    <w:p w14:paraId="70DE0EC4" w14:textId="77777777" w:rsidR="00B074CC" w:rsidRPr="001A1836" w:rsidRDefault="00B074CC">
      <w:pPr>
        <w:spacing w:after="0"/>
        <w:rPr>
          <w:sz w:val="20"/>
          <w:szCs w:val="24"/>
        </w:rPr>
      </w:pPr>
      <w:r w:rsidRPr="001A1836">
        <w:rPr>
          <w:sz w:val="20"/>
          <w:szCs w:val="24"/>
        </w:rPr>
        <w:br w:type="page"/>
      </w:r>
    </w:p>
    <w:p w14:paraId="11E9629A" w14:textId="77777777" w:rsidR="00B074CC" w:rsidRPr="001A1836" w:rsidRDefault="00B074CC" w:rsidP="00626054">
      <w:pPr>
        <w:spacing w:after="0"/>
        <w:rPr>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4678"/>
        <w:gridCol w:w="1899"/>
      </w:tblGrid>
      <w:tr w:rsidR="00B074CC" w:rsidRPr="001A1836" w14:paraId="7C5B23BC" w14:textId="77777777" w:rsidTr="00B4557D">
        <w:trPr>
          <w:cantSplit/>
          <w:tblHeader/>
        </w:trPr>
        <w:tc>
          <w:tcPr>
            <w:tcW w:w="1951" w:type="dxa"/>
            <w:shd w:val="clear" w:color="auto" w:fill="auto"/>
          </w:tcPr>
          <w:p w14:paraId="417868EA" w14:textId="77777777" w:rsidR="00B074CC" w:rsidRPr="001A1836" w:rsidRDefault="00B074CC" w:rsidP="00626054">
            <w:pPr>
              <w:rPr>
                <w:b/>
                <w:szCs w:val="24"/>
              </w:rPr>
            </w:pPr>
            <w:r w:rsidRPr="001A1836">
              <w:rPr>
                <w:b/>
                <w:szCs w:val="24"/>
              </w:rPr>
              <w:t>SL03</w:t>
            </w:r>
          </w:p>
        </w:tc>
        <w:tc>
          <w:tcPr>
            <w:tcW w:w="6577" w:type="dxa"/>
            <w:gridSpan w:val="2"/>
            <w:shd w:val="clear" w:color="auto" w:fill="auto"/>
          </w:tcPr>
          <w:p w14:paraId="435DB0F9" w14:textId="66AFE10F" w:rsidR="00B074CC" w:rsidRPr="001A1836" w:rsidRDefault="00B074CC" w:rsidP="00626054">
            <w:pPr>
              <w:rPr>
                <w:b/>
                <w:szCs w:val="24"/>
              </w:rPr>
            </w:pPr>
            <w:r w:rsidRPr="001A1836">
              <w:rPr>
                <w:b/>
                <w:szCs w:val="24"/>
              </w:rPr>
              <w:t xml:space="preserve">% of </w:t>
            </w:r>
            <w:r w:rsidR="00014AE9">
              <w:rPr>
                <w:b/>
                <w:szCs w:val="24"/>
              </w:rPr>
              <w:t>C</w:t>
            </w:r>
            <w:r w:rsidRPr="001A1836">
              <w:rPr>
                <w:b/>
                <w:szCs w:val="24"/>
              </w:rPr>
              <w:t xml:space="preserve">omplaint </w:t>
            </w:r>
            <w:r w:rsidR="00014AE9">
              <w:rPr>
                <w:b/>
                <w:szCs w:val="24"/>
              </w:rPr>
              <w:t xml:space="preserve">Inspection </w:t>
            </w:r>
            <w:r w:rsidRPr="001A1836">
              <w:rPr>
                <w:b/>
                <w:szCs w:val="24"/>
              </w:rPr>
              <w:t xml:space="preserve">visits carried out within 10 Working Days of complaint being received </w:t>
            </w:r>
          </w:p>
        </w:tc>
      </w:tr>
      <w:tr w:rsidR="00B074CC" w:rsidRPr="001A1836" w14:paraId="23C8ED22" w14:textId="77777777" w:rsidTr="00626054">
        <w:trPr>
          <w:cantSplit/>
        </w:trPr>
        <w:tc>
          <w:tcPr>
            <w:tcW w:w="1951" w:type="dxa"/>
            <w:shd w:val="clear" w:color="auto" w:fill="auto"/>
          </w:tcPr>
          <w:p w14:paraId="4F76D6FC" w14:textId="5057D725" w:rsidR="00B074CC" w:rsidRPr="001A1836" w:rsidRDefault="00B074CC" w:rsidP="00626054">
            <w:pPr>
              <w:rPr>
                <w:sz w:val="20"/>
                <w:szCs w:val="24"/>
              </w:rPr>
            </w:pPr>
            <w:r w:rsidRPr="001A1836">
              <w:rPr>
                <w:sz w:val="20"/>
                <w:szCs w:val="24"/>
              </w:rPr>
              <w:t xml:space="preserve">Service </w:t>
            </w:r>
            <w:r w:rsidR="00747264" w:rsidRPr="001A1836">
              <w:rPr>
                <w:sz w:val="20"/>
                <w:szCs w:val="24"/>
              </w:rPr>
              <w:t>L</w:t>
            </w:r>
            <w:r w:rsidRPr="001A1836">
              <w:rPr>
                <w:sz w:val="20"/>
                <w:szCs w:val="24"/>
              </w:rPr>
              <w:t>evel description</w:t>
            </w:r>
          </w:p>
        </w:tc>
        <w:tc>
          <w:tcPr>
            <w:tcW w:w="6577" w:type="dxa"/>
            <w:gridSpan w:val="2"/>
            <w:shd w:val="clear" w:color="auto" w:fill="auto"/>
          </w:tcPr>
          <w:p w14:paraId="1D226CC6" w14:textId="20A1E2B2" w:rsidR="00B074CC" w:rsidRPr="001A1836" w:rsidRDefault="00B074CC" w:rsidP="00626054">
            <w:pPr>
              <w:rPr>
                <w:sz w:val="20"/>
                <w:szCs w:val="24"/>
              </w:rPr>
            </w:pPr>
            <w:r w:rsidRPr="001A1836">
              <w:rPr>
                <w:sz w:val="20"/>
                <w:szCs w:val="24"/>
              </w:rPr>
              <w:t xml:space="preserve">All complaints against Registered Businesses should be offered an </w:t>
            </w:r>
            <w:r w:rsidR="00014AE9">
              <w:rPr>
                <w:sz w:val="20"/>
                <w:szCs w:val="24"/>
              </w:rPr>
              <w:t xml:space="preserve">Complaint </w:t>
            </w:r>
            <w:r w:rsidR="00920135">
              <w:rPr>
                <w:sz w:val="20"/>
                <w:szCs w:val="24"/>
              </w:rPr>
              <w:t>I</w:t>
            </w:r>
            <w:r w:rsidRPr="001A1836">
              <w:rPr>
                <w:sz w:val="20"/>
                <w:szCs w:val="24"/>
              </w:rPr>
              <w:t xml:space="preserve">nspection visit. Where a visit is accepted by the complainant, the site should be visited within 10 Working Days. </w:t>
            </w:r>
          </w:p>
          <w:p w14:paraId="4CB398A2" w14:textId="7F86823D" w:rsidR="00B074CC" w:rsidRPr="001A1836" w:rsidRDefault="00B074CC" w:rsidP="00626054">
            <w:pPr>
              <w:rPr>
                <w:sz w:val="20"/>
                <w:szCs w:val="24"/>
              </w:rPr>
            </w:pPr>
            <w:r w:rsidRPr="001A1836">
              <w:rPr>
                <w:sz w:val="20"/>
                <w:szCs w:val="24"/>
              </w:rPr>
              <w:t xml:space="preserve">The Service Level is the number of complaint visits carried out within 10 Working Days of a complaint against a Registered Business being logged, expressed as a percentage of the total number of complaints against </w:t>
            </w:r>
            <w:r w:rsidR="00747264" w:rsidRPr="001A1836">
              <w:rPr>
                <w:sz w:val="20"/>
                <w:szCs w:val="24"/>
              </w:rPr>
              <w:t>R</w:t>
            </w:r>
            <w:r w:rsidRPr="001A1836">
              <w:rPr>
                <w:sz w:val="20"/>
                <w:szCs w:val="24"/>
              </w:rPr>
              <w:t xml:space="preserve">egistered </w:t>
            </w:r>
            <w:r w:rsidR="00747264" w:rsidRPr="001A1836">
              <w:rPr>
                <w:sz w:val="20"/>
                <w:szCs w:val="24"/>
              </w:rPr>
              <w:t>B</w:t>
            </w:r>
            <w:r w:rsidRPr="001A1836">
              <w:rPr>
                <w:sz w:val="20"/>
                <w:szCs w:val="24"/>
              </w:rPr>
              <w:t xml:space="preserve">usinesses received where a </w:t>
            </w:r>
            <w:r w:rsidR="00014AE9">
              <w:rPr>
                <w:sz w:val="20"/>
                <w:szCs w:val="24"/>
              </w:rPr>
              <w:t xml:space="preserve">Complaint </w:t>
            </w:r>
            <w:r w:rsidR="00920135">
              <w:rPr>
                <w:sz w:val="20"/>
                <w:szCs w:val="24"/>
              </w:rPr>
              <w:t>I</w:t>
            </w:r>
            <w:r w:rsidRPr="001A1836">
              <w:rPr>
                <w:sz w:val="20"/>
                <w:szCs w:val="24"/>
              </w:rPr>
              <w:t>nspection visit is accepted.</w:t>
            </w:r>
          </w:p>
          <w:p w14:paraId="20F35B3E" w14:textId="57379E26" w:rsidR="00B074CC" w:rsidRPr="001A1836" w:rsidRDefault="00B074CC" w:rsidP="00626054">
            <w:pPr>
              <w:rPr>
                <w:sz w:val="20"/>
                <w:szCs w:val="24"/>
              </w:rPr>
            </w:pPr>
            <w:r w:rsidRPr="001A1836">
              <w:rPr>
                <w:sz w:val="20"/>
                <w:szCs w:val="24"/>
              </w:rPr>
              <w:t>For the purpose of this Service Level, a visit is counted as carried out when the Provider visits the relevant property</w:t>
            </w:r>
            <w:r w:rsidR="00091266" w:rsidRPr="001A1836">
              <w:rPr>
                <w:sz w:val="20"/>
                <w:szCs w:val="24"/>
              </w:rPr>
              <w:t xml:space="preserve"> at the date and time agreed with the complainant</w:t>
            </w:r>
            <w:r w:rsidRPr="001A1836">
              <w:rPr>
                <w:sz w:val="20"/>
                <w:szCs w:val="24"/>
              </w:rPr>
              <w:t xml:space="preserve">, including each occasion where the complainant, their representative or another responsible person is not available. A failed </w:t>
            </w:r>
            <w:r w:rsidR="00014AE9">
              <w:rPr>
                <w:sz w:val="20"/>
                <w:szCs w:val="24"/>
              </w:rPr>
              <w:t>C</w:t>
            </w:r>
            <w:r w:rsidRPr="001A1836">
              <w:rPr>
                <w:sz w:val="20"/>
                <w:szCs w:val="24"/>
              </w:rPr>
              <w:t xml:space="preserve">omplaint </w:t>
            </w:r>
            <w:r w:rsidR="00014AE9">
              <w:rPr>
                <w:sz w:val="20"/>
                <w:szCs w:val="24"/>
              </w:rPr>
              <w:t xml:space="preserve">Inspection </w:t>
            </w:r>
            <w:r w:rsidRPr="001A1836">
              <w:rPr>
                <w:sz w:val="20"/>
                <w:szCs w:val="24"/>
              </w:rPr>
              <w:t xml:space="preserve">visit does not count towards the </w:t>
            </w:r>
            <w:r w:rsidR="00920135">
              <w:rPr>
                <w:sz w:val="20"/>
                <w:szCs w:val="24"/>
              </w:rPr>
              <w:t>I</w:t>
            </w:r>
            <w:r w:rsidRPr="001A1836">
              <w:rPr>
                <w:sz w:val="20"/>
                <w:szCs w:val="24"/>
              </w:rPr>
              <w:t>nspection target</w:t>
            </w:r>
            <w:r w:rsidR="006C719C" w:rsidRPr="001A1836">
              <w:rPr>
                <w:sz w:val="20"/>
                <w:szCs w:val="24"/>
              </w:rPr>
              <w:t xml:space="preserve"> in SL01</w:t>
            </w:r>
            <w:r w:rsidRPr="001A1836">
              <w:rPr>
                <w:sz w:val="20"/>
                <w:szCs w:val="24"/>
              </w:rPr>
              <w:t>.</w:t>
            </w:r>
          </w:p>
          <w:p w14:paraId="33000B94" w14:textId="0361A64F" w:rsidR="00B074CC" w:rsidRPr="001A1836" w:rsidRDefault="00B074CC" w:rsidP="00626054">
            <w:pPr>
              <w:rPr>
                <w:sz w:val="20"/>
                <w:szCs w:val="24"/>
              </w:rPr>
            </w:pPr>
            <w:r w:rsidRPr="001A1836">
              <w:rPr>
                <w:sz w:val="20"/>
                <w:szCs w:val="24"/>
              </w:rPr>
              <w:t>A request is counted as received when a phone call is taken</w:t>
            </w:r>
            <w:r w:rsidR="00747264" w:rsidRPr="001A1836">
              <w:rPr>
                <w:sz w:val="20"/>
                <w:szCs w:val="24"/>
              </w:rPr>
              <w:t>,</w:t>
            </w:r>
            <w:r w:rsidRPr="001A1836">
              <w:rPr>
                <w:sz w:val="20"/>
                <w:szCs w:val="24"/>
              </w:rPr>
              <w:t xml:space="preserve"> or letter or email received during service hours. Where a </w:t>
            </w:r>
            <w:r w:rsidR="00014AE9">
              <w:rPr>
                <w:sz w:val="20"/>
                <w:szCs w:val="24"/>
              </w:rPr>
              <w:t xml:space="preserve">Complaint Inspection </w:t>
            </w:r>
            <w:r w:rsidRPr="001A1836">
              <w:rPr>
                <w:sz w:val="20"/>
                <w:szCs w:val="24"/>
              </w:rPr>
              <w:t xml:space="preserve">visit is cancelled by the customer or attending </w:t>
            </w:r>
            <w:r w:rsidR="00747264" w:rsidRPr="001A1836">
              <w:rPr>
                <w:sz w:val="20"/>
                <w:szCs w:val="24"/>
              </w:rPr>
              <w:t>Registered B</w:t>
            </w:r>
            <w:r w:rsidRPr="001A1836">
              <w:rPr>
                <w:sz w:val="20"/>
                <w:szCs w:val="24"/>
              </w:rPr>
              <w:t>usiness, the visit must be rescheduled within the next 10 Working Days.</w:t>
            </w:r>
          </w:p>
        </w:tc>
      </w:tr>
      <w:tr w:rsidR="00B074CC" w:rsidRPr="001A1836" w14:paraId="0AF2C3A1" w14:textId="77777777" w:rsidTr="00626054">
        <w:trPr>
          <w:cantSplit/>
        </w:trPr>
        <w:tc>
          <w:tcPr>
            <w:tcW w:w="1951" w:type="dxa"/>
            <w:shd w:val="clear" w:color="auto" w:fill="auto"/>
          </w:tcPr>
          <w:p w14:paraId="6E3DE5F3" w14:textId="24A57942" w:rsidR="00B074CC" w:rsidRPr="001A1836" w:rsidRDefault="00B074CC" w:rsidP="00626054">
            <w:pPr>
              <w:rPr>
                <w:sz w:val="20"/>
                <w:szCs w:val="24"/>
              </w:rPr>
            </w:pPr>
            <w:r w:rsidRPr="001A1836">
              <w:rPr>
                <w:sz w:val="20"/>
                <w:szCs w:val="24"/>
              </w:rPr>
              <w:t xml:space="preserve">Service </w:t>
            </w:r>
            <w:r w:rsidR="00747264" w:rsidRPr="001A1836">
              <w:rPr>
                <w:sz w:val="20"/>
                <w:szCs w:val="24"/>
              </w:rPr>
              <w:t>L</w:t>
            </w:r>
            <w:r w:rsidRPr="001A1836">
              <w:rPr>
                <w:sz w:val="20"/>
                <w:szCs w:val="24"/>
              </w:rPr>
              <w:t>evel calculation</w:t>
            </w:r>
          </w:p>
        </w:tc>
        <w:tc>
          <w:tcPr>
            <w:tcW w:w="6577" w:type="dxa"/>
            <w:gridSpan w:val="2"/>
            <w:shd w:val="clear" w:color="auto" w:fill="auto"/>
          </w:tcPr>
          <w:p w14:paraId="57AB88BF" w14:textId="77777777" w:rsidR="00B074CC" w:rsidRPr="001A1836" w:rsidRDefault="00B074CC" w:rsidP="00626054">
            <w:pPr>
              <w:rPr>
                <w:sz w:val="20"/>
                <w:szCs w:val="24"/>
              </w:rPr>
            </w:pPr>
            <w:r w:rsidRPr="001A1836">
              <w:rPr>
                <w:sz w:val="20"/>
                <w:szCs w:val="24"/>
              </w:rPr>
              <w:t>A / B x 100</w:t>
            </w:r>
          </w:p>
          <w:p w14:paraId="6AA9EFC2" w14:textId="77777777" w:rsidR="00B074CC" w:rsidRPr="001A1836" w:rsidRDefault="00B074CC" w:rsidP="00626054">
            <w:pPr>
              <w:rPr>
                <w:sz w:val="20"/>
                <w:szCs w:val="24"/>
              </w:rPr>
            </w:pPr>
          </w:p>
          <w:p w14:paraId="145FE6A8" w14:textId="77777777" w:rsidR="00B074CC" w:rsidRPr="001A1836" w:rsidRDefault="00B074CC" w:rsidP="00626054">
            <w:pPr>
              <w:rPr>
                <w:sz w:val="20"/>
                <w:szCs w:val="24"/>
              </w:rPr>
            </w:pPr>
            <w:r w:rsidRPr="001A1836">
              <w:rPr>
                <w:sz w:val="20"/>
                <w:szCs w:val="24"/>
              </w:rPr>
              <w:t>Where:</w:t>
            </w:r>
          </w:p>
          <w:p w14:paraId="3E207434" w14:textId="7B29A57A" w:rsidR="00B074CC" w:rsidRPr="001A1836" w:rsidRDefault="00B074CC" w:rsidP="00626054">
            <w:pPr>
              <w:rPr>
                <w:sz w:val="20"/>
                <w:szCs w:val="24"/>
              </w:rPr>
            </w:pPr>
            <w:r w:rsidRPr="001A1836">
              <w:rPr>
                <w:sz w:val="20"/>
                <w:szCs w:val="24"/>
              </w:rPr>
              <w:t xml:space="preserve">A = The number of complaints visited within 10 Working Days </w:t>
            </w:r>
          </w:p>
          <w:p w14:paraId="7E16B911" w14:textId="0D01DDAF" w:rsidR="00B074CC" w:rsidRPr="001A1836" w:rsidRDefault="00B074CC" w:rsidP="00626054">
            <w:pPr>
              <w:rPr>
                <w:sz w:val="20"/>
                <w:szCs w:val="24"/>
              </w:rPr>
            </w:pPr>
            <w:r w:rsidRPr="001A1836">
              <w:rPr>
                <w:sz w:val="20"/>
                <w:szCs w:val="24"/>
              </w:rPr>
              <w:t xml:space="preserve">B = The number of complaints where a </w:t>
            </w:r>
            <w:r w:rsidR="00014AE9">
              <w:rPr>
                <w:sz w:val="20"/>
                <w:szCs w:val="24"/>
              </w:rPr>
              <w:t xml:space="preserve">Complaint </w:t>
            </w:r>
            <w:r w:rsidR="00920135">
              <w:rPr>
                <w:sz w:val="20"/>
                <w:szCs w:val="24"/>
              </w:rPr>
              <w:t>I</w:t>
            </w:r>
            <w:r w:rsidRPr="001A1836">
              <w:rPr>
                <w:sz w:val="20"/>
                <w:szCs w:val="24"/>
              </w:rPr>
              <w:t>nspection visit was accepted</w:t>
            </w:r>
          </w:p>
          <w:p w14:paraId="48C6BAA2" w14:textId="07BE249F" w:rsidR="00B074CC" w:rsidRPr="001A1836" w:rsidRDefault="00B074CC" w:rsidP="00626054">
            <w:pPr>
              <w:rPr>
                <w:sz w:val="20"/>
                <w:szCs w:val="24"/>
              </w:rPr>
            </w:pPr>
            <w:r w:rsidRPr="001A1836">
              <w:rPr>
                <w:sz w:val="20"/>
                <w:szCs w:val="24"/>
              </w:rPr>
              <w:t xml:space="preserve">Complaints where the </w:t>
            </w:r>
            <w:r w:rsidR="00747264" w:rsidRPr="001A1836">
              <w:rPr>
                <w:sz w:val="20"/>
                <w:szCs w:val="24"/>
              </w:rPr>
              <w:t xml:space="preserve">Service Level </w:t>
            </w:r>
            <w:r w:rsidRPr="001A1836">
              <w:rPr>
                <w:sz w:val="20"/>
                <w:szCs w:val="24"/>
              </w:rPr>
              <w:t>is not met due to extenuating circumstances may be discounted from the calculation with HSE’s agreement</w:t>
            </w:r>
          </w:p>
        </w:tc>
      </w:tr>
      <w:tr w:rsidR="00B074CC" w:rsidRPr="001A1836" w14:paraId="56FB8998" w14:textId="77777777" w:rsidTr="00626054">
        <w:trPr>
          <w:cantSplit/>
        </w:trPr>
        <w:tc>
          <w:tcPr>
            <w:tcW w:w="1951" w:type="dxa"/>
            <w:shd w:val="clear" w:color="auto" w:fill="auto"/>
          </w:tcPr>
          <w:p w14:paraId="1E47A4BF" w14:textId="34E43D97" w:rsidR="00B074CC" w:rsidRPr="001A1836" w:rsidRDefault="00B074CC" w:rsidP="00626054">
            <w:pPr>
              <w:rPr>
                <w:sz w:val="20"/>
                <w:szCs w:val="24"/>
              </w:rPr>
            </w:pPr>
            <w:r w:rsidRPr="001A1836">
              <w:rPr>
                <w:sz w:val="20"/>
                <w:szCs w:val="24"/>
              </w:rPr>
              <w:t xml:space="preserve">Reporting frequency </w:t>
            </w:r>
          </w:p>
        </w:tc>
        <w:tc>
          <w:tcPr>
            <w:tcW w:w="6577" w:type="dxa"/>
            <w:gridSpan w:val="2"/>
            <w:shd w:val="clear" w:color="auto" w:fill="auto"/>
          </w:tcPr>
          <w:p w14:paraId="3D880223" w14:textId="77777777" w:rsidR="00B074CC" w:rsidRPr="001A1836" w:rsidRDefault="00B074CC" w:rsidP="00626054">
            <w:pPr>
              <w:rPr>
                <w:sz w:val="20"/>
                <w:szCs w:val="24"/>
              </w:rPr>
            </w:pPr>
            <w:r w:rsidRPr="001A1836">
              <w:rPr>
                <w:sz w:val="20"/>
                <w:szCs w:val="24"/>
              </w:rPr>
              <w:t>Performance is reported monthly.</w:t>
            </w:r>
          </w:p>
          <w:p w14:paraId="25C6CEE2" w14:textId="03241B3E" w:rsidR="00B876A2" w:rsidRPr="001A1836" w:rsidRDefault="00B876A2" w:rsidP="004F1C82">
            <w:pPr>
              <w:rPr>
                <w:sz w:val="20"/>
                <w:szCs w:val="24"/>
              </w:rPr>
            </w:pPr>
          </w:p>
        </w:tc>
      </w:tr>
      <w:tr w:rsidR="00F70CAB" w:rsidRPr="001A1836" w14:paraId="3D40AC59" w14:textId="77777777" w:rsidTr="00626054">
        <w:trPr>
          <w:cantSplit/>
        </w:trPr>
        <w:tc>
          <w:tcPr>
            <w:tcW w:w="1951" w:type="dxa"/>
            <w:shd w:val="clear" w:color="auto" w:fill="auto"/>
          </w:tcPr>
          <w:p w14:paraId="204BBC11" w14:textId="2952C2C8" w:rsidR="00F70CAB" w:rsidRPr="001A1836" w:rsidDel="00B20DB7" w:rsidRDefault="004F1C82" w:rsidP="00626054">
            <w:pPr>
              <w:rPr>
                <w:sz w:val="20"/>
                <w:szCs w:val="24"/>
              </w:rPr>
            </w:pPr>
            <w:r w:rsidRPr="001A1836">
              <w:rPr>
                <w:sz w:val="20"/>
                <w:szCs w:val="24"/>
              </w:rPr>
              <w:t>Service Measurement Period</w:t>
            </w:r>
          </w:p>
        </w:tc>
        <w:tc>
          <w:tcPr>
            <w:tcW w:w="6577" w:type="dxa"/>
            <w:gridSpan w:val="2"/>
            <w:shd w:val="clear" w:color="auto" w:fill="auto"/>
          </w:tcPr>
          <w:p w14:paraId="147A9206" w14:textId="3915564C" w:rsidR="00F70CAB" w:rsidRPr="001A1836" w:rsidRDefault="004F1C82" w:rsidP="00626054">
            <w:pPr>
              <w:rPr>
                <w:sz w:val="20"/>
                <w:szCs w:val="24"/>
              </w:rPr>
            </w:pPr>
            <w:r w:rsidRPr="001A1836">
              <w:rPr>
                <w:sz w:val="20"/>
                <w:szCs w:val="24"/>
              </w:rPr>
              <w:t xml:space="preserve">Service Credits are calculated monthly. </w:t>
            </w:r>
          </w:p>
        </w:tc>
      </w:tr>
      <w:tr w:rsidR="00F70CAB" w:rsidRPr="001A1836" w14:paraId="2B2F9E0A" w14:textId="77777777" w:rsidTr="00626054">
        <w:trPr>
          <w:cantSplit/>
        </w:trPr>
        <w:tc>
          <w:tcPr>
            <w:tcW w:w="1951" w:type="dxa"/>
            <w:shd w:val="clear" w:color="auto" w:fill="auto"/>
          </w:tcPr>
          <w:p w14:paraId="4A58057A" w14:textId="48F99626" w:rsidR="00F70CAB" w:rsidRPr="001A1836" w:rsidDel="00B20DB7" w:rsidRDefault="004F1C82" w:rsidP="00626054">
            <w:pPr>
              <w:rPr>
                <w:sz w:val="20"/>
                <w:szCs w:val="24"/>
              </w:rPr>
            </w:pPr>
            <w:r w:rsidRPr="001A1836">
              <w:rPr>
                <w:sz w:val="20"/>
                <w:szCs w:val="24"/>
              </w:rPr>
              <w:t>Service Point Application Period</w:t>
            </w:r>
          </w:p>
        </w:tc>
        <w:tc>
          <w:tcPr>
            <w:tcW w:w="6577" w:type="dxa"/>
            <w:gridSpan w:val="2"/>
            <w:shd w:val="clear" w:color="auto" w:fill="auto"/>
          </w:tcPr>
          <w:p w14:paraId="2DD6F988" w14:textId="73ACDCB0" w:rsidR="00F70CAB" w:rsidRPr="001A1836" w:rsidRDefault="00EA4BD8" w:rsidP="00626054">
            <w:pPr>
              <w:rPr>
                <w:sz w:val="20"/>
                <w:szCs w:val="24"/>
              </w:rPr>
            </w:pPr>
            <w:r w:rsidRPr="001A1836">
              <w:rPr>
                <w:sz w:val="20"/>
                <w:szCs w:val="24"/>
              </w:rPr>
              <w:t xml:space="preserve">Service Points are applied monthly against </w:t>
            </w:r>
            <w:r>
              <w:rPr>
                <w:sz w:val="20"/>
                <w:szCs w:val="24"/>
              </w:rPr>
              <w:t xml:space="preserve">one twelfth of the sum of </w:t>
            </w:r>
            <w:r w:rsidRPr="001A1836">
              <w:rPr>
                <w:sz w:val="20"/>
                <w:szCs w:val="24"/>
              </w:rPr>
              <w:t xml:space="preserve">the Provider’s </w:t>
            </w:r>
            <w:r>
              <w:rPr>
                <w:sz w:val="20"/>
                <w:szCs w:val="24"/>
              </w:rPr>
              <w:t>annual</w:t>
            </w:r>
            <w:r w:rsidRPr="001A1836">
              <w:rPr>
                <w:sz w:val="20"/>
                <w:szCs w:val="24"/>
              </w:rPr>
              <w:t xml:space="preserve"> </w:t>
            </w:r>
            <w:r>
              <w:rPr>
                <w:sz w:val="20"/>
                <w:szCs w:val="24"/>
              </w:rPr>
              <w:t>A</w:t>
            </w:r>
            <w:r w:rsidRPr="001A1836">
              <w:rPr>
                <w:sz w:val="20"/>
                <w:szCs w:val="24"/>
              </w:rPr>
              <w:t xml:space="preserve">greed Operating Costs plus </w:t>
            </w:r>
            <w:r>
              <w:rPr>
                <w:sz w:val="20"/>
                <w:szCs w:val="24"/>
              </w:rPr>
              <w:t xml:space="preserve">Provider </w:t>
            </w:r>
            <w:r w:rsidRPr="001A1836">
              <w:rPr>
                <w:sz w:val="20"/>
                <w:szCs w:val="24"/>
              </w:rPr>
              <w:t>Profit.</w:t>
            </w:r>
          </w:p>
        </w:tc>
      </w:tr>
      <w:tr w:rsidR="00B074CC" w:rsidRPr="001A1836" w14:paraId="51C5FF9A" w14:textId="77777777" w:rsidTr="00626054">
        <w:trPr>
          <w:cantSplit/>
        </w:trPr>
        <w:tc>
          <w:tcPr>
            <w:tcW w:w="1951" w:type="dxa"/>
            <w:shd w:val="clear" w:color="auto" w:fill="auto"/>
          </w:tcPr>
          <w:p w14:paraId="0ADA6FBA" w14:textId="77777777" w:rsidR="00B074CC" w:rsidRPr="001A1836" w:rsidRDefault="00B074CC" w:rsidP="00626054">
            <w:pPr>
              <w:rPr>
                <w:sz w:val="20"/>
                <w:szCs w:val="24"/>
              </w:rPr>
            </w:pPr>
            <w:r w:rsidRPr="001A1836">
              <w:rPr>
                <w:sz w:val="20"/>
                <w:szCs w:val="24"/>
              </w:rPr>
              <w:t>Data capture</w:t>
            </w:r>
          </w:p>
        </w:tc>
        <w:tc>
          <w:tcPr>
            <w:tcW w:w="6577" w:type="dxa"/>
            <w:gridSpan w:val="2"/>
            <w:shd w:val="clear" w:color="auto" w:fill="auto"/>
          </w:tcPr>
          <w:p w14:paraId="78FCEE6F" w14:textId="158E7FE6" w:rsidR="00B074CC" w:rsidRPr="001A1836" w:rsidRDefault="00B074CC">
            <w:pPr>
              <w:numPr>
                <w:ilvl w:val="0"/>
                <w:numId w:val="21"/>
              </w:numPr>
              <w:rPr>
                <w:sz w:val="20"/>
                <w:szCs w:val="24"/>
              </w:rPr>
            </w:pPr>
            <w:r w:rsidRPr="001A1836">
              <w:rPr>
                <w:sz w:val="20"/>
                <w:szCs w:val="24"/>
              </w:rPr>
              <w:t xml:space="preserve">The number of complaints logged where a </w:t>
            </w:r>
            <w:r w:rsidR="00014AE9">
              <w:rPr>
                <w:sz w:val="20"/>
                <w:szCs w:val="24"/>
              </w:rPr>
              <w:t xml:space="preserve">Complaint </w:t>
            </w:r>
            <w:r w:rsidR="00920135">
              <w:rPr>
                <w:sz w:val="20"/>
                <w:szCs w:val="24"/>
              </w:rPr>
              <w:t>I</w:t>
            </w:r>
            <w:r w:rsidRPr="001A1836">
              <w:rPr>
                <w:sz w:val="20"/>
                <w:szCs w:val="24"/>
              </w:rPr>
              <w:t>nspection visit is accepted</w:t>
            </w:r>
          </w:p>
          <w:p w14:paraId="1A541D8D" w14:textId="1B35CA01" w:rsidR="00B074CC" w:rsidRPr="001A1836" w:rsidRDefault="00B074CC">
            <w:pPr>
              <w:numPr>
                <w:ilvl w:val="0"/>
                <w:numId w:val="21"/>
              </w:numPr>
              <w:rPr>
                <w:sz w:val="20"/>
                <w:szCs w:val="24"/>
              </w:rPr>
            </w:pPr>
            <w:r w:rsidRPr="001A1836">
              <w:rPr>
                <w:sz w:val="20"/>
                <w:szCs w:val="24"/>
              </w:rPr>
              <w:t xml:space="preserve">The number of these sites which are visited within 10 Working Days </w:t>
            </w:r>
          </w:p>
          <w:p w14:paraId="27FE5C34" w14:textId="77777777" w:rsidR="00B074CC" w:rsidRPr="001A1836" w:rsidRDefault="00B074CC">
            <w:pPr>
              <w:numPr>
                <w:ilvl w:val="0"/>
                <w:numId w:val="21"/>
              </w:numPr>
              <w:rPr>
                <w:sz w:val="20"/>
                <w:szCs w:val="24"/>
              </w:rPr>
            </w:pPr>
            <w:r w:rsidRPr="001A1836">
              <w:rPr>
                <w:sz w:val="20"/>
                <w:szCs w:val="24"/>
              </w:rPr>
              <w:t>Date and time each complaint is logged</w:t>
            </w:r>
          </w:p>
          <w:p w14:paraId="6423F049" w14:textId="77777777" w:rsidR="00B074CC" w:rsidRPr="001A1836" w:rsidRDefault="00B074CC">
            <w:pPr>
              <w:numPr>
                <w:ilvl w:val="0"/>
                <w:numId w:val="21"/>
              </w:numPr>
              <w:rPr>
                <w:sz w:val="20"/>
                <w:szCs w:val="24"/>
              </w:rPr>
            </w:pPr>
            <w:r w:rsidRPr="001A1836">
              <w:rPr>
                <w:sz w:val="20"/>
                <w:szCs w:val="24"/>
              </w:rPr>
              <w:t>Date of site visit</w:t>
            </w:r>
          </w:p>
        </w:tc>
      </w:tr>
      <w:tr w:rsidR="00B074CC" w:rsidRPr="001A1836" w14:paraId="2B54ED98" w14:textId="77777777" w:rsidTr="00626054">
        <w:trPr>
          <w:cantSplit/>
        </w:trPr>
        <w:tc>
          <w:tcPr>
            <w:tcW w:w="1951" w:type="dxa"/>
            <w:shd w:val="clear" w:color="auto" w:fill="auto"/>
          </w:tcPr>
          <w:p w14:paraId="33EBA40B" w14:textId="77777777" w:rsidR="00B074CC" w:rsidRPr="001A1836" w:rsidRDefault="00B074CC" w:rsidP="00626054">
            <w:pPr>
              <w:rPr>
                <w:sz w:val="20"/>
                <w:szCs w:val="24"/>
              </w:rPr>
            </w:pPr>
            <w:r w:rsidRPr="001A1836">
              <w:rPr>
                <w:sz w:val="20"/>
                <w:szCs w:val="24"/>
              </w:rPr>
              <w:t>Impact</w:t>
            </w:r>
          </w:p>
        </w:tc>
        <w:tc>
          <w:tcPr>
            <w:tcW w:w="6577" w:type="dxa"/>
            <w:gridSpan w:val="2"/>
            <w:shd w:val="clear" w:color="auto" w:fill="auto"/>
          </w:tcPr>
          <w:p w14:paraId="7200FF74" w14:textId="77777777" w:rsidR="00B074CC" w:rsidRPr="001A1836" w:rsidRDefault="00B074CC" w:rsidP="00626054">
            <w:pPr>
              <w:rPr>
                <w:sz w:val="20"/>
                <w:szCs w:val="24"/>
              </w:rPr>
            </w:pPr>
            <w:r w:rsidRPr="001A1836">
              <w:rPr>
                <w:sz w:val="20"/>
                <w:szCs w:val="24"/>
              </w:rPr>
              <w:t>Medium</w:t>
            </w:r>
          </w:p>
        </w:tc>
      </w:tr>
      <w:tr w:rsidR="00B074CC" w:rsidRPr="001A1836" w14:paraId="699899F9" w14:textId="77777777" w:rsidTr="00626054">
        <w:trPr>
          <w:cantSplit/>
        </w:trPr>
        <w:tc>
          <w:tcPr>
            <w:tcW w:w="1951" w:type="dxa"/>
            <w:shd w:val="clear" w:color="auto" w:fill="auto"/>
          </w:tcPr>
          <w:p w14:paraId="742B9BC9" w14:textId="77777777" w:rsidR="00B074CC" w:rsidRPr="001A1836" w:rsidRDefault="00B074CC" w:rsidP="00626054">
            <w:pPr>
              <w:rPr>
                <w:sz w:val="20"/>
                <w:szCs w:val="24"/>
              </w:rPr>
            </w:pPr>
            <w:r w:rsidRPr="001A1836">
              <w:rPr>
                <w:sz w:val="20"/>
                <w:szCs w:val="24"/>
              </w:rPr>
              <w:t>Criticality</w:t>
            </w:r>
          </w:p>
        </w:tc>
        <w:tc>
          <w:tcPr>
            <w:tcW w:w="6577" w:type="dxa"/>
            <w:gridSpan w:val="2"/>
            <w:shd w:val="clear" w:color="auto" w:fill="auto"/>
          </w:tcPr>
          <w:p w14:paraId="4804575E" w14:textId="77777777" w:rsidR="00B074CC" w:rsidRPr="001A1836" w:rsidRDefault="00B074CC" w:rsidP="00626054">
            <w:pPr>
              <w:rPr>
                <w:sz w:val="20"/>
                <w:szCs w:val="24"/>
              </w:rPr>
            </w:pPr>
            <w:r w:rsidRPr="001A1836">
              <w:rPr>
                <w:sz w:val="20"/>
                <w:szCs w:val="24"/>
              </w:rPr>
              <w:t>B</w:t>
            </w:r>
          </w:p>
        </w:tc>
      </w:tr>
      <w:tr w:rsidR="00B074CC" w:rsidRPr="001A1836" w14:paraId="10E34319" w14:textId="77777777" w:rsidTr="00626054">
        <w:trPr>
          <w:cantSplit/>
        </w:trPr>
        <w:tc>
          <w:tcPr>
            <w:tcW w:w="1951" w:type="dxa"/>
            <w:shd w:val="clear" w:color="auto" w:fill="auto"/>
          </w:tcPr>
          <w:p w14:paraId="1E57C3B8" w14:textId="77777777" w:rsidR="00B074CC" w:rsidRPr="001A1836" w:rsidRDefault="00B074CC" w:rsidP="00626054">
            <w:pPr>
              <w:rPr>
                <w:sz w:val="20"/>
                <w:szCs w:val="24"/>
              </w:rPr>
            </w:pPr>
            <w:r w:rsidRPr="001A1836">
              <w:rPr>
                <w:sz w:val="20"/>
                <w:szCs w:val="24"/>
              </w:rPr>
              <w:t>Service Level Performance Measure</w:t>
            </w:r>
          </w:p>
        </w:tc>
        <w:tc>
          <w:tcPr>
            <w:tcW w:w="6577" w:type="dxa"/>
            <w:gridSpan w:val="2"/>
            <w:shd w:val="clear" w:color="auto" w:fill="auto"/>
          </w:tcPr>
          <w:p w14:paraId="7016AE71" w14:textId="5B953F3A" w:rsidR="00B576EE" w:rsidRDefault="00B576EE" w:rsidP="00626054">
            <w:pPr>
              <w:rPr>
                <w:sz w:val="20"/>
                <w:szCs w:val="24"/>
              </w:rPr>
            </w:pPr>
            <w:r w:rsidRPr="00B576EE">
              <w:rPr>
                <w:sz w:val="20"/>
                <w:szCs w:val="24"/>
              </w:rPr>
              <w:t>Relief Period – 98% of Complaint Inspection visits carried out within 10 Working Days of complaint being logged</w:t>
            </w:r>
          </w:p>
          <w:p w14:paraId="27FC30A7" w14:textId="40A3BC4F" w:rsidR="00B074CC" w:rsidRPr="001A1836" w:rsidRDefault="00B576EE" w:rsidP="00626054">
            <w:pPr>
              <w:rPr>
                <w:sz w:val="20"/>
                <w:szCs w:val="24"/>
              </w:rPr>
            </w:pPr>
            <w:r>
              <w:rPr>
                <w:sz w:val="20"/>
                <w:szCs w:val="24"/>
              </w:rPr>
              <w:t xml:space="preserve">Thereafter - </w:t>
            </w:r>
            <w:r w:rsidR="00B074CC" w:rsidRPr="001A1836">
              <w:rPr>
                <w:sz w:val="20"/>
                <w:szCs w:val="24"/>
              </w:rPr>
              <w:t xml:space="preserve">100% of </w:t>
            </w:r>
            <w:r w:rsidR="00014AE9">
              <w:rPr>
                <w:sz w:val="20"/>
                <w:szCs w:val="24"/>
              </w:rPr>
              <w:t>C</w:t>
            </w:r>
            <w:r w:rsidR="00B074CC" w:rsidRPr="001A1836">
              <w:rPr>
                <w:sz w:val="20"/>
                <w:szCs w:val="24"/>
              </w:rPr>
              <w:t>omplaint</w:t>
            </w:r>
            <w:r w:rsidR="00014AE9">
              <w:rPr>
                <w:sz w:val="20"/>
                <w:szCs w:val="24"/>
              </w:rPr>
              <w:t xml:space="preserve"> Inspection</w:t>
            </w:r>
            <w:r w:rsidR="00B074CC" w:rsidRPr="001A1836">
              <w:rPr>
                <w:sz w:val="20"/>
                <w:szCs w:val="24"/>
              </w:rPr>
              <w:t xml:space="preserve"> visits carried out within 10 Working Days of complaint being logged</w:t>
            </w:r>
          </w:p>
        </w:tc>
      </w:tr>
      <w:tr w:rsidR="00B074CC" w:rsidRPr="001A1836" w14:paraId="3E1C7F86" w14:textId="77777777" w:rsidTr="00626054">
        <w:trPr>
          <w:cantSplit/>
        </w:trPr>
        <w:tc>
          <w:tcPr>
            <w:tcW w:w="1951" w:type="dxa"/>
            <w:shd w:val="clear" w:color="auto" w:fill="auto"/>
          </w:tcPr>
          <w:p w14:paraId="7991D40B" w14:textId="77777777" w:rsidR="00B074CC" w:rsidRPr="001A1836" w:rsidRDefault="00B074CC" w:rsidP="00626054">
            <w:pPr>
              <w:rPr>
                <w:sz w:val="20"/>
                <w:szCs w:val="24"/>
              </w:rPr>
            </w:pPr>
          </w:p>
        </w:tc>
        <w:tc>
          <w:tcPr>
            <w:tcW w:w="4678" w:type="dxa"/>
            <w:shd w:val="clear" w:color="auto" w:fill="auto"/>
          </w:tcPr>
          <w:p w14:paraId="6A80B283" w14:textId="77777777" w:rsidR="00B074CC" w:rsidRPr="001A1836" w:rsidRDefault="00B074CC" w:rsidP="00626054">
            <w:pPr>
              <w:rPr>
                <w:b/>
                <w:sz w:val="20"/>
                <w:szCs w:val="24"/>
              </w:rPr>
            </w:pPr>
            <w:r w:rsidRPr="001A1836">
              <w:rPr>
                <w:b/>
                <w:sz w:val="20"/>
                <w:szCs w:val="24"/>
              </w:rPr>
              <w:t>Service Level Performance Measure</w:t>
            </w:r>
          </w:p>
        </w:tc>
        <w:tc>
          <w:tcPr>
            <w:tcW w:w="1899" w:type="dxa"/>
            <w:shd w:val="clear" w:color="auto" w:fill="auto"/>
          </w:tcPr>
          <w:p w14:paraId="664D49FE" w14:textId="77777777" w:rsidR="00B074CC" w:rsidRPr="001A1836" w:rsidRDefault="00B074CC" w:rsidP="00626054">
            <w:pPr>
              <w:rPr>
                <w:b/>
                <w:sz w:val="20"/>
                <w:szCs w:val="24"/>
              </w:rPr>
            </w:pPr>
            <w:r w:rsidRPr="001A1836">
              <w:rPr>
                <w:b/>
                <w:sz w:val="20"/>
                <w:szCs w:val="24"/>
              </w:rPr>
              <w:t>Service points</w:t>
            </w:r>
          </w:p>
        </w:tc>
      </w:tr>
      <w:tr w:rsidR="00B074CC" w:rsidRPr="001A1836" w14:paraId="1BF7EE30" w14:textId="77777777" w:rsidTr="00626054">
        <w:trPr>
          <w:cantSplit/>
        </w:trPr>
        <w:tc>
          <w:tcPr>
            <w:tcW w:w="1951" w:type="dxa"/>
            <w:shd w:val="clear" w:color="auto" w:fill="auto"/>
          </w:tcPr>
          <w:p w14:paraId="665500E2" w14:textId="236B0D41" w:rsidR="00B074CC" w:rsidRPr="001A1836" w:rsidRDefault="00B074CC" w:rsidP="00626054">
            <w:pPr>
              <w:rPr>
                <w:sz w:val="20"/>
                <w:szCs w:val="24"/>
              </w:rPr>
            </w:pPr>
            <w:r w:rsidRPr="001A1836">
              <w:rPr>
                <w:sz w:val="20"/>
                <w:szCs w:val="24"/>
              </w:rPr>
              <w:t xml:space="preserve">Service </w:t>
            </w:r>
            <w:r w:rsidR="00747264" w:rsidRPr="001A1836">
              <w:rPr>
                <w:sz w:val="20"/>
                <w:szCs w:val="24"/>
              </w:rPr>
              <w:t>L</w:t>
            </w:r>
            <w:r w:rsidRPr="001A1836">
              <w:rPr>
                <w:sz w:val="20"/>
                <w:szCs w:val="24"/>
              </w:rPr>
              <w:t>evel met</w:t>
            </w:r>
          </w:p>
        </w:tc>
        <w:tc>
          <w:tcPr>
            <w:tcW w:w="4678" w:type="dxa"/>
            <w:shd w:val="clear" w:color="auto" w:fill="auto"/>
          </w:tcPr>
          <w:p w14:paraId="49873BC8" w14:textId="6C5D6C2E" w:rsidR="003A0CD9" w:rsidRDefault="003A0CD9" w:rsidP="00626054">
            <w:pPr>
              <w:rPr>
                <w:sz w:val="20"/>
                <w:szCs w:val="24"/>
              </w:rPr>
            </w:pPr>
            <w:r w:rsidRPr="003A0CD9">
              <w:rPr>
                <w:sz w:val="20"/>
                <w:szCs w:val="24"/>
              </w:rPr>
              <w:t>Relief Period – 98%</w:t>
            </w:r>
          </w:p>
          <w:p w14:paraId="660FC9B2" w14:textId="1F743E50" w:rsidR="00B074CC" w:rsidRPr="001A1836" w:rsidRDefault="003A0CD9" w:rsidP="00626054">
            <w:pPr>
              <w:rPr>
                <w:sz w:val="20"/>
                <w:szCs w:val="24"/>
              </w:rPr>
            </w:pPr>
            <w:r>
              <w:rPr>
                <w:sz w:val="20"/>
                <w:szCs w:val="24"/>
              </w:rPr>
              <w:t xml:space="preserve">Thereafter - </w:t>
            </w:r>
            <w:r w:rsidR="00B074CC" w:rsidRPr="001A1836">
              <w:rPr>
                <w:sz w:val="20"/>
                <w:szCs w:val="24"/>
              </w:rPr>
              <w:t xml:space="preserve">100% </w:t>
            </w:r>
          </w:p>
        </w:tc>
        <w:tc>
          <w:tcPr>
            <w:tcW w:w="1899" w:type="dxa"/>
            <w:shd w:val="clear" w:color="auto" w:fill="auto"/>
          </w:tcPr>
          <w:p w14:paraId="06B9AB94" w14:textId="77777777" w:rsidR="00B074CC" w:rsidRPr="001A1836" w:rsidRDefault="00B074CC" w:rsidP="00626054">
            <w:pPr>
              <w:rPr>
                <w:sz w:val="20"/>
                <w:szCs w:val="24"/>
              </w:rPr>
            </w:pPr>
            <w:r w:rsidRPr="001A1836">
              <w:rPr>
                <w:sz w:val="20"/>
                <w:szCs w:val="24"/>
              </w:rPr>
              <w:t>0</w:t>
            </w:r>
          </w:p>
        </w:tc>
      </w:tr>
      <w:tr w:rsidR="00B074CC" w:rsidRPr="001A1836" w14:paraId="773AB375" w14:textId="77777777" w:rsidTr="00626054">
        <w:trPr>
          <w:cantSplit/>
        </w:trPr>
        <w:tc>
          <w:tcPr>
            <w:tcW w:w="1951" w:type="dxa"/>
            <w:shd w:val="clear" w:color="auto" w:fill="auto"/>
          </w:tcPr>
          <w:p w14:paraId="11795B5E" w14:textId="77777777" w:rsidR="00B074CC" w:rsidRPr="001A1836" w:rsidRDefault="00B074CC" w:rsidP="00626054">
            <w:pPr>
              <w:rPr>
                <w:sz w:val="20"/>
                <w:szCs w:val="24"/>
              </w:rPr>
            </w:pPr>
            <w:r w:rsidRPr="001A1836">
              <w:rPr>
                <w:sz w:val="20"/>
                <w:szCs w:val="24"/>
              </w:rPr>
              <w:t>Minor Service Level Failure</w:t>
            </w:r>
          </w:p>
        </w:tc>
        <w:tc>
          <w:tcPr>
            <w:tcW w:w="4678" w:type="dxa"/>
            <w:shd w:val="clear" w:color="auto" w:fill="auto"/>
          </w:tcPr>
          <w:p w14:paraId="7ADDA74C" w14:textId="5B270107" w:rsidR="003A0CD9" w:rsidRDefault="003A0CD9" w:rsidP="00626054">
            <w:pPr>
              <w:rPr>
                <w:sz w:val="20"/>
                <w:szCs w:val="24"/>
              </w:rPr>
            </w:pPr>
            <w:r w:rsidRPr="003A0CD9">
              <w:rPr>
                <w:sz w:val="20"/>
                <w:szCs w:val="24"/>
              </w:rPr>
              <w:t>Relief Period – Less than 98% but greater than 96%</w:t>
            </w:r>
          </w:p>
          <w:p w14:paraId="77B2D3E7" w14:textId="1D9F1462" w:rsidR="00B074CC" w:rsidRPr="001A1836" w:rsidRDefault="003A0CD9" w:rsidP="00626054">
            <w:pPr>
              <w:rPr>
                <w:sz w:val="20"/>
                <w:szCs w:val="24"/>
              </w:rPr>
            </w:pPr>
            <w:r>
              <w:rPr>
                <w:sz w:val="20"/>
                <w:szCs w:val="24"/>
              </w:rPr>
              <w:t xml:space="preserve">Thereafter - </w:t>
            </w:r>
            <w:r w:rsidR="00B074CC" w:rsidRPr="001A1836">
              <w:rPr>
                <w:sz w:val="20"/>
                <w:szCs w:val="24"/>
              </w:rPr>
              <w:t xml:space="preserve">Less than 100% but greater than 98% </w:t>
            </w:r>
          </w:p>
        </w:tc>
        <w:tc>
          <w:tcPr>
            <w:tcW w:w="1899" w:type="dxa"/>
            <w:shd w:val="clear" w:color="auto" w:fill="auto"/>
          </w:tcPr>
          <w:p w14:paraId="22782BF2" w14:textId="77777777" w:rsidR="00B074CC" w:rsidRPr="001A1836" w:rsidRDefault="00B074CC" w:rsidP="00626054">
            <w:pPr>
              <w:rPr>
                <w:sz w:val="20"/>
                <w:szCs w:val="24"/>
              </w:rPr>
            </w:pPr>
            <w:r w:rsidRPr="001A1836">
              <w:rPr>
                <w:sz w:val="20"/>
                <w:szCs w:val="24"/>
              </w:rPr>
              <w:t>1.0</w:t>
            </w:r>
          </w:p>
        </w:tc>
      </w:tr>
      <w:tr w:rsidR="00B074CC" w:rsidRPr="001A1836" w14:paraId="507E9170" w14:textId="77777777" w:rsidTr="00626054">
        <w:trPr>
          <w:cantSplit/>
        </w:trPr>
        <w:tc>
          <w:tcPr>
            <w:tcW w:w="1951" w:type="dxa"/>
            <w:shd w:val="clear" w:color="auto" w:fill="auto"/>
          </w:tcPr>
          <w:p w14:paraId="220399D3" w14:textId="77777777" w:rsidR="00B074CC" w:rsidRPr="001A1836" w:rsidRDefault="00B074CC" w:rsidP="00626054">
            <w:pPr>
              <w:rPr>
                <w:sz w:val="20"/>
                <w:szCs w:val="24"/>
              </w:rPr>
            </w:pPr>
            <w:r w:rsidRPr="001A1836">
              <w:rPr>
                <w:sz w:val="20"/>
                <w:szCs w:val="24"/>
              </w:rPr>
              <w:t>Moderate Service Level Failure</w:t>
            </w:r>
          </w:p>
        </w:tc>
        <w:tc>
          <w:tcPr>
            <w:tcW w:w="4678" w:type="dxa"/>
            <w:shd w:val="clear" w:color="auto" w:fill="auto"/>
          </w:tcPr>
          <w:p w14:paraId="3F97ED72" w14:textId="59EE4BCC" w:rsidR="003A0CD9" w:rsidRDefault="003A0CD9" w:rsidP="00626054">
            <w:pPr>
              <w:rPr>
                <w:sz w:val="20"/>
                <w:szCs w:val="24"/>
              </w:rPr>
            </w:pPr>
            <w:r w:rsidRPr="003A0CD9">
              <w:rPr>
                <w:sz w:val="20"/>
                <w:szCs w:val="24"/>
              </w:rPr>
              <w:t>Relief Period – Between 93% and 96%</w:t>
            </w:r>
          </w:p>
          <w:p w14:paraId="7F30F31D" w14:textId="12346523" w:rsidR="00B074CC" w:rsidRPr="001A1836" w:rsidRDefault="003A0CD9" w:rsidP="00626054">
            <w:pPr>
              <w:rPr>
                <w:sz w:val="20"/>
                <w:szCs w:val="24"/>
              </w:rPr>
            </w:pPr>
            <w:r>
              <w:rPr>
                <w:sz w:val="20"/>
                <w:szCs w:val="24"/>
              </w:rPr>
              <w:t xml:space="preserve">Thereafter - </w:t>
            </w:r>
            <w:r w:rsidR="00B074CC" w:rsidRPr="001A1836">
              <w:rPr>
                <w:sz w:val="20"/>
                <w:szCs w:val="24"/>
              </w:rPr>
              <w:t xml:space="preserve">Between 95% and 98% inclusive </w:t>
            </w:r>
          </w:p>
        </w:tc>
        <w:tc>
          <w:tcPr>
            <w:tcW w:w="1899" w:type="dxa"/>
            <w:shd w:val="clear" w:color="auto" w:fill="auto"/>
          </w:tcPr>
          <w:p w14:paraId="13EB99F9" w14:textId="77777777" w:rsidR="00B074CC" w:rsidRPr="001A1836" w:rsidRDefault="00B074CC" w:rsidP="00626054">
            <w:pPr>
              <w:rPr>
                <w:sz w:val="20"/>
                <w:szCs w:val="24"/>
              </w:rPr>
            </w:pPr>
            <w:r w:rsidRPr="001A1836">
              <w:rPr>
                <w:sz w:val="20"/>
                <w:szCs w:val="24"/>
              </w:rPr>
              <w:t>2.0</w:t>
            </w:r>
          </w:p>
        </w:tc>
      </w:tr>
      <w:tr w:rsidR="00B074CC" w:rsidRPr="001A1836" w14:paraId="2DC331EC" w14:textId="77777777" w:rsidTr="00626054">
        <w:trPr>
          <w:cantSplit/>
        </w:trPr>
        <w:tc>
          <w:tcPr>
            <w:tcW w:w="1951" w:type="dxa"/>
            <w:shd w:val="clear" w:color="auto" w:fill="auto"/>
          </w:tcPr>
          <w:p w14:paraId="229E676E" w14:textId="77777777" w:rsidR="00B074CC" w:rsidRPr="001A1836" w:rsidRDefault="00B074CC" w:rsidP="00626054">
            <w:pPr>
              <w:rPr>
                <w:sz w:val="20"/>
                <w:szCs w:val="24"/>
              </w:rPr>
            </w:pPr>
            <w:r w:rsidRPr="001A1836">
              <w:rPr>
                <w:sz w:val="20"/>
                <w:szCs w:val="24"/>
              </w:rPr>
              <w:t>Major Service Level Failure</w:t>
            </w:r>
          </w:p>
        </w:tc>
        <w:tc>
          <w:tcPr>
            <w:tcW w:w="4678" w:type="dxa"/>
            <w:shd w:val="clear" w:color="auto" w:fill="auto"/>
          </w:tcPr>
          <w:p w14:paraId="60DD9C6E" w14:textId="4B0101B6" w:rsidR="003A0CD9" w:rsidRDefault="003A0CD9" w:rsidP="00626054">
            <w:pPr>
              <w:rPr>
                <w:sz w:val="20"/>
                <w:szCs w:val="24"/>
              </w:rPr>
            </w:pPr>
            <w:r w:rsidRPr="003A0CD9">
              <w:rPr>
                <w:sz w:val="20"/>
                <w:szCs w:val="24"/>
              </w:rPr>
              <w:t>Relief Period – Less than 93%</w:t>
            </w:r>
          </w:p>
          <w:p w14:paraId="31F2B676" w14:textId="3541C6EB" w:rsidR="00B074CC" w:rsidRPr="001A1836" w:rsidRDefault="003A0CD9" w:rsidP="00626054">
            <w:pPr>
              <w:rPr>
                <w:sz w:val="20"/>
                <w:szCs w:val="24"/>
              </w:rPr>
            </w:pPr>
            <w:r>
              <w:rPr>
                <w:sz w:val="20"/>
                <w:szCs w:val="24"/>
              </w:rPr>
              <w:t xml:space="preserve">Thereafter - </w:t>
            </w:r>
            <w:r w:rsidR="00B074CC" w:rsidRPr="001A1836">
              <w:rPr>
                <w:sz w:val="20"/>
                <w:szCs w:val="24"/>
              </w:rPr>
              <w:t xml:space="preserve">Less than 95% </w:t>
            </w:r>
          </w:p>
        </w:tc>
        <w:tc>
          <w:tcPr>
            <w:tcW w:w="1899" w:type="dxa"/>
            <w:shd w:val="clear" w:color="auto" w:fill="auto"/>
          </w:tcPr>
          <w:p w14:paraId="474E9BFE" w14:textId="77777777" w:rsidR="00B074CC" w:rsidRPr="001A1836" w:rsidRDefault="00B074CC" w:rsidP="00626054">
            <w:pPr>
              <w:rPr>
                <w:sz w:val="20"/>
                <w:szCs w:val="24"/>
              </w:rPr>
            </w:pPr>
            <w:r w:rsidRPr="001A1836">
              <w:rPr>
                <w:sz w:val="20"/>
                <w:szCs w:val="24"/>
              </w:rPr>
              <w:t>3.0</w:t>
            </w:r>
          </w:p>
        </w:tc>
      </w:tr>
    </w:tbl>
    <w:p w14:paraId="345EEBA0" w14:textId="77777777" w:rsidR="00B074CC" w:rsidRPr="001A1836" w:rsidRDefault="00B074CC" w:rsidP="00626054">
      <w:pPr>
        <w:spacing w:after="0"/>
        <w:rPr>
          <w:sz w:val="20"/>
          <w:szCs w:val="24"/>
        </w:rPr>
      </w:pPr>
    </w:p>
    <w:p w14:paraId="38821824" w14:textId="77777777" w:rsidR="00B074CC" w:rsidRPr="001A1836" w:rsidRDefault="00B074CC">
      <w:pPr>
        <w:spacing w:after="0"/>
        <w:rPr>
          <w:sz w:val="20"/>
          <w:szCs w:val="24"/>
        </w:rPr>
      </w:pPr>
      <w:r w:rsidRPr="001A1836">
        <w:rPr>
          <w:sz w:val="20"/>
          <w:szCs w:val="24"/>
        </w:rPr>
        <w:br w:type="page"/>
      </w:r>
    </w:p>
    <w:p w14:paraId="71E4EDB3" w14:textId="77777777" w:rsidR="00B074CC" w:rsidRPr="001A1836" w:rsidRDefault="00B074CC" w:rsidP="00626054">
      <w:pPr>
        <w:spacing w:after="0"/>
        <w:rPr>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4678"/>
        <w:gridCol w:w="1899"/>
      </w:tblGrid>
      <w:tr w:rsidR="00B074CC" w:rsidRPr="001A1836" w14:paraId="6296FD32" w14:textId="77777777" w:rsidTr="00B4557D">
        <w:trPr>
          <w:tblHeader/>
        </w:trPr>
        <w:tc>
          <w:tcPr>
            <w:tcW w:w="2029" w:type="dxa"/>
            <w:shd w:val="clear" w:color="auto" w:fill="auto"/>
          </w:tcPr>
          <w:p w14:paraId="767FD6F2" w14:textId="77777777" w:rsidR="00B074CC" w:rsidRPr="001A1836" w:rsidRDefault="00B074CC" w:rsidP="00626054">
            <w:pPr>
              <w:rPr>
                <w:b/>
                <w:szCs w:val="24"/>
              </w:rPr>
            </w:pPr>
            <w:r w:rsidRPr="001A1836">
              <w:rPr>
                <w:b/>
                <w:szCs w:val="24"/>
              </w:rPr>
              <w:t>SL04</w:t>
            </w:r>
          </w:p>
        </w:tc>
        <w:tc>
          <w:tcPr>
            <w:tcW w:w="6577" w:type="dxa"/>
            <w:gridSpan w:val="2"/>
            <w:shd w:val="clear" w:color="auto" w:fill="auto"/>
          </w:tcPr>
          <w:p w14:paraId="216609E9" w14:textId="77777777" w:rsidR="00B074CC" w:rsidRPr="001A1836" w:rsidRDefault="00B074CC" w:rsidP="00626054">
            <w:pPr>
              <w:rPr>
                <w:b/>
                <w:szCs w:val="24"/>
              </w:rPr>
            </w:pPr>
            <w:r w:rsidRPr="001A1836">
              <w:rPr>
                <w:b/>
                <w:szCs w:val="24"/>
              </w:rPr>
              <w:t>Support to HSE: % of urgent requests responded to within 1 hour</w:t>
            </w:r>
          </w:p>
        </w:tc>
      </w:tr>
      <w:tr w:rsidR="00B074CC" w:rsidRPr="001A1836" w14:paraId="68689C06" w14:textId="77777777" w:rsidTr="004F1C82">
        <w:tc>
          <w:tcPr>
            <w:tcW w:w="2029" w:type="dxa"/>
            <w:shd w:val="clear" w:color="auto" w:fill="auto"/>
          </w:tcPr>
          <w:p w14:paraId="557C40ED" w14:textId="5CE82CC9" w:rsidR="00B074CC" w:rsidRPr="001A1836" w:rsidRDefault="00B074CC" w:rsidP="00626054">
            <w:pPr>
              <w:rPr>
                <w:sz w:val="20"/>
                <w:szCs w:val="24"/>
              </w:rPr>
            </w:pPr>
            <w:r w:rsidRPr="001A1836">
              <w:rPr>
                <w:sz w:val="20"/>
                <w:szCs w:val="24"/>
              </w:rPr>
              <w:t xml:space="preserve">Service </w:t>
            </w:r>
            <w:r w:rsidR="00747264" w:rsidRPr="001A1836">
              <w:rPr>
                <w:sz w:val="20"/>
                <w:szCs w:val="24"/>
              </w:rPr>
              <w:t>L</w:t>
            </w:r>
            <w:r w:rsidRPr="001A1836">
              <w:rPr>
                <w:sz w:val="20"/>
                <w:szCs w:val="24"/>
              </w:rPr>
              <w:t>evel description</w:t>
            </w:r>
          </w:p>
        </w:tc>
        <w:tc>
          <w:tcPr>
            <w:tcW w:w="6577" w:type="dxa"/>
            <w:gridSpan w:val="2"/>
            <w:shd w:val="clear" w:color="auto" w:fill="auto"/>
          </w:tcPr>
          <w:p w14:paraId="1AD3B52B" w14:textId="27442CEC" w:rsidR="00B074CC" w:rsidRPr="001A1836" w:rsidRDefault="00B074CC" w:rsidP="00626054">
            <w:pPr>
              <w:rPr>
                <w:sz w:val="20"/>
                <w:szCs w:val="24"/>
              </w:rPr>
            </w:pPr>
            <w:r w:rsidRPr="001A1836">
              <w:rPr>
                <w:sz w:val="20"/>
                <w:szCs w:val="24"/>
              </w:rPr>
              <w:t>Number of urgent request</w:t>
            </w:r>
            <w:r w:rsidR="00747264" w:rsidRPr="001A1836">
              <w:rPr>
                <w:sz w:val="20"/>
                <w:szCs w:val="24"/>
              </w:rPr>
              <w:t>s</w:t>
            </w:r>
            <w:r w:rsidRPr="001A1836">
              <w:rPr>
                <w:sz w:val="20"/>
                <w:szCs w:val="24"/>
              </w:rPr>
              <w:t xml:space="preserve"> for support to HSE, local authorities and other enforcement agencies responded to within 1 </w:t>
            </w:r>
            <w:r w:rsidR="00762554" w:rsidRPr="001A1836">
              <w:rPr>
                <w:sz w:val="20"/>
                <w:szCs w:val="24"/>
              </w:rPr>
              <w:t>W</w:t>
            </w:r>
            <w:r w:rsidRPr="001A1836">
              <w:rPr>
                <w:sz w:val="20"/>
                <w:szCs w:val="24"/>
              </w:rPr>
              <w:t xml:space="preserve">orking </w:t>
            </w:r>
            <w:r w:rsidR="00762554" w:rsidRPr="001A1836">
              <w:rPr>
                <w:sz w:val="20"/>
                <w:szCs w:val="24"/>
              </w:rPr>
              <w:t>H</w:t>
            </w:r>
            <w:r w:rsidRPr="001A1836">
              <w:rPr>
                <w:sz w:val="20"/>
                <w:szCs w:val="24"/>
              </w:rPr>
              <w:t xml:space="preserve">our of receipt, expressed as a percentage of the total number of urgent requests received. </w:t>
            </w:r>
          </w:p>
          <w:p w14:paraId="46D9E9C5" w14:textId="520B015F" w:rsidR="00B074CC" w:rsidRPr="001A1836" w:rsidRDefault="00B074CC" w:rsidP="00626054">
            <w:pPr>
              <w:rPr>
                <w:sz w:val="20"/>
                <w:szCs w:val="24"/>
              </w:rPr>
            </w:pPr>
            <w:r w:rsidRPr="001A1836">
              <w:rPr>
                <w:sz w:val="20"/>
                <w:szCs w:val="24"/>
              </w:rPr>
              <w:t>For a request to be counted as ‘responded to’, it must be logged, acknowledged and a date and time offered for site visit.</w:t>
            </w:r>
          </w:p>
          <w:p w14:paraId="30E9F86B" w14:textId="77777777" w:rsidR="00B074CC" w:rsidRPr="001A1836" w:rsidRDefault="00B074CC" w:rsidP="00626054">
            <w:pPr>
              <w:rPr>
                <w:sz w:val="20"/>
                <w:szCs w:val="24"/>
              </w:rPr>
            </w:pPr>
            <w:r w:rsidRPr="001A1836">
              <w:rPr>
                <w:sz w:val="20"/>
                <w:szCs w:val="24"/>
              </w:rPr>
              <w:t>If initial request is made by telephone, the hour to respond starts with the time the phone call is received.</w:t>
            </w:r>
          </w:p>
          <w:p w14:paraId="1AEBF026" w14:textId="77777777" w:rsidR="00B074CC" w:rsidRPr="001A1836" w:rsidRDefault="00B074CC" w:rsidP="00626054">
            <w:pPr>
              <w:rPr>
                <w:sz w:val="20"/>
                <w:szCs w:val="24"/>
              </w:rPr>
            </w:pPr>
            <w:r w:rsidRPr="001A1836">
              <w:rPr>
                <w:sz w:val="20"/>
                <w:szCs w:val="24"/>
              </w:rPr>
              <w:t>(Reference to HSE below includes local authorities and other enforcement agencies.)</w:t>
            </w:r>
          </w:p>
        </w:tc>
      </w:tr>
      <w:tr w:rsidR="00B074CC" w:rsidRPr="001A1836" w14:paraId="40186F64" w14:textId="77777777" w:rsidTr="004F1C82">
        <w:tc>
          <w:tcPr>
            <w:tcW w:w="2029" w:type="dxa"/>
            <w:shd w:val="clear" w:color="auto" w:fill="auto"/>
          </w:tcPr>
          <w:p w14:paraId="10367131" w14:textId="0B407800" w:rsidR="00B074CC" w:rsidRPr="001A1836" w:rsidRDefault="00B074CC" w:rsidP="00626054">
            <w:pPr>
              <w:rPr>
                <w:sz w:val="20"/>
                <w:szCs w:val="24"/>
              </w:rPr>
            </w:pPr>
            <w:r w:rsidRPr="001A1836">
              <w:rPr>
                <w:sz w:val="20"/>
                <w:szCs w:val="24"/>
              </w:rPr>
              <w:t xml:space="preserve">Service </w:t>
            </w:r>
            <w:r w:rsidR="00747264" w:rsidRPr="001A1836">
              <w:rPr>
                <w:sz w:val="20"/>
                <w:szCs w:val="24"/>
              </w:rPr>
              <w:t>L</w:t>
            </w:r>
            <w:r w:rsidRPr="001A1836">
              <w:rPr>
                <w:sz w:val="20"/>
                <w:szCs w:val="24"/>
              </w:rPr>
              <w:t>evel calculation</w:t>
            </w:r>
          </w:p>
        </w:tc>
        <w:tc>
          <w:tcPr>
            <w:tcW w:w="6577" w:type="dxa"/>
            <w:gridSpan w:val="2"/>
            <w:shd w:val="clear" w:color="auto" w:fill="auto"/>
          </w:tcPr>
          <w:p w14:paraId="13A12491" w14:textId="77777777" w:rsidR="00B074CC" w:rsidRPr="001A1836" w:rsidRDefault="00B074CC" w:rsidP="00626054">
            <w:pPr>
              <w:rPr>
                <w:sz w:val="20"/>
                <w:szCs w:val="24"/>
              </w:rPr>
            </w:pPr>
            <w:r w:rsidRPr="001A1836">
              <w:rPr>
                <w:sz w:val="20"/>
                <w:szCs w:val="24"/>
              </w:rPr>
              <w:t>A / B x 100</w:t>
            </w:r>
          </w:p>
          <w:p w14:paraId="28049842" w14:textId="77777777" w:rsidR="00B074CC" w:rsidRPr="001A1836" w:rsidRDefault="00B074CC" w:rsidP="00626054">
            <w:pPr>
              <w:rPr>
                <w:sz w:val="20"/>
                <w:szCs w:val="24"/>
              </w:rPr>
            </w:pPr>
          </w:p>
          <w:p w14:paraId="5351DDB0" w14:textId="77777777" w:rsidR="00B074CC" w:rsidRPr="001A1836" w:rsidRDefault="00B074CC" w:rsidP="00626054">
            <w:pPr>
              <w:rPr>
                <w:sz w:val="20"/>
                <w:szCs w:val="24"/>
              </w:rPr>
            </w:pPr>
            <w:r w:rsidRPr="001A1836">
              <w:rPr>
                <w:sz w:val="20"/>
                <w:szCs w:val="24"/>
              </w:rPr>
              <w:t>Where:</w:t>
            </w:r>
          </w:p>
          <w:p w14:paraId="06B28E3F" w14:textId="1DFC2C4C" w:rsidR="00B074CC" w:rsidRPr="001A1836" w:rsidRDefault="00B074CC" w:rsidP="00626054">
            <w:pPr>
              <w:rPr>
                <w:sz w:val="20"/>
                <w:szCs w:val="24"/>
              </w:rPr>
            </w:pPr>
            <w:r w:rsidRPr="001A1836">
              <w:rPr>
                <w:sz w:val="20"/>
                <w:szCs w:val="24"/>
              </w:rPr>
              <w:t xml:space="preserve">A = Number of urgent requests for support responded to within 1 </w:t>
            </w:r>
            <w:r w:rsidR="00762554" w:rsidRPr="001A1836">
              <w:rPr>
                <w:sz w:val="20"/>
                <w:szCs w:val="24"/>
              </w:rPr>
              <w:t>W</w:t>
            </w:r>
            <w:r w:rsidR="00D20DF1" w:rsidRPr="001A1836">
              <w:rPr>
                <w:sz w:val="20"/>
                <w:szCs w:val="24"/>
              </w:rPr>
              <w:t xml:space="preserve">orking </w:t>
            </w:r>
            <w:r w:rsidR="00762554" w:rsidRPr="001A1836">
              <w:rPr>
                <w:sz w:val="20"/>
                <w:szCs w:val="24"/>
              </w:rPr>
              <w:t>H</w:t>
            </w:r>
            <w:r w:rsidRPr="001A1836">
              <w:rPr>
                <w:sz w:val="20"/>
                <w:szCs w:val="24"/>
              </w:rPr>
              <w:t>our</w:t>
            </w:r>
          </w:p>
          <w:p w14:paraId="0B07AA2E" w14:textId="77777777" w:rsidR="00B074CC" w:rsidRPr="001A1836" w:rsidRDefault="00B074CC" w:rsidP="00626054">
            <w:pPr>
              <w:rPr>
                <w:sz w:val="20"/>
                <w:szCs w:val="24"/>
              </w:rPr>
            </w:pPr>
            <w:r w:rsidRPr="001A1836">
              <w:rPr>
                <w:sz w:val="20"/>
                <w:szCs w:val="24"/>
              </w:rPr>
              <w:t>B = Number of urgent requests for support made by HSE</w:t>
            </w:r>
          </w:p>
        </w:tc>
      </w:tr>
      <w:tr w:rsidR="00B074CC" w:rsidRPr="001A1836" w14:paraId="724D554F" w14:textId="77777777" w:rsidTr="004F1C82">
        <w:tc>
          <w:tcPr>
            <w:tcW w:w="2029" w:type="dxa"/>
            <w:shd w:val="clear" w:color="auto" w:fill="auto"/>
          </w:tcPr>
          <w:p w14:paraId="04763084" w14:textId="47CC35C2" w:rsidR="00B074CC" w:rsidRPr="001A1836" w:rsidRDefault="00B074CC" w:rsidP="00626054">
            <w:pPr>
              <w:rPr>
                <w:sz w:val="20"/>
                <w:szCs w:val="24"/>
              </w:rPr>
            </w:pPr>
            <w:r w:rsidRPr="001A1836">
              <w:rPr>
                <w:sz w:val="20"/>
                <w:szCs w:val="24"/>
              </w:rPr>
              <w:t xml:space="preserve">Reporting frequency </w:t>
            </w:r>
          </w:p>
        </w:tc>
        <w:tc>
          <w:tcPr>
            <w:tcW w:w="6577" w:type="dxa"/>
            <w:gridSpan w:val="2"/>
            <w:shd w:val="clear" w:color="auto" w:fill="auto"/>
          </w:tcPr>
          <w:p w14:paraId="452FDB9E" w14:textId="77777777" w:rsidR="00B074CC" w:rsidRPr="001A1836" w:rsidRDefault="00B074CC" w:rsidP="00626054">
            <w:pPr>
              <w:rPr>
                <w:sz w:val="20"/>
                <w:szCs w:val="24"/>
              </w:rPr>
            </w:pPr>
            <w:r w:rsidRPr="001A1836">
              <w:rPr>
                <w:sz w:val="20"/>
                <w:szCs w:val="24"/>
              </w:rPr>
              <w:t>Performance is reported monthly.</w:t>
            </w:r>
          </w:p>
          <w:p w14:paraId="580927EB" w14:textId="17A00400" w:rsidR="00B876A2" w:rsidRPr="001A1836" w:rsidRDefault="00B876A2" w:rsidP="004F1C82">
            <w:pPr>
              <w:rPr>
                <w:sz w:val="20"/>
                <w:szCs w:val="24"/>
              </w:rPr>
            </w:pPr>
          </w:p>
        </w:tc>
      </w:tr>
      <w:tr w:rsidR="004F1C82" w:rsidRPr="001A1836" w14:paraId="4DE12B5B" w14:textId="77777777" w:rsidTr="004F1C82">
        <w:tc>
          <w:tcPr>
            <w:tcW w:w="2029" w:type="dxa"/>
            <w:shd w:val="clear" w:color="auto" w:fill="auto"/>
          </w:tcPr>
          <w:p w14:paraId="4F8D1F08" w14:textId="6C068386" w:rsidR="004F1C82" w:rsidRPr="001A1836" w:rsidDel="00B20DB7" w:rsidRDefault="004F1C82" w:rsidP="004F1C82">
            <w:pPr>
              <w:rPr>
                <w:sz w:val="20"/>
                <w:szCs w:val="24"/>
              </w:rPr>
            </w:pPr>
            <w:r w:rsidRPr="001A1836">
              <w:rPr>
                <w:sz w:val="20"/>
                <w:szCs w:val="24"/>
              </w:rPr>
              <w:t>Service Measurement Period</w:t>
            </w:r>
          </w:p>
        </w:tc>
        <w:tc>
          <w:tcPr>
            <w:tcW w:w="6577" w:type="dxa"/>
            <w:gridSpan w:val="2"/>
            <w:shd w:val="clear" w:color="auto" w:fill="auto"/>
          </w:tcPr>
          <w:p w14:paraId="221E59C8" w14:textId="77777777" w:rsidR="004F1C82" w:rsidRPr="001A1836" w:rsidRDefault="004F1C82" w:rsidP="004F1C82">
            <w:pPr>
              <w:rPr>
                <w:sz w:val="20"/>
                <w:szCs w:val="24"/>
              </w:rPr>
            </w:pPr>
            <w:r w:rsidRPr="001A1836">
              <w:rPr>
                <w:sz w:val="20"/>
                <w:szCs w:val="24"/>
              </w:rPr>
              <w:t xml:space="preserve">Service Credits are calculated annually. </w:t>
            </w:r>
          </w:p>
          <w:p w14:paraId="73EC5E0E" w14:textId="77777777" w:rsidR="004F1C82" w:rsidRPr="001A1836" w:rsidRDefault="004F1C82" w:rsidP="004F1C82">
            <w:pPr>
              <w:rPr>
                <w:sz w:val="20"/>
                <w:szCs w:val="24"/>
              </w:rPr>
            </w:pPr>
          </w:p>
        </w:tc>
      </w:tr>
      <w:tr w:rsidR="004F1C82" w:rsidRPr="001A1836" w14:paraId="7C0936EA" w14:textId="77777777" w:rsidTr="004F1C82">
        <w:tc>
          <w:tcPr>
            <w:tcW w:w="2029" w:type="dxa"/>
            <w:shd w:val="clear" w:color="auto" w:fill="auto"/>
          </w:tcPr>
          <w:p w14:paraId="77FE5BFF" w14:textId="50F0ADE8" w:rsidR="004F1C82" w:rsidRPr="001A1836" w:rsidDel="00B20DB7" w:rsidRDefault="004F1C82" w:rsidP="004F1C82">
            <w:pPr>
              <w:rPr>
                <w:sz w:val="20"/>
                <w:szCs w:val="24"/>
              </w:rPr>
            </w:pPr>
            <w:r w:rsidRPr="001A1836">
              <w:rPr>
                <w:sz w:val="20"/>
                <w:szCs w:val="24"/>
              </w:rPr>
              <w:t>Service Point Application Period</w:t>
            </w:r>
          </w:p>
        </w:tc>
        <w:tc>
          <w:tcPr>
            <w:tcW w:w="6577" w:type="dxa"/>
            <w:gridSpan w:val="2"/>
            <w:shd w:val="clear" w:color="auto" w:fill="auto"/>
          </w:tcPr>
          <w:p w14:paraId="741C4829" w14:textId="28E4E4E0" w:rsidR="004F1C82" w:rsidRPr="001A1836" w:rsidRDefault="00EA4BD8" w:rsidP="004F1C82">
            <w:pPr>
              <w:rPr>
                <w:sz w:val="20"/>
                <w:szCs w:val="24"/>
              </w:rPr>
            </w:pPr>
            <w:r w:rsidRPr="001A1836">
              <w:rPr>
                <w:sz w:val="20"/>
                <w:szCs w:val="24"/>
              </w:rPr>
              <w:t xml:space="preserve">Service Points are applied annually </w:t>
            </w:r>
            <w:r>
              <w:rPr>
                <w:sz w:val="20"/>
                <w:szCs w:val="24"/>
              </w:rPr>
              <w:t xml:space="preserve">in respect of each Contract Year </w:t>
            </w:r>
            <w:r w:rsidRPr="001A1836">
              <w:rPr>
                <w:sz w:val="20"/>
                <w:szCs w:val="24"/>
              </w:rPr>
              <w:t xml:space="preserve">against the </w:t>
            </w:r>
            <w:r>
              <w:rPr>
                <w:sz w:val="20"/>
                <w:szCs w:val="24"/>
              </w:rPr>
              <w:t xml:space="preserve">sum of the </w:t>
            </w:r>
            <w:r w:rsidRPr="001A1836">
              <w:rPr>
                <w:sz w:val="20"/>
                <w:szCs w:val="24"/>
              </w:rPr>
              <w:t xml:space="preserve">Provider’s </w:t>
            </w:r>
            <w:r>
              <w:rPr>
                <w:sz w:val="20"/>
                <w:szCs w:val="24"/>
              </w:rPr>
              <w:t>A</w:t>
            </w:r>
            <w:r w:rsidRPr="001A1836">
              <w:rPr>
                <w:sz w:val="20"/>
                <w:szCs w:val="24"/>
              </w:rPr>
              <w:t xml:space="preserve">greed Operating Costs plus </w:t>
            </w:r>
            <w:r>
              <w:rPr>
                <w:sz w:val="20"/>
                <w:szCs w:val="24"/>
              </w:rPr>
              <w:t xml:space="preserve">Provider </w:t>
            </w:r>
            <w:r w:rsidRPr="001A1836">
              <w:rPr>
                <w:sz w:val="20"/>
                <w:szCs w:val="24"/>
              </w:rPr>
              <w:t xml:space="preserve">Profit for the final month of </w:t>
            </w:r>
            <w:r>
              <w:rPr>
                <w:sz w:val="20"/>
                <w:szCs w:val="24"/>
              </w:rPr>
              <w:t>such</w:t>
            </w:r>
            <w:r w:rsidRPr="001A1836">
              <w:rPr>
                <w:sz w:val="20"/>
                <w:szCs w:val="24"/>
              </w:rPr>
              <w:t xml:space="preserve"> Contract Year.</w:t>
            </w:r>
          </w:p>
        </w:tc>
      </w:tr>
      <w:tr w:rsidR="00B074CC" w:rsidRPr="001A1836" w14:paraId="7D2014A1" w14:textId="77777777" w:rsidTr="004F1C82">
        <w:tc>
          <w:tcPr>
            <w:tcW w:w="2029" w:type="dxa"/>
            <w:shd w:val="clear" w:color="auto" w:fill="auto"/>
          </w:tcPr>
          <w:p w14:paraId="1BCEA9F8" w14:textId="77777777" w:rsidR="00B074CC" w:rsidRPr="001A1836" w:rsidRDefault="00B074CC" w:rsidP="00626054">
            <w:pPr>
              <w:rPr>
                <w:strike/>
                <w:sz w:val="20"/>
                <w:szCs w:val="24"/>
              </w:rPr>
            </w:pPr>
            <w:r w:rsidRPr="001A1836">
              <w:rPr>
                <w:sz w:val="20"/>
                <w:szCs w:val="24"/>
              </w:rPr>
              <w:t>Data capture</w:t>
            </w:r>
          </w:p>
        </w:tc>
        <w:tc>
          <w:tcPr>
            <w:tcW w:w="6577" w:type="dxa"/>
            <w:gridSpan w:val="2"/>
            <w:shd w:val="clear" w:color="auto" w:fill="auto"/>
          </w:tcPr>
          <w:p w14:paraId="625B42B8" w14:textId="77777777" w:rsidR="00B074CC" w:rsidRPr="001A1836" w:rsidRDefault="00B074CC">
            <w:pPr>
              <w:numPr>
                <w:ilvl w:val="0"/>
                <w:numId w:val="23"/>
              </w:numPr>
              <w:rPr>
                <w:sz w:val="20"/>
                <w:szCs w:val="24"/>
              </w:rPr>
            </w:pPr>
            <w:r w:rsidRPr="001A1836">
              <w:rPr>
                <w:sz w:val="20"/>
                <w:szCs w:val="24"/>
              </w:rPr>
              <w:t xml:space="preserve">Number of urgent requests for support from HSE </w:t>
            </w:r>
          </w:p>
          <w:p w14:paraId="621B6C73" w14:textId="14DFA032" w:rsidR="00B074CC" w:rsidRPr="001A1836" w:rsidRDefault="00B074CC">
            <w:pPr>
              <w:numPr>
                <w:ilvl w:val="0"/>
                <w:numId w:val="23"/>
              </w:numPr>
              <w:rPr>
                <w:sz w:val="20"/>
                <w:szCs w:val="24"/>
              </w:rPr>
            </w:pPr>
            <w:r w:rsidRPr="001A1836">
              <w:rPr>
                <w:sz w:val="20"/>
                <w:szCs w:val="24"/>
              </w:rPr>
              <w:t xml:space="preserve">Number of urgent requests responded to within 1 </w:t>
            </w:r>
            <w:r w:rsidR="00762554" w:rsidRPr="001A1836">
              <w:rPr>
                <w:sz w:val="20"/>
                <w:szCs w:val="24"/>
              </w:rPr>
              <w:t>W</w:t>
            </w:r>
            <w:r w:rsidR="00D20DF1" w:rsidRPr="001A1836">
              <w:rPr>
                <w:sz w:val="20"/>
                <w:szCs w:val="24"/>
              </w:rPr>
              <w:t xml:space="preserve">orking </w:t>
            </w:r>
            <w:r w:rsidR="00762554" w:rsidRPr="001A1836">
              <w:rPr>
                <w:sz w:val="20"/>
                <w:szCs w:val="24"/>
              </w:rPr>
              <w:t>H</w:t>
            </w:r>
            <w:r w:rsidRPr="001A1836">
              <w:rPr>
                <w:sz w:val="20"/>
                <w:szCs w:val="24"/>
              </w:rPr>
              <w:t>our</w:t>
            </w:r>
          </w:p>
          <w:p w14:paraId="511C6F4A" w14:textId="77777777" w:rsidR="00B074CC" w:rsidRPr="001A1836" w:rsidRDefault="00B074CC">
            <w:pPr>
              <w:numPr>
                <w:ilvl w:val="0"/>
                <w:numId w:val="23"/>
              </w:numPr>
              <w:rPr>
                <w:sz w:val="20"/>
                <w:szCs w:val="24"/>
              </w:rPr>
            </w:pPr>
            <w:r w:rsidRPr="001A1836">
              <w:rPr>
                <w:sz w:val="20"/>
                <w:szCs w:val="24"/>
              </w:rPr>
              <w:t>Date and time request received</w:t>
            </w:r>
          </w:p>
          <w:p w14:paraId="4AE638DB" w14:textId="77777777" w:rsidR="00B074CC" w:rsidRPr="001A1836" w:rsidRDefault="00B074CC">
            <w:pPr>
              <w:numPr>
                <w:ilvl w:val="0"/>
                <w:numId w:val="23"/>
              </w:numPr>
              <w:rPr>
                <w:sz w:val="20"/>
                <w:szCs w:val="24"/>
              </w:rPr>
            </w:pPr>
            <w:r w:rsidRPr="001A1836">
              <w:rPr>
                <w:sz w:val="20"/>
                <w:szCs w:val="24"/>
              </w:rPr>
              <w:t>Date and time request responded to</w:t>
            </w:r>
          </w:p>
        </w:tc>
      </w:tr>
      <w:tr w:rsidR="00B074CC" w:rsidRPr="001A1836" w14:paraId="56170B3A" w14:textId="77777777" w:rsidTr="004F1C82">
        <w:tc>
          <w:tcPr>
            <w:tcW w:w="2029" w:type="dxa"/>
            <w:shd w:val="clear" w:color="auto" w:fill="auto"/>
          </w:tcPr>
          <w:p w14:paraId="52C453FB" w14:textId="77777777" w:rsidR="00B074CC" w:rsidRPr="001A1836" w:rsidRDefault="00B074CC" w:rsidP="00626054">
            <w:pPr>
              <w:rPr>
                <w:sz w:val="20"/>
                <w:szCs w:val="24"/>
              </w:rPr>
            </w:pPr>
            <w:r w:rsidRPr="001A1836">
              <w:rPr>
                <w:sz w:val="20"/>
                <w:szCs w:val="24"/>
              </w:rPr>
              <w:t>Impact</w:t>
            </w:r>
          </w:p>
        </w:tc>
        <w:tc>
          <w:tcPr>
            <w:tcW w:w="6577" w:type="dxa"/>
            <w:gridSpan w:val="2"/>
            <w:shd w:val="clear" w:color="auto" w:fill="auto"/>
          </w:tcPr>
          <w:p w14:paraId="50D6A8D0" w14:textId="77777777" w:rsidR="00B074CC" w:rsidRPr="001A1836" w:rsidRDefault="00B074CC" w:rsidP="00626054">
            <w:pPr>
              <w:rPr>
                <w:sz w:val="20"/>
                <w:szCs w:val="24"/>
              </w:rPr>
            </w:pPr>
            <w:r w:rsidRPr="001A1836">
              <w:rPr>
                <w:sz w:val="20"/>
                <w:szCs w:val="24"/>
              </w:rPr>
              <w:t>High</w:t>
            </w:r>
          </w:p>
        </w:tc>
      </w:tr>
      <w:tr w:rsidR="00B074CC" w:rsidRPr="001A1836" w14:paraId="0758E0BC" w14:textId="77777777" w:rsidTr="004F1C82">
        <w:tc>
          <w:tcPr>
            <w:tcW w:w="2029" w:type="dxa"/>
            <w:shd w:val="clear" w:color="auto" w:fill="auto"/>
          </w:tcPr>
          <w:p w14:paraId="4D169DD7" w14:textId="77777777" w:rsidR="00B074CC" w:rsidRPr="001A1836" w:rsidRDefault="00B074CC" w:rsidP="00626054">
            <w:pPr>
              <w:rPr>
                <w:sz w:val="20"/>
                <w:szCs w:val="24"/>
              </w:rPr>
            </w:pPr>
            <w:r w:rsidRPr="001A1836">
              <w:rPr>
                <w:sz w:val="20"/>
                <w:szCs w:val="24"/>
              </w:rPr>
              <w:t>Criticality</w:t>
            </w:r>
          </w:p>
        </w:tc>
        <w:tc>
          <w:tcPr>
            <w:tcW w:w="6577" w:type="dxa"/>
            <w:gridSpan w:val="2"/>
            <w:shd w:val="clear" w:color="auto" w:fill="auto"/>
          </w:tcPr>
          <w:p w14:paraId="77B21EEA" w14:textId="77777777" w:rsidR="00B074CC" w:rsidRPr="001A1836" w:rsidRDefault="00B074CC" w:rsidP="00626054">
            <w:pPr>
              <w:rPr>
                <w:sz w:val="20"/>
                <w:szCs w:val="24"/>
              </w:rPr>
            </w:pPr>
            <w:r w:rsidRPr="001A1836">
              <w:rPr>
                <w:sz w:val="20"/>
                <w:szCs w:val="24"/>
              </w:rPr>
              <w:t>A</w:t>
            </w:r>
          </w:p>
        </w:tc>
      </w:tr>
      <w:tr w:rsidR="00B074CC" w:rsidRPr="001A1836" w14:paraId="5666ACDD" w14:textId="77777777" w:rsidTr="004F1C82">
        <w:tc>
          <w:tcPr>
            <w:tcW w:w="2029" w:type="dxa"/>
            <w:shd w:val="clear" w:color="auto" w:fill="auto"/>
          </w:tcPr>
          <w:p w14:paraId="77B24B29" w14:textId="77777777" w:rsidR="00B074CC" w:rsidRPr="001A1836" w:rsidRDefault="00B074CC" w:rsidP="00626054">
            <w:pPr>
              <w:rPr>
                <w:sz w:val="20"/>
                <w:szCs w:val="24"/>
              </w:rPr>
            </w:pPr>
            <w:r w:rsidRPr="001A1836">
              <w:rPr>
                <w:sz w:val="20"/>
                <w:szCs w:val="24"/>
              </w:rPr>
              <w:t>Service Level Performance Measure</w:t>
            </w:r>
          </w:p>
        </w:tc>
        <w:tc>
          <w:tcPr>
            <w:tcW w:w="6577" w:type="dxa"/>
            <w:gridSpan w:val="2"/>
            <w:shd w:val="clear" w:color="auto" w:fill="auto"/>
          </w:tcPr>
          <w:p w14:paraId="0DFA4CF3" w14:textId="51752436" w:rsidR="00B074CC" w:rsidRPr="001A1836" w:rsidRDefault="00B074CC" w:rsidP="00626054">
            <w:pPr>
              <w:rPr>
                <w:sz w:val="20"/>
                <w:szCs w:val="24"/>
              </w:rPr>
            </w:pPr>
            <w:r w:rsidRPr="001A1836">
              <w:rPr>
                <w:sz w:val="20"/>
                <w:szCs w:val="24"/>
              </w:rPr>
              <w:t xml:space="preserve">100% of urgent requests responded to within 1 </w:t>
            </w:r>
            <w:r w:rsidR="00762554" w:rsidRPr="001A1836">
              <w:rPr>
                <w:sz w:val="20"/>
                <w:szCs w:val="24"/>
              </w:rPr>
              <w:t>W</w:t>
            </w:r>
            <w:r w:rsidR="00D20DF1" w:rsidRPr="001A1836">
              <w:rPr>
                <w:sz w:val="20"/>
                <w:szCs w:val="24"/>
              </w:rPr>
              <w:t xml:space="preserve">orking </w:t>
            </w:r>
            <w:r w:rsidR="00762554" w:rsidRPr="001A1836">
              <w:rPr>
                <w:sz w:val="20"/>
                <w:szCs w:val="24"/>
              </w:rPr>
              <w:t>H</w:t>
            </w:r>
            <w:r w:rsidRPr="001A1836">
              <w:rPr>
                <w:sz w:val="20"/>
                <w:szCs w:val="24"/>
              </w:rPr>
              <w:t>our</w:t>
            </w:r>
          </w:p>
        </w:tc>
      </w:tr>
      <w:tr w:rsidR="00B074CC" w:rsidRPr="001A1836" w14:paraId="3B7DE8CC" w14:textId="77777777" w:rsidTr="004F1C82">
        <w:tc>
          <w:tcPr>
            <w:tcW w:w="2029" w:type="dxa"/>
            <w:shd w:val="clear" w:color="auto" w:fill="auto"/>
          </w:tcPr>
          <w:p w14:paraId="3C028908" w14:textId="77777777" w:rsidR="00B074CC" w:rsidRPr="001A1836" w:rsidRDefault="00B074CC" w:rsidP="00626054">
            <w:pPr>
              <w:rPr>
                <w:sz w:val="20"/>
                <w:szCs w:val="24"/>
              </w:rPr>
            </w:pPr>
          </w:p>
        </w:tc>
        <w:tc>
          <w:tcPr>
            <w:tcW w:w="4678" w:type="dxa"/>
            <w:shd w:val="clear" w:color="auto" w:fill="auto"/>
          </w:tcPr>
          <w:p w14:paraId="484FBD37" w14:textId="77777777" w:rsidR="00B074CC" w:rsidRPr="001A1836" w:rsidRDefault="00B074CC" w:rsidP="00626054">
            <w:pPr>
              <w:rPr>
                <w:b/>
                <w:sz w:val="20"/>
                <w:szCs w:val="24"/>
              </w:rPr>
            </w:pPr>
            <w:r w:rsidRPr="001A1836">
              <w:rPr>
                <w:b/>
                <w:sz w:val="20"/>
                <w:szCs w:val="24"/>
              </w:rPr>
              <w:t>Service Level Performance Measure</w:t>
            </w:r>
          </w:p>
        </w:tc>
        <w:tc>
          <w:tcPr>
            <w:tcW w:w="1899" w:type="dxa"/>
            <w:shd w:val="clear" w:color="auto" w:fill="auto"/>
          </w:tcPr>
          <w:p w14:paraId="361AC17F" w14:textId="77777777" w:rsidR="00B074CC" w:rsidRPr="001A1836" w:rsidRDefault="00B074CC" w:rsidP="00626054">
            <w:pPr>
              <w:rPr>
                <w:b/>
                <w:sz w:val="20"/>
                <w:szCs w:val="24"/>
              </w:rPr>
            </w:pPr>
            <w:r w:rsidRPr="001A1836">
              <w:rPr>
                <w:b/>
                <w:sz w:val="20"/>
                <w:szCs w:val="24"/>
              </w:rPr>
              <w:t>Service points</w:t>
            </w:r>
          </w:p>
        </w:tc>
      </w:tr>
      <w:tr w:rsidR="00B074CC" w:rsidRPr="001A1836" w14:paraId="060F0995" w14:textId="77777777" w:rsidTr="004F1C82">
        <w:tc>
          <w:tcPr>
            <w:tcW w:w="2029" w:type="dxa"/>
            <w:shd w:val="clear" w:color="auto" w:fill="auto"/>
          </w:tcPr>
          <w:p w14:paraId="6858B4C5" w14:textId="70C63230" w:rsidR="00B074CC" w:rsidRPr="001A1836" w:rsidRDefault="00B074CC" w:rsidP="00626054">
            <w:pPr>
              <w:rPr>
                <w:strike/>
                <w:sz w:val="20"/>
                <w:szCs w:val="24"/>
              </w:rPr>
            </w:pPr>
            <w:r w:rsidRPr="001A1836">
              <w:rPr>
                <w:sz w:val="20"/>
                <w:szCs w:val="24"/>
              </w:rPr>
              <w:t xml:space="preserve">Service </w:t>
            </w:r>
            <w:r w:rsidR="00747264" w:rsidRPr="001A1836">
              <w:rPr>
                <w:sz w:val="20"/>
                <w:szCs w:val="24"/>
              </w:rPr>
              <w:t>L</w:t>
            </w:r>
            <w:r w:rsidRPr="001A1836">
              <w:rPr>
                <w:sz w:val="20"/>
                <w:szCs w:val="24"/>
              </w:rPr>
              <w:t>evel met</w:t>
            </w:r>
          </w:p>
        </w:tc>
        <w:tc>
          <w:tcPr>
            <w:tcW w:w="4678" w:type="dxa"/>
            <w:shd w:val="clear" w:color="auto" w:fill="auto"/>
          </w:tcPr>
          <w:p w14:paraId="2E1BE187" w14:textId="1410E556" w:rsidR="00B074CC" w:rsidRPr="001A1836" w:rsidRDefault="00B074CC" w:rsidP="00626054">
            <w:pPr>
              <w:rPr>
                <w:color w:val="FF0000"/>
                <w:sz w:val="20"/>
                <w:szCs w:val="24"/>
              </w:rPr>
            </w:pPr>
            <w:r w:rsidRPr="001A1836">
              <w:rPr>
                <w:sz w:val="20"/>
                <w:szCs w:val="24"/>
              </w:rPr>
              <w:t xml:space="preserve">100% </w:t>
            </w:r>
          </w:p>
        </w:tc>
        <w:tc>
          <w:tcPr>
            <w:tcW w:w="1899" w:type="dxa"/>
            <w:shd w:val="clear" w:color="auto" w:fill="auto"/>
          </w:tcPr>
          <w:p w14:paraId="7EA7CA76" w14:textId="77777777" w:rsidR="00B074CC" w:rsidRPr="001A1836" w:rsidRDefault="00B074CC" w:rsidP="00626054">
            <w:pPr>
              <w:rPr>
                <w:sz w:val="20"/>
                <w:szCs w:val="24"/>
              </w:rPr>
            </w:pPr>
            <w:r w:rsidRPr="001A1836">
              <w:rPr>
                <w:sz w:val="20"/>
                <w:szCs w:val="24"/>
              </w:rPr>
              <w:t>0</w:t>
            </w:r>
          </w:p>
        </w:tc>
      </w:tr>
      <w:tr w:rsidR="00B074CC" w:rsidRPr="001A1836" w14:paraId="6A37ABB2" w14:textId="77777777" w:rsidTr="004F1C82">
        <w:tc>
          <w:tcPr>
            <w:tcW w:w="2029" w:type="dxa"/>
            <w:shd w:val="clear" w:color="auto" w:fill="auto"/>
          </w:tcPr>
          <w:p w14:paraId="09EF3E39" w14:textId="77777777" w:rsidR="00B074CC" w:rsidRPr="001A1836" w:rsidRDefault="00B074CC" w:rsidP="00626054">
            <w:pPr>
              <w:rPr>
                <w:sz w:val="20"/>
                <w:szCs w:val="24"/>
              </w:rPr>
            </w:pPr>
            <w:r w:rsidRPr="001A1836">
              <w:rPr>
                <w:sz w:val="20"/>
                <w:szCs w:val="24"/>
              </w:rPr>
              <w:t>Minor Service Level Failure</w:t>
            </w:r>
          </w:p>
        </w:tc>
        <w:tc>
          <w:tcPr>
            <w:tcW w:w="4678" w:type="dxa"/>
            <w:shd w:val="clear" w:color="auto" w:fill="auto"/>
          </w:tcPr>
          <w:p w14:paraId="3A32C0D0" w14:textId="2F7DAA18" w:rsidR="00B074CC" w:rsidRPr="001A1836" w:rsidRDefault="00B074CC" w:rsidP="00626054">
            <w:pPr>
              <w:rPr>
                <w:sz w:val="20"/>
                <w:szCs w:val="24"/>
              </w:rPr>
            </w:pPr>
            <w:r w:rsidRPr="001A1836">
              <w:rPr>
                <w:sz w:val="20"/>
                <w:szCs w:val="24"/>
              </w:rPr>
              <w:t xml:space="preserve">Less than 100% but greater than 95% </w:t>
            </w:r>
          </w:p>
        </w:tc>
        <w:tc>
          <w:tcPr>
            <w:tcW w:w="1899" w:type="dxa"/>
            <w:shd w:val="clear" w:color="auto" w:fill="auto"/>
          </w:tcPr>
          <w:p w14:paraId="481BB691" w14:textId="77777777" w:rsidR="00B074CC" w:rsidRPr="001A1836" w:rsidRDefault="00B074CC" w:rsidP="00626054">
            <w:pPr>
              <w:rPr>
                <w:sz w:val="20"/>
                <w:szCs w:val="24"/>
              </w:rPr>
            </w:pPr>
            <w:r w:rsidRPr="001A1836">
              <w:rPr>
                <w:sz w:val="20"/>
                <w:szCs w:val="24"/>
              </w:rPr>
              <w:t>3.0</w:t>
            </w:r>
          </w:p>
        </w:tc>
      </w:tr>
      <w:tr w:rsidR="00B074CC" w:rsidRPr="001A1836" w14:paraId="57F959B3" w14:textId="77777777" w:rsidTr="004F1C82">
        <w:tc>
          <w:tcPr>
            <w:tcW w:w="2029" w:type="dxa"/>
            <w:shd w:val="clear" w:color="auto" w:fill="auto"/>
          </w:tcPr>
          <w:p w14:paraId="74C2AF64" w14:textId="77777777" w:rsidR="00B074CC" w:rsidRPr="001A1836" w:rsidRDefault="00B074CC" w:rsidP="00626054">
            <w:pPr>
              <w:rPr>
                <w:sz w:val="20"/>
                <w:szCs w:val="24"/>
              </w:rPr>
            </w:pPr>
            <w:r w:rsidRPr="001A1836">
              <w:rPr>
                <w:sz w:val="20"/>
                <w:szCs w:val="24"/>
              </w:rPr>
              <w:t>Moderate Service Level Failure</w:t>
            </w:r>
          </w:p>
        </w:tc>
        <w:tc>
          <w:tcPr>
            <w:tcW w:w="4678" w:type="dxa"/>
            <w:shd w:val="clear" w:color="auto" w:fill="auto"/>
          </w:tcPr>
          <w:p w14:paraId="6BCF8676" w14:textId="77777777" w:rsidR="00B074CC" w:rsidRPr="001A1836" w:rsidRDefault="00B074CC" w:rsidP="00626054">
            <w:pPr>
              <w:rPr>
                <w:sz w:val="20"/>
                <w:szCs w:val="24"/>
              </w:rPr>
            </w:pPr>
            <w:r w:rsidRPr="001A1836">
              <w:rPr>
                <w:sz w:val="20"/>
                <w:szCs w:val="24"/>
              </w:rPr>
              <w:t xml:space="preserve">Between 95% and 90% inclusive </w:t>
            </w:r>
          </w:p>
        </w:tc>
        <w:tc>
          <w:tcPr>
            <w:tcW w:w="1899" w:type="dxa"/>
            <w:shd w:val="clear" w:color="auto" w:fill="auto"/>
          </w:tcPr>
          <w:p w14:paraId="136655E1" w14:textId="77777777" w:rsidR="00B074CC" w:rsidRPr="001A1836" w:rsidRDefault="00B074CC" w:rsidP="00626054">
            <w:pPr>
              <w:rPr>
                <w:sz w:val="20"/>
                <w:szCs w:val="24"/>
              </w:rPr>
            </w:pPr>
            <w:r w:rsidRPr="001A1836">
              <w:rPr>
                <w:sz w:val="20"/>
                <w:szCs w:val="24"/>
              </w:rPr>
              <w:t>6.0</w:t>
            </w:r>
          </w:p>
        </w:tc>
      </w:tr>
      <w:tr w:rsidR="00B074CC" w:rsidRPr="001A1836" w14:paraId="33FD1705" w14:textId="77777777" w:rsidTr="004F1C82">
        <w:tc>
          <w:tcPr>
            <w:tcW w:w="2029" w:type="dxa"/>
            <w:shd w:val="clear" w:color="auto" w:fill="auto"/>
          </w:tcPr>
          <w:p w14:paraId="13F31460" w14:textId="77777777" w:rsidR="00B074CC" w:rsidRPr="001A1836" w:rsidRDefault="00B074CC" w:rsidP="00626054">
            <w:pPr>
              <w:rPr>
                <w:sz w:val="20"/>
                <w:szCs w:val="24"/>
              </w:rPr>
            </w:pPr>
            <w:r w:rsidRPr="001A1836">
              <w:rPr>
                <w:sz w:val="20"/>
                <w:szCs w:val="24"/>
              </w:rPr>
              <w:t>Major Service Level Failure</w:t>
            </w:r>
          </w:p>
        </w:tc>
        <w:tc>
          <w:tcPr>
            <w:tcW w:w="4678" w:type="dxa"/>
            <w:shd w:val="clear" w:color="auto" w:fill="auto"/>
          </w:tcPr>
          <w:p w14:paraId="6F617360" w14:textId="77777777" w:rsidR="00B074CC" w:rsidRPr="001A1836" w:rsidRDefault="00B074CC" w:rsidP="00626054">
            <w:pPr>
              <w:rPr>
                <w:sz w:val="20"/>
                <w:szCs w:val="24"/>
              </w:rPr>
            </w:pPr>
            <w:r w:rsidRPr="001A1836">
              <w:rPr>
                <w:sz w:val="20"/>
                <w:szCs w:val="24"/>
              </w:rPr>
              <w:t xml:space="preserve">Less than 90% </w:t>
            </w:r>
          </w:p>
        </w:tc>
        <w:tc>
          <w:tcPr>
            <w:tcW w:w="1899" w:type="dxa"/>
            <w:shd w:val="clear" w:color="auto" w:fill="auto"/>
          </w:tcPr>
          <w:p w14:paraId="0894152D" w14:textId="77777777" w:rsidR="00B074CC" w:rsidRPr="001A1836" w:rsidRDefault="00B074CC" w:rsidP="00626054">
            <w:pPr>
              <w:rPr>
                <w:sz w:val="20"/>
                <w:szCs w:val="24"/>
              </w:rPr>
            </w:pPr>
            <w:r w:rsidRPr="001A1836">
              <w:rPr>
                <w:sz w:val="20"/>
                <w:szCs w:val="24"/>
              </w:rPr>
              <w:t>9.0</w:t>
            </w:r>
          </w:p>
        </w:tc>
      </w:tr>
    </w:tbl>
    <w:p w14:paraId="0F68F316" w14:textId="77777777" w:rsidR="00B074CC" w:rsidRPr="001A1836" w:rsidRDefault="00B074CC" w:rsidP="00626054">
      <w:pPr>
        <w:spacing w:after="0"/>
        <w:rPr>
          <w:sz w:val="20"/>
          <w:szCs w:val="24"/>
        </w:rPr>
      </w:pPr>
    </w:p>
    <w:p w14:paraId="4842456B" w14:textId="77777777" w:rsidR="00B074CC" w:rsidRPr="001A1836" w:rsidRDefault="00B074CC" w:rsidP="00626054">
      <w:pPr>
        <w:spacing w:after="0"/>
        <w:rPr>
          <w:sz w:val="20"/>
          <w:szCs w:val="24"/>
        </w:rPr>
      </w:pPr>
      <w:r w:rsidRPr="001A1836">
        <w:rPr>
          <w:sz w:val="20"/>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4678"/>
        <w:gridCol w:w="1899"/>
      </w:tblGrid>
      <w:tr w:rsidR="00B074CC" w:rsidRPr="001A1836" w14:paraId="0D41F91C" w14:textId="77777777" w:rsidTr="00B4557D">
        <w:trPr>
          <w:tblHeader/>
        </w:trPr>
        <w:tc>
          <w:tcPr>
            <w:tcW w:w="2029" w:type="dxa"/>
            <w:shd w:val="clear" w:color="auto" w:fill="auto"/>
          </w:tcPr>
          <w:p w14:paraId="316DFD14" w14:textId="77777777" w:rsidR="00B074CC" w:rsidRPr="001A1836" w:rsidRDefault="00B074CC" w:rsidP="00626054">
            <w:pPr>
              <w:rPr>
                <w:b/>
                <w:szCs w:val="24"/>
              </w:rPr>
            </w:pPr>
            <w:bookmarkStart w:id="873" w:name="_Hlk525135423"/>
            <w:r w:rsidRPr="001A1836">
              <w:rPr>
                <w:b/>
                <w:szCs w:val="24"/>
              </w:rPr>
              <w:lastRenderedPageBreak/>
              <w:t>SL05</w:t>
            </w:r>
          </w:p>
        </w:tc>
        <w:tc>
          <w:tcPr>
            <w:tcW w:w="6577" w:type="dxa"/>
            <w:gridSpan w:val="2"/>
            <w:shd w:val="clear" w:color="auto" w:fill="auto"/>
          </w:tcPr>
          <w:p w14:paraId="6392AE9F" w14:textId="1BE9C41B" w:rsidR="00B074CC" w:rsidRPr="001A1836" w:rsidRDefault="00B074CC" w:rsidP="00626054">
            <w:pPr>
              <w:rPr>
                <w:b/>
                <w:szCs w:val="24"/>
              </w:rPr>
            </w:pPr>
            <w:r w:rsidRPr="001A1836">
              <w:rPr>
                <w:b/>
                <w:szCs w:val="24"/>
              </w:rPr>
              <w:t>Support to HSE: % of urgent requests actioned within 3 Working Days</w:t>
            </w:r>
          </w:p>
        </w:tc>
      </w:tr>
      <w:tr w:rsidR="00B074CC" w:rsidRPr="001A1836" w14:paraId="7374CE9C" w14:textId="77777777" w:rsidTr="004F1C82">
        <w:tc>
          <w:tcPr>
            <w:tcW w:w="2029" w:type="dxa"/>
            <w:shd w:val="clear" w:color="auto" w:fill="auto"/>
          </w:tcPr>
          <w:p w14:paraId="36FE5780" w14:textId="7214FDEC" w:rsidR="00B074CC" w:rsidRPr="001A1836" w:rsidRDefault="00B074CC" w:rsidP="00626054">
            <w:pPr>
              <w:rPr>
                <w:sz w:val="20"/>
                <w:szCs w:val="24"/>
              </w:rPr>
            </w:pPr>
            <w:r w:rsidRPr="001A1836">
              <w:rPr>
                <w:sz w:val="20"/>
                <w:szCs w:val="24"/>
              </w:rPr>
              <w:t xml:space="preserve">Service </w:t>
            </w:r>
            <w:r w:rsidR="00747264" w:rsidRPr="001A1836">
              <w:rPr>
                <w:sz w:val="20"/>
                <w:szCs w:val="24"/>
              </w:rPr>
              <w:t>L</w:t>
            </w:r>
            <w:r w:rsidRPr="001A1836">
              <w:rPr>
                <w:sz w:val="20"/>
                <w:szCs w:val="24"/>
              </w:rPr>
              <w:t>evel description</w:t>
            </w:r>
          </w:p>
        </w:tc>
        <w:tc>
          <w:tcPr>
            <w:tcW w:w="6577" w:type="dxa"/>
            <w:gridSpan w:val="2"/>
            <w:shd w:val="clear" w:color="auto" w:fill="auto"/>
          </w:tcPr>
          <w:p w14:paraId="566FA968" w14:textId="2A5E36D4" w:rsidR="00B074CC" w:rsidRPr="001A1836" w:rsidRDefault="00B074CC" w:rsidP="00626054">
            <w:pPr>
              <w:rPr>
                <w:sz w:val="20"/>
                <w:szCs w:val="24"/>
              </w:rPr>
            </w:pPr>
            <w:r w:rsidRPr="001A1836">
              <w:rPr>
                <w:sz w:val="20"/>
                <w:szCs w:val="24"/>
              </w:rPr>
              <w:t>Number of urgent request</w:t>
            </w:r>
            <w:r w:rsidR="00747264" w:rsidRPr="001A1836">
              <w:rPr>
                <w:sz w:val="20"/>
                <w:szCs w:val="24"/>
              </w:rPr>
              <w:t>s</w:t>
            </w:r>
            <w:r w:rsidRPr="001A1836">
              <w:rPr>
                <w:sz w:val="20"/>
                <w:szCs w:val="24"/>
              </w:rPr>
              <w:t xml:space="preserve"> for support to HSE, local authorities and other enforcement agencies actioned (such as site visit) within the next 3 Working Days. </w:t>
            </w:r>
          </w:p>
          <w:p w14:paraId="14438854" w14:textId="77777777" w:rsidR="00B074CC" w:rsidRPr="001A1836" w:rsidRDefault="00B074CC" w:rsidP="00626054">
            <w:pPr>
              <w:rPr>
                <w:sz w:val="20"/>
                <w:szCs w:val="24"/>
              </w:rPr>
            </w:pPr>
            <w:r w:rsidRPr="001A1836">
              <w:rPr>
                <w:sz w:val="20"/>
                <w:szCs w:val="24"/>
              </w:rPr>
              <w:t>For a request to be counted as actioned, the required action (such as site visited and report submitted) must be completed.</w:t>
            </w:r>
          </w:p>
          <w:p w14:paraId="7DD1C4B8" w14:textId="77777777" w:rsidR="00B074CC" w:rsidRPr="001A1836" w:rsidRDefault="00B074CC" w:rsidP="00626054">
            <w:pPr>
              <w:rPr>
                <w:sz w:val="20"/>
                <w:szCs w:val="24"/>
              </w:rPr>
            </w:pPr>
            <w:r w:rsidRPr="001A1836">
              <w:rPr>
                <w:sz w:val="20"/>
                <w:szCs w:val="24"/>
              </w:rPr>
              <w:t>(Reference to HSE below includes local authorities and other enforcement agencies.)</w:t>
            </w:r>
          </w:p>
        </w:tc>
      </w:tr>
      <w:tr w:rsidR="00B074CC" w:rsidRPr="001A1836" w14:paraId="3B26DF19" w14:textId="77777777" w:rsidTr="004F1C82">
        <w:tc>
          <w:tcPr>
            <w:tcW w:w="2029" w:type="dxa"/>
            <w:shd w:val="clear" w:color="auto" w:fill="auto"/>
          </w:tcPr>
          <w:p w14:paraId="63273BF8" w14:textId="2B8634F5" w:rsidR="00B074CC" w:rsidRPr="001A1836" w:rsidRDefault="00B074CC" w:rsidP="00626054">
            <w:pPr>
              <w:rPr>
                <w:sz w:val="20"/>
                <w:szCs w:val="24"/>
              </w:rPr>
            </w:pPr>
            <w:r w:rsidRPr="001A1836">
              <w:rPr>
                <w:sz w:val="20"/>
                <w:szCs w:val="24"/>
              </w:rPr>
              <w:t xml:space="preserve">Service </w:t>
            </w:r>
            <w:r w:rsidR="00747264" w:rsidRPr="001A1836">
              <w:rPr>
                <w:sz w:val="20"/>
                <w:szCs w:val="24"/>
              </w:rPr>
              <w:t>L</w:t>
            </w:r>
            <w:r w:rsidRPr="001A1836">
              <w:rPr>
                <w:sz w:val="20"/>
                <w:szCs w:val="24"/>
              </w:rPr>
              <w:t>evel calculation</w:t>
            </w:r>
          </w:p>
        </w:tc>
        <w:tc>
          <w:tcPr>
            <w:tcW w:w="6577" w:type="dxa"/>
            <w:gridSpan w:val="2"/>
            <w:shd w:val="clear" w:color="auto" w:fill="auto"/>
          </w:tcPr>
          <w:p w14:paraId="73347853" w14:textId="77777777" w:rsidR="00B074CC" w:rsidRPr="001A1836" w:rsidRDefault="00B074CC" w:rsidP="00626054">
            <w:pPr>
              <w:rPr>
                <w:sz w:val="20"/>
                <w:szCs w:val="24"/>
              </w:rPr>
            </w:pPr>
            <w:r w:rsidRPr="001A1836">
              <w:rPr>
                <w:sz w:val="20"/>
                <w:szCs w:val="24"/>
              </w:rPr>
              <w:t>A / B x 100</w:t>
            </w:r>
          </w:p>
          <w:p w14:paraId="3EF9032F" w14:textId="77777777" w:rsidR="00B074CC" w:rsidRPr="001A1836" w:rsidRDefault="00B074CC" w:rsidP="00626054">
            <w:pPr>
              <w:rPr>
                <w:sz w:val="20"/>
                <w:szCs w:val="24"/>
              </w:rPr>
            </w:pPr>
          </w:p>
          <w:p w14:paraId="71FC05CD" w14:textId="77777777" w:rsidR="00B074CC" w:rsidRPr="001A1836" w:rsidRDefault="00B074CC" w:rsidP="00626054">
            <w:pPr>
              <w:rPr>
                <w:sz w:val="20"/>
                <w:szCs w:val="24"/>
              </w:rPr>
            </w:pPr>
            <w:r w:rsidRPr="001A1836">
              <w:rPr>
                <w:sz w:val="20"/>
                <w:szCs w:val="24"/>
              </w:rPr>
              <w:t>Where:</w:t>
            </w:r>
          </w:p>
          <w:p w14:paraId="6C77809B" w14:textId="56AA633C" w:rsidR="00B074CC" w:rsidRPr="001A1836" w:rsidRDefault="00B074CC" w:rsidP="00626054">
            <w:pPr>
              <w:rPr>
                <w:sz w:val="20"/>
                <w:szCs w:val="24"/>
              </w:rPr>
            </w:pPr>
            <w:r w:rsidRPr="001A1836">
              <w:rPr>
                <w:sz w:val="20"/>
                <w:szCs w:val="24"/>
              </w:rPr>
              <w:t>A = Number of urgent requests for support actioned within 3 Working Days</w:t>
            </w:r>
          </w:p>
          <w:p w14:paraId="3F8DB351" w14:textId="77777777" w:rsidR="00B074CC" w:rsidRPr="001A1836" w:rsidRDefault="00B074CC" w:rsidP="00626054">
            <w:pPr>
              <w:rPr>
                <w:sz w:val="20"/>
                <w:szCs w:val="24"/>
              </w:rPr>
            </w:pPr>
            <w:r w:rsidRPr="001A1836">
              <w:rPr>
                <w:sz w:val="20"/>
                <w:szCs w:val="24"/>
              </w:rPr>
              <w:t>B = Number of urgent requests for support made by HSE</w:t>
            </w:r>
          </w:p>
          <w:p w14:paraId="3A2511C1" w14:textId="19C4A42C" w:rsidR="00B074CC" w:rsidRPr="001A1836" w:rsidRDefault="00B074CC" w:rsidP="00626054">
            <w:pPr>
              <w:rPr>
                <w:sz w:val="20"/>
                <w:szCs w:val="24"/>
              </w:rPr>
            </w:pPr>
            <w:r w:rsidRPr="001A1836">
              <w:rPr>
                <w:sz w:val="20"/>
                <w:szCs w:val="24"/>
              </w:rPr>
              <w:t>Urgent requests for support which cannot be actioned within 3 Working Days due to extenuating circumstances (</w:t>
            </w:r>
            <w:r w:rsidR="00DB0E57" w:rsidRPr="001A1836">
              <w:rPr>
                <w:sz w:val="20"/>
                <w:szCs w:val="24"/>
              </w:rPr>
              <w:t xml:space="preserve">including, but not limited to, the </w:t>
            </w:r>
            <w:r w:rsidRPr="001A1836">
              <w:rPr>
                <w:sz w:val="20"/>
                <w:szCs w:val="24"/>
              </w:rPr>
              <w:t>site has not been made safe) can be discounted from calculation with HSE’s agreement.</w:t>
            </w:r>
          </w:p>
        </w:tc>
      </w:tr>
      <w:tr w:rsidR="00B074CC" w:rsidRPr="001A1836" w14:paraId="72E1E31D" w14:textId="77777777" w:rsidTr="004F1C82">
        <w:tc>
          <w:tcPr>
            <w:tcW w:w="2029" w:type="dxa"/>
            <w:shd w:val="clear" w:color="auto" w:fill="auto"/>
          </w:tcPr>
          <w:p w14:paraId="5D498E95" w14:textId="13E955F6" w:rsidR="00B074CC" w:rsidRPr="001A1836" w:rsidRDefault="00B074CC" w:rsidP="00626054">
            <w:pPr>
              <w:rPr>
                <w:sz w:val="20"/>
                <w:szCs w:val="24"/>
              </w:rPr>
            </w:pPr>
            <w:r w:rsidRPr="001A1836">
              <w:rPr>
                <w:sz w:val="20"/>
                <w:szCs w:val="24"/>
              </w:rPr>
              <w:t xml:space="preserve">Reporting frequency </w:t>
            </w:r>
          </w:p>
        </w:tc>
        <w:tc>
          <w:tcPr>
            <w:tcW w:w="6577" w:type="dxa"/>
            <w:gridSpan w:val="2"/>
            <w:shd w:val="clear" w:color="auto" w:fill="auto"/>
          </w:tcPr>
          <w:p w14:paraId="69EFD56D" w14:textId="77777777" w:rsidR="00B074CC" w:rsidRPr="001A1836" w:rsidRDefault="00B074CC" w:rsidP="00626054">
            <w:pPr>
              <w:rPr>
                <w:sz w:val="20"/>
                <w:szCs w:val="24"/>
              </w:rPr>
            </w:pPr>
            <w:r w:rsidRPr="001A1836">
              <w:rPr>
                <w:sz w:val="20"/>
                <w:szCs w:val="24"/>
              </w:rPr>
              <w:t>Performance is reported monthly.</w:t>
            </w:r>
          </w:p>
          <w:p w14:paraId="30DB94A2" w14:textId="093FCE4C" w:rsidR="00B876A2" w:rsidRPr="001A1836" w:rsidRDefault="00B876A2" w:rsidP="0091349E">
            <w:pPr>
              <w:rPr>
                <w:sz w:val="20"/>
                <w:szCs w:val="24"/>
              </w:rPr>
            </w:pPr>
          </w:p>
        </w:tc>
      </w:tr>
      <w:tr w:rsidR="004F1C82" w:rsidRPr="001A1836" w14:paraId="1A447C6B" w14:textId="77777777" w:rsidTr="004F1C82">
        <w:tc>
          <w:tcPr>
            <w:tcW w:w="2029" w:type="dxa"/>
            <w:shd w:val="clear" w:color="auto" w:fill="auto"/>
          </w:tcPr>
          <w:p w14:paraId="5C3ED2D4" w14:textId="7515D99C" w:rsidR="004F1C82" w:rsidRPr="001A1836" w:rsidDel="00B20DB7" w:rsidRDefault="004F1C82" w:rsidP="004F1C82">
            <w:pPr>
              <w:rPr>
                <w:sz w:val="20"/>
                <w:szCs w:val="24"/>
              </w:rPr>
            </w:pPr>
            <w:r w:rsidRPr="001A1836">
              <w:rPr>
                <w:sz w:val="20"/>
                <w:szCs w:val="24"/>
              </w:rPr>
              <w:t>Service Measurement Period</w:t>
            </w:r>
          </w:p>
        </w:tc>
        <w:tc>
          <w:tcPr>
            <w:tcW w:w="6577" w:type="dxa"/>
            <w:gridSpan w:val="2"/>
            <w:shd w:val="clear" w:color="auto" w:fill="auto"/>
          </w:tcPr>
          <w:p w14:paraId="712B03FA" w14:textId="7535F5F4" w:rsidR="004F1C82" w:rsidRPr="001A1836" w:rsidRDefault="004F1C82" w:rsidP="004F1C82">
            <w:pPr>
              <w:rPr>
                <w:sz w:val="20"/>
                <w:szCs w:val="24"/>
              </w:rPr>
            </w:pPr>
            <w:r w:rsidRPr="001A1836">
              <w:rPr>
                <w:sz w:val="20"/>
                <w:szCs w:val="24"/>
              </w:rPr>
              <w:t xml:space="preserve">Service Credits are calculated annually. </w:t>
            </w:r>
          </w:p>
        </w:tc>
      </w:tr>
      <w:tr w:rsidR="004F1C82" w:rsidRPr="001A1836" w14:paraId="1F574D6B" w14:textId="77777777" w:rsidTr="004F1C82">
        <w:tc>
          <w:tcPr>
            <w:tcW w:w="2029" w:type="dxa"/>
            <w:shd w:val="clear" w:color="auto" w:fill="auto"/>
          </w:tcPr>
          <w:p w14:paraId="385D1211" w14:textId="624A3E44" w:rsidR="004F1C82" w:rsidRPr="001A1836" w:rsidDel="00B20DB7" w:rsidRDefault="004F1C82" w:rsidP="004F1C82">
            <w:pPr>
              <w:rPr>
                <w:sz w:val="20"/>
                <w:szCs w:val="24"/>
              </w:rPr>
            </w:pPr>
            <w:r w:rsidRPr="001A1836">
              <w:rPr>
                <w:sz w:val="20"/>
                <w:szCs w:val="24"/>
              </w:rPr>
              <w:t>Service Point Application Period</w:t>
            </w:r>
          </w:p>
        </w:tc>
        <w:tc>
          <w:tcPr>
            <w:tcW w:w="6577" w:type="dxa"/>
            <w:gridSpan w:val="2"/>
            <w:shd w:val="clear" w:color="auto" w:fill="auto"/>
          </w:tcPr>
          <w:p w14:paraId="658AF7F5" w14:textId="359042FE" w:rsidR="004F1C82" w:rsidRPr="001A1836" w:rsidRDefault="00EA4BD8" w:rsidP="004F1C82">
            <w:pPr>
              <w:rPr>
                <w:sz w:val="20"/>
                <w:szCs w:val="24"/>
              </w:rPr>
            </w:pPr>
            <w:r w:rsidRPr="001A1836">
              <w:rPr>
                <w:sz w:val="20"/>
                <w:szCs w:val="24"/>
              </w:rPr>
              <w:t xml:space="preserve">Service Points are applied annually </w:t>
            </w:r>
            <w:r>
              <w:rPr>
                <w:sz w:val="20"/>
                <w:szCs w:val="24"/>
              </w:rPr>
              <w:t xml:space="preserve">in respect of each Contract Year </w:t>
            </w:r>
            <w:r w:rsidRPr="001A1836">
              <w:rPr>
                <w:sz w:val="20"/>
                <w:szCs w:val="24"/>
              </w:rPr>
              <w:t xml:space="preserve">against the </w:t>
            </w:r>
            <w:r>
              <w:rPr>
                <w:sz w:val="20"/>
                <w:szCs w:val="24"/>
              </w:rPr>
              <w:t xml:space="preserve">sum of the </w:t>
            </w:r>
            <w:r w:rsidRPr="001A1836">
              <w:rPr>
                <w:sz w:val="20"/>
                <w:szCs w:val="24"/>
              </w:rPr>
              <w:t xml:space="preserve">Provider’s </w:t>
            </w:r>
            <w:r>
              <w:rPr>
                <w:sz w:val="20"/>
                <w:szCs w:val="24"/>
              </w:rPr>
              <w:t>A</w:t>
            </w:r>
            <w:r w:rsidRPr="001A1836">
              <w:rPr>
                <w:sz w:val="20"/>
                <w:szCs w:val="24"/>
              </w:rPr>
              <w:t xml:space="preserve">greed Operating Costs plus </w:t>
            </w:r>
            <w:r>
              <w:rPr>
                <w:sz w:val="20"/>
                <w:szCs w:val="24"/>
              </w:rPr>
              <w:t xml:space="preserve">Provider </w:t>
            </w:r>
            <w:r w:rsidRPr="001A1836">
              <w:rPr>
                <w:sz w:val="20"/>
                <w:szCs w:val="24"/>
              </w:rPr>
              <w:t xml:space="preserve">Profit for the final month of </w:t>
            </w:r>
            <w:r>
              <w:rPr>
                <w:sz w:val="20"/>
                <w:szCs w:val="24"/>
              </w:rPr>
              <w:t>such</w:t>
            </w:r>
            <w:r w:rsidRPr="001A1836">
              <w:rPr>
                <w:sz w:val="20"/>
                <w:szCs w:val="24"/>
              </w:rPr>
              <w:t xml:space="preserve"> Contract Year</w:t>
            </w:r>
          </w:p>
        </w:tc>
      </w:tr>
      <w:tr w:rsidR="00B074CC" w:rsidRPr="001A1836" w14:paraId="379441A8" w14:textId="77777777" w:rsidTr="004F1C82">
        <w:tc>
          <w:tcPr>
            <w:tcW w:w="2029" w:type="dxa"/>
            <w:shd w:val="clear" w:color="auto" w:fill="auto"/>
          </w:tcPr>
          <w:p w14:paraId="5ED2CEB0" w14:textId="77777777" w:rsidR="00B074CC" w:rsidRPr="001A1836" w:rsidRDefault="00B074CC" w:rsidP="00626054">
            <w:pPr>
              <w:rPr>
                <w:strike/>
                <w:sz w:val="20"/>
                <w:szCs w:val="24"/>
              </w:rPr>
            </w:pPr>
            <w:r w:rsidRPr="001A1836">
              <w:rPr>
                <w:sz w:val="20"/>
                <w:szCs w:val="24"/>
              </w:rPr>
              <w:t>Data capture</w:t>
            </w:r>
          </w:p>
        </w:tc>
        <w:tc>
          <w:tcPr>
            <w:tcW w:w="6577" w:type="dxa"/>
            <w:gridSpan w:val="2"/>
            <w:shd w:val="clear" w:color="auto" w:fill="auto"/>
          </w:tcPr>
          <w:p w14:paraId="58501937" w14:textId="77777777" w:rsidR="00B074CC" w:rsidRPr="001A1836" w:rsidRDefault="00B074CC">
            <w:pPr>
              <w:numPr>
                <w:ilvl w:val="0"/>
                <w:numId w:val="23"/>
              </w:numPr>
              <w:rPr>
                <w:sz w:val="20"/>
                <w:szCs w:val="24"/>
              </w:rPr>
            </w:pPr>
            <w:r w:rsidRPr="001A1836">
              <w:rPr>
                <w:sz w:val="20"/>
                <w:szCs w:val="24"/>
              </w:rPr>
              <w:t xml:space="preserve">Number of urgent requests for support from HSE </w:t>
            </w:r>
          </w:p>
          <w:p w14:paraId="13E446AC" w14:textId="6FD9F4E0" w:rsidR="00B074CC" w:rsidRPr="001A1836" w:rsidRDefault="00B074CC">
            <w:pPr>
              <w:numPr>
                <w:ilvl w:val="0"/>
                <w:numId w:val="23"/>
              </w:numPr>
              <w:rPr>
                <w:sz w:val="20"/>
                <w:szCs w:val="24"/>
              </w:rPr>
            </w:pPr>
            <w:r w:rsidRPr="001A1836">
              <w:rPr>
                <w:sz w:val="20"/>
                <w:szCs w:val="24"/>
              </w:rPr>
              <w:t>Number of urgent requests actioned within 3 Working Days</w:t>
            </w:r>
          </w:p>
          <w:p w14:paraId="3777F958" w14:textId="77777777" w:rsidR="00B074CC" w:rsidRPr="001A1836" w:rsidRDefault="00B074CC">
            <w:pPr>
              <w:numPr>
                <w:ilvl w:val="0"/>
                <w:numId w:val="23"/>
              </w:numPr>
              <w:rPr>
                <w:sz w:val="20"/>
                <w:szCs w:val="24"/>
              </w:rPr>
            </w:pPr>
            <w:r w:rsidRPr="001A1836">
              <w:rPr>
                <w:sz w:val="20"/>
                <w:szCs w:val="24"/>
              </w:rPr>
              <w:t>Date and time request received</w:t>
            </w:r>
          </w:p>
          <w:p w14:paraId="10A57C0A" w14:textId="77777777" w:rsidR="00B074CC" w:rsidRPr="001A1836" w:rsidRDefault="00B074CC">
            <w:pPr>
              <w:numPr>
                <w:ilvl w:val="0"/>
                <w:numId w:val="23"/>
              </w:numPr>
              <w:rPr>
                <w:sz w:val="20"/>
                <w:szCs w:val="24"/>
              </w:rPr>
            </w:pPr>
            <w:r w:rsidRPr="001A1836">
              <w:rPr>
                <w:sz w:val="20"/>
                <w:szCs w:val="24"/>
              </w:rPr>
              <w:t>Date request actioned</w:t>
            </w:r>
          </w:p>
        </w:tc>
      </w:tr>
      <w:tr w:rsidR="00B074CC" w:rsidRPr="001A1836" w14:paraId="0196FE0C" w14:textId="77777777" w:rsidTr="004F1C82">
        <w:tc>
          <w:tcPr>
            <w:tcW w:w="2029" w:type="dxa"/>
            <w:shd w:val="clear" w:color="auto" w:fill="auto"/>
          </w:tcPr>
          <w:p w14:paraId="4DA7A272" w14:textId="77777777" w:rsidR="00B074CC" w:rsidRPr="001A1836" w:rsidRDefault="00B074CC" w:rsidP="00626054">
            <w:pPr>
              <w:rPr>
                <w:sz w:val="20"/>
                <w:szCs w:val="24"/>
              </w:rPr>
            </w:pPr>
            <w:r w:rsidRPr="001A1836">
              <w:rPr>
                <w:sz w:val="20"/>
                <w:szCs w:val="24"/>
              </w:rPr>
              <w:t>Impact</w:t>
            </w:r>
          </w:p>
        </w:tc>
        <w:tc>
          <w:tcPr>
            <w:tcW w:w="6577" w:type="dxa"/>
            <w:gridSpan w:val="2"/>
            <w:shd w:val="clear" w:color="auto" w:fill="auto"/>
          </w:tcPr>
          <w:p w14:paraId="330FD624" w14:textId="77777777" w:rsidR="00B074CC" w:rsidRPr="001A1836" w:rsidRDefault="00B074CC" w:rsidP="00626054">
            <w:pPr>
              <w:rPr>
                <w:sz w:val="20"/>
                <w:szCs w:val="24"/>
              </w:rPr>
            </w:pPr>
            <w:r w:rsidRPr="001A1836">
              <w:rPr>
                <w:sz w:val="20"/>
                <w:szCs w:val="24"/>
              </w:rPr>
              <w:t>High</w:t>
            </w:r>
          </w:p>
        </w:tc>
      </w:tr>
      <w:tr w:rsidR="00B074CC" w:rsidRPr="001A1836" w14:paraId="7EE182BB" w14:textId="77777777" w:rsidTr="004F1C82">
        <w:tc>
          <w:tcPr>
            <w:tcW w:w="2029" w:type="dxa"/>
            <w:shd w:val="clear" w:color="auto" w:fill="auto"/>
          </w:tcPr>
          <w:p w14:paraId="189CB31B" w14:textId="77777777" w:rsidR="00B074CC" w:rsidRPr="001A1836" w:rsidRDefault="00B074CC" w:rsidP="00626054">
            <w:pPr>
              <w:rPr>
                <w:sz w:val="20"/>
                <w:szCs w:val="24"/>
              </w:rPr>
            </w:pPr>
            <w:r w:rsidRPr="001A1836">
              <w:rPr>
                <w:sz w:val="20"/>
                <w:szCs w:val="24"/>
              </w:rPr>
              <w:t>Criticality</w:t>
            </w:r>
          </w:p>
        </w:tc>
        <w:tc>
          <w:tcPr>
            <w:tcW w:w="6577" w:type="dxa"/>
            <w:gridSpan w:val="2"/>
            <w:shd w:val="clear" w:color="auto" w:fill="auto"/>
          </w:tcPr>
          <w:p w14:paraId="4E8FD4BF" w14:textId="77777777" w:rsidR="00B074CC" w:rsidRPr="001A1836" w:rsidRDefault="00B074CC" w:rsidP="00626054">
            <w:pPr>
              <w:rPr>
                <w:sz w:val="20"/>
                <w:szCs w:val="24"/>
              </w:rPr>
            </w:pPr>
            <w:r w:rsidRPr="001A1836">
              <w:rPr>
                <w:sz w:val="20"/>
                <w:szCs w:val="24"/>
              </w:rPr>
              <w:t>A</w:t>
            </w:r>
          </w:p>
        </w:tc>
      </w:tr>
      <w:tr w:rsidR="00B074CC" w:rsidRPr="001A1836" w14:paraId="52C9F952" w14:textId="77777777" w:rsidTr="004F1C82">
        <w:tc>
          <w:tcPr>
            <w:tcW w:w="2029" w:type="dxa"/>
            <w:shd w:val="clear" w:color="auto" w:fill="auto"/>
          </w:tcPr>
          <w:p w14:paraId="2C613247" w14:textId="77777777" w:rsidR="00B074CC" w:rsidRPr="001A1836" w:rsidRDefault="00B074CC" w:rsidP="00626054">
            <w:pPr>
              <w:rPr>
                <w:sz w:val="20"/>
                <w:szCs w:val="24"/>
              </w:rPr>
            </w:pPr>
            <w:r w:rsidRPr="001A1836">
              <w:rPr>
                <w:sz w:val="20"/>
                <w:szCs w:val="24"/>
              </w:rPr>
              <w:t>Service Level Performance Measure</w:t>
            </w:r>
          </w:p>
        </w:tc>
        <w:tc>
          <w:tcPr>
            <w:tcW w:w="6577" w:type="dxa"/>
            <w:gridSpan w:val="2"/>
            <w:shd w:val="clear" w:color="auto" w:fill="auto"/>
          </w:tcPr>
          <w:p w14:paraId="27D28877" w14:textId="17942938" w:rsidR="00B074CC" w:rsidRPr="001A1836" w:rsidRDefault="00B074CC" w:rsidP="00626054">
            <w:pPr>
              <w:rPr>
                <w:sz w:val="20"/>
                <w:szCs w:val="24"/>
              </w:rPr>
            </w:pPr>
            <w:r w:rsidRPr="001A1836">
              <w:rPr>
                <w:sz w:val="20"/>
                <w:szCs w:val="24"/>
              </w:rPr>
              <w:t>100% of urgent requests actioned within 3 Working Days</w:t>
            </w:r>
          </w:p>
        </w:tc>
      </w:tr>
      <w:tr w:rsidR="00B074CC" w:rsidRPr="001A1836" w14:paraId="5A6B64E7" w14:textId="77777777" w:rsidTr="004F1C82">
        <w:tc>
          <w:tcPr>
            <w:tcW w:w="2029" w:type="dxa"/>
            <w:shd w:val="clear" w:color="auto" w:fill="auto"/>
          </w:tcPr>
          <w:p w14:paraId="296EB28E" w14:textId="77777777" w:rsidR="00B074CC" w:rsidRPr="001A1836" w:rsidRDefault="00B074CC" w:rsidP="00626054">
            <w:pPr>
              <w:rPr>
                <w:sz w:val="20"/>
                <w:szCs w:val="24"/>
              </w:rPr>
            </w:pPr>
          </w:p>
        </w:tc>
        <w:tc>
          <w:tcPr>
            <w:tcW w:w="4678" w:type="dxa"/>
            <w:shd w:val="clear" w:color="auto" w:fill="auto"/>
          </w:tcPr>
          <w:p w14:paraId="16C4BD6B" w14:textId="77777777" w:rsidR="00B074CC" w:rsidRPr="001A1836" w:rsidRDefault="00B074CC" w:rsidP="00626054">
            <w:pPr>
              <w:rPr>
                <w:b/>
                <w:sz w:val="20"/>
                <w:szCs w:val="24"/>
              </w:rPr>
            </w:pPr>
            <w:r w:rsidRPr="001A1836">
              <w:rPr>
                <w:b/>
                <w:sz w:val="20"/>
                <w:szCs w:val="24"/>
              </w:rPr>
              <w:t>Service Level Performance Measure</w:t>
            </w:r>
          </w:p>
        </w:tc>
        <w:tc>
          <w:tcPr>
            <w:tcW w:w="1899" w:type="dxa"/>
            <w:shd w:val="clear" w:color="auto" w:fill="auto"/>
          </w:tcPr>
          <w:p w14:paraId="14A35E75" w14:textId="77777777" w:rsidR="00B074CC" w:rsidRPr="001A1836" w:rsidRDefault="00B074CC" w:rsidP="00626054">
            <w:pPr>
              <w:rPr>
                <w:b/>
                <w:sz w:val="20"/>
                <w:szCs w:val="24"/>
              </w:rPr>
            </w:pPr>
            <w:r w:rsidRPr="001A1836">
              <w:rPr>
                <w:b/>
                <w:sz w:val="20"/>
                <w:szCs w:val="24"/>
              </w:rPr>
              <w:t>Service points</w:t>
            </w:r>
          </w:p>
        </w:tc>
      </w:tr>
      <w:tr w:rsidR="00B074CC" w:rsidRPr="001A1836" w14:paraId="6DCC1901" w14:textId="77777777" w:rsidTr="004F1C82">
        <w:tc>
          <w:tcPr>
            <w:tcW w:w="2029" w:type="dxa"/>
            <w:shd w:val="clear" w:color="auto" w:fill="auto"/>
          </w:tcPr>
          <w:p w14:paraId="650AC6CF" w14:textId="29FDF5EE" w:rsidR="00B074CC" w:rsidRPr="001A1836" w:rsidRDefault="00B074CC" w:rsidP="00626054">
            <w:pPr>
              <w:rPr>
                <w:strike/>
                <w:sz w:val="20"/>
                <w:szCs w:val="24"/>
              </w:rPr>
            </w:pPr>
            <w:r w:rsidRPr="001A1836">
              <w:rPr>
                <w:sz w:val="20"/>
                <w:szCs w:val="24"/>
              </w:rPr>
              <w:t xml:space="preserve">Service </w:t>
            </w:r>
            <w:r w:rsidR="00747264" w:rsidRPr="001A1836">
              <w:rPr>
                <w:sz w:val="20"/>
                <w:szCs w:val="24"/>
              </w:rPr>
              <w:t>L</w:t>
            </w:r>
            <w:r w:rsidRPr="001A1836">
              <w:rPr>
                <w:sz w:val="20"/>
                <w:szCs w:val="24"/>
              </w:rPr>
              <w:t>evel met</w:t>
            </w:r>
          </w:p>
        </w:tc>
        <w:tc>
          <w:tcPr>
            <w:tcW w:w="4678" w:type="dxa"/>
            <w:shd w:val="clear" w:color="auto" w:fill="auto"/>
          </w:tcPr>
          <w:p w14:paraId="6979EBAF" w14:textId="65BE0726" w:rsidR="00B074CC" w:rsidRPr="001A1836" w:rsidRDefault="00B074CC" w:rsidP="00626054">
            <w:pPr>
              <w:rPr>
                <w:color w:val="FF0000"/>
                <w:sz w:val="20"/>
                <w:szCs w:val="24"/>
              </w:rPr>
            </w:pPr>
            <w:r w:rsidRPr="001A1836">
              <w:rPr>
                <w:sz w:val="20"/>
                <w:szCs w:val="24"/>
              </w:rPr>
              <w:t xml:space="preserve">100% </w:t>
            </w:r>
          </w:p>
        </w:tc>
        <w:tc>
          <w:tcPr>
            <w:tcW w:w="1899" w:type="dxa"/>
            <w:shd w:val="clear" w:color="auto" w:fill="auto"/>
          </w:tcPr>
          <w:p w14:paraId="0553756A" w14:textId="77777777" w:rsidR="00B074CC" w:rsidRPr="001A1836" w:rsidRDefault="00B074CC" w:rsidP="00626054">
            <w:pPr>
              <w:rPr>
                <w:sz w:val="20"/>
                <w:szCs w:val="24"/>
              </w:rPr>
            </w:pPr>
            <w:r w:rsidRPr="001A1836">
              <w:rPr>
                <w:sz w:val="20"/>
                <w:szCs w:val="24"/>
              </w:rPr>
              <w:t>0</w:t>
            </w:r>
          </w:p>
        </w:tc>
      </w:tr>
      <w:tr w:rsidR="00B074CC" w:rsidRPr="001A1836" w14:paraId="7FEF9748" w14:textId="77777777" w:rsidTr="004F1C82">
        <w:tc>
          <w:tcPr>
            <w:tcW w:w="2029" w:type="dxa"/>
            <w:shd w:val="clear" w:color="auto" w:fill="auto"/>
          </w:tcPr>
          <w:p w14:paraId="49E82FBA" w14:textId="77777777" w:rsidR="00B074CC" w:rsidRPr="001A1836" w:rsidRDefault="00B074CC" w:rsidP="00626054">
            <w:pPr>
              <w:rPr>
                <w:sz w:val="20"/>
                <w:szCs w:val="24"/>
              </w:rPr>
            </w:pPr>
            <w:r w:rsidRPr="001A1836">
              <w:rPr>
                <w:sz w:val="20"/>
                <w:szCs w:val="24"/>
              </w:rPr>
              <w:t>Minor Service Level Failure</w:t>
            </w:r>
          </w:p>
        </w:tc>
        <w:tc>
          <w:tcPr>
            <w:tcW w:w="4678" w:type="dxa"/>
            <w:shd w:val="clear" w:color="auto" w:fill="auto"/>
          </w:tcPr>
          <w:p w14:paraId="6B7BCFDB" w14:textId="09B84D9A" w:rsidR="00B074CC" w:rsidRPr="001A1836" w:rsidRDefault="00B074CC" w:rsidP="00626054">
            <w:pPr>
              <w:rPr>
                <w:sz w:val="20"/>
                <w:szCs w:val="24"/>
              </w:rPr>
            </w:pPr>
            <w:r w:rsidRPr="001A1836">
              <w:rPr>
                <w:sz w:val="20"/>
                <w:szCs w:val="24"/>
              </w:rPr>
              <w:t xml:space="preserve">Less than 100% but greater than 95% </w:t>
            </w:r>
          </w:p>
        </w:tc>
        <w:tc>
          <w:tcPr>
            <w:tcW w:w="1899" w:type="dxa"/>
            <w:shd w:val="clear" w:color="auto" w:fill="auto"/>
          </w:tcPr>
          <w:p w14:paraId="07E1E3DF" w14:textId="77777777" w:rsidR="00B074CC" w:rsidRPr="001A1836" w:rsidRDefault="00B074CC" w:rsidP="00626054">
            <w:pPr>
              <w:rPr>
                <w:sz w:val="20"/>
                <w:szCs w:val="24"/>
              </w:rPr>
            </w:pPr>
            <w:r w:rsidRPr="001A1836">
              <w:rPr>
                <w:sz w:val="20"/>
                <w:szCs w:val="24"/>
              </w:rPr>
              <w:t>3.0</w:t>
            </w:r>
          </w:p>
        </w:tc>
      </w:tr>
      <w:tr w:rsidR="00B074CC" w:rsidRPr="001A1836" w14:paraId="19D3A98A" w14:textId="77777777" w:rsidTr="004F1C82">
        <w:tc>
          <w:tcPr>
            <w:tcW w:w="2029" w:type="dxa"/>
            <w:shd w:val="clear" w:color="auto" w:fill="auto"/>
          </w:tcPr>
          <w:p w14:paraId="258BAAFB" w14:textId="77777777" w:rsidR="00B074CC" w:rsidRPr="001A1836" w:rsidRDefault="00B074CC" w:rsidP="00626054">
            <w:pPr>
              <w:rPr>
                <w:sz w:val="20"/>
                <w:szCs w:val="24"/>
              </w:rPr>
            </w:pPr>
            <w:r w:rsidRPr="001A1836">
              <w:rPr>
                <w:sz w:val="20"/>
                <w:szCs w:val="24"/>
              </w:rPr>
              <w:t>Moderate Service Level Failure</w:t>
            </w:r>
          </w:p>
        </w:tc>
        <w:tc>
          <w:tcPr>
            <w:tcW w:w="4678" w:type="dxa"/>
            <w:shd w:val="clear" w:color="auto" w:fill="auto"/>
          </w:tcPr>
          <w:p w14:paraId="7A2B228A" w14:textId="77777777" w:rsidR="00B074CC" w:rsidRPr="001A1836" w:rsidRDefault="00B074CC" w:rsidP="00626054">
            <w:pPr>
              <w:rPr>
                <w:sz w:val="20"/>
                <w:szCs w:val="24"/>
              </w:rPr>
            </w:pPr>
            <w:r w:rsidRPr="001A1836">
              <w:rPr>
                <w:sz w:val="20"/>
                <w:szCs w:val="24"/>
              </w:rPr>
              <w:t xml:space="preserve">Between 95% and 90% inclusive </w:t>
            </w:r>
          </w:p>
        </w:tc>
        <w:tc>
          <w:tcPr>
            <w:tcW w:w="1899" w:type="dxa"/>
            <w:shd w:val="clear" w:color="auto" w:fill="auto"/>
          </w:tcPr>
          <w:p w14:paraId="63D913A6" w14:textId="77777777" w:rsidR="00B074CC" w:rsidRPr="001A1836" w:rsidRDefault="00B074CC" w:rsidP="00626054">
            <w:pPr>
              <w:rPr>
                <w:sz w:val="20"/>
                <w:szCs w:val="24"/>
              </w:rPr>
            </w:pPr>
            <w:r w:rsidRPr="001A1836">
              <w:rPr>
                <w:sz w:val="20"/>
                <w:szCs w:val="24"/>
              </w:rPr>
              <w:t>6.0</w:t>
            </w:r>
          </w:p>
        </w:tc>
      </w:tr>
      <w:tr w:rsidR="00B074CC" w:rsidRPr="001A1836" w14:paraId="716EFA3B" w14:textId="77777777" w:rsidTr="004F1C82">
        <w:tc>
          <w:tcPr>
            <w:tcW w:w="2029" w:type="dxa"/>
            <w:shd w:val="clear" w:color="auto" w:fill="auto"/>
          </w:tcPr>
          <w:p w14:paraId="681BCBA0" w14:textId="77777777" w:rsidR="00B074CC" w:rsidRPr="001A1836" w:rsidRDefault="00B074CC" w:rsidP="00626054">
            <w:pPr>
              <w:rPr>
                <w:sz w:val="20"/>
                <w:szCs w:val="24"/>
              </w:rPr>
            </w:pPr>
            <w:r w:rsidRPr="001A1836">
              <w:rPr>
                <w:sz w:val="20"/>
                <w:szCs w:val="24"/>
              </w:rPr>
              <w:t>Major Service Level Failure</w:t>
            </w:r>
          </w:p>
        </w:tc>
        <w:tc>
          <w:tcPr>
            <w:tcW w:w="4678" w:type="dxa"/>
            <w:shd w:val="clear" w:color="auto" w:fill="auto"/>
          </w:tcPr>
          <w:p w14:paraId="0D5FB7AF" w14:textId="77777777" w:rsidR="00B074CC" w:rsidRPr="001A1836" w:rsidRDefault="00B074CC" w:rsidP="00626054">
            <w:pPr>
              <w:rPr>
                <w:sz w:val="20"/>
                <w:szCs w:val="24"/>
              </w:rPr>
            </w:pPr>
            <w:r w:rsidRPr="001A1836">
              <w:rPr>
                <w:sz w:val="20"/>
                <w:szCs w:val="24"/>
              </w:rPr>
              <w:t xml:space="preserve">Less than 90% </w:t>
            </w:r>
          </w:p>
        </w:tc>
        <w:tc>
          <w:tcPr>
            <w:tcW w:w="1899" w:type="dxa"/>
            <w:shd w:val="clear" w:color="auto" w:fill="auto"/>
          </w:tcPr>
          <w:p w14:paraId="2C166009" w14:textId="77777777" w:rsidR="00B074CC" w:rsidRPr="001A1836" w:rsidRDefault="00B074CC" w:rsidP="00626054">
            <w:pPr>
              <w:rPr>
                <w:sz w:val="20"/>
                <w:szCs w:val="24"/>
              </w:rPr>
            </w:pPr>
            <w:r w:rsidRPr="001A1836">
              <w:rPr>
                <w:sz w:val="20"/>
                <w:szCs w:val="24"/>
              </w:rPr>
              <w:t>9.0</w:t>
            </w:r>
          </w:p>
        </w:tc>
      </w:tr>
      <w:bookmarkEnd w:id="873"/>
    </w:tbl>
    <w:p w14:paraId="498295C8" w14:textId="77777777" w:rsidR="00B074CC" w:rsidRPr="001A1836" w:rsidRDefault="00B074CC" w:rsidP="00626054">
      <w:pPr>
        <w:rPr>
          <w:sz w:val="20"/>
          <w:szCs w:val="24"/>
        </w:rPr>
      </w:pPr>
      <w:r w:rsidRPr="001A1836">
        <w:rPr>
          <w:sz w:val="20"/>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4678"/>
        <w:gridCol w:w="1899"/>
      </w:tblGrid>
      <w:tr w:rsidR="00B074CC" w:rsidRPr="001A1836" w14:paraId="4228B1D5" w14:textId="77777777" w:rsidTr="00B4557D">
        <w:trPr>
          <w:tblHeader/>
        </w:trPr>
        <w:tc>
          <w:tcPr>
            <w:tcW w:w="2029" w:type="dxa"/>
            <w:shd w:val="clear" w:color="auto" w:fill="auto"/>
          </w:tcPr>
          <w:p w14:paraId="31B8E64F" w14:textId="77777777" w:rsidR="00B074CC" w:rsidRPr="001A1836" w:rsidRDefault="00B074CC" w:rsidP="00626054">
            <w:pPr>
              <w:rPr>
                <w:b/>
                <w:szCs w:val="24"/>
              </w:rPr>
            </w:pPr>
            <w:r w:rsidRPr="001A1836">
              <w:rPr>
                <w:b/>
                <w:szCs w:val="24"/>
              </w:rPr>
              <w:lastRenderedPageBreak/>
              <w:t>SL06</w:t>
            </w:r>
          </w:p>
        </w:tc>
        <w:tc>
          <w:tcPr>
            <w:tcW w:w="6577" w:type="dxa"/>
            <w:gridSpan w:val="2"/>
            <w:shd w:val="clear" w:color="auto" w:fill="auto"/>
          </w:tcPr>
          <w:p w14:paraId="1D683793" w14:textId="77777777" w:rsidR="00B074CC" w:rsidRPr="001A1836" w:rsidRDefault="00B074CC" w:rsidP="00626054">
            <w:pPr>
              <w:rPr>
                <w:b/>
                <w:szCs w:val="24"/>
              </w:rPr>
            </w:pPr>
            <w:r w:rsidRPr="001A1836">
              <w:rPr>
                <w:b/>
                <w:szCs w:val="24"/>
              </w:rPr>
              <w:t>Support to HSE: % of on-site requests (other than urgent) responded to within 24 hours</w:t>
            </w:r>
          </w:p>
        </w:tc>
      </w:tr>
      <w:tr w:rsidR="00B074CC" w:rsidRPr="001A1836" w14:paraId="091812E2" w14:textId="77777777" w:rsidTr="004F1C82">
        <w:tc>
          <w:tcPr>
            <w:tcW w:w="2029" w:type="dxa"/>
            <w:shd w:val="clear" w:color="auto" w:fill="auto"/>
          </w:tcPr>
          <w:p w14:paraId="2E3B1165" w14:textId="67253006" w:rsidR="00B074CC" w:rsidRPr="001A1836" w:rsidRDefault="00B074CC" w:rsidP="00626054">
            <w:pPr>
              <w:rPr>
                <w:sz w:val="20"/>
                <w:szCs w:val="24"/>
              </w:rPr>
            </w:pPr>
            <w:r w:rsidRPr="001A1836">
              <w:rPr>
                <w:sz w:val="20"/>
                <w:szCs w:val="24"/>
              </w:rPr>
              <w:t xml:space="preserve">Service </w:t>
            </w:r>
            <w:r w:rsidR="00747264" w:rsidRPr="001A1836">
              <w:rPr>
                <w:sz w:val="20"/>
                <w:szCs w:val="24"/>
              </w:rPr>
              <w:t>L</w:t>
            </w:r>
            <w:r w:rsidRPr="001A1836">
              <w:rPr>
                <w:sz w:val="20"/>
                <w:szCs w:val="24"/>
              </w:rPr>
              <w:t>evel description</w:t>
            </w:r>
          </w:p>
        </w:tc>
        <w:tc>
          <w:tcPr>
            <w:tcW w:w="6577" w:type="dxa"/>
            <w:gridSpan w:val="2"/>
            <w:shd w:val="clear" w:color="auto" w:fill="auto"/>
          </w:tcPr>
          <w:p w14:paraId="2B172171" w14:textId="18B04AB2" w:rsidR="00B074CC" w:rsidRPr="001A1836" w:rsidRDefault="00B074CC" w:rsidP="00626054">
            <w:pPr>
              <w:rPr>
                <w:sz w:val="20"/>
                <w:szCs w:val="24"/>
              </w:rPr>
            </w:pPr>
            <w:r w:rsidRPr="001A1836">
              <w:rPr>
                <w:sz w:val="20"/>
                <w:szCs w:val="24"/>
              </w:rPr>
              <w:t xml:space="preserve">Number of requests for on-site support from HSE, local authorities and other enforcement agencies (other than urgent requests) responded to within 24 hours of receipt by the Provider, expressed as a percentage of the total number of requests for on-site support received. </w:t>
            </w:r>
          </w:p>
          <w:p w14:paraId="316AA60C" w14:textId="77777777" w:rsidR="00B074CC" w:rsidRPr="001A1836" w:rsidRDefault="00B074CC" w:rsidP="00626054">
            <w:pPr>
              <w:rPr>
                <w:sz w:val="20"/>
                <w:szCs w:val="24"/>
              </w:rPr>
            </w:pPr>
            <w:r w:rsidRPr="001A1836">
              <w:rPr>
                <w:sz w:val="20"/>
                <w:szCs w:val="24"/>
              </w:rPr>
              <w:t>(Reference to HSE includes local authorities and other enforcement agencies.)</w:t>
            </w:r>
          </w:p>
          <w:p w14:paraId="6370E476" w14:textId="77777777" w:rsidR="00B074CC" w:rsidRPr="001A1836" w:rsidRDefault="00B074CC" w:rsidP="00626054">
            <w:pPr>
              <w:rPr>
                <w:sz w:val="20"/>
                <w:szCs w:val="24"/>
              </w:rPr>
            </w:pPr>
            <w:r w:rsidRPr="001A1836">
              <w:rPr>
                <w:sz w:val="20"/>
                <w:szCs w:val="24"/>
              </w:rPr>
              <w:t>The request counted as received when the relevant form is received from HSE.</w:t>
            </w:r>
          </w:p>
          <w:p w14:paraId="5FFA31AB" w14:textId="0A4D8721" w:rsidR="00FE24D5" w:rsidRPr="001A1836" w:rsidRDefault="00FE24D5" w:rsidP="00626054">
            <w:pPr>
              <w:rPr>
                <w:sz w:val="20"/>
                <w:szCs w:val="24"/>
              </w:rPr>
            </w:pPr>
            <w:r w:rsidRPr="001A1836">
              <w:rPr>
                <w:sz w:val="20"/>
                <w:szCs w:val="24"/>
              </w:rPr>
              <w:t>Where the 24 hours falls across days that are not Working Days (eg weekends or public holidays), the calculation of 24 hours shall discount those days that are not Working Days.</w:t>
            </w:r>
          </w:p>
          <w:p w14:paraId="7CF9755B" w14:textId="148C28A1" w:rsidR="00B074CC" w:rsidRPr="001A1836" w:rsidRDefault="00B074CC" w:rsidP="00626054">
            <w:pPr>
              <w:rPr>
                <w:sz w:val="20"/>
                <w:szCs w:val="24"/>
              </w:rPr>
            </w:pPr>
            <w:r w:rsidRPr="001A1836">
              <w:rPr>
                <w:sz w:val="20"/>
                <w:szCs w:val="24"/>
              </w:rPr>
              <w:t xml:space="preserve">For a request to be counted as ‘responded to’, it must be logged, acknowledged and a date and time offered to visit site. </w:t>
            </w:r>
          </w:p>
        </w:tc>
      </w:tr>
      <w:tr w:rsidR="00B074CC" w:rsidRPr="001A1836" w14:paraId="6ABD8CA2" w14:textId="77777777" w:rsidTr="004F1C82">
        <w:tc>
          <w:tcPr>
            <w:tcW w:w="2029" w:type="dxa"/>
            <w:shd w:val="clear" w:color="auto" w:fill="auto"/>
          </w:tcPr>
          <w:p w14:paraId="7B990E16" w14:textId="124432E1" w:rsidR="00B074CC" w:rsidRPr="001A1836" w:rsidRDefault="00B074CC" w:rsidP="00626054">
            <w:pPr>
              <w:rPr>
                <w:sz w:val="20"/>
                <w:szCs w:val="24"/>
              </w:rPr>
            </w:pPr>
            <w:r w:rsidRPr="001A1836">
              <w:rPr>
                <w:sz w:val="20"/>
                <w:szCs w:val="24"/>
              </w:rPr>
              <w:t xml:space="preserve">Service </w:t>
            </w:r>
            <w:r w:rsidR="00747264" w:rsidRPr="001A1836">
              <w:rPr>
                <w:sz w:val="20"/>
                <w:szCs w:val="24"/>
              </w:rPr>
              <w:t>L</w:t>
            </w:r>
            <w:r w:rsidRPr="001A1836">
              <w:rPr>
                <w:sz w:val="20"/>
                <w:szCs w:val="24"/>
              </w:rPr>
              <w:t>evel calculation</w:t>
            </w:r>
          </w:p>
        </w:tc>
        <w:tc>
          <w:tcPr>
            <w:tcW w:w="6577" w:type="dxa"/>
            <w:gridSpan w:val="2"/>
            <w:shd w:val="clear" w:color="auto" w:fill="auto"/>
          </w:tcPr>
          <w:p w14:paraId="39BE65B8" w14:textId="77777777" w:rsidR="00B074CC" w:rsidRPr="001A1836" w:rsidRDefault="00B074CC" w:rsidP="00626054">
            <w:pPr>
              <w:rPr>
                <w:sz w:val="20"/>
                <w:szCs w:val="24"/>
              </w:rPr>
            </w:pPr>
            <w:r w:rsidRPr="001A1836">
              <w:rPr>
                <w:sz w:val="20"/>
                <w:szCs w:val="24"/>
              </w:rPr>
              <w:t>A / B x 100</w:t>
            </w:r>
          </w:p>
          <w:p w14:paraId="585103E8" w14:textId="77777777" w:rsidR="00B074CC" w:rsidRPr="001A1836" w:rsidRDefault="00B074CC" w:rsidP="00626054">
            <w:pPr>
              <w:rPr>
                <w:sz w:val="20"/>
                <w:szCs w:val="24"/>
              </w:rPr>
            </w:pPr>
          </w:p>
          <w:p w14:paraId="370FC0BC" w14:textId="77777777" w:rsidR="00B074CC" w:rsidRPr="001A1836" w:rsidRDefault="00B074CC" w:rsidP="00626054">
            <w:pPr>
              <w:rPr>
                <w:sz w:val="20"/>
                <w:szCs w:val="24"/>
              </w:rPr>
            </w:pPr>
            <w:r w:rsidRPr="001A1836">
              <w:rPr>
                <w:sz w:val="20"/>
                <w:szCs w:val="24"/>
              </w:rPr>
              <w:t>Where:</w:t>
            </w:r>
          </w:p>
          <w:p w14:paraId="7261C3E3" w14:textId="77777777" w:rsidR="00B074CC" w:rsidRPr="001A1836" w:rsidRDefault="00B074CC" w:rsidP="00626054">
            <w:pPr>
              <w:rPr>
                <w:sz w:val="20"/>
                <w:szCs w:val="24"/>
              </w:rPr>
            </w:pPr>
            <w:r w:rsidRPr="001A1836">
              <w:rPr>
                <w:sz w:val="20"/>
                <w:szCs w:val="24"/>
              </w:rPr>
              <w:t>A = Number of requests for on-site support responded to within 24 hours</w:t>
            </w:r>
          </w:p>
          <w:p w14:paraId="2BA4C245" w14:textId="77777777" w:rsidR="00B074CC" w:rsidRPr="001A1836" w:rsidRDefault="00B074CC" w:rsidP="00626054">
            <w:pPr>
              <w:rPr>
                <w:sz w:val="20"/>
                <w:szCs w:val="24"/>
              </w:rPr>
            </w:pPr>
            <w:r w:rsidRPr="001A1836">
              <w:rPr>
                <w:sz w:val="20"/>
                <w:szCs w:val="24"/>
              </w:rPr>
              <w:t>B = Number of requests for on-site support made</w:t>
            </w:r>
          </w:p>
        </w:tc>
      </w:tr>
      <w:tr w:rsidR="00B074CC" w:rsidRPr="001A1836" w14:paraId="301C4D08" w14:textId="77777777" w:rsidTr="004F1C82">
        <w:tc>
          <w:tcPr>
            <w:tcW w:w="2029" w:type="dxa"/>
            <w:shd w:val="clear" w:color="auto" w:fill="auto"/>
          </w:tcPr>
          <w:p w14:paraId="04C90C34" w14:textId="5E490524" w:rsidR="00B074CC" w:rsidRPr="001A1836" w:rsidRDefault="00B074CC" w:rsidP="00626054">
            <w:pPr>
              <w:rPr>
                <w:sz w:val="20"/>
                <w:szCs w:val="24"/>
              </w:rPr>
            </w:pPr>
            <w:r w:rsidRPr="001A1836">
              <w:rPr>
                <w:sz w:val="20"/>
                <w:szCs w:val="24"/>
              </w:rPr>
              <w:t xml:space="preserve">Reporting frequency </w:t>
            </w:r>
          </w:p>
        </w:tc>
        <w:tc>
          <w:tcPr>
            <w:tcW w:w="6577" w:type="dxa"/>
            <w:gridSpan w:val="2"/>
            <w:shd w:val="clear" w:color="auto" w:fill="auto"/>
          </w:tcPr>
          <w:p w14:paraId="2FE5E934" w14:textId="77777777" w:rsidR="00B074CC" w:rsidRPr="001A1836" w:rsidRDefault="00B074CC" w:rsidP="00626054">
            <w:pPr>
              <w:rPr>
                <w:sz w:val="20"/>
                <w:szCs w:val="24"/>
              </w:rPr>
            </w:pPr>
            <w:r w:rsidRPr="001A1836">
              <w:rPr>
                <w:sz w:val="20"/>
                <w:szCs w:val="24"/>
              </w:rPr>
              <w:t>Performance is reported monthly.</w:t>
            </w:r>
          </w:p>
          <w:p w14:paraId="22304037" w14:textId="4B49BF98" w:rsidR="00B876A2" w:rsidRPr="001A1836" w:rsidRDefault="00B876A2" w:rsidP="0091349E">
            <w:pPr>
              <w:rPr>
                <w:sz w:val="20"/>
                <w:szCs w:val="24"/>
              </w:rPr>
            </w:pPr>
          </w:p>
        </w:tc>
      </w:tr>
      <w:tr w:rsidR="004F1C82" w:rsidRPr="001A1836" w14:paraId="2EA01CCB" w14:textId="77777777" w:rsidTr="004F1C82">
        <w:tc>
          <w:tcPr>
            <w:tcW w:w="2029" w:type="dxa"/>
            <w:shd w:val="clear" w:color="auto" w:fill="auto"/>
          </w:tcPr>
          <w:p w14:paraId="0E6D0B3B" w14:textId="6D33E2F6" w:rsidR="004F1C82" w:rsidRPr="001A1836" w:rsidDel="00B20DB7" w:rsidRDefault="004F1C82" w:rsidP="004F1C82">
            <w:pPr>
              <w:rPr>
                <w:sz w:val="20"/>
                <w:szCs w:val="24"/>
              </w:rPr>
            </w:pPr>
            <w:r w:rsidRPr="001A1836">
              <w:rPr>
                <w:sz w:val="20"/>
                <w:szCs w:val="24"/>
              </w:rPr>
              <w:t>Service Measurement Period</w:t>
            </w:r>
          </w:p>
        </w:tc>
        <w:tc>
          <w:tcPr>
            <w:tcW w:w="6577" w:type="dxa"/>
            <w:gridSpan w:val="2"/>
            <w:shd w:val="clear" w:color="auto" w:fill="auto"/>
          </w:tcPr>
          <w:p w14:paraId="08548C89" w14:textId="782B1127" w:rsidR="004F1C82" w:rsidRPr="001A1836" w:rsidRDefault="004F1C82" w:rsidP="004F1C82">
            <w:pPr>
              <w:rPr>
                <w:sz w:val="20"/>
                <w:szCs w:val="24"/>
              </w:rPr>
            </w:pPr>
            <w:r w:rsidRPr="001A1836">
              <w:rPr>
                <w:sz w:val="20"/>
                <w:szCs w:val="24"/>
              </w:rPr>
              <w:t xml:space="preserve">Service Credits are calculated annually. </w:t>
            </w:r>
          </w:p>
        </w:tc>
      </w:tr>
      <w:tr w:rsidR="004F1C82" w:rsidRPr="001A1836" w14:paraId="52051568" w14:textId="77777777" w:rsidTr="004F1C82">
        <w:tc>
          <w:tcPr>
            <w:tcW w:w="2029" w:type="dxa"/>
            <w:shd w:val="clear" w:color="auto" w:fill="auto"/>
          </w:tcPr>
          <w:p w14:paraId="627316D5" w14:textId="7A96F458" w:rsidR="004F1C82" w:rsidRPr="001A1836" w:rsidDel="00B20DB7" w:rsidRDefault="004F1C82" w:rsidP="004F1C82">
            <w:pPr>
              <w:rPr>
                <w:sz w:val="20"/>
                <w:szCs w:val="24"/>
              </w:rPr>
            </w:pPr>
            <w:r w:rsidRPr="001A1836">
              <w:rPr>
                <w:sz w:val="20"/>
                <w:szCs w:val="24"/>
              </w:rPr>
              <w:t>Service Point Application Period</w:t>
            </w:r>
          </w:p>
        </w:tc>
        <w:tc>
          <w:tcPr>
            <w:tcW w:w="6577" w:type="dxa"/>
            <w:gridSpan w:val="2"/>
            <w:shd w:val="clear" w:color="auto" w:fill="auto"/>
          </w:tcPr>
          <w:p w14:paraId="743FE36F" w14:textId="6FB2AD04" w:rsidR="004F1C82" w:rsidRPr="001A1836" w:rsidRDefault="00EA4BD8" w:rsidP="004F1C82">
            <w:pPr>
              <w:rPr>
                <w:sz w:val="20"/>
                <w:szCs w:val="24"/>
              </w:rPr>
            </w:pPr>
            <w:r w:rsidRPr="001A1836">
              <w:rPr>
                <w:sz w:val="20"/>
                <w:szCs w:val="24"/>
              </w:rPr>
              <w:t xml:space="preserve">Service Points are applied annually </w:t>
            </w:r>
            <w:r>
              <w:rPr>
                <w:sz w:val="20"/>
                <w:szCs w:val="24"/>
              </w:rPr>
              <w:t xml:space="preserve">in respect of each Contract Year </w:t>
            </w:r>
            <w:r w:rsidRPr="001A1836">
              <w:rPr>
                <w:sz w:val="20"/>
                <w:szCs w:val="24"/>
              </w:rPr>
              <w:t xml:space="preserve">against the </w:t>
            </w:r>
            <w:r>
              <w:rPr>
                <w:sz w:val="20"/>
                <w:szCs w:val="24"/>
              </w:rPr>
              <w:t xml:space="preserve">sum of the </w:t>
            </w:r>
            <w:r w:rsidRPr="001A1836">
              <w:rPr>
                <w:sz w:val="20"/>
                <w:szCs w:val="24"/>
              </w:rPr>
              <w:t xml:space="preserve">Provider’s </w:t>
            </w:r>
            <w:r>
              <w:rPr>
                <w:sz w:val="20"/>
                <w:szCs w:val="24"/>
              </w:rPr>
              <w:t>A</w:t>
            </w:r>
            <w:r w:rsidRPr="001A1836">
              <w:rPr>
                <w:sz w:val="20"/>
                <w:szCs w:val="24"/>
              </w:rPr>
              <w:t>greed Operating Costs plus</w:t>
            </w:r>
            <w:r>
              <w:rPr>
                <w:sz w:val="20"/>
                <w:szCs w:val="24"/>
              </w:rPr>
              <w:t xml:space="preserve"> Provider</w:t>
            </w:r>
            <w:r w:rsidRPr="001A1836">
              <w:rPr>
                <w:sz w:val="20"/>
                <w:szCs w:val="24"/>
              </w:rPr>
              <w:t xml:space="preserve"> Profit for the final month of </w:t>
            </w:r>
            <w:r>
              <w:rPr>
                <w:sz w:val="20"/>
                <w:szCs w:val="24"/>
              </w:rPr>
              <w:t>such</w:t>
            </w:r>
            <w:r w:rsidRPr="001A1836">
              <w:rPr>
                <w:sz w:val="20"/>
                <w:szCs w:val="24"/>
              </w:rPr>
              <w:t xml:space="preserve"> Contract Year.</w:t>
            </w:r>
          </w:p>
        </w:tc>
      </w:tr>
      <w:tr w:rsidR="00B074CC" w:rsidRPr="001A1836" w14:paraId="22602584" w14:textId="77777777" w:rsidTr="004F1C82">
        <w:tc>
          <w:tcPr>
            <w:tcW w:w="2029" w:type="dxa"/>
            <w:shd w:val="clear" w:color="auto" w:fill="auto"/>
          </w:tcPr>
          <w:p w14:paraId="48C3F795" w14:textId="77777777" w:rsidR="00B074CC" w:rsidRPr="001A1836" w:rsidRDefault="00B074CC" w:rsidP="00626054">
            <w:pPr>
              <w:rPr>
                <w:strike/>
                <w:sz w:val="20"/>
                <w:szCs w:val="24"/>
              </w:rPr>
            </w:pPr>
            <w:r w:rsidRPr="001A1836">
              <w:rPr>
                <w:sz w:val="20"/>
                <w:szCs w:val="24"/>
              </w:rPr>
              <w:t>Data capture</w:t>
            </w:r>
          </w:p>
        </w:tc>
        <w:tc>
          <w:tcPr>
            <w:tcW w:w="6577" w:type="dxa"/>
            <w:gridSpan w:val="2"/>
            <w:shd w:val="clear" w:color="auto" w:fill="auto"/>
          </w:tcPr>
          <w:p w14:paraId="20FDFA81" w14:textId="77777777" w:rsidR="00B074CC" w:rsidRPr="001A1836" w:rsidRDefault="00B074CC">
            <w:pPr>
              <w:numPr>
                <w:ilvl w:val="0"/>
                <w:numId w:val="23"/>
              </w:numPr>
              <w:rPr>
                <w:sz w:val="20"/>
                <w:szCs w:val="24"/>
              </w:rPr>
            </w:pPr>
            <w:r w:rsidRPr="001A1836">
              <w:rPr>
                <w:sz w:val="20"/>
                <w:szCs w:val="24"/>
              </w:rPr>
              <w:t>Number of requests for on-site support made</w:t>
            </w:r>
          </w:p>
          <w:p w14:paraId="4A7FE581" w14:textId="77777777" w:rsidR="00B074CC" w:rsidRPr="001A1836" w:rsidRDefault="00B074CC">
            <w:pPr>
              <w:numPr>
                <w:ilvl w:val="0"/>
                <w:numId w:val="23"/>
              </w:numPr>
              <w:rPr>
                <w:sz w:val="20"/>
                <w:szCs w:val="24"/>
              </w:rPr>
            </w:pPr>
            <w:r w:rsidRPr="001A1836">
              <w:rPr>
                <w:sz w:val="20"/>
                <w:szCs w:val="24"/>
              </w:rPr>
              <w:t>Number of requests for on-site support responded to within 24 hours</w:t>
            </w:r>
          </w:p>
          <w:p w14:paraId="27945A02" w14:textId="77777777" w:rsidR="00B074CC" w:rsidRPr="001A1836" w:rsidRDefault="00B074CC">
            <w:pPr>
              <w:numPr>
                <w:ilvl w:val="0"/>
                <w:numId w:val="23"/>
              </w:numPr>
              <w:rPr>
                <w:sz w:val="20"/>
                <w:szCs w:val="24"/>
              </w:rPr>
            </w:pPr>
            <w:r w:rsidRPr="001A1836">
              <w:rPr>
                <w:sz w:val="20"/>
                <w:szCs w:val="24"/>
              </w:rPr>
              <w:t>Date and time request (form) received</w:t>
            </w:r>
          </w:p>
          <w:p w14:paraId="014DD7E5" w14:textId="77777777" w:rsidR="00B074CC" w:rsidRPr="001A1836" w:rsidRDefault="00B074CC">
            <w:pPr>
              <w:numPr>
                <w:ilvl w:val="0"/>
                <w:numId w:val="23"/>
              </w:numPr>
              <w:rPr>
                <w:sz w:val="20"/>
                <w:szCs w:val="24"/>
              </w:rPr>
            </w:pPr>
            <w:r w:rsidRPr="001A1836">
              <w:rPr>
                <w:sz w:val="20"/>
                <w:szCs w:val="24"/>
              </w:rPr>
              <w:t>Date request actioned</w:t>
            </w:r>
          </w:p>
        </w:tc>
      </w:tr>
      <w:tr w:rsidR="00B074CC" w:rsidRPr="001A1836" w14:paraId="3BB61DF1" w14:textId="77777777" w:rsidTr="004F1C82">
        <w:tc>
          <w:tcPr>
            <w:tcW w:w="2029" w:type="dxa"/>
            <w:shd w:val="clear" w:color="auto" w:fill="auto"/>
          </w:tcPr>
          <w:p w14:paraId="5D8BEAB5" w14:textId="77777777" w:rsidR="00B074CC" w:rsidRPr="001A1836" w:rsidRDefault="00B074CC" w:rsidP="00626054">
            <w:pPr>
              <w:rPr>
                <w:sz w:val="20"/>
                <w:szCs w:val="24"/>
              </w:rPr>
            </w:pPr>
            <w:r w:rsidRPr="001A1836">
              <w:rPr>
                <w:sz w:val="20"/>
                <w:szCs w:val="24"/>
              </w:rPr>
              <w:t>Impact</w:t>
            </w:r>
          </w:p>
        </w:tc>
        <w:tc>
          <w:tcPr>
            <w:tcW w:w="6577" w:type="dxa"/>
            <w:gridSpan w:val="2"/>
            <w:shd w:val="clear" w:color="auto" w:fill="auto"/>
          </w:tcPr>
          <w:p w14:paraId="5BB7F81B" w14:textId="77777777" w:rsidR="00B074CC" w:rsidRPr="001A1836" w:rsidRDefault="00B074CC" w:rsidP="00626054">
            <w:pPr>
              <w:rPr>
                <w:sz w:val="20"/>
                <w:szCs w:val="24"/>
              </w:rPr>
            </w:pPr>
            <w:r w:rsidRPr="001A1836">
              <w:rPr>
                <w:sz w:val="20"/>
                <w:szCs w:val="24"/>
              </w:rPr>
              <w:t>High</w:t>
            </w:r>
          </w:p>
        </w:tc>
      </w:tr>
      <w:tr w:rsidR="00B074CC" w:rsidRPr="001A1836" w14:paraId="1431E73D" w14:textId="77777777" w:rsidTr="004F1C82">
        <w:tc>
          <w:tcPr>
            <w:tcW w:w="2029" w:type="dxa"/>
            <w:shd w:val="clear" w:color="auto" w:fill="auto"/>
          </w:tcPr>
          <w:p w14:paraId="54A7833C" w14:textId="77777777" w:rsidR="00B074CC" w:rsidRPr="001A1836" w:rsidRDefault="00B074CC" w:rsidP="00626054">
            <w:pPr>
              <w:rPr>
                <w:sz w:val="20"/>
                <w:szCs w:val="24"/>
              </w:rPr>
            </w:pPr>
            <w:r w:rsidRPr="001A1836">
              <w:rPr>
                <w:sz w:val="20"/>
                <w:szCs w:val="24"/>
              </w:rPr>
              <w:t>Criticality</w:t>
            </w:r>
          </w:p>
        </w:tc>
        <w:tc>
          <w:tcPr>
            <w:tcW w:w="6577" w:type="dxa"/>
            <w:gridSpan w:val="2"/>
            <w:shd w:val="clear" w:color="auto" w:fill="auto"/>
          </w:tcPr>
          <w:p w14:paraId="39628916" w14:textId="77777777" w:rsidR="00B074CC" w:rsidRPr="001A1836" w:rsidRDefault="00B074CC" w:rsidP="00626054">
            <w:pPr>
              <w:rPr>
                <w:sz w:val="20"/>
                <w:szCs w:val="24"/>
              </w:rPr>
            </w:pPr>
            <w:r w:rsidRPr="001A1836">
              <w:rPr>
                <w:sz w:val="20"/>
                <w:szCs w:val="24"/>
              </w:rPr>
              <w:t>A</w:t>
            </w:r>
          </w:p>
        </w:tc>
      </w:tr>
      <w:tr w:rsidR="00B074CC" w:rsidRPr="001A1836" w14:paraId="25DD3008" w14:textId="77777777" w:rsidTr="004F1C82">
        <w:tc>
          <w:tcPr>
            <w:tcW w:w="2029" w:type="dxa"/>
            <w:shd w:val="clear" w:color="auto" w:fill="auto"/>
          </w:tcPr>
          <w:p w14:paraId="5980C542" w14:textId="77777777" w:rsidR="00B074CC" w:rsidRPr="001A1836" w:rsidRDefault="00B074CC" w:rsidP="00626054">
            <w:pPr>
              <w:rPr>
                <w:sz w:val="20"/>
                <w:szCs w:val="24"/>
              </w:rPr>
            </w:pPr>
            <w:r w:rsidRPr="001A1836">
              <w:rPr>
                <w:sz w:val="20"/>
                <w:szCs w:val="24"/>
              </w:rPr>
              <w:t>Service Level Performance Measure</w:t>
            </w:r>
          </w:p>
        </w:tc>
        <w:tc>
          <w:tcPr>
            <w:tcW w:w="6577" w:type="dxa"/>
            <w:gridSpan w:val="2"/>
            <w:shd w:val="clear" w:color="auto" w:fill="auto"/>
          </w:tcPr>
          <w:p w14:paraId="3C1C545C" w14:textId="77777777" w:rsidR="00B074CC" w:rsidRPr="001A1836" w:rsidRDefault="00B074CC" w:rsidP="00626054">
            <w:pPr>
              <w:rPr>
                <w:sz w:val="20"/>
                <w:szCs w:val="24"/>
              </w:rPr>
            </w:pPr>
            <w:r w:rsidRPr="001A1836">
              <w:rPr>
                <w:sz w:val="20"/>
                <w:szCs w:val="24"/>
              </w:rPr>
              <w:t>100% of on-site requests responded to within 24 hours</w:t>
            </w:r>
          </w:p>
        </w:tc>
      </w:tr>
      <w:tr w:rsidR="00B074CC" w:rsidRPr="001A1836" w14:paraId="5E0FBF91" w14:textId="77777777" w:rsidTr="004F1C82">
        <w:tc>
          <w:tcPr>
            <w:tcW w:w="2029" w:type="dxa"/>
            <w:shd w:val="clear" w:color="auto" w:fill="auto"/>
          </w:tcPr>
          <w:p w14:paraId="318857E2" w14:textId="77777777" w:rsidR="00B074CC" w:rsidRPr="001A1836" w:rsidRDefault="00B074CC" w:rsidP="00626054">
            <w:pPr>
              <w:rPr>
                <w:sz w:val="20"/>
                <w:szCs w:val="24"/>
              </w:rPr>
            </w:pPr>
          </w:p>
        </w:tc>
        <w:tc>
          <w:tcPr>
            <w:tcW w:w="4678" w:type="dxa"/>
            <w:shd w:val="clear" w:color="auto" w:fill="auto"/>
          </w:tcPr>
          <w:p w14:paraId="56A03CB0" w14:textId="77777777" w:rsidR="00B074CC" w:rsidRPr="001A1836" w:rsidRDefault="00B074CC" w:rsidP="00626054">
            <w:pPr>
              <w:rPr>
                <w:b/>
                <w:sz w:val="20"/>
                <w:szCs w:val="24"/>
              </w:rPr>
            </w:pPr>
            <w:r w:rsidRPr="001A1836">
              <w:rPr>
                <w:b/>
                <w:sz w:val="20"/>
                <w:szCs w:val="24"/>
              </w:rPr>
              <w:t>Service Level Performance Measure</w:t>
            </w:r>
          </w:p>
        </w:tc>
        <w:tc>
          <w:tcPr>
            <w:tcW w:w="1899" w:type="dxa"/>
            <w:shd w:val="clear" w:color="auto" w:fill="auto"/>
          </w:tcPr>
          <w:p w14:paraId="5C44FFA2" w14:textId="77777777" w:rsidR="00B074CC" w:rsidRPr="001A1836" w:rsidRDefault="00B074CC" w:rsidP="00626054">
            <w:pPr>
              <w:rPr>
                <w:b/>
                <w:sz w:val="20"/>
                <w:szCs w:val="24"/>
              </w:rPr>
            </w:pPr>
            <w:r w:rsidRPr="001A1836">
              <w:rPr>
                <w:b/>
                <w:sz w:val="20"/>
                <w:szCs w:val="24"/>
              </w:rPr>
              <w:t>Service points</w:t>
            </w:r>
          </w:p>
        </w:tc>
      </w:tr>
      <w:tr w:rsidR="00B074CC" w:rsidRPr="001A1836" w14:paraId="3D0103E8" w14:textId="77777777" w:rsidTr="004F1C82">
        <w:tc>
          <w:tcPr>
            <w:tcW w:w="2029" w:type="dxa"/>
            <w:shd w:val="clear" w:color="auto" w:fill="auto"/>
          </w:tcPr>
          <w:p w14:paraId="1D351617" w14:textId="67481870" w:rsidR="00B074CC" w:rsidRPr="001A1836" w:rsidRDefault="00B074CC" w:rsidP="00626054">
            <w:pPr>
              <w:rPr>
                <w:strike/>
                <w:sz w:val="20"/>
                <w:szCs w:val="24"/>
              </w:rPr>
            </w:pPr>
            <w:r w:rsidRPr="001A1836">
              <w:rPr>
                <w:sz w:val="20"/>
                <w:szCs w:val="24"/>
              </w:rPr>
              <w:t xml:space="preserve">Service </w:t>
            </w:r>
            <w:r w:rsidR="00747264" w:rsidRPr="001A1836">
              <w:rPr>
                <w:sz w:val="20"/>
                <w:szCs w:val="24"/>
              </w:rPr>
              <w:t>L</w:t>
            </w:r>
            <w:r w:rsidRPr="001A1836">
              <w:rPr>
                <w:sz w:val="20"/>
                <w:szCs w:val="24"/>
              </w:rPr>
              <w:t>evel met</w:t>
            </w:r>
          </w:p>
        </w:tc>
        <w:tc>
          <w:tcPr>
            <w:tcW w:w="4678" w:type="dxa"/>
            <w:shd w:val="clear" w:color="auto" w:fill="auto"/>
          </w:tcPr>
          <w:p w14:paraId="189D1FDD" w14:textId="39506638" w:rsidR="00B074CC" w:rsidRPr="001A1836" w:rsidRDefault="00B074CC" w:rsidP="00626054">
            <w:pPr>
              <w:rPr>
                <w:color w:val="FF0000"/>
                <w:sz w:val="20"/>
                <w:szCs w:val="24"/>
              </w:rPr>
            </w:pPr>
            <w:r w:rsidRPr="001A1836">
              <w:rPr>
                <w:sz w:val="20"/>
                <w:szCs w:val="24"/>
              </w:rPr>
              <w:t xml:space="preserve">100% </w:t>
            </w:r>
          </w:p>
        </w:tc>
        <w:tc>
          <w:tcPr>
            <w:tcW w:w="1899" w:type="dxa"/>
            <w:shd w:val="clear" w:color="auto" w:fill="auto"/>
          </w:tcPr>
          <w:p w14:paraId="5EDC1AE7" w14:textId="77777777" w:rsidR="00B074CC" w:rsidRPr="001A1836" w:rsidRDefault="00B074CC" w:rsidP="00626054">
            <w:pPr>
              <w:rPr>
                <w:sz w:val="20"/>
                <w:szCs w:val="24"/>
              </w:rPr>
            </w:pPr>
            <w:r w:rsidRPr="001A1836">
              <w:rPr>
                <w:sz w:val="20"/>
                <w:szCs w:val="24"/>
              </w:rPr>
              <w:t>0</w:t>
            </w:r>
          </w:p>
        </w:tc>
      </w:tr>
      <w:tr w:rsidR="00B074CC" w:rsidRPr="001A1836" w14:paraId="1EAB8FAE" w14:textId="77777777" w:rsidTr="004F1C82">
        <w:tc>
          <w:tcPr>
            <w:tcW w:w="2029" w:type="dxa"/>
            <w:shd w:val="clear" w:color="auto" w:fill="auto"/>
          </w:tcPr>
          <w:p w14:paraId="6AFFBC03" w14:textId="77777777" w:rsidR="00B074CC" w:rsidRPr="001A1836" w:rsidRDefault="00B074CC" w:rsidP="00626054">
            <w:pPr>
              <w:rPr>
                <w:sz w:val="20"/>
                <w:szCs w:val="24"/>
              </w:rPr>
            </w:pPr>
            <w:r w:rsidRPr="001A1836">
              <w:rPr>
                <w:sz w:val="20"/>
                <w:szCs w:val="24"/>
              </w:rPr>
              <w:t>Minor Service Level Failure</w:t>
            </w:r>
          </w:p>
        </w:tc>
        <w:tc>
          <w:tcPr>
            <w:tcW w:w="4678" w:type="dxa"/>
            <w:shd w:val="clear" w:color="auto" w:fill="auto"/>
          </w:tcPr>
          <w:p w14:paraId="6FDCAC08" w14:textId="48C43E78" w:rsidR="00B074CC" w:rsidRPr="001A1836" w:rsidRDefault="00B074CC" w:rsidP="00626054">
            <w:pPr>
              <w:rPr>
                <w:sz w:val="20"/>
                <w:szCs w:val="24"/>
              </w:rPr>
            </w:pPr>
            <w:r w:rsidRPr="001A1836">
              <w:rPr>
                <w:sz w:val="20"/>
                <w:szCs w:val="24"/>
              </w:rPr>
              <w:t xml:space="preserve">Less than 100% but greater than 95% </w:t>
            </w:r>
          </w:p>
        </w:tc>
        <w:tc>
          <w:tcPr>
            <w:tcW w:w="1899" w:type="dxa"/>
            <w:shd w:val="clear" w:color="auto" w:fill="auto"/>
          </w:tcPr>
          <w:p w14:paraId="7FC0B34D" w14:textId="77777777" w:rsidR="00B074CC" w:rsidRPr="001A1836" w:rsidRDefault="00B074CC" w:rsidP="00626054">
            <w:pPr>
              <w:rPr>
                <w:sz w:val="20"/>
                <w:szCs w:val="24"/>
              </w:rPr>
            </w:pPr>
            <w:r w:rsidRPr="001A1836">
              <w:rPr>
                <w:sz w:val="20"/>
                <w:szCs w:val="24"/>
              </w:rPr>
              <w:t>3.0</w:t>
            </w:r>
          </w:p>
        </w:tc>
      </w:tr>
      <w:tr w:rsidR="00B074CC" w:rsidRPr="001A1836" w14:paraId="24AA6C43" w14:textId="77777777" w:rsidTr="004F1C82">
        <w:tc>
          <w:tcPr>
            <w:tcW w:w="2029" w:type="dxa"/>
            <w:shd w:val="clear" w:color="auto" w:fill="auto"/>
          </w:tcPr>
          <w:p w14:paraId="36B3BFAF" w14:textId="77777777" w:rsidR="00B074CC" w:rsidRPr="001A1836" w:rsidRDefault="00B074CC" w:rsidP="00626054">
            <w:pPr>
              <w:rPr>
                <w:sz w:val="20"/>
                <w:szCs w:val="24"/>
              </w:rPr>
            </w:pPr>
            <w:r w:rsidRPr="001A1836">
              <w:rPr>
                <w:sz w:val="20"/>
                <w:szCs w:val="24"/>
              </w:rPr>
              <w:t>Moderate Service Level Failure</w:t>
            </w:r>
          </w:p>
        </w:tc>
        <w:tc>
          <w:tcPr>
            <w:tcW w:w="4678" w:type="dxa"/>
            <w:shd w:val="clear" w:color="auto" w:fill="auto"/>
          </w:tcPr>
          <w:p w14:paraId="28CD5C44" w14:textId="77777777" w:rsidR="00B074CC" w:rsidRPr="001A1836" w:rsidRDefault="00B074CC" w:rsidP="00626054">
            <w:pPr>
              <w:rPr>
                <w:sz w:val="20"/>
                <w:szCs w:val="24"/>
              </w:rPr>
            </w:pPr>
            <w:r w:rsidRPr="001A1836">
              <w:rPr>
                <w:sz w:val="20"/>
                <w:szCs w:val="24"/>
              </w:rPr>
              <w:t xml:space="preserve">Between 95% and 90% inclusive </w:t>
            </w:r>
          </w:p>
        </w:tc>
        <w:tc>
          <w:tcPr>
            <w:tcW w:w="1899" w:type="dxa"/>
            <w:shd w:val="clear" w:color="auto" w:fill="auto"/>
          </w:tcPr>
          <w:p w14:paraId="69595F50" w14:textId="77777777" w:rsidR="00B074CC" w:rsidRPr="001A1836" w:rsidRDefault="00B074CC" w:rsidP="00626054">
            <w:pPr>
              <w:rPr>
                <w:sz w:val="20"/>
                <w:szCs w:val="24"/>
              </w:rPr>
            </w:pPr>
            <w:r w:rsidRPr="001A1836">
              <w:rPr>
                <w:sz w:val="20"/>
                <w:szCs w:val="24"/>
              </w:rPr>
              <w:t>6.0</w:t>
            </w:r>
          </w:p>
        </w:tc>
      </w:tr>
      <w:tr w:rsidR="00B074CC" w:rsidRPr="001A1836" w14:paraId="49E1C2B1" w14:textId="77777777" w:rsidTr="004F1C82">
        <w:tc>
          <w:tcPr>
            <w:tcW w:w="2029" w:type="dxa"/>
            <w:shd w:val="clear" w:color="auto" w:fill="auto"/>
          </w:tcPr>
          <w:p w14:paraId="390804E8" w14:textId="77777777" w:rsidR="00B074CC" w:rsidRPr="001A1836" w:rsidRDefault="00B074CC" w:rsidP="00626054">
            <w:pPr>
              <w:rPr>
                <w:sz w:val="20"/>
                <w:szCs w:val="24"/>
              </w:rPr>
            </w:pPr>
            <w:r w:rsidRPr="001A1836">
              <w:rPr>
                <w:sz w:val="20"/>
                <w:szCs w:val="24"/>
              </w:rPr>
              <w:t>Major Service Level Failure</w:t>
            </w:r>
          </w:p>
        </w:tc>
        <w:tc>
          <w:tcPr>
            <w:tcW w:w="4678" w:type="dxa"/>
            <w:shd w:val="clear" w:color="auto" w:fill="auto"/>
          </w:tcPr>
          <w:p w14:paraId="03B10576" w14:textId="77777777" w:rsidR="00B074CC" w:rsidRPr="001A1836" w:rsidRDefault="00B074CC" w:rsidP="00626054">
            <w:pPr>
              <w:rPr>
                <w:sz w:val="20"/>
                <w:szCs w:val="24"/>
              </w:rPr>
            </w:pPr>
            <w:r w:rsidRPr="001A1836">
              <w:rPr>
                <w:sz w:val="20"/>
                <w:szCs w:val="24"/>
              </w:rPr>
              <w:t xml:space="preserve">Less than 90% </w:t>
            </w:r>
          </w:p>
        </w:tc>
        <w:tc>
          <w:tcPr>
            <w:tcW w:w="1899" w:type="dxa"/>
            <w:shd w:val="clear" w:color="auto" w:fill="auto"/>
          </w:tcPr>
          <w:p w14:paraId="392B36CA" w14:textId="77777777" w:rsidR="00B074CC" w:rsidRPr="001A1836" w:rsidRDefault="00B074CC" w:rsidP="00626054">
            <w:pPr>
              <w:rPr>
                <w:sz w:val="20"/>
                <w:szCs w:val="24"/>
              </w:rPr>
            </w:pPr>
            <w:r w:rsidRPr="001A1836">
              <w:rPr>
                <w:sz w:val="20"/>
                <w:szCs w:val="24"/>
              </w:rPr>
              <w:t>9.0</w:t>
            </w:r>
          </w:p>
        </w:tc>
      </w:tr>
    </w:tbl>
    <w:p w14:paraId="74F6DBEF" w14:textId="77777777" w:rsidR="00B074CC" w:rsidRPr="001A1836" w:rsidRDefault="00B074CC" w:rsidP="00626054">
      <w:pPr>
        <w:spacing w:after="0"/>
        <w:rPr>
          <w:sz w:val="20"/>
          <w:szCs w:val="24"/>
        </w:rPr>
      </w:pPr>
    </w:p>
    <w:p w14:paraId="362854AB" w14:textId="6F10A41C" w:rsidR="00B074CC" w:rsidRPr="001A1836" w:rsidRDefault="00B074CC" w:rsidP="00626054">
      <w:pPr>
        <w:spacing w:after="0"/>
        <w:rPr>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4678"/>
        <w:gridCol w:w="1899"/>
      </w:tblGrid>
      <w:tr w:rsidR="00B074CC" w:rsidRPr="001A1836" w14:paraId="26BD3E7F" w14:textId="77777777" w:rsidTr="00B4557D">
        <w:trPr>
          <w:tblHeader/>
        </w:trPr>
        <w:tc>
          <w:tcPr>
            <w:tcW w:w="2029" w:type="dxa"/>
            <w:shd w:val="clear" w:color="auto" w:fill="auto"/>
          </w:tcPr>
          <w:p w14:paraId="4444E2E9" w14:textId="77777777" w:rsidR="00B074CC" w:rsidRPr="001A1836" w:rsidRDefault="00B074CC" w:rsidP="00626054">
            <w:pPr>
              <w:rPr>
                <w:b/>
                <w:szCs w:val="24"/>
              </w:rPr>
            </w:pPr>
            <w:r w:rsidRPr="001A1836">
              <w:rPr>
                <w:b/>
                <w:szCs w:val="24"/>
              </w:rPr>
              <w:t>SL07</w:t>
            </w:r>
          </w:p>
        </w:tc>
        <w:tc>
          <w:tcPr>
            <w:tcW w:w="6577" w:type="dxa"/>
            <w:gridSpan w:val="2"/>
            <w:shd w:val="clear" w:color="auto" w:fill="auto"/>
          </w:tcPr>
          <w:p w14:paraId="21C1E6BA" w14:textId="53DE61F2" w:rsidR="00B074CC" w:rsidRPr="001A1836" w:rsidRDefault="00B074CC" w:rsidP="00626054">
            <w:pPr>
              <w:rPr>
                <w:b/>
                <w:szCs w:val="24"/>
              </w:rPr>
            </w:pPr>
            <w:r w:rsidRPr="001A1836">
              <w:rPr>
                <w:b/>
                <w:szCs w:val="24"/>
              </w:rPr>
              <w:t>Support to HSE: % of on-site requests actioned within 10 Working Days</w:t>
            </w:r>
          </w:p>
        </w:tc>
      </w:tr>
      <w:tr w:rsidR="00B074CC" w:rsidRPr="001A1836" w14:paraId="4D3BFF1E" w14:textId="77777777" w:rsidTr="004F1C82">
        <w:tc>
          <w:tcPr>
            <w:tcW w:w="2029" w:type="dxa"/>
            <w:shd w:val="clear" w:color="auto" w:fill="auto"/>
          </w:tcPr>
          <w:p w14:paraId="45134835" w14:textId="156051EA" w:rsidR="00B074CC" w:rsidRPr="001A1836" w:rsidRDefault="00B074CC" w:rsidP="00626054">
            <w:pPr>
              <w:rPr>
                <w:sz w:val="20"/>
                <w:szCs w:val="24"/>
              </w:rPr>
            </w:pPr>
            <w:r w:rsidRPr="001A1836">
              <w:rPr>
                <w:sz w:val="20"/>
                <w:szCs w:val="24"/>
              </w:rPr>
              <w:t xml:space="preserve">Service </w:t>
            </w:r>
            <w:r w:rsidR="00747264" w:rsidRPr="001A1836">
              <w:rPr>
                <w:sz w:val="20"/>
                <w:szCs w:val="24"/>
              </w:rPr>
              <w:t>L</w:t>
            </w:r>
            <w:r w:rsidRPr="001A1836">
              <w:rPr>
                <w:sz w:val="20"/>
                <w:szCs w:val="24"/>
              </w:rPr>
              <w:t>evel description</w:t>
            </w:r>
          </w:p>
        </w:tc>
        <w:tc>
          <w:tcPr>
            <w:tcW w:w="6577" w:type="dxa"/>
            <w:gridSpan w:val="2"/>
            <w:shd w:val="clear" w:color="auto" w:fill="auto"/>
          </w:tcPr>
          <w:p w14:paraId="0FC5EA54" w14:textId="68067C4F" w:rsidR="00B074CC" w:rsidRPr="001A1836" w:rsidRDefault="00B074CC" w:rsidP="00626054">
            <w:pPr>
              <w:rPr>
                <w:sz w:val="20"/>
                <w:szCs w:val="24"/>
              </w:rPr>
            </w:pPr>
            <w:r w:rsidRPr="001A1836">
              <w:rPr>
                <w:sz w:val="20"/>
                <w:szCs w:val="24"/>
              </w:rPr>
              <w:t xml:space="preserve">Number of requests for on-site support from HSE, local authorities and other enforcement agencies actioned within 10 Working Days of receipt by the Provider, expressed as a percentage of the total number of requests for on-site support received. </w:t>
            </w:r>
          </w:p>
          <w:p w14:paraId="36BB6086" w14:textId="77777777" w:rsidR="00B074CC" w:rsidRPr="001A1836" w:rsidRDefault="00B074CC" w:rsidP="00626054">
            <w:pPr>
              <w:rPr>
                <w:sz w:val="20"/>
                <w:szCs w:val="24"/>
              </w:rPr>
            </w:pPr>
            <w:r w:rsidRPr="001A1836">
              <w:rPr>
                <w:sz w:val="20"/>
                <w:szCs w:val="24"/>
              </w:rPr>
              <w:t>(Reference to HSE includes, where appropriate, local authorities and other enforcement agencies.)</w:t>
            </w:r>
          </w:p>
          <w:p w14:paraId="4D72BD82" w14:textId="77777777" w:rsidR="00B074CC" w:rsidRPr="001A1836" w:rsidRDefault="00B074CC" w:rsidP="00626054">
            <w:pPr>
              <w:rPr>
                <w:sz w:val="20"/>
                <w:szCs w:val="24"/>
              </w:rPr>
            </w:pPr>
            <w:r w:rsidRPr="001A1836">
              <w:rPr>
                <w:sz w:val="20"/>
                <w:szCs w:val="24"/>
              </w:rPr>
              <w:t>The request counted as received when the relevant form is received from HSE during service hours.</w:t>
            </w:r>
          </w:p>
          <w:p w14:paraId="45DD1358" w14:textId="77777777" w:rsidR="00B074CC" w:rsidRPr="001A1836" w:rsidRDefault="00B074CC" w:rsidP="00626054">
            <w:pPr>
              <w:rPr>
                <w:sz w:val="20"/>
                <w:szCs w:val="24"/>
              </w:rPr>
            </w:pPr>
            <w:r w:rsidRPr="001A1836">
              <w:rPr>
                <w:sz w:val="20"/>
                <w:szCs w:val="24"/>
              </w:rPr>
              <w:t>For a request to be counted as actioned the site visit must be completed and report submitted to HSE.</w:t>
            </w:r>
          </w:p>
        </w:tc>
      </w:tr>
      <w:tr w:rsidR="00B074CC" w:rsidRPr="001A1836" w14:paraId="0A3251FF" w14:textId="77777777" w:rsidTr="004F1C82">
        <w:tc>
          <w:tcPr>
            <w:tcW w:w="2029" w:type="dxa"/>
            <w:shd w:val="clear" w:color="auto" w:fill="auto"/>
          </w:tcPr>
          <w:p w14:paraId="11B70E2C" w14:textId="5BDBD171" w:rsidR="00B074CC" w:rsidRPr="001A1836" w:rsidRDefault="00B074CC" w:rsidP="00626054">
            <w:pPr>
              <w:rPr>
                <w:sz w:val="20"/>
                <w:szCs w:val="24"/>
              </w:rPr>
            </w:pPr>
            <w:r w:rsidRPr="001A1836">
              <w:rPr>
                <w:sz w:val="20"/>
                <w:szCs w:val="24"/>
              </w:rPr>
              <w:t xml:space="preserve">Service </w:t>
            </w:r>
            <w:r w:rsidR="00747264" w:rsidRPr="001A1836">
              <w:rPr>
                <w:sz w:val="20"/>
                <w:szCs w:val="24"/>
              </w:rPr>
              <w:t>L</w:t>
            </w:r>
            <w:r w:rsidRPr="001A1836">
              <w:rPr>
                <w:sz w:val="20"/>
                <w:szCs w:val="24"/>
              </w:rPr>
              <w:t>evel calculation</w:t>
            </w:r>
          </w:p>
        </w:tc>
        <w:tc>
          <w:tcPr>
            <w:tcW w:w="6577" w:type="dxa"/>
            <w:gridSpan w:val="2"/>
            <w:shd w:val="clear" w:color="auto" w:fill="auto"/>
          </w:tcPr>
          <w:p w14:paraId="36A77385" w14:textId="77777777" w:rsidR="00B074CC" w:rsidRPr="001A1836" w:rsidRDefault="00B074CC" w:rsidP="00626054">
            <w:pPr>
              <w:rPr>
                <w:sz w:val="20"/>
                <w:szCs w:val="24"/>
              </w:rPr>
            </w:pPr>
            <w:r w:rsidRPr="001A1836">
              <w:rPr>
                <w:sz w:val="20"/>
                <w:szCs w:val="24"/>
              </w:rPr>
              <w:t>A / B x 100</w:t>
            </w:r>
          </w:p>
          <w:p w14:paraId="51077E5F" w14:textId="77777777" w:rsidR="00B074CC" w:rsidRPr="001A1836" w:rsidRDefault="00B074CC" w:rsidP="00626054">
            <w:pPr>
              <w:rPr>
                <w:sz w:val="20"/>
                <w:szCs w:val="24"/>
              </w:rPr>
            </w:pPr>
          </w:p>
          <w:p w14:paraId="2787E02D" w14:textId="77777777" w:rsidR="00B074CC" w:rsidRPr="001A1836" w:rsidRDefault="00B074CC" w:rsidP="00626054">
            <w:pPr>
              <w:rPr>
                <w:sz w:val="20"/>
                <w:szCs w:val="24"/>
              </w:rPr>
            </w:pPr>
            <w:r w:rsidRPr="001A1836">
              <w:rPr>
                <w:sz w:val="20"/>
                <w:szCs w:val="24"/>
              </w:rPr>
              <w:t>Where:</w:t>
            </w:r>
          </w:p>
          <w:p w14:paraId="22AFD3C6" w14:textId="1AFEC7BA" w:rsidR="00B074CC" w:rsidRPr="001A1836" w:rsidRDefault="00B074CC" w:rsidP="00626054">
            <w:pPr>
              <w:rPr>
                <w:sz w:val="20"/>
                <w:szCs w:val="24"/>
              </w:rPr>
            </w:pPr>
            <w:r w:rsidRPr="001A1836">
              <w:rPr>
                <w:sz w:val="20"/>
                <w:szCs w:val="24"/>
              </w:rPr>
              <w:t>A = Number of requests for on-site support actioned within 10 Working Days</w:t>
            </w:r>
          </w:p>
          <w:p w14:paraId="4E5C19F6" w14:textId="77777777" w:rsidR="00B074CC" w:rsidRPr="001A1836" w:rsidRDefault="00B074CC" w:rsidP="00626054">
            <w:pPr>
              <w:rPr>
                <w:sz w:val="20"/>
                <w:szCs w:val="24"/>
              </w:rPr>
            </w:pPr>
            <w:r w:rsidRPr="001A1836">
              <w:rPr>
                <w:sz w:val="20"/>
                <w:szCs w:val="24"/>
              </w:rPr>
              <w:t>B = Number of requests for on-site support made</w:t>
            </w:r>
          </w:p>
          <w:p w14:paraId="3E5CD3B3" w14:textId="3B40DEB9" w:rsidR="00B074CC" w:rsidRPr="001A1836" w:rsidRDefault="00B074CC" w:rsidP="00626054">
            <w:pPr>
              <w:rPr>
                <w:sz w:val="20"/>
                <w:szCs w:val="24"/>
              </w:rPr>
            </w:pPr>
            <w:r w:rsidRPr="001A1836">
              <w:rPr>
                <w:sz w:val="20"/>
                <w:szCs w:val="24"/>
              </w:rPr>
              <w:t>Urgent requests for support which cannot be actioned within 10 Working Days due to extenuating circumstances can be discounted from calculation with HSE’s agreement.</w:t>
            </w:r>
          </w:p>
        </w:tc>
      </w:tr>
      <w:tr w:rsidR="00B074CC" w:rsidRPr="001A1836" w14:paraId="483410B7" w14:textId="77777777" w:rsidTr="004F1C82">
        <w:tc>
          <w:tcPr>
            <w:tcW w:w="2029" w:type="dxa"/>
            <w:shd w:val="clear" w:color="auto" w:fill="auto"/>
          </w:tcPr>
          <w:p w14:paraId="4780608E" w14:textId="5D7DC3A8" w:rsidR="00B074CC" w:rsidRPr="001A1836" w:rsidRDefault="00B074CC" w:rsidP="00626054">
            <w:pPr>
              <w:rPr>
                <w:sz w:val="20"/>
                <w:szCs w:val="24"/>
              </w:rPr>
            </w:pPr>
            <w:r w:rsidRPr="001A1836">
              <w:rPr>
                <w:sz w:val="20"/>
                <w:szCs w:val="24"/>
              </w:rPr>
              <w:t xml:space="preserve">Reporting frequency </w:t>
            </w:r>
          </w:p>
        </w:tc>
        <w:tc>
          <w:tcPr>
            <w:tcW w:w="6577" w:type="dxa"/>
            <w:gridSpan w:val="2"/>
            <w:shd w:val="clear" w:color="auto" w:fill="auto"/>
          </w:tcPr>
          <w:p w14:paraId="103479DF" w14:textId="4FFFC690" w:rsidR="00B876A2" w:rsidRPr="001A1836" w:rsidRDefault="00B074CC" w:rsidP="0091349E">
            <w:pPr>
              <w:rPr>
                <w:sz w:val="20"/>
                <w:szCs w:val="24"/>
              </w:rPr>
            </w:pPr>
            <w:r w:rsidRPr="001A1836">
              <w:rPr>
                <w:sz w:val="20"/>
                <w:szCs w:val="24"/>
              </w:rPr>
              <w:t>Performance is reported monthly.</w:t>
            </w:r>
          </w:p>
        </w:tc>
      </w:tr>
      <w:tr w:rsidR="004F1C82" w:rsidRPr="001A1836" w14:paraId="1DA03B01" w14:textId="77777777" w:rsidTr="004F1C82">
        <w:tc>
          <w:tcPr>
            <w:tcW w:w="2029" w:type="dxa"/>
            <w:shd w:val="clear" w:color="auto" w:fill="auto"/>
          </w:tcPr>
          <w:p w14:paraId="1517F816" w14:textId="1A24F7BE" w:rsidR="004F1C82" w:rsidRPr="001A1836" w:rsidDel="00B20DB7" w:rsidRDefault="004F1C82" w:rsidP="004F1C82">
            <w:pPr>
              <w:rPr>
                <w:sz w:val="20"/>
                <w:szCs w:val="24"/>
              </w:rPr>
            </w:pPr>
            <w:r w:rsidRPr="001A1836">
              <w:rPr>
                <w:sz w:val="20"/>
                <w:szCs w:val="24"/>
              </w:rPr>
              <w:t>Service Measurement Period</w:t>
            </w:r>
          </w:p>
        </w:tc>
        <w:tc>
          <w:tcPr>
            <w:tcW w:w="6577" w:type="dxa"/>
            <w:gridSpan w:val="2"/>
            <w:shd w:val="clear" w:color="auto" w:fill="auto"/>
          </w:tcPr>
          <w:p w14:paraId="539531B1" w14:textId="190187CF" w:rsidR="004F1C82" w:rsidRPr="001A1836" w:rsidRDefault="004F1C82" w:rsidP="004F1C82">
            <w:pPr>
              <w:rPr>
                <w:sz w:val="20"/>
                <w:szCs w:val="24"/>
              </w:rPr>
            </w:pPr>
            <w:r w:rsidRPr="001A1836">
              <w:rPr>
                <w:sz w:val="20"/>
                <w:szCs w:val="24"/>
              </w:rPr>
              <w:t xml:space="preserve">Service Credits are calculated annually. </w:t>
            </w:r>
          </w:p>
        </w:tc>
      </w:tr>
      <w:tr w:rsidR="004F1C82" w:rsidRPr="001A1836" w14:paraId="102D68E6" w14:textId="77777777" w:rsidTr="004F1C82">
        <w:tc>
          <w:tcPr>
            <w:tcW w:w="2029" w:type="dxa"/>
            <w:shd w:val="clear" w:color="auto" w:fill="auto"/>
          </w:tcPr>
          <w:p w14:paraId="546432D0" w14:textId="1740EECF" w:rsidR="004F1C82" w:rsidRPr="001A1836" w:rsidDel="00B20DB7" w:rsidRDefault="004F1C82" w:rsidP="004F1C82">
            <w:pPr>
              <w:rPr>
                <w:sz w:val="20"/>
                <w:szCs w:val="24"/>
              </w:rPr>
            </w:pPr>
            <w:r w:rsidRPr="001A1836">
              <w:rPr>
                <w:sz w:val="20"/>
                <w:szCs w:val="24"/>
              </w:rPr>
              <w:t>Service Point Application Period</w:t>
            </w:r>
          </w:p>
        </w:tc>
        <w:tc>
          <w:tcPr>
            <w:tcW w:w="6577" w:type="dxa"/>
            <w:gridSpan w:val="2"/>
            <w:shd w:val="clear" w:color="auto" w:fill="auto"/>
          </w:tcPr>
          <w:p w14:paraId="22FE486E" w14:textId="5BBC12C3" w:rsidR="004F1C82" w:rsidRPr="001A1836" w:rsidRDefault="00EA4BD8" w:rsidP="004F1C82">
            <w:pPr>
              <w:rPr>
                <w:sz w:val="20"/>
                <w:szCs w:val="24"/>
              </w:rPr>
            </w:pPr>
            <w:r w:rsidRPr="001A1836">
              <w:rPr>
                <w:sz w:val="20"/>
                <w:szCs w:val="24"/>
              </w:rPr>
              <w:t xml:space="preserve">Service Points are applied annually </w:t>
            </w:r>
            <w:r>
              <w:rPr>
                <w:sz w:val="20"/>
                <w:szCs w:val="24"/>
              </w:rPr>
              <w:t xml:space="preserve">in respect of each Contract Year </w:t>
            </w:r>
            <w:r w:rsidRPr="001A1836">
              <w:rPr>
                <w:sz w:val="20"/>
                <w:szCs w:val="24"/>
              </w:rPr>
              <w:t xml:space="preserve">against the </w:t>
            </w:r>
            <w:r>
              <w:rPr>
                <w:sz w:val="20"/>
                <w:szCs w:val="24"/>
              </w:rPr>
              <w:t xml:space="preserve">sum of the </w:t>
            </w:r>
            <w:r w:rsidRPr="001A1836">
              <w:rPr>
                <w:sz w:val="20"/>
                <w:szCs w:val="24"/>
              </w:rPr>
              <w:t xml:space="preserve">Provider’s </w:t>
            </w:r>
            <w:r>
              <w:rPr>
                <w:sz w:val="20"/>
                <w:szCs w:val="24"/>
              </w:rPr>
              <w:t>A</w:t>
            </w:r>
            <w:r w:rsidRPr="001A1836">
              <w:rPr>
                <w:sz w:val="20"/>
                <w:szCs w:val="24"/>
              </w:rPr>
              <w:t xml:space="preserve">greed Operating Costs plus </w:t>
            </w:r>
            <w:r>
              <w:rPr>
                <w:sz w:val="20"/>
                <w:szCs w:val="24"/>
              </w:rPr>
              <w:t xml:space="preserve">Provider </w:t>
            </w:r>
            <w:r w:rsidRPr="001A1836">
              <w:rPr>
                <w:sz w:val="20"/>
                <w:szCs w:val="24"/>
              </w:rPr>
              <w:t xml:space="preserve">Profit for the final month of </w:t>
            </w:r>
            <w:r>
              <w:rPr>
                <w:sz w:val="20"/>
                <w:szCs w:val="24"/>
              </w:rPr>
              <w:t>such</w:t>
            </w:r>
            <w:r w:rsidRPr="001A1836">
              <w:rPr>
                <w:sz w:val="20"/>
                <w:szCs w:val="24"/>
              </w:rPr>
              <w:t xml:space="preserve"> Contract Year.</w:t>
            </w:r>
          </w:p>
        </w:tc>
      </w:tr>
      <w:tr w:rsidR="00B074CC" w:rsidRPr="001A1836" w14:paraId="42783B73" w14:textId="77777777" w:rsidTr="004F1C82">
        <w:tc>
          <w:tcPr>
            <w:tcW w:w="2029" w:type="dxa"/>
            <w:shd w:val="clear" w:color="auto" w:fill="auto"/>
          </w:tcPr>
          <w:p w14:paraId="107218DF" w14:textId="77777777" w:rsidR="00B074CC" w:rsidRPr="001A1836" w:rsidRDefault="00B074CC" w:rsidP="00626054">
            <w:pPr>
              <w:rPr>
                <w:strike/>
                <w:sz w:val="20"/>
                <w:szCs w:val="24"/>
              </w:rPr>
            </w:pPr>
            <w:r w:rsidRPr="001A1836">
              <w:rPr>
                <w:sz w:val="20"/>
                <w:szCs w:val="24"/>
              </w:rPr>
              <w:t>Data capture</w:t>
            </w:r>
          </w:p>
        </w:tc>
        <w:tc>
          <w:tcPr>
            <w:tcW w:w="6577" w:type="dxa"/>
            <w:gridSpan w:val="2"/>
            <w:shd w:val="clear" w:color="auto" w:fill="auto"/>
          </w:tcPr>
          <w:p w14:paraId="0430D511" w14:textId="77777777" w:rsidR="00B074CC" w:rsidRPr="001A1836" w:rsidRDefault="00B074CC">
            <w:pPr>
              <w:numPr>
                <w:ilvl w:val="0"/>
                <w:numId w:val="23"/>
              </w:numPr>
              <w:rPr>
                <w:sz w:val="20"/>
                <w:szCs w:val="24"/>
              </w:rPr>
            </w:pPr>
            <w:r w:rsidRPr="001A1836">
              <w:rPr>
                <w:sz w:val="20"/>
                <w:szCs w:val="24"/>
              </w:rPr>
              <w:t>Number of requests for on-site support made</w:t>
            </w:r>
          </w:p>
          <w:p w14:paraId="606AAD8A" w14:textId="6EA09E26" w:rsidR="00B074CC" w:rsidRPr="001A1836" w:rsidRDefault="00B074CC">
            <w:pPr>
              <w:numPr>
                <w:ilvl w:val="0"/>
                <w:numId w:val="23"/>
              </w:numPr>
              <w:rPr>
                <w:sz w:val="20"/>
                <w:szCs w:val="24"/>
              </w:rPr>
            </w:pPr>
            <w:r w:rsidRPr="001A1836">
              <w:rPr>
                <w:sz w:val="20"/>
                <w:szCs w:val="24"/>
              </w:rPr>
              <w:t>Number of requests for on-site actioned within 10 Working Days</w:t>
            </w:r>
          </w:p>
          <w:p w14:paraId="77906218" w14:textId="77777777" w:rsidR="00B074CC" w:rsidRPr="001A1836" w:rsidRDefault="00B074CC">
            <w:pPr>
              <w:numPr>
                <w:ilvl w:val="0"/>
                <w:numId w:val="23"/>
              </w:numPr>
              <w:rPr>
                <w:sz w:val="20"/>
                <w:szCs w:val="24"/>
              </w:rPr>
            </w:pPr>
            <w:r w:rsidRPr="001A1836">
              <w:rPr>
                <w:sz w:val="20"/>
                <w:szCs w:val="24"/>
              </w:rPr>
              <w:t>Date and time request (form) received</w:t>
            </w:r>
          </w:p>
          <w:p w14:paraId="79102030" w14:textId="77777777" w:rsidR="00B074CC" w:rsidRPr="001A1836" w:rsidRDefault="00B074CC">
            <w:pPr>
              <w:numPr>
                <w:ilvl w:val="0"/>
                <w:numId w:val="23"/>
              </w:numPr>
              <w:rPr>
                <w:sz w:val="20"/>
                <w:szCs w:val="24"/>
              </w:rPr>
            </w:pPr>
            <w:r w:rsidRPr="001A1836">
              <w:rPr>
                <w:sz w:val="20"/>
                <w:szCs w:val="24"/>
              </w:rPr>
              <w:t>Date site visited</w:t>
            </w:r>
          </w:p>
          <w:p w14:paraId="7AAFB9CF" w14:textId="77777777" w:rsidR="00B074CC" w:rsidRPr="001A1836" w:rsidRDefault="00B074CC">
            <w:pPr>
              <w:numPr>
                <w:ilvl w:val="0"/>
                <w:numId w:val="23"/>
              </w:numPr>
              <w:rPr>
                <w:sz w:val="20"/>
                <w:szCs w:val="24"/>
              </w:rPr>
            </w:pPr>
            <w:r w:rsidRPr="001A1836">
              <w:rPr>
                <w:sz w:val="20"/>
                <w:szCs w:val="24"/>
              </w:rPr>
              <w:t>Date report submitted to HSE</w:t>
            </w:r>
          </w:p>
        </w:tc>
      </w:tr>
      <w:tr w:rsidR="00B074CC" w:rsidRPr="001A1836" w14:paraId="237EA458" w14:textId="77777777" w:rsidTr="004F1C82">
        <w:tc>
          <w:tcPr>
            <w:tcW w:w="2029" w:type="dxa"/>
            <w:shd w:val="clear" w:color="auto" w:fill="auto"/>
          </w:tcPr>
          <w:p w14:paraId="198D915B" w14:textId="77777777" w:rsidR="00B074CC" w:rsidRPr="001A1836" w:rsidRDefault="00B074CC" w:rsidP="00626054">
            <w:pPr>
              <w:rPr>
                <w:sz w:val="20"/>
                <w:szCs w:val="24"/>
              </w:rPr>
            </w:pPr>
            <w:r w:rsidRPr="001A1836">
              <w:rPr>
                <w:sz w:val="20"/>
                <w:szCs w:val="24"/>
              </w:rPr>
              <w:t>Impact</w:t>
            </w:r>
          </w:p>
        </w:tc>
        <w:tc>
          <w:tcPr>
            <w:tcW w:w="6577" w:type="dxa"/>
            <w:gridSpan w:val="2"/>
            <w:shd w:val="clear" w:color="auto" w:fill="auto"/>
          </w:tcPr>
          <w:p w14:paraId="670E1D15" w14:textId="77777777" w:rsidR="00B074CC" w:rsidRPr="001A1836" w:rsidRDefault="00B074CC" w:rsidP="00626054">
            <w:pPr>
              <w:rPr>
                <w:sz w:val="20"/>
                <w:szCs w:val="24"/>
              </w:rPr>
            </w:pPr>
            <w:r w:rsidRPr="001A1836">
              <w:rPr>
                <w:sz w:val="20"/>
                <w:szCs w:val="24"/>
              </w:rPr>
              <w:t>High</w:t>
            </w:r>
          </w:p>
        </w:tc>
      </w:tr>
      <w:tr w:rsidR="00B074CC" w:rsidRPr="001A1836" w14:paraId="4810315F" w14:textId="77777777" w:rsidTr="004F1C82">
        <w:tc>
          <w:tcPr>
            <w:tcW w:w="2029" w:type="dxa"/>
            <w:shd w:val="clear" w:color="auto" w:fill="auto"/>
          </w:tcPr>
          <w:p w14:paraId="4C738528" w14:textId="77777777" w:rsidR="00B074CC" w:rsidRPr="001A1836" w:rsidRDefault="00B074CC" w:rsidP="00626054">
            <w:pPr>
              <w:rPr>
                <w:sz w:val="20"/>
                <w:szCs w:val="24"/>
              </w:rPr>
            </w:pPr>
            <w:r w:rsidRPr="001A1836">
              <w:rPr>
                <w:sz w:val="20"/>
                <w:szCs w:val="24"/>
              </w:rPr>
              <w:t>Criticality</w:t>
            </w:r>
          </w:p>
        </w:tc>
        <w:tc>
          <w:tcPr>
            <w:tcW w:w="6577" w:type="dxa"/>
            <w:gridSpan w:val="2"/>
            <w:shd w:val="clear" w:color="auto" w:fill="auto"/>
          </w:tcPr>
          <w:p w14:paraId="06C82A6C" w14:textId="77777777" w:rsidR="00B074CC" w:rsidRPr="001A1836" w:rsidRDefault="00B074CC" w:rsidP="00626054">
            <w:pPr>
              <w:rPr>
                <w:sz w:val="20"/>
                <w:szCs w:val="24"/>
              </w:rPr>
            </w:pPr>
            <w:r w:rsidRPr="001A1836">
              <w:rPr>
                <w:sz w:val="20"/>
                <w:szCs w:val="24"/>
              </w:rPr>
              <w:t>A</w:t>
            </w:r>
          </w:p>
        </w:tc>
      </w:tr>
      <w:tr w:rsidR="00B074CC" w:rsidRPr="001A1836" w14:paraId="528F156C" w14:textId="77777777" w:rsidTr="004F1C82">
        <w:tc>
          <w:tcPr>
            <w:tcW w:w="2029" w:type="dxa"/>
            <w:shd w:val="clear" w:color="auto" w:fill="auto"/>
          </w:tcPr>
          <w:p w14:paraId="3042F5EF" w14:textId="77777777" w:rsidR="00B074CC" w:rsidRPr="001A1836" w:rsidRDefault="00B074CC" w:rsidP="00626054">
            <w:pPr>
              <w:rPr>
                <w:sz w:val="20"/>
                <w:szCs w:val="24"/>
              </w:rPr>
            </w:pPr>
            <w:r w:rsidRPr="001A1836">
              <w:rPr>
                <w:sz w:val="20"/>
                <w:szCs w:val="24"/>
              </w:rPr>
              <w:t>Service Level Performance Measure</w:t>
            </w:r>
          </w:p>
        </w:tc>
        <w:tc>
          <w:tcPr>
            <w:tcW w:w="6577" w:type="dxa"/>
            <w:gridSpan w:val="2"/>
            <w:shd w:val="clear" w:color="auto" w:fill="auto"/>
          </w:tcPr>
          <w:p w14:paraId="13E1A54C" w14:textId="22E010D1" w:rsidR="00B074CC" w:rsidRPr="001A1836" w:rsidRDefault="00B074CC" w:rsidP="00626054">
            <w:pPr>
              <w:rPr>
                <w:sz w:val="20"/>
                <w:szCs w:val="24"/>
              </w:rPr>
            </w:pPr>
            <w:r w:rsidRPr="001A1836">
              <w:rPr>
                <w:sz w:val="20"/>
                <w:szCs w:val="24"/>
              </w:rPr>
              <w:t xml:space="preserve">100% of requests for on-site support actioned within 10 Working Days </w:t>
            </w:r>
          </w:p>
        </w:tc>
      </w:tr>
      <w:tr w:rsidR="00B074CC" w:rsidRPr="001A1836" w14:paraId="4CF08257" w14:textId="77777777" w:rsidTr="004F1C82">
        <w:tc>
          <w:tcPr>
            <w:tcW w:w="2029" w:type="dxa"/>
            <w:shd w:val="clear" w:color="auto" w:fill="auto"/>
          </w:tcPr>
          <w:p w14:paraId="5635AEA5" w14:textId="77777777" w:rsidR="00B074CC" w:rsidRPr="001A1836" w:rsidRDefault="00B074CC" w:rsidP="00626054">
            <w:pPr>
              <w:rPr>
                <w:sz w:val="20"/>
                <w:szCs w:val="24"/>
              </w:rPr>
            </w:pPr>
          </w:p>
        </w:tc>
        <w:tc>
          <w:tcPr>
            <w:tcW w:w="4678" w:type="dxa"/>
            <w:shd w:val="clear" w:color="auto" w:fill="auto"/>
          </w:tcPr>
          <w:p w14:paraId="6479C4AF" w14:textId="77777777" w:rsidR="00B074CC" w:rsidRPr="001A1836" w:rsidRDefault="00B074CC" w:rsidP="00626054">
            <w:pPr>
              <w:rPr>
                <w:b/>
                <w:sz w:val="20"/>
                <w:szCs w:val="24"/>
              </w:rPr>
            </w:pPr>
            <w:r w:rsidRPr="001A1836">
              <w:rPr>
                <w:b/>
                <w:sz w:val="20"/>
                <w:szCs w:val="24"/>
              </w:rPr>
              <w:t>Service Level Performance Measure</w:t>
            </w:r>
          </w:p>
        </w:tc>
        <w:tc>
          <w:tcPr>
            <w:tcW w:w="1899" w:type="dxa"/>
            <w:shd w:val="clear" w:color="auto" w:fill="auto"/>
          </w:tcPr>
          <w:p w14:paraId="2E7B5820" w14:textId="77777777" w:rsidR="00B074CC" w:rsidRPr="001A1836" w:rsidRDefault="00B074CC" w:rsidP="00626054">
            <w:pPr>
              <w:rPr>
                <w:b/>
                <w:sz w:val="20"/>
                <w:szCs w:val="24"/>
              </w:rPr>
            </w:pPr>
            <w:r w:rsidRPr="001A1836">
              <w:rPr>
                <w:b/>
                <w:sz w:val="20"/>
                <w:szCs w:val="24"/>
              </w:rPr>
              <w:t>Service points</w:t>
            </w:r>
          </w:p>
        </w:tc>
      </w:tr>
      <w:tr w:rsidR="00B074CC" w:rsidRPr="001A1836" w14:paraId="730F3245" w14:textId="77777777" w:rsidTr="004F1C82">
        <w:tc>
          <w:tcPr>
            <w:tcW w:w="2029" w:type="dxa"/>
            <w:shd w:val="clear" w:color="auto" w:fill="auto"/>
          </w:tcPr>
          <w:p w14:paraId="41C51EB8" w14:textId="08F1E2E4" w:rsidR="00B074CC" w:rsidRPr="001A1836" w:rsidRDefault="00B074CC" w:rsidP="00626054">
            <w:pPr>
              <w:rPr>
                <w:strike/>
                <w:sz w:val="20"/>
                <w:szCs w:val="24"/>
              </w:rPr>
            </w:pPr>
            <w:r w:rsidRPr="001A1836">
              <w:rPr>
                <w:sz w:val="20"/>
                <w:szCs w:val="24"/>
              </w:rPr>
              <w:t xml:space="preserve">Service </w:t>
            </w:r>
            <w:r w:rsidR="00747264" w:rsidRPr="001A1836">
              <w:rPr>
                <w:sz w:val="20"/>
                <w:szCs w:val="24"/>
              </w:rPr>
              <w:t>L</w:t>
            </w:r>
            <w:r w:rsidRPr="001A1836">
              <w:rPr>
                <w:sz w:val="20"/>
                <w:szCs w:val="24"/>
              </w:rPr>
              <w:t>evel met</w:t>
            </w:r>
          </w:p>
        </w:tc>
        <w:tc>
          <w:tcPr>
            <w:tcW w:w="4678" w:type="dxa"/>
            <w:shd w:val="clear" w:color="auto" w:fill="auto"/>
          </w:tcPr>
          <w:p w14:paraId="42384DE3" w14:textId="75EB08BC" w:rsidR="00B074CC" w:rsidRPr="001A1836" w:rsidRDefault="00B074CC" w:rsidP="00626054">
            <w:pPr>
              <w:rPr>
                <w:color w:val="FF0000"/>
                <w:sz w:val="20"/>
                <w:szCs w:val="24"/>
              </w:rPr>
            </w:pPr>
            <w:r w:rsidRPr="001A1836">
              <w:rPr>
                <w:sz w:val="20"/>
                <w:szCs w:val="24"/>
              </w:rPr>
              <w:t xml:space="preserve">100% </w:t>
            </w:r>
          </w:p>
        </w:tc>
        <w:tc>
          <w:tcPr>
            <w:tcW w:w="1899" w:type="dxa"/>
            <w:shd w:val="clear" w:color="auto" w:fill="auto"/>
          </w:tcPr>
          <w:p w14:paraId="0510DD87" w14:textId="77777777" w:rsidR="00B074CC" w:rsidRPr="001A1836" w:rsidRDefault="00B074CC" w:rsidP="00626054">
            <w:pPr>
              <w:rPr>
                <w:sz w:val="20"/>
                <w:szCs w:val="24"/>
              </w:rPr>
            </w:pPr>
            <w:r w:rsidRPr="001A1836">
              <w:rPr>
                <w:sz w:val="20"/>
                <w:szCs w:val="24"/>
              </w:rPr>
              <w:t>0</w:t>
            </w:r>
          </w:p>
        </w:tc>
      </w:tr>
      <w:tr w:rsidR="00B074CC" w:rsidRPr="001A1836" w14:paraId="0A3C4174" w14:textId="77777777" w:rsidTr="004F1C82">
        <w:tc>
          <w:tcPr>
            <w:tcW w:w="2029" w:type="dxa"/>
            <w:shd w:val="clear" w:color="auto" w:fill="auto"/>
          </w:tcPr>
          <w:p w14:paraId="2908840B" w14:textId="77777777" w:rsidR="00B074CC" w:rsidRPr="001A1836" w:rsidRDefault="00B074CC" w:rsidP="00626054">
            <w:pPr>
              <w:rPr>
                <w:sz w:val="20"/>
                <w:szCs w:val="24"/>
              </w:rPr>
            </w:pPr>
            <w:r w:rsidRPr="001A1836">
              <w:rPr>
                <w:sz w:val="20"/>
                <w:szCs w:val="24"/>
              </w:rPr>
              <w:t>Minor Service Level Failure</w:t>
            </w:r>
          </w:p>
        </w:tc>
        <w:tc>
          <w:tcPr>
            <w:tcW w:w="4678" w:type="dxa"/>
            <w:shd w:val="clear" w:color="auto" w:fill="auto"/>
          </w:tcPr>
          <w:p w14:paraId="46BE60F4" w14:textId="63569A80" w:rsidR="00B074CC" w:rsidRPr="001A1836" w:rsidRDefault="00B074CC" w:rsidP="00626054">
            <w:pPr>
              <w:rPr>
                <w:sz w:val="20"/>
                <w:szCs w:val="24"/>
              </w:rPr>
            </w:pPr>
            <w:r w:rsidRPr="001A1836">
              <w:rPr>
                <w:sz w:val="20"/>
                <w:szCs w:val="24"/>
              </w:rPr>
              <w:t xml:space="preserve">Less than 100% but greater than 95% </w:t>
            </w:r>
          </w:p>
        </w:tc>
        <w:tc>
          <w:tcPr>
            <w:tcW w:w="1899" w:type="dxa"/>
            <w:shd w:val="clear" w:color="auto" w:fill="auto"/>
          </w:tcPr>
          <w:p w14:paraId="109A4B02" w14:textId="77777777" w:rsidR="00B074CC" w:rsidRPr="001A1836" w:rsidRDefault="00B074CC" w:rsidP="00626054">
            <w:pPr>
              <w:rPr>
                <w:sz w:val="20"/>
                <w:szCs w:val="24"/>
              </w:rPr>
            </w:pPr>
            <w:r w:rsidRPr="001A1836">
              <w:rPr>
                <w:sz w:val="20"/>
                <w:szCs w:val="24"/>
              </w:rPr>
              <w:t>3.0</w:t>
            </w:r>
          </w:p>
        </w:tc>
      </w:tr>
      <w:tr w:rsidR="00B074CC" w:rsidRPr="001A1836" w14:paraId="604B115E" w14:textId="77777777" w:rsidTr="004F1C82">
        <w:tc>
          <w:tcPr>
            <w:tcW w:w="2029" w:type="dxa"/>
            <w:shd w:val="clear" w:color="auto" w:fill="auto"/>
          </w:tcPr>
          <w:p w14:paraId="44A7BBAF" w14:textId="77777777" w:rsidR="00B074CC" w:rsidRPr="001A1836" w:rsidRDefault="00B074CC" w:rsidP="00626054">
            <w:pPr>
              <w:rPr>
                <w:sz w:val="20"/>
                <w:szCs w:val="24"/>
              </w:rPr>
            </w:pPr>
            <w:r w:rsidRPr="001A1836">
              <w:rPr>
                <w:sz w:val="20"/>
                <w:szCs w:val="24"/>
              </w:rPr>
              <w:t>Moderate Service Level Failure</w:t>
            </w:r>
          </w:p>
        </w:tc>
        <w:tc>
          <w:tcPr>
            <w:tcW w:w="4678" w:type="dxa"/>
            <w:shd w:val="clear" w:color="auto" w:fill="auto"/>
          </w:tcPr>
          <w:p w14:paraId="71D7F96B" w14:textId="77777777" w:rsidR="00B074CC" w:rsidRPr="001A1836" w:rsidRDefault="00B074CC" w:rsidP="00626054">
            <w:pPr>
              <w:rPr>
                <w:sz w:val="20"/>
                <w:szCs w:val="24"/>
              </w:rPr>
            </w:pPr>
            <w:r w:rsidRPr="001A1836">
              <w:rPr>
                <w:sz w:val="20"/>
                <w:szCs w:val="24"/>
              </w:rPr>
              <w:t xml:space="preserve">Between 95% and 90% inclusive </w:t>
            </w:r>
          </w:p>
        </w:tc>
        <w:tc>
          <w:tcPr>
            <w:tcW w:w="1899" w:type="dxa"/>
            <w:shd w:val="clear" w:color="auto" w:fill="auto"/>
          </w:tcPr>
          <w:p w14:paraId="05887DB4" w14:textId="77777777" w:rsidR="00B074CC" w:rsidRPr="001A1836" w:rsidRDefault="00B074CC" w:rsidP="00626054">
            <w:pPr>
              <w:rPr>
                <w:sz w:val="20"/>
                <w:szCs w:val="24"/>
              </w:rPr>
            </w:pPr>
            <w:r w:rsidRPr="001A1836">
              <w:rPr>
                <w:sz w:val="20"/>
                <w:szCs w:val="24"/>
              </w:rPr>
              <w:t>6.0</w:t>
            </w:r>
          </w:p>
        </w:tc>
      </w:tr>
      <w:tr w:rsidR="00B074CC" w:rsidRPr="001A1836" w14:paraId="607B00CC" w14:textId="77777777" w:rsidTr="004F1C82">
        <w:tc>
          <w:tcPr>
            <w:tcW w:w="2029" w:type="dxa"/>
            <w:shd w:val="clear" w:color="auto" w:fill="auto"/>
          </w:tcPr>
          <w:p w14:paraId="3AE63F15" w14:textId="77777777" w:rsidR="00B074CC" w:rsidRPr="001A1836" w:rsidRDefault="00B074CC" w:rsidP="00626054">
            <w:pPr>
              <w:rPr>
                <w:sz w:val="20"/>
                <w:szCs w:val="24"/>
              </w:rPr>
            </w:pPr>
            <w:r w:rsidRPr="001A1836">
              <w:rPr>
                <w:sz w:val="20"/>
                <w:szCs w:val="24"/>
              </w:rPr>
              <w:lastRenderedPageBreak/>
              <w:t>Major Service Level Failure</w:t>
            </w:r>
          </w:p>
        </w:tc>
        <w:tc>
          <w:tcPr>
            <w:tcW w:w="4678" w:type="dxa"/>
            <w:shd w:val="clear" w:color="auto" w:fill="auto"/>
          </w:tcPr>
          <w:p w14:paraId="2E0ECCBD" w14:textId="77777777" w:rsidR="00B074CC" w:rsidRPr="001A1836" w:rsidRDefault="00B074CC" w:rsidP="00626054">
            <w:pPr>
              <w:rPr>
                <w:sz w:val="20"/>
                <w:szCs w:val="24"/>
              </w:rPr>
            </w:pPr>
            <w:r w:rsidRPr="001A1836">
              <w:rPr>
                <w:sz w:val="20"/>
                <w:szCs w:val="24"/>
              </w:rPr>
              <w:t xml:space="preserve">Less than 90% </w:t>
            </w:r>
          </w:p>
        </w:tc>
        <w:tc>
          <w:tcPr>
            <w:tcW w:w="1899" w:type="dxa"/>
            <w:shd w:val="clear" w:color="auto" w:fill="auto"/>
          </w:tcPr>
          <w:p w14:paraId="08D14CC6" w14:textId="77777777" w:rsidR="00B074CC" w:rsidRPr="001A1836" w:rsidRDefault="00B074CC" w:rsidP="00626054">
            <w:pPr>
              <w:rPr>
                <w:sz w:val="20"/>
                <w:szCs w:val="24"/>
              </w:rPr>
            </w:pPr>
            <w:r w:rsidRPr="001A1836">
              <w:rPr>
                <w:sz w:val="20"/>
                <w:szCs w:val="24"/>
              </w:rPr>
              <w:t>9.0</w:t>
            </w:r>
          </w:p>
        </w:tc>
      </w:tr>
    </w:tbl>
    <w:p w14:paraId="006581A9" w14:textId="22715410" w:rsidR="00B074CC" w:rsidRPr="001A1836" w:rsidRDefault="00B074CC">
      <w:pPr>
        <w:spacing w:after="0"/>
        <w:rPr>
          <w:sz w:val="20"/>
          <w:szCs w:val="24"/>
        </w:rPr>
      </w:pPr>
      <w:r w:rsidRPr="001A1836">
        <w:rPr>
          <w:sz w:val="20"/>
          <w:szCs w:val="24"/>
        </w:rPr>
        <w:br w:type="page"/>
      </w:r>
    </w:p>
    <w:p w14:paraId="512BF33B" w14:textId="77777777" w:rsidR="00B074CC" w:rsidRPr="001A1836" w:rsidRDefault="00B074CC" w:rsidP="00626054">
      <w:pPr>
        <w:spacing w:after="0"/>
        <w:rPr>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4678"/>
        <w:gridCol w:w="1899"/>
      </w:tblGrid>
      <w:tr w:rsidR="00B074CC" w:rsidRPr="001A1836" w14:paraId="212007B2" w14:textId="77777777" w:rsidTr="00B4557D">
        <w:trPr>
          <w:tblHeader/>
        </w:trPr>
        <w:tc>
          <w:tcPr>
            <w:tcW w:w="2029" w:type="dxa"/>
            <w:shd w:val="clear" w:color="auto" w:fill="auto"/>
          </w:tcPr>
          <w:p w14:paraId="1E1EF92D" w14:textId="77777777" w:rsidR="00B074CC" w:rsidRPr="001A1836" w:rsidRDefault="00B074CC" w:rsidP="00626054">
            <w:pPr>
              <w:rPr>
                <w:b/>
                <w:szCs w:val="24"/>
              </w:rPr>
            </w:pPr>
            <w:r w:rsidRPr="001A1836">
              <w:rPr>
                <w:b/>
                <w:szCs w:val="24"/>
              </w:rPr>
              <w:t>SL08</w:t>
            </w:r>
          </w:p>
        </w:tc>
        <w:tc>
          <w:tcPr>
            <w:tcW w:w="6577" w:type="dxa"/>
            <w:gridSpan w:val="2"/>
            <w:shd w:val="clear" w:color="auto" w:fill="auto"/>
          </w:tcPr>
          <w:p w14:paraId="2549F3F0" w14:textId="5D8F34DA" w:rsidR="00B074CC" w:rsidRPr="001A1836" w:rsidRDefault="00B074CC" w:rsidP="00626054">
            <w:pPr>
              <w:rPr>
                <w:b/>
                <w:szCs w:val="24"/>
              </w:rPr>
            </w:pPr>
            <w:r w:rsidRPr="001A1836">
              <w:rPr>
                <w:b/>
                <w:szCs w:val="24"/>
              </w:rPr>
              <w:t xml:space="preserve">% of illegal gas sites visited </w:t>
            </w:r>
            <w:r w:rsidR="00014AE9">
              <w:rPr>
                <w:b/>
                <w:szCs w:val="24"/>
              </w:rPr>
              <w:t xml:space="preserve">for an Illegal Gas Work Investigation </w:t>
            </w:r>
            <w:r w:rsidRPr="001A1836">
              <w:rPr>
                <w:b/>
                <w:szCs w:val="24"/>
              </w:rPr>
              <w:t>within 10 Working Days of illegal work being reported</w:t>
            </w:r>
          </w:p>
        </w:tc>
      </w:tr>
      <w:tr w:rsidR="00B074CC" w:rsidRPr="001A1836" w14:paraId="4BD318E6" w14:textId="77777777" w:rsidTr="004F1C82">
        <w:tc>
          <w:tcPr>
            <w:tcW w:w="2029" w:type="dxa"/>
            <w:shd w:val="clear" w:color="auto" w:fill="auto"/>
          </w:tcPr>
          <w:p w14:paraId="64D3F268" w14:textId="7B2C431B" w:rsidR="00B074CC" w:rsidRPr="001A1836" w:rsidRDefault="00B074CC" w:rsidP="00626054">
            <w:pPr>
              <w:rPr>
                <w:sz w:val="20"/>
                <w:szCs w:val="24"/>
              </w:rPr>
            </w:pPr>
            <w:r w:rsidRPr="001A1836">
              <w:rPr>
                <w:sz w:val="20"/>
                <w:szCs w:val="24"/>
              </w:rPr>
              <w:t xml:space="preserve">Service </w:t>
            </w:r>
            <w:r w:rsidR="00747264" w:rsidRPr="001A1836">
              <w:rPr>
                <w:sz w:val="20"/>
                <w:szCs w:val="24"/>
              </w:rPr>
              <w:t>L</w:t>
            </w:r>
            <w:r w:rsidRPr="001A1836">
              <w:rPr>
                <w:sz w:val="20"/>
                <w:szCs w:val="24"/>
              </w:rPr>
              <w:t>evel description</w:t>
            </w:r>
          </w:p>
        </w:tc>
        <w:tc>
          <w:tcPr>
            <w:tcW w:w="6577" w:type="dxa"/>
            <w:gridSpan w:val="2"/>
            <w:shd w:val="clear" w:color="auto" w:fill="auto"/>
          </w:tcPr>
          <w:p w14:paraId="32076935" w14:textId="6C176734" w:rsidR="00B074CC" w:rsidRPr="001A1836" w:rsidRDefault="00B074CC" w:rsidP="00626054">
            <w:pPr>
              <w:rPr>
                <w:sz w:val="20"/>
                <w:szCs w:val="24"/>
              </w:rPr>
            </w:pPr>
            <w:r w:rsidRPr="001A1836">
              <w:rPr>
                <w:sz w:val="20"/>
                <w:szCs w:val="24"/>
              </w:rPr>
              <w:t xml:space="preserve">Illegal gas sites are sites where it is believed that </w:t>
            </w:r>
            <w:r w:rsidR="000C1F5C" w:rsidRPr="001A1836">
              <w:rPr>
                <w:sz w:val="20"/>
                <w:szCs w:val="24"/>
              </w:rPr>
              <w:t>Gas Work</w:t>
            </w:r>
            <w:r w:rsidRPr="001A1836">
              <w:rPr>
                <w:sz w:val="20"/>
                <w:szCs w:val="24"/>
              </w:rPr>
              <w:t xml:space="preserve"> has been carried out by an unregistered gas fitter, or a Registered Engineer working outside of their competencies.</w:t>
            </w:r>
          </w:p>
          <w:p w14:paraId="615BDF88" w14:textId="7CC9B2AD" w:rsidR="00B074CC" w:rsidRPr="001A1836" w:rsidRDefault="00B074CC" w:rsidP="00626054">
            <w:pPr>
              <w:rPr>
                <w:sz w:val="20"/>
                <w:szCs w:val="24"/>
              </w:rPr>
            </w:pPr>
            <w:r w:rsidRPr="001A1836">
              <w:rPr>
                <w:sz w:val="20"/>
                <w:szCs w:val="24"/>
              </w:rPr>
              <w:t xml:space="preserve">This Service Level measures the number of illegal gas sites visited </w:t>
            </w:r>
            <w:r w:rsidR="00014AE9">
              <w:rPr>
                <w:sz w:val="20"/>
                <w:szCs w:val="24"/>
              </w:rPr>
              <w:t xml:space="preserve">to conduct an Illegal Gas Work Investigation </w:t>
            </w:r>
            <w:r w:rsidRPr="001A1836">
              <w:rPr>
                <w:sz w:val="20"/>
                <w:szCs w:val="24"/>
              </w:rPr>
              <w:t xml:space="preserve">within 10 Working Days of being reported, expressed as a percentage of the number of illegal gas sites reported. </w:t>
            </w:r>
          </w:p>
          <w:p w14:paraId="1C9B56F9" w14:textId="79AD4927" w:rsidR="00B074CC" w:rsidRPr="001A1836" w:rsidRDefault="00B074CC" w:rsidP="00626054">
            <w:pPr>
              <w:rPr>
                <w:sz w:val="20"/>
                <w:szCs w:val="24"/>
              </w:rPr>
            </w:pPr>
            <w:r w:rsidRPr="001A1836">
              <w:rPr>
                <w:sz w:val="20"/>
                <w:szCs w:val="24"/>
              </w:rPr>
              <w:t>‘Illegal gas sites reported’ are those sites that can be identified and where permission by the homeowner, tenant or landlord is given to visit the site</w:t>
            </w:r>
            <w:r w:rsidR="00014AE9">
              <w:rPr>
                <w:sz w:val="20"/>
                <w:szCs w:val="24"/>
              </w:rPr>
              <w:t xml:space="preserve"> to conduct an Illegal Gas Work Investigation</w:t>
            </w:r>
            <w:r w:rsidRPr="001A1836">
              <w:rPr>
                <w:sz w:val="20"/>
                <w:szCs w:val="24"/>
              </w:rPr>
              <w:t>.</w:t>
            </w:r>
          </w:p>
          <w:p w14:paraId="0E645DE2" w14:textId="05F18B0E" w:rsidR="00B074CC" w:rsidRPr="001A1836" w:rsidRDefault="00B074CC" w:rsidP="00626054">
            <w:pPr>
              <w:rPr>
                <w:sz w:val="20"/>
                <w:szCs w:val="24"/>
              </w:rPr>
            </w:pPr>
            <w:r w:rsidRPr="001A1836">
              <w:rPr>
                <w:sz w:val="20"/>
                <w:szCs w:val="24"/>
              </w:rPr>
              <w:t xml:space="preserve">Illegal work is counted as reported when a phone call or email is received during service hours. When a report of potential illegal </w:t>
            </w:r>
            <w:r w:rsidR="000C1F5C" w:rsidRPr="001A1836">
              <w:rPr>
                <w:sz w:val="20"/>
                <w:szCs w:val="24"/>
              </w:rPr>
              <w:t>Gas Work</w:t>
            </w:r>
            <w:r w:rsidRPr="001A1836">
              <w:rPr>
                <w:sz w:val="20"/>
                <w:szCs w:val="24"/>
              </w:rPr>
              <w:t xml:space="preserve"> is submitted outside service hours, it is counted as received when service hours next resume.</w:t>
            </w:r>
          </w:p>
          <w:p w14:paraId="1B3E5084" w14:textId="7E180F79" w:rsidR="006C719C" w:rsidRPr="001A1836" w:rsidRDefault="006C719C" w:rsidP="006C719C">
            <w:pPr>
              <w:rPr>
                <w:sz w:val="20"/>
                <w:szCs w:val="24"/>
              </w:rPr>
            </w:pPr>
            <w:r w:rsidRPr="001A1836">
              <w:rPr>
                <w:sz w:val="20"/>
                <w:szCs w:val="24"/>
              </w:rPr>
              <w:t xml:space="preserve">For the purpose of this Service Level, a visit is counted as carried out when the Provider visits the relevant property </w:t>
            </w:r>
            <w:r w:rsidR="00014AE9">
              <w:rPr>
                <w:sz w:val="20"/>
                <w:szCs w:val="24"/>
              </w:rPr>
              <w:t xml:space="preserve">to conduct an Illegal Gas Work Investigation </w:t>
            </w:r>
            <w:r w:rsidRPr="001A1836">
              <w:rPr>
                <w:sz w:val="20"/>
                <w:szCs w:val="24"/>
              </w:rPr>
              <w:t xml:space="preserve">at the date and time agreed with the complainant, including each occasion where the complainant, their representative or another responsible person is not available. A failed complaint visit does not count towards the </w:t>
            </w:r>
            <w:r w:rsidR="00920135">
              <w:rPr>
                <w:sz w:val="20"/>
                <w:szCs w:val="24"/>
              </w:rPr>
              <w:t>I</w:t>
            </w:r>
            <w:r w:rsidRPr="001A1836">
              <w:rPr>
                <w:sz w:val="20"/>
                <w:szCs w:val="24"/>
              </w:rPr>
              <w:t>nspection target in SL01.</w:t>
            </w:r>
          </w:p>
          <w:p w14:paraId="30230DBF" w14:textId="77777777" w:rsidR="00B074CC" w:rsidRPr="001A1836" w:rsidRDefault="00B074CC" w:rsidP="00626054">
            <w:pPr>
              <w:rPr>
                <w:sz w:val="20"/>
                <w:szCs w:val="24"/>
              </w:rPr>
            </w:pPr>
          </w:p>
        </w:tc>
      </w:tr>
      <w:tr w:rsidR="00B074CC" w:rsidRPr="001A1836" w14:paraId="11B1B987" w14:textId="77777777" w:rsidTr="004F1C82">
        <w:tc>
          <w:tcPr>
            <w:tcW w:w="2029" w:type="dxa"/>
            <w:shd w:val="clear" w:color="auto" w:fill="auto"/>
          </w:tcPr>
          <w:p w14:paraId="7C6F1873" w14:textId="1E7057C7" w:rsidR="00B074CC" w:rsidRPr="001A1836" w:rsidRDefault="00B074CC" w:rsidP="00626054">
            <w:pPr>
              <w:rPr>
                <w:sz w:val="20"/>
                <w:szCs w:val="24"/>
              </w:rPr>
            </w:pPr>
            <w:r w:rsidRPr="001A1836">
              <w:rPr>
                <w:sz w:val="20"/>
                <w:szCs w:val="24"/>
              </w:rPr>
              <w:t xml:space="preserve">Service </w:t>
            </w:r>
            <w:r w:rsidR="00747264" w:rsidRPr="001A1836">
              <w:rPr>
                <w:sz w:val="20"/>
                <w:szCs w:val="24"/>
              </w:rPr>
              <w:t>L</w:t>
            </w:r>
            <w:r w:rsidRPr="001A1836">
              <w:rPr>
                <w:sz w:val="20"/>
                <w:szCs w:val="24"/>
              </w:rPr>
              <w:t>evel calculation</w:t>
            </w:r>
          </w:p>
        </w:tc>
        <w:tc>
          <w:tcPr>
            <w:tcW w:w="6577" w:type="dxa"/>
            <w:gridSpan w:val="2"/>
            <w:shd w:val="clear" w:color="auto" w:fill="auto"/>
          </w:tcPr>
          <w:p w14:paraId="4D09FF5E" w14:textId="77777777" w:rsidR="00B074CC" w:rsidRPr="001A1836" w:rsidRDefault="00B074CC" w:rsidP="00626054">
            <w:pPr>
              <w:rPr>
                <w:sz w:val="20"/>
                <w:szCs w:val="24"/>
              </w:rPr>
            </w:pPr>
            <w:r w:rsidRPr="001A1836">
              <w:rPr>
                <w:sz w:val="20"/>
                <w:szCs w:val="24"/>
              </w:rPr>
              <w:t>A / B x 100</w:t>
            </w:r>
          </w:p>
          <w:p w14:paraId="1396A247" w14:textId="77777777" w:rsidR="00B074CC" w:rsidRPr="001A1836" w:rsidRDefault="00B074CC" w:rsidP="00626054">
            <w:pPr>
              <w:rPr>
                <w:sz w:val="20"/>
                <w:szCs w:val="24"/>
              </w:rPr>
            </w:pPr>
          </w:p>
          <w:p w14:paraId="14DC2B34" w14:textId="77777777" w:rsidR="00B074CC" w:rsidRPr="001A1836" w:rsidRDefault="00B074CC" w:rsidP="00626054">
            <w:pPr>
              <w:rPr>
                <w:sz w:val="20"/>
                <w:szCs w:val="24"/>
              </w:rPr>
            </w:pPr>
            <w:r w:rsidRPr="001A1836">
              <w:rPr>
                <w:sz w:val="20"/>
                <w:szCs w:val="24"/>
              </w:rPr>
              <w:t>Where:</w:t>
            </w:r>
          </w:p>
          <w:p w14:paraId="5D722036" w14:textId="48E7776E" w:rsidR="00B074CC" w:rsidRPr="001A1836" w:rsidRDefault="00B074CC" w:rsidP="00626054">
            <w:pPr>
              <w:rPr>
                <w:sz w:val="20"/>
                <w:szCs w:val="24"/>
              </w:rPr>
            </w:pPr>
            <w:r w:rsidRPr="001A1836">
              <w:rPr>
                <w:sz w:val="20"/>
                <w:szCs w:val="24"/>
              </w:rPr>
              <w:t xml:space="preserve">A = Number of illegal gas sites visited </w:t>
            </w:r>
            <w:r w:rsidR="00014AE9">
              <w:rPr>
                <w:sz w:val="20"/>
                <w:szCs w:val="24"/>
              </w:rPr>
              <w:t xml:space="preserve">to conduct an Illegal Gas Work Investigation </w:t>
            </w:r>
            <w:r w:rsidRPr="001A1836">
              <w:rPr>
                <w:sz w:val="20"/>
                <w:szCs w:val="24"/>
              </w:rPr>
              <w:t>within 10 Working Days</w:t>
            </w:r>
          </w:p>
          <w:p w14:paraId="7E4AABE7" w14:textId="77777777" w:rsidR="00B074CC" w:rsidRPr="001A1836" w:rsidRDefault="00B074CC" w:rsidP="00626054">
            <w:pPr>
              <w:rPr>
                <w:sz w:val="20"/>
                <w:szCs w:val="24"/>
              </w:rPr>
            </w:pPr>
            <w:r w:rsidRPr="001A1836">
              <w:rPr>
                <w:sz w:val="20"/>
                <w:szCs w:val="24"/>
              </w:rPr>
              <w:t>B = Number of illegal gas sites reported where access is granted</w:t>
            </w:r>
          </w:p>
        </w:tc>
      </w:tr>
      <w:tr w:rsidR="00B074CC" w:rsidRPr="001A1836" w14:paraId="760B1C92" w14:textId="77777777" w:rsidTr="004F1C82">
        <w:tc>
          <w:tcPr>
            <w:tcW w:w="2029" w:type="dxa"/>
            <w:shd w:val="clear" w:color="auto" w:fill="auto"/>
          </w:tcPr>
          <w:p w14:paraId="6A272637" w14:textId="4AAE4677" w:rsidR="00B074CC" w:rsidRPr="001A1836" w:rsidRDefault="00B074CC" w:rsidP="00626054">
            <w:pPr>
              <w:rPr>
                <w:sz w:val="20"/>
                <w:szCs w:val="24"/>
              </w:rPr>
            </w:pPr>
            <w:r w:rsidRPr="001A1836">
              <w:rPr>
                <w:sz w:val="20"/>
                <w:szCs w:val="24"/>
              </w:rPr>
              <w:t xml:space="preserve">Reporting frequency </w:t>
            </w:r>
          </w:p>
        </w:tc>
        <w:tc>
          <w:tcPr>
            <w:tcW w:w="6577" w:type="dxa"/>
            <w:gridSpan w:val="2"/>
            <w:shd w:val="clear" w:color="auto" w:fill="auto"/>
          </w:tcPr>
          <w:p w14:paraId="7AF1F254" w14:textId="77777777" w:rsidR="00B074CC" w:rsidRPr="001A1836" w:rsidRDefault="00B074CC" w:rsidP="00626054">
            <w:pPr>
              <w:rPr>
                <w:sz w:val="20"/>
                <w:szCs w:val="24"/>
              </w:rPr>
            </w:pPr>
            <w:r w:rsidRPr="001A1836">
              <w:rPr>
                <w:sz w:val="20"/>
                <w:szCs w:val="24"/>
              </w:rPr>
              <w:t>Performance is reported monthly.</w:t>
            </w:r>
          </w:p>
          <w:p w14:paraId="2EEA855D" w14:textId="0AA21B09" w:rsidR="00B876A2" w:rsidRPr="001A1836" w:rsidRDefault="00B876A2" w:rsidP="0091349E">
            <w:pPr>
              <w:rPr>
                <w:sz w:val="20"/>
                <w:szCs w:val="24"/>
              </w:rPr>
            </w:pPr>
          </w:p>
        </w:tc>
      </w:tr>
      <w:tr w:rsidR="004F1C82" w:rsidRPr="001A1836" w14:paraId="66BF0CE4" w14:textId="77777777" w:rsidTr="004F1C82">
        <w:tc>
          <w:tcPr>
            <w:tcW w:w="2029" w:type="dxa"/>
            <w:shd w:val="clear" w:color="auto" w:fill="auto"/>
          </w:tcPr>
          <w:p w14:paraId="65247008" w14:textId="4CEE7B65" w:rsidR="004F1C82" w:rsidRPr="001A1836" w:rsidDel="00B20DB7" w:rsidRDefault="004F1C82" w:rsidP="004F1C82">
            <w:pPr>
              <w:rPr>
                <w:sz w:val="20"/>
                <w:szCs w:val="24"/>
              </w:rPr>
            </w:pPr>
            <w:r w:rsidRPr="001A1836">
              <w:rPr>
                <w:sz w:val="20"/>
                <w:szCs w:val="24"/>
              </w:rPr>
              <w:t>Service Measurement Period</w:t>
            </w:r>
          </w:p>
        </w:tc>
        <w:tc>
          <w:tcPr>
            <w:tcW w:w="6577" w:type="dxa"/>
            <w:gridSpan w:val="2"/>
            <w:shd w:val="clear" w:color="auto" w:fill="auto"/>
          </w:tcPr>
          <w:p w14:paraId="41EAC61D" w14:textId="12A57BFF" w:rsidR="004F1C82" w:rsidRPr="001A1836" w:rsidRDefault="004F1C82" w:rsidP="004F1C82">
            <w:pPr>
              <w:rPr>
                <w:sz w:val="20"/>
                <w:szCs w:val="24"/>
              </w:rPr>
            </w:pPr>
            <w:r w:rsidRPr="001A1836">
              <w:rPr>
                <w:sz w:val="20"/>
                <w:szCs w:val="24"/>
              </w:rPr>
              <w:t xml:space="preserve">Service Credits are calculated annually. </w:t>
            </w:r>
          </w:p>
        </w:tc>
      </w:tr>
      <w:tr w:rsidR="004F1C82" w:rsidRPr="001A1836" w14:paraId="31777A48" w14:textId="77777777" w:rsidTr="004F1C82">
        <w:tc>
          <w:tcPr>
            <w:tcW w:w="2029" w:type="dxa"/>
            <w:shd w:val="clear" w:color="auto" w:fill="auto"/>
          </w:tcPr>
          <w:p w14:paraId="7ED268C1" w14:textId="7400B1AC" w:rsidR="004F1C82" w:rsidRPr="001A1836" w:rsidDel="00B20DB7" w:rsidRDefault="004F1C82" w:rsidP="004F1C82">
            <w:pPr>
              <w:rPr>
                <w:sz w:val="20"/>
                <w:szCs w:val="24"/>
              </w:rPr>
            </w:pPr>
            <w:r w:rsidRPr="001A1836">
              <w:rPr>
                <w:sz w:val="20"/>
                <w:szCs w:val="24"/>
              </w:rPr>
              <w:t>Service Point Application Period</w:t>
            </w:r>
          </w:p>
        </w:tc>
        <w:tc>
          <w:tcPr>
            <w:tcW w:w="6577" w:type="dxa"/>
            <w:gridSpan w:val="2"/>
            <w:shd w:val="clear" w:color="auto" w:fill="auto"/>
          </w:tcPr>
          <w:p w14:paraId="6909A122" w14:textId="4A205EED" w:rsidR="004F1C82" w:rsidRPr="001A1836" w:rsidRDefault="00EA4BD8" w:rsidP="004F1C82">
            <w:pPr>
              <w:rPr>
                <w:sz w:val="20"/>
                <w:szCs w:val="24"/>
              </w:rPr>
            </w:pPr>
            <w:r w:rsidRPr="001A1836">
              <w:rPr>
                <w:sz w:val="20"/>
                <w:szCs w:val="24"/>
              </w:rPr>
              <w:t xml:space="preserve">Service Points are applied annually </w:t>
            </w:r>
            <w:r>
              <w:rPr>
                <w:sz w:val="20"/>
                <w:szCs w:val="24"/>
              </w:rPr>
              <w:t xml:space="preserve">in respect of each Contract Year </w:t>
            </w:r>
            <w:r w:rsidRPr="001A1836">
              <w:rPr>
                <w:sz w:val="20"/>
                <w:szCs w:val="24"/>
              </w:rPr>
              <w:t xml:space="preserve">against the </w:t>
            </w:r>
            <w:r>
              <w:rPr>
                <w:sz w:val="20"/>
                <w:szCs w:val="24"/>
              </w:rPr>
              <w:t xml:space="preserve">sum of the </w:t>
            </w:r>
            <w:r w:rsidRPr="001A1836">
              <w:rPr>
                <w:sz w:val="20"/>
                <w:szCs w:val="24"/>
              </w:rPr>
              <w:t xml:space="preserve">Provider’s </w:t>
            </w:r>
            <w:r>
              <w:rPr>
                <w:sz w:val="20"/>
                <w:szCs w:val="24"/>
              </w:rPr>
              <w:t>A</w:t>
            </w:r>
            <w:r w:rsidRPr="001A1836">
              <w:rPr>
                <w:sz w:val="20"/>
                <w:szCs w:val="24"/>
              </w:rPr>
              <w:t xml:space="preserve">greed Operating Costs plus </w:t>
            </w:r>
            <w:r>
              <w:rPr>
                <w:sz w:val="20"/>
                <w:szCs w:val="24"/>
              </w:rPr>
              <w:t xml:space="preserve">Provider </w:t>
            </w:r>
            <w:r w:rsidRPr="001A1836">
              <w:rPr>
                <w:sz w:val="20"/>
                <w:szCs w:val="24"/>
              </w:rPr>
              <w:t xml:space="preserve">Profit for the final month of </w:t>
            </w:r>
            <w:r>
              <w:rPr>
                <w:sz w:val="20"/>
                <w:szCs w:val="24"/>
              </w:rPr>
              <w:t>such</w:t>
            </w:r>
            <w:r w:rsidRPr="001A1836">
              <w:rPr>
                <w:sz w:val="20"/>
                <w:szCs w:val="24"/>
              </w:rPr>
              <w:t xml:space="preserve"> Contract Year.</w:t>
            </w:r>
          </w:p>
        </w:tc>
      </w:tr>
      <w:tr w:rsidR="00B074CC" w:rsidRPr="001A1836" w14:paraId="0DC625E4" w14:textId="77777777" w:rsidTr="004F1C82">
        <w:tc>
          <w:tcPr>
            <w:tcW w:w="2029" w:type="dxa"/>
            <w:shd w:val="clear" w:color="auto" w:fill="auto"/>
          </w:tcPr>
          <w:p w14:paraId="2353FA70" w14:textId="77777777" w:rsidR="00B074CC" w:rsidRPr="001A1836" w:rsidRDefault="00B074CC" w:rsidP="00626054">
            <w:pPr>
              <w:rPr>
                <w:sz w:val="20"/>
                <w:szCs w:val="24"/>
              </w:rPr>
            </w:pPr>
            <w:r w:rsidRPr="001A1836">
              <w:rPr>
                <w:sz w:val="20"/>
                <w:szCs w:val="24"/>
              </w:rPr>
              <w:t>Data capture</w:t>
            </w:r>
          </w:p>
        </w:tc>
        <w:tc>
          <w:tcPr>
            <w:tcW w:w="6577" w:type="dxa"/>
            <w:gridSpan w:val="2"/>
            <w:shd w:val="clear" w:color="auto" w:fill="auto"/>
          </w:tcPr>
          <w:p w14:paraId="67BB55A7" w14:textId="77777777" w:rsidR="00B074CC" w:rsidRPr="001A1836" w:rsidRDefault="00B074CC">
            <w:pPr>
              <w:numPr>
                <w:ilvl w:val="0"/>
                <w:numId w:val="24"/>
              </w:numPr>
              <w:rPr>
                <w:sz w:val="20"/>
                <w:szCs w:val="24"/>
              </w:rPr>
            </w:pPr>
            <w:r w:rsidRPr="001A1836">
              <w:rPr>
                <w:sz w:val="20"/>
                <w:szCs w:val="24"/>
              </w:rPr>
              <w:t>Number of illegal gas sites reported where access is granted</w:t>
            </w:r>
          </w:p>
          <w:p w14:paraId="18D1E600" w14:textId="704C1661" w:rsidR="00B074CC" w:rsidRPr="001A1836" w:rsidRDefault="00B074CC">
            <w:pPr>
              <w:numPr>
                <w:ilvl w:val="0"/>
                <w:numId w:val="24"/>
              </w:numPr>
              <w:rPr>
                <w:sz w:val="20"/>
                <w:szCs w:val="24"/>
              </w:rPr>
            </w:pPr>
            <w:r w:rsidRPr="001A1836">
              <w:rPr>
                <w:sz w:val="20"/>
                <w:szCs w:val="24"/>
              </w:rPr>
              <w:t>Number of illegal gas sites visited</w:t>
            </w:r>
            <w:r w:rsidR="00014AE9">
              <w:rPr>
                <w:sz w:val="20"/>
                <w:szCs w:val="24"/>
              </w:rPr>
              <w:t xml:space="preserve"> to conduct an Illegal Gas Work Investigation</w:t>
            </w:r>
            <w:r w:rsidRPr="001A1836">
              <w:rPr>
                <w:sz w:val="20"/>
                <w:szCs w:val="24"/>
              </w:rPr>
              <w:t xml:space="preserve"> within 10 Working Days</w:t>
            </w:r>
          </w:p>
          <w:p w14:paraId="47714AEB" w14:textId="77777777" w:rsidR="00B074CC" w:rsidRPr="001A1836" w:rsidRDefault="00B074CC">
            <w:pPr>
              <w:numPr>
                <w:ilvl w:val="0"/>
                <w:numId w:val="24"/>
              </w:numPr>
              <w:rPr>
                <w:sz w:val="20"/>
                <w:szCs w:val="24"/>
              </w:rPr>
            </w:pPr>
            <w:r w:rsidRPr="001A1836">
              <w:rPr>
                <w:sz w:val="20"/>
                <w:szCs w:val="24"/>
              </w:rPr>
              <w:t xml:space="preserve">Date and time report completed </w:t>
            </w:r>
          </w:p>
          <w:p w14:paraId="6053E6B2" w14:textId="06C83BB5" w:rsidR="00B074CC" w:rsidRPr="001A1836" w:rsidRDefault="00B074CC" w:rsidP="00014AE9">
            <w:pPr>
              <w:numPr>
                <w:ilvl w:val="0"/>
                <w:numId w:val="24"/>
              </w:numPr>
              <w:rPr>
                <w:sz w:val="20"/>
                <w:szCs w:val="24"/>
              </w:rPr>
            </w:pPr>
            <w:r w:rsidRPr="001A1836">
              <w:rPr>
                <w:sz w:val="20"/>
                <w:szCs w:val="24"/>
              </w:rPr>
              <w:t xml:space="preserve">Date of site </w:t>
            </w:r>
            <w:r w:rsidR="00014AE9">
              <w:rPr>
                <w:sz w:val="20"/>
                <w:szCs w:val="24"/>
              </w:rPr>
              <w:t>Illegal Gas Work Inspection</w:t>
            </w:r>
          </w:p>
        </w:tc>
      </w:tr>
      <w:tr w:rsidR="00B074CC" w:rsidRPr="001A1836" w14:paraId="4A8C1929" w14:textId="77777777" w:rsidTr="004F1C82">
        <w:tc>
          <w:tcPr>
            <w:tcW w:w="2029" w:type="dxa"/>
            <w:shd w:val="clear" w:color="auto" w:fill="auto"/>
          </w:tcPr>
          <w:p w14:paraId="05A84C89" w14:textId="77777777" w:rsidR="00B074CC" w:rsidRPr="001A1836" w:rsidRDefault="00B074CC" w:rsidP="00626054">
            <w:pPr>
              <w:rPr>
                <w:sz w:val="20"/>
                <w:szCs w:val="24"/>
              </w:rPr>
            </w:pPr>
            <w:r w:rsidRPr="001A1836">
              <w:rPr>
                <w:sz w:val="20"/>
                <w:szCs w:val="24"/>
              </w:rPr>
              <w:t>Impact</w:t>
            </w:r>
          </w:p>
        </w:tc>
        <w:tc>
          <w:tcPr>
            <w:tcW w:w="6577" w:type="dxa"/>
            <w:gridSpan w:val="2"/>
            <w:shd w:val="clear" w:color="auto" w:fill="auto"/>
          </w:tcPr>
          <w:p w14:paraId="248CD9CB" w14:textId="77777777" w:rsidR="00B074CC" w:rsidRPr="001A1836" w:rsidRDefault="00B074CC" w:rsidP="00626054">
            <w:pPr>
              <w:rPr>
                <w:sz w:val="20"/>
                <w:szCs w:val="24"/>
              </w:rPr>
            </w:pPr>
            <w:r w:rsidRPr="001A1836">
              <w:rPr>
                <w:sz w:val="20"/>
                <w:szCs w:val="24"/>
              </w:rPr>
              <w:t>Medium</w:t>
            </w:r>
          </w:p>
        </w:tc>
      </w:tr>
      <w:tr w:rsidR="00B074CC" w:rsidRPr="001A1836" w14:paraId="72A6FCD3" w14:textId="77777777" w:rsidTr="004F1C82">
        <w:tc>
          <w:tcPr>
            <w:tcW w:w="2029" w:type="dxa"/>
            <w:shd w:val="clear" w:color="auto" w:fill="auto"/>
          </w:tcPr>
          <w:p w14:paraId="7BAE209E" w14:textId="77777777" w:rsidR="00B074CC" w:rsidRPr="001A1836" w:rsidRDefault="00B074CC" w:rsidP="00626054">
            <w:pPr>
              <w:rPr>
                <w:sz w:val="20"/>
                <w:szCs w:val="24"/>
              </w:rPr>
            </w:pPr>
            <w:r w:rsidRPr="001A1836">
              <w:rPr>
                <w:sz w:val="20"/>
                <w:szCs w:val="24"/>
              </w:rPr>
              <w:t>Criticality</w:t>
            </w:r>
          </w:p>
        </w:tc>
        <w:tc>
          <w:tcPr>
            <w:tcW w:w="6577" w:type="dxa"/>
            <w:gridSpan w:val="2"/>
            <w:shd w:val="clear" w:color="auto" w:fill="auto"/>
          </w:tcPr>
          <w:p w14:paraId="62264EB9" w14:textId="77777777" w:rsidR="00B074CC" w:rsidRPr="001A1836" w:rsidRDefault="00B074CC" w:rsidP="00626054">
            <w:pPr>
              <w:rPr>
                <w:sz w:val="20"/>
                <w:szCs w:val="24"/>
              </w:rPr>
            </w:pPr>
            <w:r w:rsidRPr="001A1836">
              <w:rPr>
                <w:sz w:val="20"/>
                <w:szCs w:val="24"/>
              </w:rPr>
              <w:t>B</w:t>
            </w:r>
          </w:p>
        </w:tc>
      </w:tr>
      <w:tr w:rsidR="00B074CC" w:rsidRPr="001A1836" w14:paraId="051D9E1C" w14:textId="77777777" w:rsidTr="004F1C82">
        <w:tc>
          <w:tcPr>
            <w:tcW w:w="2029" w:type="dxa"/>
            <w:shd w:val="clear" w:color="auto" w:fill="auto"/>
          </w:tcPr>
          <w:p w14:paraId="0B3E20E5" w14:textId="77777777" w:rsidR="00B074CC" w:rsidRPr="001A1836" w:rsidRDefault="00B074CC" w:rsidP="00626054">
            <w:pPr>
              <w:rPr>
                <w:sz w:val="20"/>
                <w:szCs w:val="24"/>
              </w:rPr>
            </w:pPr>
            <w:r w:rsidRPr="001A1836">
              <w:rPr>
                <w:sz w:val="20"/>
                <w:szCs w:val="24"/>
              </w:rPr>
              <w:t>Service Level Performance Measure</w:t>
            </w:r>
          </w:p>
        </w:tc>
        <w:tc>
          <w:tcPr>
            <w:tcW w:w="6577" w:type="dxa"/>
            <w:gridSpan w:val="2"/>
            <w:shd w:val="clear" w:color="auto" w:fill="auto"/>
          </w:tcPr>
          <w:p w14:paraId="69809694" w14:textId="105040D2" w:rsidR="00B074CC" w:rsidRPr="001A1836" w:rsidRDefault="00B074CC" w:rsidP="00626054">
            <w:pPr>
              <w:rPr>
                <w:sz w:val="20"/>
                <w:szCs w:val="24"/>
              </w:rPr>
            </w:pPr>
            <w:r w:rsidRPr="001A1836">
              <w:rPr>
                <w:sz w:val="20"/>
                <w:szCs w:val="24"/>
              </w:rPr>
              <w:t>95</w:t>
            </w:r>
            <w:r w:rsidR="00185C3A">
              <w:rPr>
                <w:sz w:val="20"/>
                <w:szCs w:val="24"/>
              </w:rPr>
              <w:t xml:space="preserve">% </w:t>
            </w:r>
            <w:r w:rsidRPr="001A1836">
              <w:rPr>
                <w:sz w:val="20"/>
                <w:szCs w:val="24"/>
              </w:rPr>
              <w:t xml:space="preserve">of illegal gas sites visited </w:t>
            </w:r>
            <w:r w:rsidR="00014AE9">
              <w:rPr>
                <w:sz w:val="20"/>
                <w:szCs w:val="24"/>
              </w:rPr>
              <w:t xml:space="preserve">to conduct an Illegal Gas Work Inspection </w:t>
            </w:r>
            <w:r w:rsidRPr="001A1836">
              <w:rPr>
                <w:sz w:val="20"/>
                <w:szCs w:val="24"/>
              </w:rPr>
              <w:t xml:space="preserve">within 10 Working Days of illegal </w:t>
            </w:r>
            <w:r w:rsidR="000C1F5C" w:rsidRPr="001A1836">
              <w:rPr>
                <w:sz w:val="20"/>
                <w:szCs w:val="24"/>
              </w:rPr>
              <w:t>Gas Work</w:t>
            </w:r>
            <w:r w:rsidRPr="001A1836">
              <w:rPr>
                <w:sz w:val="20"/>
                <w:szCs w:val="24"/>
              </w:rPr>
              <w:t xml:space="preserve"> being reported</w:t>
            </w:r>
          </w:p>
        </w:tc>
      </w:tr>
      <w:tr w:rsidR="00B074CC" w:rsidRPr="001A1836" w14:paraId="2E82D8E7" w14:textId="77777777" w:rsidTr="004F1C82">
        <w:tc>
          <w:tcPr>
            <w:tcW w:w="2029" w:type="dxa"/>
            <w:shd w:val="clear" w:color="auto" w:fill="auto"/>
          </w:tcPr>
          <w:p w14:paraId="5C4752B1" w14:textId="77777777" w:rsidR="00B074CC" w:rsidRPr="001A1836" w:rsidRDefault="00B074CC" w:rsidP="00626054">
            <w:pPr>
              <w:rPr>
                <w:sz w:val="20"/>
                <w:szCs w:val="24"/>
              </w:rPr>
            </w:pPr>
          </w:p>
        </w:tc>
        <w:tc>
          <w:tcPr>
            <w:tcW w:w="4678" w:type="dxa"/>
            <w:shd w:val="clear" w:color="auto" w:fill="auto"/>
          </w:tcPr>
          <w:p w14:paraId="373C24D2" w14:textId="77777777" w:rsidR="00B074CC" w:rsidRPr="001A1836" w:rsidRDefault="00B074CC" w:rsidP="00626054">
            <w:pPr>
              <w:rPr>
                <w:b/>
                <w:sz w:val="20"/>
                <w:szCs w:val="24"/>
              </w:rPr>
            </w:pPr>
            <w:r w:rsidRPr="001A1836">
              <w:rPr>
                <w:b/>
                <w:sz w:val="20"/>
                <w:szCs w:val="24"/>
              </w:rPr>
              <w:t>Service Level Performance Measure</w:t>
            </w:r>
          </w:p>
        </w:tc>
        <w:tc>
          <w:tcPr>
            <w:tcW w:w="1899" w:type="dxa"/>
            <w:shd w:val="clear" w:color="auto" w:fill="auto"/>
          </w:tcPr>
          <w:p w14:paraId="195D61EF" w14:textId="77777777" w:rsidR="00B074CC" w:rsidRPr="001A1836" w:rsidRDefault="00B074CC" w:rsidP="00626054">
            <w:pPr>
              <w:rPr>
                <w:b/>
                <w:sz w:val="20"/>
                <w:szCs w:val="24"/>
              </w:rPr>
            </w:pPr>
            <w:r w:rsidRPr="001A1836">
              <w:rPr>
                <w:b/>
                <w:sz w:val="20"/>
                <w:szCs w:val="24"/>
              </w:rPr>
              <w:t>Service points</w:t>
            </w:r>
          </w:p>
        </w:tc>
      </w:tr>
      <w:tr w:rsidR="00B074CC" w:rsidRPr="001A1836" w14:paraId="64E31ACB" w14:textId="77777777" w:rsidTr="004F1C82">
        <w:tc>
          <w:tcPr>
            <w:tcW w:w="2029" w:type="dxa"/>
            <w:shd w:val="clear" w:color="auto" w:fill="auto"/>
          </w:tcPr>
          <w:p w14:paraId="6CC7EFE8" w14:textId="48A488E9" w:rsidR="00B074CC" w:rsidRPr="001A1836" w:rsidRDefault="00B074CC" w:rsidP="00626054">
            <w:pPr>
              <w:rPr>
                <w:sz w:val="20"/>
                <w:szCs w:val="24"/>
              </w:rPr>
            </w:pPr>
            <w:r w:rsidRPr="001A1836">
              <w:rPr>
                <w:sz w:val="20"/>
                <w:szCs w:val="24"/>
              </w:rPr>
              <w:t xml:space="preserve">Service </w:t>
            </w:r>
            <w:r w:rsidR="00747264" w:rsidRPr="001A1836">
              <w:rPr>
                <w:sz w:val="20"/>
                <w:szCs w:val="24"/>
              </w:rPr>
              <w:t>L</w:t>
            </w:r>
            <w:r w:rsidRPr="001A1836">
              <w:rPr>
                <w:sz w:val="20"/>
                <w:szCs w:val="24"/>
              </w:rPr>
              <w:t>evel met</w:t>
            </w:r>
          </w:p>
        </w:tc>
        <w:tc>
          <w:tcPr>
            <w:tcW w:w="4678" w:type="dxa"/>
            <w:shd w:val="clear" w:color="auto" w:fill="auto"/>
          </w:tcPr>
          <w:p w14:paraId="4D4B76E4" w14:textId="2F381292" w:rsidR="00B074CC" w:rsidRPr="001A1836" w:rsidRDefault="00B074CC" w:rsidP="00626054">
            <w:pPr>
              <w:rPr>
                <w:sz w:val="20"/>
                <w:szCs w:val="24"/>
              </w:rPr>
            </w:pPr>
            <w:r w:rsidRPr="001A1836">
              <w:rPr>
                <w:sz w:val="20"/>
                <w:szCs w:val="24"/>
              </w:rPr>
              <w:t xml:space="preserve">95% </w:t>
            </w:r>
          </w:p>
        </w:tc>
        <w:tc>
          <w:tcPr>
            <w:tcW w:w="1899" w:type="dxa"/>
            <w:shd w:val="clear" w:color="auto" w:fill="auto"/>
          </w:tcPr>
          <w:p w14:paraId="631CD9F9" w14:textId="77777777" w:rsidR="00B074CC" w:rsidRPr="001A1836" w:rsidRDefault="00B074CC" w:rsidP="00626054">
            <w:pPr>
              <w:rPr>
                <w:sz w:val="20"/>
                <w:szCs w:val="24"/>
              </w:rPr>
            </w:pPr>
            <w:r w:rsidRPr="001A1836">
              <w:rPr>
                <w:sz w:val="20"/>
                <w:szCs w:val="24"/>
              </w:rPr>
              <w:t>0</w:t>
            </w:r>
          </w:p>
        </w:tc>
      </w:tr>
      <w:tr w:rsidR="00B074CC" w:rsidRPr="001A1836" w14:paraId="0273102C" w14:textId="77777777" w:rsidTr="004F1C82">
        <w:tc>
          <w:tcPr>
            <w:tcW w:w="2029" w:type="dxa"/>
            <w:shd w:val="clear" w:color="auto" w:fill="auto"/>
          </w:tcPr>
          <w:p w14:paraId="7787C8D1" w14:textId="77777777" w:rsidR="00B074CC" w:rsidRPr="001A1836" w:rsidRDefault="00B074CC" w:rsidP="00626054">
            <w:pPr>
              <w:rPr>
                <w:sz w:val="20"/>
                <w:szCs w:val="24"/>
              </w:rPr>
            </w:pPr>
            <w:r w:rsidRPr="001A1836">
              <w:rPr>
                <w:sz w:val="20"/>
                <w:szCs w:val="24"/>
              </w:rPr>
              <w:t>Minor Service Level Failure</w:t>
            </w:r>
          </w:p>
        </w:tc>
        <w:tc>
          <w:tcPr>
            <w:tcW w:w="4678" w:type="dxa"/>
            <w:shd w:val="clear" w:color="auto" w:fill="auto"/>
          </w:tcPr>
          <w:p w14:paraId="2F2FE96C" w14:textId="3039EBD2" w:rsidR="00B074CC" w:rsidRPr="001A1836" w:rsidRDefault="00B074CC" w:rsidP="00626054">
            <w:pPr>
              <w:rPr>
                <w:sz w:val="20"/>
                <w:szCs w:val="24"/>
              </w:rPr>
            </w:pPr>
            <w:r w:rsidRPr="001A1836">
              <w:rPr>
                <w:sz w:val="20"/>
                <w:szCs w:val="24"/>
              </w:rPr>
              <w:t xml:space="preserve">Less than 95% but greater than 90% </w:t>
            </w:r>
          </w:p>
        </w:tc>
        <w:tc>
          <w:tcPr>
            <w:tcW w:w="1899" w:type="dxa"/>
            <w:shd w:val="clear" w:color="auto" w:fill="auto"/>
          </w:tcPr>
          <w:p w14:paraId="33F58F68" w14:textId="77777777" w:rsidR="00345B90" w:rsidRDefault="00345B90" w:rsidP="00626054">
            <w:pPr>
              <w:rPr>
                <w:sz w:val="20"/>
                <w:szCs w:val="24"/>
              </w:rPr>
            </w:pPr>
            <w:r>
              <w:rPr>
                <w:sz w:val="20"/>
                <w:szCs w:val="24"/>
              </w:rPr>
              <w:t>Year 1 – 1.0</w:t>
            </w:r>
          </w:p>
          <w:p w14:paraId="5C1A9280" w14:textId="7530CE9F" w:rsidR="00B074CC" w:rsidRPr="001A1836" w:rsidRDefault="00345B90" w:rsidP="00626054">
            <w:pPr>
              <w:rPr>
                <w:sz w:val="20"/>
                <w:szCs w:val="24"/>
              </w:rPr>
            </w:pPr>
            <w:r>
              <w:rPr>
                <w:sz w:val="20"/>
                <w:szCs w:val="24"/>
              </w:rPr>
              <w:t xml:space="preserve">Years 2-5 - </w:t>
            </w:r>
            <w:r w:rsidR="00B074CC" w:rsidRPr="001A1836">
              <w:rPr>
                <w:sz w:val="20"/>
                <w:szCs w:val="24"/>
              </w:rPr>
              <w:t>2.0</w:t>
            </w:r>
          </w:p>
        </w:tc>
      </w:tr>
      <w:tr w:rsidR="00B074CC" w:rsidRPr="001A1836" w14:paraId="4E415B52" w14:textId="77777777" w:rsidTr="004F1C82">
        <w:tc>
          <w:tcPr>
            <w:tcW w:w="2029" w:type="dxa"/>
            <w:shd w:val="clear" w:color="auto" w:fill="auto"/>
          </w:tcPr>
          <w:p w14:paraId="13400908" w14:textId="77777777" w:rsidR="00B074CC" w:rsidRPr="001A1836" w:rsidRDefault="00B074CC" w:rsidP="00626054">
            <w:pPr>
              <w:rPr>
                <w:sz w:val="20"/>
                <w:szCs w:val="24"/>
              </w:rPr>
            </w:pPr>
            <w:r w:rsidRPr="001A1836">
              <w:rPr>
                <w:sz w:val="20"/>
                <w:szCs w:val="24"/>
              </w:rPr>
              <w:t>Moderate Service Level Failure</w:t>
            </w:r>
          </w:p>
        </w:tc>
        <w:tc>
          <w:tcPr>
            <w:tcW w:w="4678" w:type="dxa"/>
            <w:shd w:val="clear" w:color="auto" w:fill="auto"/>
          </w:tcPr>
          <w:p w14:paraId="1AA72F5C" w14:textId="1F414ED5" w:rsidR="00B074CC" w:rsidRPr="001A1836" w:rsidRDefault="00B074CC" w:rsidP="00626054">
            <w:pPr>
              <w:rPr>
                <w:sz w:val="20"/>
                <w:szCs w:val="24"/>
              </w:rPr>
            </w:pPr>
            <w:r w:rsidRPr="001A1836">
              <w:rPr>
                <w:sz w:val="20"/>
                <w:szCs w:val="24"/>
              </w:rPr>
              <w:t>Between 90% and 85% inclusive</w:t>
            </w:r>
          </w:p>
        </w:tc>
        <w:tc>
          <w:tcPr>
            <w:tcW w:w="1899" w:type="dxa"/>
            <w:shd w:val="clear" w:color="auto" w:fill="auto"/>
          </w:tcPr>
          <w:p w14:paraId="1F6904DC" w14:textId="77777777" w:rsidR="00345B90" w:rsidRDefault="00345B90" w:rsidP="00626054">
            <w:pPr>
              <w:rPr>
                <w:sz w:val="20"/>
                <w:szCs w:val="24"/>
              </w:rPr>
            </w:pPr>
            <w:r>
              <w:rPr>
                <w:sz w:val="20"/>
                <w:szCs w:val="24"/>
              </w:rPr>
              <w:t>Year 1 – 3.0</w:t>
            </w:r>
          </w:p>
          <w:p w14:paraId="1AD0906D" w14:textId="25B6942D" w:rsidR="00B074CC" w:rsidRPr="001A1836" w:rsidRDefault="00345B90" w:rsidP="00626054">
            <w:pPr>
              <w:rPr>
                <w:sz w:val="20"/>
                <w:szCs w:val="24"/>
              </w:rPr>
            </w:pPr>
            <w:r>
              <w:rPr>
                <w:sz w:val="20"/>
                <w:szCs w:val="24"/>
              </w:rPr>
              <w:t xml:space="preserve">Years 2-5 - </w:t>
            </w:r>
            <w:r w:rsidR="00B074CC" w:rsidRPr="001A1836">
              <w:rPr>
                <w:sz w:val="20"/>
                <w:szCs w:val="24"/>
              </w:rPr>
              <w:t>4.0</w:t>
            </w:r>
          </w:p>
        </w:tc>
      </w:tr>
      <w:tr w:rsidR="00B074CC" w:rsidRPr="001A1836" w14:paraId="093DE948" w14:textId="77777777" w:rsidTr="004F1C82">
        <w:tc>
          <w:tcPr>
            <w:tcW w:w="2029" w:type="dxa"/>
            <w:shd w:val="clear" w:color="auto" w:fill="auto"/>
          </w:tcPr>
          <w:p w14:paraId="3C593BB2" w14:textId="77777777" w:rsidR="00B074CC" w:rsidRPr="001A1836" w:rsidRDefault="00B074CC" w:rsidP="00626054">
            <w:pPr>
              <w:rPr>
                <w:sz w:val="20"/>
                <w:szCs w:val="24"/>
              </w:rPr>
            </w:pPr>
            <w:r w:rsidRPr="001A1836">
              <w:rPr>
                <w:sz w:val="20"/>
                <w:szCs w:val="24"/>
              </w:rPr>
              <w:t>Major Service Level Failure</w:t>
            </w:r>
          </w:p>
        </w:tc>
        <w:tc>
          <w:tcPr>
            <w:tcW w:w="4678" w:type="dxa"/>
            <w:shd w:val="clear" w:color="auto" w:fill="auto"/>
          </w:tcPr>
          <w:p w14:paraId="4653EC83" w14:textId="63E5C53E" w:rsidR="00B074CC" w:rsidRPr="001A1836" w:rsidRDefault="00B074CC" w:rsidP="00626054">
            <w:pPr>
              <w:rPr>
                <w:sz w:val="20"/>
                <w:szCs w:val="24"/>
              </w:rPr>
            </w:pPr>
            <w:r w:rsidRPr="001A1836">
              <w:rPr>
                <w:sz w:val="20"/>
                <w:szCs w:val="24"/>
              </w:rPr>
              <w:t xml:space="preserve">Less than 85% </w:t>
            </w:r>
          </w:p>
        </w:tc>
        <w:tc>
          <w:tcPr>
            <w:tcW w:w="1899" w:type="dxa"/>
            <w:shd w:val="clear" w:color="auto" w:fill="auto"/>
          </w:tcPr>
          <w:p w14:paraId="1CA5370F" w14:textId="77777777" w:rsidR="00B074CC" w:rsidRPr="001A1836" w:rsidRDefault="00B074CC" w:rsidP="00626054">
            <w:pPr>
              <w:rPr>
                <w:sz w:val="20"/>
                <w:szCs w:val="24"/>
              </w:rPr>
            </w:pPr>
            <w:r w:rsidRPr="001A1836">
              <w:rPr>
                <w:sz w:val="20"/>
                <w:szCs w:val="24"/>
              </w:rPr>
              <w:t>6.0</w:t>
            </w:r>
          </w:p>
        </w:tc>
      </w:tr>
    </w:tbl>
    <w:p w14:paraId="272B36CA" w14:textId="77777777" w:rsidR="00B074CC" w:rsidRPr="001A1836" w:rsidRDefault="00B074CC" w:rsidP="00626054">
      <w:pPr>
        <w:spacing w:after="0"/>
        <w:rPr>
          <w:sz w:val="20"/>
          <w:szCs w:val="24"/>
        </w:rPr>
      </w:pPr>
    </w:p>
    <w:p w14:paraId="3FE1AFBC" w14:textId="1F56FFCB" w:rsidR="00B074CC" w:rsidRPr="001A1836" w:rsidRDefault="00B074CC" w:rsidP="00626054">
      <w:pPr>
        <w:spacing w:after="0"/>
        <w:rPr>
          <w:sz w:val="20"/>
          <w:szCs w:val="24"/>
        </w:rPr>
      </w:pPr>
    </w:p>
    <w:p w14:paraId="501F9CA8" w14:textId="77777777" w:rsidR="00B074CC" w:rsidRPr="001A1836" w:rsidRDefault="00B074CC" w:rsidP="00626054">
      <w:pPr>
        <w:spacing w:after="0"/>
        <w:rPr>
          <w:sz w:val="20"/>
          <w:szCs w:val="24"/>
        </w:rPr>
      </w:pPr>
    </w:p>
    <w:p w14:paraId="67C9BF4E" w14:textId="77777777" w:rsidR="00B074CC" w:rsidRPr="001A1836" w:rsidRDefault="00B074CC" w:rsidP="00626054">
      <w:pPr>
        <w:spacing w:after="0"/>
        <w:rPr>
          <w:sz w:val="20"/>
          <w:szCs w:val="24"/>
        </w:rPr>
      </w:pPr>
    </w:p>
    <w:p w14:paraId="41BD1137" w14:textId="77777777" w:rsidR="00B074CC" w:rsidRPr="001A1836" w:rsidRDefault="00B074CC">
      <w:pPr>
        <w:spacing w:after="0"/>
        <w:rPr>
          <w:sz w:val="20"/>
          <w:szCs w:val="24"/>
        </w:rPr>
      </w:pPr>
      <w:r w:rsidRPr="001A1836">
        <w:rPr>
          <w:sz w:val="20"/>
          <w:szCs w:val="24"/>
        </w:rPr>
        <w:br w:type="page"/>
      </w:r>
    </w:p>
    <w:p w14:paraId="0D4A4AD1" w14:textId="77777777" w:rsidR="00B074CC" w:rsidRPr="001A1836" w:rsidRDefault="00B074CC" w:rsidP="00626054">
      <w:pPr>
        <w:spacing w:after="0"/>
        <w:rPr>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2339"/>
        <w:gridCol w:w="2339"/>
        <w:gridCol w:w="1899"/>
      </w:tblGrid>
      <w:tr w:rsidR="00B074CC" w:rsidRPr="001A1836" w14:paraId="3753B400" w14:textId="77777777" w:rsidTr="004F1C82">
        <w:tc>
          <w:tcPr>
            <w:tcW w:w="2029" w:type="dxa"/>
            <w:shd w:val="clear" w:color="auto" w:fill="auto"/>
          </w:tcPr>
          <w:p w14:paraId="7624F39D" w14:textId="77777777" w:rsidR="00B074CC" w:rsidRPr="001A1836" w:rsidRDefault="00B074CC" w:rsidP="00626054">
            <w:pPr>
              <w:rPr>
                <w:b/>
                <w:szCs w:val="24"/>
              </w:rPr>
            </w:pPr>
            <w:r w:rsidRPr="001A1836">
              <w:rPr>
                <w:b/>
                <w:szCs w:val="24"/>
              </w:rPr>
              <w:t>SL09</w:t>
            </w:r>
          </w:p>
        </w:tc>
        <w:tc>
          <w:tcPr>
            <w:tcW w:w="6577" w:type="dxa"/>
            <w:gridSpan w:val="3"/>
            <w:shd w:val="clear" w:color="auto" w:fill="auto"/>
          </w:tcPr>
          <w:p w14:paraId="02A2B704" w14:textId="77777777" w:rsidR="00B074CC" w:rsidRPr="001A1836" w:rsidRDefault="00B074CC" w:rsidP="00626054">
            <w:pPr>
              <w:rPr>
                <w:b/>
                <w:szCs w:val="24"/>
              </w:rPr>
            </w:pPr>
            <w:r w:rsidRPr="001A1836">
              <w:rPr>
                <w:b/>
                <w:szCs w:val="24"/>
              </w:rPr>
              <w:t xml:space="preserve">Total number of justified complaints about the service </w:t>
            </w:r>
          </w:p>
        </w:tc>
      </w:tr>
      <w:tr w:rsidR="00B074CC" w:rsidRPr="001A1836" w14:paraId="27DA94AA" w14:textId="77777777" w:rsidTr="004F1C82">
        <w:tc>
          <w:tcPr>
            <w:tcW w:w="2029" w:type="dxa"/>
            <w:shd w:val="clear" w:color="auto" w:fill="auto"/>
          </w:tcPr>
          <w:p w14:paraId="212D298A" w14:textId="6B253A1E" w:rsidR="00B074CC" w:rsidRPr="001A1836" w:rsidRDefault="00B074CC" w:rsidP="00626054">
            <w:pPr>
              <w:rPr>
                <w:sz w:val="20"/>
                <w:szCs w:val="24"/>
              </w:rPr>
            </w:pPr>
            <w:bookmarkStart w:id="874" w:name="_Hlk520369804"/>
            <w:r w:rsidRPr="001A1836">
              <w:rPr>
                <w:sz w:val="20"/>
                <w:szCs w:val="24"/>
              </w:rPr>
              <w:t xml:space="preserve">Service </w:t>
            </w:r>
            <w:r w:rsidR="00747264" w:rsidRPr="001A1836">
              <w:rPr>
                <w:sz w:val="20"/>
                <w:szCs w:val="24"/>
              </w:rPr>
              <w:t>L</w:t>
            </w:r>
            <w:r w:rsidRPr="001A1836">
              <w:rPr>
                <w:sz w:val="20"/>
                <w:szCs w:val="24"/>
              </w:rPr>
              <w:t>evel description</w:t>
            </w:r>
          </w:p>
        </w:tc>
        <w:tc>
          <w:tcPr>
            <w:tcW w:w="6577" w:type="dxa"/>
            <w:gridSpan w:val="3"/>
            <w:shd w:val="clear" w:color="auto" w:fill="auto"/>
          </w:tcPr>
          <w:p w14:paraId="5C9F4CD4" w14:textId="0E338B2F" w:rsidR="00B074CC" w:rsidRPr="001A1836" w:rsidRDefault="00B074CC" w:rsidP="00626054">
            <w:pPr>
              <w:rPr>
                <w:sz w:val="20"/>
                <w:szCs w:val="24"/>
              </w:rPr>
            </w:pPr>
            <w:r w:rsidRPr="001A1836">
              <w:rPr>
                <w:sz w:val="20"/>
                <w:szCs w:val="24"/>
              </w:rPr>
              <w:t>The total number of justified complaints against service from all sources – Consumers and Registered Businesses or Engineers.</w:t>
            </w:r>
          </w:p>
          <w:p w14:paraId="6653359C" w14:textId="77777777" w:rsidR="00B074CC" w:rsidRPr="001A1836" w:rsidRDefault="00B074CC" w:rsidP="00626054">
            <w:pPr>
              <w:rPr>
                <w:sz w:val="20"/>
                <w:szCs w:val="24"/>
              </w:rPr>
            </w:pPr>
            <w:r w:rsidRPr="001A1836">
              <w:rPr>
                <w:sz w:val="20"/>
                <w:szCs w:val="24"/>
              </w:rPr>
              <w:t xml:space="preserve">A complaint is justified if: </w:t>
            </w:r>
          </w:p>
          <w:p w14:paraId="213C7E49" w14:textId="77777777" w:rsidR="00B074CC" w:rsidRPr="001A1836" w:rsidRDefault="00B074CC">
            <w:pPr>
              <w:numPr>
                <w:ilvl w:val="0"/>
                <w:numId w:val="25"/>
              </w:numPr>
              <w:rPr>
                <w:sz w:val="20"/>
                <w:szCs w:val="24"/>
              </w:rPr>
            </w:pPr>
            <w:r w:rsidRPr="001A1836">
              <w:rPr>
                <w:sz w:val="20"/>
                <w:szCs w:val="24"/>
              </w:rPr>
              <w:t>the Provider has not followed its policies, procedures or service level response times</w:t>
            </w:r>
          </w:p>
          <w:p w14:paraId="28C57D7A" w14:textId="6A6F4E55" w:rsidR="00B074CC" w:rsidRPr="001A1836" w:rsidRDefault="00B074CC">
            <w:pPr>
              <w:numPr>
                <w:ilvl w:val="0"/>
                <w:numId w:val="25"/>
              </w:numPr>
              <w:rPr>
                <w:sz w:val="20"/>
                <w:szCs w:val="24"/>
              </w:rPr>
            </w:pPr>
            <w:r w:rsidRPr="001A1836">
              <w:rPr>
                <w:sz w:val="20"/>
                <w:szCs w:val="24"/>
              </w:rPr>
              <w:t>the Provider has inaccurately recorded, reported or relayed information</w:t>
            </w:r>
          </w:p>
          <w:p w14:paraId="3B6B8BAF" w14:textId="77777777" w:rsidR="00B074CC" w:rsidRPr="001A1836" w:rsidRDefault="00B074CC">
            <w:pPr>
              <w:numPr>
                <w:ilvl w:val="0"/>
                <w:numId w:val="25"/>
              </w:numPr>
              <w:rPr>
                <w:sz w:val="20"/>
                <w:szCs w:val="24"/>
              </w:rPr>
            </w:pPr>
            <w:r w:rsidRPr="001A1836">
              <w:rPr>
                <w:sz w:val="20"/>
                <w:szCs w:val="24"/>
              </w:rPr>
              <w:t>the Provider’s staff have behaved in an unprofessional manner (as defined in the Customer Charter)</w:t>
            </w:r>
          </w:p>
        </w:tc>
      </w:tr>
      <w:bookmarkEnd w:id="874"/>
      <w:tr w:rsidR="00B074CC" w:rsidRPr="001A1836" w14:paraId="0CE329CC" w14:textId="77777777" w:rsidTr="004F1C82">
        <w:tc>
          <w:tcPr>
            <w:tcW w:w="2029" w:type="dxa"/>
            <w:shd w:val="clear" w:color="auto" w:fill="auto"/>
          </w:tcPr>
          <w:p w14:paraId="0785FA4E" w14:textId="13DC0796" w:rsidR="00B074CC" w:rsidRPr="001A1836" w:rsidRDefault="00B074CC" w:rsidP="00626054">
            <w:pPr>
              <w:rPr>
                <w:sz w:val="20"/>
                <w:szCs w:val="24"/>
              </w:rPr>
            </w:pPr>
            <w:r w:rsidRPr="001A1836">
              <w:rPr>
                <w:sz w:val="20"/>
                <w:szCs w:val="24"/>
              </w:rPr>
              <w:t xml:space="preserve">Service </w:t>
            </w:r>
            <w:r w:rsidR="00747264" w:rsidRPr="001A1836">
              <w:rPr>
                <w:sz w:val="20"/>
                <w:szCs w:val="24"/>
              </w:rPr>
              <w:t>L</w:t>
            </w:r>
            <w:r w:rsidRPr="001A1836">
              <w:rPr>
                <w:sz w:val="20"/>
                <w:szCs w:val="24"/>
              </w:rPr>
              <w:t>evel calculation</w:t>
            </w:r>
          </w:p>
        </w:tc>
        <w:tc>
          <w:tcPr>
            <w:tcW w:w="6577" w:type="dxa"/>
            <w:gridSpan w:val="3"/>
            <w:shd w:val="clear" w:color="auto" w:fill="auto"/>
          </w:tcPr>
          <w:p w14:paraId="39E02CD2" w14:textId="77777777" w:rsidR="00B074CC" w:rsidRPr="001A1836" w:rsidRDefault="00B074CC" w:rsidP="00626054">
            <w:pPr>
              <w:rPr>
                <w:sz w:val="20"/>
                <w:szCs w:val="24"/>
              </w:rPr>
            </w:pPr>
            <w:r w:rsidRPr="001A1836">
              <w:rPr>
                <w:sz w:val="20"/>
                <w:szCs w:val="24"/>
              </w:rPr>
              <w:t>A + B</w:t>
            </w:r>
          </w:p>
          <w:p w14:paraId="68244DC0" w14:textId="77777777" w:rsidR="00B074CC" w:rsidRPr="001A1836" w:rsidRDefault="00B074CC" w:rsidP="00626054">
            <w:pPr>
              <w:rPr>
                <w:sz w:val="20"/>
                <w:szCs w:val="24"/>
              </w:rPr>
            </w:pPr>
          </w:p>
          <w:p w14:paraId="53C7BA4E" w14:textId="77777777" w:rsidR="00B074CC" w:rsidRPr="001A1836" w:rsidRDefault="00B074CC" w:rsidP="00626054">
            <w:pPr>
              <w:rPr>
                <w:sz w:val="20"/>
                <w:szCs w:val="24"/>
              </w:rPr>
            </w:pPr>
            <w:r w:rsidRPr="001A1836">
              <w:rPr>
                <w:sz w:val="20"/>
                <w:szCs w:val="24"/>
              </w:rPr>
              <w:t>Where:</w:t>
            </w:r>
          </w:p>
          <w:p w14:paraId="30433055" w14:textId="77777777" w:rsidR="00B074CC" w:rsidRPr="001A1836" w:rsidRDefault="00B074CC" w:rsidP="00626054">
            <w:pPr>
              <w:rPr>
                <w:sz w:val="20"/>
                <w:szCs w:val="24"/>
              </w:rPr>
            </w:pPr>
            <w:r w:rsidRPr="001A1836">
              <w:rPr>
                <w:sz w:val="20"/>
                <w:szCs w:val="24"/>
              </w:rPr>
              <w:t>A = Number of justified complaints about the service from consumers</w:t>
            </w:r>
          </w:p>
          <w:p w14:paraId="1CA1F93C" w14:textId="77777777" w:rsidR="00B074CC" w:rsidRPr="001A1836" w:rsidRDefault="00B074CC" w:rsidP="00626054">
            <w:pPr>
              <w:rPr>
                <w:sz w:val="20"/>
                <w:szCs w:val="24"/>
              </w:rPr>
            </w:pPr>
            <w:r w:rsidRPr="001A1836">
              <w:rPr>
                <w:sz w:val="20"/>
                <w:szCs w:val="24"/>
              </w:rPr>
              <w:t>B = Number of justified complaints about the service from registered engineers or businesses</w:t>
            </w:r>
          </w:p>
        </w:tc>
      </w:tr>
      <w:tr w:rsidR="00B074CC" w:rsidRPr="001A1836" w14:paraId="3D745931" w14:textId="77777777" w:rsidTr="004F1C82">
        <w:tc>
          <w:tcPr>
            <w:tcW w:w="2029" w:type="dxa"/>
            <w:shd w:val="clear" w:color="auto" w:fill="auto"/>
          </w:tcPr>
          <w:p w14:paraId="01C73707" w14:textId="72460BBF" w:rsidR="00B074CC" w:rsidRPr="001A1836" w:rsidRDefault="00B074CC" w:rsidP="00626054">
            <w:pPr>
              <w:rPr>
                <w:sz w:val="20"/>
                <w:szCs w:val="24"/>
              </w:rPr>
            </w:pPr>
            <w:r w:rsidRPr="001A1836">
              <w:rPr>
                <w:sz w:val="20"/>
                <w:szCs w:val="24"/>
              </w:rPr>
              <w:t xml:space="preserve">Reporting frequency </w:t>
            </w:r>
          </w:p>
        </w:tc>
        <w:tc>
          <w:tcPr>
            <w:tcW w:w="6577" w:type="dxa"/>
            <w:gridSpan w:val="3"/>
            <w:shd w:val="clear" w:color="auto" w:fill="auto"/>
          </w:tcPr>
          <w:p w14:paraId="5296B8B2" w14:textId="77777777" w:rsidR="00B074CC" w:rsidRPr="001A1836" w:rsidRDefault="00B074CC" w:rsidP="00626054">
            <w:pPr>
              <w:rPr>
                <w:sz w:val="20"/>
                <w:szCs w:val="24"/>
              </w:rPr>
            </w:pPr>
            <w:r w:rsidRPr="001A1836">
              <w:rPr>
                <w:sz w:val="20"/>
                <w:szCs w:val="24"/>
              </w:rPr>
              <w:t>Performance is reported monthly.</w:t>
            </w:r>
          </w:p>
          <w:p w14:paraId="7B38647F" w14:textId="42FC723E" w:rsidR="00B876A2" w:rsidRPr="001A1836" w:rsidRDefault="00B876A2" w:rsidP="0091349E">
            <w:pPr>
              <w:rPr>
                <w:sz w:val="20"/>
                <w:szCs w:val="24"/>
              </w:rPr>
            </w:pPr>
          </w:p>
        </w:tc>
      </w:tr>
      <w:tr w:rsidR="004F1C82" w:rsidRPr="001A1836" w14:paraId="3E028F99" w14:textId="77777777" w:rsidTr="004F1C82">
        <w:tc>
          <w:tcPr>
            <w:tcW w:w="2029" w:type="dxa"/>
            <w:shd w:val="clear" w:color="auto" w:fill="auto"/>
          </w:tcPr>
          <w:p w14:paraId="75E20D90" w14:textId="099CE4C0" w:rsidR="004F1C82" w:rsidRPr="001A1836" w:rsidDel="00B20DB7" w:rsidRDefault="004F1C82" w:rsidP="004F1C82">
            <w:pPr>
              <w:rPr>
                <w:sz w:val="20"/>
                <w:szCs w:val="24"/>
              </w:rPr>
            </w:pPr>
            <w:r w:rsidRPr="001A1836">
              <w:rPr>
                <w:sz w:val="20"/>
                <w:szCs w:val="24"/>
              </w:rPr>
              <w:t>Service Measurement Period</w:t>
            </w:r>
          </w:p>
        </w:tc>
        <w:tc>
          <w:tcPr>
            <w:tcW w:w="6577" w:type="dxa"/>
            <w:gridSpan w:val="3"/>
            <w:shd w:val="clear" w:color="auto" w:fill="auto"/>
          </w:tcPr>
          <w:p w14:paraId="7C2F4F4F" w14:textId="108A5955" w:rsidR="004F1C82" w:rsidRPr="001A1836" w:rsidRDefault="004F1C82" w:rsidP="004F1C82">
            <w:pPr>
              <w:rPr>
                <w:sz w:val="20"/>
                <w:szCs w:val="24"/>
              </w:rPr>
            </w:pPr>
            <w:r w:rsidRPr="001A1836">
              <w:rPr>
                <w:sz w:val="20"/>
                <w:szCs w:val="24"/>
              </w:rPr>
              <w:t xml:space="preserve">Service Credits are calculated annually. </w:t>
            </w:r>
          </w:p>
        </w:tc>
      </w:tr>
      <w:tr w:rsidR="004F1C82" w:rsidRPr="001A1836" w14:paraId="0D6C147B" w14:textId="77777777" w:rsidTr="004F1C82">
        <w:tc>
          <w:tcPr>
            <w:tcW w:w="2029" w:type="dxa"/>
            <w:shd w:val="clear" w:color="auto" w:fill="auto"/>
          </w:tcPr>
          <w:p w14:paraId="6E499E6A" w14:textId="630062CE" w:rsidR="004F1C82" w:rsidRPr="001A1836" w:rsidDel="00B20DB7" w:rsidRDefault="004F1C82" w:rsidP="004F1C82">
            <w:pPr>
              <w:rPr>
                <w:sz w:val="20"/>
                <w:szCs w:val="24"/>
              </w:rPr>
            </w:pPr>
            <w:r w:rsidRPr="001A1836">
              <w:rPr>
                <w:sz w:val="20"/>
                <w:szCs w:val="24"/>
              </w:rPr>
              <w:t>Service Point Application Period</w:t>
            </w:r>
          </w:p>
        </w:tc>
        <w:tc>
          <w:tcPr>
            <w:tcW w:w="6577" w:type="dxa"/>
            <w:gridSpan w:val="3"/>
            <w:shd w:val="clear" w:color="auto" w:fill="auto"/>
          </w:tcPr>
          <w:p w14:paraId="194F2C88" w14:textId="3825147D" w:rsidR="004F1C82" w:rsidRPr="001A1836" w:rsidRDefault="00EA4BD8" w:rsidP="004F1C82">
            <w:pPr>
              <w:rPr>
                <w:sz w:val="20"/>
                <w:szCs w:val="24"/>
              </w:rPr>
            </w:pPr>
            <w:r w:rsidRPr="001A1836">
              <w:rPr>
                <w:sz w:val="20"/>
                <w:szCs w:val="24"/>
              </w:rPr>
              <w:t xml:space="preserve">Service Points are applied annually </w:t>
            </w:r>
            <w:r>
              <w:rPr>
                <w:sz w:val="20"/>
                <w:szCs w:val="24"/>
              </w:rPr>
              <w:t xml:space="preserve">in respect of each Contract Year </w:t>
            </w:r>
            <w:r w:rsidRPr="001A1836">
              <w:rPr>
                <w:sz w:val="20"/>
                <w:szCs w:val="24"/>
              </w:rPr>
              <w:t xml:space="preserve">against the </w:t>
            </w:r>
            <w:r>
              <w:rPr>
                <w:sz w:val="20"/>
                <w:szCs w:val="24"/>
              </w:rPr>
              <w:t xml:space="preserve">sum of the </w:t>
            </w:r>
            <w:r w:rsidRPr="001A1836">
              <w:rPr>
                <w:sz w:val="20"/>
                <w:szCs w:val="24"/>
              </w:rPr>
              <w:t xml:space="preserve">Provider’s </w:t>
            </w:r>
            <w:r>
              <w:rPr>
                <w:sz w:val="20"/>
                <w:szCs w:val="24"/>
              </w:rPr>
              <w:t>A</w:t>
            </w:r>
            <w:r w:rsidRPr="001A1836">
              <w:rPr>
                <w:sz w:val="20"/>
                <w:szCs w:val="24"/>
              </w:rPr>
              <w:t xml:space="preserve">greed Operating Costs plus </w:t>
            </w:r>
            <w:r>
              <w:rPr>
                <w:sz w:val="20"/>
                <w:szCs w:val="24"/>
              </w:rPr>
              <w:t xml:space="preserve">Provider </w:t>
            </w:r>
            <w:r w:rsidRPr="001A1836">
              <w:rPr>
                <w:sz w:val="20"/>
                <w:szCs w:val="24"/>
              </w:rPr>
              <w:t xml:space="preserve">Profit for the final month of </w:t>
            </w:r>
            <w:r>
              <w:rPr>
                <w:sz w:val="20"/>
                <w:szCs w:val="24"/>
              </w:rPr>
              <w:t>such</w:t>
            </w:r>
            <w:r w:rsidRPr="001A1836">
              <w:rPr>
                <w:sz w:val="20"/>
                <w:szCs w:val="24"/>
              </w:rPr>
              <w:t xml:space="preserve"> Contract Year.</w:t>
            </w:r>
          </w:p>
        </w:tc>
      </w:tr>
      <w:tr w:rsidR="00B074CC" w:rsidRPr="001A1836" w14:paraId="68C3AD81" w14:textId="77777777" w:rsidTr="004F1C82">
        <w:tc>
          <w:tcPr>
            <w:tcW w:w="2029" w:type="dxa"/>
            <w:shd w:val="clear" w:color="auto" w:fill="auto"/>
          </w:tcPr>
          <w:p w14:paraId="338E8CC9" w14:textId="77777777" w:rsidR="00B074CC" w:rsidRPr="001A1836" w:rsidRDefault="00B074CC" w:rsidP="00626054">
            <w:pPr>
              <w:rPr>
                <w:sz w:val="20"/>
                <w:szCs w:val="24"/>
              </w:rPr>
            </w:pPr>
            <w:r w:rsidRPr="001A1836">
              <w:rPr>
                <w:sz w:val="20"/>
                <w:szCs w:val="24"/>
              </w:rPr>
              <w:t>Data capture</w:t>
            </w:r>
          </w:p>
        </w:tc>
        <w:tc>
          <w:tcPr>
            <w:tcW w:w="6577" w:type="dxa"/>
            <w:gridSpan w:val="3"/>
            <w:shd w:val="clear" w:color="auto" w:fill="auto"/>
          </w:tcPr>
          <w:p w14:paraId="7EBBC8A4" w14:textId="77777777" w:rsidR="00B074CC" w:rsidRPr="001A1836" w:rsidRDefault="00B074CC">
            <w:pPr>
              <w:numPr>
                <w:ilvl w:val="0"/>
                <w:numId w:val="27"/>
              </w:numPr>
              <w:rPr>
                <w:sz w:val="20"/>
                <w:szCs w:val="24"/>
              </w:rPr>
            </w:pPr>
            <w:r w:rsidRPr="001A1836">
              <w:rPr>
                <w:sz w:val="20"/>
                <w:szCs w:val="24"/>
              </w:rPr>
              <w:t>Number of justified consumer complaints about the service</w:t>
            </w:r>
          </w:p>
          <w:p w14:paraId="050D42AE" w14:textId="77777777" w:rsidR="00B074CC" w:rsidRPr="001A1836" w:rsidRDefault="00B074CC">
            <w:pPr>
              <w:numPr>
                <w:ilvl w:val="0"/>
                <w:numId w:val="27"/>
              </w:numPr>
              <w:rPr>
                <w:sz w:val="20"/>
                <w:szCs w:val="24"/>
              </w:rPr>
            </w:pPr>
            <w:r w:rsidRPr="001A1836">
              <w:rPr>
                <w:sz w:val="20"/>
                <w:szCs w:val="24"/>
              </w:rPr>
              <w:t>Number of justified registrant complaints about the service or renewal</w:t>
            </w:r>
          </w:p>
        </w:tc>
      </w:tr>
      <w:tr w:rsidR="00B074CC" w:rsidRPr="001A1836" w14:paraId="15494B22" w14:textId="77777777" w:rsidTr="004F1C82">
        <w:tc>
          <w:tcPr>
            <w:tcW w:w="2029" w:type="dxa"/>
            <w:shd w:val="clear" w:color="auto" w:fill="auto"/>
          </w:tcPr>
          <w:p w14:paraId="35E412B8" w14:textId="77777777" w:rsidR="00B074CC" w:rsidRPr="001A1836" w:rsidRDefault="00B074CC" w:rsidP="00626054">
            <w:pPr>
              <w:rPr>
                <w:sz w:val="20"/>
                <w:szCs w:val="24"/>
              </w:rPr>
            </w:pPr>
            <w:r w:rsidRPr="001A1836">
              <w:rPr>
                <w:sz w:val="20"/>
                <w:szCs w:val="24"/>
              </w:rPr>
              <w:t>Impact</w:t>
            </w:r>
          </w:p>
        </w:tc>
        <w:tc>
          <w:tcPr>
            <w:tcW w:w="6577" w:type="dxa"/>
            <w:gridSpan w:val="3"/>
            <w:shd w:val="clear" w:color="auto" w:fill="auto"/>
          </w:tcPr>
          <w:p w14:paraId="09AEE30E" w14:textId="77777777" w:rsidR="00B074CC" w:rsidRPr="001A1836" w:rsidRDefault="00B074CC" w:rsidP="00626054">
            <w:pPr>
              <w:rPr>
                <w:sz w:val="20"/>
                <w:szCs w:val="24"/>
              </w:rPr>
            </w:pPr>
            <w:r w:rsidRPr="001A1836">
              <w:rPr>
                <w:sz w:val="20"/>
                <w:szCs w:val="24"/>
              </w:rPr>
              <w:t>Medium</w:t>
            </w:r>
          </w:p>
        </w:tc>
      </w:tr>
      <w:tr w:rsidR="00B074CC" w:rsidRPr="001A1836" w14:paraId="3A2FB1E5" w14:textId="77777777" w:rsidTr="004F1C82">
        <w:tc>
          <w:tcPr>
            <w:tcW w:w="2029" w:type="dxa"/>
            <w:shd w:val="clear" w:color="auto" w:fill="auto"/>
          </w:tcPr>
          <w:p w14:paraId="37D40FEC" w14:textId="77777777" w:rsidR="00B074CC" w:rsidRPr="001A1836" w:rsidRDefault="00B074CC" w:rsidP="00626054">
            <w:pPr>
              <w:rPr>
                <w:sz w:val="20"/>
                <w:szCs w:val="24"/>
              </w:rPr>
            </w:pPr>
            <w:r w:rsidRPr="001A1836">
              <w:rPr>
                <w:sz w:val="20"/>
                <w:szCs w:val="24"/>
              </w:rPr>
              <w:t>Criticality</w:t>
            </w:r>
          </w:p>
        </w:tc>
        <w:tc>
          <w:tcPr>
            <w:tcW w:w="6577" w:type="dxa"/>
            <w:gridSpan w:val="3"/>
            <w:shd w:val="clear" w:color="auto" w:fill="auto"/>
          </w:tcPr>
          <w:p w14:paraId="5D73AFE4" w14:textId="77777777" w:rsidR="00B074CC" w:rsidRPr="001A1836" w:rsidRDefault="00B074CC" w:rsidP="00626054">
            <w:pPr>
              <w:rPr>
                <w:sz w:val="20"/>
                <w:szCs w:val="24"/>
              </w:rPr>
            </w:pPr>
            <w:r w:rsidRPr="001A1836">
              <w:rPr>
                <w:sz w:val="20"/>
                <w:szCs w:val="24"/>
              </w:rPr>
              <w:t>B</w:t>
            </w:r>
          </w:p>
        </w:tc>
      </w:tr>
      <w:tr w:rsidR="00B074CC" w:rsidRPr="001A1836" w14:paraId="29FB619A" w14:textId="77777777" w:rsidTr="004F1C82">
        <w:tc>
          <w:tcPr>
            <w:tcW w:w="2029" w:type="dxa"/>
            <w:shd w:val="clear" w:color="auto" w:fill="auto"/>
          </w:tcPr>
          <w:p w14:paraId="52C85F87" w14:textId="77777777" w:rsidR="00B074CC" w:rsidRPr="001A1836" w:rsidRDefault="00B074CC" w:rsidP="00626054">
            <w:pPr>
              <w:rPr>
                <w:sz w:val="20"/>
                <w:szCs w:val="24"/>
              </w:rPr>
            </w:pPr>
            <w:r w:rsidRPr="001A1836">
              <w:rPr>
                <w:sz w:val="20"/>
                <w:szCs w:val="24"/>
              </w:rPr>
              <w:t>Service Level Performance Measure</w:t>
            </w:r>
          </w:p>
        </w:tc>
        <w:tc>
          <w:tcPr>
            <w:tcW w:w="6577" w:type="dxa"/>
            <w:gridSpan w:val="3"/>
            <w:shd w:val="clear" w:color="auto" w:fill="auto"/>
          </w:tcPr>
          <w:p w14:paraId="6C05A6DE" w14:textId="77777777" w:rsidR="00B074CC" w:rsidRPr="001A1836" w:rsidRDefault="00B074CC" w:rsidP="00626054">
            <w:pPr>
              <w:rPr>
                <w:sz w:val="20"/>
                <w:szCs w:val="24"/>
              </w:rPr>
            </w:pPr>
            <w:r w:rsidRPr="001A1836">
              <w:rPr>
                <w:sz w:val="20"/>
                <w:szCs w:val="24"/>
              </w:rPr>
              <w:t>No more than 20 complaints in year 1</w:t>
            </w:r>
          </w:p>
          <w:p w14:paraId="2FDF70E9" w14:textId="69B79A59" w:rsidR="00B074CC" w:rsidRPr="001A1836" w:rsidRDefault="00B074CC" w:rsidP="00626054">
            <w:pPr>
              <w:rPr>
                <w:sz w:val="20"/>
                <w:szCs w:val="24"/>
              </w:rPr>
            </w:pPr>
            <w:r w:rsidRPr="001A1836">
              <w:rPr>
                <w:sz w:val="20"/>
                <w:szCs w:val="24"/>
              </w:rPr>
              <w:t xml:space="preserve">No more than 10 complaints per year in </w:t>
            </w:r>
            <w:r w:rsidR="00747264" w:rsidRPr="001A1836">
              <w:rPr>
                <w:sz w:val="20"/>
                <w:szCs w:val="24"/>
              </w:rPr>
              <w:t>Y</w:t>
            </w:r>
            <w:r w:rsidRPr="001A1836">
              <w:rPr>
                <w:sz w:val="20"/>
                <w:szCs w:val="24"/>
              </w:rPr>
              <w:t xml:space="preserve">ears 2 – 5 </w:t>
            </w:r>
          </w:p>
        </w:tc>
      </w:tr>
      <w:tr w:rsidR="00B074CC" w:rsidRPr="001A1836" w14:paraId="79A84AF1" w14:textId="77777777" w:rsidTr="004F1C82">
        <w:tc>
          <w:tcPr>
            <w:tcW w:w="2029" w:type="dxa"/>
            <w:shd w:val="clear" w:color="auto" w:fill="auto"/>
          </w:tcPr>
          <w:p w14:paraId="2BDC2B4F" w14:textId="77777777" w:rsidR="00B074CC" w:rsidRPr="001A1836" w:rsidRDefault="00B074CC" w:rsidP="00626054">
            <w:pPr>
              <w:rPr>
                <w:sz w:val="20"/>
                <w:szCs w:val="24"/>
              </w:rPr>
            </w:pPr>
          </w:p>
        </w:tc>
        <w:tc>
          <w:tcPr>
            <w:tcW w:w="4678" w:type="dxa"/>
            <w:gridSpan w:val="2"/>
            <w:shd w:val="clear" w:color="auto" w:fill="auto"/>
          </w:tcPr>
          <w:p w14:paraId="387651C9" w14:textId="77777777" w:rsidR="00B074CC" w:rsidRPr="001A1836" w:rsidRDefault="00B074CC" w:rsidP="00626054">
            <w:pPr>
              <w:rPr>
                <w:b/>
                <w:sz w:val="20"/>
                <w:szCs w:val="24"/>
              </w:rPr>
            </w:pPr>
            <w:r w:rsidRPr="001A1836">
              <w:rPr>
                <w:b/>
                <w:sz w:val="20"/>
                <w:szCs w:val="24"/>
              </w:rPr>
              <w:t>Service Level Performance Measure</w:t>
            </w:r>
          </w:p>
        </w:tc>
        <w:tc>
          <w:tcPr>
            <w:tcW w:w="1899" w:type="dxa"/>
            <w:shd w:val="clear" w:color="auto" w:fill="auto"/>
          </w:tcPr>
          <w:p w14:paraId="2E2C6EED" w14:textId="77777777" w:rsidR="00B074CC" w:rsidRPr="001A1836" w:rsidRDefault="00B074CC" w:rsidP="00626054">
            <w:pPr>
              <w:rPr>
                <w:b/>
                <w:sz w:val="20"/>
                <w:szCs w:val="24"/>
              </w:rPr>
            </w:pPr>
            <w:r w:rsidRPr="001A1836">
              <w:rPr>
                <w:b/>
                <w:sz w:val="20"/>
                <w:szCs w:val="24"/>
              </w:rPr>
              <w:t>Service points</w:t>
            </w:r>
          </w:p>
        </w:tc>
      </w:tr>
      <w:tr w:rsidR="00B074CC" w:rsidRPr="001A1836" w14:paraId="2F9F2DD3" w14:textId="77777777" w:rsidTr="004F1C82">
        <w:tc>
          <w:tcPr>
            <w:tcW w:w="2029" w:type="dxa"/>
            <w:shd w:val="clear" w:color="auto" w:fill="auto"/>
          </w:tcPr>
          <w:p w14:paraId="484FFF61" w14:textId="77777777" w:rsidR="00B074CC" w:rsidRPr="001A1836" w:rsidRDefault="00B074CC" w:rsidP="00626054">
            <w:pPr>
              <w:rPr>
                <w:sz w:val="20"/>
                <w:szCs w:val="24"/>
              </w:rPr>
            </w:pPr>
          </w:p>
        </w:tc>
        <w:tc>
          <w:tcPr>
            <w:tcW w:w="2339" w:type="dxa"/>
            <w:shd w:val="clear" w:color="auto" w:fill="auto"/>
          </w:tcPr>
          <w:p w14:paraId="40050195" w14:textId="77777777" w:rsidR="00B074CC" w:rsidRPr="001A1836" w:rsidRDefault="00B074CC" w:rsidP="00626054">
            <w:pPr>
              <w:rPr>
                <w:sz w:val="20"/>
                <w:szCs w:val="24"/>
              </w:rPr>
            </w:pPr>
            <w:r w:rsidRPr="001A1836">
              <w:rPr>
                <w:sz w:val="20"/>
                <w:szCs w:val="24"/>
              </w:rPr>
              <w:t xml:space="preserve">Year 1 </w:t>
            </w:r>
          </w:p>
        </w:tc>
        <w:tc>
          <w:tcPr>
            <w:tcW w:w="2339" w:type="dxa"/>
            <w:shd w:val="clear" w:color="auto" w:fill="auto"/>
          </w:tcPr>
          <w:p w14:paraId="1B1A86B3" w14:textId="77777777" w:rsidR="00B074CC" w:rsidRPr="001A1836" w:rsidRDefault="00B074CC" w:rsidP="00626054">
            <w:pPr>
              <w:rPr>
                <w:sz w:val="20"/>
                <w:szCs w:val="24"/>
              </w:rPr>
            </w:pPr>
            <w:r w:rsidRPr="001A1836">
              <w:rPr>
                <w:sz w:val="20"/>
                <w:szCs w:val="24"/>
              </w:rPr>
              <w:t>Years 2 – 5</w:t>
            </w:r>
          </w:p>
        </w:tc>
        <w:tc>
          <w:tcPr>
            <w:tcW w:w="1899" w:type="dxa"/>
            <w:shd w:val="clear" w:color="auto" w:fill="auto"/>
          </w:tcPr>
          <w:p w14:paraId="63AE4523" w14:textId="77777777" w:rsidR="00B074CC" w:rsidRPr="001A1836" w:rsidRDefault="00B074CC" w:rsidP="00626054">
            <w:pPr>
              <w:rPr>
                <w:sz w:val="20"/>
                <w:szCs w:val="24"/>
              </w:rPr>
            </w:pPr>
          </w:p>
        </w:tc>
      </w:tr>
      <w:tr w:rsidR="00B074CC" w:rsidRPr="001A1836" w14:paraId="41829B22" w14:textId="77777777" w:rsidTr="004F1C82">
        <w:tc>
          <w:tcPr>
            <w:tcW w:w="2029" w:type="dxa"/>
            <w:shd w:val="clear" w:color="auto" w:fill="auto"/>
          </w:tcPr>
          <w:p w14:paraId="08ADD6E4" w14:textId="43A942C4" w:rsidR="00B074CC" w:rsidRPr="001A1836" w:rsidRDefault="00B074CC" w:rsidP="00626054">
            <w:pPr>
              <w:rPr>
                <w:sz w:val="20"/>
                <w:szCs w:val="24"/>
              </w:rPr>
            </w:pPr>
            <w:r w:rsidRPr="001A1836">
              <w:rPr>
                <w:sz w:val="20"/>
                <w:szCs w:val="24"/>
              </w:rPr>
              <w:t xml:space="preserve">Service </w:t>
            </w:r>
            <w:r w:rsidR="00747264" w:rsidRPr="001A1836">
              <w:rPr>
                <w:sz w:val="20"/>
                <w:szCs w:val="24"/>
              </w:rPr>
              <w:t>L</w:t>
            </w:r>
            <w:r w:rsidRPr="001A1836">
              <w:rPr>
                <w:sz w:val="20"/>
                <w:szCs w:val="24"/>
              </w:rPr>
              <w:t>evel met</w:t>
            </w:r>
          </w:p>
        </w:tc>
        <w:tc>
          <w:tcPr>
            <w:tcW w:w="2339" w:type="dxa"/>
            <w:shd w:val="clear" w:color="auto" w:fill="auto"/>
          </w:tcPr>
          <w:p w14:paraId="10199723" w14:textId="77777777" w:rsidR="00B074CC" w:rsidRPr="001A1836" w:rsidRDefault="00B074CC" w:rsidP="00626054">
            <w:pPr>
              <w:rPr>
                <w:sz w:val="20"/>
                <w:szCs w:val="24"/>
              </w:rPr>
            </w:pPr>
            <w:r w:rsidRPr="001A1836">
              <w:rPr>
                <w:sz w:val="20"/>
                <w:szCs w:val="24"/>
              </w:rPr>
              <w:t>No more than 20 complaints</w:t>
            </w:r>
          </w:p>
        </w:tc>
        <w:tc>
          <w:tcPr>
            <w:tcW w:w="2339" w:type="dxa"/>
            <w:shd w:val="clear" w:color="auto" w:fill="auto"/>
          </w:tcPr>
          <w:p w14:paraId="40C7D6EE" w14:textId="77777777" w:rsidR="00B074CC" w:rsidRPr="001A1836" w:rsidRDefault="00B074CC" w:rsidP="00626054">
            <w:pPr>
              <w:rPr>
                <w:sz w:val="20"/>
                <w:szCs w:val="24"/>
              </w:rPr>
            </w:pPr>
            <w:r w:rsidRPr="001A1836">
              <w:rPr>
                <w:sz w:val="20"/>
                <w:szCs w:val="24"/>
              </w:rPr>
              <w:t>No more than 10 complaints</w:t>
            </w:r>
          </w:p>
        </w:tc>
        <w:tc>
          <w:tcPr>
            <w:tcW w:w="1899" w:type="dxa"/>
            <w:shd w:val="clear" w:color="auto" w:fill="auto"/>
          </w:tcPr>
          <w:p w14:paraId="4D8D51A9" w14:textId="77777777" w:rsidR="00B074CC" w:rsidRPr="001A1836" w:rsidRDefault="00B074CC" w:rsidP="00626054">
            <w:pPr>
              <w:rPr>
                <w:sz w:val="20"/>
                <w:szCs w:val="24"/>
              </w:rPr>
            </w:pPr>
            <w:r w:rsidRPr="001A1836">
              <w:rPr>
                <w:sz w:val="20"/>
                <w:szCs w:val="24"/>
              </w:rPr>
              <w:t>0</w:t>
            </w:r>
          </w:p>
        </w:tc>
      </w:tr>
      <w:tr w:rsidR="00B074CC" w:rsidRPr="001A1836" w14:paraId="621BF16D" w14:textId="77777777" w:rsidTr="004F1C82">
        <w:tc>
          <w:tcPr>
            <w:tcW w:w="2029" w:type="dxa"/>
            <w:shd w:val="clear" w:color="auto" w:fill="auto"/>
          </w:tcPr>
          <w:p w14:paraId="4A863FEB" w14:textId="77777777" w:rsidR="00B074CC" w:rsidRPr="001A1836" w:rsidRDefault="00B074CC" w:rsidP="00626054">
            <w:pPr>
              <w:rPr>
                <w:sz w:val="20"/>
                <w:szCs w:val="24"/>
              </w:rPr>
            </w:pPr>
            <w:r w:rsidRPr="001A1836">
              <w:rPr>
                <w:sz w:val="20"/>
                <w:szCs w:val="24"/>
              </w:rPr>
              <w:t>Minor Service Level Failure</w:t>
            </w:r>
          </w:p>
        </w:tc>
        <w:tc>
          <w:tcPr>
            <w:tcW w:w="2339" w:type="dxa"/>
            <w:shd w:val="clear" w:color="auto" w:fill="auto"/>
          </w:tcPr>
          <w:p w14:paraId="1B4EE8AC" w14:textId="77777777" w:rsidR="00B074CC" w:rsidRPr="001A1836" w:rsidRDefault="00B074CC" w:rsidP="00626054">
            <w:pPr>
              <w:rPr>
                <w:sz w:val="20"/>
                <w:szCs w:val="24"/>
              </w:rPr>
            </w:pPr>
            <w:r w:rsidRPr="001A1836">
              <w:rPr>
                <w:sz w:val="20"/>
                <w:szCs w:val="24"/>
              </w:rPr>
              <w:t>More than 20 and up to and including 25 complaints</w:t>
            </w:r>
          </w:p>
        </w:tc>
        <w:tc>
          <w:tcPr>
            <w:tcW w:w="2339" w:type="dxa"/>
            <w:shd w:val="clear" w:color="auto" w:fill="auto"/>
          </w:tcPr>
          <w:p w14:paraId="3D40E135" w14:textId="77777777" w:rsidR="00B074CC" w:rsidRPr="001A1836" w:rsidRDefault="00B074CC" w:rsidP="00626054">
            <w:pPr>
              <w:rPr>
                <w:sz w:val="20"/>
                <w:szCs w:val="24"/>
              </w:rPr>
            </w:pPr>
            <w:r w:rsidRPr="001A1836">
              <w:rPr>
                <w:sz w:val="20"/>
                <w:szCs w:val="24"/>
              </w:rPr>
              <w:t>More than 10 and up to and including 15 complaints</w:t>
            </w:r>
          </w:p>
        </w:tc>
        <w:tc>
          <w:tcPr>
            <w:tcW w:w="1899" w:type="dxa"/>
            <w:shd w:val="clear" w:color="auto" w:fill="auto"/>
          </w:tcPr>
          <w:p w14:paraId="7D0C761B" w14:textId="77777777" w:rsidR="00B074CC" w:rsidRPr="001A1836" w:rsidRDefault="00B074CC" w:rsidP="00626054">
            <w:pPr>
              <w:rPr>
                <w:sz w:val="20"/>
                <w:szCs w:val="24"/>
              </w:rPr>
            </w:pPr>
            <w:r w:rsidRPr="001A1836">
              <w:rPr>
                <w:sz w:val="20"/>
                <w:szCs w:val="24"/>
              </w:rPr>
              <w:t>2.0</w:t>
            </w:r>
          </w:p>
        </w:tc>
      </w:tr>
      <w:tr w:rsidR="00B074CC" w:rsidRPr="001A1836" w14:paraId="0EE55C43" w14:textId="77777777" w:rsidTr="004F1C82">
        <w:tc>
          <w:tcPr>
            <w:tcW w:w="2029" w:type="dxa"/>
            <w:shd w:val="clear" w:color="auto" w:fill="auto"/>
          </w:tcPr>
          <w:p w14:paraId="6509DA1B" w14:textId="77777777" w:rsidR="00B074CC" w:rsidRPr="001A1836" w:rsidRDefault="00B074CC" w:rsidP="00626054">
            <w:pPr>
              <w:rPr>
                <w:sz w:val="20"/>
                <w:szCs w:val="24"/>
              </w:rPr>
            </w:pPr>
            <w:r w:rsidRPr="001A1836">
              <w:rPr>
                <w:sz w:val="20"/>
                <w:szCs w:val="24"/>
              </w:rPr>
              <w:t>Moderate Service Level Failure</w:t>
            </w:r>
          </w:p>
        </w:tc>
        <w:tc>
          <w:tcPr>
            <w:tcW w:w="2339" w:type="dxa"/>
            <w:shd w:val="clear" w:color="auto" w:fill="auto"/>
          </w:tcPr>
          <w:p w14:paraId="46013325" w14:textId="77777777" w:rsidR="00B074CC" w:rsidRPr="001A1836" w:rsidRDefault="00B074CC" w:rsidP="00626054">
            <w:pPr>
              <w:rPr>
                <w:sz w:val="20"/>
                <w:szCs w:val="24"/>
              </w:rPr>
            </w:pPr>
            <w:r w:rsidRPr="001A1836">
              <w:rPr>
                <w:sz w:val="20"/>
                <w:szCs w:val="24"/>
              </w:rPr>
              <w:t>More than 25 and up to and including 30 complaints</w:t>
            </w:r>
          </w:p>
        </w:tc>
        <w:tc>
          <w:tcPr>
            <w:tcW w:w="2339" w:type="dxa"/>
            <w:shd w:val="clear" w:color="auto" w:fill="auto"/>
          </w:tcPr>
          <w:p w14:paraId="3713FD84" w14:textId="77777777" w:rsidR="00B074CC" w:rsidRPr="001A1836" w:rsidRDefault="00B074CC" w:rsidP="00626054">
            <w:pPr>
              <w:rPr>
                <w:sz w:val="20"/>
                <w:szCs w:val="24"/>
              </w:rPr>
            </w:pPr>
            <w:r w:rsidRPr="001A1836">
              <w:rPr>
                <w:sz w:val="20"/>
                <w:szCs w:val="24"/>
              </w:rPr>
              <w:t>More than 15 and up to and including 20 complaints</w:t>
            </w:r>
          </w:p>
        </w:tc>
        <w:tc>
          <w:tcPr>
            <w:tcW w:w="1899" w:type="dxa"/>
            <w:shd w:val="clear" w:color="auto" w:fill="auto"/>
          </w:tcPr>
          <w:p w14:paraId="14F17A16" w14:textId="77777777" w:rsidR="00B074CC" w:rsidRPr="001A1836" w:rsidRDefault="00B074CC" w:rsidP="00626054">
            <w:pPr>
              <w:rPr>
                <w:sz w:val="20"/>
                <w:szCs w:val="24"/>
              </w:rPr>
            </w:pPr>
            <w:r w:rsidRPr="001A1836">
              <w:rPr>
                <w:sz w:val="20"/>
                <w:szCs w:val="24"/>
              </w:rPr>
              <w:t>4.0</w:t>
            </w:r>
          </w:p>
        </w:tc>
      </w:tr>
      <w:tr w:rsidR="00B074CC" w:rsidRPr="001A1836" w14:paraId="209223A1" w14:textId="77777777" w:rsidTr="004F1C82">
        <w:tc>
          <w:tcPr>
            <w:tcW w:w="2029" w:type="dxa"/>
            <w:shd w:val="clear" w:color="auto" w:fill="auto"/>
          </w:tcPr>
          <w:p w14:paraId="101127A5" w14:textId="77777777" w:rsidR="00B074CC" w:rsidRPr="001A1836" w:rsidRDefault="00B074CC" w:rsidP="00626054">
            <w:pPr>
              <w:rPr>
                <w:sz w:val="20"/>
                <w:szCs w:val="24"/>
              </w:rPr>
            </w:pPr>
            <w:r w:rsidRPr="001A1836">
              <w:rPr>
                <w:sz w:val="20"/>
                <w:szCs w:val="24"/>
              </w:rPr>
              <w:t>Major Service Level Failure</w:t>
            </w:r>
          </w:p>
        </w:tc>
        <w:tc>
          <w:tcPr>
            <w:tcW w:w="2339" w:type="dxa"/>
            <w:shd w:val="clear" w:color="auto" w:fill="auto"/>
          </w:tcPr>
          <w:p w14:paraId="7D2AAC58" w14:textId="77777777" w:rsidR="00B074CC" w:rsidRPr="001A1836" w:rsidRDefault="00B074CC" w:rsidP="00626054">
            <w:pPr>
              <w:rPr>
                <w:sz w:val="20"/>
                <w:szCs w:val="24"/>
              </w:rPr>
            </w:pPr>
            <w:r w:rsidRPr="001A1836">
              <w:rPr>
                <w:sz w:val="20"/>
                <w:szCs w:val="24"/>
              </w:rPr>
              <w:t>More than 30 complaints</w:t>
            </w:r>
          </w:p>
        </w:tc>
        <w:tc>
          <w:tcPr>
            <w:tcW w:w="2339" w:type="dxa"/>
            <w:shd w:val="clear" w:color="auto" w:fill="auto"/>
          </w:tcPr>
          <w:p w14:paraId="6922B024" w14:textId="77777777" w:rsidR="00B074CC" w:rsidRPr="001A1836" w:rsidRDefault="00B074CC" w:rsidP="00626054">
            <w:pPr>
              <w:rPr>
                <w:sz w:val="20"/>
                <w:szCs w:val="24"/>
              </w:rPr>
            </w:pPr>
            <w:r w:rsidRPr="001A1836">
              <w:rPr>
                <w:sz w:val="20"/>
                <w:szCs w:val="24"/>
              </w:rPr>
              <w:t>More than 20 complaints</w:t>
            </w:r>
          </w:p>
        </w:tc>
        <w:tc>
          <w:tcPr>
            <w:tcW w:w="1899" w:type="dxa"/>
            <w:shd w:val="clear" w:color="auto" w:fill="auto"/>
          </w:tcPr>
          <w:p w14:paraId="72CC3ECD" w14:textId="77777777" w:rsidR="00B074CC" w:rsidRPr="001A1836" w:rsidRDefault="00B074CC" w:rsidP="00626054">
            <w:pPr>
              <w:rPr>
                <w:sz w:val="20"/>
                <w:szCs w:val="24"/>
              </w:rPr>
            </w:pPr>
            <w:r w:rsidRPr="001A1836">
              <w:rPr>
                <w:sz w:val="20"/>
                <w:szCs w:val="24"/>
              </w:rPr>
              <w:t>6.0</w:t>
            </w:r>
          </w:p>
        </w:tc>
      </w:tr>
    </w:tbl>
    <w:p w14:paraId="216D935C" w14:textId="77777777" w:rsidR="00B074CC" w:rsidRPr="001A1836" w:rsidRDefault="00B074CC" w:rsidP="00626054">
      <w:pPr>
        <w:spacing w:after="0"/>
        <w:rPr>
          <w:sz w:val="20"/>
          <w:szCs w:val="24"/>
        </w:rPr>
      </w:pPr>
    </w:p>
    <w:p w14:paraId="03BAE8EC" w14:textId="77777777" w:rsidR="00B074CC" w:rsidRPr="001A1836" w:rsidRDefault="00B074CC" w:rsidP="00626054">
      <w:pPr>
        <w:spacing w:after="0"/>
        <w:rPr>
          <w:sz w:val="20"/>
          <w:szCs w:val="24"/>
        </w:rPr>
      </w:pPr>
      <w:r w:rsidRPr="001A1836">
        <w:rPr>
          <w:sz w:val="20"/>
          <w:szCs w:val="24"/>
        </w:rPr>
        <w:br w:type="page"/>
      </w:r>
    </w:p>
    <w:p w14:paraId="34865790" w14:textId="77777777" w:rsidR="00B074CC" w:rsidRPr="001A1836" w:rsidRDefault="00B074CC" w:rsidP="00626054">
      <w:pPr>
        <w:spacing w:after="0"/>
        <w:rPr>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4678"/>
        <w:gridCol w:w="1899"/>
      </w:tblGrid>
      <w:tr w:rsidR="00B074CC" w:rsidRPr="001A1836" w14:paraId="19724532" w14:textId="77777777" w:rsidTr="009E2E92">
        <w:trPr>
          <w:cantSplit/>
          <w:tblHeader/>
        </w:trPr>
        <w:tc>
          <w:tcPr>
            <w:tcW w:w="2029" w:type="dxa"/>
            <w:shd w:val="clear" w:color="auto" w:fill="auto"/>
          </w:tcPr>
          <w:p w14:paraId="20DA0123" w14:textId="77777777" w:rsidR="00B074CC" w:rsidRPr="001A1836" w:rsidRDefault="00B074CC" w:rsidP="00626054">
            <w:pPr>
              <w:rPr>
                <w:b/>
                <w:szCs w:val="24"/>
              </w:rPr>
            </w:pPr>
            <w:r w:rsidRPr="001A1836">
              <w:rPr>
                <w:b/>
                <w:szCs w:val="24"/>
              </w:rPr>
              <w:t>SL10</w:t>
            </w:r>
          </w:p>
        </w:tc>
        <w:tc>
          <w:tcPr>
            <w:tcW w:w="6577" w:type="dxa"/>
            <w:gridSpan w:val="2"/>
            <w:shd w:val="clear" w:color="auto" w:fill="auto"/>
          </w:tcPr>
          <w:p w14:paraId="666A5CAD" w14:textId="21B4980B" w:rsidR="00B074CC" w:rsidRPr="001A1836" w:rsidRDefault="00B074CC" w:rsidP="00626054">
            <w:pPr>
              <w:rPr>
                <w:b/>
                <w:szCs w:val="24"/>
              </w:rPr>
            </w:pPr>
            <w:r w:rsidRPr="001A1836">
              <w:rPr>
                <w:b/>
                <w:szCs w:val="24"/>
              </w:rPr>
              <w:t xml:space="preserve">% of all complaints about the service responded to within 5 Working Days </w:t>
            </w:r>
          </w:p>
        </w:tc>
      </w:tr>
      <w:tr w:rsidR="00B074CC" w:rsidRPr="001A1836" w14:paraId="479E61A9" w14:textId="77777777" w:rsidTr="004F1C82">
        <w:trPr>
          <w:cantSplit/>
        </w:trPr>
        <w:tc>
          <w:tcPr>
            <w:tcW w:w="2029" w:type="dxa"/>
            <w:shd w:val="clear" w:color="auto" w:fill="auto"/>
          </w:tcPr>
          <w:p w14:paraId="4FD55BAA" w14:textId="2839A1BC" w:rsidR="00B074CC" w:rsidRPr="001A1836" w:rsidRDefault="00B074CC" w:rsidP="00626054">
            <w:pPr>
              <w:rPr>
                <w:sz w:val="20"/>
                <w:szCs w:val="24"/>
              </w:rPr>
            </w:pPr>
            <w:r w:rsidRPr="001A1836">
              <w:rPr>
                <w:sz w:val="20"/>
                <w:szCs w:val="24"/>
              </w:rPr>
              <w:t xml:space="preserve">Service </w:t>
            </w:r>
            <w:r w:rsidR="00747264" w:rsidRPr="001A1836">
              <w:rPr>
                <w:sz w:val="20"/>
                <w:szCs w:val="24"/>
              </w:rPr>
              <w:t>L</w:t>
            </w:r>
            <w:r w:rsidRPr="001A1836">
              <w:rPr>
                <w:sz w:val="20"/>
                <w:szCs w:val="24"/>
              </w:rPr>
              <w:t>evel description</w:t>
            </w:r>
          </w:p>
        </w:tc>
        <w:tc>
          <w:tcPr>
            <w:tcW w:w="6577" w:type="dxa"/>
            <w:gridSpan w:val="2"/>
            <w:shd w:val="clear" w:color="auto" w:fill="auto"/>
          </w:tcPr>
          <w:p w14:paraId="472A740E" w14:textId="45FE6491" w:rsidR="00B074CC" w:rsidRPr="001A1836" w:rsidRDefault="00B074CC" w:rsidP="00626054">
            <w:pPr>
              <w:rPr>
                <w:sz w:val="20"/>
                <w:szCs w:val="24"/>
              </w:rPr>
            </w:pPr>
            <w:r w:rsidRPr="001A1836">
              <w:rPr>
                <w:sz w:val="20"/>
                <w:szCs w:val="24"/>
              </w:rPr>
              <w:t>The number of complaints about the service responded to within 5 Working Days of receipt, expressed as a percentage of the total number of complaints about service.</w:t>
            </w:r>
          </w:p>
          <w:p w14:paraId="42B31B1F" w14:textId="77777777" w:rsidR="00B074CC" w:rsidRPr="001A1836" w:rsidRDefault="00B074CC" w:rsidP="00626054">
            <w:pPr>
              <w:rPr>
                <w:sz w:val="20"/>
                <w:szCs w:val="24"/>
              </w:rPr>
            </w:pPr>
            <w:r w:rsidRPr="001A1836">
              <w:rPr>
                <w:sz w:val="20"/>
                <w:szCs w:val="24"/>
              </w:rPr>
              <w:t>The request counted as received when a phone call, email or letter is received during service hours. When a complaint about service is submitted outside service hours, it is counted as received when service hours next resume.</w:t>
            </w:r>
          </w:p>
          <w:p w14:paraId="6C244C86" w14:textId="77777777" w:rsidR="00B074CC" w:rsidRPr="001A1836" w:rsidRDefault="00B074CC" w:rsidP="00626054">
            <w:pPr>
              <w:rPr>
                <w:sz w:val="20"/>
                <w:szCs w:val="24"/>
              </w:rPr>
            </w:pPr>
            <w:r w:rsidRPr="001A1836">
              <w:rPr>
                <w:sz w:val="20"/>
                <w:szCs w:val="24"/>
              </w:rPr>
              <w:t>‘Responded to’ is defined as providing a response and findings to the complainant after an investigation into the complaint.</w:t>
            </w:r>
          </w:p>
          <w:p w14:paraId="4798AFD5" w14:textId="77777777" w:rsidR="00B074CC" w:rsidRPr="001A1836" w:rsidRDefault="00B074CC" w:rsidP="00626054">
            <w:pPr>
              <w:rPr>
                <w:sz w:val="20"/>
                <w:szCs w:val="24"/>
              </w:rPr>
            </w:pPr>
            <w:r w:rsidRPr="001A1836">
              <w:rPr>
                <w:sz w:val="20"/>
                <w:szCs w:val="24"/>
              </w:rPr>
              <w:t>This Service Level measures response time to all complaints – justified and unjustified.</w:t>
            </w:r>
          </w:p>
        </w:tc>
      </w:tr>
      <w:tr w:rsidR="00B074CC" w:rsidRPr="001A1836" w14:paraId="3D674BEC" w14:textId="77777777" w:rsidTr="004F1C82">
        <w:trPr>
          <w:cantSplit/>
        </w:trPr>
        <w:tc>
          <w:tcPr>
            <w:tcW w:w="2029" w:type="dxa"/>
            <w:shd w:val="clear" w:color="auto" w:fill="auto"/>
          </w:tcPr>
          <w:p w14:paraId="22155DB9" w14:textId="4B64DC27" w:rsidR="00B074CC" w:rsidRPr="001A1836" w:rsidRDefault="00B074CC" w:rsidP="00626054">
            <w:pPr>
              <w:rPr>
                <w:sz w:val="20"/>
                <w:szCs w:val="24"/>
              </w:rPr>
            </w:pPr>
            <w:r w:rsidRPr="001A1836">
              <w:rPr>
                <w:sz w:val="20"/>
                <w:szCs w:val="24"/>
              </w:rPr>
              <w:t xml:space="preserve">Service </w:t>
            </w:r>
            <w:r w:rsidR="00747264" w:rsidRPr="001A1836">
              <w:rPr>
                <w:sz w:val="20"/>
                <w:szCs w:val="24"/>
              </w:rPr>
              <w:t>L</w:t>
            </w:r>
            <w:r w:rsidRPr="001A1836">
              <w:rPr>
                <w:sz w:val="20"/>
                <w:szCs w:val="24"/>
              </w:rPr>
              <w:t>evel calculation</w:t>
            </w:r>
          </w:p>
        </w:tc>
        <w:tc>
          <w:tcPr>
            <w:tcW w:w="6577" w:type="dxa"/>
            <w:gridSpan w:val="2"/>
            <w:shd w:val="clear" w:color="auto" w:fill="auto"/>
          </w:tcPr>
          <w:p w14:paraId="28B94711" w14:textId="77777777" w:rsidR="00B074CC" w:rsidRPr="001A1836" w:rsidRDefault="00B074CC" w:rsidP="00626054">
            <w:pPr>
              <w:rPr>
                <w:sz w:val="20"/>
                <w:szCs w:val="24"/>
              </w:rPr>
            </w:pPr>
            <w:r w:rsidRPr="001A1836">
              <w:rPr>
                <w:sz w:val="20"/>
                <w:szCs w:val="24"/>
              </w:rPr>
              <w:t>A / B x 100</w:t>
            </w:r>
          </w:p>
          <w:p w14:paraId="66E82E3E" w14:textId="77777777" w:rsidR="00B074CC" w:rsidRPr="001A1836" w:rsidRDefault="00B074CC" w:rsidP="00626054">
            <w:pPr>
              <w:rPr>
                <w:sz w:val="20"/>
                <w:szCs w:val="24"/>
              </w:rPr>
            </w:pPr>
          </w:p>
          <w:p w14:paraId="7442DCE8" w14:textId="77777777" w:rsidR="00B074CC" w:rsidRPr="001A1836" w:rsidRDefault="00B074CC" w:rsidP="00626054">
            <w:pPr>
              <w:rPr>
                <w:sz w:val="20"/>
                <w:szCs w:val="24"/>
              </w:rPr>
            </w:pPr>
            <w:r w:rsidRPr="001A1836">
              <w:rPr>
                <w:sz w:val="20"/>
                <w:szCs w:val="24"/>
              </w:rPr>
              <w:t>Where:</w:t>
            </w:r>
          </w:p>
          <w:p w14:paraId="4421AF0F" w14:textId="775E96F6" w:rsidR="00B074CC" w:rsidRPr="001A1836" w:rsidRDefault="00B074CC" w:rsidP="00626054">
            <w:pPr>
              <w:rPr>
                <w:sz w:val="20"/>
                <w:szCs w:val="24"/>
              </w:rPr>
            </w:pPr>
            <w:r w:rsidRPr="001A1836">
              <w:rPr>
                <w:sz w:val="20"/>
                <w:szCs w:val="24"/>
              </w:rPr>
              <w:t>A = Number of complaints about the service responded to within 5 Working Days of receipt</w:t>
            </w:r>
          </w:p>
          <w:p w14:paraId="5B45B92D" w14:textId="77777777" w:rsidR="00B074CC" w:rsidRPr="001A1836" w:rsidRDefault="00B074CC" w:rsidP="00626054">
            <w:pPr>
              <w:rPr>
                <w:sz w:val="20"/>
                <w:szCs w:val="24"/>
              </w:rPr>
            </w:pPr>
            <w:r w:rsidRPr="001A1836">
              <w:rPr>
                <w:sz w:val="20"/>
                <w:szCs w:val="24"/>
              </w:rPr>
              <w:t xml:space="preserve">B = Number of complaints about the service received </w:t>
            </w:r>
          </w:p>
          <w:p w14:paraId="1CDDCE50" w14:textId="02D2508F" w:rsidR="00B074CC" w:rsidRPr="001A1836" w:rsidRDefault="00B074CC" w:rsidP="00626054">
            <w:pPr>
              <w:rPr>
                <w:sz w:val="20"/>
                <w:szCs w:val="24"/>
              </w:rPr>
            </w:pPr>
            <w:r w:rsidRPr="001A1836">
              <w:rPr>
                <w:sz w:val="20"/>
                <w:szCs w:val="24"/>
              </w:rPr>
              <w:t>Complaints which cannot be investigated and closed within 5 Working Days due to circumstances outside of the control of the Provider can be discounted from the calculation subject to Approval by HSE.</w:t>
            </w:r>
          </w:p>
          <w:p w14:paraId="04409A2C" w14:textId="77777777" w:rsidR="00B074CC" w:rsidRPr="001A1836" w:rsidRDefault="00B074CC" w:rsidP="00626054">
            <w:pPr>
              <w:rPr>
                <w:sz w:val="20"/>
                <w:szCs w:val="24"/>
              </w:rPr>
            </w:pPr>
            <w:r w:rsidRPr="001A1836">
              <w:rPr>
                <w:sz w:val="20"/>
                <w:szCs w:val="24"/>
              </w:rPr>
              <w:t>Complaints received in month are counted for the monthly reporting figures – resolution may take place in the following month.</w:t>
            </w:r>
          </w:p>
        </w:tc>
      </w:tr>
      <w:tr w:rsidR="00B074CC" w:rsidRPr="001A1836" w14:paraId="445A5440" w14:textId="77777777" w:rsidTr="004F1C82">
        <w:trPr>
          <w:cantSplit/>
        </w:trPr>
        <w:tc>
          <w:tcPr>
            <w:tcW w:w="2029" w:type="dxa"/>
            <w:shd w:val="clear" w:color="auto" w:fill="auto"/>
          </w:tcPr>
          <w:p w14:paraId="3ED87094" w14:textId="34186E95" w:rsidR="00B074CC" w:rsidRPr="001A1836" w:rsidRDefault="00B074CC" w:rsidP="00626054">
            <w:pPr>
              <w:rPr>
                <w:sz w:val="20"/>
                <w:szCs w:val="24"/>
              </w:rPr>
            </w:pPr>
            <w:r w:rsidRPr="001A1836">
              <w:rPr>
                <w:sz w:val="20"/>
                <w:szCs w:val="24"/>
              </w:rPr>
              <w:t xml:space="preserve">Reporting frequency </w:t>
            </w:r>
          </w:p>
        </w:tc>
        <w:tc>
          <w:tcPr>
            <w:tcW w:w="6577" w:type="dxa"/>
            <w:gridSpan w:val="2"/>
            <w:shd w:val="clear" w:color="auto" w:fill="auto"/>
          </w:tcPr>
          <w:p w14:paraId="1063C16C" w14:textId="77777777" w:rsidR="00B074CC" w:rsidRPr="001A1836" w:rsidRDefault="00B074CC" w:rsidP="00626054">
            <w:pPr>
              <w:rPr>
                <w:sz w:val="20"/>
                <w:szCs w:val="24"/>
              </w:rPr>
            </w:pPr>
            <w:r w:rsidRPr="001A1836">
              <w:rPr>
                <w:sz w:val="20"/>
                <w:szCs w:val="24"/>
              </w:rPr>
              <w:t>Performance is reported monthly.</w:t>
            </w:r>
          </w:p>
          <w:p w14:paraId="5E00160A" w14:textId="0F38710D" w:rsidR="00B876A2" w:rsidRPr="001A1836" w:rsidRDefault="00B876A2" w:rsidP="0091349E">
            <w:pPr>
              <w:rPr>
                <w:sz w:val="20"/>
                <w:szCs w:val="24"/>
              </w:rPr>
            </w:pPr>
          </w:p>
        </w:tc>
      </w:tr>
      <w:tr w:rsidR="004F1C82" w:rsidRPr="001A1836" w14:paraId="159619BE" w14:textId="77777777" w:rsidTr="004F1C82">
        <w:trPr>
          <w:cantSplit/>
        </w:trPr>
        <w:tc>
          <w:tcPr>
            <w:tcW w:w="2029" w:type="dxa"/>
            <w:shd w:val="clear" w:color="auto" w:fill="auto"/>
          </w:tcPr>
          <w:p w14:paraId="270F29C0" w14:textId="629021AA" w:rsidR="004F1C82" w:rsidRPr="001A1836" w:rsidDel="00B20DB7" w:rsidRDefault="004F1C82" w:rsidP="004F1C82">
            <w:pPr>
              <w:rPr>
                <w:sz w:val="20"/>
                <w:szCs w:val="24"/>
              </w:rPr>
            </w:pPr>
            <w:r w:rsidRPr="001A1836">
              <w:rPr>
                <w:sz w:val="20"/>
                <w:szCs w:val="24"/>
              </w:rPr>
              <w:t>Service Measurement Period</w:t>
            </w:r>
          </w:p>
        </w:tc>
        <w:tc>
          <w:tcPr>
            <w:tcW w:w="6577" w:type="dxa"/>
            <w:gridSpan w:val="2"/>
            <w:shd w:val="clear" w:color="auto" w:fill="auto"/>
          </w:tcPr>
          <w:p w14:paraId="0BC166EC" w14:textId="579EA10B" w:rsidR="004F1C82" w:rsidRPr="001A1836" w:rsidRDefault="004F1C82" w:rsidP="004F1C82">
            <w:pPr>
              <w:rPr>
                <w:sz w:val="20"/>
                <w:szCs w:val="24"/>
              </w:rPr>
            </w:pPr>
            <w:r w:rsidRPr="001A1836">
              <w:rPr>
                <w:sz w:val="20"/>
                <w:szCs w:val="24"/>
              </w:rPr>
              <w:t xml:space="preserve">Service Credits are calculated annually. </w:t>
            </w:r>
          </w:p>
        </w:tc>
      </w:tr>
      <w:tr w:rsidR="004F1C82" w:rsidRPr="001A1836" w14:paraId="5FCD84D4" w14:textId="77777777" w:rsidTr="004F1C82">
        <w:trPr>
          <w:cantSplit/>
        </w:trPr>
        <w:tc>
          <w:tcPr>
            <w:tcW w:w="2029" w:type="dxa"/>
            <w:shd w:val="clear" w:color="auto" w:fill="auto"/>
          </w:tcPr>
          <w:p w14:paraId="5B3D28DA" w14:textId="4E686DF8" w:rsidR="004F1C82" w:rsidRPr="001A1836" w:rsidDel="00B20DB7" w:rsidRDefault="004F1C82" w:rsidP="004F1C82">
            <w:pPr>
              <w:rPr>
                <w:sz w:val="20"/>
                <w:szCs w:val="24"/>
              </w:rPr>
            </w:pPr>
            <w:r w:rsidRPr="001A1836">
              <w:rPr>
                <w:sz w:val="20"/>
                <w:szCs w:val="24"/>
              </w:rPr>
              <w:t>Service Point Application Period</w:t>
            </w:r>
          </w:p>
        </w:tc>
        <w:tc>
          <w:tcPr>
            <w:tcW w:w="6577" w:type="dxa"/>
            <w:gridSpan w:val="2"/>
            <w:shd w:val="clear" w:color="auto" w:fill="auto"/>
          </w:tcPr>
          <w:p w14:paraId="545519D9" w14:textId="6F2175DD" w:rsidR="004F1C82" w:rsidRPr="001A1836" w:rsidRDefault="00EA4BD8" w:rsidP="004F1C82">
            <w:pPr>
              <w:rPr>
                <w:sz w:val="20"/>
                <w:szCs w:val="24"/>
              </w:rPr>
            </w:pPr>
            <w:r w:rsidRPr="001A1836">
              <w:rPr>
                <w:sz w:val="20"/>
                <w:szCs w:val="24"/>
              </w:rPr>
              <w:t xml:space="preserve">Service Points are applied annually </w:t>
            </w:r>
            <w:r>
              <w:rPr>
                <w:sz w:val="20"/>
                <w:szCs w:val="24"/>
              </w:rPr>
              <w:t xml:space="preserve">in respect of each Contract Year </w:t>
            </w:r>
            <w:r w:rsidRPr="001A1836">
              <w:rPr>
                <w:sz w:val="20"/>
                <w:szCs w:val="24"/>
              </w:rPr>
              <w:t xml:space="preserve">against the </w:t>
            </w:r>
            <w:r>
              <w:rPr>
                <w:sz w:val="20"/>
                <w:szCs w:val="24"/>
              </w:rPr>
              <w:t xml:space="preserve">sum of the </w:t>
            </w:r>
            <w:r w:rsidRPr="001A1836">
              <w:rPr>
                <w:sz w:val="20"/>
                <w:szCs w:val="24"/>
              </w:rPr>
              <w:t xml:space="preserve">Provider’s </w:t>
            </w:r>
            <w:r>
              <w:rPr>
                <w:sz w:val="20"/>
                <w:szCs w:val="24"/>
              </w:rPr>
              <w:t>A</w:t>
            </w:r>
            <w:r w:rsidRPr="001A1836">
              <w:rPr>
                <w:sz w:val="20"/>
                <w:szCs w:val="24"/>
              </w:rPr>
              <w:t xml:space="preserve">greed Operating Costs plus </w:t>
            </w:r>
            <w:r>
              <w:rPr>
                <w:sz w:val="20"/>
                <w:szCs w:val="24"/>
              </w:rPr>
              <w:t xml:space="preserve">Provider </w:t>
            </w:r>
            <w:r w:rsidRPr="001A1836">
              <w:rPr>
                <w:sz w:val="20"/>
                <w:szCs w:val="24"/>
              </w:rPr>
              <w:t xml:space="preserve">Profit for the final month of </w:t>
            </w:r>
            <w:r>
              <w:rPr>
                <w:sz w:val="20"/>
                <w:szCs w:val="24"/>
              </w:rPr>
              <w:t>such</w:t>
            </w:r>
            <w:r w:rsidRPr="001A1836">
              <w:rPr>
                <w:sz w:val="20"/>
                <w:szCs w:val="24"/>
              </w:rPr>
              <w:t xml:space="preserve"> Contract Year.</w:t>
            </w:r>
          </w:p>
        </w:tc>
      </w:tr>
      <w:tr w:rsidR="00B074CC" w:rsidRPr="001A1836" w14:paraId="1D2051D5" w14:textId="77777777" w:rsidTr="004F1C82">
        <w:trPr>
          <w:cantSplit/>
        </w:trPr>
        <w:tc>
          <w:tcPr>
            <w:tcW w:w="2029" w:type="dxa"/>
            <w:shd w:val="clear" w:color="auto" w:fill="auto"/>
          </w:tcPr>
          <w:p w14:paraId="585EF430" w14:textId="77777777" w:rsidR="00B074CC" w:rsidRPr="001A1836" w:rsidRDefault="00B074CC" w:rsidP="00626054">
            <w:pPr>
              <w:rPr>
                <w:sz w:val="20"/>
                <w:szCs w:val="24"/>
              </w:rPr>
            </w:pPr>
            <w:r w:rsidRPr="001A1836">
              <w:rPr>
                <w:sz w:val="20"/>
                <w:szCs w:val="24"/>
              </w:rPr>
              <w:t>Data capture</w:t>
            </w:r>
          </w:p>
        </w:tc>
        <w:tc>
          <w:tcPr>
            <w:tcW w:w="6577" w:type="dxa"/>
            <w:gridSpan w:val="2"/>
            <w:shd w:val="clear" w:color="auto" w:fill="auto"/>
          </w:tcPr>
          <w:p w14:paraId="4DCAC694" w14:textId="77777777" w:rsidR="00B074CC" w:rsidRPr="001A1836" w:rsidRDefault="00B074CC">
            <w:pPr>
              <w:numPr>
                <w:ilvl w:val="0"/>
                <w:numId w:val="28"/>
              </w:numPr>
              <w:rPr>
                <w:sz w:val="20"/>
                <w:szCs w:val="24"/>
              </w:rPr>
            </w:pPr>
            <w:r w:rsidRPr="001A1836">
              <w:rPr>
                <w:sz w:val="20"/>
                <w:szCs w:val="24"/>
              </w:rPr>
              <w:t>Number of complaints about the service received from consumers</w:t>
            </w:r>
          </w:p>
          <w:p w14:paraId="7731003E" w14:textId="77777777" w:rsidR="00B074CC" w:rsidRPr="001A1836" w:rsidRDefault="00B074CC">
            <w:pPr>
              <w:numPr>
                <w:ilvl w:val="0"/>
                <w:numId w:val="28"/>
              </w:numPr>
              <w:rPr>
                <w:sz w:val="20"/>
                <w:szCs w:val="24"/>
              </w:rPr>
            </w:pPr>
            <w:r w:rsidRPr="001A1836">
              <w:rPr>
                <w:sz w:val="20"/>
                <w:szCs w:val="24"/>
              </w:rPr>
              <w:t>Number of complaints about the service received from registered businesses</w:t>
            </w:r>
          </w:p>
          <w:p w14:paraId="2DE33A9E" w14:textId="0355B90C" w:rsidR="00B074CC" w:rsidRPr="001A1836" w:rsidRDefault="00B074CC">
            <w:pPr>
              <w:numPr>
                <w:ilvl w:val="0"/>
                <w:numId w:val="28"/>
              </w:numPr>
              <w:rPr>
                <w:sz w:val="20"/>
                <w:szCs w:val="24"/>
              </w:rPr>
            </w:pPr>
            <w:r w:rsidRPr="001A1836">
              <w:rPr>
                <w:sz w:val="20"/>
                <w:szCs w:val="24"/>
              </w:rPr>
              <w:t xml:space="preserve">Number of complaints about the service received from consumers responded to within 5 Working Days </w:t>
            </w:r>
          </w:p>
          <w:p w14:paraId="014C8F0D" w14:textId="0AA8B31E" w:rsidR="00B074CC" w:rsidRPr="001A1836" w:rsidRDefault="00B074CC">
            <w:pPr>
              <w:numPr>
                <w:ilvl w:val="0"/>
                <w:numId w:val="28"/>
              </w:numPr>
              <w:rPr>
                <w:sz w:val="20"/>
                <w:szCs w:val="24"/>
              </w:rPr>
            </w:pPr>
            <w:r w:rsidRPr="001A1836">
              <w:rPr>
                <w:sz w:val="20"/>
                <w:szCs w:val="24"/>
              </w:rPr>
              <w:t>Number of complaints about the service received from registered businesses responded to within 5 Working Days</w:t>
            </w:r>
          </w:p>
          <w:p w14:paraId="71189C6B" w14:textId="77777777" w:rsidR="00B074CC" w:rsidRPr="001A1836" w:rsidRDefault="00B074CC">
            <w:pPr>
              <w:numPr>
                <w:ilvl w:val="0"/>
                <w:numId w:val="28"/>
              </w:numPr>
              <w:rPr>
                <w:sz w:val="20"/>
                <w:szCs w:val="24"/>
              </w:rPr>
            </w:pPr>
            <w:r w:rsidRPr="001A1836">
              <w:rPr>
                <w:sz w:val="20"/>
                <w:szCs w:val="24"/>
              </w:rPr>
              <w:t>Date and time complaint received</w:t>
            </w:r>
          </w:p>
          <w:p w14:paraId="5835A5A3" w14:textId="77777777" w:rsidR="00B074CC" w:rsidRPr="001A1836" w:rsidRDefault="00B074CC">
            <w:pPr>
              <w:numPr>
                <w:ilvl w:val="0"/>
                <w:numId w:val="28"/>
              </w:numPr>
              <w:rPr>
                <w:sz w:val="20"/>
                <w:szCs w:val="24"/>
              </w:rPr>
            </w:pPr>
            <w:r w:rsidRPr="001A1836">
              <w:rPr>
                <w:sz w:val="20"/>
                <w:szCs w:val="24"/>
              </w:rPr>
              <w:t>Date complaint responded to</w:t>
            </w:r>
          </w:p>
        </w:tc>
      </w:tr>
      <w:tr w:rsidR="00B074CC" w:rsidRPr="001A1836" w14:paraId="5DAF09B3" w14:textId="77777777" w:rsidTr="004F1C82">
        <w:trPr>
          <w:cantSplit/>
        </w:trPr>
        <w:tc>
          <w:tcPr>
            <w:tcW w:w="2029" w:type="dxa"/>
            <w:shd w:val="clear" w:color="auto" w:fill="auto"/>
          </w:tcPr>
          <w:p w14:paraId="7BF01644" w14:textId="77777777" w:rsidR="00B074CC" w:rsidRPr="001A1836" w:rsidRDefault="00B074CC" w:rsidP="00626054">
            <w:pPr>
              <w:rPr>
                <w:sz w:val="20"/>
                <w:szCs w:val="24"/>
              </w:rPr>
            </w:pPr>
            <w:r w:rsidRPr="001A1836">
              <w:rPr>
                <w:sz w:val="20"/>
                <w:szCs w:val="24"/>
              </w:rPr>
              <w:t>Impact</w:t>
            </w:r>
          </w:p>
        </w:tc>
        <w:tc>
          <w:tcPr>
            <w:tcW w:w="6577" w:type="dxa"/>
            <w:gridSpan w:val="2"/>
            <w:shd w:val="clear" w:color="auto" w:fill="auto"/>
          </w:tcPr>
          <w:p w14:paraId="44933041" w14:textId="77777777" w:rsidR="00B074CC" w:rsidRPr="001A1836" w:rsidRDefault="00B074CC" w:rsidP="00626054">
            <w:pPr>
              <w:rPr>
                <w:sz w:val="20"/>
                <w:szCs w:val="24"/>
              </w:rPr>
            </w:pPr>
            <w:r w:rsidRPr="001A1836">
              <w:rPr>
                <w:sz w:val="20"/>
                <w:szCs w:val="24"/>
              </w:rPr>
              <w:t>Medium</w:t>
            </w:r>
          </w:p>
        </w:tc>
      </w:tr>
      <w:tr w:rsidR="00B074CC" w:rsidRPr="001A1836" w14:paraId="5FF866F2" w14:textId="77777777" w:rsidTr="004F1C82">
        <w:trPr>
          <w:cantSplit/>
        </w:trPr>
        <w:tc>
          <w:tcPr>
            <w:tcW w:w="2029" w:type="dxa"/>
            <w:shd w:val="clear" w:color="auto" w:fill="auto"/>
          </w:tcPr>
          <w:p w14:paraId="1F13FAEF" w14:textId="77777777" w:rsidR="00B074CC" w:rsidRPr="001A1836" w:rsidRDefault="00B074CC" w:rsidP="00626054">
            <w:pPr>
              <w:rPr>
                <w:sz w:val="20"/>
                <w:szCs w:val="24"/>
              </w:rPr>
            </w:pPr>
            <w:r w:rsidRPr="001A1836">
              <w:rPr>
                <w:sz w:val="20"/>
                <w:szCs w:val="24"/>
              </w:rPr>
              <w:t>Criticality</w:t>
            </w:r>
          </w:p>
        </w:tc>
        <w:tc>
          <w:tcPr>
            <w:tcW w:w="6577" w:type="dxa"/>
            <w:gridSpan w:val="2"/>
            <w:shd w:val="clear" w:color="auto" w:fill="auto"/>
          </w:tcPr>
          <w:p w14:paraId="5C8E73AC" w14:textId="77777777" w:rsidR="00B074CC" w:rsidRPr="001A1836" w:rsidRDefault="00B074CC" w:rsidP="00626054">
            <w:pPr>
              <w:rPr>
                <w:sz w:val="20"/>
                <w:szCs w:val="24"/>
              </w:rPr>
            </w:pPr>
            <w:r w:rsidRPr="001A1836">
              <w:rPr>
                <w:sz w:val="20"/>
                <w:szCs w:val="24"/>
              </w:rPr>
              <w:t>B</w:t>
            </w:r>
          </w:p>
        </w:tc>
      </w:tr>
      <w:tr w:rsidR="00B074CC" w:rsidRPr="001A1836" w14:paraId="43AB8735" w14:textId="77777777" w:rsidTr="004F1C82">
        <w:trPr>
          <w:cantSplit/>
        </w:trPr>
        <w:tc>
          <w:tcPr>
            <w:tcW w:w="2029" w:type="dxa"/>
            <w:shd w:val="clear" w:color="auto" w:fill="auto"/>
          </w:tcPr>
          <w:p w14:paraId="57924D78" w14:textId="77777777" w:rsidR="00B074CC" w:rsidRPr="001A1836" w:rsidRDefault="00B074CC" w:rsidP="00626054">
            <w:pPr>
              <w:rPr>
                <w:sz w:val="20"/>
                <w:szCs w:val="24"/>
              </w:rPr>
            </w:pPr>
            <w:r w:rsidRPr="001A1836">
              <w:rPr>
                <w:sz w:val="20"/>
                <w:szCs w:val="24"/>
              </w:rPr>
              <w:lastRenderedPageBreak/>
              <w:t>Service Level Performance Measure</w:t>
            </w:r>
          </w:p>
        </w:tc>
        <w:tc>
          <w:tcPr>
            <w:tcW w:w="6577" w:type="dxa"/>
            <w:gridSpan w:val="2"/>
            <w:shd w:val="clear" w:color="auto" w:fill="auto"/>
          </w:tcPr>
          <w:p w14:paraId="0FCAC13C" w14:textId="401074B6" w:rsidR="00B074CC" w:rsidRPr="00100601" w:rsidRDefault="00DA1D45" w:rsidP="00626054">
            <w:pPr>
              <w:rPr>
                <w:color w:val="000000" w:themeColor="text1"/>
                <w:sz w:val="20"/>
                <w:szCs w:val="24"/>
              </w:rPr>
            </w:pPr>
            <w:r w:rsidRPr="00100601">
              <w:rPr>
                <w:color w:val="000000" w:themeColor="text1"/>
                <w:sz w:val="20"/>
                <w:szCs w:val="24"/>
              </w:rPr>
              <w:t xml:space="preserve"> </w:t>
            </w:r>
            <w:r w:rsidR="00036698" w:rsidRPr="00100601">
              <w:rPr>
                <w:color w:val="000000" w:themeColor="text1"/>
                <w:sz w:val="20"/>
                <w:szCs w:val="24"/>
              </w:rPr>
              <w:t>Contract Year 1- 90</w:t>
            </w:r>
            <w:r w:rsidR="00B074CC" w:rsidRPr="00100601">
              <w:rPr>
                <w:color w:val="000000" w:themeColor="text1"/>
                <w:sz w:val="20"/>
                <w:szCs w:val="24"/>
              </w:rPr>
              <w:t>% of all complaints about service responded to within 5 Working Days of receipt</w:t>
            </w:r>
          </w:p>
          <w:p w14:paraId="51C1EB64" w14:textId="77777777" w:rsidR="00D75725" w:rsidRPr="00100601" w:rsidRDefault="00D75725" w:rsidP="00626054">
            <w:pPr>
              <w:rPr>
                <w:color w:val="000000" w:themeColor="text1"/>
                <w:sz w:val="20"/>
                <w:szCs w:val="24"/>
              </w:rPr>
            </w:pPr>
          </w:p>
          <w:p w14:paraId="22B2E297" w14:textId="62BF8AA7" w:rsidR="00D75725" w:rsidRPr="00100601" w:rsidRDefault="00D75725" w:rsidP="00626054">
            <w:pPr>
              <w:rPr>
                <w:color w:val="000000" w:themeColor="text1"/>
                <w:sz w:val="20"/>
                <w:szCs w:val="24"/>
              </w:rPr>
            </w:pPr>
            <w:bookmarkStart w:id="875" w:name="_cp_change_131"/>
            <w:r w:rsidRPr="00100601">
              <w:rPr>
                <w:color w:val="000000" w:themeColor="text1"/>
                <w:sz w:val="20"/>
                <w:szCs w:val="24"/>
                <w:u w:color="0000FF"/>
              </w:rPr>
              <w:t>Contract Years 2 to 5 - 95% of all complaints about service responded to within 5 Working Days of receipt</w:t>
            </w:r>
            <w:bookmarkEnd w:id="875"/>
          </w:p>
        </w:tc>
      </w:tr>
      <w:tr w:rsidR="00B074CC" w:rsidRPr="001A1836" w14:paraId="5E64E399" w14:textId="77777777" w:rsidTr="004F1C82">
        <w:trPr>
          <w:cantSplit/>
        </w:trPr>
        <w:tc>
          <w:tcPr>
            <w:tcW w:w="2029" w:type="dxa"/>
            <w:shd w:val="clear" w:color="auto" w:fill="auto"/>
          </w:tcPr>
          <w:p w14:paraId="266ED99E" w14:textId="77777777" w:rsidR="00B074CC" w:rsidRPr="001A1836" w:rsidRDefault="00B074CC" w:rsidP="00626054">
            <w:pPr>
              <w:rPr>
                <w:sz w:val="20"/>
                <w:szCs w:val="24"/>
              </w:rPr>
            </w:pPr>
          </w:p>
        </w:tc>
        <w:tc>
          <w:tcPr>
            <w:tcW w:w="4678" w:type="dxa"/>
            <w:shd w:val="clear" w:color="auto" w:fill="auto"/>
          </w:tcPr>
          <w:p w14:paraId="059F4251" w14:textId="77777777" w:rsidR="00B074CC" w:rsidRPr="00100601" w:rsidRDefault="00B074CC" w:rsidP="00626054">
            <w:pPr>
              <w:rPr>
                <w:b/>
                <w:color w:val="000000" w:themeColor="text1"/>
                <w:sz w:val="20"/>
                <w:szCs w:val="24"/>
              </w:rPr>
            </w:pPr>
            <w:r w:rsidRPr="00100601">
              <w:rPr>
                <w:b/>
                <w:color w:val="000000" w:themeColor="text1"/>
                <w:sz w:val="20"/>
                <w:szCs w:val="24"/>
              </w:rPr>
              <w:t>Service Level Performance Measure</w:t>
            </w:r>
          </w:p>
        </w:tc>
        <w:tc>
          <w:tcPr>
            <w:tcW w:w="1899" w:type="dxa"/>
            <w:shd w:val="clear" w:color="auto" w:fill="auto"/>
          </w:tcPr>
          <w:p w14:paraId="49BFCE94" w14:textId="77777777" w:rsidR="00B074CC" w:rsidRPr="00100601" w:rsidRDefault="00B074CC" w:rsidP="00626054">
            <w:pPr>
              <w:rPr>
                <w:b/>
                <w:color w:val="000000" w:themeColor="text1"/>
                <w:sz w:val="20"/>
                <w:szCs w:val="24"/>
              </w:rPr>
            </w:pPr>
            <w:r w:rsidRPr="00100601">
              <w:rPr>
                <w:b/>
                <w:color w:val="000000" w:themeColor="text1"/>
                <w:sz w:val="20"/>
                <w:szCs w:val="24"/>
              </w:rPr>
              <w:t>Service points</w:t>
            </w:r>
          </w:p>
        </w:tc>
      </w:tr>
      <w:tr w:rsidR="00B074CC" w:rsidRPr="001A1836" w14:paraId="60F9E4C2" w14:textId="77777777" w:rsidTr="004F1C82">
        <w:trPr>
          <w:cantSplit/>
        </w:trPr>
        <w:tc>
          <w:tcPr>
            <w:tcW w:w="2029" w:type="dxa"/>
            <w:shd w:val="clear" w:color="auto" w:fill="auto"/>
          </w:tcPr>
          <w:p w14:paraId="5F7C4AA2" w14:textId="2146BF1E" w:rsidR="00B074CC" w:rsidRPr="001A1836" w:rsidRDefault="00B074CC" w:rsidP="00626054">
            <w:pPr>
              <w:rPr>
                <w:sz w:val="20"/>
                <w:szCs w:val="24"/>
              </w:rPr>
            </w:pPr>
            <w:r w:rsidRPr="001A1836">
              <w:rPr>
                <w:sz w:val="20"/>
                <w:szCs w:val="24"/>
              </w:rPr>
              <w:t xml:space="preserve">Service </w:t>
            </w:r>
            <w:r w:rsidR="00747264" w:rsidRPr="001A1836">
              <w:rPr>
                <w:sz w:val="20"/>
                <w:szCs w:val="24"/>
              </w:rPr>
              <w:t>L</w:t>
            </w:r>
            <w:r w:rsidRPr="001A1836">
              <w:rPr>
                <w:sz w:val="20"/>
                <w:szCs w:val="24"/>
              </w:rPr>
              <w:t>evel met</w:t>
            </w:r>
          </w:p>
        </w:tc>
        <w:tc>
          <w:tcPr>
            <w:tcW w:w="4678" w:type="dxa"/>
            <w:shd w:val="clear" w:color="auto" w:fill="auto"/>
          </w:tcPr>
          <w:p w14:paraId="5D4B2EC3" w14:textId="77777777" w:rsidR="00A35D5F" w:rsidRPr="00100601" w:rsidRDefault="00A35D5F" w:rsidP="00A35D5F">
            <w:pPr>
              <w:rPr>
                <w:color w:val="000000" w:themeColor="text1"/>
                <w:sz w:val="20"/>
                <w:szCs w:val="24"/>
              </w:rPr>
            </w:pPr>
            <w:bookmarkStart w:id="876" w:name="_cp_change_133"/>
            <w:r w:rsidRPr="00100601">
              <w:rPr>
                <w:color w:val="000000" w:themeColor="text1"/>
                <w:sz w:val="20"/>
                <w:szCs w:val="24"/>
                <w:u w:color="0000FF"/>
              </w:rPr>
              <w:t>Contract Year 1 – 90%</w:t>
            </w:r>
            <w:bookmarkStart w:id="877" w:name="_cp_change_132"/>
            <w:bookmarkEnd w:id="876"/>
          </w:p>
          <w:p w14:paraId="3E4811D4" w14:textId="0574AA1D" w:rsidR="00B074CC" w:rsidRPr="00100601" w:rsidRDefault="008B1953" w:rsidP="00626054">
            <w:pPr>
              <w:rPr>
                <w:color w:val="000000" w:themeColor="text1"/>
                <w:sz w:val="20"/>
                <w:szCs w:val="24"/>
              </w:rPr>
            </w:pPr>
            <w:bookmarkStart w:id="878" w:name="_cp_change_135"/>
            <w:bookmarkEnd w:id="877"/>
            <w:r w:rsidRPr="00100601">
              <w:rPr>
                <w:color w:val="000000" w:themeColor="text1"/>
                <w:sz w:val="20"/>
                <w:szCs w:val="24"/>
                <w:u w:color="0000FF"/>
              </w:rPr>
              <w:t>Contract Years 2 to 5 - 95%</w:t>
            </w:r>
            <w:bookmarkEnd w:id="878"/>
          </w:p>
        </w:tc>
        <w:tc>
          <w:tcPr>
            <w:tcW w:w="1899" w:type="dxa"/>
            <w:shd w:val="clear" w:color="auto" w:fill="auto"/>
          </w:tcPr>
          <w:p w14:paraId="6DE0B7D9" w14:textId="77777777" w:rsidR="00B074CC" w:rsidRPr="00100601" w:rsidRDefault="00B074CC" w:rsidP="00626054">
            <w:pPr>
              <w:rPr>
                <w:color w:val="000000" w:themeColor="text1"/>
                <w:sz w:val="20"/>
                <w:szCs w:val="24"/>
              </w:rPr>
            </w:pPr>
            <w:r w:rsidRPr="00100601">
              <w:rPr>
                <w:color w:val="000000" w:themeColor="text1"/>
                <w:sz w:val="20"/>
                <w:szCs w:val="24"/>
              </w:rPr>
              <w:t>0</w:t>
            </w:r>
          </w:p>
        </w:tc>
      </w:tr>
      <w:tr w:rsidR="00B074CC" w:rsidRPr="001A1836" w14:paraId="56B1CAC0" w14:textId="77777777" w:rsidTr="004F1C82">
        <w:trPr>
          <w:cantSplit/>
        </w:trPr>
        <w:tc>
          <w:tcPr>
            <w:tcW w:w="2029" w:type="dxa"/>
            <w:shd w:val="clear" w:color="auto" w:fill="auto"/>
          </w:tcPr>
          <w:p w14:paraId="6DC9DA17" w14:textId="77777777" w:rsidR="00B074CC" w:rsidRPr="001A1836" w:rsidRDefault="00B074CC" w:rsidP="00626054">
            <w:pPr>
              <w:rPr>
                <w:sz w:val="20"/>
                <w:szCs w:val="24"/>
              </w:rPr>
            </w:pPr>
            <w:r w:rsidRPr="001A1836">
              <w:rPr>
                <w:sz w:val="20"/>
                <w:szCs w:val="24"/>
              </w:rPr>
              <w:t>Minor Service Level Failure</w:t>
            </w:r>
          </w:p>
        </w:tc>
        <w:tc>
          <w:tcPr>
            <w:tcW w:w="4678" w:type="dxa"/>
            <w:shd w:val="clear" w:color="auto" w:fill="auto"/>
          </w:tcPr>
          <w:p w14:paraId="7A1FDB00" w14:textId="60EE9433" w:rsidR="00BD1B2E" w:rsidRPr="00100601" w:rsidRDefault="00BD1B2E" w:rsidP="00BD1B2E">
            <w:pPr>
              <w:rPr>
                <w:color w:val="000000" w:themeColor="text1"/>
                <w:sz w:val="20"/>
                <w:szCs w:val="24"/>
              </w:rPr>
            </w:pPr>
            <w:bookmarkStart w:id="879" w:name="_cp_change_137"/>
            <w:r w:rsidRPr="00100601">
              <w:rPr>
                <w:color w:val="000000" w:themeColor="text1"/>
                <w:sz w:val="20"/>
                <w:szCs w:val="24"/>
                <w:u w:color="0000FF"/>
              </w:rPr>
              <w:t>Contract Year 1 - Less than 90% but greater than 85%</w:t>
            </w:r>
            <w:bookmarkStart w:id="880" w:name="_cp_change_136"/>
            <w:bookmarkEnd w:id="879"/>
          </w:p>
          <w:p w14:paraId="73C0889B" w14:textId="12C5F133" w:rsidR="00B074CC" w:rsidRPr="00100601" w:rsidRDefault="00597BE6" w:rsidP="00626054">
            <w:pPr>
              <w:rPr>
                <w:color w:val="000000" w:themeColor="text1"/>
                <w:sz w:val="20"/>
                <w:szCs w:val="24"/>
              </w:rPr>
            </w:pPr>
            <w:bookmarkStart w:id="881" w:name="_cp_change_138"/>
            <w:bookmarkEnd w:id="880"/>
            <w:r w:rsidRPr="00100601">
              <w:rPr>
                <w:color w:val="000000" w:themeColor="text1"/>
                <w:sz w:val="20"/>
                <w:szCs w:val="24"/>
                <w:u w:color="0000FF"/>
              </w:rPr>
              <w:t xml:space="preserve">Contract Years 2 to 5 - </w:t>
            </w:r>
            <w:bookmarkEnd w:id="881"/>
            <w:r w:rsidR="00B074CC" w:rsidRPr="00100601">
              <w:rPr>
                <w:color w:val="000000" w:themeColor="text1"/>
                <w:sz w:val="20"/>
                <w:szCs w:val="24"/>
              </w:rPr>
              <w:t xml:space="preserve">Less than </w:t>
            </w:r>
            <w:r w:rsidR="00CE5727" w:rsidRPr="00100601">
              <w:rPr>
                <w:color w:val="000000" w:themeColor="text1"/>
                <w:sz w:val="20"/>
                <w:szCs w:val="24"/>
              </w:rPr>
              <w:t>95</w:t>
            </w:r>
            <w:r w:rsidR="00B074CC" w:rsidRPr="00100601">
              <w:rPr>
                <w:color w:val="000000" w:themeColor="text1"/>
                <w:sz w:val="20"/>
                <w:szCs w:val="24"/>
              </w:rPr>
              <w:t>% but greater than 9</w:t>
            </w:r>
            <w:r w:rsidR="00CE5727" w:rsidRPr="00100601">
              <w:rPr>
                <w:color w:val="000000" w:themeColor="text1"/>
                <w:sz w:val="20"/>
                <w:szCs w:val="24"/>
              </w:rPr>
              <w:t>0</w:t>
            </w:r>
            <w:r w:rsidR="00B074CC" w:rsidRPr="00100601">
              <w:rPr>
                <w:color w:val="000000" w:themeColor="text1"/>
                <w:sz w:val="20"/>
                <w:szCs w:val="24"/>
              </w:rPr>
              <w:t xml:space="preserve">% </w:t>
            </w:r>
          </w:p>
        </w:tc>
        <w:tc>
          <w:tcPr>
            <w:tcW w:w="1899" w:type="dxa"/>
            <w:shd w:val="clear" w:color="auto" w:fill="auto"/>
          </w:tcPr>
          <w:p w14:paraId="3C45A403" w14:textId="77777777" w:rsidR="00B074CC" w:rsidRPr="00100601" w:rsidRDefault="00B074CC" w:rsidP="00626054">
            <w:pPr>
              <w:rPr>
                <w:color w:val="000000" w:themeColor="text1"/>
                <w:sz w:val="20"/>
                <w:szCs w:val="24"/>
              </w:rPr>
            </w:pPr>
            <w:r w:rsidRPr="00100601">
              <w:rPr>
                <w:color w:val="000000" w:themeColor="text1"/>
                <w:sz w:val="20"/>
                <w:szCs w:val="24"/>
              </w:rPr>
              <w:t>2.0</w:t>
            </w:r>
          </w:p>
        </w:tc>
      </w:tr>
      <w:tr w:rsidR="00B074CC" w:rsidRPr="001A1836" w14:paraId="33D68DA7" w14:textId="77777777" w:rsidTr="004F1C82">
        <w:trPr>
          <w:cantSplit/>
        </w:trPr>
        <w:tc>
          <w:tcPr>
            <w:tcW w:w="2029" w:type="dxa"/>
            <w:shd w:val="clear" w:color="auto" w:fill="auto"/>
          </w:tcPr>
          <w:p w14:paraId="7DBC0269" w14:textId="77777777" w:rsidR="00B074CC" w:rsidRPr="001A1836" w:rsidRDefault="00B074CC" w:rsidP="00626054">
            <w:pPr>
              <w:rPr>
                <w:sz w:val="20"/>
                <w:szCs w:val="24"/>
              </w:rPr>
            </w:pPr>
            <w:r w:rsidRPr="001A1836">
              <w:rPr>
                <w:sz w:val="20"/>
                <w:szCs w:val="24"/>
              </w:rPr>
              <w:t>Moderate Service Level Failure</w:t>
            </w:r>
          </w:p>
        </w:tc>
        <w:tc>
          <w:tcPr>
            <w:tcW w:w="4678" w:type="dxa"/>
            <w:shd w:val="clear" w:color="auto" w:fill="auto"/>
          </w:tcPr>
          <w:p w14:paraId="772C94BD" w14:textId="77777777" w:rsidR="00AF04DB" w:rsidRPr="00100601" w:rsidRDefault="00AF04DB" w:rsidP="00AF04DB">
            <w:pPr>
              <w:rPr>
                <w:color w:val="000000" w:themeColor="text1"/>
                <w:sz w:val="20"/>
                <w:szCs w:val="24"/>
              </w:rPr>
            </w:pPr>
            <w:bookmarkStart w:id="882" w:name="_cp_change_140"/>
            <w:r w:rsidRPr="00100601">
              <w:rPr>
                <w:color w:val="000000" w:themeColor="text1"/>
                <w:sz w:val="20"/>
                <w:szCs w:val="24"/>
                <w:u w:color="0000FF"/>
              </w:rPr>
              <w:t>Contract Year 1 – Between 85% and 80% inclusive</w:t>
            </w:r>
            <w:bookmarkStart w:id="883" w:name="_cp_change_139"/>
            <w:bookmarkEnd w:id="882"/>
          </w:p>
          <w:p w14:paraId="30B56E1B" w14:textId="514AF885" w:rsidR="00B074CC" w:rsidRPr="00100601" w:rsidRDefault="00E73513" w:rsidP="00626054">
            <w:pPr>
              <w:rPr>
                <w:color w:val="000000" w:themeColor="text1"/>
                <w:sz w:val="20"/>
                <w:szCs w:val="24"/>
              </w:rPr>
            </w:pPr>
            <w:bookmarkStart w:id="884" w:name="_cp_change_141"/>
            <w:bookmarkEnd w:id="883"/>
            <w:r w:rsidRPr="00100601">
              <w:rPr>
                <w:color w:val="000000" w:themeColor="text1"/>
                <w:sz w:val="20"/>
                <w:szCs w:val="24"/>
                <w:u w:color="0000FF"/>
              </w:rPr>
              <w:t xml:space="preserve">Contract Years 2 to 5 - </w:t>
            </w:r>
            <w:bookmarkEnd w:id="884"/>
            <w:r w:rsidR="00B074CC" w:rsidRPr="00100601">
              <w:rPr>
                <w:color w:val="000000" w:themeColor="text1"/>
                <w:sz w:val="20"/>
                <w:szCs w:val="24"/>
              </w:rPr>
              <w:t>Between 9</w:t>
            </w:r>
            <w:r w:rsidR="00CE5727" w:rsidRPr="00100601">
              <w:rPr>
                <w:color w:val="000000" w:themeColor="text1"/>
                <w:sz w:val="20"/>
                <w:szCs w:val="24"/>
              </w:rPr>
              <w:t>0</w:t>
            </w:r>
            <w:r w:rsidR="00B074CC" w:rsidRPr="00100601">
              <w:rPr>
                <w:color w:val="000000" w:themeColor="text1"/>
                <w:sz w:val="20"/>
                <w:szCs w:val="24"/>
              </w:rPr>
              <w:t xml:space="preserve">% and </w:t>
            </w:r>
            <w:r w:rsidR="00CE5727" w:rsidRPr="00100601">
              <w:rPr>
                <w:color w:val="000000" w:themeColor="text1"/>
                <w:sz w:val="20"/>
                <w:szCs w:val="24"/>
              </w:rPr>
              <w:t>85</w:t>
            </w:r>
            <w:r w:rsidR="00B074CC" w:rsidRPr="00100601">
              <w:rPr>
                <w:color w:val="000000" w:themeColor="text1"/>
                <w:sz w:val="20"/>
                <w:szCs w:val="24"/>
              </w:rPr>
              <w:t xml:space="preserve">% inclusive </w:t>
            </w:r>
          </w:p>
        </w:tc>
        <w:tc>
          <w:tcPr>
            <w:tcW w:w="1899" w:type="dxa"/>
            <w:shd w:val="clear" w:color="auto" w:fill="auto"/>
          </w:tcPr>
          <w:p w14:paraId="3B4DD44E" w14:textId="77777777" w:rsidR="00B074CC" w:rsidRPr="00100601" w:rsidRDefault="00B074CC" w:rsidP="00626054">
            <w:pPr>
              <w:rPr>
                <w:color w:val="000000" w:themeColor="text1"/>
                <w:sz w:val="20"/>
                <w:szCs w:val="24"/>
              </w:rPr>
            </w:pPr>
            <w:r w:rsidRPr="00100601">
              <w:rPr>
                <w:color w:val="000000" w:themeColor="text1"/>
                <w:sz w:val="20"/>
                <w:szCs w:val="24"/>
              </w:rPr>
              <w:t>4.0</w:t>
            </w:r>
          </w:p>
        </w:tc>
      </w:tr>
      <w:tr w:rsidR="00B074CC" w:rsidRPr="001A1836" w14:paraId="2B6C98DB" w14:textId="77777777" w:rsidTr="004F1C82">
        <w:trPr>
          <w:cantSplit/>
        </w:trPr>
        <w:tc>
          <w:tcPr>
            <w:tcW w:w="2029" w:type="dxa"/>
            <w:shd w:val="clear" w:color="auto" w:fill="auto"/>
          </w:tcPr>
          <w:p w14:paraId="490506ED" w14:textId="77777777" w:rsidR="00B074CC" w:rsidRPr="001A1836" w:rsidRDefault="00B074CC" w:rsidP="00626054">
            <w:pPr>
              <w:rPr>
                <w:sz w:val="20"/>
                <w:szCs w:val="24"/>
              </w:rPr>
            </w:pPr>
            <w:r w:rsidRPr="001A1836">
              <w:rPr>
                <w:sz w:val="20"/>
                <w:szCs w:val="24"/>
              </w:rPr>
              <w:t>Major Service Level Failure</w:t>
            </w:r>
          </w:p>
        </w:tc>
        <w:tc>
          <w:tcPr>
            <w:tcW w:w="4678" w:type="dxa"/>
            <w:shd w:val="clear" w:color="auto" w:fill="auto"/>
          </w:tcPr>
          <w:p w14:paraId="7F46F054" w14:textId="77777777" w:rsidR="00934785" w:rsidRPr="00100601" w:rsidRDefault="00934785" w:rsidP="00934785">
            <w:pPr>
              <w:rPr>
                <w:color w:val="000000" w:themeColor="text1"/>
                <w:sz w:val="20"/>
                <w:szCs w:val="24"/>
              </w:rPr>
            </w:pPr>
            <w:bookmarkStart w:id="885" w:name="_cp_change_143"/>
            <w:r w:rsidRPr="00100601">
              <w:rPr>
                <w:color w:val="000000" w:themeColor="text1"/>
                <w:sz w:val="20"/>
                <w:szCs w:val="24"/>
                <w:u w:color="0000FF"/>
              </w:rPr>
              <w:t>Contract Year 1 – Less than 80%</w:t>
            </w:r>
            <w:bookmarkStart w:id="886" w:name="_cp_change_142"/>
            <w:bookmarkEnd w:id="885"/>
          </w:p>
          <w:p w14:paraId="60E781F8" w14:textId="47EC3650" w:rsidR="00B074CC" w:rsidRPr="00100601" w:rsidRDefault="00075C14" w:rsidP="00626054">
            <w:pPr>
              <w:rPr>
                <w:color w:val="000000" w:themeColor="text1"/>
                <w:sz w:val="20"/>
                <w:szCs w:val="24"/>
              </w:rPr>
            </w:pPr>
            <w:bookmarkStart w:id="887" w:name="_cp_change_144"/>
            <w:bookmarkEnd w:id="886"/>
            <w:r w:rsidRPr="00100601">
              <w:rPr>
                <w:color w:val="000000" w:themeColor="text1"/>
                <w:sz w:val="20"/>
                <w:szCs w:val="24"/>
                <w:u w:color="0000FF"/>
              </w:rPr>
              <w:t xml:space="preserve">Contract Years 2 to 5 - </w:t>
            </w:r>
            <w:bookmarkEnd w:id="887"/>
            <w:r w:rsidR="00B074CC" w:rsidRPr="00100601">
              <w:rPr>
                <w:color w:val="000000" w:themeColor="text1"/>
                <w:sz w:val="20"/>
                <w:szCs w:val="24"/>
              </w:rPr>
              <w:t xml:space="preserve">Less than </w:t>
            </w:r>
            <w:r w:rsidR="00CE5727" w:rsidRPr="00100601">
              <w:rPr>
                <w:color w:val="000000" w:themeColor="text1"/>
                <w:sz w:val="20"/>
                <w:szCs w:val="24"/>
              </w:rPr>
              <w:t>85</w:t>
            </w:r>
            <w:r w:rsidR="00B074CC" w:rsidRPr="00100601">
              <w:rPr>
                <w:color w:val="000000" w:themeColor="text1"/>
                <w:sz w:val="20"/>
                <w:szCs w:val="24"/>
              </w:rPr>
              <w:t xml:space="preserve">% </w:t>
            </w:r>
          </w:p>
        </w:tc>
        <w:tc>
          <w:tcPr>
            <w:tcW w:w="1899" w:type="dxa"/>
            <w:shd w:val="clear" w:color="auto" w:fill="auto"/>
          </w:tcPr>
          <w:p w14:paraId="2C71F910" w14:textId="77777777" w:rsidR="00B074CC" w:rsidRPr="00100601" w:rsidRDefault="00B074CC" w:rsidP="00626054">
            <w:pPr>
              <w:rPr>
                <w:color w:val="000000" w:themeColor="text1"/>
                <w:sz w:val="20"/>
                <w:szCs w:val="24"/>
              </w:rPr>
            </w:pPr>
            <w:r w:rsidRPr="00100601">
              <w:rPr>
                <w:color w:val="000000" w:themeColor="text1"/>
                <w:sz w:val="20"/>
                <w:szCs w:val="24"/>
              </w:rPr>
              <w:t>6.0</w:t>
            </w:r>
          </w:p>
        </w:tc>
      </w:tr>
    </w:tbl>
    <w:p w14:paraId="0030CC53" w14:textId="77777777" w:rsidR="00B074CC" w:rsidRPr="001A1836" w:rsidRDefault="00B074CC" w:rsidP="00626054">
      <w:pPr>
        <w:spacing w:after="0"/>
        <w:rPr>
          <w:sz w:val="20"/>
          <w:szCs w:val="24"/>
        </w:rPr>
      </w:pPr>
    </w:p>
    <w:p w14:paraId="6B1B398E" w14:textId="77777777" w:rsidR="00B074CC" w:rsidRPr="001A1836" w:rsidRDefault="00B074CC" w:rsidP="00626054">
      <w:pPr>
        <w:spacing w:after="0"/>
        <w:rPr>
          <w:sz w:val="20"/>
          <w:szCs w:val="24"/>
        </w:rPr>
      </w:pPr>
      <w:r w:rsidRPr="001A1836">
        <w:rPr>
          <w:sz w:val="20"/>
          <w:szCs w:val="24"/>
        </w:rPr>
        <w:br w:type="page"/>
      </w:r>
    </w:p>
    <w:p w14:paraId="0E7BFFA4" w14:textId="77777777" w:rsidR="00B074CC" w:rsidRPr="001A1836" w:rsidRDefault="00B074CC" w:rsidP="00626054">
      <w:pPr>
        <w:spacing w:after="0"/>
        <w:rPr>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4678"/>
        <w:gridCol w:w="1899"/>
      </w:tblGrid>
      <w:tr w:rsidR="00B074CC" w:rsidRPr="001A1836" w14:paraId="6EFEB825" w14:textId="77777777" w:rsidTr="009E2E92">
        <w:trPr>
          <w:cantSplit/>
          <w:tblHeader/>
        </w:trPr>
        <w:tc>
          <w:tcPr>
            <w:tcW w:w="2029" w:type="dxa"/>
            <w:shd w:val="clear" w:color="auto" w:fill="auto"/>
          </w:tcPr>
          <w:p w14:paraId="460AEC9A" w14:textId="77777777" w:rsidR="00B074CC" w:rsidRPr="001A1836" w:rsidRDefault="00B074CC" w:rsidP="00626054">
            <w:pPr>
              <w:rPr>
                <w:b/>
                <w:szCs w:val="24"/>
              </w:rPr>
            </w:pPr>
            <w:r w:rsidRPr="001A1836">
              <w:rPr>
                <w:b/>
                <w:szCs w:val="24"/>
              </w:rPr>
              <w:t>SL11</w:t>
            </w:r>
          </w:p>
        </w:tc>
        <w:tc>
          <w:tcPr>
            <w:tcW w:w="6577" w:type="dxa"/>
            <w:gridSpan w:val="2"/>
            <w:shd w:val="clear" w:color="auto" w:fill="auto"/>
          </w:tcPr>
          <w:p w14:paraId="2C23A85D" w14:textId="77777777" w:rsidR="00B074CC" w:rsidRPr="001A1836" w:rsidRDefault="00B074CC" w:rsidP="00626054">
            <w:pPr>
              <w:rPr>
                <w:b/>
                <w:szCs w:val="24"/>
              </w:rPr>
            </w:pPr>
            <w:r w:rsidRPr="001A1836">
              <w:rPr>
                <w:b/>
                <w:szCs w:val="24"/>
              </w:rPr>
              <w:t>% of contact centre telephone calls answered within 60 seconds by contact centre staff</w:t>
            </w:r>
          </w:p>
        </w:tc>
      </w:tr>
      <w:tr w:rsidR="00B074CC" w:rsidRPr="001A1836" w14:paraId="7A778E86" w14:textId="77777777" w:rsidTr="004F1C82">
        <w:trPr>
          <w:cantSplit/>
        </w:trPr>
        <w:tc>
          <w:tcPr>
            <w:tcW w:w="2029" w:type="dxa"/>
            <w:shd w:val="clear" w:color="auto" w:fill="auto"/>
          </w:tcPr>
          <w:p w14:paraId="3CEB64C5" w14:textId="2E0459A0" w:rsidR="00B074CC" w:rsidRPr="001A1836" w:rsidRDefault="00B074CC" w:rsidP="00626054">
            <w:pPr>
              <w:rPr>
                <w:sz w:val="20"/>
                <w:szCs w:val="24"/>
              </w:rPr>
            </w:pPr>
            <w:r w:rsidRPr="001A1836">
              <w:rPr>
                <w:sz w:val="20"/>
                <w:szCs w:val="24"/>
              </w:rPr>
              <w:t xml:space="preserve">Service </w:t>
            </w:r>
            <w:r w:rsidR="00747264" w:rsidRPr="001A1836">
              <w:rPr>
                <w:sz w:val="20"/>
                <w:szCs w:val="24"/>
              </w:rPr>
              <w:t>L</w:t>
            </w:r>
            <w:r w:rsidRPr="001A1836">
              <w:rPr>
                <w:sz w:val="20"/>
                <w:szCs w:val="24"/>
              </w:rPr>
              <w:t>evel description</w:t>
            </w:r>
          </w:p>
        </w:tc>
        <w:tc>
          <w:tcPr>
            <w:tcW w:w="6577" w:type="dxa"/>
            <w:gridSpan w:val="2"/>
            <w:shd w:val="clear" w:color="auto" w:fill="auto"/>
          </w:tcPr>
          <w:p w14:paraId="2D85A0D3" w14:textId="77777777" w:rsidR="00B074CC" w:rsidRPr="001A1836" w:rsidRDefault="00B074CC" w:rsidP="00626054">
            <w:pPr>
              <w:rPr>
                <w:sz w:val="20"/>
                <w:szCs w:val="24"/>
              </w:rPr>
            </w:pPr>
            <w:r w:rsidRPr="001A1836">
              <w:rPr>
                <w:sz w:val="20"/>
                <w:szCs w:val="24"/>
              </w:rPr>
              <w:t>The number of calls to the contact centre answered within 60 seconds by a member of the contact centre staff (not machine) expressed as a percentage of the number of contact centre calls answered.</w:t>
            </w:r>
          </w:p>
        </w:tc>
      </w:tr>
      <w:tr w:rsidR="00B074CC" w:rsidRPr="001A1836" w14:paraId="040FFDE1" w14:textId="77777777" w:rsidTr="004F1C82">
        <w:trPr>
          <w:cantSplit/>
        </w:trPr>
        <w:tc>
          <w:tcPr>
            <w:tcW w:w="2029" w:type="dxa"/>
            <w:shd w:val="clear" w:color="auto" w:fill="auto"/>
          </w:tcPr>
          <w:p w14:paraId="57A39CA5" w14:textId="77EF16E7" w:rsidR="00B074CC" w:rsidRPr="001A1836" w:rsidRDefault="00B074CC" w:rsidP="00626054">
            <w:pPr>
              <w:rPr>
                <w:sz w:val="20"/>
                <w:szCs w:val="24"/>
              </w:rPr>
            </w:pPr>
            <w:r w:rsidRPr="001A1836">
              <w:rPr>
                <w:sz w:val="20"/>
                <w:szCs w:val="24"/>
              </w:rPr>
              <w:t xml:space="preserve">Service </w:t>
            </w:r>
            <w:r w:rsidR="00747264" w:rsidRPr="001A1836">
              <w:rPr>
                <w:sz w:val="20"/>
                <w:szCs w:val="24"/>
              </w:rPr>
              <w:t>L</w:t>
            </w:r>
            <w:r w:rsidRPr="001A1836">
              <w:rPr>
                <w:sz w:val="20"/>
                <w:szCs w:val="24"/>
              </w:rPr>
              <w:t>evel calculation</w:t>
            </w:r>
          </w:p>
        </w:tc>
        <w:tc>
          <w:tcPr>
            <w:tcW w:w="6577" w:type="dxa"/>
            <w:gridSpan w:val="2"/>
            <w:shd w:val="clear" w:color="auto" w:fill="auto"/>
          </w:tcPr>
          <w:p w14:paraId="3ABD4A6C" w14:textId="77777777" w:rsidR="00B074CC" w:rsidRPr="001A1836" w:rsidRDefault="00B074CC" w:rsidP="00626054">
            <w:pPr>
              <w:rPr>
                <w:sz w:val="20"/>
                <w:szCs w:val="24"/>
              </w:rPr>
            </w:pPr>
            <w:r w:rsidRPr="001A1836">
              <w:rPr>
                <w:sz w:val="20"/>
                <w:szCs w:val="24"/>
              </w:rPr>
              <w:t>A / B x 100</w:t>
            </w:r>
          </w:p>
          <w:p w14:paraId="0ADCDAF8" w14:textId="77777777" w:rsidR="00B074CC" w:rsidRPr="001A1836" w:rsidRDefault="00B074CC" w:rsidP="00626054">
            <w:pPr>
              <w:rPr>
                <w:sz w:val="20"/>
                <w:szCs w:val="24"/>
              </w:rPr>
            </w:pPr>
          </w:p>
          <w:p w14:paraId="55C90561" w14:textId="77777777" w:rsidR="00B074CC" w:rsidRPr="001A1836" w:rsidRDefault="00B074CC" w:rsidP="00626054">
            <w:pPr>
              <w:rPr>
                <w:sz w:val="20"/>
                <w:szCs w:val="24"/>
              </w:rPr>
            </w:pPr>
            <w:r w:rsidRPr="001A1836">
              <w:rPr>
                <w:sz w:val="20"/>
                <w:szCs w:val="24"/>
              </w:rPr>
              <w:t>Where:</w:t>
            </w:r>
          </w:p>
          <w:p w14:paraId="1BE0374D" w14:textId="77777777" w:rsidR="00B074CC" w:rsidRPr="001A1836" w:rsidRDefault="00B074CC" w:rsidP="00626054">
            <w:pPr>
              <w:rPr>
                <w:sz w:val="20"/>
                <w:szCs w:val="24"/>
              </w:rPr>
            </w:pPr>
            <w:r w:rsidRPr="001A1836">
              <w:rPr>
                <w:sz w:val="20"/>
                <w:szCs w:val="24"/>
              </w:rPr>
              <w:t>A = Number of calls answered by contact centre staff within 60 seconds</w:t>
            </w:r>
          </w:p>
          <w:p w14:paraId="03B64F61" w14:textId="77777777" w:rsidR="00B074CC" w:rsidRPr="001A1836" w:rsidRDefault="00B074CC" w:rsidP="00626054">
            <w:pPr>
              <w:rPr>
                <w:sz w:val="20"/>
                <w:szCs w:val="24"/>
              </w:rPr>
            </w:pPr>
            <w:r w:rsidRPr="001A1836">
              <w:rPr>
                <w:sz w:val="20"/>
                <w:szCs w:val="24"/>
              </w:rPr>
              <w:t>B = Number of calls answered by contact centre staff</w:t>
            </w:r>
          </w:p>
        </w:tc>
      </w:tr>
      <w:tr w:rsidR="00B074CC" w:rsidRPr="001A1836" w14:paraId="39EE6495" w14:textId="77777777" w:rsidTr="004F1C82">
        <w:trPr>
          <w:cantSplit/>
        </w:trPr>
        <w:tc>
          <w:tcPr>
            <w:tcW w:w="2029" w:type="dxa"/>
            <w:shd w:val="clear" w:color="auto" w:fill="auto"/>
          </w:tcPr>
          <w:p w14:paraId="748B58B5" w14:textId="24D9623C" w:rsidR="00B074CC" w:rsidRPr="001A1836" w:rsidRDefault="00B074CC" w:rsidP="00626054">
            <w:pPr>
              <w:rPr>
                <w:sz w:val="20"/>
                <w:szCs w:val="24"/>
              </w:rPr>
            </w:pPr>
            <w:r w:rsidRPr="001A1836">
              <w:rPr>
                <w:sz w:val="20"/>
                <w:szCs w:val="24"/>
              </w:rPr>
              <w:t xml:space="preserve">Reporting frequency </w:t>
            </w:r>
          </w:p>
        </w:tc>
        <w:tc>
          <w:tcPr>
            <w:tcW w:w="6577" w:type="dxa"/>
            <w:gridSpan w:val="2"/>
            <w:shd w:val="clear" w:color="auto" w:fill="auto"/>
          </w:tcPr>
          <w:p w14:paraId="20D70BE5" w14:textId="77777777" w:rsidR="00B074CC" w:rsidRPr="001A1836" w:rsidRDefault="00B074CC" w:rsidP="00626054">
            <w:pPr>
              <w:rPr>
                <w:sz w:val="20"/>
                <w:szCs w:val="24"/>
              </w:rPr>
            </w:pPr>
            <w:r w:rsidRPr="001A1836">
              <w:rPr>
                <w:sz w:val="20"/>
                <w:szCs w:val="24"/>
              </w:rPr>
              <w:t>Performance is reported monthly.</w:t>
            </w:r>
          </w:p>
          <w:p w14:paraId="74F018A5" w14:textId="77E1AA82" w:rsidR="00B876A2" w:rsidRPr="001A1836" w:rsidRDefault="00B876A2" w:rsidP="004F1C82">
            <w:pPr>
              <w:rPr>
                <w:sz w:val="20"/>
                <w:szCs w:val="24"/>
              </w:rPr>
            </w:pPr>
          </w:p>
        </w:tc>
      </w:tr>
      <w:tr w:rsidR="004F1C82" w:rsidRPr="001A1836" w14:paraId="7DE434CF" w14:textId="77777777" w:rsidTr="004F1C82">
        <w:trPr>
          <w:cantSplit/>
        </w:trPr>
        <w:tc>
          <w:tcPr>
            <w:tcW w:w="2029" w:type="dxa"/>
            <w:shd w:val="clear" w:color="auto" w:fill="auto"/>
          </w:tcPr>
          <w:p w14:paraId="11969C65" w14:textId="270902A3" w:rsidR="004F1C82" w:rsidRPr="001A1836" w:rsidDel="00B20DB7" w:rsidRDefault="004F1C82" w:rsidP="004F1C82">
            <w:pPr>
              <w:rPr>
                <w:sz w:val="20"/>
                <w:szCs w:val="24"/>
              </w:rPr>
            </w:pPr>
            <w:r w:rsidRPr="001A1836">
              <w:rPr>
                <w:sz w:val="20"/>
                <w:szCs w:val="24"/>
              </w:rPr>
              <w:t>Service Measurement Period</w:t>
            </w:r>
          </w:p>
        </w:tc>
        <w:tc>
          <w:tcPr>
            <w:tcW w:w="6577" w:type="dxa"/>
            <w:gridSpan w:val="2"/>
            <w:shd w:val="clear" w:color="auto" w:fill="auto"/>
          </w:tcPr>
          <w:p w14:paraId="59FA999E" w14:textId="0F8AE441" w:rsidR="004F1C82" w:rsidRPr="001A1836" w:rsidRDefault="004F1C82" w:rsidP="004F1C82">
            <w:pPr>
              <w:rPr>
                <w:sz w:val="20"/>
                <w:szCs w:val="24"/>
              </w:rPr>
            </w:pPr>
            <w:r w:rsidRPr="001A1836">
              <w:rPr>
                <w:sz w:val="20"/>
                <w:szCs w:val="24"/>
              </w:rPr>
              <w:t>Service Credits are calculated monthly.</w:t>
            </w:r>
          </w:p>
        </w:tc>
      </w:tr>
      <w:tr w:rsidR="004F1C82" w:rsidRPr="001A1836" w14:paraId="665B3F32" w14:textId="77777777" w:rsidTr="004F1C82">
        <w:trPr>
          <w:cantSplit/>
        </w:trPr>
        <w:tc>
          <w:tcPr>
            <w:tcW w:w="2029" w:type="dxa"/>
            <w:shd w:val="clear" w:color="auto" w:fill="auto"/>
          </w:tcPr>
          <w:p w14:paraId="5DC4F30A" w14:textId="1FB6FB5D" w:rsidR="004F1C82" w:rsidRPr="001A1836" w:rsidDel="00B20DB7" w:rsidRDefault="004F1C82" w:rsidP="004F1C82">
            <w:pPr>
              <w:rPr>
                <w:sz w:val="20"/>
                <w:szCs w:val="24"/>
              </w:rPr>
            </w:pPr>
            <w:r w:rsidRPr="001A1836">
              <w:rPr>
                <w:sz w:val="20"/>
                <w:szCs w:val="24"/>
              </w:rPr>
              <w:t>Service Point Application Period</w:t>
            </w:r>
          </w:p>
        </w:tc>
        <w:tc>
          <w:tcPr>
            <w:tcW w:w="6577" w:type="dxa"/>
            <w:gridSpan w:val="2"/>
            <w:shd w:val="clear" w:color="auto" w:fill="auto"/>
          </w:tcPr>
          <w:p w14:paraId="67ACAC4F" w14:textId="4D285843" w:rsidR="004F1C82" w:rsidRPr="001A1836" w:rsidRDefault="00EA4BD8" w:rsidP="004F1C82">
            <w:pPr>
              <w:rPr>
                <w:sz w:val="20"/>
                <w:szCs w:val="24"/>
              </w:rPr>
            </w:pPr>
            <w:r w:rsidRPr="001A1836">
              <w:rPr>
                <w:sz w:val="20"/>
                <w:szCs w:val="24"/>
              </w:rPr>
              <w:t xml:space="preserve">Service Points are applied monthly against </w:t>
            </w:r>
            <w:r>
              <w:rPr>
                <w:sz w:val="20"/>
                <w:szCs w:val="24"/>
              </w:rPr>
              <w:t xml:space="preserve">one twelfth of the sum of </w:t>
            </w:r>
            <w:r w:rsidRPr="001A1836">
              <w:rPr>
                <w:sz w:val="20"/>
                <w:szCs w:val="24"/>
              </w:rPr>
              <w:t xml:space="preserve">the Provider’s </w:t>
            </w:r>
            <w:r>
              <w:rPr>
                <w:sz w:val="20"/>
                <w:szCs w:val="24"/>
              </w:rPr>
              <w:t>annual</w:t>
            </w:r>
            <w:r w:rsidRPr="001A1836">
              <w:rPr>
                <w:sz w:val="20"/>
                <w:szCs w:val="24"/>
              </w:rPr>
              <w:t xml:space="preserve"> </w:t>
            </w:r>
            <w:r>
              <w:rPr>
                <w:sz w:val="20"/>
                <w:szCs w:val="24"/>
              </w:rPr>
              <w:t>A</w:t>
            </w:r>
            <w:r w:rsidRPr="001A1836">
              <w:rPr>
                <w:sz w:val="20"/>
                <w:szCs w:val="24"/>
              </w:rPr>
              <w:t xml:space="preserve">greed Operating Costs plus </w:t>
            </w:r>
            <w:r>
              <w:rPr>
                <w:sz w:val="20"/>
                <w:szCs w:val="24"/>
              </w:rPr>
              <w:t xml:space="preserve">Provider </w:t>
            </w:r>
            <w:r w:rsidRPr="001A1836">
              <w:rPr>
                <w:sz w:val="20"/>
                <w:szCs w:val="24"/>
              </w:rPr>
              <w:t>Profit.</w:t>
            </w:r>
          </w:p>
        </w:tc>
      </w:tr>
      <w:tr w:rsidR="00B074CC" w:rsidRPr="001A1836" w14:paraId="01ECBC87" w14:textId="77777777" w:rsidTr="004F1C82">
        <w:trPr>
          <w:cantSplit/>
        </w:trPr>
        <w:tc>
          <w:tcPr>
            <w:tcW w:w="2029" w:type="dxa"/>
            <w:shd w:val="clear" w:color="auto" w:fill="auto"/>
          </w:tcPr>
          <w:p w14:paraId="09957EAD" w14:textId="77777777" w:rsidR="00B074CC" w:rsidRPr="001A1836" w:rsidRDefault="00B074CC" w:rsidP="00626054">
            <w:pPr>
              <w:rPr>
                <w:sz w:val="20"/>
                <w:szCs w:val="24"/>
              </w:rPr>
            </w:pPr>
            <w:r w:rsidRPr="001A1836">
              <w:rPr>
                <w:sz w:val="20"/>
                <w:szCs w:val="24"/>
              </w:rPr>
              <w:t>Data capture</w:t>
            </w:r>
          </w:p>
        </w:tc>
        <w:tc>
          <w:tcPr>
            <w:tcW w:w="6577" w:type="dxa"/>
            <w:gridSpan w:val="2"/>
            <w:shd w:val="clear" w:color="auto" w:fill="auto"/>
          </w:tcPr>
          <w:p w14:paraId="47295E75" w14:textId="77777777" w:rsidR="00B074CC" w:rsidRPr="001A1836" w:rsidRDefault="00B074CC" w:rsidP="00626054">
            <w:pPr>
              <w:rPr>
                <w:sz w:val="20"/>
                <w:szCs w:val="24"/>
              </w:rPr>
            </w:pPr>
            <w:r w:rsidRPr="001A1836">
              <w:rPr>
                <w:sz w:val="20"/>
                <w:szCs w:val="24"/>
              </w:rPr>
              <w:t>Number of calls answered by contact centre staff</w:t>
            </w:r>
          </w:p>
          <w:p w14:paraId="19197D68" w14:textId="77777777" w:rsidR="00B074CC" w:rsidRPr="001A1836" w:rsidRDefault="00B074CC" w:rsidP="00626054">
            <w:pPr>
              <w:rPr>
                <w:sz w:val="20"/>
                <w:szCs w:val="24"/>
              </w:rPr>
            </w:pPr>
            <w:r w:rsidRPr="001A1836">
              <w:rPr>
                <w:sz w:val="20"/>
                <w:szCs w:val="24"/>
              </w:rPr>
              <w:t>Number of calls answered by contact centre staff within 60 seconds</w:t>
            </w:r>
          </w:p>
        </w:tc>
      </w:tr>
      <w:tr w:rsidR="00B074CC" w:rsidRPr="001A1836" w14:paraId="134D49C0" w14:textId="77777777" w:rsidTr="004F1C82">
        <w:trPr>
          <w:cantSplit/>
        </w:trPr>
        <w:tc>
          <w:tcPr>
            <w:tcW w:w="2029" w:type="dxa"/>
            <w:shd w:val="clear" w:color="auto" w:fill="auto"/>
          </w:tcPr>
          <w:p w14:paraId="72092DEE" w14:textId="77777777" w:rsidR="00B074CC" w:rsidRPr="001A1836" w:rsidRDefault="00B074CC" w:rsidP="00626054">
            <w:pPr>
              <w:rPr>
                <w:sz w:val="20"/>
                <w:szCs w:val="24"/>
              </w:rPr>
            </w:pPr>
            <w:r w:rsidRPr="001A1836">
              <w:rPr>
                <w:sz w:val="20"/>
                <w:szCs w:val="24"/>
              </w:rPr>
              <w:t>Impact</w:t>
            </w:r>
          </w:p>
        </w:tc>
        <w:tc>
          <w:tcPr>
            <w:tcW w:w="6577" w:type="dxa"/>
            <w:gridSpan w:val="2"/>
            <w:shd w:val="clear" w:color="auto" w:fill="auto"/>
          </w:tcPr>
          <w:p w14:paraId="6533E7B7" w14:textId="77777777" w:rsidR="00B074CC" w:rsidRPr="001A1836" w:rsidRDefault="00B074CC" w:rsidP="00626054">
            <w:pPr>
              <w:rPr>
                <w:sz w:val="20"/>
                <w:szCs w:val="24"/>
              </w:rPr>
            </w:pPr>
            <w:r w:rsidRPr="001A1836">
              <w:rPr>
                <w:sz w:val="20"/>
                <w:szCs w:val="24"/>
              </w:rPr>
              <w:t>Medium</w:t>
            </w:r>
          </w:p>
        </w:tc>
      </w:tr>
      <w:tr w:rsidR="00B074CC" w:rsidRPr="001A1836" w14:paraId="36FB644E" w14:textId="77777777" w:rsidTr="004F1C82">
        <w:trPr>
          <w:cantSplit/>
        </w:trPr>
        <w:tc>
          <w:tcPr>
            <w:tcW w:w="2029" w:type="dxa"/>
            <w:shd w:val="clear" w:color="auto" w:fill="auto"/>
          </w:tcPr>
          <w:p w14:paraId="1712FE4E" w14:textId="77777777" w:rsidR="00B074CC" w:rsidRPr="001A1836" w:rsidRDefault="00B074CC" w:rsidP="00626054">
            <w:pPr>
              <w:rPr>
                <w:sz w:val="20"/>
                <w:szCs w:val="24"/>
              </w:rPr>
            </w:pPr>
            <w:r w:rsidRPr="001A1836">
              <w:rPr>
                <w:sz w:val="20"/>
                <w:szCs w:val="24"/>
              </w:rPr>
              <w:t>Criticality</w:t>
            </w:r>
          </w:p>
        </w:tc>
        <w:tc>
          <w:tcPr>
            <w:tcW w:w="6577" w:type="dxa"/>
            <w:gridSpan w:val="2"/>
            <w:shd w:val="clear" w:color="auto" w:fill="auto"/>
          </w:tcPr>
          <w:p w14:paraId="4EB2A89D" w14:textId="77777777" w:rsidR="00B074CC" w:rsidRPr="001A1836" w:rsidRDefault="00B074CC" w:rsidP="00626054">
            <w:pPr>
              <w:rPr>
                <w:sz w:val="20"/>
                <w:szCs w:val="24"/>
              </w:rPr>
            </w:pPr>
            <w:r w:rsidRPr="001A1836">
              <w:rPr>
                <w:sz w:val="20"/>
                <w:szCs w:val="24"/>
              </w:rPr>
              <w:t>B</w:t>
            </w:r>
          </w:p>
        </w:tc>
      </w:tr>
      <w:tr w:rsidR="00B074CC" w:rsidRPr="001A1836" w14:paraId="7A762B9A" w14:textId="77777777" w:rsidTr="004F1C82">
        <w:trPr>
          <w:cantSplit/>
        </w:trPr>
        <w:tc>
          <w:tcPr>
            <w:tcW w:w="2029" w:type="dxa"/>
            <w:shd w:val="clear" w:color="auto" w:fill="auto"/>
          </w:tcPr>
          <w:p w14:paraId="6543D2EF" w14:textId="77777777" w:rsidR="00B074CC" w:rsidRPr="001A1836" w:rsidRDefault="00B074CC" w:rsidP="00626054">
            <w:pPr>
              <w:rPr>
                <w:sz w:val="20"/>
                <w:szCs w:val="24"/>
              </w:rPr>
            </w:pPr>
            <w:r w:rsidRPr="001A1836">
              <w:rPr>
                <w:sz w:val="20"/>
                <w:szCs w:val="24"/>
              </w:rPr>
              <w:t>Service Level Performance Measure</w:t>
            </w:r>
          </w:p>
        </w:tc>
        <w:tc>
          <w:tcPr>
            <w:tcW w:w="6577" w:type="dxa"/>
            <w:gridSpan w:val="2"/>
            <w:shd w:val="clear" w:color="auto" w:fill="auto"/>
          </w:tcPr>
          <w:p w14:paraId="66FD1887" w14:textId="5B726F25" w:rsidR="00B074CC" w:rsidRPr="00C87D85" w:rsidRDefault="00975F85" w:rsidP="00626054">
            <w:pPr>
              <w:rPr>
                <w:color w:val="000000" w:themeColor="text1"/>
                <w:sz w:val="20"/>
                <w:szCs w:val="24"/>
              </w:rPr>
            </w:pPr>
            <w:bookmarkStart w:id="888" w:name="_cp_change_146"/>
            <w:r w:rsidRPr="00C87D85">
              <w:rPr>
                <w:color w:val="000000" w:themeColor="text1"/>
                <w:sz w:val="20"/>
                <w:szCs w:val="24"/>
                <w:u w:color="0000FF"/>
              </w:rPr>
              <w:t>Relief Period – 75</w:t>
            </w:r>
            <w:bookmarkEnd w:id="888"/>
            <w:r w:rsidRPr="00C87D85">
              <w:rPr>
                <w:color w:val="000000" w:themeColor="text1"/>
                <w:sz w:val="20"/>
                <w:szCs w:val="24"/>
              </w:rPr>
              <w:t xml:space="preserve">% </w:t>
            </w:r>
            <w:r w:rsidR="00B074CC" w:rsidRPr="00C87D85">
              <w:rPr>
                <w:color w:val="000000" w:themeColor="text1"/>
                <w:sz w:val="20"/>
                <w:szCs w:val="24"/>
              </w:rPr>
              <w:t>of telephone calls to the contact centre answered by contact centre staff within 60 seconds</w:t>
            </w:r>
          </w:p>
          <w:p w14:paraId="7600096A" w14:textId="075B97F9" w:rsidR="002531A3" w:rsidRPr="00C87D85" w:rsidRDefault="002531A3" w:rsidP="00626054">
            <w:pPr>
              <w:rPr>
                <w:color w:val="000000" w:themeColor="text1"/>
                <w:sz w:val="20"/>
                <w:szCs w:val="24"/>
              </w:rPr>
            </w:pPr>
            <w:bookmarkStart w:id="889" w:name="_cp_change_150"/>
            <w:r w:rsidRPr="00C87D85">
              <w:rPr>
                <w:color w:val="000000" w:themeColor="text1"/>
                <w:sz w:val="20"/>
                <w:szCs w:val="24"/>
                <w:u w:color="0000FF"/>
              </w:rPr>
              <w:t>Thereafter - 90% of telephone calls to the contact centre answered by contact centre staff within 60 seconds</w:t>
            </w:r>
            <w:bookmarkEnd w:id="889"/>
          </w:p>
        </w:tc>
      </w:tr>
      <w:tr w:rsidR="00B074CC" w:rsidRPr="001A1836" w14:paraId="50C36D90" w14:textId="77777777" w:rsidTr="004F1C82">
        <w:trPr>
          <w:cantSplit/>
        </w:trPr>
        <w:tc>
          <w:tcPr>
            <w:tcW w:w="2029" w:type="dxa"/>
            <w:shd w:val="clear" w:color="auto" w:fill="auto"/>
          </w:tcPr>
          <w:p w14:paraId="2273BC24" w14:textId="77777777" w:rsidR="00B074CC" w:rsidRPr="001A1836" w:rsidRDefault="00B074CC" w:rsidP="00626054">
            <w:pPr>
              <w:rPr>
                <w:sz w:val="20"/>
                <w:szCs w:val="24"/>
              </w:rPr>
            </w:pPr>
          </w:p>
        </w:tc>
        <w:tc>
          <w:tcPr>
            <w:tcW w:w="4678" w:type="dxa"/>
            <w:shd w:val="clear" w:color="auto" w:fill="auto"/>
          </w:tcPr>
          <w:p w14:paraId="4D057B08" w14:textId="77777777" w:rsidR="00B074CC" w:rsidRPr="00C87D85" w:rsidRDefault="00B074CC" w:rsidP="00626054">
            <w:pPr>
              <w:rPr>
                <w:b/>
                <w:color w:val="000000" w:themeColor="text1"/>
                <w:sz w:val="20"/>
                <w:szCs w:val="24"/>
              </w:rPr>
            </w:pPr>
            <w:r w:rsidRPr="00C87D85">
              <w:rPr>
                <w:b/>
                <w:color w:val="000000" w:themeColor="text1"/>
                <w:sz w:val="20"/>
                <w:szCs w:val="24"/>
              </w:rPr>
              <w:t>Service Level Performance Measure</w:t>
            </w:r>
          </w:p>
        </w:tc>
        <w:tc>
          <w:tcPr>
            <w:tcW w:w="1899" w:type="dxa"/>
            <w:shd w:val="clear" w:color="auto" w:fill="auto"/>
          </w:tcPr>
          <w:p w14:paraId="664DC675" w14:textId="77777777" w:rsidR="00B074CC" w:rsidRPr="00C87D85" w:rsidRDefault="00B074CC" w:rsidP="00626054">
            <w:pPr>
              <w:rPr>
                <w:b/>
                <w:color w:val="000000" w:themeColor="text1"/>
                <w:sz w:val="20"/>
                <w:szCs w:val="24"/>
              </w:rPr>
            </w:pPr>
            <w:r w:rsidRPr="00C87D85">
              <w:rPr>
                <w:b/>
                <w:color w:val="000000" w:themeColor="text1"/>
                <w:sz w:val="20"/>
                <w:szCs w:val="24"/>
              </w:rPr>
              <w:t>Service points</w:t>
            </w:r>
          </w:p>
        </w:tc>
      </w:tr>
      <w:tr w:rsidR="00B074CC" w:rsidRPr="001A1836" w14:paraId="35274852" w14:textId="77777777" w:rsidTr="004F1C82">
        <w:trPr>
          <w:cantSplit/>
        </w:trPr>
        <w:tc>
          <w:tcPr>
            <w:tcW w:w="2029" w:type="dxa"/>
            <w:shd w:val="clear" w:color="auto" w:fill="auto"/>
          </w:tcPr>
          <w:p w14:paraId="744F1F33" w14:textId="27573B2F" w:rsidR="00B074CC" w:rsidRPr="001A1836" w:rsidRDefault="00B074CC" w:rsidP="00626054">
            <w:pPr>
              <w:rPr>
                <w:sz w:val="20"/>
                <w:szCs w:val="24"/>
              </w:rPr>
            </w:pPr>
            <w:r w:rsidRPr="001A1836">
              <w:rPr>
                <w:sz w:val="20"/>
                <w:szCs w:val="24"/>
              </w:rPr>
              <w:t xml:space="preserve">Service </w:t>
            </w:r>
            <w:r w:rsidR="00747264" w:rsidRPr="001A1836">
              <w:rPr>
                <w:sz w:val="20"/>
                <w:szCs w:val="24"/>
              </w:rPr>
              <w:t>L</w:t>
            </w:r>
            <w:r w:rsidRPr="001A1836">
              <w:rPr>
                <w:sz w:val="20"/>
                <w:szCs w:val="24"/>
              </w:rPr>
              <w:t>evel met</w:t>
            </w:r>
          </w:p>
        </w:tc>
        <w:tc>
          <w:tcPr>
            <w:tcW w:w="4678" w:type="dxa"/>
            <w:shd w:val="clear" w:color="auto" w:fill="auto"/>
          </w:tcPr>
          <w:p w14:paraId="0638F1E0" w14:textId="77777777" w:rsidR="003B46B6" w:rsidRPr="00C87D85" w:rsidRDefault="003B46B6" w:rsidP="003B46B6">
            <w:pPr>
              <w:rPr>
                <w:color w:val="000000" w:themeColor="text1"/>
                <w:sz w:val="20"/>
                <w:szCs w:val="24"/>
              </w:rPr>
            </w:pPr>
            <w:bookmarkStart w:id="890" w:name="_cp_change_152"/>
            <w:r w:rsidRPr="00C87D85">
              <w:rPr>
                <w:color w:val="000000" w:themeColor="text1"/>
                <w:sz w:val="20"/>
                <w:szCs w:val="24"/>
                <w:u w:color="0000FF"/>
              </w:rPr>
              <w:t>Relief Period – 75%</w:t>
            </w:r>
            <w:bookmarkStart w:id="891" w:name="_cp_change_151"/>
            <w:bookmarkEnd w:id="890"/>
          </w:p>
          <w:p w14:paraId="1A6CEB54" w14:textId="7A7DEC58" w:rsidR="00B074CC" w:rsidRPr="00C87D85" w:rsidRDefault="00857D73" w:rsidP="00626054">
            <w:pPr>
              <w:rPr>
                <w:color w:val="000000" w:themeColor="text1"/>
                <w:sz w:val="20"/>
                <w:szCs w:val="24"/>
              </w:rPr>
            </w:pPr>
            <w:bookmarkStart w:id="892" w:name="_cp_change_153"/>
            <w:bookmarkEnd w:id="891"/>
            <w:r w:rsidRPr="00C87D85">
              <w:rPr>
                <w:color w:val="000000" w:themeColor="text1"/>
                <w:sz w:val="20"/>
                <w:szCs w:val="24"/>
                <w:u w:color="0000FF"/>
              </w:rPr>
              <w:t xml:space="preserve">Thereafter - </w:t>
            </w:r>
            <w:bookmarkEnd w:id="892"/>
            <w:r w:rsidR="00B074CC" w:rsidRPr="00C87D85">
              <w:rPr>
                <w:color w:val="000000" w:themeColor="text1"/>
                <w:sz w:val="20"/>
                <w:szCs w:val="24"/>
              </w:rPr>
              <w:t>90%</w:t>
            </w:r>
          </w:p>
        </w:tc>
        <w:tc>
          <w:tcPr>
            <w:tcW w:w="1899" w:type="dxa"/>
            <w:shd w:val="clear" w:color="auto" w:fill="auto"/>
          </w:tcPr>
          <w:p w14:paraId="5F8CBC79" w14:textId="77777777" w:rsidR="00B074CC" w:rsidRPr="00C87D85" w:rsidRDefault="00B074CC" w:rsidP="00626054">
            <w:pPr>
              <w:rPr>
                <w:color w:val="000000" w:themeColor="text1"/>
                <w:sz w:val="20"/>
                <w:szCs w:val="24"/>
              </w:rPr>
            </w:pPr>
            <w:r w:rsidRPr="00C87D85">
              <w:rPr>
                <w:color w:val="000000" w:themeColor="text1"/>
                <w:sz w:val="20"/>
                <w:szCs w:val="24"/>
              </w:rPr>
              <w:t>0</w:t>
            </w:r>
          </w:p>
        </w:tc>
      </w:tr>
      <w:tr w:rsidR="00B074CC" w:rsidRPr="001A1836" w14:paraId="012EE3D5" w14:textId="77777777" w:rsidTr="004F1C82">
        <w:trPr>
          <w:cantSplit/>
        </w:trPr>
        <w:tc>
          <w:tcPr>
            <w:tcW w:w="2029" w:type="dxa"/>
            <w:shd w:val="clear" w:color="auto" w:fill="auto"/>
          </w:tcPr>
          <w:p w14:paraId="3F0E4DE0" w14:textId="77777777" w:rsidR="00B074CC" w:rsidRPr="001A1836" w:rsidRDefault="00B074CC" w:rsidP="00626054">
            <w:pPr>
              <w:rPr>
                <w:sz w:val="20"/>
                <w:szCs w:val="24"/>
              </w:rPr>
            </w:pPr>
            <w:r w:rsidRPr="001A1836">
              <w:rPr>
                <w:sz w:val="20"/>
                <w:szCs w:val="24"/>
              </w:rPr>
              <w:t>Minor Service Level Failure</w:t>
            </w:r>
          </w:p>
        </w:tc>
        <w:tc>
          <w:tcPr>
            <w:tcW w:w="4678" w:type="dxa"/>
            <w:shd w:val="clear" w:color="auto" w:fill="auto"/>
          </w:tcPr>
          <w:p w14:paraId="2397DAB1" w14:textId="77777777" w:rsidR="008D1931" w:rsidRPr="00C87D85" w:rsidRDefault="008D1931" w:rsidP="008D1931">
            <w:pPr>
              <w:rPr>
                <w:color w:val="000000" w:themeColor="text1"/>
                <w:sz w:val="20"/>
                <w:szCs w:val="24"/>
              </w:rPr>
            </w:pPr>
            <w:bookmarkStart w:id="893" w:name="_cp_change_155"/>
            <w:r w:rsidRPr="00C87D85">
              <w:rPr>
                <w:color w:val="000000" w:themeColor="text1"/>
                <w:sz w:val="20"/>
                <w:szCs w:val="24"/>
                <w:u w:color="0000FF"/>
              </w:rPr>
              <w:t>Relief Period – Less than 75% but greater than 70%</w:t>
            </w:r>
            <w:bookmarkStart w:id="894" w:name="_cp_change_154"/>
            <w:bookmarkEnd w:id="893"/>
          </w:p>
          <w:p w14:paraId="22CE6D48" w14:textId="366DF66B" w:rsidR="00B074CC" w:rsidRPr="00C87D85" w:rsidRDefault="00880BBB" w:rsidP="00626054">
            <w:pPr>
              <w:rPr>
                <w:color w:val="000000" w:themeColor="text1"/>
                <w:sz w:val="20"/>
                <w:szCs w:val="24"/>
              </w:rPr>
            </w:pPr>
            <w:bookmarkStart w:id="895" w:name="_cp_change_156"/>
            <w:bookmarkEnd w:id="894"/>
            <w:r w:rsidRPr="00C87D85">
              <w:rPr>
                <w:color w:val="000000" w:themeColor="text1"/>
                <w:sz w:val="20"/>
                <w:szCs w:val="24"/>
                <w:u w:color="0000FF"/>
              </w:rPr>
              <w:t xml:space="preserve">Thereafter - </w:t>
            </w:r>
            <w:bookmarkEnd w:id="895"/>
            <w:r w:rsidR="00B074CC" w:rsidRPr="00C87D85">
              <w:rPr>
                <w:color w:val="000000" w:themeColor="text1"/>
                <w:sz w:val="20"/>
                <w:szCs w:val="24"/>
              </w:rPr>
              <w:t xml:space="preserve">Less than 90% but greater than 85% </w:t>
            </w:r>
          </w:p>
        </w:tc>
        <w:tc>
          <w:tcPr>
            <w:tcW w:w="1899" w:type="dxa"/>
            <w:shd w:val="clear" w:color="auto" w:fill="auto"/>
          </w:tcPr>
          <w:p w14:paraId="64433401" w14:textId="77777777" w:rsidR="00B074CC" w:rsidRPr="00C87D85" w:rsidRDefault="00B074CC" w:rsidP="00626054">
            <w:pPr>
              <w:rPr>
                <w:color w:val="000000" w:themeColor="text1"/>
                <w:sz w:val="20"/>
                <w:szCs w:val="24"/>
              </w:rPr>
            </w:pPr>
            <w:r w:rsidRPr="00C87D85">
              <w:rPr>
                <w:color w:val="000000" w:themeColor="text1"/>
                <w:sz w:val="20"/>
                <w:szCs w:val="24"/>
              </w:rPr>
              <w:t>1.0</w:t>
            </w:r>
          </w:p>
        </w:tc>
      </w:tr>
      <w:tr w:rsidR="00B074CC" w:rsidRPr="001A1836" w14:paraId="56840064" w14:textId="77777777" w:rsidTr="004F1C82">
        <w:trPr>
          <w:cantSplit/>
        </w:trPr>
        <w:tc>
          <w:tcPr>
            <w:tcW w:w="2029" w:type="dxa"/>
            <w:shd w:val="clear" w:color="auto" w:fill="auto"/>
          </w:tcPr>
          <w:p w14:paraId="7EE71135" w14:textId="77777777" w:rsidR="00B074CC" w:rsidRPr="001A1836" w:rsidRDefault="00B074CC" w:rsidP="00626054">
            <w:pPr>
              <w:rPr>
                <w:sz w:val="20"/>
                <w:szCs w:val="24"/>
              </w:rPr>
            </w:pPr>
            <w:r w:rsidRPr="001A1836">
              <w:rPr>
                <w:sz w:val="20"/>
                <w:szCs w:val="24"/>
              </w:rPr>
              <w:t>Moderate Service Level Failure</w:t>
            </w:r>
          </w:p>
        </w:tc>
        <w:tc>
          <w:tcPr>
            <w:tcW w:w="4678" w:type="dxa"/>
            <w:shd w:val="clear" w:color="auto" w:fill="auto"/>
          </w:tcPr>
          <w:p w14:paraId="43AAEEB9" w14:textId="77777777" w:rsidR="00CD28CF" w:rsidRPr="00C87D85" w:rsidRDefault="00CD28CF" w:rsidP="00CD28CF">
            <w:pPr>
              <w:rPr>
                <w:color w:val="000000" w:themeColor="text1"/>
                <w:sz w:val="20"/>
                <w:szCs w:val="24"/>
              </w:rPr>
            </w:pPr>
            <w:bookmarkStart w:id="896" w:name="_cp_change_158"/>
            <w:r w:rsidRPr="00C87D85">
              <w:rPr>
                <w:color w:val="000000" w:themeColor="text1"/>
                <w:sz w:val="20"/>
                <w:szCs w:val="24"/>
                <w:u w:color="0000FF"/>
              </w:rPr>
              <w:t>Relief Period – Between 70% and 60% inclusive</w:t>
            </w:r>
            <w:bookmarkStart w:id="897" w:name="_cp_change_157"/>
            <w:bookmarkEnd w:id="896"/>
          </w:p>
          <w:p w14:paraId="018C0C41" w14:textId="0F950F45" w:rsidR="00B074CC" w:rsidRPr="00C87D85" w:rsidRDefault="00CD28CF" w:rsidP="00CD28CF">
            <w:pPr>
              <w:rPr>
                <w:color w:val="000000" w:themeColor="text1"/>
                <w:sz w:val="20"/>
                <w:szCs w:val="24"/>
              </w:rPr>
            </w:pPr>
            <w:bookmarkStart w:id="898" w:name="_cp_change_159"/>
            <w:bookmarkEnd w:id="897"/>
            <w:r w:rsidRPr="00C87D85">
              <w:rPr>
                <w:color w:val="000000" w:themeColor="text1"/>
                <w:sz w:val="20"/>
                <w:szCs w:val="24"/>
                <w:u w:color="0000FF"/>
              </w:rPr>
              <w:t xml:space="preserve">Thereafter - </w:t>
            </w:r>
            <w:bookmarkEnd w:id="898"/>
            <w:r w:rsidR="00B074CC" w:rsidRPr="00C87D85">
              <w:rPr>
                <w:color w:val="000000" w:themeColor="text1"/>
                <w:sz w:val="20"/>
                <w:szCs w:val="24"/>
              </w:rPr>
              <w:t xml:space="preserve">Between 85% and </w:t>
            </w:r>
            <w:r w:rsidR="00EA4BD8" w:rsidRPr="00C87D85">
              <w:rPr>
                <w:color w:val="000000" w:themeColor="text1"/>
                <w:sz w:val="20"/>
                <w:szCs w:val="24"/>
              </w:rPr>
              <w:t>75</w:t>
            </w:r>
            <w:r w:rsidR="00B074CC" w:rsidRPr="00C87D85">
              <w:rPr>
                <w:color w:val="000000" w:themeColor="text1"/>
                <w:sz w:val="20"/>
                <w:szCs w:val="24"/>
              </w:rPr>
              <w:t>%</w:t>
            </w:r>
            <w:r w:rsidR="00EA4BD8" w:rsidRPr="00C87D85">
              <w:rPr>
                <w:color w:val="000000" w:themeColor="text1"/>
                <w:sz w:val="20"/>
                <w:szCs w:val="24"/>
              </w:rPr>
              <w:t xml:space="preserve"> inclusive</w:t>
            </w:r>
          </w:p>
        </w:tc>
        <w:tc>
          <w:tcPr>
            <w:tcW w:w="1899" w:type="dxa"/>
            <w:shd w:val="clear" w:color="auto" w:fill="auto"/>
          </w:tcPr>
          <w:p w14:paraId="74BECB23" w14:textId="77777777" w:rsidR="00B074CC" w:rsidRPr="00C87D85" w:rsidRDefault="00B074CC" w:rsidP="00626054">
            <w:pPr>
              <w:rPr>
                <w:color w:val="000000" w:themeColor="text1"/>
                <w:sz w:val="20"/>
                <w:szCs w:val="24"/>
              </w:rPr>
            </w:pPr>
            <w:r w:rsidRPr="00C87D85">
              <w:rPr>
                <w:color w:val="000000" w:themeColor="text1"/>
                <w:sz w:val="20"/>
                <w:szCs w:val="24"/>
              </w:rPr>
              <w:t>2.0</w:t>
            </w:r>
          </w:p>
        </w:tc>
      </w:tr>
      <w:tr w:rsidR="00B074CC" w:rsidRPr="001A1836" w14:paraId="6EC42B07" w14:textId="77777777" w:rsidTr="004F1C82">
        <w:trPr>
          <w:cantSplit/>
        </w:trPr>
        <w:tc>
          <w:tcPr>
            <w:tcW w:w="2029" w:type="dxa"/>
            <w:shd w:val="clear" w:color="auto" w:fill="auto"/>
          </w:tcPr>
          <w:p w14:paraId="210FD951" w14:textId="77777777" w:rsidR="00B074CC" w:rsidRPr="001A1836" w:rsidRDefault="00B074CC" w:rsidP="00626054">
            <w:pPr>
              <w:rPr>
                <w:sz w:val="20"/>
                <w:szCs w:val="24"/>
              </w:rPr>
            </w:pPr>
            <w:r w:rsidRPr="001A1836">
              <w:rPr>
                <w:sz w:val="20"/>
                <w:szCs w:val="24"/>
              </w:rPr>
              <w:t>Major Service Level Failure</w:t>
            </w:r>
          </w:p>
        </w:tc>
        <w:tc>
          <w:tcPr>
            <w:tcW w:w="4678" w:type="dxa"/>
            <w:shd w:val="clear" w:color="auto" w:fill="auto"/>
          </w:tcPr>
          <w:p w14:paraId="4D2D4C1B" w14:textId="77777777" w:rsidR="004857E6" w:rsidRPr="00C87D85" w:rsidRDefault="004857E6" w:rsidP="004857E6">
            <w:pPr>
              <w:rPr>
                <w:color w:val="000000" w:themeColor="text1"/>
                <w:sz w:val="20"/>
                <w:szCs w:val="24"/>
              </w:rPr>
            </w:pPr>
            <w:bookmarkStart w:id="899" w:name="_cp_change_161"/>
            <w:r w:rsidRPr="00C87D85">
              <w:rPr>
                <w:color w:val="000000" w:themeColor="text1"/>
                <w:sz w:val="20"/>
                <w:szCs w:val="24"/>
                <w:u w:color="0000FF"/>
              </w:rPr>
              <w:t>Relief Period – Less than 60%</w:t>
            </w:r>
            <w:bookmarkStart w:id="900" w:name="_cp_change_160"/>
            <w:bookmarkEnd w:id="899"/>
          </w:p>
          <w:p w14:paraId="7810BBDC" w14:textId="5DCD7B0D" w:rsidR="00B074CC" w:rsidRPr="00C87D85" w:rsidRDefault="004857E6" w:rsidP="004857E6">
            <w:pPr>
              <w:rPr>
                <w:color w:val="000000" w:themeColor="text1"/>
                <w:sz w:val="20"/>
                <w:szCs w:val="24"/>
              </w:rPr>
            </w:pPr>
            <w:bookmarkStart w:id="901" w:name="_cp_change_162"/>
            <w:bookmarkEnd w:id="900"/>
            <w:r w:rsidRPr="00C87D85">
              <w:rPr>
                <w:color w:val="000000" w:themeColor="text1"/>
                <w:sz w:val="20"/>
                <w:szCs w:val="24"/>
                <w:u w:color="0000FF"/>
              </w:rPr>
              <w:t xml:space="preserve">Thereafter - </w:t>
            </w:r>
            <w:bookmarkEnd w:id="901"/>
            <w:r w:rsidR="00B074CC" w:rsidRPr="00C87D85">
              <w:rPr>
                <w:color w:val="000000" w:themeColor="text1"/>
                <w:sz w:val="20"/>
                <w:szCs w:val="24"/>
              </w:rPr>
              <w:t>Less than 75%</w:t>
            </w:r>
          </w:p>
        </w:tc>
        <w:tc>
          <w:tcPr>
            <w:tcW w:w="1899" w:type="dxa"/>
            <w:shd w:val="clear" w:color="auto" w:fill="auto"/>
          </w:tcPr>
          <w:p w14:paraId="3503D30B" w14:textId="77777777" w:rsidR="00B074CC" w:rsidRPr="00C87D85" w:rsidRDefault="00B074CC" w:rsidP="00626054">
            <w:pPr>
              <w:rPr>
                <w:color w:val="000000" w:themeColor="text1"/>
                <w:sz w:val="20"/>
                <w:szCs w:val="24"/>
              </w:rPr>
            </w:pPr>
            <w:r w:rsidRPr="00C87D85">
              <w:rPr>
                <w:color w:val="000000" w:themeColor="text1"/>
                <w:sz w:val="20"/>
                <w:szCs w:val="24"/>
              </w:rPr>
              <w:t>3.0</w:t>
            </w:r>
          </w:p>
        </w:tc>
      </w:tr>
    </w:tbl>
    <w:p w14:paraId="76B3AA2B" w14:textId="77777777" w:rsidR="00B074CC" w:rsidRPr="001A1836" w:rsidRDefault="00B074CC" w:rsidP="00626054">
      <w:pPr>
        <w:spacing w:after="0"/>
        <w:rPr>
          <w:sz w:val="20"/>
          <w:szCs w:val="24"/>
        </w:rPr>
      </w:pPr>
    </w:p>
    <w:p w14:paraId="659432EC" w14:textId="77777777" w:rsidR="00B074CC" w:rsidRPr="001A1836" w:rsidRDefault="00B074CC" w:rsidP="00626054">
      <w:pPr>
        <w:spacing w:after="0"/>
        <w:rPr>
          <w:sz w:val="20"/>
          <w:szCs w:val="24"/>
        </w:rPr>
      </w:pPr>
      <w:r w:rsidRPr="001A1836">
        <w:rPr>
          <w:sz w:val="20"/>
          <w:szCs w:val="24"/>
        </w:rPr>
        <w:br w:type="page"/>
      </w:r>
    </w:p>
    <w:p w14:paraId="017278F5" w14:textId="77777777" w:rsidR="00B074CC" w:rsidRPr="001A1836" w:rsidRDefault="00B074CC" w:rsidP="00626054">
      <w:pPr>
        <w:spacing w:after="0"/>
        <w:rPr>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4678"/>
        <w:gridCol w:w="1899"/>
      </w:tblGrid>
      <w:tr w:rsidR="00B074CC" w:rsidRPr="001A1836" w14:paraId="0ECEC63D" w14:textId="77777777" w:rsidTr="009E2E92">
        <w:trPr>
          <w:tblHeader/>
        </w:trPr>
        <w:tc>
          <w:tcPr>
            <w:tcW w:w="2029" w:type="dxa"/>
            <w:shd w:val="clear" w:color="auto" w:fill="auto"/>
          </w:tcPr>
          <w:p w14:paraId="1F96EDBA" w14:textId="77777777" w:rsidR="00B074CC" w:rsidRPr="001A1836" w:rsidRDefault="00B074CC" w:rsidP="00626054">
            <w:pPr>
              <w:rPr>
                <w:b/>
                <w:szCs w:val="24"/>
              </w:rPr>
            </w:pPr>
            <w:r w:rsidRPr="001A1836">
              <w:rPr>
                <w:b/>
                <w:szCs w:val="24"/>
              </w:rPr>
              <w:t>SL12</w:t>
            </w:r>
          </w:p>
        </w:tc>
        <w:tc>
          <w:tcPr>
            <w:tcW w:w="6577" w:type="dxa"/>
            <w:gridSpan w:val="2"/>
            <w:shd w:val="clear" w:color="auto" w:fill="auto"/>
          </w:tcPr>
          <w:p w14:paraId="7C2ABE2D" w14:textId="77777777" w:rsidR="00B074CC" w:rsidRPr="001A1836" w:rsidRDefault="00B074CC" w:rsidP="00626054">
            <w:pPr>
              <w:rPr>
                <w:b/>
                <w:szCs w:val="24"/>
              </w:rPr>
            </w:pPr>
            <w:r w:rsidRPr="001A1836">
              <w:rPr>
                <w:b/>
                <w:szCs w:val="24"/>
              </w:rPr>
              <w:t>% of technical calls answered within 180 seconds by technical staff</w:t>
            </w:r>
          </w:p>
        </w:tc>
      </w:tr>
      <w:tr w:rsidR="00B074CC" w:rsidRPr="001A1836" w14:paraId="07547BDE" w14:textId="77777777" w:rsidTr="004F1C82">
        <w:tc>
          <w:tcPr>
            <w:tcW w:w="2029" w:type="dxa"/>
            <w:shd w:val="clear" w:color="auto" w:fill="auto"/>
          </w:tcPr>
          <w:p w14:paraId="2D97D406" w14:textId="58863A96" w:rsidR="00B074CC" w:rsidRPr="001A1836" w:rsidRDefault="00B074CC" w:rsidP="00626054">
            <w:pPr>
              <w:rPr>
                <w:sz w:val="20"/>
                <w:szCs w:val="24"/>
              </w:rPr>
            </w:pPr>
            <w:r w:rsidRPr="001A1836">
              <w:rPr>
                <w:sz w:val="20"/>
                <w:szCs w:val="24"/>
              </w:rPr>
              <w:t xml:space="preserve">Service </w:t>
            </w:r>
            <w:r w:rsidR="00747264" w:rsidRPr="001A1836">
              <w:rPr>
                <w:sz w:val="20"/>
                <w:szCs w:val="24"/>
              </w:rPr>
              <w:t>L</w:t>
            </w:r>
            <w:r w:rsidRPr="001A1836">
              <w:rPr>
                <w:sz w:val="20"/>
                <w:szCs w:val="24"/>
              </w:rPr>
              <w:t>evel description</w:t>
            </w:r>
          </w:p>
        </w:tc>
        <w:tc>
          <w:tcPr>
            <w:tcW w:w="6577" w:type="dxa"/>
            <w:gridSpan w:val="2"/>
            <w:shd w:val="clear" w:color="auto" w:fill="auto"/>
          </w:tcPr>
          <w:p w14:paraId="34ADB70F" w14:textId="77777777" w:rsidR="00B074CC" w:rsidRPr="001A1836" w:rsidRDefault="00B074CC" w:rsidP="00626054">
            <w:pPr>
              <w:rPr>
                <w:sz w:val="20"/>
                <w:szCs w:val="24"/>
              </w:rPr>
            </w:pPr>
            <w:r w:rsidRPr="001A1836">
              <w:rPr>
                <w:sz w:val="20"/>
                <w:szCs w:val="24"/>
              </w:rPr>
              <w:t>The number of calls to the technical helpline answered within 180 seconds by a member of technical staff expressed as a percentage of the total number of technical calls answered.</w:t>
            </w:r>
          </w:p>
        </w:tc>
      </w:tr>
      <w:tr w:rsidR="00B074CC" w:rsidRPr="001A1836" w14:paraId="76ACF88B" w14:textId="77777777" w:rsidTr="004F1C82">
        <w:tc>
          <w:tcPr>
            <w:tcW w:w="2029" w:type="dxa"/>
            <w:shd w:val="clear" w:color="auto" w:fill="auto"/>
          </w:tcPr>
          <w:p w14:paraId="4F2096B7" w14:textId="30827565" w:rsidR="00B074CC" w:rsidRPr="001A1836" w:rsidRDefault="00B074CC" w:rsidP="00626054">
            <w:pPr>
              <w:rPr>
                <w:sz w:val="20"/>
                <w:szCs w:val="24"/>
              </w:rPr>
            </w:pPr>
            <w:r w:rsidRPr="001A1836">
              <w:rPr>
                <w:sz w:val="20"/>
                <w:szCs w:val="24"/>
              </w:rPr>
              <w:t xml:space="preserve">Service </w:t>
            </w:r>
            <w:r w:rsidR="00747264" w:rsidRPr="001A1836">
              <w:rPr>
                <w:sz w:val="20"/>
                <w:szCs w:val="24"/>
              </w:rPr>
              <w:t>L</w:t>
            </w:r>
            <w:r w:rsidRPr="001A1836">
              <w:rPr>
                <w:sz w:val="20"/>
                <w:szCs w:val="24"/>
              </w:rPr>
              <w:t>evel calculation</w:t>
            </w:r>
          </w:p>
        </w:tc>
        <w:tc>
          <w:tcPr>
            <w:tcW w:w="6577" w:type="dxa"/>
            <w:gridSpan w:val="2"/>
            <w:shd w:val="clear" w:color="auto" w:fill="auto"/>
          </w:tcPr>
          <w:p w14:paraId="3042C49F" w14:textId="77777777" w:rsidR="00B074CC" w:rsidRPr="001A1836" w:rsidRDefault="00B074CC" w:rsidP="00626054">
            <w:pPr>
              <w:rPr>
                <w:sz w:val="20"/>
                <w:szCs w:val="24"/>
              </w:rPr>
            </w:pPr>
            <w:r w:rsidRPr="001A1836">
              <w:rPr>
                <w:sz w:val="20"/>
                <w:szCs w:val="24"/>
              </w:rPr>
              <w:t>A / B x 100</w:t>
            </w:r>
          </w:p>
          <w:p w14:paraId="0C7DCEF2" w14:textId="77777777" w:rsidR="00B074CC" w:rsidRPr="001A1836" w:rsidRDefault="00B074CC" w:rsidP="00626054">
            <w:pPr>
              <w:rPr>
                <w:sz w:val="20"/>
                <w:szCs w:val="24"/>
              </w:rPr>
            </w:pPr>
          </w:p>
          <w:p w14:paraId="5178E2D2" w14:textId="77777777" w:rsidR="00B074CC" w:rsidRPr="001A1836" w:rsidRDefault="00B074CC" w:rsidP="00626054">
            <w:pPr>
              <w:rPr>
                <w:sz w:val="20"/>
                <w:szCs w:val="24"/>
              </w:rPr>
            </w:pPr>
            <w:r w:rsidRPr="001A1836">
              <w:rPr>
                <w:sz w:val="20"/>
                <w:szCs w:val="24"/>
              </w:rPr>
              <w:t>Where:</w:t>
            </w:r>
          </w:p>
          <w:p w14:paraId="25A26204" w14:textId="77777777" w:rsidR="00B074CC" w:rsidRPr="001A1836" w:rsidRDefault="00B074CC" w:rsidP="00626054">
            <w:pPr>
              <w:rPr>
                <w:sz w:val="20"/>
                <w:szCs w:val="24"/>
              </w:rPr>
            </w:pPr>
            <w:r w:rsidRPr="001A1836">
              <w:rPr>
                <w:sz w:val="20"/>
                <w:szCs w:val="24"/>
              </w:rPr>
              <w:t>A = Number of technical calls answered by technical staff within 180 seconds</w:t>
            </w:r>
          </w:p>
          <w:p w14:paraId="6196F11E" w14:textId="77777777" w:rsidR="00B074CC" w:rsidRPr="001A1836" w:rsidRDefault="00B074CC" w:rsidP="00626054">
            <w:pPr>
              <w:rPr>
                <w:sz w:val="20"/>
                <w:szCs w:val="24"/>
              </w:rPr>
            </w:pPr>
            <w:r w:rsidRPr="001A1836">
              <w:rPr>
                <w:sz w:val="20"/>
                <w:szCs w:val="24"/>
              </w:rPr>
              <w:t>B = Total number of technical calls answered by technical staff</w:t>
            </w:r>
          </w:p>
        </w:tc>
      </w:tr>
      <w:tr w:rsidR="00B074CC" w:rsidRPr="001A1836" w14:paraId="50047C82" w14:textId="77777777" w:rsidTr="004F1C82">
        <w:tc>
          <w:tcPr>
            <w:tcW w:w="2029" w:type="dxa"/>
            <w:shd w:val="clear" w:color="auto" w:fill="auto"/>
          </w:tcPr>
          <w:p w14:paraId="64C7D4DF" w14:textId="4977CAA3" w:rsidR="00B074CC" w:rsidRPr="001A1836" w:rsidRDefault="00B074CC" w:rsidP="00626054">
            <w:pPr>
              <w:rPr>
                <w:sz w:val="20"/>
                <w:szCs w:val="24"/>
              </w:rPr>
            </w:pPr>
            <w:r w:rsidRPr="001A1836">
              <w:rPr>
                <w:sz w:val="20"/>
                <w:szCs w:val="24"/>
              </w:rPr>
              <w:t xml:space="preserve">Reporting frequency </w:t>
            </w:r>
          </w:p>
        </w:tc>
        <w:tc>
          <w:tcPr>
            <w:tcW w:w="6577" w:type="dxa"/>
            <w:gridSpan w:val="2"/>
            <w:shd w:val="clear" w:color="auto" w:fill="auto"/>
          </w:tcPr>
          <w:p w14:paraId="613E49E6" w14:textId="77777777" w:rsidR="00B074CC" w:rsidRPr="001A1836" w:rsidRDefault="00B074CC" w:rsidP="00626054">
            <w:pPr>
              <w:rPr>
                <w:sz w:val="20"/>
                <w:szCs w:val="24"/>
              </w:rPr>
            </w:pPr>
            <w:r w:rsidRPr="001A1836">
              <w:rPr>
                <w:sz w:val="20"/>
                <w:szCs w:val="24"/>
              </w:rPr>
              <w:t>Performance is reported monthly.</w:t>
            </w:r>
          </w:p>
          <w:p w14:paraId="2DA5E30F" w14:textId="490592EC" w:rsidR="00B876A2" w:rsidRPr="001A1836" w:rsidRDefault="00B876A2" w:rsidP="004F1C82">
            <w:pPr>
              <w:rPr>
                <w:sz w:val="20"/>
                <w:szCs w:val="24"/>
              </w:rPr>
            </w:pPr>
          </w:p>
        </w:tc>
      </w:tr>
      <w:tr w:rsidR="004F1C82" w:rsidRPr="001A1836" w14:paraId="4FBC9C77" w14:textId="77777777" w:rsidTr="004F1C82">
        <w:tc>
          <w:tcPr>
            <w:tcW w:w="2029" w:type="dxa"/>
            <w:shd w:val="clear" w:color="auto" w:fill="auto"/>
          </w:tcPr>
          <w:p w14:paraId="73B8ECC8" w14:textId="3BE8D47C" w:rsidR="004F1C82" w:rsidRPr="001A1836" w:rsidDel="00B20DB7" w:rsidRDefault="004F1C82" w:rsidP="004F1C82">
            <w:pPr>
              <w:rPr>
                <w:sz w:val="20"/>
                <w:szCs w:val="24"/>
              </w:rPr>
            </w:pPr>
            <w:r w:rsidRPr="001A1836">
              <w:rPr>
                <w:sz w:val="20"/>
                <w:szCs w:val="24"/>
              </w:rPr>
              <w:t>Service Measurement Period</w:t>
            </w:r>
          </w:p>
        </w:tc>
        <w:tc>
          <w:tcPr>
            <w:tcW w:w="6577" w:type="dxa"/>
            <w:gridSpan w:val="2"/>
            <w:shd w:val="clear" w:color="auto" w:fill="auto"/>
          </w:tcPr>
          <w:p w14:paraId="16D95422" w14:textId="77777777" w:rsidR="004F1C82" w:rsidRPr="001A1836" w:rsidRDefault="004F1C82" w:rsidP="004F1C82">
            <w:pPr>
              <w:rPr>
                <w:sz w:val="20"/>
                <w:szCs w:val="24"/>
              </w:rPr>
            </w:pPr>
            <w:r w:rsidRPr="001A1836">
              <w:rPr>
                <w:sz w:val="20"/>
                <w:szCs w:val="24"/>
              </w:rPr>
              <w:t>Service Credits are calculated monthly.</w:t>
            </w:r>
          </w:p>
          <w:p w14:paraId="1860AC3F" w14:textId="77777777" w:rsidR="004F1C82" w:rsidRPr="001A1836" w:rsidRDefault="004F1C82" w:rsidP="004F1C82">
            <w:pPr>
              <w:rPr>
                <w:sz w:val="20"/>
                <w:szCs w:val="24"/>
              </w:rPr>
            </w:pPr>
          </w:p>
        </w:tc>
      </w:tr>
      <w:tr w:rsidR="004F1C82" w:rsidRPr="001A1836" w14:paraId="1C311FF8" w14:textId="77777777" w:rsidTr="004F1C82">
        <w:tc>
          <w:tcPr>
            <w:tcW w:w="2029" w:type="dxa"/>
            <w:shd w:val="clear" w:color="auto" w:fill="auto"/>
          </w:tcPr>
          <w:p w14:paraId="1F4BBAE0" w14:textId="6E2C67B8" w:rsidR="004F1C82" w:rsidRPr="001A1836" w:rsidDel="00B20DB7" w:rsidRDefault="004F1C82" w:rsidP="004F1C82">
            <w:pPr>
              <w:rPr>
                <w:sz w:val="20"/>
                <w:szCs w:val="24"/>
              </w:rPr>
            </w:pPr>
            <w:r w:rsidRPr="001A1836">
              <w:rPr>
                <w:sz w:val="20"/>
                <w:szCs w:val="24"/>
              </w:rPr>
              <w:t>Service Point Application Period</w:t>
            </w:r>
          </w:p>
        </w:tc>
        <w:tc>
          <w:tcPr>
            <w:tcW w:w="6577" w:type="dxa"/>
            <w:gridSpan w:val="2"/>
            <w:shd w:val="clear" w:color="auto" w:fill="auto"/>
          </w:tcPr>
          <w:p w14:paraId="374CE670" w14:textId="280A8F7F" w:rsidR="004F1C82" w:rsidRPr="001A1836" w:rsidRDefault="00EA4BD8" w:rsidP="004F1C82">
            <w:pPr>
              <w:rPr>
                <w:sz w:val="20"/>
                <w:szCs w:val="24"/>
              </w:rPr>
            </w:pPr>
            <w:r w:rsidRPr="001A1836">
              <w:rPr>
                <w:sz w:val="20"/>
                <w:szCs w:val="24"/>
              </w:rPr>
              <w:t xml:space="preserve">Service Points are applied monthly against </w:t>
            </w:r>
            <w:r>
              <w:rPr>
                <w:sz w:val="20"/>
                <w:szCs w:val="24"/>
              </w:rPr>
              <w:t xml:space="preserve">one twelfth of the sum of </w:t>
            </w:r>
            <w:r w:rsidRPr="001A1836">
              <w:rPr>
                <w:sz w:val="20"/>
                <w:szCs w:val="24"/>
              </w:rPr>
              <w:t xml:space="preserve">the Provider’s </w:t>
            </w:r>
            <w:r>
              <w:rPr>
                <w:sz w:val="20"/>
                <w:szCs w:val="24"/>
              </w:rPr>
              <w:t>annual</w:t>
            </w:r>
            <w:r w:rsidRPr="001A1836">
              <w:rPr>
                <w:sz w:val="20"/>
                <w:szCs w:val="24"/>
              </w:rPr>
              <w:t xml:space="preserve"> </w:t>
            </w:r>
            <w:r>
              <w:rPr>
                <w:sz w:val="20"/>
                <w:szCs w:val="24"/>
              </w:rPr>
              <w:t>A</w:t>
            </w:r>
            <w:r w:rsidRPr="001A1836">
              <w:rPr>
                <w:sz w:val="20"/>
                <w:szCs w:val="24"/>
              </w:rPr>
              <w:t xml:space="preserve">greed Operating Costs plus </w:t>
            </w:r>
            <w:r>
              <w:rPr>
                <w:sz w:val="20"/>
                <w:szCs w:val="24"/>
              </w:rPr>
              <w:t>Provider Profit</w:t>
            </w:r>
            <w:r w:rsidR="004F1C82" w:rsidRPr="001A1836">
              <w:rPr>
                <w:sz w:val="20"/>
                <w:szCs w:val="24"/>
              </w:rPr>
              <w:t>.</w:t>
            </w:r>
          </w:p>
        </w:tc>
      </w:tr>
      <w:tr w:rsidR="00B074CC" w:rsidRPr="001A1836" w14:paraId="127DC7B3" w14:textId="77777777" w:rsidTr="004F1C82">
        <w:tc>
          <w:tcPr>
            <w:tcW w:w="2029" w:type="dxa"/>
            <w:shd w:val="clear" w:color="auto" w:fill="auto"/>
          </w:tcPr>
          <w:p w14:paraId="57295AB2" w14:textId="77777777" w:rsidR="00B074CC" w:rsidRPr="001A1836" w:rsidRDefault="00B074CC" w:rsidP="00626054">
            <w:pPr>
              <w:rPr>
                <w:sz w:val="20"/>
                <w:szCs w:val="24"/>
              </w:rPr>
            </w:pPr>
            <w:r w:rsidRPr="001A1836">
              <w:rPr>
                <w:sz w:val="20"/>
                <w:szCs w:val="24"/>
              </w:rPr>
              <w:t>Data capture</w:t>
            </w:r>
          </w:p>
        </w:tc>
        <w:tc>
          <w:tcPr>
            <w:tcW w:w="6577" w:type="dxa"/>
            <w:gridSpan w:val="2"/>
            <w:shd w:val="clear" w:color="auto" w:fill="auto"/>
          </w:tcPr>
          <w:p w14:paraId="688945D7" w14:textId="77777777" w:rsidR="00B074CC" w:rsidRPr="001A1836" w:rsidRDefault="00B074CC">
            <w:pPr>
              <w:numPr>
                <w:ilvl w:val="0"/>
                <w:numId w:val="29"/>
              </w:numPr>
              <w:rPr>
                <w:sz w:val="20"/>
                <w:szCs w:val="24"/>
              </w:rPr>
            </w:pPr>
            <w:r w:rsidRPr="001A1836">
              <w:rPr>
                <w:sz w:val="20"/>
                <w:szCs w:val="24"/>
              </w:rPr>
              <w:t>Number of calls answered by technical helpline staff</w:t>
            </w:r>
          </w:p>
          <w:p w14:paraId="75492783" w14:textId="77777777" w:rsidR="00B074CC" w:rsidRPr="001A1836" w:rsidRDefault="00B074CC">
            <w:pPr>
              <w:numPr>
                <w:ilvl w:val="0"/>
                <w:numId w:val="29"/>
              </w:numPr>
              <w:rPr>
                <w:sz w:val="20"/>
                <w:szCs w:val="24"/>
              </w:rPr>
            </w:pPr>
            <w:r w:rsidRPr="001A1836">
              <w:rPr>
                <w:sz w:val="20"/>
                <w:szCs w:val="24"/>
              </w:rPr>
              <w:t>Number of calls answered by technical helpline staff within 180 seconds</w:t>
            </w:r>
          </w:p>
        </w:tc>
      </w:tr>
      <w:tr w:rsidR="00B074CC" w:rsidRPr="001A1836" w14:paraId="57F2EFD1" w14:textId="77777777" w:rsidTr="004F1C82">
        <w:tc>
          <w:tcPr>
            <w:tcW w:w="2029" w:type="dxa"/>
            <w:shd w:val="clear" w:color="auto" w:fill="auto"/>
          </w:tcPr>
          <w:p w14:paraId="7E62E249" w14:textId="77777777" w:rsidR="00B074CC" w:rsidRPr="001A1836" w:rsidRDefault="00B074CC" w:rsidP="00626054">
            <w:pPr>
              <w:rPr>
                <w:sz w:val="20"/>
                <w:szCs w:val="24"/>
              </w:rPr>
            </w:pPr>
            <w:r w:rsidRPr="001A1836">
              <w:rPr>
                <w:sz w:val="20"/>
                <w:szCs w:val="24"/>
              </w:rPr>
              <w:t>Impact</w:t>
            </w:r>
          </w:p>
        </w:tc>
        <w:tc>
          <w:tcPr>
            <w:tcW w:w="6577" w:type="dxa"/>
            <w:gridSpan w:val="2"/>
            <w:shd w:val="clear" w:color="auto" w:fill="auto"/>
          </w:tcPr>
          <w:p w14:paraId="328FF691" w14:textId="77777777" w:rsidR="00B074CC" w:rsidRPr="001A1836" w:rsidRDefault="00B074CC" w:rsidP="00626054">
            <w:pPr>
              <w:rPr>
                <w:sz w:val="20"/>
                <w:szCs w:val="24"/>
              </w:rPr>
            </w:pPr>
            <w:r w:rsidRPr="001A1836">
              <w:rPr>
                <w:sz w:val="20"/>
                <w:szCs w:val="24"/>
              </w:rPr>
              <w:t>Medium</w:t>
            </w:r>
          </w:p>
        </w:tc>
      </w:tr>
      <w:tr w:rsidR="00B074CC" w:rsidRPr="001A1836" w14:paraId="7773D0E0" w14:textId="77777777" w:rsidTr="004F1C82">
        <w:tc>
          <w:tcPr>
            <w:tcW w:w="2029" w:type="dxa"/>
            <w:shd w:val="clear" w:color="auto" w:fill="auto"/>
          </w:tcPr>
          <w:p w14:paraId="1DE70848" w14:textId="77777777" w:rsidR="00B074CC" w:rsidRPr="001A1836" w:rsidRDefault="00B074CC" w:rsidP="00626054">
            <w:pPr>
              <w:rPr>
                <w:sz w:val="20"/>
                <w:szCs w:val="24"/>
              </w:rPr>
            </w:pPr>
            <w:r w:rsidRPr="001A1836">
              <w:rPr>
                <w:sz w:val="20"/>
                <w:szCs w:val="24"/>
              </w:rPr>
              <w:t>Criticality</w:t>
            </w:r>
          </w:p>
        </w:tc>
        <w:tc>
          <w:tcPr>
            <w:tcW w:w="6577" w:type="dxa"/>
            <w:gridSpan w:val="2"/>
            <w:shd w:val="clear" w:color="auto" w:fill="auto"/>
          </w:tcPr>
          <w:p w14:paraId="43358673" w14:textId="77777777" w:rsidR="00B074CC" w:rsidRPr="001A1836" w:rsidRDefault="00B074CC" w:rsidP="00626054">
            <w:pPr>
              <w:rPr>
                <w:sz w:val="20"/>
                <w:szCs w:val="24"/>
              </w:rPr>
            </w:pPr>
            <w:r w:rsidRPr="001A1836">
              <w:rPr>
                <w:sz w:val="20"/>
                <w:szCs w:val="24"/>
              </w:rPr>
              <w:t>B</w:t>
            </w:r>
          </w:p>
        </w:tc>
      </w:tr>
      <w:tr w:rsidR="00B074CC" w:rsidRPr="001A1836" w14:paraId="0743D173" w14:textId="77777777" w:rsidTr="004F1C82">
        <w:tc>
          <w:tcPr>
            <w:tcW w:w="2029" w:type="dxa"/>
            <w:shd w:val="clear" w:color="auto" w:fill="auto"/>
          </w:tcPr>
          <w:p w14:paraId="31211F2E" w14:textId="77777777" w:rsidR="00B074CC" w:rsidRPr="001A1836" w:rsidRDefault="00B074CC" w:rsidP="00626054">
            <w:pPr>
              <w:rPr>
                <w:sz w:val="20"/>
                <w:szCs w:val="24"/>
              </w:rPr>
            </w:pPr>
            <w:r w:rsidRPr="001A1836">
              <w:rPr>
                <w:sz w:val="20"/>
                <w:szCs w:val="24"/>
              </w:rPr>
              <w:t>Service Level Performance Measure</w:t>
            </w:r>
          </w:p>
        </w:tc>
        <w:tc>
          <w:tcPr>
            <w:tcW w:w="6577" w:type="dxa"/>
            <w:gridSpan w:val="2"/>
            <w:shd w:val="clear" w:color="auto" w:fill="auto"/>
          </w:tcPr>
          <w:p w14:paraId="711F16E7" w14:textId="3483513C" w:rsidR="00B074CC" w:rsidRPr="00731B08" w:rsidRDefault="00967E56" w:rsidP="00626054">
            <w:pPr>
              <w:rPr>
                <w:sz w:val="20"/>
                <w:szCs w:val="24"/>
              </w:rPr>
            </w:pPr>
            <w:bookmarkStart w:id="902" w:name="_cp_change_163"/>
            <w:bookmarkStart w:id="903" w:name="_cp_change_164"/>
            <w:bookmarkEnd w:id="902"/>
            <w:r w:rsidRPr="00731B08">
              <w:rPr>
                <w:sz w:val="20"/>
                <w:szCs w:val="24"/>
                <w:u w:color="0000FF"/>
              </w:rPr>
              <w:t>Relief Period – 85</w:t>
            </w:r>
            <w:bookmarkEnd w:id="903"/>
            <w:r w:rsidR="00B074CC" w:rsidRPr="00731B08">
              <w:rPr>
                <w:sz w:val="20"/>
                <w:szCs w:val="24"/>
              </w:rPr>
              <w:t>% of technical calls answered within 180 seconds</w:t>
            </w:r>
          </w:p>
          <w:p w14:paraId="5EB600A6" w14:textId="394167D1" w:rsidR="00CC3BD8" w:rsidRPr="00731B08" w:rsidRDefault="00CC3BD8" w:rsidP="00626054">
            <w:pPr>
              <w:rPr>
                <w:sz w:val="20"/>
                <w:szCs w:val="24"/>
              </w:rPr>
            </w:pPr>
            <w:bookmarkStart w:id="904" w:name="_cp_change_168"/>
            <w:r w:rsidRPr="00731B08">
              <w:rPr>
                <w:sz w:val="20"/>
                <w:szCs w:val="24"/>
                <w:u w:color="0000FF"/>
              </w:rPr>
              <w:t>Thereafter - 90% of technical calls answered within 180 seconds</w:t>
            </w:r>
            <w:bookmarkEnd w:id="904"/>
          </w:p>
        </w:tc>
      </w:tr>
      <w:tr w:rsidR="00B074CC" w:rsidRPr="001A1836" w14:paraId="2B09CDAA" w14:textId="77777777" w:rsidTr="004F1C82">
        <w:tc>
          <w:tcPr>
            <w:tcW w:w="2029" w:type="dxa"/>
            <w:shd w:val="clear" w:color="auto" w:fill="auto"/>
          </w:tcPr>
          <w:p w14:paraId="4FC6E6E4" w14:textId="77777777" w:rsidR="00B074CC" w:rsidRPr="001A1836" w:rsidRDefault="00B074CC" w:rsidP="00626054">
            <w:pPr>
              <w:rPr>
                <w:sz w:val="20"/>
                <w:szCs w:val="24"/>
              </w:rPr>
            </w:pPr>
          </w:p>
        </w:tc>
        <w:tc>
          <w:tcPr>
            <w:tcW w:w="4678" w:type="dxa"/>
            <w:shd w:val="clear" w:color="auto" w:fill="auto"/>
          </w:tcPr>
          <w:p w14:paraId="1C94A8EC" w14:textId="77777777" w:rsidR="00B074CC" w:rsidRPr="00731B08" w:rsidRDefault="00B074CC" w:rsidP="00626054">
            <w:pPr>
              <w:rPr>
                <w:b/>
                <w:sz w:val="20"/>
                <w:szCs w:val="24"/>
              </w:rPr>
            </w:pPr>
            <w:r w:rsidRPr="00731B08">
              <w:rPr>
                <w:b/>
                <w:sz w:val="20"/>
                <w:szCs w:val="24"/>
              </w:rPr>
              <w:t>Service Level Performance Measure</w:t>
            </w:r>
          </w:p>
        </w:tc>
        <w:tc>
          <w:tcPr>
            <w:tcW w:w="1899" w:type="dxa"/>
            <w:shd w:val="clear" w:color="auto" w:fill="auto"/>
          </w:tcPr>
          <w:p w14:paraId="0E213563" w14:textId="77777777" w:rsidR="00B074CC" w:rsidRPr="00731B08" w:rsidRDefault="00B074CC" w:rsidP="00626054">
            <w:pPr>
              <w:rPr>
                <w:b/>
                <w:sz w:val="20"/>
                <w:szCs w:val="24"/>
              </w:rPr>
            </w:pPr>
            <w:r w:rsidRPr="00731B08">
              <w:rPr>
                <w:b/>
                <w:sz w:val="20"/>
                <w:szCs w:val="24"/>
              </w:rPr>
              <w:t>Service points</w:t>
            </w:r>
          </w:p>
        </w:tc>
      </w:tr>
      <w:tr w:rsidR="00B074CC" w:rsidRPr="001A1836" w14:paraId="6F6A38D1" w14:textId="77777777" w:rsidTr="004F1C82">
        <w:tc>
          <w:tcPr>
            <w:tcW w:w="2029" w:type="dxa"/>
            <w:shd w:val="clear" w:color="auto" w:fill="auto"/>
          </w:tcPr>
          <w:p w14:paraId="3223BD2A" w14:textId="75E2453E" w:rsidR="00B074CC" w:rsidRPr="001A1836" w:rsidRDefault="00B074CC" w:rsidP="00626054">
            <w:pPr>
              <w:rPr>
                <w:sz w:val="20"/>
                <w:szCs w:val="24"/>
              </w:rPr>
            </w:pPr>
            <w:r w:rsidRPr="001A1836">
              <w:rPr>
                <w:sz w:val="20"/>
                <w:szCs w:val="24"/>
              </w:rPr>
              <w:t xml:space="preserve">Service </w:t>
            </w:r>
            <w:r w:rsidR="00747264" w:rsidRPr="001A1836">
              <w:rPr>
                <w:sz w:val="20"/>
                <w:szCs w:val="24"/>
              </w:rPr>
              <w:t>L</w:t>
            </w:r>
            <w:r w:rsidRPr="001A1836">
              <w:rPr>
                <w:sz w:val="20"/>
                <w:szCs w:val="24"/>
              </w:rPr>
              <w:t>evel met</w:t>
            </w:r>
          </w:p>
        </w:tc>
        <w:tc>
          <w:tcPr>
            <w:tcW w:w="4678" w:type="dxa"/>
            <w:shd w:val="clear" w:color="auto" w:fill="auto"/>
          </w:tcPr>
          <w:p w14:paraId="536753B4" w14:textId="77777777" w:rsidR="004F05B3" w:rsidRPr="00731B08" w:rsidRDefault="004F05B3" w:rsidP="004F05B3">
            <w:pPr>
              <w:rPr>
                <w:sz w:val="20"/>
                <w:szCs w:val="24"/>
              </w:rPr>
            </w:pPr>
            <w:bookmarkStart w:id="905" w:name="_cp_change_170"/>
            <w:r w:rsidRPr="00731B08">
              <w:rPr>
                <w:sz w:val="20"/>
                <w:szCs w:val="24"/>
                <w:u w:color="0000FF"/>
              </w:rPr>
              <w:t>Relief Period – 85%</w:t>
            </w:r>
            <w:bookmarkStart w:id="906" w:name="_cp_change_169"/>
            <w:bookmarkEnd w:id="905"/>
          </w:p>
          <w:p w14:paraId="201CB5E6" w14:textId="74764E1A" w:rsidR="00B074CC" w:rsidRPr="00731B08" w:rsidRDefault="00690DED" w:rsidP="00626054">
            <w:pPr>
              <w:rPr>
                <w:sz w:val="20"/>
                <w:szCs w:val="24"/>
              </w:rPr>
            </w:pPr>
            <w:bookmarkStart w:id="907" w:name="_cp_change_171"/>
            <w:bookmarkEnd w:id="906"/>
            <w:r w:rsidRPr="00731B08">
              <w:rPr>
                <w:sz w:val="20"/>
                <w:szCs w:val="24"/>
                <w:u w:color="0000FF"/>
              </w:rPr>
              <w:t xml:space="preserve">Thereafter - </w:t>
            </w:r>
            <w:bookmarkEnd w:id="907"/>
            <w:r w:rsidR="00B074CC" w:rsidRPr="00731B08">
              <w:rPr>
                <w:sz w:val="20"/>
                <w:szCs w:val="24"/>
              </w:rPr>
              <w:t>90%</w:t>
            </w:r>
          </w:p>
        </w:tc>
        <w:tc>
          <w:tcPr>
            <w:tcW w:w="1899" w:type="dxa"/>
            <w:shd w:val="clear" w:color="auto" w:fill="auto"/>
          </w:tcPr>
          <w:p w14:paraId="087AF088" w14:textId="77777777" w:rsidR="00B074CC" w:rsidRPr="00731B08" w:rsidRDefault="00B074CC" w:rsidP="00626054">
            <w:pPr>
              <w:rPr>
                <w:sz w:val="20"/>
                <w:szCs w:val="24"/>
              </w:rPr>
            </w:pPr>
            <w:r w:rsidRPr="00731B08">
              <w:rPr>
                <w:sz w:val="20"/>
                <w:szCs w:val="24"/>
              </w:rPr>
              <w:t>0</w:t>
            </w:r>
          </w:p>
        </w:tc>
      </w:tr>
      <w:tr w:rsidR="00B074CC" w:rsidRPr="001A1836" w14:paraId="582C70B0" w14:textId="77777777" w:rsidTr="004F1C82">
        <w:tc>
          <w:tcPr>
            <w:tcW w:w="2029" w:type="dxa"/>
            <w:shd w:val="clear" w:color="auto" w:fill="auto"/>
          </w:tcPr>
          <w:p w14:paraId="59129898" w14:textId="77777777" w:rsidR="00B074CC" w:rsidRPr="001A1836" w:rsidRDefault="00B074CC" w:rsidP="00626054">
            <w:pPr>
              <w:rPr>
                <w:sz w:val="20"/>
                <w:szCs w:val="24"/>
              </w:rPr>
            </w:pPr>
            <w:r w:rsidRPr="001A1836">
              <w:rPr>
                <w:sz w:val="20"/>
                <w:szCs w:val="24"/>
              </w:rPr>
              <w:t>Minor Service Level Failure</w:t>
            </w:r>
          </w:p>
        </w:tc>
        <w:tc>
          <w:tcPr>
            <w:tcW w:w="4678" w:type="dxa"/>
            <w:shd w:val="clear" w:color="auto" w:fill="auto"/>
          </w:tcPr>
          <w:p w14:paraId="0C5D7B85" w14:textId="77777777" w:rsidR="009717D2" w:rsidRPr="00731B08" w:rsidRDefault="009717D2" w:rsidP="009717D2">
            <w:pPr>
              <w:rPr>
                <w:sz w:val="20"/>
                <w:szCs w:val="24"/>
              </w:rPr>
            </w:pPr>
            <w:bookmarkStart w:id="908" w:name="_cp_change_173"/>
            <w:r w:rsidRPr="00731B08">
              <w:rPr>
                <w:sz w:val="20"/>
                <w:szCs w:val="24"/>
                <w:u w:color="0000FF"/>
              </w:rPr>
              <w:t>Relief Period – Less than 85% but greater than 80%</w:t>
            </w:r>
            <w:bookmarkStart w:id="909" w:name="_cp_change_172"/>
            <w:bookmarkEnd w:id="908"/>
          </w:p>
          <w:p w14:paraId="3974E3FF" w14:textId="07AD9ACF" w:rsidR="00B074CC" w:rsidRPr="00731B08" w:rsidRDefault="00371205" w:rsidP="00626054">
            <w:pPr>
              <w:rPr>
                <w:sz w:val="20"/>
                <w:szCs w:val="24"/>
              </w:rPr>
            </w:pPr>
            <w:bookmarkStart w:id="910" w:name="_cp_change_174"/>
            <w:bookmarkEnd w:id="909"/>
            <w:r w:rsidRPr="00731B08">
              <w:rPr>
                <w:sz w:val="20"/>
                <w:szCs w:val="24"/>
                <w:u w:color="0000FF"/>
              </w:rPr>
              <w:t xml:space="preserve">Thereafter - </w:t>
            </w:r>
            <w:bookmarkEnd w:id="910"/>
            <w:r w:rsidR="00B074CC" w:rsidRPr="00731B08">
              <w:rPr>
                <w:sz w:val="20"/>
                <w:szCs w:val="24"/>
              </w:rPr>
              <w:t xml:space="preserve">Less than 90% but greater than 85% </w:t>
            </w:r>
          </w:p>
        </w:tc>
        <w:tc>
          <w:tcPr>
            <w:tcW w:w="1899" w:type="dxa"/>
            <w:shd w:val="clear" w:color="auto" w:fill="auto"/>
          </w:tcPr>
          <w:p w14:paraId="545B933D" w14:textId="77777777" w:rsidR="00B074CC" w:rsidRPr="00731B08" w:rsidRDefault="00B074CC" w:rsidP="00626054">
            <w:pPr>
              <w:rPr>
                <w:sz w:val="20"/>
                <w:szCs w:val="24"/>
              </w:rPr>
            </w:pPr>
            <w:r w:rsidRPr="00731B08">
              <w:rPr>
                <w:sz w:val="20"/>
                <w:szCs w:val="24"/>
              </w:rPr>
              <w:t>1.0</w:t>
            </w:r>
          </w:p>
        </w:tc>
      </w:tr>
      <w:tr w:rsidR="00B074CC" w:rsidRPr="001A1836" w14:paraId="23390143" w14:textId="77777777" w:rsidTr="004F1C82">
        <w:tc>
          <w:tcPr>
            <w:tcW w:w="2029" w:type="dxa"/>
            <w:shd w:val="clear" w:color="auto" w:fill="auto"/>
          </w:tcPr>
          <w:p w14:paraId="3BEBEE7F" w14:textId="77777777" w:rsidR="00B074CC" w:rsidRPr="001A1836" w:rsidRDefault="00B074CC" w:rsidP="00626054">
            <w:pPr>
              <w:rPr>
                <w:sz w:val="20"/>
                <w:szCs w:val="24"/>
              </w:rPr>
            </w:pPr>
            <w:r w:rsidRPr="001A1836">
              <w:rPr>
                <w:sz w:val="20"/>
                <w:szCs w:val="24"/>
              </w:rPr>
              <w:t>Moderate Service Level Failure</w:t>
            </w:r>
          </w:p>
        </w:tc>
        <w:tc>
          <w:tcPr>
            <w:tcW w:w="4678" w:type="dxa"/>
            <w:shd w:val="clear" w:color="auto" w:fill="auto"/>
          </w:tcPr>
          <w:p w14:paraId="3C5BEDDE" w14:textId="77777777" w:rsidR="00F955A7" w:rsidRPr="00731B08" w:rsidRDefault="00F955A7" w:rsidP="00F955A7">
            <w:pPr>
              <w:rPr>
                <w:sz w:val="20"/>
                <w:szCs w:val="24"/>
              </w:rPr>
            </w:pPr>
            <w:bookmarkStart w:id="911" w:name="_cp_change_176"/>
            <w:r w:rsidRPr="00731B08">
              <w:rPr>
                <w:sz w:val="20"/>
                <w:szCs w:val="24"/>
                <w:u w:color="0000FF"/>
              </w:rPr>
              <w:t>Relief Period – Between 80% and 75% inclusive</w:t>
            </w:r>
            <w:bookmarkStart w:id="912" w:name="_cp_change_175"/>
            <w:bookmarkEnd w:id="911"/>
          </w:p>
          <w:p w14:paraId="652960D1" w14:textId="38450AF4" w:rsidR="00B074CC" w:rsidRPr="00731B08" w:rsidRDefault="00B45936" w:rsidP="00626054">
            <w:pPr>
              <w:rPr>
                <w:sz w:val="20"/>
                <w:szCs w:val="24"/>
              </w:rPr>
            </w:pPr>
            <w:bookmarkStart w:id="913" w:name="_cp_change_177"/>
            <w:bookmarkEnd w:id="912"/>
            <w:r w:rsidRPr="00731B08">
              <w:rPr>
                <w:sz w:val="20"/>
                <w:szCs w:val="24"/>
                <w:u w:color="0000FF"/>
              </w:rPr>
              <w:t xml:space="preserve">Thereafter - </w:t>
            </w:r>
            <w:bookmarkEnd w:id="913"/>
            <w:r w:rsidR="00B074CC" w:rsidRPr="00731B08">
              <w:rPr>
                <w:sz w:val="20"/>
                <w:szCs w:val="24"/>
              </w:rPr>
              <w:t>Between 85% and 80% inclusive</w:t>
            </w:r>
          </w:p>
        </w:tc>
        <w:tc>
          <w:tcPr>
            <w:tcW w:w="1899" w:type="dxa"/>
            <w:shd w:val="clear" w:color="auto" w:fill="auto"/>
          </w:tcPr>
          <w:p w14:paraId="7F74143A" w14:textId="77777777" w:rsidR="00B074CC" w:rsidRPr="00731B08" w:rsidRDefault="00B074CC" w:rsidP="00626054">
            <w:pPr>
              <w:rPr>
                <w:sz w:val="20"/>
                <w:szCs w:val="24"/>
              </w:rPr>
            </w:pPr>
            <w:r w:rsidRPr="00731B08">
              <w:rPr>
                <w:sz w:val="20"/>
                <w:szCs w:val="24"/>
              </w:rPr>
              <w:t>2.0</w:t>
            </w:r>
          </w:p>
        </w:tc>
      </w:tr>
      <w:tr w:rsidR="00B074CC" w:rsidRPr="001A1836" w14:paraId="5016A216" w14:textId="77777777" w:rsidTr="004F1C82">
        <w:tc>
          <w:tcPr>
            <w:tcW w:w="2029" w:type="dxa"/>
            <w:shd w:val="clear" w:color="auto" w:fill="auto"/>
          </w:tcPr>
          <w:p w14:paraId="5CF23B7C" w14:textId="77777777" w:rsidR="00B074CC" w:rsidRPr="001A1836" w:rsidRDefault="00B074CC" w:rsidP="00626054">
            <w:pPr>
              <w:rPr>
                <w:sz w:val="20"/>
                <w:szCs w:val="24"/>
              </w:rPr>
            </w:pPr>
            <w:r w:rsidRPr="001A1836">
              <w:rPr>
                <w:sz w:val="20"/>
                <w:szCs w:val="24"/>
              </w:rPr>
              <w:t>Major Service Level Failure</w:t>
            </w:r>
          </w:p>
        </w:tc>
        <w:tc>
          <w:tcPr>
            <w:tcW w:w="4678" w:type="dxa"/>
            <w:shd w:val="clear" w:color="auto" w:fill="auto"/>
          </w:tcPr>
          <w:p w14:paraId="2C91CD3D" w14:textId="77777777" w:rsidR="00923CBF" w:rsidRPr="00731B08" w:rsidRDefault="00923CBF" w:rsidP="00923CBF">
            <w:pPr>
              <w:rPr>
                <w:sz w:val="20"/>
                <w:szCs w:val="24"/>
              </w:rPr>
            </w:pPr>
            <w:bookmarkStart w:id="914" w:name="_cp_change_179"/>
            <w:r w:rsidRPr="00731B08">
              <w:rPr>
                <w:sz w:val="20"/>
                <w:szCs w:val="24"/>
                <w:u w:color="0000FF"/>
              </w:rPr>
              <w:t>Relief Period – Less than 75%</w:t>
            </w:r>
            <w:bookmarkStart w:id="915" w:name="_cp_change_178"/>
            <w:bookmarkEnd w:id="914"/>
          </w:p>
          <w:p w14:paraId="53E0DD36" w14:textId="7FB064B4" w:rsidR="00B074CC" w:rsidRPr="00731B08" w:rsidRDefault="002C0D61" w:rsidP="00626054">
            <w:pPr>
              <w:rPr>
                <w:sz w:val="20"/>
                <w:szCs w:val="24"/>
              </w:rPr>
            </w:pPr>
            <w:bookmarkStart w:id="916" w:name="_cp_change_180"/>
            <w:bookmarkEnd w:id="915"/>
            <w:r w:rsidRPr="00731B08">
              <w:rPr>
                <w:sz w:val="20"/>
                <w:szCs w:val="24"/>
                <w:u w:color="0000FF"/>
              </w:rPr>
              <w:t xml:space="preserve">Thereafter - </w:t>
            </w:r>
            <w:bookmarkEnd w:id="916"/>
            <w:r w:rsidR="00B074CC" w:rsidRPr="00731B08">
              <w:rPr>
                <w:sz w:val="20"/>
                <w:szCs w:val="24"/>
              </w:rPr>
              <w:t xml:space="preserve">Less than 80% </w:t>
            </w:r>
          </w:p>
        </w:tc>
        <w:tc>
          <w:tcPr>
            <w:tcW w:w="1899" w:type="dxa"/>
            <w:shd w:val="clear" w:color="auto" w:fill="auto"/>
          </w:tcPr>
          <w:p w14:paraId="7493404C" w14:textId="77777777" w:rsidR="00B074CC" w:rsidRPr="00731B08" w:rsidRDefault="00B074CC" w:rsidP="00626054">
            <w:pPr>
              <w:rPr>
                <w:sz w:val="20"/>
                <w:szCs w:val="24"/>
              </w:rPr>
            </w:pPr>
            <w:r w:rsidRPr="00731B08">
              <w:rPr>
                <w:sz w:val="20"/>
                <w:szCs w:val="24"/>
              </w:rPr>
              <w:t>3.0</w:t>
            </w:r>
          </w:p>
        </w:tc>
      </w:tr>
    </w:tbl>
    <w:p w14:paraId="0F551736" w14:textId="77777777" w:rsidR="00B074CC" w:rsidRPr="001A1836" w:rsidRDefault="00B074CC" w:rsidP="00626054">
      <w:pPr>
        <w:spacing w:after="0"/>
        <w:rPr>
          <w:sz w:val="20"/>
          <w:szCs w:val="24"/>
        </w:rPr>
      </w:pPr>
    </w:p>
    <w:p w14:paraId="4E6837B3" w14:textId="77777777" w:rsidR="00B074CC" w:rsidRPr="001A1836" w:rsidRDefault="00B074CC" w:rsidP="00626054">
      <w:pPr>
        <w:spacing w:after="0"/>
        <w:rPr>
          <w:sz w:val="20"/>
          <w:szCs w:val="24"/>
        </w:rPr>
      </w:pPr>
    </w:p>
    <w:p w14:paraId="0F2DBA01" w14:textId="77777777" w:rsidR="00B074CC" w:rsidRPr="001A1836" w:rsidRDefault="00B074CC" w:rsidP="00626054">
      <w:pPr>
        <w:spacing w:after="0"/>
        <w:rPr>
          <w:sz w:val="20"/>
          <w:szCs w:val="24"/>
        </w:rPr>
      </w:pPr>
    </w:p>
    <w:p w14:paraId="68456205" w14:textId="77777777" w:rsidR="00B074CC" w:rsidRPr="001A1836" w:rsidRDefault="00B074CC" w:rsidP="00626054">
      <w:pPr>
        <w:spacing w:after="0"/>
        <w:rPr>
          <w:sz w:val="20"/>
          <w:szCs w:val="24"/>
        </w:rPr>
      </w:pPr>
      <w:r w:rsidRPr="001A1836">
        <w:rPr>
          <w:sz w:val="20"/>
          <w:szCs w:val="24"/>
        </w:rPr>
        <w:br w:type="page"/>
      </w:r>
    </w:p>
    <w:p w14:paraId="48CE59B8" w14:textId="77777777" w:rsidR="00B074CC" w:rsidRPr="001A1836" w:rsidRDefault="00B074CC" w:rsidP="00626054">
      <w:pPr>
        <w:spacing w:after="0"/>
        <w:rPr>
          <w:sz w:val="20"/>
          <w:szCs w:val="24"/>
        </w:rPr>
      </w:pPr>
    </w:p>
    <w:p w14:paraId="2F54C402" w14:textId="77777777" w:rsidR="00B074CC" w:rsidRPr="001A1836" w:rsidRDefault="00B074CC" w:rsidP="00626054">
      <w:pPr>
        <w:spacing w:after="0"/>
        <w:rPr>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4678"/>
        <w:gridCol w:w="1899"/>
      </w:tblGrid>
      <w:tr w:rsidR="00B074CC" w:rsidRPr="001A1836" w14:paraId="37A0724E" w14:textId="77777777" w:rsidTr="009E2E92">
        <w:trPr>
          <w:tblHeader/>
        </w:trPr>
        <w:tc>
          <w:tcPr>
            <w:tcW w:w="2029" w:type="dxa"/>
            <w:shd w:val="clear" w:color="auto" w:fill="auto"/>
          </w:tcPr>
          <w:p w14:paraId="61F0443C" w14:textId="77777777" w:rsidR="00B074CC" w:rsidRPr="001A1836" w:rsidRDefault="00B074CC" w:rsidP="00626054">
            <w:pPr>
              <w:rPr>
                <w:b/>
                <w:szCs w:val="24"/>
              </w:rPr>
            </w:pPr>
            <w:r w:rsidRPr="001A1836">
              <w:rPr>
                <w:b/>
                <w:szCs w:val="24"/>
              </w:rPr>
              <w:t>SL13</w:t>
            </w:r>
          </w:p>
        </w:tc>
        <w:tc>
          <w:tcPr>
            <w:tcW w:w="6577" w:type="dxa"/>
            <w:gridSpan w:val="2"/>
            <w:shd w:val="clear" w:color="auto" w:fill="auto"/>
          </w:tcPr>
          <w:p w14:paraId="5976A4E3" w14:textId="04874FBE" w:rsidR="00B074CC" w:rsidRPr="001A1836" w:rsidRDefault="00B074CC" w:rsidP="00626054">
            <w:pPr>
              <w:rPr>
                <w:b/>
                <w:szCs w:val="24"/>
              </w:rPr>
            </w:pPr>
            <w:r w:rsidRPr="001A1836">
              <w:rPr>
                <w:b/>
                <w:szCs w:val="24"/>
              </w:rPr>
              <w:t>% of correspondence (letter &amp; email) responded to within 5 Working Days – combined response target for contact centre and technical</w:t>
            </w:r>
          </w:p>
        </w:tc>
      </w:tr>
      <w:tr w:rsidR="00B074CC" w:rsidRPr="001A1836" w14:paraId="23E66720" w14:textId="77777777" w:rsidTr="004F1C82">
        <w:tc>
          <w:tcPr>
            <w:tcW w:w="2029" w:type="dxa"/>
            <w:shd w:val="clear" w:color="auto" w:fill="auto"/>
          </w:tcPr>
          <w:p w14:paraId="214DEC03" w14:textId="560AD502" w:rsidR="00B074CC" w:rsidRPr="001A1836" w:rsidRDefault="00B074CC" w:rsidP="00626054">
            <w:pPr>
              <w:rPr>
                <w:sz w:val="20"/>
                <w:szCs w:val="24"/>
              </w:rPr>
            </w:pPr>
            <w:r w:rsidRPr="001A1836">
              <w:rPr>
                <w:sz w:val="20"/>
                <w:szCs w:val="24"/>
              </w:rPr>
              <w:t xml:space="preserve">Service </w:t>
            </w:r>
            <w:r w:rsidR="00747264" w:rsidRPr="001A1836">
              <w:rPr>
                <w:sz w:val="20"/>
                <w:szCs w:val="24"/>
              </w:rPr>
              <w:t>L</w:t>
            </w:r>
            <w:r w:rsidRPr="001A1836">
              <w:rPr>
                <w:sz w:val="20"/>
                <w:szCs w:val="24"/>
              </w:rPr>
              <w:t>evel description</w:t>
            </w:r>
          </w:p>
        </w:tc>
        <w:tc>
          <w:tcPr>
            <w:tcW w:w="6577" w:type="dxa"/>
            <w:gridSpan w:val="2"/>
            <w:shd w:val="clear" w:color="auto" w:fill="auto"/>
          </w:tcPr>
          <w:p w14:paraId="4563E21E" w14:textId="789A9546" w:rsidR="00B074CC" w:rsidRPr="001A1836" w:rsidRDefault="00B074CC" w:rsidP="00626054">
            <w:pPr>
              <w:rPr>
                <w:sz w:val="20"/>
                <w:szCs w:val="24"/>
              </w:rPr>
            </w:pPr>
            <w:r w:rsidRPr="001A1836">
              <w:rPr>
                <w:sz w:val="20"/>
                <w:szCs w:val="24"/>
              </w:rPr>
              <w:t>The number of letters and emails to the contact centre and technical helpline responded to within 5 Working Days, expressed as a percentage of the total number of letters and emails received.</w:t>
            </w:r>
          </w:p>
        </w:tc>
      </w:tr>
      <w:tr w:rsidR="00B074CC" w:rsidRPr="001A1836" w14:paraId="1DB4AF34" w14:textId="77777777" w:rsidTr="004F1C82">
        <w:tc>
          <w:tcPr>
            <w:tcW w:w="2029" w:type="dxa"/>
            <w:shd w:val="clear" w:color="auto" w:fill="auto"/>
          </w:tcPr>
          <w:p w14:paraId="590F0260" w14:textId="5D5D9FAE" w:rsidR="00B074CC" w:rsidRPr="001A1836" w:rsidRDefault="00B074CC" w:rsidP="00626054">
            <w:pPr>
              <w:rPr>
                <w:sz w:val="20"/>
                <w:szCs w:val="24"/>
              </w:rPr>
            </w:pPr>
            <w:r w:rsidRPr="001A1836">
              <w:rPr>
                <w:sz w:val="20"/>
                <w:szCs w:val="24"/>
              </w:rPr>
              <w:t xml:space="preserve">Service </w:t>
            </w:r>
            <w:r w:rsidR="00747264" w:rsidRPr="001A1836">
              <w:rPr>
                <w:sz w:val="20"/>
                <w:szCs w:val="24"/>
              </w:rPr>
              <w:t>L</w:t>
            </w:r>
            <w:r w:rsidRPr="001A1836">
              <w:rPr>
                <w:sz w:val="20"/>
                <w:szCs w:val="24"/>
              </w:rPr>
              <w:t>evel calculation</w:t>
            </w:r>
          </w:p>
        </w:tc>
        <w:tc>
          <w:tcPr>
            <w:tcW w:w="6577" w:type="dxa"/>
            <w:gridSpan w:val="2"/>
            <w:shd w:val="clear" w:color="auto" w:fill="auto"/>
          </w:tcPr>
          <w:p w14:paraId="2FDB0F38" w14:textId="77777777" w:rsidR="00B074CC" w:rsidRPr="001A1836" w:rsidRDefault="00B074CC" w:rsidP="00626054">
            <w:pPr>
              <w:rPr>
                <w:sz w:val="20"/>
                <w:szCs w:val="24"/>
              </w:rPr>
            </w:pPr>
            <w:r w:rsidRPr="001A1836">
              <w:rPr>
                <w:sz w:val="20"/>
                <w:szCs w:val="24"/>
              </w:rPr>
              <w:t>A / B x 100</w:t>
            </w:r>
          </w:p>
          <w:p w14:paraId="01E391DE" w14:textId="77777777" w:rsidR="00B074CC" w:rsidRPr="001A1836" w:rsidRDefault="00B074CC" w:rsidP="00626054">
            <w:pPr>
              <w:rPr>
                <w:sz w:val="20"/>
                <w:szCs w:val="24"/>
              </w:rPr>
            </w:pPr>
          </w:p>
          <w:p w14:paraId="125F9FCF" w14:textId="77777777" w:rsidR="00B074CC" w:rsidRPr="001A1836" w:rsidRDefault="00B074CC" w:rsidP="00626054">
            <w:pPr>
              <w:rPr>
                <w:sz w:val="20"/>
                <w:szCs w:val="24"/>
              </w:rPr>
            </w:pPr>
            <w:r w:rsidRPr="001A1836">
              <w:rPr>
                <w:sz w:val="20"/>
                <w:szCs w:val="24"/>
              </w:rPr>
              <w:t>Where:</w:t>
            </w:r>
          </w:p>
          <w:p w14:paraId="7982777A" w14:textId="6BC3BCC9" w:rsidR="00B074CC" w:rsidRPr="001A1836" w:rsidRDefault="00B074CC" w:rsidP="00626054">
            <w:pPr>
              <w:rPr>
                <w:sz w:val="20"/>
                <w:szCs w:val="24"/>
              </w:rPr>
            </w:pPr>
            <w:r w:rsidRPr="001A1836">
              <w:rPr>
                <w:sz w:val="20"/>
                <w:szCs w:val="24"/>
              </w:rPr>
              <w:t>A = Number of letters and emails responded to within 5 Working Days</w:t>
            </w:r>
          </w:p>
          <w:p w14:paraId="1D2E8BC4" w14:textId="77777777" w:rsidR="00B074CC" w:rsidRPr="001A1836" w:rsidRDefault="00B074CC" w:rsidP="00626054">
            <w:pPr>
              <w:rPr>
                <w:sz w:val="20"/>
                <w:szCs w:val="24"/>
              </w:rPr>
            </w:pPr>
            <w:r w:rsidRPr="001A1836">
              <w:rPr>
                <w:sz w:val="20"/>
                <w:szCs w:val="24"/>
              </w:rPr>
              <w:t>B = Total number of letters and emails received</w:t>
            </w:r>
          </w:p>
        </w:tc>
      </w:tr>
      <w:tr w:rsidR="00B074CC" w:rsidRPr="001A1836" w14:paraId="17A7B724" w14:textId="77777777" w:rsidTr="004F1C82">
        <w:tc>
          <w:tcPr>
            <w:tcW w:w="2029" w:type="dxa"/>
            <w:shd w:val="clear" w:color="auto" w:fill="auto"/>
          </w:tcPr>
          <w:p w14:paraId="37B21EEE" w14:textId="40E8B17E" w:rsidR="00B074CC" w:rsidRPr="001A1836" w:rsidRDefault="00B074CC" w:rsidP="00626054">
            <w:pPr>
              <w:rPr>
                <w:sz w:val="20"/>
                <w:szCs w:val="24"/>
              </w:rPr>
            </w:pPr>
            <w:r w:rsidRPr="001A1836">
              <w:rPr>
                <w:sz w:val="20"/>
                <w:szCs w:val="24"/>
              </w:rPr>
              <w:t xml:space="preserve">Reporting frequency </w:t>
            </w:r>
          </w:p>
        </w:tc>
        <w:tc>
          <w:tcPr>
            <w:tcW w:w="6577" w:type="dxa"/>
            <w:gridSpan w:val="2"/>
            <w:shd w:val="clear" w:color="auto" w:fill="auto"/>
          </w:tcPr>
          <w:p w14:paraId="47595D6A" w14:textId="77777777" w:rsidR="00B074CC" w:rsidRPr="001A1836" w:rsidRDefault="00B074CC" w:rsidP="00626054">
            <w:pPr>
              <w:rPr>
                <w:sz w:val="20"/>
                <w:szCs w:val="24"/>
              </w:rPr>
            </w:pPr>
            <w:r w:rsidRPr="001A1836">
              <w:rPr>
                <w:sz w:val="20"/>
                <w:szCs w:val="24"/>
              </w:rPr>
              <w:t>Performance is reported monthly.</w:t>
            </w:r>
          </w:p>
          <w:p w14:paraId="4A6173E3" w14:textId="3F8263C6" w:rsidR="00B876A2" w:rsidRPr="001A1836" w:rsidRDefault="00B876A2" w:rsidP="004F1C82">
            <w:pPr>
              <w:rPr>
                <w:sz w:val="20"/>
                <w:szCs w:val="24"/>
              </w:rPr>
            </w:pPr>
          </w:p>
        </w:tc>
      </w:tr>
      <w:tr w:rsidR="004F1C82" w:rsidRPr="001A1836" w14:paraId="59062388" w14:textId="77777777" w:rsidTr="004F1C82">
        <w:tc>
          <w:tcPr>
            <w:tcW w:w="2029" w:type="dxa"/>
            <w:shd w:val="clear" w:color="auto" w:fill="auto"/>
          </w:tcPr>
          <w:p w14:paraId="4B70696D" w14:textId="7D437999" w:rsidR="004F1C82" w:rsidRPr="001A1836" w:rsidDel="00B20DB7" w:rsidRDefault="004F1C82" w:rsidP="004F1C82">
            <w:pPr>
              <w:rPr>
                <w:sz w:val="20"/>
                <w:szCs w:val="24"/>
              </w:rPr>
            </w:pPr>
            <w:r w:rsidRPr="001A1836">
              <w:rPr>
                <w:sz w:val="20"/>
                <w:szCs w:val="24"/>
              </w:rPr>
              <w:t>Service Measurement Period</w:t>
            </w:r>
          </w:p>
        </w:tc>
        <w:tc>
          <w:tcPr>
            <w:tcW w:w="6577" w:type="dxa"/>
            <w:gridSpan w:val="2"/>
            <w:shd w:val="clear" w:color="auto" w:fill="auto"/>
          </w:tcPr>
          <w:p w14:paraId="32895171" w14:textId="33E19390" w:rsidR="004F1C82" w:rsidRPr="001A1836" w:rsidRDefault="004F1C82" w:rsidP="004F1C82">
            <w:pPr>
              <w:rPr>
                <w:sz w:val="20"/>
                <w:szCs w:val="24"/>
              </w:rPr>
            </w:pPr>
            <w:r w:rsidRPr="001A1836">
              <w:rPr>
                <w:sz w:val="20"/>
                <w:szCs w:val="24"/>
              </w:rPr>
              <w:t>Service Credits are calculated monthly.</w:t>
            </w:r>
          </w:p>
        </w:tc>
      </w:tr>
      <w:tr w:rsidR="004F1C82" w:rsidRPr="001A1836" w14:paraId="12CC20E1" w14:textId="77777777" w:rsidTr="004F1C82">
        <w:tc>
          <w:tcPr>
            <w:tcW w:w="2029" w:type="dxa"/>
            <w:shd w:val="clear" w:color="auto" w:fill="auto"/>
          </w:tcPr>
          <w:p w14:paraId="6049A760" w14:textId="209CDC6B" w:rsidR="004F1C82" w:rsidRPr="001A1836" w:rsidDel="00B20DB7" w:rsidRDefault="004F1C82" w:rsidP="004F1C82">
            <w:pPr>
              <w:rPr>
                <w:sz w:val="20"/>
                <w:szCs w:val="24"/>
              </w:rPr>
            </w:pPr>
            <w:r w:rsidRPr="001A1836">
              <w:rPr>
                <w:sz w:val="20"/>
                <w:szCs w:val="24"/>
              </w:rPr>
              <w:t>Service Point Application Period</w:t>
            </w:r>
          </w:p>
        </w:tc>
        <w:tc>
          <w:tcPr>
            <w:tcW w:w="6577" w:type="dxa"/>
            <w:gridSpan w:val="2"/>
            <w:shd w:val="clear" w:color="auto" w:fill="auto"/>
          </w:tcPr>
          <w:p w14:paraId="04A6EC83" w14:textId="55ACE4C6" w:rsidR="004F1C82" w:rsidRPr="001A1836" w:rsidRDefault="00EA4BD8" w:rsidP="004F1C82">
            <w:pPr>
              <w:rPr>
                <w:sz w:val="20"/>
                <w:szCs w:val="24"/>
              </w:rPr>
            </w:pPr>
            <w:r w:rsidRPr="001A1836">
              <w:rPr>
                <w:sz w:val="20"/>
                <w:szCs w:val="24"/>
              </w:rPr>
              <w:t xml:space="preserve">Service Points are applied monthly against </w:t>
            </w:r>
            <w:r>
              <w:rPr>
                <w:sz w:val="20"/>
                <w:szCs w:val="24"/>
              </w:rPr>
              <w:t xml:space="preserve">one twelfth of the sum of </w:t>
            </w:r>
            <w:r w:rsidRPr="001A1836">
              <w:rPr>
                <w:sz w:val="20"/>
                <w:szCs w:val="24"/>
              </w:rPr>
              <w:t xml:space="preserve">the Provider’s </w:t>
            </w:r>
            <w:r>
              <w:rPr>
                <w:sz w:val="20"/>
                <w:szCs w:val="24"/>
              </w:rPr>
              <w:t>annual</w:t>
            </w:r>
            <w:r w:rsidRPr="001A1836">
              <w:rPr>
                <w:sz w:val="20"/>
                <w:szCs w:val="24"/>
              </w:rPr>
              <w:t xml:space="preserve"> </w:t>
            </w:r>
            <w:r>
              <w:rPr>
                <w:sz w:val="20"/>
                <w:szCs w:val="24"/>
              </w:rPr>
              <w:t>A</w:t>
            </w:r>
            <w:r w:rsidRPr="001A1836">
              <w:rPr>
                <w:sz w:val="20"/>
                <w:szCs w:val="24"/>
              </w:rPr>
              <w:t xml:space="preserve">greed Operating Costs plus </w:t>
            </w:r>
            <w:r>
              <w:rPr>
                <w:sz w:val="20"/>
                <w:szCs w:val="24"/>
              </w:rPr>
              <w:t xml:space="preserve">Provider </w:t>
            </w:r>
            <w:r w:rsidRPr="001A1836">
              <w:rPr>
                <w:sz w:val="20"/>
                <w:szCs w:val="24"/>
              </w:rPr>
              <w:t>Profit.</w:t>
            </w:r>
          </w:p>
        </w:tc>
      </w:tr>
      <w:tr w:rsidR="00B074CC" w:rsidRPr="001A1836" w14:paraId="285231A0" w14:textId="77777777" w:rsidTr="004F1C82">
        <w:tc>
          <w:tcPr>
            <w:tcW w:w="2029" w:type="dxa"/>
            <w:shd w:val="clear" w:color="auto" w:fill="auto"/>
          </w:tcPr>
          <w:p w14:paraId="1829943B" w14:textId="77777777" w:rsidR="00B074CC" w:rsidRPr="001A1836" w:rsidRDefault="00B074CC" w:rsidP="00626054">
            <w:pPr>
              <w:rPr>
                <w:sz w:val="20"/>
                <w:szCs w:val="24"/>
              </w:rPr>
            </w:pPr>
            <w:r w:rsidRPr="001A1836">
              <w:rPr>
                <w:sz w:val="20"/>
                <w:szCs w:val="24"/>
              </w:rPr>
              <w:t>Data capture</w:t>
            </w:r>
          </w:p>
        </w:tc>
        <w:tc>
          <w:tcPr>
            <w:tcW w:w="6577" w:type="dxa"/>
            <w:gridSpan w:val="2"/>
            <w:shd w:val="clear" w:color="auto" w:fill="auto"/>
          </w:tcPr>
          <w:p w14:paraId="0E285F19" w14:textId="083A7667" w:rsidR="00B074CC" w:rsidRPr="001A1836" w:rsidRDefault="00B074CC">
            <w:pPr>
              <w:numPr>
                <w:ilvl w:val="0"/>
                <w:numId w:val="26"/>
              </w:numPr>
              <w:rPr>
                <w:sz w:val="20"/>
                <w:szCs w:val="24"/>
              </w:rPr>
            </w:pPr>
            <w:r w:rsidRPr="001A1836">
              <w:rPr>
                <w:sz w:val="20"/>
                <w:szCs w:val="24"/>
              </w:rPr>
              <w:t>Number of letters and emails responded to within 5 Working Days</w:t>
            </w:r>
          </w:p>
          <w:p w14:paraId="3DD4F662" w14:textId="77777777" w:rsidR="00B074CC" w:rsidRPr="001A1836" w:rsidRDefault="00B074CC">
            <w:pPr>
              <w:numPr>
                <w:ilvl w:val="0"/>
                <w:numId w:val="26"/>
              </w:numPr>
              <w:rPr>
                <w:sz w:val="20"/>
                <w:szCs w:val="24"/>
              </w:rPr>
            </w:pPr>
            <w:r w:rsidRPr="001A1836">
              <w:rPr>
                <w:sz w:val="20"/>
                <w:szCs w:val="24"/>
              </w:rPr>
              <w:t>Total number of letters and emails received</w:t>
            </w:r>
          </w:p>
          <w:p w14:paraId="2DFCDF33" w14:textId="77777777" w:rsidR="00B074CC" w:rsidRPr="001A1836" w:rsidRDefault="00B074CC">
            <w:pPr>
              <w:numPr>
                <w:ilvl w:val="0"/>
                <w:numId w:val="26"/>
              </w:numPr>
              <w:rPr>
                <w:sz w:val="20"/>
                <w:szCs w:val="24"/>
              </w:rPr>
            </w:pPr>
            <w:r w:rsidRPr="001A1836">
              <w:rPr>
                <w:sz w:val="20"/>
                <w:szCs w:val="24"/>
              </w:rPr>
              <w:t>Date correspondence received</w:t>
            </w:r>
          </w:p>
          <w:p w14:paraId="590B79F2" w14:textId="77777777" w:rsidR="00B074CC" w:rsidRPr="001A1836" w:rsidRDefault="00B074CC">
            <w:pPr>
              <w:numPr>
                <w:ilvl w:val="0"/>
                <w:numId w:val="26"/>
              </w:numPr>
              <w:rPr>
                <w:sz w:val="20"/>
                <w:szCs w:val="24"/>
              </w:rPr>
            </w:pPr>
            <w:r w:rsidRPr="001A1836">
              <w:rPr>
                <w:sz w:val="20"/>
                <w:szCs w:val="24"/>
              </w:rPr>
              <w:t>Date response sent</w:t>
            </w:r>
          </w:p>
        </w:tc>
      </w:tr>
      <w:tr w:rsidR="00B074CC" w:rsidRPr="001A1836" w14:paraId="0E5274FD" w14:textId="77777777" w:rsidTr="004F1C82">
        <w:tc>
          <w:tcPr>
            <w:tcW w:w="2029" w:type="dxa"/>
            <w:shd w:val="clear" w:color="auto" w:fill="auto"/>
          </w:tcPr>
          <w:p w14:paraId="74469280" w14:textId="77777777" w:rsidR="00B074CC" w:rsidRPr="001A1836" w:rsidRDefault="00B074CC" w:rsidP="00626054">
            <w:pPr>
              <w:rPr>
                <w:sz w:val="20"/>
                <w:szCs w:val="24"/>
              </w:rPr>
            </w:pPr>
            <w:r w:rsidRPr="001A1836">
              <w:rPr>
                <w:sz w:val="20"/>
                <w:szCs w:val="24"/>
              </w:rPr>
              <w:t>Impact</w:t>
            </w:r>
          </w:p>
        </w:tc>
        <w:tc>
          <w:tcPr>
            <w:tcW w:w="6577" w:type="dxa"/>
            <w:gridSpan w:val="2"/>
            <w:shd w:val="clear" w:color="auto" w:fill="auto"/>
          </w:tcPr>
          <w:p w14:paraId="526F2E5D" w14:textId="77777777" w:rsidR="00B074CC" w:rsidRPr="001A1836" w:rsidRDefault="00B074CC" w:rsidP="00626054">
            <w:pPr>
              <w:rPr>
                <w:sz w:val="20"/>
                <w:szCs w:val="24"/>
              </w:rPr>
            </w:pPr>
            <w:r w:rsidRPr="001A1836">
              <w:rPr>
                <w:sz w:val="20"/>
                <w:szCs w:val="24"/>
              </w:rPr>
              <w:t>Medium</w:t>
            </w:r>
          </w:p>
        </w:tc>
      </w:tr>
      <w:tr w:rsidR="00B074CC" w:rsidRPr="001A1836" w14:paraId="6E0A3CEE" w14:textId="77777777" w:rsidTr="004F1C82">
        <w:tc>
          <w:tcPr>
            <w:tcW w:w="2029" w:type="dxa"/>
            <w:shd w:val="clear" w:color="auto" w:fill="auto"/>
          </w:tcPr>
          <w:p w14:paraId="0C5EC12A" w14:textId="77777777" w:rsidR="00B074CC" w:rsidRPr="001A1836" w:rsidRDefault="00B074CC" w:rsidP="00626054">
            <w:pPr>
              <w:rPr>
                <w:sz w:val="20"/>
                <w:szCs w:val="24"/>
              </w:rPr>
            </w:pPr>
            <w:r w:rsidRPr="001A1836">
              <w:rPr>
                <w:sz w:val="20"/>
                <w:szCs w:val="24"/>
              </w:rPr>
              <w:t>Criticality</w:t>
            </w:r>
          </w:p>
        </w:tc>
        <w:tc>
          <w:tcPr>
            <w:tcW w:w="6577" w:type="dxa"/>
            <w:gridSpan w:val="2"/>
            <w:shd w:val="clear" w:color="auto" w:fill="auto"/>
          </w:tcPr>
          <w:p w14:paraId="2A252507" w14:textId="77777777" w:rsidR="00B074CC" w:rsidRPr="001A1836" w:rsidRDefault="00B074CC" w:rsidP="00626054">
            <w:pPr>
              <w:rPr>
                <w:sz w:val="20"/>
                <w:szCs w:val="24"/>
              </w:rPr>
            </w:pPr>
            <w:r w:rsidRPr="001A1836">
              <w:rPr>
                <w:sz w:val="20"/>
                <w:szCs w:val="24"/>
              </w:rPr>
              <w:t>B</w:t>
            </w:r>
          </w:p>
        </w:tc>
      </w:tr>
      <w:tr w:rsidR="00B074CC" w:rsidRPr="001A1836" w14:paraId="2233C8CF" w14:textId="77777777" w:rsidTr="004F1C82">
        <w:tc>
          <w:tcPr>
            <w:tcW w:w="2029" w:type="dxa"/>
            <w:shd w:val="clear" w:color="auto" w:fill="auto"/>
          </w:tcPr>
          <w:p w14:paraId="19D069EE" w14:textId="77777777" w:rsidR="00B074CC" w:rsidRPr="001A1836" w:rsidRDefault="00B074CC" w:rsidP="00626054">
            <w:pPr>
              <w:rPr>
                <w:sz w:val="20"/>
                <w:szCs w:val="24"/>
              </w:rPr>
            </w:pPr>
            <w:r w:rsidRPr="001A1836">
              <w:rPr>
                <w:sz w:val="20"/>
                <w:szCs w:val="24"/>
              </w:rPr>
              <w:t>Service Level Performance Measure</w:t>
            </w:r>
          </w:p>
        </w:tc>
        <w:tc>
          <w:tcPr>
            <w:tcW w:w="6577" w:type="dxa"/>
            <w:gridSpan w:val="2"/>
            <w:shd w:val="clear" w:color="auto" w:fill="auto"/>
          </w:tcPr>
          <w:p w14:paraId="6C990D28" w14:textId="2AE81A5F" w:rsidR="00B074CC" w:rsidRPr="00100601" w:rsidRDefault="00802533" w:rsidP="00626054">
            <w:pPr>
              <w:rPr>
                <w:color w:val="000000" w:themeColor="text1"/>
                <w:sz w:val="20"/>
                <w:szCs w:val="24"/>
              </w:rPr>
            </w:pPr>
            <w:bookmarkStart w:id="917" w:name="_cp_change_182"/>
            <w:r w:rsidRPr="00100601">
              <w:rPr>
                <w:color w:val="000000" w:themeColor="text1"/>
                <w:sz w:val="20"/>
                <w:szCs w:val="24"/>
                <w:u w:color="0000FF"/>
              </w:rPr>
              <w:t>Relief Period – 98</w:t>
            </w:r>
            <w:bookmarkEnd w:id="917"/>
            <w:r w:rsidR="00B074CC" w:rsidRPr="00100601">
              <w:rPr>
                <w:color w:val="000000" w:themeColor="text1"/>
                <w:sz w:val="20"/>
                <w:szCs w:val="24"/>
              </w:rPr>
              <w:t>% of correspondence (letter &amp; email) responded to within 5 Working Days of receipt</w:t>
            </w:r>
          </w:p>
          <w:p w14:paraId="6B7C7F7D" w14:textId="6F5D5B1E" w:rsidR="00BF090E" w:rsidRPr="00100601" w:rsidRDefault="00BF090E" w:rsidP="00626054">
            <w:pPr>
              <w:rPr>
                <w:color w:val="000000" w:themeColor="text1"/>
                <w:sz w:val="20"/>
                <w:szCs w:val="24"/>
              </w:rPr>
            </w:pPr>
            <w:bookmarkStart w:id="918" w:name="_cp_change_186"/>
            <w:r w:rsidRPr="00100601">
              <w:rPr>
                <w:color w:val="000000" w:themeColor="text1"/>
                <w:sz w:val="20"/>
                <w:szCs w:val="24"/>
                <w:u w:color="0000FF"/>
              </w:rPr>
              <w:t>Thereafter - 100% of correspondence (letter &amp; email) responded to within 5 Working Days of receipt</w:t>
            </w:r>
            <w:bookmarkEnd w:id="918"/>
          </w:p>
        </w:tc>
      </w:tr>
      <w:tr w:rsidR="00B074CC" w:rsidRPr="001A1836" w14:paraId="3C89677F" w14:textId="77777777" w:rsidTr="004F1C82">
        <w:tc>
          <w:tcPr>
            <w:tcW w:w="2029" w:type="dxa"/>
            <w:shd w:val="clear" w:color="auto" w:fill="auto"/>
          </w:tcPr>
          <w:p w14:paraId="37AB8457" w14:textId="77777777" w:rsidR="00B074CC" w:rsidRPr="001A1836" w:rsidRDefault="00B074CC" w:rsidP="00626054">
            <w:pPr>
              <w:rPr>
                <w:sz w:val="20"/>
                <w:szCs w:val="24"/>
              </w:rPr>
            </w:pPr>
          </w:p>
        </w:tc>
        <w:tc>
          <w:tcPr>
            <w:tcW w:w="4678" w:type="dxa"/>
            <w:shd w:val="clear" w:color="auto" w:fill="auto"/>
          </w:tcPr>
          <w:p w14:paraId="4A00E0F6" w14:textId="77777777" w:rsidR="00B074CC" w:rsidRPr="00100601" w:rsidRDefault="00B074CC" w:rsidP="00626054">
            <w:pPr>
              <w:rPr>
                <w:b/>
                <w:color w:val="000000" w:themeColor="text1"/>
                <w:sz w:val="20"/>
                <w:szCs w:val="24"/>
              </w:rPr>
            </w:pPr>
            <w:r w:rsidRPr="00100601">
              <w:rPr>
                <w:b/>
                <w:color w:val="000000" w:themeColor="text1"/>
                <w:sz w:val="20"/>
                <w:szCs w:val="24"/>
              </w:rPr>
              <w:t>Service Level Performance Measure</w:t>
            </w:r>
          </w:p>
        </w:tc>
        <w:tc>
          <w:tcPr>
            <w:tcW w:w="1899" w:type="dxa"/>
            <w:shd w:val="clear" w:color="auto" w:fill="auto"/>
          </w:tcPr>
          <w:p w14:paraId="1EC311AA" w14:textId="77777777" w:rsidR="00B074CC" w:rsidRPr="00100601" w:rsidRDefault="00B074CC" w:rsidP="00626054">
            <w:pPr>
              <w:rPr>
                <w:b/>
                <w:color w:val="000000" w:themeColor="text1"/>
                <w:sz w:val="20"/>
                <w:szCs w:val="24"/>
              </w:rPr>
            </w:pPr>
            <w:r w:rsidRPr="00100601">
              <w:rPr>
                <w:b/>
                <w:color w:val="000000" w:themeColor="text1"/>
                <w:sz w:val="20"/>
                <w:szCs w:val="24"/>
              </w:rPr>
              <w:t>Service points</w:t>
            </w:r>
          </w:p>
        </w:tc>
      </w:tr>
      <w:tr w:rsidR="00B074CC" w:rsidRPr="001A1836" w14:paraId="6A7FC5BC" w14:textId="77777777" w:rsidTr="004F1C82">
        <w:tc>
          <w:tcPr>
            <w:tcW w:w="2029" w:type="dxa"/>
            <w:shd w:val="clear" w:color="auto" w:fill="auto"/>
          </w:tcPr>
          <w:p w14:paraId="7E544A93" w14:textId="4C77CBD8" w:rsidR="00B074CC" w:rsidRPr="001A1836" w:rsidRDefault="00B074CC" w:rsidP="00626054">
            <w:pPr>
              <w:rPr>
                <w:sz w:val="20"/>
                <w:szCs w:val="24"/>
              </w:rPr>
            </w:pPr>
            <w:r w:rsidRPr="001A1836">
              <w:rPr>
                <w:sz w:val="20"/>
                <w:szCs w:val="24"/>
              </w:rPr>
              <w:t xml:space="preserve">Service </w:t>
            </w:r>
            <w:r w:rsidR="00747264" w:rsidRPr="001A1836">
              <w:rPr>
                <w:sz w:val="20"/>
                <w:szCs w:val="24"/>
              </w:rPr>
              <w:t>L</w:t>
            </w:r>
            <w:r w:rsidRPr="001A1836">
              <w:rPr>
                <w:sz w:val="20"/>
                <w:szCs w:val="24"/>
              </w:rPr>
              <w:t>evel met</w:t>
            </w:r>
          </w:p>
        </w:tc>
        <w:tc>
          <w:tcPr>
            <w:tcW w:w="4678" w:type="dxa"/>
            <w:shd w:val="clear" w:color="auto" w:fill="auto"/>
          </w:tcPr>
          <w:p w14:paraId="5E7B3927" w14:textId="77777777" w:rsidR="006A0A32" w:rsidRPr="00100601" w:rsidRDefault="006A0A32" w:rsidP="006A0A32">
            <w:pPr>
              <w:rPr>
                <w:color w:val="000000" w:themeColor="text1"/>
                <w:sz w:val="20"/>
                <w:szCs w:val="24"/>
              </w:rPr>
            </w:pPr>
            <w:bookmarkStart w:id="919" w:name="_cp_change_188"/>
            <w:r w:rsidRPr="00100601">
              <w:rPr>
                <w:color w:val="000000" w:themeColor="text1"/>
                <w:sz w:val="20"/>
                <w:szCs w:val="24"/>
                <w:u w:color="0000FF"/>
              </w:rPr>
              <w:t>Relief Period – 98%</w:t>
            </w:r>
            <w:bookmarkStart w:id="920" w:name="_cp_change_187"/>
            <w:bookmarkEnd w:id="919"/>
          </w:p>
          <w:p w14:paraId="02BDE8A2" w14:textId="4D167FE7" w:rsidR="00B074CC" w:rsidRPr="00100601" w:rsidRDefault="00CE397A" w:rsidP="00626054">
            <w:pPr>
              <w:rPr>
                <w:color w:val="000000" w:themeColor="text1"/>
                <w:sz w:val="20"/>
                <w:szCs w:val="24"/>
              </w:rPr>
            </w:pPr>
            <w:bookmarkStart w:id="921" w:name="_cp_change_189"/>
            <w:bookmarkEnd w:id="920"/>
            <w:r w:rsidRPr="00100601">
              <w:rPr>
                <w:color w:val="000000" w:themeColor="text1"/>
                <w:sz w:val="20"/>
                <w:szCs w:val="24"/>
                <w:u w:color="0000FF"/>
              </w:rPr>
              <w:t xml:space="preserve">Thereafter - </w:t>
            </w:r>
            <w:bookmarkEnd w:id="921"/>
            <w:r w:rsidR="00B074CC" w:rsidRPr="00100601">
              <w:rPr>
                <w:color w:val="000000" w:themeColor="text1"/>
                <w:sz w:val="20"/>
                <w:szCs w:val="24"/>
              </w:rPr>
              <w:t>100%</w:t>
            </w:r>
          </w:p>
        </w:tc>
        <w:tc>
          <w:tcPr>
            <w:tcW w:w="1899" w:type="dxa"/>
            <w:shd w:val="clear" w:color="auto" w:fill="auto"/>
          </w:tcPr>
          <w:p w14:paraId="4A9252D0" w14:textId="77777777" w:rsidR="00B074CC" w:rsidRPr="00100601" w:rsidRDefault="00B074CC" w:rsidP="00626054">
            <w:pPr>
              <w:rPr>
                <w:color w:val="000000" w:themeColor="text1"/>
                <w:sz w:val="20"/>
                <w:szCs w:val="24"/>
              </w:rPr>
            </w:pPr>
            <w:r w:rsidRPr="00100601">
              <w:rPr>
                <w:color w:val="000000" w:themeColor="text1"/>
                <w:sz w:val="20"/>
                <w:szCs w:val="24"/>
              </w:rPr>
              <w:t>0</w:t>
            </w:r>
          </w:p>
        </w:tc>
      </w:tr>
      <w:tr w:rsidR="00B074CC" w:rsidRPr="001A1836" w14:paraId="64F6BA70" w14:textId="77777777" w:rsidTr="004F1C82">
        <w:tc>
          <w:tcPr>
            <w:tcW w:w="2029" w:type="dxa"/>
            <w:shd w:val="clear" w:color="auto" w:fill="auto"/>
          </w:tcPr>
          <w:p w14:paraId="42D1BBC7" w14:textId="77777777" w:rsidR="00B074CC" w:rsidRPr="001A1836" w:rsidRDefault="00B074CC" w:rsidP="00626054">
            <w:pPr>
              <w:rPr>
                <w:sz w:val="20"/>
                <w:szCs w:val="24"/>
              </w:rPr>
            </w:pPr>
            <w:r w:rsidRPr="001A1836">
              <w:rPr>
                <w:sz w:val="20"/>
                <w:szCs w:val="24"/>
              </w:rPr>
              <w:t>Minor Service Level Failure</w:t>
            </w:r>
          </w:p>
        </w:tc>
        <w:tc>
          <w:tcPr>
            <w:tcW w:w="4678" w:type="dxa"/>
            <w:shd w:val="clear" w:color="auto" w:fill="auto"/>
          </w:tcPr>
          <w:p w14:paraId="18AEBB15" w14:textId="77777777" w:rsidR="000B6417" w:rsidRPr="00100601" w:rsidRDefault="000B6417" w:rsidP="000B6417">
            <w:pPr>
              <w:rPr>
                <w:color w:val="000000" w:themeColor="text1"/>
                <w:sz w:val="20"/>
                <w:szCs w:val="24"/>
              </w:rPr>
            </w:pPr>
            <w:bookmarkStart w:id="922" w:name="_cp_change_191"/>
            <w:r w:rsidRPr="00100601">
              <w:rPr>
                <w:color w:val="000000" w:themeColor="text1"/>
                <w:sz w:val="20"/>
                <w:szCs w:val="24"/>
                <w:u w:color="0000FF"/>
              </w:rPr>
              <w:t>Relief Period – Less than 98% but greater than 96%</w:t>
            </w:r>
            <w:bookmarkStart w:id="923" w:name="_cp_change_190"/>
            <w:bookmarkEnd w:id="922"/>
          </w:p>
          <w:p w14:paraId="031D8C26" w14:textId="1F294B6A" w:rsidR="00B074CC" w:rsidRPr="00100601" w:rsidRDefault="00BA420D" w:rsidP="00626054">
            <w:pPr>
              <w:rPr>
                <w:color w:val="000000" w:themeColor="text1"/>
                <w:sz w:val="20"/>
                <w:szCs w:val="24"/>
              </w:rPr>
            </w:pPr>
            <w:bookmarkStart w:id="924" w:name="_cp_change_192"/>
            <w:bookmarkEnd w:id="923"/>
            <w:r w:rsidRPr="00100601">
              <w:rPr>
                <w:color w:val="000000" w:themeColor="text1"/>
                <w:sz w:val="20"/>
                <w:szCs w:val="24"/>
                <w:u w:color="0000FF"/>
              </w:rPr>
              <w:t xml:space="preserve">Thereafter - </w:t>
            </w:r>
            <w:bookmarkEnd w:id="924"/>
            <w:r w:rsidR="00B074CC" w:rsidRPr="00100601">
              <w:rPr>
                <w:color w:val="000000" w:themeColor="text1"/>
                <w:sz w:val="20"/>
                <w:szCs w:val="24"/>
              </w:rPr>
              <w:t xml:space="preserve">Less than 100% but greater than 98% </w:t>
            </w:r>
          </w:p>
        </w:tc>
        <w:tc>
          <w:tcPr>
            <w:tcW w:w="1899" w:type="dxa"/>
            <w:shd w:val="clear" w:color="auto" w:fill="auto"/>
          </w:tcPr>
          <w:p w14:paraId="1F9652E4" w14:textId="77777777" w:rsidR="00B074CC" w:rsidRPr="00100601" w:rsidRDefault="00B074CC" w:rsidP="00626054">
            <w:pPr>
              <w:rPr>
                <w:color w:val="000000" w:themeColor="text1"/>
                <w:sz w:val="20"/>
                <w:szCs w:val="24"/>
              </w:rPr>
            </w:pPr>
            <w:r w:rsidRPr="00100601">
              <w:rPr>
                <w:color w:val="000000" w:themeColor="text1"/>
                <w:sz w:val="20"/>
                <w:szCs w:val="24"/>
              </w:rPr>
              <w:t>1.0</w:t>
            </w:r>
          </w:p>
        </w:tc>
      </w:tr>
      <w:tr w:rsidR="00B074CC" w:rsidRPr="001A1836" w14:paraId="04BADDED" w14:textId="77777777" w:rsidTr="004F1C82">
        <w:tc>
          <w:tcPr>
            <w:tcW w:w="2029" w:type="dxa"/>
            <w:shd w:val="clear" w:color="auto" w:fill="auto"/>
          </w:tcPr>
          <w:p w14:paraId="685B41B6" w14:textId="77777777" w:rsidR="00B074CC" w:rsidRPr="001A1836" w:rsidRDefault="00B074CC" w:rsidP="00626054">
            <w:pPr>
              <w:rPr>
                <w:sz w:val="20"/>
                <w:szCs w:val="24"/>
              </w:rPr>
            </w:pPr>
            <w:r w:rsidRPr="001A1836">
              <w:rPr>
                <w:sz w:val="20"/>
                <w:szCs w:val="24"/>
              </w:rPr>
              <w:t>Moderate Service Level Failure</w:t>
            </w:r>
          </w:p>
        </w:tc>
        <w:tc>
          <w:tcPr>
            <w:tcW w:w="4678" w:type="dxa"/>
            <w:shd w:val="clear" w:color="auto" w:fill="auto"/>
          </w:tcPr>
          <w:p w14:paraId="097C86EA" w14:textId="77777777" w:rsidR="006B0240" w:rsidRPr="00100601" w:rsidRDefault="006B0240" w:rsidP="006B0240">
            <w:pPr>
              <w:rPr>
                <w:color w:val="000000" w:themeColor="text1"/>
                <w:sz w:val="20"/>
                <w:szCs w:val="24"/>
              </w:rPr>
            </w:pPr>
            <w:bookmarkStart w:id="925" w:name="_cp_change_194"/>
            <w:r w:rsidRPr="00100601">
              <w:rPr>
                <w:color w:val="000000" w:themeColor="text1"/>
                <w:sz w:val="20"/>
                <w:szCs w:val="24"/>
                <w:u w:color="0000FF"/>
              </w:rPr>
              <w:t>Relief Period – Between 93% and 96% inclusive</w:t>
            </w:r>
            <w:bookmarkStart w:id="926" w:name="_cp_change_193"/>
            <w:bookmarkEnd w:id="925"/>
          </w:p>
          <w:p w14:paraId="0FF4D9F5" w14:textId="198340A5" w:rsidR="00B074CC" w:rsidRPr="00100601" w:rsidRDefault="00F91A42" w:rsidP="00626054">
            <w:pPr>
              <w:rPr>
                <w:color w:val="000000" w:themeColor="text1"/>
                <w:sz w:val="20"/>
                <w:szCs w:val="24"/>
              </w:rPr>
            </w:pPr>
            <w:bookmarkStart w:id="927" w:name="_cp_change_195"/>
            <w:bookmarkEnd w:id="926"/>
            <w:r w:rsidRPr="00100601">
              <w:rPr>
                <w:color w:val="000000" w:themeColor="text1"/>
                <w:sz w:val="20"/>
                <w:szCs w:val="24"/>
                <w:u w:color="0000FF"/>
              </w:rPr>
              <w:t xml:space="preserve">Thereafter - </w:t>
            </w:r>
            <w:bookmarkEnd w:id="927"/>
            <w:r w:rsidR="00B074CC" w:rsidRPr="00100601">
              <w:rPr>
                <w:color w:val="000000" w:themeColor="text1"/>
                <w:sz w:val="20"/>
                <w:szCs w:val="24"/>
              </w:rPr>
              <w:t xml:space="preserve">Between 95% and 98% inclusive </w:t>
            </w:r>
          </w:p>
        </w:tc>
        <w:tc>
          <w:tcPr>
            <w:tcW w:w="1899" w:type="dxa"/>
            <w:shd w:val="clear" w:color="auto" w:fill="auto"/>
          </w:tcPr>
          <w:p w14:paraId="3F5A42A1" w14:textId="77777777" w:rsidR="00B074CC" w:rsidRPr="00100601" w:rsidRDefault="00B074CC" w:rsidP="00626054">
            <w:pPr>
              <w:rPr>
                <w:color w:val="000000" w:themeColor="text1"/>
                <w:sz w:val="20"/>
                <w:szCs w:val="24"/>
              </w:rPr>
            </w:pPr>
            <w:r w:rsidRPr="00100601">
              <w:rPr>
                <w:color w:val="000000" w:themeColor="text1"/>
                <w:sz w:val="20"/>
                <w:szCs w:val="24"/>
              </w:rPr>
              <w:t>2.0</w:t>
            </w:r>
          </w:p>
        </w:tc>
      </w:tr>
      <w:tr w:rsidR="00B074CC" w:rsidRPr="001A1836" w14:paraId="0BE807F3" w14:textId="77777777" w:rsidTr="004F1C82">
        <w:tc>
          <w:tcPr>
            <w:tcW w:w="2029" w:type="dxa"/>
            <w:shd w:val="clear" w:color="auto" w:fill="auto"/>
          </w:tcPr>
          <w:p w14:paraId="0FE092DC" w14:textId="77777777" w:rsidR="00B074CC" w:rsidRPr="001A1836" w:rsidRDefault="00B074CC" w:rsidP="00626054">
            <w:pPr>
              <w:rPr>
                <w:sz w:val="20"/>
                <w:szCs w:val="24"/>
              </w:rPr>
            </w:pPr>
            <w:r w:rsidRPr="001A1836">
              <w:rPr>
                <w:sz w:val="20"/>
                <w:szCs w:val="24"/>
              </w:rPr>
              <w:t>Major Service Level Failure</w:t>
            </w:r>
          </w:p>
        </w:tc>
        <w:tc>
          <w:tcPr>
            <w:tcW w:w="4678" w:type="dxa"/>
            <w:shd w:val="clear" w:color="auto" w:fill="auto"/>
          </w:tcPr>
          <w:p w14:paraId="39B041F6" w14:textId="77777777" w:rsidR="006713C9" w:rsidRPr="00100601" w:rsidRDefault="006713C9" w:rsidP="006713C9">
            <w:pPr>
              <w:rPr>
                <w:color w:val="000000" w:themeColor="text1"/>
                <w:sz w:val="20"/>
                <w:szCs w:val="24"/>
              </w:rPr>
            </w:pPr>
            <w:bookmarkStart w:id="928" w:name="_cp_change_197"/>
            <w:r w:rsidRPr="00100601">
              <w:rPr>
                <w:color w:val="000000" w:themeColor="text1"/>
                <w:sz w:val="20"/>
                <w:szCs w:val="24"/>
                <w:u w:color="0000FF"/>
              </w:rPr>
              <w:t>Relief Period – Less than 93%</w:t>
            </w:r>
            <w:bookmarkStart w:id="929" w:name="_cp_change_196"/>
            <w:bookmarkEnd w:id="928"/>
          </w:p>
          <w:p w14:paraId="356EB985" w14:textId="53EA7CFF" w:rsidR="00B074CC" w:rsidRPr="00100601" w:rsidRDefault="00986FD7" w:rsidP="00626054">
            <w:pPr>
              <w:rPr>
                <w:color w:val="000000" w:themeColor="text1"/>
                <w:sz w:val="20"/>
                <w:szCs w:val="24"/>
              </w:rPr>
            </w:pPr>
            <w:bookmarkStart w:id="930" w:name="_cp_change_198"/>
            <w:bookmarkEnd w:id="929"/>
            <w:r w:rsidRPr="00100601">
              <w:rPr>
                <w:color w:val="000000" w:themeColor="text1"/>
                <w:sz w:val="20"/>
                <w:szCs w:val="24"/>
                <w:u w:color="0000FF"/>
              </w:rPr>
              <w:t xml:space="preserve">Thereafter - </w:t>
            </w:r>
            <w:bookmarkEnd w:id="930"/>
            <w:r w:rsidR="00B074CC" w:rsidRPr="00100601">
              <w:rPr>
                <w:color w:val="000000" w:themeColor="text1"/>
                <w:sz w:val="20"/>
                <w:szCs w:val="24"/>
              </w:rPr>
              <w:t xml:space="preserve">Less than 95% </w:t>
            </w:r>
          </w:p>
        </w:tc>
        <w:tc>
          <w:tcPr>
            <w:tcW w:w="1899" w:type="dxa"/>
            <w:shd w:val="clear" w:color="auto" w:fill="auto"/>
          </w:tcPr>
          <w:p w14:paraId="73CFF49C" w14:textId="77777777" w:rsidR="00B074CC" w:rsidRPr="00100601" w:rsidRDefault="00B074CC" w:rsidP="00626054">
            <w:pPr>
              <w:rPr>
                <w:color w:val="000000" w:themeColor="text1"/>
                <w:sz w:val="20"/>
                <w:szCs w:val="24"/>
              </w:rPr>
            </w:pPr>
            <w:r w:rsidRPr="00100601">
              <w:rPr>
                <w:color w:val="000000" w:themeColor="text1"/>
                <w:sz w:val="20"/>
                <w:szCs w:val="24"/>
              </w:rPr>
              <w:t>3.0</w:t>
            </w:r>
          </w:p>
        </w:tc>
      </w:tr>
    </w:tbl>
    <w:p w14:paraId="5F85B1BE" w14:textId="77777777" w:rsidR="00B074CC" w:rsidRPr="001A1836" w:rsidRDefault="00B074CC" w:rsidP="00626054">
      <w:pPr>
        <w:spacing w:after="0"/>
        <w:rPr>
          <w:sz w:val="20"/>
          <w:szCs w:val="24"/>
        </w:rPr>
      </w:pPr>
    </w:p>
    <w:p w14:paraId="2700B645" w14:textId="77777777" w:rsidR="00B074CC" w:rsidRPr="001A1836" w:rsidRDefault="00B074CC" w:rsidP="00626054">
      <w:pPr>
        <w:spacing w:after="0"/>
        <w:rPr>
          <w:sz w:val="20"/>
          <w:szCs w:val="24"/>
        </w:rPr>
      </w:pPr>
      <w:r w:rsidRPr="001A1836">
        <w:rPr>
          <w:sz w:val="20"/>
          <w:szCs w:val="24"/>
        </w:rPr>
        <w:br w:type="page"/>
      </w:r>
    </w:p>
    <w:p w14:paraId="615D2C49" w14:textId="77777777" w:rsidR="00B074CC" w:rsidRPr="001A1836" w:rsidRDefault="00B074CC" w:rsidP="00626054">
      <w:pPr>
        <w:spacing w:after="0"/>
        <w:rPr>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4678"/>
        <w:gridCol w:w="1899"/>
      </w:tblGrid>
      <w:tr w:rsidR="00B074CC" w:rsidRPr="001A1836" w14:paraId="18244875" w14:textId="77777777" w:rsidTr="009E2E92">
        <w:trPr>
          <w:tblHeader/>
        </w:trPr>
        <w:tc>
          <w:tcPr>
            <w:tcW w:w="2029" w:type="dxa"/>
            <w:shd w:val="clear" w:color="auto" w:fill="auto"/>
          </w:tcPr>
          <w:p w14:paraId="4E78E7B3" w14:textId="77777777" w:rsidR="00B074CC" w:rsidRPr="001A1836" w:rsidRDefault="00B074CC" w:rsidP="00626054">
            <w:pPr>
              <w:rPr>
                <w:b/>
                <w:szCs w:val="24"/>
              </w:rPr>
            </w:pPr>
            <w:r w:rsidRPr="001A1836">
              <w:rPr>
                <w:b/>
                <w:szCs w:val="24"/>
              </w:rPr>
              <w:t>SL14</w:t>
            </w:r>
          </w:p>
        </w:tc>
        <w:tc>
          <w:tcPr>
            <w:tcW w:w="6577" w:type="dxa"/>
            <w:gridSpan w:val="2"/>
            <w:shd w:val="clear" w:color="auto" w:fill="auto"/>
          </w:tcPr>
          <w:p w14:paraId="0F5DAF8C" w14:textId="77777777" w:rsidR="00B074CC" w:rsidRPr="001A1836" w:rsidRDefault="00B074CC" w:rsidP="00626054">
            <w:pPr>
              <w:rPr>
                <w:b/>
                <w:szCs w:val="24"/>
              </w:rPr>
            </w:pPr>
            <w:r w:rsidRPr="001A1836">
              <w:rPr>
                <w:b/>
                <w:szCs w:val="24"/>
              </w:rPr>
              <w:t>Availability of systems and infrastructure (with the exception of scheduled downtime) – phone lines</w:t>
            </w:r>
          </w:p>
        </w:tc>
      </w:tr>
      <w:tr w:rsidR="00B074CC" w:rsidRPr="001A1836" w14:paraId="734E6DBB" w14:textId="77777777" w:rsidTr="004F1C82">
        <w:tc>
          <w:tcPr>
            <w:tcW w:w="2029" w:type="dxa"/>
            <w:shd w:val="clear" w:color="auto" w:fill="auto"/>
          </w:tcPr>
          <w:p w14:paraId="42FC65A1" w14:textId="2AD3F237" w:rsidR="00B074CC" w:rsidRPr="001A1836" w:rsidRDefault="00B074CC" w:rsidP="00626054">
            <w:pPr>
              <w:rPr>
                <w:sz w:val="20"/>
                <w:szCs w:val="24"/>
              </w:rPr>
            </w:pPr>
            <w:r w:rsidRPr="001A1836">
              <w:rPr>
                <w:sz w:val="20"/>
                <w:szCs w:val="24"/>
              </w:rPr>
              <w:t xml:space="preserve">Service </w:t>
            </w:r>
            <w:r w:rsidR="00747264" w:rsidRPr="001A1836">
              <w:rPr>
                <w:sz w:val="20"/>
                <w:szCs w:val="24"/>
              </w:rPr>
              <w:t>L</w:t>
            </w:r>
            <w:r w:rsidRPr="001A1836">
              <w:rPr>
                <w:sz w:val="20"/>
                <w:szCs w:val="24"/>
              </w:rPr>
              <w:t>evel description</w:t>
            </w:r>
          </w:p>
        </w:tc>
        <w:tc>
          <w:tcPr>
            <w:tcW w:w="6577" w:type="dxa"/>
            <w:gridSpan w:val="2"/>
            <w:shd w:val="clear" w:color="auto" w:fill="auto"/>
          </w:tcPr>
          <w:p w14:paraId="67D3A302" w14:textId="77777777" w:rsidR="00B074CC" w:rsidRPr="001A1836" w:rsidRDefault="00B074CC" w:rsidP="00626054">
            <w:pPr>
              <w:rPr>
                <w:sz w:val="20"/>
                <w:szCs w:val="24"/>
              </w:rPr>
            </w:pPr>
            <w:r w:rsidRPr="001A1836">
              <w:rPr>
                <w:sz w:val="20"/>
                <w:szCs w:val="24"/>
              </w:rPr>
              <w:t>The availability of telephone lines to receive calls (answered by contact centre operatives) during the contracted hours of service.</w:t>
            </w:r>
          </w:p>
          <w:p w14:paraId="3D21758B" w14:textId="77777777" w:rsidR="00B074CC" w:rsidRPr="001A1836" w:rsidRDefault="00B074CC" w:rsidP="00626054">
            <w:pPr>
              <w:rPr>
                <w:sz w:val="20"/>
                <w:szCs w:val="24"/>
              </w:rPr>
            </w:pPr>
            <w:r w:rsidRPr="001A1836">
              <w:rPr>
                <w:sz w:val="20"/>
                <w:szCs w:val="24"/>
              </w:rPr>
              <w:t>The phone lines shall be deemed to be available where they can be accessed during the defined hours of service and calls can be responded to by a member of staff.</w:t>
            </w:r>
          </w:p>
          <w:p w14:paraId="47A72BF7" w14:textId="77777777" w:rsidR="00B074CC" w:rsidRPr="001A1836" w:rsidRDefault="00B074CC" w:rsidP="00626054">
            <w:pPr>
              <w:rPr>
                <w:sz w:val="20"/>
                <w:szCs w:val="24"/>
              </w:rPr>
            </w:pPr>
            <w:r w:rsidRPr="001A1836">
              <w:rPr>
                <w:sz w:val="20"/>
                <w:szCs w:val="24"/>
              </w:rPr>
              <w:t>With the exception of scheduled down time.</w:t>
            </w:r>
          </w:p>
        </w:tc>
      </w:tr>
      <w:tr w:rsidR="00B074CC" w:rsidRPr="001A1836" w14:paraId="24B1B4AF" w14:textId="77777777" w:rsidTr="004F1C82">
        <w:tc>
          <w:tcPr>
            <w:tcW w:w="2029" w:type="dxa"/>
            <w:shd w:val="clear" w:color="auto" w:fill="auto"/>
          </w:tcPr>
          <w:p w14:paraId="22D49852" w14:textId="1FFFEC2B" w:rsidR="00B074CC" w:rsidRPr="001A1836" w:rsidRDefault="00B074CC" w:rsidP="00626054">
            <w:pPr>
              <w:rPr>
                <w:sz w:val="20"/>
                <w:szCs w:val="24"/>
              </w:rPr>
            </w:pPr>
            <w:r w:rsidRPr="001A1836">
              <w:rPr>
                <w:sz w:val="20"/>
                <w:szCs w:val="24"/>
              </w:rPr>
              <w:t xml:space="preserve">Service </w:t>
            </w:r>
            <w:r w:rsidR="00747264" w:rsidRPr="001A1836">
              <w:rPr>
                <w:sz w:val="20"/>
                <w:szCs w:val="24"/>
              </w:rPr>
              <w:t>L</w:t>
            </w:r>
            <w:r w:rsidRPr="001A1836">
              <w:rPr>
                <w:sz w:val="20"/>
                <w:szCs w:val="24"/>
              </w:rPr>
              <w:t>evel calculation</w:t>
            </w:r>
          </w:p>
        </w:tc>
        <w:tc>
          <w:tcPr>
            <w:tcW w:w="6577" w:type="dxa"/>
            <w:gridSpan w:val="2"/>
            <w:shd w:val="clear" w:color="auto" w:fill="auto"/>
          </w:tcPr>
          <w:p w14:paraId="50E43F28" w14:textId="77777777" w:rsidR="00B074CC" w:rsidRPr="001A1836" w:rsidRDefault="00B074CC" w:rsidP="00626054">
            <w:pPr>
              <w:rPr>
                <w:sz w:val="20"/>
                <w:szCs w:val="24"/>
              </w:rPr>
            </w:pPr>
            <w:r w:rsidRPr="001A1836">
              <w:rPr>
                <w:sz w:val="20"/>
                <w:szCs w:val="24"/>
              </w:rPr>
              <w:t>A / B x 100</w:t>
            </w:r>
          </w:p>
          <w:p w14:paraId="5F57B24D" w14:textId="77777777" w:rsidR="00B074CC" w:rsidRPr="001A1836" w:rsidRDefault="00B074CC" w:rsidP="00626054">
            <w:pPr>
              <w:rPr>
                <w:sz w:val="20"/>
                <w:szCs w:val="24"/>
              </w:rPr>
            </w:pPr>
          </w:p>
          <w:p w14:paraId="42602CD5" w14:textId="77777777" w:rsidR="00B074CC" w:rsidRPr="001A1836" w:rsidRDefault="00B074CC" w:rsidP="00626054">
            <w:pPr>
              <w:rPr>
                <w:sz w:val="20"/>
                <w:szCs w:val="24"/>
              </w:rPr>
            </w:pPr>
            <w:r w:rsidRPr="001A1836">
              <w:rPr>
                <w:sz w:val="20"/>
                <w:szCs w:val="24"/>
              </w:rPr>
              <w:t>Where:</w:t>
            </w:r>
          </w:p>
          <w:p w14:paraId="7EA4C0B1" w14:textId="77777777" w:rsidR="00B074CC" w:rsidRPr="001A1836" w:rsidRDefault="00B074CC" w:rsidP="00626054">
            <w:pPr>
              <w:rPr>
                <w:sz w:val="20"/>
                <w:szCs w:val="24"/>
              </w:rPr>
            </w:pPr>
            <w:r w:rsidRPr="001A1836">
              <w:rPr>
                <w:sz w:val="20"/>
                <w:szCs w:val="24"/>
              </w:rPr>
              <w:t xml:space="preserve">A = Number of minutes during the hours of service on service days when the contact centre and technical helpline are available </w:t>
            </w:r>
          </w:p>
          <w:p w14:paraId="118133ED" w14:textId="77777777" w:rsidR="00B074CC" w:rsidRPr="001A1836" w:rsidRDefault="00B074CC" w:rsidP="00626054">
            <w:pPr>
              <w:rPr>
                <w:sz w:val="20"/>
                <w:szCs w:val="24"/>
              </w:rPr>
            </w:pPr>
            <w:r w:rsidRPr="001A1836">
              <w:rPr>
                <w:sz w:val="20"/>
                <w:szCs w:val="24"/>
              </w:rPr>
              <w:t xml:space="preserve">B = Total number of minutes during hours of service on service days during the service measurement period in question </w:t>
            </w:r>
          </w:p>
        </w:tc>
      </w:tr>
      <w:tr w:rsidR="00B074CC" w:rsidRPr="001A1836" w14:paraId="120EFD01" w14:textId="77777777" w:rsidTr="004F1C82">
        <w:tc>
          <w:tcPr>
            <w:tcW w:w="2029" w:type="dxa"/>
            <w:shd w:val="clear" w:color="auto" w:fill="auto"/>
          </w:tcPr>
          <w:p w14:paraId="506D7025" w14:textId="1688CA1B" w:rsidR="00B074CC" w:rsidRPr="001A1836" w:rsidRDefault="00B074CC" w:rsidP="00626054">
            <w:pPr>
              <w:rPr>
                <w:sz w:val="20"/>
                <w:szCs w:val="24"/>
              </w:rPr>
            </w:pPr>
            <w:r w:rsidRPr="001A1836">
              <w:rPr>
                <w:sz w:val="20"/>
                <w:szCs w:val="24"/>
              </w:rPr>
              <w:t xml:space="preserve">Reporting frequency </w:t>
            </w:r>
          </w:p>
        </w:tc>
        <w:tc>
          <w:tcPr>
            <w:tcW w:w="6577" w:type="dxa"/>
            <w:gridSpan w:val="2"/>
            <w:shd w:val="clear" w:color="auto" w:fill="auto"/>
          </w:tcPr>
          <w:p w14:paraId="11741BBA" w14:textId="77777777" w:rsidR="00B074CC" w:rsidRPr="001A1836" w:rsidRDefault="00B074CC" w:rsidP="00626054">
            <w:pPr>
              <w:rPr>
                <w:sz w:val="20"/>
                <w:szCs w:val="24"/>
              </w:rPr>
            </w:pPr>
            <w:r w:rsidRPr="001A1836">
              <w:rPr>
                <w:sz w:val="20"/>
                <w:szCs w:val="24"/>
              </w:rPr>
              <w:t>Performance is reported monthly.</w:t>
            </w:r>
          </w:p>
          <w:p w14:paraId="2E5871B5" w14:textId="4C1A3B0F" w:rsidR="00B876A2" w:rsidRPr="001A1836" w:rsidRDefault="00B876A2" w:rsidP="004F1C82">
            <w:pPr>
              <w:rPr>
                <w:sz w:val="20"/>
                <w:szCs w:val="24"/>
              </w:rPr>
            </w:pPr>
          </w:p>
        </w:tc>
      </w:tr>
      <w:tr w:rsidR="004F1C82" w:rsidRPr="001A1836" w14:paraId="37A76301" w14:textId="77777777" w:rsidTr="004F1C82">
        <w:tc>
          <w:tcPr>
            <w:tcW w:w="2029" w:type="dxa"/>
            <w:shd w:val="clear" w:color="auto" w:fill="auto"/>
          </w:tcPr>
          <w:p w14:paraId="3667F3B7" w14:textId="73A389B0" w:rsidR="004F1C82" w:rsidRPr="001A1836" w:rsidDel="00B20DB7" w:rsidRDefault="004F1C82" w:rsidP="004F1C82">
            <w:pPr>
              <w:rPr>
                <w:sz w:val="20"/>
                <w:szCs w:val="24"/>
              </w:rPr>
            </w:pPr>
            <w:r w:rsidRPr="001A1836">
              <w:rPr>
                <w:sz w:val="20"/>
                <w:szCs w:val="24"/>
              </w:rPr>
              <w:t>Service Measurement Period</w:t>
            </w:r>
          </w:p>
        </w:tc>
        <w:tc>
          <w:tcPr>
            <w:tcW w:w="6577" w:type="dxa"/>
            <w:gridSpan w:val="2"/>
            <w:shd w:val="clear" w:color="auto" w:fill="auto"/>
          </w:tcPr>
          <w:p w14:paraId="4CFD976F" w14:textId="15D497AE" w:rsidR="004F1C82" w:rsidRPr="001A1836" w:rsidRDefault="004F1C82" w:rsidP="004F1C82">
            <w:pPr>
              <w:rPr>
                <w:sz w:val="20"/>
                <w:szCs w:val="24"/>
              </w:rPr>
            </w:pPr>
            <w:r w:rsidRPr="001A1836">
              <w:rPr>
                <w:sz w:val="20"/>
                <w:szCs w:val="24"/>
              </w:rPr>
              <w:t>Service Credits are calculated monthly.</w:t>
            </w:r>
          </w:p>
        </w:tc>
      </w:tr>
      <w:tr w:rsidR="004F1C82" w:rsidRPr="001A1836" w14:paraId="5EF989D9" w14:textId="77777777" w:rsidTr="004F1C82">
        <w:tc>
          <w:tcPr>
            <w:tcW w:w="2029" w:type="dxa"/>
            <w:shd w:val="clear" w:color="auto" w:fill="auto"/>
          </w:tcPr>
          <w:p w14:paraId="01423F76" w14:textId="63E62A75" w:rsidR="004F1C82" w:rsidRPr="001A1836" w:rsidDel="00B20DB7" w:rsidRDefault="004F1C82" w:rsidP="004F1C82">
            <w:pPr>
              <w:rPr>
                <w:sz w:val="20"/>
                <w:szCs w:val="24"/>
              </w:rPr>
            </w:pPr>
            <w:r w:rsidRPr="001A1836">
              <w:rPr>
                <w:sz w:val="20"/>
                <w:szCs w:val="24"/>
              </w:rPr>
              <w:t>Service Point Application Period</w:t>
            </w:r>
          </w:p>
        </w:tc>
        <w:tc>
          <w:tcPr>
            <w:tcW w:w="6577" w:type="dxa"/>
            <w:gridSpan w:val="2"/>
            <w:shd w:val="clear" w:color="auto" w:fill="auto"/>
          </w:tcPr>
          <w:p w14:paraId="65894A70" w14:textId="70BDEBC2" w:rsidR="004F1C82" w:rsidRPr="001A1836" w:rsidRDefault="00EA4BD8" w:rsidP="004F1C82">
            <w:pPr>
              <w:rPr>
                <w:sz w:val="20"/>
                <w:szCs w:val="24"/>
              </w:rPr>
            </w:pPr>
            <w:r w:rsidRPr="001A1836">
              <w:rPr>
                <w:sz w:val="20"/>
                <w:szCs w:val="24"/>
              </w:rPr>
              <w:t xml:space="preserve">Service Points are applied monthly against </w:t>
            </w:r>
            <w:r>
              <w:rPr>
                <w:sz w:val="20"/>
                <w:szCs w:val="24"/>
              </w:rPr>
              <w:t xml:space="preserve">one twelfth of the sum of </w:t>
            </w:r>
            <w:r w:rsidRPr="001A1836">
              <w:rPr>
                <w:sz w:val="20"/>
                <w:szCs w:val="24"/>
              </w:rPr>
              <w:t xml:space="preserve">the Provider’s </w:t>
            </w:r>
            <w:r>
              <w:rPr>
                <w:sz w:val="20"/>
                <w:szCs w:val="24"/>
              </w:rPr>
              <w:t>annual</w:t>
            </w:r>
            <w:r w:rsidRPr="001A1836">
              <w:rPr>
                <w:sz w:val="20"/>
                <w:szCs w:val="24"/>
              </w:rPr>
              <w:t xml:space="preserve"> </w:t>
            </w:r>
            <w:r>
              <w:rPr>
                <w:sz w:val="20"/>
                <w:szCs w:val="24"/>
              </w:rPr>
              <w:t>A</w:t>
            </w:r>
            <w:r w:rsidRPr="001A1836">
              <w:rPr>
                <w:sz w:val="20"/>
                <w:szCs w:val="24"/>
              </w:rPr>
              <w:t xml:space="preserve">greed Operating Costs plus </w:t>
            </w:r>
            <w:r>
              <w:rPr>
                <w:sz w:val="20"/>
                <w:szCs w:val="24"/>
              </w:rPr>
              <w:t xml:space="preserve">Provider </w:t>
            </w:r>
            <w:r w:rsidRPr="001A1836">
              <w:rPr>
                <w:sz w:val="20"/>
                <w:szCs w:val="24"/>
              </w:rPr>
              <w:t>Profit.</w:t>
            </w:r>
          </w:p>
        </w:tc>
      </w:tr>
      <w:tr w:rsidR="00B074CC" w:rsidRPr="001A1836" w14:paraId="7E4B3BB2" w14:textId="77777777" w:rsidTr="004F1C82">
        <w:tc>
          <w:tcPr>
            <w:tcW w:w="2029" w:type="dxa"/>
            <w:shd w:val="clear" w:color="auto" w:fill="auto"/>
          </w:tcPr>
          <w:p w14:paraId="640CD771" w14:textId="77777777" w:rsidR="00B074CC" w:rsidRPr="001A1836" w:rsidRDefault="00B074CC" w:rsidP="00626054">
            <w:pPr>
              <w:rPr>
                <w:sz w:val="20"/>
                <w:szCs w:val="24"/>
              </w:rPr>
            </w:pPr>
            <w:r w:rsidRPr="001A1836">
              <w:rPr>
                <w:sz w:val="20"/>
                <w:szCs w:val="24"/>
              </w:rPr>
              <w:t>Hours of service</w:t>
            </w:r>
          </w:p>
        </w:tc>
        <w:tc>
          <w:tcPr>
            <w:tcW w:w="6577" w:type="dxa"/>
            <w:gridSpan w:val="2"/>
            <w:shd w:val="clear" w:color="auto" w:fill="auto"/>
          </w:tcPr>
          <w:p w14:paraId="346B4D10" w14:textId="77777777" w:rsidR="008B2241" w:rsidRPr="008B2241" w:rsidRDefault="008B2241" w:rsidP="008B2241">
            <w:pPr>
              <w:spacing w:before="0" w:after="240"/>
              <w:rPr>
                <w:rFonts w:cs="Arial"/>
                <w:sz w:val="20"/>
              </w:rPr>
            </w:pPr>
            <w:r w:rsidRPr="008B2241">
              <w:rPr>
                <w:rFonts w:cs="Arial"/>
                <w:sz w:val="20"/>
              </w:rPr>
              <w:t>08.00 – 18.00 hours, Monday – Friday</w:t>
            </w:r>
          </w:p>
          <w:p w14:paraId="77792E85" w14:textId="47BCE35D" w:rsidR="008B2241" w:rsidRPr="008B2241" w:rsidRDefault="008B2241" w:rsidP="008B2241">
            <w:pPr>
              <w:spacing w:before="0" w:after="240"/>
              <w:rPr>
                <w:rFonts w:cs="Arial"/>
                <w:sz w:val="20"/>
              </w:rPr>
            </w:pPr>
            <w:r w:rsidRPr="008B2241">
              <w:rPr>
                <w:rFonts w:cs="Arial"/>
                <w:sz w:val="20"/>
              </w:rPr>
              <w:t>08.00 hours – 12.30 hours Saturday</w:t>
            </w:r>
          </w:p>
          <w:p w14:paraId="78D4298F" w14:textId="7EFA8F3C" w:rsidR="00B074CC" w:rsidRPr="001A1836" w:rsidRDefault="008B2241" w:rsidP="008B2241">
            <w:pPr>
              <w:rPr>
                <w:sz w:val="20"/>
                <w:szCs w:val="24"/>
              </w:rPr>
            </w:pPr>
            <w:r w:rsidRPr="008B2241">
              <w:rPr>
                <w:rFonts w:cs="Arial"/>
                <w:sz w:val="20"/>
              </w:rPr>
              <w:t>52 weeks per year, excluding Bank Holidays</w:t>
            </w:r>
          </w:p>
        </w:tc>
      </w:tr>
      <w:tr w:rsidR="00B074CC" w:rsidRPr="001A1836" w14:paraId="04DF9A58" w14:textId="77777777" w:rsidTr="004F1C82">
        <w:tc>
          <w:tcPr>
            <w:tcW w:w="2029" w:type="dxa"/>
            <w:shd w:val="clear" w:color="auto" w:fill="auto"/>
          </w:tcPr>
          <w:p w14:paraId="273E1978" w14:textId="77777777" w:rsidR="00B074CC" w:rsidRPr="001A1836" w:rsidRDefault="00B074CC" w:rsidP="00626054">
            <w:pPr>
              <w:rPr>
                <w:sz w:val="20"/>
                <w:szCs w:val="24"/>
              </w:rPr>
            </w:pPr>
            <w:r w:rsidRPr="001A1836">
              <w:rPr>
                <w:sz w:val="20"/>
                <w:szCs w:val="24"/>
              </w:rPr>
              <w:t>Data capture</w:t>
            </w:r>
          </w:p>
        </w:tc>
        <w:tc>
          <w:tcPr>
            <w:tcW w:w="6577" w:type="dxa"/>
            <w:gridSpan w:val="2"/>
            <w:shd w:val="clear" w:color="auto" w:fill="auto"/>
          </w:tcPr>
          <w:p w14:paraId="1463E989" w14:textId="77777777" w:rsidR="00B074CC" w:rsidRPr="001A1836" w:rsidRDefault="00B074CC">
            <w:pPr>
              <w:numPr>
                <w:ilvl w:val="0"/>
                <w:numId w:val="19"/>
              </w:numPr>
              <w:rPr>
                <w:sz w:val="20"/>
                <w:szCs w:val="24"/>
              </w:rPr>
            </w:pPr>
            <w:r w:rsidRPr="001A1836">
              <w:rPr>
                <w:sz w:val="20"/>
                <w:szCs w:val="24"/>
              </w:rPr>
              <w:t xml:space="preserve">Number of minutes during the hours of service on service days when the contact centre and technical helpline are available </w:t>
            </w:r>
          </w:p>
          <w:p w14:paraId="5802F78C" w14:textId="77777777" w:rsidR="00B074CC" w:rsidRPr="001A1836" w:rsidRDefault="00B074CC">
            <w:pPr>
              <w:numPr>
                <w:ilvl w:val="0"/>
                <w:numId w:val="19"/>
              </w:numPr>
              <w:rPr>
                <w:sz w:val="20"/>
                <w:szCs w:val="24"/>
              </w:rPr>
            </w:pPr>
            <w:r w:rsidRPr="001A1836">
              <w:rPr>
                <w:sz w:val="20"/>
                <w:szCs w:val="24"/>
              </w:rPr>
              <w:t>Total number of minutes during hours of service on service days during the service measurement period in question</w:t>
            </w:r>
          </w:p>
        </w:tc>
      </w:tr>
      <w:tr w:rsidR="00B074CC" w:rsidRPr="001A1836" w14:paraId="3FAC5EE4" w14:textId="77777777" w:rsidTr="004F1C82">
        <w:tc>
          <w:tcPr>
            <w:tcW w:w="2029" w:type="dxa"/>
            <w:shd w:val="clear" w:color="auto" w:fill="auto"/>
          </w:tcPr>
          <w:p w14:paraId="1130C557" w14:textId="77777777" w:rsidR="00B074CC" w:rsidRPr="001A1836" w:rsidRDefault="00B074CC" w:rsidP="00626054">
            <w:pPr>
              <w:rPr>
                <w:sz w:val="20"/>
                <w:szCs w:val="24"/>
              </w:rPr>
            </w:pPr>
            <w:r w:rsidRPr="001A1836">
              <w:rPr>
                <w:sz w:val="20"/>
                <w:szCs w:val="24"/>
              </w:rPr>
              <w:t>Impact</w:t>
            </w:r>
          </w:p>
        </w:tc>
        <w:tc>
          <w:tcPr>
            <w:tcW w:w="6577" w:type="dxa"/>
            <w:gridSpan w:val="2"/>
            <w:shd w:val="clear" w:color="auto" w:fill="auto"/>
          </w:tcPr>
          <w:p w14:paraId="170F43E5" w14:textId="77777777" w:rsidR="00B074CC" w:rsidRPr="001A1836" w:rsidRDefault="00B074CC" w:rsidP="00626054">
            <w:pPr>
              <w:rPr>
                <w:sz w:val="20"/>
                <w:szCs w:val="24"/>
              </w:rPr>
            </w:pPr>
            <w:r w:rsidRPr="001A1836">
              <w:rPr>
                <w:sz w:val="20"/>
                <w:szCs w:val="24"/>
              </w:rPr>
              <w:t>High</w:t>
            </w:r>
          </w:p>
        </w:tc>
      </w:tr>
      <w:tr w:rsidR="00B074CC" w:rsidRPr="001A1836" w14:paraId="5BEB16A8" w14:textId="77777777" w:rsidTr="004F1C82">
        <w:tc>
          <w:tcPr>
            <w:tcW w:w="2029" w:type="dxa"/>
            <w:shd w:val="clear" w:color="auto" w:fill="auto"/>
          </w:tcPr>
          <w:p w14:paraId="52C11B3B" w14:textId="77777777" w:rsidR="00B074CC" w:rsidRPr="001A1836" w:rsidRDefault="00B074CC" w:rsidP="00626054">
            <w:pPr>
              <w:rPr>
                <w:sz w:val="20"/>
                <w:szCs w:val="24"/>
              </w:rPr>
            </w:pPr>
            <w:r w:rsidRPr="001A1836">
              <w:rPr>
                <w:sz w:val="20"/>
                <w:szCs w:val="24"/>
              </w:rPr>
              <w:t>Criticality</w:t>
            </w:r>
          </w:p>
        </w:tc>
        <w:tc>
          <w:tcPr>
            <w:tcW w:w="6577" w:type="dxa"/>
            <w:gridSpan w:val="2"/>
            <w:shd w:val="clear" w:color="auto" w:fill="auto"/>
          </w:tcPr>
          <w:p w14:paraId="553E8E6F" w14:textId="77777777" w:rsidR="00B074CC" w:rsidRPr="001A1836" w:rsidRDefault="00B074CC" w:rsidP="00626054">
            <w:pPr>
              <w:rPr>
                <w:sz w:val="20"/>
                <w:szCs w:val="24"/>
              </w:rPr>
            </w:pPr>
            <w:r w:rsidRPr="001A1836">
              <w:rPr>
                <w:sz w:val="20"/>
                <w:szCs w:val="24"/>
              </w:rPr>
              <w:t>A</w:t>
            </w:r>
          </w:p>
        </w:tc>
      </w:tr>
      <w:tr w:rsidR="00B074CC" w:rsidRPr="001A1836" w14:paraId="7E763295" w14:textId="77777777" w:rsidTr="004F1C82">
        <w:tc>
          <w:tcPr>
            <w:tcW w:w="2029" w:type="dxa"/>
            <w:shd w:val="clear" w:color="auto" w:fill="auto"/>
          </w:tcPr>
          <w:p w14:paraId="64D11F2B" w14:textId="77777777" w:rsidR="00B074CC" w:rsidRPr="001A1836" w:rsidRDefault="00B074CC" w:rsidP="00626054">
            <w:pPr>
              <w:rPr>
                <w:sz w:val="20"/>
                <w:szCs w:val="24"/>
              </w:rPr>
            </w:pPr>
            <w:r w:rsidRPr="001A1836">
              <w:rPr>
                <w:sz w:val="20"/>
                <w:szCs w:val="24"/>
              </w:rPr>
              <w:t>Service Level Performance Measure</w:t>
            </w:r>
          </w:p>
        </w:tc>
        <w:tc>
          <w:tcPr>
            <w:tcW w:w="6577" w:type="dxa"/>
            <w:gridSpan w:val="2"/>
            <w:shd w:val="clear" w:color="auto" w:fill="auto"/>
          </w:tcPr>
          <w:p w14:paraId="50DBF20B" w14:textId="354FBB0D" w:rsidR="00C30D03" w:rsidRPr="00100601" w:rsidRDefault="00D44CCD" w:rsidP="00626054">
            <w:pPr>
              <w:rPr>
                <w:color w:val="000000" w:themeColor="text1"/>
                <w:sz w:val="20"/>
                <w:szCs w:val="24"/>
              </w:rPr>
            </w:pPr>
            <w:bookmarkStart w:id="931" w:name="_cp_change_200"/>
            <w:r w:rsidRPr="00100601">
              <w:rPr>
                <w:color w:val="000000" w:themeColor="text1"/>
                <w:sz w:val="20"/>
                <w:szCs w:val="24"/>
                <w:u w:color="0000FF"/>
              </w:rPr>
              <w:t>Relief Period – 99</w:t>
            </w:r>
            <w:bookmarkEnd w:id="931"/>
            <w:r w:rsidR="00B074CC" w:rsidRPr="00100601">
              <w:rPr>
                <w:color w:val="000000" w:themeColor="text1"/>
                <w:sz w:val="20"/>
                <w:szCs w:val="24"/>
              </w:rPr>
              <w:t>% availability of telephone lines</w:t>
            </w:r>
          </w:p>
          <w:p w14:paraId="45A5A34A" w14:textId="4B65679C" w:rsidR="00B074CC" w:rsidRPr="00100601" w:rsidRDefault="00C30D03" w:rsidP="00626054">
            <w:pPr>
              <w:rPr>
                <w:color w:val="000000" w:themeColor="text1"/>
                <w:sz w:val="20"/>
                <w:szCs w:val="24"/>
              </w:rPr>
            </w:pPr>
            <w:bookmarkStart w:id="932" w:name="_cp_change_204"/>
            <w:r w:rsidRPr="00100601">
              <w:rPr>
                <w:color w:val="000000" w:themeColor="text1"/>
                <w:sz w:val="20"/>
                <w:szCs w:val="24"/>
                <w:u w:color="0000FF"/>
              </w:rPr>
              <w:t>Thereafter - 99.8% availability of telephone lines</w:t>
            </w:r>
            <w:bookmarkEnd w:id="932"/>
            <w:r w:rsidR="00B074CC" w:rsidRPr="00100601">
              <w:rPr>
                <w:color w:val="000000" w:themeColor="text1"/>
                <w:sz w:val="20"/>
                <w:szCs w:val="24"/>
              </w:rPr>
              <w:t xml:space="preserve"> </w:t>
            </w:r>
          </w:p>
        </w:tc>
      </w:tr>
      <w:tr w:rsidR="00B074CC" w:rsidRPr="001A1836" w14:paraId="43C69221" w14:textId="77777777" w:rsidTr="004F1C82">
        <w:tc>
          <w:tcPr>
            <w:tcW w:w="2029" w:type="dxa"/>
            <w:shd w:val="clear" w:color="auto" w:fill="auto"/>
          </w:tcPr>
          <w:p w14:paraId="177F8321" w14:textId="77777777" w:rsidR="00B074CC" w:rsidRPr="001A1836" w:rsidRDefault="00B074CC" w:rsidP="00626054">
            <w:pPr>
              <w:rPr>
                <w:sz w:val="20"/>
                <w:szCs w:val="24"/>
              </w:rPr>
            </w:pPr>
          </w:p>
        </w:tc>
        <w:tc>
          <w:tcPr>
            <w:tcW w:w="4678" w:type="dxa"/>
            <w:shd w:val="clear" w:color="auto" w:fill="auto"/>
          </w:tcPr>
          <w:p w14:paraId="11D64C5A" w14:textId="77777777" w:rsidR="00B074CC" w:rsidRPr="00100601" w:rsidRDefault="00B074CC" w:rsidP="00626054">
            <w:pPr>
              <w:rPr>
                <w:b/>
                <w:color w:val="000000" w:themeColor="text1"/>
                <w:sz w:val="20"/>
                <w:szCs w:val="24"/>
              </w:rPr>
            </w:pPr>
            <w:r w:rsidRPr="00100601">
              <w:rPr>
                <w:b/>
                <w:color w:val="000000" w:themeColor="text1"/>
                <w:sz w:val="20"/>
                <w:szCs w:val="24"/>
              </w:rPr>
              <w:t>Service Level Performance Measure</w:t>
            </w:r>
          </w:p>
        </w:tc>
        <w:tc>
          <w:tcPr>
            <w:tcW w:w="1899" w:type="dxa"/>
            <w:shd w:val="clear" w:color="auto" w:fill="auto"/>
          </w:tcPr>
          <w:p w14:paraId="653BD77C" w14:textId="77777777" w:rsidR="00B074CC" w:rsidRPr="00100601" w:rsidRDefault="00B074CC" w:rsidP="00626054">
            <w:pPr>
              <w:rPr>
                <w:b/>
                <w:color w:val="000000" w:themeColor="text1"/>
                <w:sz w:val="20"/>
                <w:szCs w:val="24"/>
              </w:rPr>
            </w:pPr>
            <w:r w:rsidRPr="00100601">
              <w:rPr>
                <w:b/>
                <w:color w:val="000000" w:themeColor="text1"/>
                <w:sz w:val="20"/>
                <w:szCs w:val="24"/>
              </w:rPr>
              <w:t>Service points</w:t>
            </w:r>
          </w:p>
        </w:tc>
      </w:tr>
      <w:tr w:rsidR="00B074CC" w:rsidRPr="001A1836" w14:paraId="25E1C09D" w14:textId="77777777" w:rsidTr="004F1C82">
        <w:tc>
          <w:tcPr>
            <w:tcW w:w="2029" w:type="dxa"/>
            <w:shd w:val="clear" w:color="auto" w:fill="auto"/>
          </w:tcPr>
          <w:p w14:paraId="33E0CCE9" w14:textId="2558854B" w:rsidR="00B074CC" w:rsidRPr="001A1836" w:rsidRDefault="00B074CC" w:rsidP="00626054">
            <w:pPr>
              <w:rPr>
                <w:sz w:val="20"/>
                <w:szCs w:val="24"/>
              </w:rPr>
            </w:pPr>
            <w:r w:rsidRPr="001A1836">
              <w:rPr>
                <w:sz w:val="20"/>
                <w:szCs w:val="24"/>
              </w:rPr>
              <w:t xml:space="preserve">Service </w:t>
            </w:r>
            <w:r w:rsidR="00747264" w:rsidRPr="001A1836">
              <w:rPr>
                <w:sz w:val="20"/>
                <w:szCs w:val="24"/>
              </w:rPr>
              <w:t>L</w:t>
            </w:r>
            <w:r w:rsidRPr="001A1836">
              <w:rPr>
                <w:sz w:val="20"/>
                <w:szCs w:val="24"/>
              </w:rPr>
              <w:t>evel met</w:t>
            </w:r>
          </w:p>
        </w:tc>
        <w:tc>
          <w:tcPr>
            <w:tcW w:w="4678" w:type="dxa"/>
            <w:shd w:val="clear" w:color="auto" w:fill="auto"/>
          </w:tcPr>
          <w:p w14:paraId="7B884619" w14:textId="77777777" w:rsidR="002635FD" w:rsidRPr="00100601" w:rsidRDefault="002635FD" w:rsidP="002635FD">
            <w:pPr>
              <w:rPr>
                <w:color w:val="000000" w:themeColor="text1"/>
                <w:sz w:val="20"/>
                <w:szCs w:val="24"/>
              </w:rPr>
            </w:pPr>
            <w:bookmarkStart w:id="933" w:name="_cp_change_206"/>
            <w:r w:rsidRPr="00100601">
              <w:rPr>
                <w:color w:val="000000" w:themeColor="text1"/>
                <w:sz w:val="20"/>
                <w:szCs w:val="24"/>
                <w:u w:color="0000FF"/>
              </w:rPr>
              <w:t>Relief Period – 99%</w:t>
            </w:r>
            <w:bookmarkStart w:id="934" w:name="_cp_change_205"/>
            <w:bookmarkEnd w:id="933"/>
          </w:p>
          <w:p w14:paraId="5221E714" w14:textId="0F7A6314" w:rsidR="00B074CC" w:rsidRPr="00100601" w:rsidRDefault="00EC5B5B" w:rsidP="00626054">
            <w:pPr>
              <w:rPr>
                <w:color w:val="000000" w:themeColor="text1"/>
                <w:sz w:val="20"/>
                <w:szCs w:val="24"/>
              </w:rPr>
            </w:pPr>
            <w:bookmarkStart w:id="935" w:name="_cp_change_207"/>
            <w:bookmarkEnd w:id="934"/>
            <w:r w:rsidRPr="00100601">
              <w:rPr>
                <w:color w:val="000000" w:themeColor="text1"/>
                <w:sz w:val="20"/>
                <w:szCs w:val="24"/>
                <w:u w:color="0000FF"/>
              </w:rPr>
              <w:t xml:space="preserve">Thereafter </w:t>
            </w:r>
            <w:r w:rsidR="00080975" w:rsidRPr="00100601">
              <w:rPr>
                <w:color w:val="000000" w:themeColor="text1"/>
                <w:sz w:val="20"/>
                <w:szCs w:val="24"/>
                <w:u w:color="0000FF"/>
              </w:rPr>
              <w:t>–</w:t>
            </w:r>
            <w:r w:rsidRPr="00100601">
              <w:rPr>
                <w:color w:val="000000" w:themeColor="text1"/>
                <w:sz w:val="20"/>
                <w:szCs w:val="24"/>
                <w:u w:color="0000FF"/>
              </w:rPr>
              <w:t xml:space="preserve"> </w:t>
            </w:r>
            <w:bookmarkEnd w:id="935"/>
            <w:r w:rsidR="00B074CC" w:rsidRPr="00100601">
              <w:rPr>
                <w:color w:val="000000" w:themeColor="text1"/>
                <w:sz w:val="20"/>
                <w:szCs w:val="24"/>
              </w:rPr>
              <w:t>99.8%</w:t>
            </w:r>
          </w:p>
        </w:tc>
        <w:tc>
          <w:tcPr>
            <w:tcW w:w="1899" w:type="dxa"/>
            <w:shd w:val="clear" w:color="auto" w:fill="auto"/>
          </w:tcPr>
          <w:p w14:paraId="79AABB56" w14:textId="77777777" w:rsidR="00B074CC" w:rsidRPr="00100601" w:rsidRDefault="00B074CC" w:rsidP="00626054">
            <w:pPr>
              <w:rPr>
                <w:color w:val="000000" w:themeColor="text1"/>
                <w:sz w:val="20"/>
                <w:szCs w:val="24"/>
              </w:rPr>
            </w:pPr>
            <w:r w:rsidRPr="00100601">
              <w:rPr>
                <w:color w:val="000000" w:themeColor="text1"/>
                <w:sz w:val="20"/>
                <w:szCs w:val="24"/>
              </w:rPr>
              <w:t>0</w:t>
            </w:r>
          </w:p>
        </w:tc>
      </w:tr>
      <w:tr w:rsidR="00B074CC" w:rsidRPr="001A1836" w14:paraId="7A611226" w14:textId="77777777" w:rsidTr="004F1C82">
        <w:tc>
          <w:tcPr>
            <w:tcW w:w="2029" w:type="dxa"/>
            <w:shd w:val="clear" w:color="auto" w:fill="auto"/>
          </w:tcPr>
          <w:p w14:paraId="60A70FF0" w14:textId="77777777" w:rsidR="00B074CC" w:rsidRPr="001A1836" w:rsidRDefault="00B074CC" w:rsidP="00626054">
            <w:pPr>
              <w:rPr>
                <w:sz w:val="20"/>
                <w:szCs w:val="24"/>
              </w:rPr>
            </w:pPr>
            <w:r w:rsidRPr="001A1836">
              <w:rPr>
                <w:sz w:val="20"/>
                <w:szCs w:val="24"/>
              </w:rPr>
              <w:t>Minor Service Level Failure</w:t>
            </w:r>
          </w:p>
        </w:tc>
        <w:tc>
          <w:tcPr>
            <w:tcW w:w="4678" w:type="dxa"/>
            <w:shd w:val="clear" w:color="auto" w:fill="auto"/>
          </w:tcPr>
          <w:p w14:paraId="2098357C" w14:textId="77777777" w:rsidR="00503F5D" w:rsidRPr="00100601" w:rsidRDefault="00503F5D" w:rsidP="00503F5D">
            <w:pPr>
              <w:rPr>
                <w:color w:val="000000" w:themeColor="text1"/>
                <w:sz w:val="20"/>
                <w:szCs w:val="24"/>
              </w:rPr>
            </w:pPr>
            <w:bookmarkStart w:id="936" w:name="_cp_change_210"/>
            <w:r w:rsidRPr="00100601">
              <w:rPr>
                <w:color w:val="000000" w:themeColor="text1"/>
                <w:sz w:val="20"/>
                <w:szCs w:val="24"/>
                <w:u w:color="0000FF"/>
              </w:rPr>
              <w:t>Relief Period – Less than 99% but greater than 98.2%</w:t>
            </w:r>
            <w:bookmarkStart w:id="937" w:name="_cp_change_209"/>
            <w:bookmarkEnd w:id="936"/>
          </w:p>
          <w:p w14:paraId="041B6047" w14:textId="0D6668B5" w:rsidR="00B074CC" w:rsidRPr="00100601" w:rsidRDefault="002D7E0D" w:rsidP="00920135">
            <w:pPr>
              <w:rPr>
                <w:color w:val="000000" w:themeColor="text1"/>
                <w:sz w:val="20"/>
                <w:szCs w:val="24"/>
              </w:rPr>
            </w:pPr>
            <w:bookmarkStart w:id="938" w:name="_cp_change_211"/>
            <w:bookmarkEnd w:id="937"/>
            <w:r w:rsidRPr="00100601">
              <w:rPr>
                <w:color w:val="000000" w:themeColor="text1"/>
                <w:sz w:val="20"/>
                <w:szCs w:val="24"/>
                <w:u w:color="0000FF"/>
              </w:rPr>
              <w:t xml:space="preserve">Thereafter - </w:t>
            </w:r>
            <w:bookmarkEnd w:id="938"/>
            <w:r w:rsidR="00B074CC" w:rsidRPr="00100601">
              <w:rPr>
                <w:color w:val="000000" w:themeColor="text1"/>
                <w:sz w:val="20"/>
                <w:szCs w:val="24"/>
              </w:rPr>
              <w:t>Less than 99.8% but greater than 99%</w:t>
            </w:r>
          </w:p>
        </w:tc>
        <w:tc>
          <w:tcPr>
            <w:tcW w:w="1899" w:type="dxa"/>
            <w:shd w:val="clear" w:color="auto" w:fill="auto"/>
          </w:tcPr>
          <w:p w14:paraId="29494176" w14:textId="77777777" w:rsidR="00B074CC" w:rsidRPr="00100601" w:rsidRDefault="00B074CC" w:rsidP="00626054">
            <w:pPr>
              <w:rPr>
                <w:color w:val="000000" w:themeColor="text1"/>
                <w:sz w:val="20"/>
                <w:szCs w:val="24"/>
              </w:rPr>
            </w:pPr>
            <w:r w:rsidRPr="00100601">
              <w:rPr>
                <w:color w:val="000000" w:themeColor="text1"/>
                <w:sz w:val="20"/>
                <w:szCs w:val="24"/>
              </w:rPr>
              <w:t>1.5</w:t>
            </w:r>
          </w:p>
        </w:tc>
      </w:tr>
      <w:tr w:rsidR="00B074CC" w:rsidRPr="001A1836" w14:paraId="553DA0EB" w14:textId="77777777" w:rsidTr="004F1C82">
        <w:tc>
          <w:tcPr>
            <w:tcW w:w="2029" w:type="dxa"/>
            <w:shd w:val="clear" w:color="auto" w:fill="auto"/>
          </w:tcPr>
          <w:p w14:paraId="7902242D" w14:textId="77777777" w:rsidR="00B074CC" w:rsidRPr="001A1836" w:rsidRDefault="00B074CC" w:rsidP="00626054">
            <w:pPr>
              <w:rPr>
                <w:sz w:val="20"/>
                <w:szCs w:val="24"/>
              </w:rPr>
            </w:pPr>
            <w:r w:rsidRPr="001A1836">
              <w:rPr>
                <w:sz w:val="20"/>
                <w:szCs w:val="24"/>
              </w:rPr>
              <w:t>Moderate Service Level Failure</w:t>
            </w:r>
          </w:p>
        </w:tc>
        <w:tc>
          <w:tcPr>
            <w:tcW w:w="4678" w:type="dxa"/>
            <w:shd w:val="clear" w:color="auto" w:fill="auto"/>
          </w:tcPr>
          <w:p w14:paraId="78C5AF85" w14:textId="77777777" w:rsidR="00B872F5" w:rsidRPr="00100601" w:rsidRDefault="00B872F5" w:rsidP="00B872F5">
            <w:pPr>
              <w:rPr>
                <w:color w:val="000000" w:themeColor="text1"/>
                <w:sz w:val="20"/>
                <w:szCs w:val="24"/>
              </w:rPr>
            </w:pPr>
            <w:bookmarkStart w:id="939" w:name="_cp_change_213"/>
            <w:r w:rsidRPr="00100601">
              <w:rPr>
                <w:color w:val="000000" w:themeColor="text1"/>
                <w:sz w:val="20"/>
                <w:szCs w:val="24"/>
                <w:u w:color="0000FF"/>
              </w:rPr>
              <w:t>Relief Period – Between 98.2% and 97.2%</w:t>
            </w:r>
            <w:bookmarkStart w:id="940" w:name="_cp_change_212"/>
            <w:bookmarkEnd w:id="939"/>
          </w:p>
          <w:p w14:paraId="6232D399" w14:textId="77D43A82" w:rsidR="00B074CC" w:rsidRPr="00100601" w:rsidRDefault="00A24B92" w:rsidP="00920135">
            <w:pPr>
              <w:rPr>
                <w:color w:val="000000" w:themeColor="text1"/>
                <w:sz w:val="20"/>
                <w:szCs w:val="24"/>
              </w:rPr>
            </w:pPr>
            <w:bookmarkStart w:id="941" w:name="_cp_change_214"/>
            <w:bookmarkEnd w:id="940"/>
            <w:r w:rsidRPr="00100601">
              <w:rPr>
                <w:color w:val="000000" w:themeColor="text1"/>
                <w:sz w:val="20"/>
                <w:szCs w:val="24"/>
                <w:u w:color="0000FF"/>
              </w:rPr>
              <w:t xml:space="preserve">Thereafter - </w:t>
            </w:r>
            <w:bookmarkEnd w:id="941"/>
            <w:r w:rsidR="00B074CC" w:rsidRPr="00100601">
              <w:rPr>
                <w:color w:val="000000" w:themeColor="text1"/>
                <w:sz w:val="20"/>
                <w:szCs w:val="24"/>
              </w:rPr>
              <w:t>Between 98% and 99%</w:t>
            </w:r>
          </w:p>
        </w:tc>
        <w:tc>
          <w:tcPr>
            <w:tcW w:w="1899" w:type="dxa"/>
            <w:shd w:val="clear" w:color="auto" w:fill="auto"/>
          </w:tcPr>
          <w:p w14:paraId="52EC7B28" w14:textId="77777777" w:rsidR="00B074CC" w:rsidRPr="00100601" w:rsidRDefault="00B074CC" w:rsidP="00626054">
            <w:pPr>
              <w:rPr>
                <w:color w:val="000000" w:themeColor="text1"/>
                <w:sz w:val="20"/>
                <w:szCs w:val="24"/>
              </w:rPr>
            </w:pPr>
            <w:r w:rsidRPr="00100601">
              <w:rPr>
                <w:color w:val="000000" w:themeColor="text1"/>
                <w:sz w:val="20"/>
                <w:szCs w:val="24"/>
              </w:rPr>
              <w:t>3.0</w:t>
            </w:r>
          </w:p>
        </w:tc>
      </w:tr>
      <w:tr w:rsidR="00B074CC" w:rsidRPr="001A1836" w14:paraId="50A5ED28" w14:textId="77777777" w:rsidTr="004F1C82">
        <w:tc>
          <w:tcPr>
            <w:tcW w:w="2029" w:type="dxa"/>
            <w:shd w:val="clear" w:color="auto" w:fill="auto"/>
          </w:tcPr>
          <w:p w14:paraId="38534D16" w14:textId="77777777" w:rsidR="00B074CC" w:rsidRPr="001A1836" w:rsidRDefault="00B074CC" w:rsidP="00626054">
            <w:pPr>
              <w:rPr>
                <w:sz w:val="20"/>
                <w:szCs w:val="24"/>
              </w:rPr>
            </w:pPr>
            <w:r w:rsidRPr="001A1836">
              <w:rPr>
                <w:sz w:val="20"/>
                <w:szCs w:val="24"/>
              </w:rPr>
              <w:lastRenderedPageBreak/>
              <w:t>Major Service Level Failure</w:t>
            </w:r>
          </w:p>
        </w:tc>
        <w:tc>
          <w:tcPr>
            <w:tcW w:w="4678" w:type="dxa"/>
            <w:shd w:val="clear" w:color="auto" w:fill="auto"/>
          </w:tcPr>
          <w:p w14:paraId="3B855D88" w14:textId="77777777" w:rsidR="008A2C25" w:rsidRPr="00100601" w:rsidRDefault="008A2C25" w:rsidP="008A2C25">
            <w:pPr>
              <w:rPr>
                <w:color w:val="000000" w:themeColor="text1"/>
                <w:sz w:val="20"/>
                <w:szCs w:val="24"/>
              </w:rPr>
            </w:pPr>
            <w:bookmarkStart w:id="942" w:name="_cp_change_216"/>
            <w:r w:rsidRPr="00100601">
              <w:rPr>
                <w:color w:val="000000" w:themeColor="text1"/>
                <w:sz w:val="20"/>
                <w:szCs w:val="24"/>
                <w:u w:color="0000FF"/>
              </w:rPr>
              <w:t>Relief Period – Less than 97.2%</w:t>
            </w:r>
            <w:bookmarkStart w:id="943" w:name="_cp_change_215"/>
            <w:bookmarkEnd w:id="942"/>
          </w:p>
          <w:p w14:paraId="6EC1062D" w14:textId="32CFBEB9" w:rsidR="00B074CC" w:rsidRPr="00100601" w:rsidRDefault="009B2626" w:rsidP="00920135">
            <w:pPr>
              <w:rPr>
                <w:color w:val="000000" w:themeColor="text1"/>
                <w:sz w:val="20"/>
                <w:szCs w:val="24"/>
              </w:rPr>
            </w:pPr>
            <w:bookmarkStart w:id="944" w:name="_cp_change_217"/>
            <w:bookmarkEnd w:id="943"/>
            <w:r w:rsidRPr="00100601">
              <w:rPr>
                <w:color w:val="000000" w:themeColor="text1"/>
                <w:sz w:val="20"/>
                <w:szCs w:val="24"/>
                <w:u w:color="0000FF"/>
              </w:rPr>
              <w:t xml:space="preserve">Thereafter - </w:t>
            </w:r>
            <w:bookmarkEnd w:id="944"/>
            <w:r w:rsidR="00B074CC" w:rsidRPr="00100601">
              <w:rPr>
                <w:color w:val="000000" w:themeColor="text1"/>
                <w:sz w:val="20"/>
                <w:szCs w:val="24"/>
              </w:rPr>
              <w:t>Less than 98%</w:t>
            </w:r>
          </w:p>
        </w:tc>
        <w:tc>
          <w:tcPr>
            <w:tcW w:w="1899" w:type="dxa"/>
            <w:shd w:val="clear" w:color="auto" w:fill="auto"/>
          </w:tcPr>
          <w:p w14:paraId="7E16ED98" w14:textId="77777777" w:rsidR="00B074CC" w:rsidRPr="00100601" w:rsidRDefault="00B074CC" w:rsidP="00626054">
            <w:pPr>
              <w:rPr>
                <w:color w:val="000000" w:themeColor="text1"/>
                <w:sz w:val="20"/>
                <w:szCs w:val="24"/>
              </w:rPr>
            </w:pPr>
            <w:r w:rsidRPr="00100601">
              <w:rPr>
                <w:color w:val="000000" w:themeColor="text1"/>
                <w:sz w:val="20"/>
                <w:szCs w:val="24"/>
              </w:rPr>
              <w:t>4.5</w:t>
            </w:r>
          </w:p>
        </w:tc>
      </w:tr>
    </w:tbl>
    <w:p w14:paraId="08880B00" w14:textId="77777777" w:rsidR="00B074CC" w:rsidRPr="001A1836" w:rsidRDefault="00B074CC" w:rsidP="00626054">
      <w:pPr>
        <w:spacing w:after="0"/>
        <w:rPr>
          <w:sz w:val="20"/>
          <w:szCs w:val="24"/>
        </w:rPr>
      </w:pPr>
    </w:p>
    <w:p w14:paraId="661AAEF4" w14:textId="77777777" w:rsidR="00B074CC" w:rsidRPr="001A1836" w:rsidRDefault="00B074CC" w:rsidP="00626054">
      <w:pPr>
        <w:spacing w:after="0"/>
        <w:rPr>
          <w:sz w:val="20"/>
          <w:szCs w:val="24"/>
        </w:rPr>
      </w:pPr>
      <w:r w:rsidRPr="001A1836">
        <w:rPr>
          <w:sz w:val="20"/>
          <w:szCs w:val="24"/>
        </w:rPr>
        <w:br w:type="page"/>
      </w:r>
    </w:p>
    <w:p w14:paraId="28B6AA12" w14:textId="77777777" w:rsidR="00B074CC" w:rsidRPr="001A1836" w:rsidRDefault="00B074CC" w:rsidP="00626054">
      <w:pPr>
        <w:spacing w:after="0"/>
        <w:rPr>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4629"/>
        <w:gridCol w:w="49"/>
        <w:gridCol w:w="1793"/>
      </w:tblGrid>
      <w:tr w:rsidR="00B074CC" w:rsidRPr="001A1836" w14:paraId="7EA78FF5" w14:textId="77777777" w:rsidTr="00F32376">
        <w:trPr>
          <w:tblHeader/>
        </w:trPr>
        <w:tc>
          <w:tcPr>
            <w:tcW w:w="2029" w:type="dxa"/>
            <w:shd w:val="clear" w:color="auto" w:fill="auto"/>
          </w:tcPr>
          <w:p w14:paraId="02A74FCE" w14:textId="77777777" w:rsidR="00B074CC" w:rsidRPr="001A1836" w:rsidRDefault="00B074CC" w:rsidP="00626054">
            <w:pPr>
              <w:rPr>
                <w:b/>
                <w:szCs w:val="24"/>
              </w:rPr>
            </w:pPr>
            <w:r w:rsidRPr="001A1836">
              <w:rPr>
                <w:b/>
                <w:szCs w:val="24"/>
              </w:rPr>
              <w:t>SL15</w:t>
            </w:r>
          </w:p>
        </w:tc>
        <w:tc>
          <w:tcPr>
            <w:tcW w:w="6471" w:type="dxa"/>
            <w:gridSpan w:val="3"/>
            <w:shd w:val="clear" w:color="auto" w:fill="auto"/>
          </w:tcPr>
          <w:p w14:paraId="67AD4E73" w14:textId="77777777" w:rsidR="00B074CC" w:rsidRPr="001A1836" w:rsidRDefault="00B074CC" w:rsidP="00626054">
            <w:pPr>
              <w:rPr>
                <w:b/>
                <w:szCs w:val="24"/>
              </w:rPr>
            </w:pPr>
            <w:r w:rsidRPr="001A1836">
              <w:rPr>
                <w:b/>
                <w:szCs w:val="24"/>
              </w:rPr>
              <w:t>Availability of systems and infrastructure (with the exception of scheduled downtime) – website</w:t>
            </w:r>
          </w:p>
        </w:tc>
      </w:tr>
      <w:tr w:rsidR="00B074CC" w:rsidRPr="001A1836" w14:paraId="55DBA48E" w14:textId="77777777" w:rsidTr="00F32376">
        <w:tc>
          <w:tcPr>
            <w:tcW w:w="2029" w:type="dxa"/>
            <w:shd w:val="clear" w:color="auto" w:fill="auto"/>
          </w:tcPr>
          <w:p w14:paraId="7D4A9659" w14:textId="4FFE55BA" w:rsidR="00B074CC" w:rsidRPr="001A1836" w:rsidRDefault="00B074CC" w:rsidP="00626054">
            <w:pPr>
              <w:rPr>
                <w:sz w:val="20"/>
                <w:szCs w:val="24"/>
              </w:rPr>
            </w:pPr>
            <w:r w:rsidRPr="001A1836">
              <w:rPr>
                <w:sz w:val="20"/>
                <w:szCs w:val="24"/>
              </w:rPr>
              <w:t xml:space="preserve">Service </w:t>
            </w:r>
            <w:r w:rsidR="00747264" w:rsidRPr="001A1836">
              <w:rPr>
                <w:sz w:val="20"/>
                <w:szCs w:val="24"/>
              </w:rPr>
              <w:t>L</w:t>
            </w:r>
            <w:r w:rsidRPr="001A1836">
              <w:rPr>
                <w:sz w:val="20"/>
                <w:szCs w:val="24"/>
              </w:rPr>
              <w:t>evel description</w:t>
            </w:r>
          </w:p>
        </w:tc>
        <w:tc>
          <w:tcPr>
            <w:tcW w:w="6471" w:type="dxa"/>
            <w:gridSpan w:val="3"/>
            <w:shd w:val="clear" w:color="auto" w:fill="auto"/>
          </w:tcPr>
          <w:p w14:paraId="3176C759" w14:textId="77777777" w:rsidR="00B074CC" w:rsidRPr="001A1836" w:rsidRDefault="00B074CC" w:rsidP="00626054">
            <w:pPr>
              <w:rPr>
                <w:sz w:val="20"/>
                <w:szCs w:val="24"/>
              </w:rPr>
            </w:pPr>
            <w:r w:rsidRPr="001A1836">
              <w:rPr>
                <w:sz w:val="20"/>
                <w:szCs w:val="24"/>
              </w:rPr>
              <w:t>The availability of the website, expressed as a percentage of the period of time within the service measurement period in question.</w:t>
            </w:r>
          </w:p>
          <w:p w14:paraId="34CA7447" w14:textId="77777777" w:rsidR="00B074CC" w:rsidRPr="001A1836" w:rsidRDefault="00B074CC" w:rsidP="00626054">
            <w:pPr>
              <w:rPr>
                <w:sz w:val="20"/>
                <w:szCs w:val="24"/>
              </w:rPr>
            </w:pPr>
            <w:r w:rsidRPr="001A1836">
              <w:rPr>
                <w:sz w:val="20"/>
                <w:szCs w:val="24"/>
              </w:rPr>
              <w:t>With the exception of scheduled down time.</w:t>
            </w:r>
          </w:p>
        </w:tc>
      </w:tr>
      <w:tr w:rsidR="00B074CC" w:rsidRPr="001A1836" w14:paraId="4FCB7FCA" w14:textId="77777777" w:rsidTr="00F32376">
        <w:tc>
          <w:tcPr>
            <w:tcW w:w="2029" w:type="dxa"/>
            <w:shd w:val="clear" w:color="auto" w:fill="auto"/>
          </w:tcPr>
          <w:p w14:paraId="6644B07A" w14:textId="6B2BA559" w:rsidR="00B074CC" w:rsidRPr="001A1836" w:rsidRDefault="00B074CC" w:rsidP="00626054">
            <w:pPr>
              <w:rPr>
                <w:sz w:val="20"/>
                <w:szCs w:val="24"/>
              </w:rPr>
            </w:pPr>
            <w:r w:rsidRPr="001A1836">
              <w:rPr>
                <w:sz w:val="20"/>
                <w:szCs w:val="24"/>
              </w:rPr>
              <w:t xml:space="preserve">Service </w:t>
            </w:r>
            <w:r w:rsidR="00747264" w:rsidRPr="001A1836">
              <w:rPr>
                <w:sz w:val="20"/>
                <w:szCs w:val="24"/>
              </w:rPr>
              <w:t>L</w:t>
            </w:r>
            <w:r w:rsidRPr="001A1836">
              <w:rPr>
                <w:sz w:val="20"/>
                <w:szCs w:val="24"/>
              </w:rPr>
              <w:t>evel calculation</w:t>
            </w:r>
          </w:p>
        </w:tc>
        <w:tc>
          <w:tcPr>
            <w:tcW w:w="6471" w:type="dxa"/>
            <w:gridSpan w:val="3"/>
            <w:shd w:val="clear" w:color="auto" w:fill="auto"/>
          </w:tcPr>
          <w:p w14:paraId="743330CD" w14:textId="77777777" w:rsidR="00B074CC" w:rsidRPr="001A1836" w:rsidRDefault="00B074CC" w:rsidP="00626054">
            <w:pPr>
              <w:rPr>
                <w:sz w:val="20"/>
                <w:szCs w:val="24"/>
              </w:rPr>
            </w:pPr>
            <w:r w:rsidRPr="001A1836">
              <w:rPr>
                <w:sz w:val="20"/>
                <w:szCs w:val="24"/>
              </w:rPr>
              <w:t>A / B x 100</w:t>
            </w:r>
          </w:p>
          <w:p w14:paraId="6AE42BAB" w14:textId="77777777" w:rsidR="00B074CC" w:rsidRPr="001A1836" w:rsidRDefault="00B074CC" w:rsidP="00626054">
            <w:pPr>
              <w:rPr>
                <w:sz w:val="20"/>
                <w:szCs w:val="24"/>
              </w:rPr>
            </w:pPr>
          </w:p>
          <w:p w14:paraId="4E6C416C" w14:textId="77777777" w:rsidR="00B074CC" w:rsidRPr="001A1836" w:rsidRDefault="00B074CC" w:rsidP="00626054">
            <w:pPr>
              <w:rPr>
                <w:sz w:val="20"/>
                <w:szCs w:val="24"/>
              </w:rPr>
            </w:pPr>
            <w:r w:rsidRPr="001A1836">
              <w:rPr>
                <w:sz w:val="20"/>
                <w:szCs w:val="24"/>
              </w:rPr>
              <w:t>Where:</w:t>
            </w:r>
          </w:p>
          <w:p w14:paraId="2A16A148" w14:textId="77777777" w:rsidR="00B074CC" w:rsidRPr="001A1836" w:rsidRDefault="00B074CC" w:rsidP="00626054">
            <w:pPr>
              <w:rPr>
                <w:sz w:val="20"/>
                <w:szCs w:val="24"/>
              </w:rPr>
            </w:pPr>
            <w:r w:rsidRPr="001A1836">
              <w:rPr>
                <w:sz w:val="20"/>
                <w:szCs w:val="24"/>
              </w:rPr>
              <w:t xml:space="preserve">A = Number of minutes when the website is available </w:t>
            </w:r>
          </w:p>
          <w:p w14:paraId="413600DA" w14:textId="77777777" w:rsidR="00B074CC" w:rsidRPr="001A1836" w:rsidRDefault="00B074CC" w:rsidP="00626054">
            <w:pPr>
              <w:rPr>
                <w:sz w:val="20"/>
                <w:szCs w:val="24"/>
              </w:rPr>
            </w:pPr>
            <w:r w:rsidRPr="001A1836">
              <w:rPr>
                <w:sz w:val="20"/>
                <w:szCs w:val="24"/>
              </w:rPr>
              <w:t xml:space="preserve">B = Total number of minutes during the service measurement period in question (minus any </w:t>
            </w:r>
            <w:r w:rsidRPr="001A1836">
              <w:rPr>
                <w:b/>
                <w:sz w:val="20"/>
                <w:szCs w:val="24"/>
              </w:rPr>
              <w:t>scheduled</w:t>
            </w:r>
            <w:r w:rsidRPr="001A1836">
              <w:rPr>
                <w:sz w:val="20"/>
                <w:szCs w:val="24"/>
              </w:rPr>
              <w:t xml:space="preserve"> downtime)</w:t>
            </w:r>
          </w:p>
        </w:tc>
      </w:tr>
      <w:tr w:rsidR="00B074CC" w:rsidRPr="001A1836" w14:paraId="55A7A637" w14:textId="77777777" w:rsidTr="00F32376">
        <w:tc>
          <w:tcPr>
            <w:tcW w:w="2029" w:type="dxa"/>
            <w:shd w:val="clear" w:color="auto" w:fill="auto"/>
          </w:tcPr>
          <w:p w14:paraId="4CF244FE" w14:textId="518FB25A" w:rsidR="00B074CC" w:rsidRPr="001A1836" w:rsidRDefault="00B074CC" w:rsidP="00626054">
            <w:pPr>
              <w:rPr>
                <w:sz w:val="20"/>
                <w:szCs w:val="24"/>
              </w:rPr>
            </w:pPr>
            <w:r w:rsidRPr="001A1836">
              <w:rPr>
                <w:sz w:val="20"/>
                <w:szCs w:val="24"/>
              </w:rPr>
              <w:t xml:space="preserve">Reporting frequency </w:t>
            </w:r>
          </w:p>
        </w:tc>
        <w:tc>
          <w:tcPr>
            <w:tcW w:w="6471" w:type="dxa"/>
            <w:gridSpan w:val="3"/>
            <w:shd w:val="clear" w:color="auto" w:fill="auto"/>
          </w:tcPr>
          <w:p w14:paraId="054DB199" w14:textId="77777777" w:rsidR="00B074CC" w:rsidRPr="001A1836" w:rsidRDefault="00B074CC" w:rsidP="00626054">
            <w:pPr>
              <w:rPr>
                <w:sz w:val="20"/>
                <w:szCs w:val="24"/>
              </w:rPr>
            </w:pPr>
            <w:r w:rsidRPr="001A1836">
              <w:rPr>
                <w:sz w:val="20"/>
                <w:szCs w:val="24"/>
              </w:rPr>
              <w:t>Performance is reported monthly.</w:t>
            </w:r>
          </w:p>
          <w:p w14:paraId="10A2EE96" w14:textId="26ED030D" w:rsidR="00B876A2" w:rsidRPr="001A1836" w:rsidRDefault="00B876A2" w:rsidP="004F1C82">
            <w:pPr>
              <w:rPr>
                <w:sz w:val="20"/>
                <w:szCs w:val="24"/>
              </w:rPr>
            </w:pPr>
          </w:p>
        </w:tc>
      </w:tr>
      <w:tr w:rsidR="004F1C82" w:rsidRPr="001A1836" w14:paraId="6CEE0FCC" w14:textId="77777777" w:rsidTr="00F32376">
        <w:tc>
          <w:tcPr>
            <w:tcW w:w="2029" w:type="dxa"/>
            <w:shd w:val="clear" w:color="auto" w:fill="auto"/>
          </w:tcPr>
          <w:p w14:paraId="021AD1E9" w14:textId="56B63722" w:rsidR="004F1C82" w:rsidRPr="001A1836" w:rsidDel="00B20DB7" w:rsidRDefault="004F1C82" w:rsidP="004F1C82">
            <w:pPr>
              <w:rPr>
                <w:sz w:val="20"/>
                <w:szCs w:val="24"/>
              </w:rPr>
            </w:pPr>
            <w:r w:rsidRPr="001A1836">
              <w:rPr>
                <w:sz w:val="20"/>
                <w:szCs w:val="24"/>
              </w:rPr>
              <w:t>Service Measurement Period</w:t>
            </w:r>
          </w:p>
        </w:tc>
        <w:tc>
          <w:tcPr>
            <w:tcW w:w="6471" w:type="dxa"/>
            <w:gridSpan w:val="3"/>
            <w:shd w:val="clear" w:color="auto" w:fill="auto"/>
          </w:tcPr>
          <w:p w14:paraId="59F37C22" w14:textId="209F56C7" w:rsidR="004F1C82" w:rsidRPr="001A1836" w:rsidRDefault="004F1C82" w:rsidP="004F1C82">
            <w:pPr>
              <w:rPr>
                <w:sz w:val="20"/>
                <w:szCs w:val="24"/>
              </w:rPr>
            </w:pPr>
            <w:r w:rsidRPr="001A1836">
              <w:rPr>
                <w:sz w:val="20"/>
                <w:szCs w:val="24"/>
              </w:rPr>
              <w:t>Service Credits are calculated monthly.</w:t>
            </w:r>
          </w:p>
        </w:tc>
      </w:tr>
      <w:tr w:rsidR="004F1C82" w:rsidRPr="001A1836" w14:paraId="1B71B57B" w14:textId="77777777" w:rsidTr="00F32376">
        <w:tc>
          <w:tcPr>
            <w:tcW w:w="2029" w:type="dxa"/>
            <w:shd w:val="clear" w:color="auto" w:fill="auto"/>
          </w:tcPr>
          <w:p w14:paraId="794B16A3" w14:textId="276DF416" w:rsidR="004F1C82" w:rsidRPr="001A1836" w:rsidDel="00B20DB7" w:rsidRDefault="004F1C82" w:rsidP="004F1C82">
            <w:pPr>
              <w:rPr>
                <w:sz w:val="20"/>
                <w:szCs w:val="24"/>
              </w:rPr>
            </w:pPr>
            <w:r w:rsidRPr="001A1836">
              <w:rPr>
                <w:sz w:val="20"/>
                <w:szCs w:val="24"/>
              </w:rPr>
              <w:t>Service Point Application Period</w:t>
            </w:r>
          </w:p>
        </w:tc>
        <w:tc>
          <w:tcPr>
            <w:tcW w:w="6471" w:type="dxa"/>
            <w:gridSpan w:val="3"/>
            <w:shd w:val="clear" w:color="auto" w:fill="auto"/>
          </w:tcPr>
          <w:p w14:paraId="50B06DD0" w14:textId="2EE78751" w:rsidR="004F1C82" w:rsidRPr="001A1836" w:rsidRDefault="00EA4BD8" w:rsidP="004F1C82">
            <w:pPr>
              <w:rPr>
                <w:sz w:val="20"/>
                <w:szCs w:val="24"/>
              </w:rPr>
            </w:pPr>
            <w:r w:rsidRPr="001A1836">
              <w:rPr>
                <w:sz w:val="20"/>
                <w:szCs w:val="24"/>
              </w:rPr>
              <w:t xml:space="preserve">Service Points are applied monthly against </w:t>
            </w:r>
            <w:r>
              <w:rPr>
                <w:sz w:val="20"/>
                <w:szCs w:val="24"/>
              </w:rPr>
              <w:t xml:space="preserve">one twelfth of the sum of </w:t>
            </w:r>
            <w:r w:rsidRPr="001A1836">
              <w:rPr>
                <w:sz w:val="20"/>
                <w:szCs w:val="24"/>
              </w:rPr>
              <w:t xml:space="preserve">the Provider’s </w:t>
            </w:r>
            <w:r>
              <w:rPr>
                <w:sz w:val="20"/>
                <w:szCs w:val="24"/>
              </w:rPr>
              <w:t>annual</w:t>
            </w:r>
            <w:r w:rsidRPr="001A1836">
              <w:rPr>
                <w:sz w:val="20"/>
                <w:szCs w:val="24"/>
              </w:rPr>
              <w:t xml:space="preserve"> </w:t>
            </w:r>
            <w:r>
              <w:rPr>
                <w:sz w:val="20"/>
                <w:szCs w:val="24"/>
              </w:rPr>
              <w:t>A</w:t>
            </w:r>
            <w:r w:rsidRPr="001A1836">
              <w:rPr>
                <w:sz w:val="20"/>
                <w:szCs w:val="24"/>
              </w:rPr>
              <w:t xml:space="preserve">greed Operating Costs plus </w:t>
            </w:r>
            <w:r>
              <w:rPr>
                <w:sz w:val="20"/>
                <w:szCs w:val="24"/>
              </w:rPr>
              <w:t xml:space="preserve">Provider </w:t>
            </w:r>
            <w:r w:rsidRPr="001A1836">
              <w:rPr>
                <w:sz w:val="20"/>
                <w:szCs w:val="24"/>
              </w:rPr>
              <w:t>Profit.</w:t>
            </w:r>
          </w:p>
        </w:tc>
      </w:tr>
      <w:tr w:rsidR="00B074CC" w:rsidRPr="001A1836" w14:paraId="22E69587" w14:textId="77777777" w:rsidTr="00F32376">
        <w:tc>
          <w:tcPr>
            <w:tcW w:w="2029" w:type="dxa"/>
            <w:shd w:val="clear" w:color="auto" w:fill="auto"/>
          </w:tcPr>
          <w:p w14:paraId="1BA06EE3" w14:textId="77777777" w:rsidR="00B074CC" w:rsidRPr="001A1836" w:rsidRDefault="00B074CC" w:rsidP="00626054">
            <w:pPr>
              <w:rPr>
                <w:sz w:val="20"/>
                <w:szCs w:val="24"/>
              </w:rPr>
            </w:pPr>
            <w:r w:rsidRPr="001A1836">
              <w:rPr>
                <w:sz w:val="20"/>
                <w:szCs w:val="24"/>
              </w:rPr>
              <w:t>Hours of service</w:t>
            </w:r>
          </w:p>
        </w:tc>
        <w:tc>
          <w:tcPr>
            <w:tcW w:w="6471" w:type="dxa"/>
            <w:gridSpan w:val="3"/>
            <w:shd w:val="clear" w:color="auto" w:fill="auto"/>
          </w:tcPr>
          <w:p w14:paraId="74CACB4F" w14:textId="77777777" w:rsidR="00B074CC" w:rsidRPr="001A1836" w:rsidRDefault="00B074CC" w:rsidP="00626054">
            <w:pPr>
              <w:rPr>
                <w:sz w:val="20"/>
                <w:szCs w:val="24"/>
              </w:rPr>
            </w:pPr>
            <w:r w:rsidRPr="001A1836">
              <w:rPr>
                <w:sz w:val="20"/>
                <w:szCs w:val="24"/>
              </w:rPr>
              <w:t>24 hours a day, 7 days a week, 365 days per year</w:t>
            </w:r>
          </w:p>
        </w:tc>
      </w:tr>
      <w:tr w:rsidR="00B074CC" w:rsidRPr="001A1836" w14:paraId="22B923DA" w14:textId="77777777" w:rsidTr="00F32376">
        <w:tc>
          <w:tcPr>
            <w:tcW w:w="2029" w:type="dxa"/>
            <w:shd w:val="clear" w:color="auto" w:fill="auto"/>
          </w:tcPr>
          <w:p w14:paraId="03033164" w14:textId="77777777" w:rsidR="00B074CC" w:rsidRPr="001A1836" w:rsidRDefault="00B074CC" w:rsidP="00626054">
            <w:pPr>
              <w:rPr>
                <w:sz w:val="20"/>
                <w:szCs w:val="24"/>
              </w:rPr>
            </w:pPr>
            <w:r w:rsidRPr="001A1836">
              <w:rPr>
                <w:sz w:val="20"/>
                <w:szCs w:val="24"/>
              </w:rPr>
              <w:t>Data capture</w:t>
            </w:r>
          </w:p>
        </w:tc>
        <w:tc>
          <w:tcPr>
            <w:tcW w:w="6471" w:type="dxa"/>
            <w:gridSpan w:val="3"/>
            <w:shd w:val="clear" w:color="auto" w:fill="auto"/>
          </w:tcPr>
          <w:p w14:paraId="2C8A7889" w14:textId="77777777" w:rsidR="00B074CC" w:rsidRPr="001A1836" w:rsidRDefault="00B074CC">
            <w:pPr>
              <w:numPr>
                <w:ilvl w:val="0"/>
                <w:numId w:val="31"/>
              </w:numPr>
              <w:rPr>
                <w:sz w:val="20"/>
                <w:szCs w:val="24"/>
              </w:rPr>
            </w:pPr>
            <w:r w:rsidRPr="001A1836">
              <w:rPr>
                <w:sz w:val="20"/>
                <w:szCs w:val="24"/>
              </w:rPr>
              <w:t xml:space="preserve">Number of minutes when the website is available </w:t>
            </w:r>
          </w:p>
          <w:p w14:paraId="573EE3E1" w14:textId="77777777" w:rsidR="00B074CC" w:rsidRPr="001A1836" w:rsidRDefault="00B074CC">
            <w:pPr>
              <w:numPr>
                <w:ilvl w:val="0"/>
                <w:numId w:val="31"/>
              </w:numPr>
              <w:rPr>
                <w:sz w:val="20"/>
                <w:szCs w:val="24"/>
              </w:rPr>
            </w:pPr>
            <w:r w:rsidRPr="001A1836">
              <w:rPr>
                <w:sz w:val="20"/>
                <w:szCs w:val="24"/>
              </w:rPr>
              <w:t>Total number of minutes during the service measurement period in question</w:t>
            </w:r>
          </w:p>
        </w:tc>
      </w:tr>
      <w:tr w:rsidR="00B074CC" w:rsidRPr="001A1836" w14:paraId="44FC104C" w14:textId="77777777" w:rsidTr="00F32376">
        <w:tc>
          <w:tcPr>
            <w:tcW w:w="2029" w:type="dxa"/>
            <w:shd w:val="clear" w:color="auto" w:fill="auto"/>
          </w:tcPr>
          <w:p w14:paraId="33A1385D" w14:textId="77777777" w:rsidR="00B074CC" w:rsidRPr="001A1836" w:rsidRDefault="00B074CC" w:rsidP="00626054">
            <w:pPr>
              <w:rPr>
                <w:sz w:val="20"/>
                <w:szCs w:val="24"/>
              </w:rPr>
            </w:pPr>
            <w:r w:rsidRPr="001A1836">
              <w:rPr>
                <w:sz w:val="20"/>
                <w:szCs w:val="24"/>
              </w:rPr>
              <w:t>Impact</w:t>
            </w:r>
          </w:p>
        </w:tc>
        <w:tc>
          <w:tcPr>
            <w:tcW w:w="6471" w:type="dxa"/>
            <w:gridSpan w:val="3"/>
            <w:shd w:val="clear" w:color="auto" w:fill="auto"/>
          </w:tcPr>
          <w:p w14:paraId="4AFC1D47" w14:textId="77777777" w:rsidR="00B074CC" w:rsidRPr="001A1836" w:rsidRDefault="00B074CC" w:rsidP="00626054">
            <w:pPr>
              <w:rPr>
                <w:sz w:val="20"/>
                <w:szCs w:val="24"/>
              </w:rPr>
            </w:pPr>
            <w:r w:rsidRPr="001A1836">
              <w:rPr>
                <w:sz w:val="20"/>
                <w:szCs w:val="24"/>
              </w:rPr>
              <w:t>High</w:t>
            </w:r>
          </w:p>
        </w:tc>
      </w:tr>
      <w:tr w:rsidR="00B074CC" w:rsidRPr="001A1836" w14:paraId="4D4256EC" w14:textId="77777777" w:rsidTr="00F32376">
        <w:tc>
          <w:tcPr>
            <w:tcW w:w="2029" w:type="dxa"/>
            <w:shd w:val="clear" w:color="auto" w:fill="auto"/>
          </w:tcPr>
          <w:p w14:paraId="150A15D8" w14:textId="77777777" w:rsidR="00B074CC" w:rsidRPr="001A1836" w:rsidRDefault="00B074CC" w:rsidP="00626054">
            <w:pPr>
              <w:rPr>
                <w:sz w:val="20"/>
                <w:szCs w:val="24"/>
              </w:rPr>
            </w:pPr>
            <w:r w:rsidRPr="001A1836">
              <w:rPr>
                <w:sz w:val="20"/>
                <w:szCs w:val="24"/>
              </w:rPr>
              <w:t>Criticality</w:t>
            </w:r>
          </w:p>
        </w:tc>
        <w:tc>
          <w:tcPr>
            <w:tcW w:w="6471" w:type="dxa"/>
            <w:gridSpan w:val="3"/>
            <w:shd w:val="clear" w:color="auto" w:fill="auto"/>
          </w:tcPr>
          <w:p w14:paraId="3EF4B7F7" w14:textId="77777777" w:rsidR="00B074CC" w:rsidRPr="001A1836" w:rsidRDefault="00B074CC" w:rsidP="00626054">
            <w:pPr>
              <w:rPr>
                <w:sz w:val="20"/>
                <w:szCs w:val="24"/>
              </w:rPr>
            </w:pPr>
            <w:r w:rsidRPr="001A1836">
              <w:rPr>
                <w:sz w:val="20"/>
                <w:szCs w:val="24"/>
              </w:rPr>
              <w:t>A</w:t>
            </w:r>
          </w:p>
        </w:tc>
      </w:tr>
      <w:tr w:rsidR="00B074CC" w:rsidRPr="001A1836" w14:paraId="3D7221FE" w14:textId="77777777" w:rsidTr="00F32376">
        <w:tc>
          <w:tcPr>
            <w:tcW w:w="2029" w:type="dxa"/>
            <w:shd w:val="clear" w:color="auto" w:fill="auto"/>
          </w:tcPr>
          <w:p w14:paraId="050D6D8F" w14:textId="77777777" w:rsidR="00B074CC" w:rsidRPr="00100601" w:rsidRDefault="00B074CC" w:rsidP="00626054">
            <w:pPr>
              <w:rPr>
                <w:color w:val="000000" w:themeColor="text1"/>
                <w:sz w:val="20"/>
                <w:szCs w:val="24"/>
              </w:rPr>
            </w:pPr>
            <w:r w:rsidRPr="00100601">
              <w:rPr>
                <w:color w:val="000000" w:themeColor="text1"/>
                <w:sz w:val="20"/>
                <w:szCs w:val="24"/>
              </w:rPr>
              <w:t>Service Level Performance Measure</w:t>
            </w:r>
          </w:p>
        </w:tc>
        <w:tc>
          <w:tcPr>
            <w:tcW w:w="6471" w:type="dxa"/>
            <w:gridSpan w:val="3"/>
            <w:shd w:val="clear" w:color="auto" w:fill="auto"/>
          </w:tcPr>
          <w:p w14:paraId="028E03DD" w14:textId="77777777" w:rsidR="007041B5" w:rsidRPr="00100601" w:rsidRDefault="007041B5" w:rsidP="007041B5">
            <w:pPr>
              <w:rPr>
                <w:color w:val="000000" w:themeColor="text1"/>
                <w:sz w:val="20"/>
                <w:szCs w:val="24"/>
              </w:rPr>
            </w:pPr>
            <w:bookmarkStart w:id="945" w:name="_cp_change_218"/>
            <w:r w:rsidRPr="00100601">
              <w:rPr>
                <w:color w:val="000000" w:themeColor="text1"/>
                <w:sz w:val="20"/>
                <w:szCs w:val="24"/>
                <w:u w:color="0000FF"/>
              </w:rPr>
              <w:t>Relief Period – 98% availability of website</w:t>
            </w:r>
            <w:bookmarkStart w:id="946" w:name="_cp_change_221"/>
            <w:bookmarkEnd w:id="945"/>
          </w:p>
          <w:p w14:paraId="6F30C7E9" w14:textId="06B35B41" w:rsidR="00B074CC" w:rsidRPr="00100601" w:rsidRDefault="00C02F3D" w:rsidP="00626054">
            <w:pPr>
              <w:rPr>
                <w:color w:val="000000" w:themeColor="text1"/>
                <w:sz w:val="20"/>
                <w:szCs w:val="24"/>
              </w:rPr>
            </w:pPr>
            <w:bookmarkStart w:id="947" w:name="_cp_change_222"/>
            <w:bookmarkEnd w:id="946"/>
            <w:r w:rsidRPr="00100601">
              <w:rPr>
                <w:color w:val="000000" w:themeColor="text1"/>
                <w:sz w:val="20"/>
                <w:szCs w:val="24"/>
                <w:u w:color="0000FF"/>
              </w:rPr>
              <w:t xml:space="preserve">Thereafter - </w:t>
            </w:r>
            <w:bookmarkEnd w:id="947"/>
            <w:r w:rsidR="00B074CC" w:rsidRPr="00100601">
              <w:rPr>
                <w:color w:val="000000" w:themeColor="text1"/>
                <w:sz w:val="20"/>
                <w:szCs w:val="24"/>
              </w:rPr>
              <w:t>99.8% availability of website</w:t>
            </w:r>
          </w:p>
        </w:tc>
      </w:tr>
      <w:tr w:rsidR="00B074CC" w:rsidRPr="001A1836" w14:paraId="67F6437A" w14:textId="77777777" w:rsidTr="00F32376">
        <w:tc>
          <w:tcPr>
            <w:tcW w:w="2029" w:type="dxa"/>
            <w:shd w:val="clear" w:color="auto" w:fill="auto"/>
          </w:tcPr>
          <w:p w14:paraId="5E8ED9EC" w14:textId="77777777" w:rsidR="00B074CC" w:rsidRPr="00100601" w:rsidRDefault="00B074CC" w:rsidP="00626054">
            <w:pPr>
              <w:rPr>
                <w:color w:val="000000" w:themeColor="text1"/>
                <w:sz w:val="20"/>
                <w:szCs w:val="24"/>
              </w:rPr>
            </w:pPr>
          </w:p>
        </w:tc>
        <w:tc>
          <w:tcPr>
            <w:tcW w:w="4678" w:type="dxa"/>
            <w:gridSpan w:val="2"/>
            <w:shd w:val="clear" w:color="auto" w:fill="auto"/>
          </w:tcPr>
          <w:p w14:paraId="294B2BF8" w14:textId="77777777" w:rsidR="00B074CC" w:rsidRPr="00100601" w:rsidRDefault="00B074CC" w:rsidP="00626054">
            <w:pPr>
              <w:rPr>
                <w:b/>
                <w:color w:val="000000" w:themeColor="text1"/>
                <w:sz w:val="20"/>
                <w:szCs w:val="24"/>
              </w:rPr>
            </w:pPr>
            <w:r w:rsidRPr="00100601">
              <w:rPr>
                <w:b/>
                <w:color w:val="000000" w:themeColor="text1"/>
                <w:sz w:val="20"/>
                <w:szCs w:val="24"/>
              </w:rPr>
              <w:t>Service Level Performance Measure</w:t>
            </w:r>
          </w:p>
        </w:tc>
        <w:tc>
          <w:tcPr>
            <w:tcW w:w="1793" w:type="dxa"/>
            <w:shd w:val="clear" w:color="auto" w:fill="auto"/>
          </w:tcPr>
          <w:p w14:paraId="43E29EE3" w14:textId="77777777" w:rsidR="00B074CC" w:rsidRPr="00100601" w:rsidRDefault="00B074CC" w:rsidP="00626054">
            <w:pPr>
              <w:rPr>
                <w:b/>
                <w:color w:val="000000" w:themeColor="text1"/>
                <w:sz w:val="20"/>
                <w:szCs w:val="24"/>
              </w:rPr>
            </w:pPr>
            <w:r w:rsidRPr="00100601">
              <w:rPr>
                <w:b/>
                <w:color w:val="000000" w:themeColor="text1"/>
                <w:sz w:val="20"/>
                <w:szCs w:val="24"/>
              </w:rPr>
              <w:t>Service points</w:t>
            </w:r>
          </w:p>
        </w:tc>
      </w:tr>
      <w:tr w:rsidR="00F32376" w:rsidRPr="001A1836" w14:paraId="7AB5DF9B" w14:textId="77777777" w:rsidTr="00F32376">
        <w:tc>
          <w:tcPr>
            <w:tcW w:w="2029" w:type="dxa"/>
            <w:shd w:val="clear" w:color="auto" w:fill="auto"/>
          </w:tcPr>
          <w:p w14:paraId="4B997292" w14:textId="6D9ADDCA" w:rsidR="00F32376" w:rsidRPr="00100601" w:rsidRDefault="00F32376" w:rsidP="00626054">
            <w:pPr>
              <w:rPr>
                <w:color w:val="000000" w:themeColor="text1"/>
                <w:sz w:val="20"/>
                <w:szCs w:val="24"/>
              </w:rPr>
            </w:pPr>
            <w:r w:rsidRPr="00100601">
              <w:rPr>
                <w:color w:val="000000" w:themeColor="text1"/>
                <w:sz w:val="20"/>
                <w:szCs w:val="24"/>
              </w:rPr>
              <w:t>Service Level met</w:t>
            </w:r>
          </w:p>
        </w:tc>
        <w:tc>
          <w:tcPr>
            <w:tcW w:w="4629" w:type="dxa"/>
            <w:shd w:val="clear" w:color="auto" w:fill="auto"/>
          </w:tcPr>
          <w:p w14:paraId="50A81E33" w14:textId="77777777" w:rsidR="009D7E4B" w:rsidRPr="00100601" w:rsidRDefault="009D7E4B" w:rsidP="009D7E4B">
            <w:pPr>
              <w:rPr>
                <w:color w:val="000000" w:themeColor="text1"/>
                <w:sz w:val="20"/>
                <w:szCs w:val="24"/>
              </w:rPr>
            </w:pPr>
            <w:bookmarkStart w:id="948" w:name="_cp_change_224"/>
            <w:r w:rsidRPr="00100601">
              <w:rPr>
                <w:color w:val="000000" w:themeColor="text1"/>
                <w:sz w:val="20"/>
                <w:szCs w:val="24"/>
                <w:u w:color="0000FF"/>
              </w:rPr>
              <w:t>Relief Period – 98%</w:t>
            </w:r>
            <w:bookmarkStart w:id="949" w:name="_cp_change_223"/>
            <w:bookmarkEnd w:id="948"/>
          </w:p>
          <w:p w14:paraId="4F7A2F84" w14:textId="0AA2D511" w:rsidR="00F32376" w:rsidRPr="00100601" w:rsidRDefault="00DC5DC5" w:rsidP="00626054">
            <w:pPr>
              <w:rPr>
                <w:color w:val="000000" w:themeColor="text1"/>
                <w:sz w:val="20"/>
                <w:szCs w:val="24"/>
              </w:rPr>
            </w:pPr>
            <w:bookmarkStart w:id="950" w:name="_cp_change_225"/>
            <w:bookmarkEnd w:id="949"/>
            <w:r w:rsidRPr="00100601">
              <w:rPr>
                <w:color w:val="000000" w:themeColor="text1"/>
                <w:sz w:val="20"/>
                <w:szCs w:val="24"/>
                <w:u w:color="0000FF"/>
              </w:rPr>
              <w:t xml:space="preserve">Thereafter - </w:t>
            </w:r>
            <w:bookmarkEnd w:id="950"/>
            <w:r w:rsidR="00F32376" w:rsidRPr="00100601">
              <w:rPr>
                <w:color w:val="000000" w:themeColor="text1"/>
                <w:sz w:val="20"/>
                <w:szCs w:val="24"/>
              </w:rPr>
              <w:t>99.8%</w:t>
            </w:r>
          </w:p>
        </w:tc>
        <w:tc>
          <w:tcPr>
            <w:tcW w:w="1842" w:type="dxa"/>
            <w:gridSpan w:val="2"/>
            <w:shd w:val="clear" w:color="auto" w:fill="auto"/>
          </w:tcPr>
          <w:p w14:paraId="1D7DB5D8" w14:textId="77777777" w:rsidR="00F32376" w:rsidRPr="00100601" w:rsidRDefault="00F32376" w:rsidP="00626054">
            <w:pPr>
              <w:rPr>
                <w:color w:val="000000" w:themeColor="text1"/>
                <w:sz w:val="20"/>
                <w:szCs w:val="24"/>
              </w:rPr>
            </w:pPr>
            <w:r w:rsidRPr="00100601">
              <w:rPr>
                <w:color w:val="000000" w:themeColor="text1"/>
                <w:sz w:val="20"/>
                <w:szCs w:val="24"/>
              </w:rPr>
              <w:t>0</w:t>
            </w:r>
          </w:p>
        </w:tc>
      </w:tr>
      <w:tr w:rsidR="00F32376" w:rsidRPr="001A1836" w14:paraId="1FE47270" w14:textId="77777777" w:rsidTr="00F32376">
        <w:tc>
          <w:tcPr>
            <w:tcW w:w="2029" w:type="dxa"/>
            <w:shd w:val="clear" w:color="auto" w:fill="auto"/>
          </w:tcPr>
          <w:p w14:paraId="2E5029BB" w14:textId="77777777" w:rsidR="00F32376" w:rsidRPr="00100601" w:rsidRDefault="00F32376" w:rsidP="00626054">
            <w:pPr>
              <w:rPr>
                <w:color w:val="000000" w:themeColor="text1"/>
                <w:sz w:val="20"/>
                <w:szCs w:val="24"/>
              </w:rPr>
            </w:pPr>
            <w:r w:rsidRPr="00100601">
              <w:rPr>
                <w:color w:val="000000" w:themeColor="text1"/>
                <w:sz w:val="20"/>
                <w:szCs w:val="24"/>
              </w:rPr>
              <w:t>Minor Service Level Failure</w:t>
            </w:r>
          </w:p>
        </w:tc>
        <w:tc>
          <w:tcPr>
            <w:tcW w:w="4629" w:type="dxa"/>
            <w:shd w:val="clear" w:color="auto" w:fill="auto"/>
          </w:tcPr>
          <w:p w14:paraId="74D09B25" w14:textId="789DDF0C" w:rsidR="001F0737" w:rsidRPr="00100601" w:rsidRDefault="001F0737" w:rsidP="001F0737">
            <w:pPr>
              <w:rPr>
                <w:color w:val="000000" w:themeColor="text1"/>
                <w:sz w:val="20"/>
                <w:szCs w:val="24"/>
              </w:rPr>
            </w:pPr>
            <w:bookmarkStart w:id="951" w:name="_cp_change_227"/>
            <w:r w:rsidRPr="00100601">
              <w:rPr>
                <w:color w:val="000000" w:themeColor="text1"/>
                <w:sz w:val="20"/>
                <w:szCs w:val="24"/>
                <w:u w:color="0000FF"/>
              </w:rPr>
              <w:t xml:space="preserve">Relief Period – Less than 98% but greater </w:t>
            </w:r>
            <w:r w:rsidR="00C72816" w:rsidRPr="00100601">
              <w:rPr>
                <w:color w:val="000000" w:themeColor="text1"/>
                <w:sz w:val="20"/>
                <w:szCs w:val="24"/>
                <w:u w:color="0000FF"/>
              </w:rPr>
              <w:t>t</w:t>
            </w:r>
            <w:r w:rsidRPr="00100601">
              <w:rPr>
                <w:color w:val="000000" w:themeColor="text1"/>
                <w:sz w:val="20"/>
                <w:szCs w:val="24"/>
                <w:u w:color="0000FF"/>
              </w:rPr>
              <w:t>han 97.2%</w:t>
            </w:r>
            <w:bookmarkStart w:id="952" w:name="_cp_change_226"/>
            <w:bookmarkEnd w:id="951"/>
          </w:p>
          <w:p w14:paraId="2B613C77" w14:textId="1C87F4D2" w:rsidR="00F32376" w:rsidRPr="00100601" w:rsidRDefault="00081361" w:rsidP="00626054">
            <w:pPr>
              <w:rPr>
                <w:color w:val="000000" w:themeColor="text1"/>
                <w:sz w:val="20"/>
                <w:szCs w:val="24"/>
              </w:rPr>
            </w:pPr>
            <w:bookmarkStart w:id="953" w:name="_cp_change_228"/>
            <w:bookmarkEnd w:id="952"/>
            <w:r w:rsidRPr="00100601">
              <w:rPr>
                <w:color w:val="000000" w:themeColor="text1"/>
                <w:sz w:val="20"/>
                <w:szCs w:val="24"/>
                <w:u w:color="0000FF"/>
              </w:rPr>
              <w:t xml:space="preserve">Thereafter - </w:t>
            </w:r>
            <w:bookmarkEnd w:id="953"/>
            <w:r w:rsidR="00F32376" w:rsidRPr="00100601">
              <w:rPr>
                <w:color w:val="000000" w:themeColor="text1"/>
                <w:sz w:val="20"/>
                <w:szCs w:val="24"/>
              </w:rPr>
              <w:t>Less than 99.8% but greater than 99%</w:t>
            </w:r>
          </w:p>
        </w:tc>
        <w:tc>
          <w:tcPr>
            <w:tcW w:w="1842" w:type="dxa"/>
            <w:gridSpan w:val="2"/>
            <w:shd w:val="clear" w:color="auto" w:fill="auto"/>
          </w:tcPr>
          <w:p w14:paraId="4C597B85" w14:textId="77777777" w:rsidR="00F32376" w:rsidRPr="00100601" w:rsidRDefault="00F32376" w:rsidP="00626054">
            <w:pPr>
              <w:rPr>
                <w:color w:val="000000" w:themeColor="text1"/>
                <w:sz w:val="20"/>
                <w:szCs w:val="24"/>
              </w:rPr>
            </w:pPr>
            <w:r w:rsidRPr="00100601">
              <w:rPr>
                <w:color w:val="000000" w:themeColor="text1"/>
                <w:sz w:val="20"/>
                <w:szCs w:val="24"/>
              </w:rPr>
              <w:t>1.5</w:t>
            </w:r>
          </w:p>
        </w:tc>
      </w:tr>
      <w:tr w:rsidR="00F32376" w:rsidRPr="001A1836" w14:paraId="7F652DED" w14:textId="77777777" w:rsidTr="00F32376">
        <w:tc>
          <w:tcPr>
            <w:tcW w:w="2029" w:type="dxa"/>
            <w:shd w:val="clear" w:color="auto" w:fill="auto"/>
          </w:tcPr>
          <w:p w14:paraId="1A06F35A" w14:textId="77777777" w:rsidR="00F32376" w:rsidRPr="00100601" w:rsidRDefault="00F32376" w:rsidP="00626054">
            <w:pPr>
              <w:rPr>
                <w:color w:val="000000" w:themeColor="text1"/>
                <w:sz w:val="20"/>
                <w:szCs w:val="24"/>
              </w:rPr>
            </w:pPr>
            <w:r w:rsidRPr="00100601">
              <w:rPr>
                <w:color w:val="000000" w:themeColor="text1"/>
                <w:sz w:val="20"/>
                <w:szCs w:val="24"/>
              </w:rPr>
              <w:t>Moderate Service Level Failure</w:t>
            </w:r>
          </w:p>
        </w:tc>
        <w:tc>
          <w:tcPr>
            <w:tcW w:w="4629" w:type="dxa"/>
            <w:shd w:val="clear" w:color="auto" w:fill="auto"/>
          </w:tcPr>
          <w:p w14:paraId="4115BF0C" w14:textId="77777777" w:rsidR="008901A2" w:rsidRPr="00100601" w:rsidRDefault="008901A2" w:rsidP="008901A2">
            <w:pPr>
              <w:rPr>
                <w:color w:val="000000" w:themeColor="text1"/>
                <w:sz w:val="20"/>
                <w:szCs w:val="24"/>
              </w:rPr>
            </w:pPr>
            <w:bookmarkStart w:id="954" w:name="_cp_change_230"/>
            <w:r w:rsidRPr="00100601">
              <w:rPr>
                <w:color w:val="000000" w:themeColor="text1"/>
                <w:sz w:val="20"/>
                <w:szCs w:val="24"/>
                <w:u w:color="0000FF"/>
              </w:rPr>
              <w:t xml:space="preserve">Relief Period – Between 96.2% and 97.2% inclusive </w:t>
            </w:r>
            <w:bookmarkStart w:id="955" w:name="_cp_change_229"/>
            <w:bookmarkEnd w:id="954"/>
          </w:p>
          <w:p w14:paraId="38EB129C" w14:textId="31665EF4" w:rsidR="00F32376" w:rsidRPr="00100601" w:rsidRDefault="009027C4" w:rsidP="00626054">
            <w:pPr>
              <w:rPr>
                <w:color w:val="000000" w:themeColor="text1"/>
                <w:sz w:val="20"/>
                <w:szCs w:val="24"/>
              </w:rPr>
            </w:pPr>
            <w:bookmarkStart w:id="956" w:name="_cp_change_231"/>
            <w:bookmarkEnd w:id="955"/>
            <w:r w:rsidRPr="00100601">
              <w:rPr>
                <w:color w:val="000000" w:themeColor="text1"/>
                <w:sz w:val="20"/>
                <w:szCs w:val="24"/>
                <w:u w:color="0000FF"/>
              </w:rPr>
              <w:t>Thereafter -</w:t>
            </w:r>
            <w:bookmarkEnd w:id="956"/>
            <w:r w:rsidR="00F32376" w:rsidRPr="00100601">
              <w:rPr>
                <w:color w:val="000000" w:themeColor="text1"/>
                <w:sz w:val="20"/>
                <w:szCs w:val="24"/>
              </w:rPr>
              <w:t xml:space="preserve">Between 98% and 99% inclusive </w:t>
            </w:r>
          </w:p>
        </w:tc>
        <w:tc>
          <w:tcPr>
            <w:tcW w:w="1842" w:type="dxa"/>
            <w:gridSpan w:val="2"/>
            <w:shd w:val="clear" w:color="auto" w:fill="auto"/>
          </w:tcPr>
          <w:p w14:paraId="2D35AE1C" w14:textId="77777777" w:rsidR="00F32376" w:rsidRPr="00100601" w:rsidRDefault="00F32376" w:rsidP="00626054">
            <w:pPr>
              <w:rPr>
                <w:color w:val="000000" w:themeColor="text1"/>
                <w:sz w:val="20"/>
                <w:szCs w:val="24"/>
              </w:rPr>
            </w:pPr>
            <w:r w:rsidRPr="00100601">
              <w:rPr>
                <w:color w:val="000000" w:themeColor="text1"/>
                <w:sz w:val="20"/>
                <w:szCs w:val="24"/>
              </w:rPr>
              <w:t>3.0</w:t>
            </w:r>
          </w:p>
        </w:tc>
      </w:tr>
      <w:tr w:rsidR="00F32376" w:rsidRPr="001A1836" w14:paraId="072E9B02" w14:textId="77777777" w:rsidTr="00F32376">
        <w:tc>
          <w:tcPr>
            <w:tcW w:w="2029" w:type="dxa"/>
            <w:shd w:val="clear" w:color="auto" w:fill="auto"/>
          </w:tcPr>
          <w:p w14:paraId="679FE16B" w14:textId="77777777" w:rsidR="00F32376" w:rsidRPr="00100601" w:rsidRDefault="00F32376" w:rsidP="00626054">
            <w:pPr>
              <w:rPr>
                <w:color w:val="000000" w:themeColor="text1"/>
                <w:sz w:val="20"/>
                <w:szCs w:val="24"/>
              </w:rPr>
            </w:pPr>
            <w:r w:rsidRPr="00100601">
              <w:rPr>
                <w:color w:val="000000" w:themeColor="text1"/>
                <w:sz w:val="20"/>
                <w:szCs w:val="24"/>
              </w:rPr>
              <w:t>Major Service Level Failure</w:t>
            </w:r>
          </w:p>
        </w:tc>
        <w:tc>
          <w:tcPr>
            <w:tcW w:w="4629" w:type="dxa"/>
            <w:shd w:val="clear" w:color="auto" w:fill="auto"/>
          </w:tcPr>
          <w:p w14:paraId="4E8E028B" w14:textId="77777777" w:rsidR="00645515" w:rsidRPr="00100601" w:rsidRDefault="00645515" w:rsidP="00645515">
            <w:pPr>
              <w:rPr>
                <w:color w:val="000000" w:themeColor="text1"/>
                <w:sz w:val="20"/>
                <w:szCs w:val="24"/>
              </w:rPr>
            </w:pPr>
            <w:bookmarkStart w:id="957" w:name="_cp_change_233"/>
            <w:r w:rsidRPr="00100601">
              <w:rPr>
                <w:color w:val="000000" w:themeColor="text1"/>
                <w:sz w:val="20"/>
                <w:szCs w:val="24"/>
                <w:u w:color="0000FF"/>
              </w:rPr>
              <w:t>Relief Period – Less than 96.2%</w:t>
            </w:r>
            <w:bookmarkStart w:id="958" w:name="_cp_change_232"/>
            <w:bookmarkEnd w:id="957"/>
          </w:p>
          <w:p w14:paraId="0754A710" w14:textId="610BC1FC" w:rsidR="00F32376" w:rsidRPr="00100601" w:rsidRDefault="002B1AEB" w:rsidP="00626054">
            <w:pPr>
              <w:rPr>
                <w:color w:val="000000" w:themeColor="text1"/>
                <w:sz w:val="20"/>
                <w:szCs w:val="24"/>
              </w:rPr>
            </w:pPr>
            <w:bookmarkStart w:id="959" w:name="_cp_change_234"/>
            <w:bookmarkEnd w:id="958"/>
            <w:r w:rsidRPr="00100601">
              <w:rPr>
                <w:color w:val="000000" w:themeColor="text1"/>
                <w:sz w:val="20"/>
                <w:szCs w:val="24"/>
                <w:u w:color="0000FF"/>
              </w:rPr>
              <w:t xml:space="preserve">Thereafter - </w:t>
            </w:r>
            <w:bookmarkEnd w:id="959"/>
            <w:r w:rsidR="00F32376" w:rsidRPr="00100601">
              <w:rPr>
                <w:color w:val="000000" w:themeColor="text1"/>
                <w:sz w:val="20"/>
                <w:szCs w:val="24"/>
              </w:rPr>
              <w:t xml:space="preserve">Less than 98% </w:t>
            </w:r>
          </w:p>
        </w:tc>
        <w:tc>
          <w:tcPr>
            <w:tcW w:w="1842" w:type="dxa"/>
            <w:gridSpan w:val="2"/>
            <w:shd w:val="clear" w:color="auto" w:fill="auto"/>
          </w:tcPr>
          <w:p w14:paraId="5599C530" w14:textId="77777777" w:rsidR="00F32376" w:rsidRPr="00100601" w:rsidRDefault="00F32376" w:rsidP="00626054">
            <w:pPr>
              <w:rPr>
                <w:color w:val="000000" w:themeColor="text1"/>
                <w:sz w:val="20"/>
                <w:szCs w:val="24"/>
              </w:rPr>
            </w:pPr>
            <w:r w:rsidRPr="00100601">
              <w:rPr>
                <w:color w:val="000000" w:themeColor="text1"/>
                <w:sz w:val="20"/>
                <w:szCs w:val="24"/>
              </w:rPr>
              <w:t>4.5</w:t>
            </w:r>
          </w:p>
        </w:tc>
      </w:tr>
    </w:tbl>
    <w:p w14:paraId="21FD43AA" w14:textId="77777777" w:rsidR="00B074CC" w:rsidRPr="001A1836" w:rsidRDefault="00B074CC" w:rsidP="00626054">
      <w:pPr>
        <w:spacing w:after="0"/>
        <w:rPr>
          <w:sz w:val="20"/>
          <w:szCs w:val="24"/>
        </w:rPr>
      </w:pPr>
    </w:p>
    <w:p w14:paraId="0C19A37B" w14:textId="77777777" w:rsidR="00B074CC" w:rsidRPr="001A1836" w:rsidRDefault="00B074CC" w:rsidP="00626054">
      <w:pPr>
        <w:spacing w:after="0"/>
        <w:rPr>
          <w:sz w:val="20"/>
          <w:szCs w:val="24"/>
        </w:rPr>
      </w:pPr>
    </w:p>
    <w:p w14:paraId="4EA16D8A" w14:textId="77777777" w:rsidR="00B074CC" w:rsidRPr="001A1836" w:rsidRDefault="00B074CC" w:rsidP="00626054">
      <w:pPr>
        <w:spacing w:after="0"/>
        <w:rPr>
          <w:sz w:val="20"/>
          <w:szCs w:val="24"/>
        </w:rPr>
      </w:pPr>
    </w:p>
    <w:p w14:paraId="21F42864" w14:textId="77777777" w:rsidR="00B074CC" w:rsidRPr="001A1836" w:rsidRDefault="00B074CC" w:rsidP="00626054">
      <w:pPr>
        <w:spacing w:after="0"/>
        <w:rPr>
          <w:sz w:val="20"/>
          <w:szCs w:val="24"/>
        </w:rPr>
      </w:pPr>
      <w:r w:rsidRPr="001A1836">
        <w:rPr>
          <w:sz w:val="20"/>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4629"/>
        <w:gridCol w:w="49"/>
        <w:gridCol w:w="1899"/>
        <w:gridCol w:w="36"/>
      </w:tblGrid>
      <w:tr w:rsidR="00B074CC" w:rsidRPr="001A1836" w14:paraId="59726C89" w14:textId="77777777" w:rsidTr="009E2E92">
        <w:trPr>
          <w:gridAfter w:val="1"/>
          <w:wAfter w:w="36" w:type="dxa"/>
          <w:tblHeader/>
        </w:trPr>
        <w:tc>
          <w:tcPr>
            <w:tcW w:w="2029" w:type="dxa"/>
            <w:shd w:val="clear" w:color="auto" w:fill="auto"/>
          </w:tcPr>
          <w:p w14:paraId="2EBE5554" w14:textId="77777777" w:rsidR="00B074CC" w:rsidRPr="001A1836" w:rsidRDefault="00B074CC" w:rsidP="00626054">
            <w:pPr>
              <w:rPr>
                <w:b/>
                <w:szCs w:val="24"/>
              </w:rPr>
            </w:pPr>
            <w:r w:rsidRPr="001A1836">
              <w:rPr>
                <w:b/>
                <w:szCs w:val="24"/>
              </w:rPr>
              <w:lastRenderedPageBreak/>
              <w:t>SL16</w:t>
            </w:r>
          </w:p>
        </w:tc>
        <w:tc>
          <w:tcPr>
            <w:tcW w:w="6577" w:type="dxa"/>
            <w:gridSpan w:val="3"/>
            <w:shd w:val="clear" w:color="auto" w:fill="auto"/>
          </w:tcPr>
          <w:p w14:paraId="56DC388D" w14:textId="77777777" w:rsidR="00B074CC" w:rsidRPr="001A1836" w:rsidRDefault="00B074CC" w:rsidP="00626054">
            <w:pPr>
              <w:rPr>
                <w:b/>
                <w:szCs w:val="24"/>
              </w:rPr>
            </w:pPr>
            <w:r w:rsidRPr="001A1836">
              <w:rPr>
                <w:b/>
                <w:szCs w:val="24"/>
              </w:rPr>
              <w:t>Availability to Customers of systems and infrastructure (with the exception of scheduled downtime) – database</w:t>
            </w:r>
          </w:p>
        </w:tc>
      </w:tr>
      <w:tr w:rsidR="00B074CC" w:rsidRPr="001A1836" w14:paraId="5DB39838" w14:textId="77777777" w:rsidTr="00626054">
        <w:trPr>
          <w:gridAfter w:val="1"/>
          <w:wAfter w:w="36" w:type="dxa"/>
        </w:trPr>
        <w:tc>
          <w:tcPr>
            <w:tcW w:w="2029" w:type="dxa"/>
            <w:shd w:val="clear" w:color="auto" w:fill="auto"/>
          </w:tcPr>
          <w:p w14:paraId="15BAB284" w14:textId="693B9271" w:rsidR="00B074CC" w:rsidRPr="001A1836" w:rsidRDefault="00B074CC" w:rsidP="00626054">
            <w:pPr>
              <w:rPr>
                <w:sz w:val="20"/>
                <w:szCs w:val="24"/>
              </w:rPr>
            </w:pPr>
            <w:r w:rsidRPr="001A1836">
              <w:rPr>
                <w:sz w:val="20"/>
                <w:szCs w:val="24"/>
              </w:rPr>
              <w:t xml:space="preserve">Service </w:t>
            </w:r>
            <w:r w:rsidR="00747264" w:rsidRPr="001A1836">
              <w:rPr>
                <w:sz w:val="20"/>
                <w:szCs w:val="24"/>
              </w:rPr>
              <w:t>L</w:t>
            </w:r>
            <w:r w:rsidRPr="001A1836">
              <w:rPr>
                <w:sz w:val="20"/>
                <w:szCs w:val="24"/>
              </w:rPr>
              <w:t>evel description</w:t>
            </w:r>
          </w:p>
        </w:tc>
        <w:tc>
          <w:tcPr>
            <w:tcW w:w="6577" w:type="dxa"/>
            <w:gridSpan w:val="3"/>
            <w:shd w:val="clear" w:color="auto" w:fill="auto"/>
          </w:tcPr>
          <w:p w14:paraId="365F3743" w14:textId="6CF4DBD2" w:rsidR="00B074CC" w:rsidRPr="001A1836" w:rsidRDefault="00B074CC" w:rsidP="00626054">
            <w:pPr>
              <w:rPr>
                <w:sz w:val="20"/>
                <w:szCs w:val="24"/>
              </w:rPr>
            </w:pPr>
            <w:r w:rsidRPr="001A1836">
              <w:rPr>
                <w:sz w:val="20"/>
                <w:szCs w:val="24"/>
              </w:rPr>
              <w:t>The availability of the Registration Database, expressed as a percentage of the period of time within the service measurement period in question.</w:t>
            </w:r>
          </w:p>
          <w:p w14:paraId="7DD7DFDA" w14:textId="77777777" w:rsidR="00B074CC" w:rsidRPr="001A1836" w:rsidRDefault="00B074CC" w:rsidP="00626054">
            <w:pPr>
              <w:rPr>
                <w:sz w:val="20"/>
                <w:szCs w:val="24"/>
              </w:rPr>
            </w:pPr>
            <w:r w:rsidRPr="001A1836">
              <w:rPr>
                <w:sz w:val="20"/>
                <w:szCs w:val="24"/>
              </w:rPr>
              <w:t>With the exception of scheduled down time.</w:t>
            </w:r>
          </w:p>
        </w:tc>
      </w:tr>
      <w:tr w:rsidR="00B074CC" w:rsidRPr="001A1836" w14:paraId="3673C4B1" w14:textId="77777777" w:rsidTr="00626054">
        <w:trPr>
          <w:gridAfter w:val="1"/>
          <w:wAfter w:w="36" w:type="dxa"/>
        </w:trPr>
        <w:tc>
          <w:tcPr>
            <w:tcW w:w="2029" w:type="dxa"/>
            <w:shd w:val="clear" w:color="auto" w:fill="auto"/>
          </w:tcPr>
          <w:p w14:paraId="4DE37715" w14:textId="08A1F5D0" w:rsidR="00B074CC" w:rsidRPr="001A1836" w:rsidRDefault="00B074CC" w:rsidP="00626054">
            <w:pPr>
              <w:rPr>
                <w:sz w:val="20"/>
                <w:szCs w:val="24"/>
              </w:rPr>
            </w:pPr>
            <w:r w:rsidRPr="001A1836">
              <w:rPr>
                <w:sz w:val="20"/>
                <w:szCs w:val="24"/>
              </w:rPr>
              <w:t xml:space="preserve">Service </w:t>
            </w:r>
            <w:r w:rsidR="00747264" w:rsidRPr="001A1836">
              <w:rPr>
                <w:sz w:val="20"/>
                <w:szCs w:val="24"/>
              </w:rPr>
              <w:t>L</w:t>
            </w:r>
            <w:r w:rsidRPr="001A1836">
              <w:rPr>
                <w:sz w:val="20"/>
                <w:szCs w:val="24"/>
              </w:rPr>
              <w:t>evel calculation</w:t>
            </w:r>
          </w:p>
        </w:tc>
        <w:tc>
          <w:tcPr>
            <w:tcW w:w="6577" w:type="dxa"/>
            <w:gridSpan w:val="3"/>
            <w:shd w:val="clear" w:color="auto" w:fill="auto"/>
          </w:tcPr>
          <w:p w14:paraId="2A5C3932" w14:textId="77777777" w:rsidR="00B074CC" w:rsidRPr="001A1836" w:rsidRDefault="00B074CC" w:rsidP="00626054">
            <w:pPr>
              <w:rPr>
                <w:sz w:val="20"/>
                <w:szCs w:val="24"/>
              </w:rPr>
            </w:pPr>
            <w:r w:rsidRPr="001A1836">
              <w:rPr>
                <w:sz w:val="20"/>
                <w:szCs w:val="24"/>
              </w:rPr>
              <w:t>A / B x 100</w:t>
            </w:r>
          </w:p>
          <w:p w14:paraId="2F0B0177" w14:textId="77777777" w:rsidR="00B074CC" w:rsidRPr="001A1836" w:rsidRDefault="00B074CC" w:rsidP="00626054">
            <w:pPr>
              <w:rPr>
                <w:sz w:val="20"/>
                <w:szCs w:val="24"/>
              </w:rPr>
            </w:pPr>
          </w:p>
          <w:p w14:paraId="544404F3" w14:textId="77777777" w:rsidR="00B074CC" w:rsidRPr="001A1836" w:rsidRDefault="00B074CC" w:rsidP="00626054">
            <w:pPr>
              <w:rPr>
                <w:sz w:val="20"/>
                <w:szCs w:val="24"/>
              </w:rPr>
            </w:pPr>
            <w:r w:rsidRPr="001A1836">
              <w:rPr>
                <w:sz w:val="20"/>
                <w:szCs w:val="24"/>
              </w:rPr>
              <w:t>Where:</w:t>
            </w:r>
          </w:p>
          <w:p w14:paraId="507ECC7F" w14:textId="77777777" w:rsidR="00B074CC" w:rsidRPr="001A1836" w:rsidRDefault="00B074CC" w:rsidP="00626054">
            <w:pPr>
              <w:rPr>
                <w:sz w:val="20"/>
                <w:szCs w:val="24"/>
              </w:rPr>
            </w:pPr>
            <w:r w:rsidRPr="001A1836">
              <w:rPr>
                <w:sz w:val="20"/>
                <w:szCs w:val="24"/>
              </w:rPr>
              <w:t xml:space="preserve">A = Number of minutes when the database is available </w:t>
            </w:r>
          </w:p>
          <w:p w14:paraId="2B780565" w14:textId="77777777" w:rsidR="00B074CC" w:rsidRPr="001A1836" w:rsidRDefault="00B074CC" w:rsidP="00626054">
            <w:pPr>
              <w:rPr>
                <w:sz w:val="20"/>
                <w:szCs w:val="24"/>
              </w:rPr>
            </w:pPr>
            <w:r w:rsidRPr="001A1836">
              <w:rPr>
                <w:sz w:val="20"/>
                <w:szCs w:val="24"/>
              </w:rPr>
              <w:t xml:space="preserve">B = Total number of minutes during the service measurement period in question (minus any </w:t>
            </w:r>
            <w:r w:rsidRPr="001A1836">
              <w:rPr>
                <w:b/>
                <w:sz w:val="20"/>
                <w:szCs w:val="24"/>
              </w:rPr>
              <w:t>scheduled</w:t>
            </w:r>
            <w:r w:rsidRPr="001A1836">
              <w:rPr>
                <w:sz w:val="20"/>
                <w:szCs w:val="24"/>
              </w:rPr>
              <w:t xml:space="preserve"> downtime)</w:t>
            </w:r>
          </w:p>
        </w:tc>
      </w:tr>
      <w:tr w:rsidR="00B074CC" w:rsidRPr="001A1836" w14:paraId="536D8D30" w14:textId="77777777" w:rsidTr="00626054">
        <w:trPr>
          <w:gridAfter w:val="1"/>
          <w:wAfter w:w="36" w:type="dxa"/>
        </w:trPr>
        <w:tc>
          <w:tcPr>
            <w:tcW w:w="2029" w:type="dxa"/>
            <w:shd w:val="clear" w:color="auto" w:fill="auto"/>
          </w:tcPr>
          <w:p w14:paraId="124D7B57" w14:textId="20AFB67B" w:rsidR="00B074CC" w:rsidRPr="001A1836" w:rsidRDefault="00B074CC" w:rsidP="00626054">
            <w:pPr>
              <w:rPr>
                <w:sz w:val="20"/>
                <w:szCs w:val="24"/>
              </w:rPr>
            </w:pPr>
            <w:r w:rsidRPr="001A1836">
              <w:rPr>
                <w:sz w:val="20"/>
                <w:szCs w:val="24"/>
              </w:rPr>
              <w:t xml:space="preserve">Reporting frequency </w:t>
            </w:r>
          </w:p>
        </w:tc>
        <w:tc>
          <w:tcPr>
            <w:tcW w:w="6577" w:type="dxa"/>
            <w:gridSpan w:val="3"/>
            <w:shd w:val="clear" w:color="auto" w:fill="auto"/>
          </w:tcPr>
          <w:p w14:paraId="4181858F" w14:textId="77777777" w:rsidR="00B074CC" w:rsidRPr="001A1836" w:rsidRDefault="00B074CC" w:rsidP="00626054">
            <w:pPr>
              <w:rPr>
                <w:sz w:val="20"/>
                <w:szCs w:val="24"/>
              </w:rPr>
            </w:pPr>
            <w:r w:rsidRPr="001A1836">
              <w:rPr>
                <w:sz w:val="20"/>
                <w:szCs w:val="24"/>
              </w:rPr>
              <w:t>Performance is reported monthly.</w:t>
            </w:r>
          </w:p>
          <w:p w14:paraId="20ED8755" w14:textId="47774201" w:rsidR="00B876A2" w:rsidRPr="001A1836" w:rsidRDefault="00B876A2" w:rsidP="004F1C82">
            <w:pPr>
              <w:rPr>
                <w:sz w:val="20"/>
                <w:szCs w:val="24"/>
              </w:rPr>
            </w:pPr>
          </w:p>
        </w:tc>
      </w:tr>
      <w:tr w:rsidR="004F1C82" w:rsidRPr="001A1836" w14:paraId="10302770" w14:textId="77777777" w:rsidTr="00626054">
        <w:trPr>
          <w:gridAfter w:val="1"/>
          <w:wAfter w:w="36" w:type="dxa"/>
        </w:trPr>
        <w:tc>
          <w:tcPr>
            <w:tcW w:w="2029" w:type="dxa"/>
            <w:shd w:val="clear" w:color="auto" w:fill="auto"/>
          </w:tcPr>
          <w:p w14:paraId="7DDB4A23" w14:textId="48D21A33" w:rsidR="004F1C82" w:rsidRPr="001A1836" w:rsidDel="00B20DB7" w:rsidRDefault="004F1C82" w:rsidP="004F1C82">
            <w:pPr>
              <w:rPr>
                <w:sz w:val="20"/>
                <w:szCs w:val="24"/>
              </w:rPr>
            </w:pPr>
            <w:r w:rsidRPr="001A1836">
              <w:rPr>
                <w:sz w:val="20"/>
                <w:szCs w:val="24"/>
              </w:rPr>
              <w:t>Service Measurement Period</w:t>
            </w:r>
          </w:p>
        </w:tc>
        <w:tc>
          <w:tcPr>
            <w:tcW w:w="6577" w:type="dxa"/>
            <w:gridSpan w:val="3"/>
            <w:shd w:val="clear" w:color="auto" w:fill="auto"/>
          </w:tcPr>
          <w:p w14:paraId="60B80F4F" w14:textId="7342112B" w:rsidR="004F1C82" w:rsidRPr="001A1836" w:rsidRDefault="004F1C82" w:rsidP="004F1C82">
            <w:pPr>
              <w:rPr>
                <w:sz w:val="20"/>
                <w:szCs w:val="24"/>
              </w:rPr>
            </w:pPr>
            <w:r w:rsidRPr="001A1836">
              <w:rPr>
                <w:sz w:val="20"/>
                <w:szCs w:val="24"/>
              </w:rPr>
              <w:t>Service Credits are calculated monthly.</w:t>
            </w:r>
          </w:p>
        </w:tc>
      </w:tr>
      <w:tr w:rsidR="004F1C82" w:rsidRPr="001A1836" w14:paraId="1A97CAE6" w14:textId="77777777" w:rsidTr="00626054">
        <w:trPr>
          <w:gridAfter w:val="1"/>
          <w:wAfter w:w="36" w:type="dxa"/>
        </w:trPr>
        <w:tc>
          <w:tcPr>
            <w:tcW w:w="2029" w:type="dxa"/>
            <w:shd w:val="clear" w:color="auto" w:fill="auto"/>
          </w:tcPr>
          <w:p w14:paraId="312007D7" w14:textId="3F43DFF5" w:rsidR="004F1C82" w:rsidRPr="001A1836" w:rsidDel="00B20DB7" w:rsidRDefault="004F1C82" w:rsidP="004F1C82">
            <w:pPr>
              <w:rPr>
                <w:sz w:val="20"/>
                <w:szCs w:val="24"/>
              </w:rPr>
            </w:pPr>
            <w:r w:rsidRPr="001A1836">
              <w:rPr>
                <w:sz w:val="20"/>
                <w:szCs w:val="24"/>
              </w:rPr>
              <w:t>Service Point Application Period</w:t>
            </w:r>
          </w:p>
        </w:tc>
        <w:tc>
          <w:tcPr>
            <w:tcW w:w="6577" w:type="dxa"/>
            <w:gridSpan w:val="3"/>
            <w:shd w:val="clear" w:color="auto" w:fill="auto"/>
          </w:tcPr>
          <w:p w14:paraId="34D9978D" w14:textId="116857E6" w:rsidR="004F1C82" w:rsidRPr="001A1836" w:rsidRDefault="00EA4BD8" w:rsidP="004F1C82">
            <w:pPr>
              <w:rPr>
                <w:sz w:val="20"/>
                <w:szCs w:val="24"/>
              </w:rPr>
            </w:pPr>
            <w:r w:rsidRPr="001A1836">
              <w:rPr>
                <w:sz w:val="20"/>
                <w:szCs w:val="24"/>
              </w:rPr>
              <w:t xml:space="preserve">Service Points are applied monthly against </w:t>
            </w:r>
            <w:r>
              <w:rPr>
                <w:sz w:val="20"/>
                <w:szCs w:val="24"/>
              </w:rPr>
              <w:t xml:space="preserve">one twelfth of the sum of </w:t>
            </w:r>
            <w:r w:rsidRPr="001A1836">
              <w:rPr>
                <w:sz w:val="20"/>
                <w:szCs w:val="24"/>
              </w:rPr>
              <w:t xml:space="preserve">the Provider’s </w:t>
            </w:r>
            <w:r>
              <w:rPr>
                <w:sz w:val="20"/>
                <w:szCs w:val="24"/>
              </w:rPr>
              <w:t>annual</w:t>
            </w:r>
            <w:r w:rsidRPr="001A1836">
              <w:rPr>
                <w:sz w:val="20"/>
                <w:szCs w:val="24"/>
              </w:rPr>
              <w:t xml:space="preserve"> </w:t>
            </w:r>
            <w:r>
              <w:rPr>
                <w:sz w:val="20"/>
                <w:szCs w:val="24"/>
              </w:rPr>
              <w:t>A</w:t>
            </w:r>
            <w:r w:rsidRPr="001A1836">
              <w:rPr>
                <w:sz w:val="20"/>
                <w:szCs w:val="24"/>
              </w:rPr>
              <w:t xml:space="preserve">greed Operating Costs plus </w:t>
            </w:r>
            <w:r>
              <w:rPr>
                <w:sz w:val="20"/>
                <w:szCs w:val="24"/>
              </w:rPr>
              <w:t xml:space="preserve">Provider </w:t>
            </w:r>
            <w:r w:rsidRPr="001A1836">
              <w:rPr>
                <w:sz w:val="20"/>
                <w:szCs w:val="24"/>
              </w:rPr>
              <w:t>Profit.</w:t>
            </w:r>
          </w:p>
        </w:tc>
      </w:tr>
      <w:tr w:rsidR="00B074CC" w:rsidRPr="001A1836" w14:paraId="00A34CA4" w14:textId="77777777" w:rsidTr="00626054">
        <w:trPr>
          <w:gridAfter w:val="1"/>
          <w:wAfter w:w="36" w:type="dxa"/>
        </w:trPr>
        <w:tc>
          <w:tcPr>
            <w:tcW w:w="2029" w:type="dxa"/>
            <w:shd w:val="clear" w:color="auto" w:fill="auto"/>
          </w:tcPr>
          <w:p w14:paraId="2CCE44F4" w14:textId="77777777" w:rsidR="00B074CC" w:rsidRPr="001A1836" w:rsidRDefault="00B074CC" w:rsidP="00626054">
            <w:pPr>
              <w:rPr>
                <w:sz w:val="20"/>
                <w:szCs w:val="24"/>
              </w:rPr>
            </w:pPr>
            <w:r w:rsidRPr="001A1836">
              <w:rPr>
                <w:sz w:val="20"/>
                <w:szCs w:val="24"/>
              </w:rPr>
              <w:t>Hours of service</w:t>
            </w:r>
          </w:p>
        </w:tc>
        <w:tc>
          <w:tcPr>
            <w:tcW w:w="6577" w:type="dxa"/>
            <w:gridSpan w:val="3"/>
            <w:shd w:val="clear" w:color="auto" w:fill="auto"/>
          </w:tcPr>
          <w:p w14:paraId="0038084E" w14:textId="77777777" w:rsidR="00B074CC" w:rsidRPr="001A1836" w:rsidRDefault="00B074CC" w:rsidP="00626054">
            <w:pPr>
              <w:rPr>
                <w:sz w:val="20"/>
                <w:szCs w:val="24"/>
              </w:rPr>
            </w:pPr>
            <w:r w:rsidRPr="001A1836">
              <w:rPr>
                <w:sz w:val="20"/>
                <w:szCs w:val="24"/>
              </w:rPr>
              <w:t>24 hours a day, 7 days a week, 365 days per year</w:t>
            </w:r>
          </w:p>
        </w:tc>
      </w:tr>
      <w:tr w:rsidR="00100601" w:rsidRPr="00100601" w14:paraId="25EA69E1" w14:textId="77777777" w:rsidTr="00626054">
        <w:trPr>
          <w:gridAfter w:val="1"/>
          <w:wAfter w:w="36" w:type="dxa"/>
        </w:trPr>
        <w:tc>
          <w:tcPr>
            <w:tcW w:w="2029" w:type="dxa"/>
            <w:shd w:val="clear" w:color="auto" w:fill="auto"/>
          </w:tcPr>
          <w:p w14:paraId="13BFDAD1" w14:textId="77777777" w:rsidR="00B074CC" w:rsidRPr="00100601" w:rsidRDefault="00B074CC" w:rsidP="00626054">
            <w:pPr>
              <w:rPr>
                <w:color w:val="000000" w:themeColor="text1"/>
                <w:sz w:val="20"/>
                <w:szCs w:val="24"/>
              </w:rPr>
            </w:pPr>
            <w:r w:rsidRPr="00100601">
              <w:rPr>
                <w:color w:val="000000" w:themeColor="text1"/>
                <w:sz w:val="20"/>
                <w:szCs w:val="24"/>
              </w:rPr>
              <w:t>Data capture</w:t>
            </w:r>
          </w:p>
        </w:tc>
        <w:tc>
          <w:tcPr>
            <w:tcW w:w="6577" w:type="dxa"/>
            <w:gridSpan w:val="3"/>
            <w:shd w:val="clear" w:color="auto" w:fill="auto"/>
          </w:tcPr>
          <w:p w14:paraId="423A3E5B" w14:textId="77777777" w:rsidR="00B074CC" w:rsidRPr="00100601" w:rsidRDefault="00B074CC">
            <w:pPr>
              <w:numPr>
                <w:ilvl w:val="0"/>
                <w:numId w:val="30"/>
              </w:numPr>
              <w:rPr>
                <w:color w:val="000000" w:themeColor="text1"/>
                <w:sz w:val="20"/>
                <w:szCs w:val="24"/>
              </w:rPr>
            </w:pPr>
            <w:r w:rsidRPr="00100601">
              <w:rPr>
                <w:color w:val="000000" w:themeColor="text1"/>
                <w:sz w:val="20"/>
                <w:szCs w:val="24"/>
              </w:rPr>
              <w:t xml:space="preserve">Number of minutes when the database is available </w:t>
            </w:r>
          </w:p>
          <w:p w14:paraId="4F771195" w14:textId="77777777" w:rsidR="00B074CC" w:rsidRPr="00100601" w:rsidRDefault="00B074CC">
            <w:pPr>
              <w:numPr>
                <w:ilvl w:val="0"/>
                <w:numId w:val="30"/>
              </w:numPr>
              <w:rPr>
                <w:color w:val="000000" w:themeColor="text1"/>
                <w:sz w:val="20"/>
                <w:szCs w:val="24"/>
              </w:rPr>
            </w:pPr>
            <w:r w:rsidRPr="00100601">
              <w:rPr>
                <w:color w:val="000000" w:themeColor="text1"/>
                <w:sz w:val="20"/>
                <w:szCs w:val="24"/>
              </w:rPr>
              <w:t>Total number of minutes during the service measurement period in question</w:t>
            </w:r>
          </w:p>
        </w:tc>
      </w:tr>
      <w:tr w:rsidR="00100601" w:rsidRPr="00100601" w14:paraId="558D1ACB" w14:textId="77777777" w:rsidTr="00626054">
        <w:trPr>
          <w:gridAfter w:val="1"/>
          <w:wAfter w:w="36" w:type="dxa"/>
        </w:trPr>
        <w:tc>
          <w:tcPr>
            <w:tcW w:w="2029" w:type="dxa"/>
            <w:shd w:val="clear" w:color="auto" w:fill="auto"/>
          </w:tcPr>
          <w:p w14:paraId="2CECB408" w14:textId="77777777" w:rsidR="00B074CC" w:rsidRPr="00100601" w:rsidRDefault="00B074CC" w:rsidP="00626054">
            <w:pPr>
              <w:rPr>
                <w:color w:val="000000" w:themeColor="text1"/>
                <w:sz w:val="20"/>
                <w:szCs w:val="24"/>
              </w:rPr>
            </w:pPr>
            <w:r w:rsidRPr="00100601">
              <w:rPr>
                <w:color w:val="000000" w:themeColor="text1"/>
                <w:sz w:val="20"/>
                <w:szCs w:val="24"/>
              </w:rPr>
              <w:t>Impact</w:t>
            </w:r>
          </w:p>
        </w:tc>
        <w:tc>
          <w:tcPr>
            <w:tcW w:w="6577" w:type="dxa"/>
            <w:gridSpan w:val="3"/>
            <w:shd w:val="clear" w:color="auto" w:fill="auto"/>
          </w:tcPr>
          <w:p w14:paraId="0FC361D6" w14:textId="77777777" w:rsidR="00B074CC" w:rsidRPr="00100601" w:rsidRDefault="00B074CC" w:rsidP="00626054">
            <w:pPr>
              <w:rPr>
                <w:color w:val="000000" w:themeColor="text1"/>
                <w:sz w:val="20"/>
                <w:szCs w:val="24"/>
              </w:rPr>
            </w:pPr>
            <w:r w:rsidRPr="00100601">
              <w:rPr>
                <w:color w:val="000000" w:themeColor="text1"/>
                <w:sz w:val="20"/>
                <w:szCs w:val="24"/>
              </w:rPr>
              <w:t>High</w:t>
            </w:r>
          </w:p>
        </w:tc>
      </w:tr>
      <w:tr w:rsidR="00100601" w:rsidRPr="00100601" w14:paraId="5998C933" w14:textId="77777777" w:rsidTr="00626054">
        <w:trPr>
          <w:gridAfter w:val="1"/>
          <w:wAfter w:w="36" w:type="dxa"/>
        </w:trPr>
        <w:tc>
          <w:tcPr>
            <w:tcW w:w="2029" w:type="dxa"/>
            <w:shd w:val="clear" w:color="auto" w:fill="auto"/>
          </w:tcPr>
          <w:p w14:paraId="2149C599" w14:textId="77777777" w:rsidR="00B074CC" w:rsidRPr="00100601" w:rsidRDefault="00B074CC" w:rsidP="00626054">
            <w:pPr>
              <w:rPr>
                <w:color w:val="000000" w:themeColor="text1"/>
                <w:sz w:val="20"/>
                <w:szCs w:val="24"/>
              </w:rPr>
            </w:pPr>
            <w:r w:rsidRPr="00100601">
              <w:rPr>
                <w:color w:val="000000" w:themeColor="text1"/>
                <w:sz w:val="20"/>
                <w:szCs w:val="24"/>
              </w:rPr>
              <w:t>Criticality</w:t>
            </w:r>
          </w:p>
        </w:tc>
        <w:tc>
          <w:tcPr>
            <w:tcW w:w="6577" w:type="dxa"/>
            <w:gridSpan w:val="3"/>
            <w:shd w:val="clear" w:color="auto" w:fill="auto"/>
          </w:tcPr>
          <w:p w14:paraId="262E4EFB" w14:textId="77777777" w:rsidR="00B074CC" w:rsidRPr="00100601" w:rsidRDefault="00B074CC" w:rsidP="00626054">
            <w:pPr>
              <w:rPr>
                <w:color w:val="000000" w:themeColor="text1"/>
                <w:sz w:val="20"/>
                <w:szCs w:val="24"/>
              </w:rPr>
            </w:pPr>
            <w:r w:rsidRPr="00100601">
              <w:rPr>
                <w:color w:val="000000" w:themeColor="text1"/>
                <w:sz w:val="20"/>
                <w:szCs w:val="24"/>
              </w:rPr>
              <w:t>A</w:t>
            </w:r>
          </w:p>
        </w:tc>
      </w:tr>
      <w:tr w:rsidR="00100601" w:rsidRPr="00100601" w14:paraId="1213F261" w14:textId="77777777" w:rsidTr="00626054">
        <w:trPr>
          <w:gridAfter w:val="1"/>
          <w:wAfter w:w="36" w:type="dxa"/>
        </w:trPr>
        <w:tc>
          <w:tcPr>
            <w:tcW w:w="2029" w:type="dxa"/>
            <w:shd w:val="clear" w:color="auto" w:fill="auto"/>
          </w:tcPr>
          <w:p w14:paraId="556B9772" w14:textId="77777777" w:rsidR="00B074CC" w:rsidRPr="00100601" w:rsidRDefault="00B074CC" w:rsidP="00626054">
            <w:pPr>
              <w:rPr>
                <w:color w:val="000000" w:themeColor="text1"/>
                <w:sz w:val="20"/>
                <w:szCs w:val="24"/>
              </w:rPr>
            </w:pPr>
            <w:r w:rsidRPr="00100601">
              <w:rPr>
                <w:color w:val="000000" w:themeColor="text1"/>
                <w:sz w:val="20"/>
                <w:szCs w:val="24"/>
              </w:rPr>
              <w:t>Service Level Performance Measure</w:t>
            </w:r>
          </w:p>
        </w:tc>
        <w:tc>
          <w:tcPr>
            <w:tcW w:w="6577" w:type="dxa"/>
            <w:gridSpan w:val="3"/>
            <w:shd w:val="clear" w:color="auto" w:fill="auto"/>
          </w:tcPr>
          <w:p w14:paraId="3E8F5B3B" w14:textId="3519BD6B" w:rsidR="00B074CC" w:rsidRPr="00100601" w:rsidRDefault="009F4F58" w:rsidP="00626054">
            <w:pPr>
              <w:rPr>
                <w:color w:val="000000" w:themeColor="text1"/>
                <w:sz w:val="20"/>
                <w:szCs w:val="24"/>
              </w:rPr>
            </w:pPr>
            <w:bookmarkStart w:id="960" w:name="_cp_change_236"/>
            <w:r w:rsidRPr="00100601">
              <w:rPr>
                <w:color w:val="000000" w:themeColor="text1"/>
                <w:sz w:val="20"/>
                <w:szCs w:val="24"/>
                <w:u w:color="0000FF"/>
              </w:rPr>
              <w:t>Relief Period – 99</w:t>
            </w:r>
            <w:bookmarkEnd w:id="960"/>
            <w:r w:rsidR="00B074CC" w:rsidRPr="00100601">
              <w:rPr>
                <w:color w:val="000000" w:themeColor="text1"/>
                <w:sz w:val="20"/>
                <w:szCs w:val="24"/>
              </w:rPr>
              <w:t>% availability of Registration Database</w:t>
            </w:r>
          </w:p>
          <w:p w14:paraId="1B9DDC2A" w14:textId="1216AF7C" w:rsidR="00276360" w:rsidRPr="00100601" w:rsidRDefault="00276360" w:rsidP="00626054">
            <w:pPr>
              <w:rPr>
                <w:color w:val="000000" w:themeColor="text1"/>
                <w:sz w:val="20"/>
                <w:szCs w:val="24"/>
              </w:rPr>
            </w:pPr>
            <w:bookmarkStart w:id="961" w:name="_cp_change_240"/>
            <w:r w:rsidRPr="00100601">
              <w:rPr>
                <w:color w:val="000000" w:themeColor="text1"/>
                <w:sz w:val="20"/>
                <w:szCs w:val="24"/>
                <w:u w:color="0000FF"/>
              </w:rPr>
              <w:t>Thereafter - 99.8% availability of Registration Database</w:t>
            </w:r>
            <w:bookmarkEnd w:id="961"/>
          </w:p>
        </w:tc>
      </w:tr>
      <w:tr w:rsidR="00100601" w:rsidRPr="00100601" w14:paraId="5F9E65F8" w14:textId="77777777" w:rsidTr="00626054">
        <w:trPr>
          <w:gridAfter w:val="1"/>
          <w:wAfter w:w="36" w:type="dxa"/>
        </w:trPr>
        <w:tc>
          <w:tcPr>
            <w:tcW w:w="2029" w:type="dxa"/>
            <w:shd w:val="clear" w:color="auto" w:fill="auto"/>
          </w:tcPr>
          <w:p w14:paraId="224632C8" w14:textId="77777777" w:rsidR="00B074CC" w:rsidRPr="00100601" w:rsidRDefault="00B074CC" w:rsidP="00626054">
            <w:pPr>
              <w:rPr>
                <w:color w:val="000000" w:themeColor="text1"/>
                <w:sz w:val="20"/>
                <w:szCs w:val="24"/>
              </w:rPr>
            </w:pPr>
          </w:p>
        </w:tc>
        <w:tc>
          <w:tcPr>
            <w:tcW w:w="4678" w:type="dxa"/>
            <w:gridSpan w:val="2"/>
            <w:shd w:val="clear" w:color="auto" w:fill="auto"/>
          </w:tcPr>
          <w:p w14:paraId="7A16D754" w14:textId="77777777" w:rsidR="00B074CC" w:rsidRPr="00100601" w:rsidRDefault="00B074CC" w:rsidP="00626054">
            <w:pPr>
              <w:rPr>
                <w:b/>
                <w:color w:val="000000" w:themeColor="text1"/>
                <w:sz w:val="20"/>
                <w:szCs w:val="24"/>
              </w:rPr>
            </w:pPr>
            <w:r w:rsidRPr="00100601">
              <w:rPr>
                <w:b/>
                <w:color w:val="000000" w:themeColor="text1"/>
                <w:sz w:val="20"/>
                <w:szCs w:val="24"/>
              </w:rPr>
              <w:t>Service Level Performance Measure</w:t>
            </w:r>
          </w:p>
        </w:tc>
        <w:tc>
          <w:tcPr>
            <w:tcW w:w="1899" w:type="dxa"/>
            <w:shd w:val="clear" w:color="auto" w:fill="auto"/>
          </w:tcPr>
          <w:p w14:paraId="594FA5F4" w14:textId="77777777" w:rsidR="00B074CC" w:rsidRPr="00100601" w:rsidRDefault="00B074CC" w:rsidP="00626054">
            <w:pPr>
              <w:rPr>
                <w:b/>
                <w:color w:val="000000" w:themeColor="text1"/>
                <w:sz w:val="20"/>
                <w:szCs w:val="24"/>
              </w:rPr>
            </w:pPr>
            <w:r w:rsidRPr="00100601">
              <w:rPr>
                <w:b/>
                <w:color w:val="000000" w:themeColor="text1"/>
                <w:sz w:val="20"/>
                <w:szCs w:val="24"/>
              </w:rPr>
              <w:t>Service points</w:t>
            </w:r>
          </w:p>
        </w:tc>
      </w:tr>
      <w:tr w:rsidR="00100601" w:rsidRPr="00100601" w14:paraId="13893E26" w14:textId="77777777" w:rsidTr="00F32376">
        <w:tc>
          <w:tcPr>
            <w:tcW w:w="2029" w:type="dxa"/>
            <w:shd w:val="clear" w:color="auto" w:fill="auto"/>
          </w:tcPr>
          <w:p w14:paraId="06DDFCE3" w14:textId="225532CD" w:rsidR="00F32376" w:rsidRPr="00100601" w:rsidRDefault="00F32376" w:rsidP="00626054">
            <w:pPr>
              <w:rPr>
                <w:color w:val="000000" w:themeColor="text1"/>
                <w:sz w:val="20"/>
                <w:szCs w:val="24"/>
              </w:rPr>
            </w:pPr>
            <w:r w:rsidRPr="00100601">
              <w:rPr>
                <w:color w:val="000000" w:themeColor="text1"/>
                <w:sz w:val="20"/>
                <w:szCs w:val="24"/>
              </w:rPr>
              <w:t>Service Level met</w:t>
            </w:r>
          </w:p>
        </w:tc>
        <w:tc>
          <w:tcPr>
            <w:tcW w:w="4629" w:type="dxa"/>
            <w:shd w:val="clear" w:color="auto" w:fill="auto"/>
          </w:tcPr>
          <w:p w14:paraId="5C44FCA7" w14:textId="77777777" w:rsidR="00BB32A0" w:rsidRPr="00100601" w:rsidRDefault="00BB32A0" w:rsidP="00BB32A0">
            <w:pPr>
              <w:rPr>
                <w:color w:val="000000" w:themeColor="text1"/>
                <w:sz w:val="20"/>
                <w:szCs w:val="24"/>
              </w:rPr>
            </w:pPr>
            <w:bookmarkStart w:id="962" w:name="_cp_change_242"/>
            <w:r w:rsidRPr="00100601">
              <w:rPr>
                <w:color w:val="000000" w:themeColor="text1"/>
                <w:sz w:val="20"/>
                <w:szCs w:val="24"/>
                <w:u w:color="0000FF"/>
              </w:rPr>
              <w:t>Relief Period – 99%</w:t>
            </w:r>
            <w:bookmarkStart w:id="963" w:name="_cp_change_241"/>
            <w:bookmarkEnd w:id="962"/>
          </w:p>
          <w:p w14:paraId="3362C07A" w14:textId="5D9D6C22" w:rsidR="00F32376" w:rsidRPr="00100601" w:rsidRDefault="00BB32A0" w:rsidP="00BB32A0">
            <w:pPr>
              <w:rPr>
                <w:color w:val="000000" w:themeColor="text1"/>
                <w:sz w:val="20"/>
                <w:szCs w:val="24"/>
              </w:rPr>
            </w:pPr>
            <w:bookmarkStart w:id="964" w:name="_cp_change_243"/>
            <w:bookmarkEnd w:id="963"/>
            <w:r w:rsidRPr="00100601">
              <w:rPr>
                <w:color w:val="000000" w:themeColor="text1"/>
                <w:sz w:val="20"/>
                <w:szCs w:val="24"/>
                <w:u w:color="0000FF"/>
              </w:rPr>
              <w:t xml:space="preserve">Thereafter - </w:t>
            </w:r>
            <w:bookmarkEnd w:id="964"/>
            <w:r w:rsidR="00F32376" w:rsidRPr="00100601">
              <w:rPr>
                <w:color w:val="000000" w:themeColor="text1"/>
                <w:sz w:val="20"/>
                <w:szCs w:val="24"/>
              </w:rPr>
              <w:t>99.8%</w:t>
            </w:r>
          </w:p>
        </w:tc>
        <w:tc>
          <w:tcPr>
            <w:tcW w:w="1984" w:type="dxa"/>
            <w:gridSpan w:val="3"/>
            <w:shd w:val="clear" w:color="auto" w:fill="auto"/>
          </w:tcPr>
          <w:p w14:paraId="6E7EDA4A" w14:textId="77777777" w:rsidR="00F32376" w:rsidRPr="00100601" w:rsidRDefault="00F32376" w:rsidP="00626054">
            <w:pPr>
              <w:rPr>
                <w:color w:val="000000" w:themeColor="text1"/>
                <w:sz w:val="20"/>
                <w:szCs w:val="24"/>
              </w:rPr>
            </w:pPr>
            <w:r w:rsidRPr="00100601">
              <w:rPr>
                <w:color w:val="000000" w:themeColor="text1"/>
                <w:sz w:val="20"/>
                <w:szCs w:val="24"/>
              </w:rPr>
              <w:t>0</w:t>
            </w:r>
          </w:p>
        </w:tc>
      </w:tr>
      <w:tr w:rsidR="00100601" w:rsidRPr="00100601" w14:paraId="44637567" w14:textId="77777777" w:rsidTr="00F32376">
        <w:tc>
          <w:tcPr>
            <w:tcW w:w="2029" w:type="dxa"/>
            <w:shd w:val="clear" w:color="auto" w:fill="auto"/>
          </w:tcPr>
          <w:p w14:paraId="1321F5A0" w14:textId="77777777" w:rsidR="00F32376" w:rsidRPr="00100601" w:rsidRDefault="00F32376" w:rsidP="00626054">
            <w:pPr>
              <w:rPr>
                <w:color w:val="000000" w:themeColor="text1"/>
                <w:sz w:val="20"/>
                <w:szCs w:val="24"/>
              </w:rPr>
            </w:pPr>
            <w:r w:rsidRPr="00100601">
              <w:rPr>
                <w:color w:val="000000" w:themeColor="text1"/>
                <w:sz w:val="20"/>
                <w:szCs w:val="24"/>
              </w:rPr>
              <w:t>Minor Service Level Failure</w:t>
            </w:r>
          </w:p>
        </w:tc>
        <w:tc>
          <w:tcPr>
            <w:tcW w:w="4629" w:type="dxa"/>
            <w:shd w:val="clear" w:color="auto" w:fill="auto"/>
          </w:tcPr>
          <w:p w14:paraId="51DCDE0A" w14:textId="77777777" w:rsidR="00F60BA8" w:rsidRPr="00100601" w:rsidRDefault="00F60BA8" w:rsidP="00F60BA8">
            <w:pPr>
              <w:rPr>
                <w:color w:val="000000" w:themeColor="text1"/>
                <w:sz w:val="20"/>
                <w:szCs w:val="24"/>
              </w:rPr>
            </w:pPr>
            <w:bookmarkStart w:id="965" w:name="_cp_change_245"/>
            <w:r w:rsidRPr="00100601">
              <w:rPr>
                <w:color w:val="000000" w:themeColor="text1"/>
                <w:sz w:val="20"/>
                <w:szCs w:val="24"/>
                <w:u w:color="0000FF"/>
              </w:rPr>
              <w:t>Relief Period – Less than 99% but greater than 98.2%</w:t>
            </w:r>
            <w:bookmarkStart w:id="966" w:name="_cp_change_244"/>
            <w:bookmarkEnd w:id="965"/>
          </w:p>
          <w:p w14:paraId="4AD78551" w14:textId="213EF848" w:rsidR="00F32376" w:rsidRPr="00100601" w:rsidRDefault="00F60BA8" w:rsidP="00F60BA8">
            <w:pPr>
              <w:rPr>
                <w:color w:val="000000" w:themeColor="text1"/>
                <w:sz w:val="20"/>
                <w:szCs w:val="24"/>
              </w:rPr>
            </w:pPr>
            <w:bookmarkStart w:id="967" w:name="_cp_change_246"/>
            <w:bookmarkEnd w:id="966"/>
            <w:r w:rsidRPr="00100601">
              <w:rPr>
                <w:color w:val="000000" w:themeColor="text1"/>
                <w:sz w:val="20"/>
                <w:szCs w:val="24"/>
                <w:u w:color="0000FF"/>
              </w:rPr>
              <w:t xml:space="preserve">Thereafter - </w:t>
            </w:r>
            <w:bookmarkEnd w:id="967"/>
            <w:r w:rsidR="00F32376" w:rsidRPr="00100601">
              <w:rPr>
                <w:color w:val="000000" w:themeColor="text1"/>
                <w:sz w:val="20"/>
                <w:szCs w:val="24"/>
              </w:rPr>
              <w:t>Less than 99.8% but greater than 99%</w:t>
            </w:r>
          </w:p>
        </w:tc>
        <w:tc>
          <w:tcPr>
            <w:tcW w:w="1984" w:type="dxa"/>
            <w:gridSpan w:val="3"/>
            <w:shd w:val="clear" w:color="auto" w:fill="auto"/>
          </w:tcPr>
          <w:p w14:paraId="49224FFD" w14:textId="77777777" w:rsidR="00F32376" w:rsidRPr="00100601" w:rsidRDefault="00F32376" w:rsidP="00626054">
            <w:pPr>
              <w:rPr>
                <w:color w:val="000000" w:themeColor="text1"/>
                <w:sz w:val="20"/>
                <w:szCs w:val="24"/>
              </w:rPr>
            </w:pPr>
            <w:r w:rsidRPr="00100601">
              <w:rPr>
                <w:color w:val="000000" w:themeColor="text1"/>
                <w:sz w:val="20"/>
                <w:szCs w:val="24"/>
              </w:rPr>
              <w:t>1.5</w:t>
            </w:r>
          </w:p>
        </w:tc>
      </w:tr>
      <w:tr w:rsidR="00100601" w:rsidRPr="00100601" w14:paraId="17F53071" w14:textId="77777777" w:rsidTr="00F32376">
        <w:tc>
          <w:tcPr>
            <w:tcW w:w="2029" w:type="dxa"/>
            <w:shd w:val="clear" w:color="auto" w:fill="auto"/>
          </w:tcPr>
          <w:p w14:paraId="369BB7C0" w14:textId="77777777" w:rsidR="00F32376" w:rsidRPr="00100601" w:rsidRDefault="00F32376" w:rsidP="00626054">
            <w:pPr>
              <w:rPr>
                <w:color w:val="000000" w:themeColor="text1"/>
                <w:sz w:val="20"/>
                <w:szCs w:val="24"/>
              </w:rPr>
            </w:pPr>
            <w:r w:rsidRPr="00100601">
              <w:rPr>
                <w:color w:val="000000" w:themeColor="text1"/>
                <w:sz w:val="20"/>
                <w:szCs w:val="24"/>
              </w:rPr>
              <w:t>Moderate Service Level Failure</w:t>
            </w:r>
          </w:p>
        </w:tc>
        <w:tc>
          <w:tcPr>
            <w:tcW w:w="4629" w:type="dxa"/>
            <w:shd w:val="clear" w:color="auto" w:fill="auto"/>
          </w:tcPr>
          <w:p w14:paraId="335DB5E8" w14:textId="77777777" w:rsidR="00947361" w:rsidRPr="00100601" w:rsidRDefault="00947361" w:rsidP="00947361">
            <w:pPr>
              <w:rPr>
                <w:color w:val="000000" w:themeColor="text1"/>
                <w:sz w:val="20"/>
                <w:szCs w:val="24"/>
              </w:rPr>
            </w:pPr>
            <w:bookmarkStart w:id="968" w:name="_cp_change_248"/>
            <w:r w:rsidRPr="00100601">
              <w:rPr>
                <w:color w:val="000000" w:themeColor="text1"/>
                <w:sz w:val="20"/>
                <w:szCs w:val="24"/>
                <w:u w:color="0000FF"/>
              </w:rPr>
              <w:t>Relief Period – Between 98.2% and 97.2% inclusive</w:t>
            </w:r>
            <w:bookmarkStart w:id="969" w:name="_cp_change_247"/>
            <w:bookmarkEnd w:id="968"/>
          </w:p>
          <w:p w14:paraId="05C6E9B4" w14:textId="2D184C17" w:rsidR="00F32376" w:rsidRPr="00100601" w:rsidRDefault="00947361" w:rsidP="00947361">
            <w:pPr>
              <w:rPr>
                <w:color w:val="000000" w:themeColor="text1"/>
                <w:sz w:val="20"/>
                <w:szCs w:val="24"/>
              </w:rPr>
            </w:pPr>
            <w:bookmarkStart w:id="970" w:name="_cp_change_249"/>
            <w:bookmarkEnd w:id="969"/>
            <w:r w:rsidRPr="00100601">
              <w:rPr>
                <w:color w:val="000000" w:themeColor="text1"/>
                <w:sz w:val="20"/>
                <w:szCs w:val="24"/>
                <w:u w:color="0000FF"/>
              </w:rPr>
              <w:t xml:space="preserve">Thereafter - </w:t>
            </w:r>
            <w:bookmarkEnd w:id="970"/>
            <w:r w:rsidR="00F32376" w:rsidRPr="00100601">
              <w:rPr>
                <w:color w:val="000000" w:themeColor="text1"/>
                <w:sz w:val="20"/>
                <w:szCs w:val="24"/>
              </w:rPr>
              <w:t>Between 98% and 99% inclusive</w:t>
            </w:r>
          </w:p>
        </w:tc>
        <w:tc>
          <w:tcPr>
            <w:tcW w:w="1984" w:type="dxa"/>
            <w:gridSpan w:val="3"/>
            <w:shd w:val="clear" w:color="auto" w:fill="auto"/>
          </w:tcPr>
          <w:p w14:paraId="3B005CCE" w14:textId="77777777" w:rsidR="00F32376" w:rsidRPr="00100601" w:rsidRDefault="00F32376" w:rsidP="00626054">
            <w:pPr>
              <w:rPr>
                <w:color w:val="000000" w:themeColor="text1"/>
                <w:sz w:val="20"/>
                <w:szCs w:val="24"/>
              </w:rPr>
            </w:pPr>
            <w:r w:rsidRPr="00100601">
              <w:rPr>
                <w:color w:val="000000" w:themeColor="text1"/>
                <w:sz w:val="20"/>
                <w:szCs w:val="24"/>
              </w:rPr>
              <w:t>3.0</w:t>
            </w:r>
          </w:p>
        </w:tc>
      </w:tr>
      <w:tr w:rsidR="00100601" w:rsidRPr="00100601" w14:paraId="538B08FA" w14:textId="77777777" w:rsidTr="00F32376">
        <w:tc>
          <w:tcPr>
            <w:tcW w:w="2029" w:type="dxa"/>
            <w:shd w:val="clear" w:color="auto" w:fill="auto"/>
          </w:tcPr>
          <w:p w14:paraId="34501E37" w14:textId="77777777" w:rsidR="00F32376" w:rsidRPr="00100601" w:rsidRDefault="00F32376" w:rsidP="00626054">
            <w:pPr>
              <w:rPr>
                <w:color w:val="000000" w:themeColor="text1"/>
                <w:sz w:val="20"/>
                <w:szCs w:val="24"/>
              </w:rPr>
            </w:pPr>
            <w:r w:rsidRPr="00100601">
              <w:rPr>
                <w:color w:val="000000" w:themeColor="text1"/>
                <w:sz w:val="20"/>
                <w:szCs w:val="24"/>
              </w:rPr>
              <w:t>Major Service Level Failure</w:t>
            </w:r>
          </w:p>
        </w:tc>
        <w:tc>
          <w:tcPr>
            <w:tcW w:w="4629" w:type="dxa"/>
            <w:shd w:val="clear" w:color="auto" w:fill="auto"/>
          </w:tcPr>
          <w:p w14:paraId="3D3A9493" w14:textId="77777777" w:rsidR="00545DDD" w:rsidRPr="00100601" w:rsidRDefault="00545DDD" w:rsidP="00545DDD">
            <w:pPr>
              <w:rPr>
                <w:color w:val="000000" w:themeColor="text1"/>
                <w:sz w:val="20"/>
                <w:szCs w:val="24"/>
              </w:rPr>
            </w:pPr>
            <w:bookmarkStart w:id="971" w:name="_cp_change_251"/>
            <w:r w:rsidRPr="00100601">
              <w:rPr>
                <w:color w:val="000000" w:themeColor="text1"/>
                <w:sz w:val="20"/>
                <w:szCs w:val="24"/>
                <w:u w:color="0000FF"/>
              </w:rPr>
              <w:t>Relief Period – Less than 97.2%</w:t>
            </w:r>
            <w:bookmarkStart w:id="972" w:name="_cp_change_250"/>
            <w:bookmarkEnd w:id="971"/>
          </w:p>
          <w:p w14:paraId="2F024AD1" w14:textId="0B62A180" w:rsidR="00F32376" w:rsidRPr="00100601" w:rsidRDefault="00545DDD" w:rsidP="00545DDD">
            <w:pPr>
              <w:rPr>
                <w:color w:val="000000" w:themeColor="text1"/>
                <w:sz w:val="20"/>
                <w:szCs w:val="24"/>
              </w:rPr>
            </w:pPr>
            <w:bookmarkStart w:id="973" w:name="_cp_change_252"/>
            <w:bookmarkEnd w:id="972"/>
            <w:r w:rsidRPr="00100601">
              <w:rPr>
                <w:color w:val="000000" w:themeColor="text1"/>
                <w:sz w:val="20"/>
                <w:szCs w:val="24"/>
                <w:u w:color="0000FF"/>
              </w:rPr>
              <w:t xml:space="preserve">Thereafter - </w:t>
            </w:r>
            <w:bookmarkEnd w:id="973"/>
            <w:r w:rsidR="00F32376" w:rsidRPr="00100601">
              <w:rPr>
                <w:color w:val="000000" w:themeColor="text1"/>
                <w:sz w:val="20"/>
                <w:szCs w:val="24"/>
              </w:rPr>
              <w:t>Less than 98%</w:t>
            </w:r>
          </w:p>
        </w:tc>
        <w:tc>
          <w:tcPr>
            <w:tcW w:w="1984" w:type="dxa"/>
            <w:gridSpan w:val="3"/>
            <w:shd w:val="clear" w:color="auto" w:fill="auto"/>
          </w:tcPr>
          <w:p w14:paraId="05FCEFE0" w14:textId="77777777" w:rsidR="00F32376" w:rsidRPr="00100601" w:rsidRDefault="00F32376" w:rsidP="00626054">
            <w:pPr>
              <w:rPr>
                <w:color w:val="000000" w:themeColor="text1"/>
                <w:sz w:val="20"/>
                <w:szCs w:val="24"/>
              </w:rPr>
            </w:pPr>
            <w:r w:rsidRPr="00100601">
              <w:rPr>
                <w:color w:val="000000" w:themeColor="text1"/>
                <w:sz w:val="20"/>
                <w:szCs w:val="24"/>
              </w:rPr>
              <w:t>4.5</w:t>
            </w:r>
          </w:p>
        </w:tc>
      </w:tr>
    </w:tbl>
    <w:p w14:paraId="17E4418B" w14:textId="77777777" w:rsidR="00B074CC" w:rsidRPr="00100601" w:rsidRDefault="00B074CC" w:rsidP="00626054">
      <w:pPr>
        <w:spacing w:after="0"/>
        <w:rPr>
          <w:color w:val="000000" w:themeColor="text1"/>
          <w:sz w:val="20"/>
          <w:szCs w:val="24"/>
        </w:rPr>
      </w:pPr>
      <w:r w:rsidRPr="00100601">
        <w:rPr>
          <w:color w:val="000000" w:themeColor="text1"/>
          <w:sz w:val="20"/>
          <w:szCs w:val="24"/>
        </w:rPr>
        <w:br w:type="page"/>
      </w:r>
    </w:p>
    <w:p w14:paraId="2AB31DB5" w14:textId="77777777" w:rsidR="00B074CC" w:rsidRPr="001A1836" w:rsidRDefault="00B074CC" w:rsidP="00626054">
      <w:pPr>
        <w:spacing w:after="0"/>
        <w:rPr>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4678"/>
        <w:gridCol w:w="1899"/>
      </w:tblGrid>
      <w:tr w:rsidR="00B074CC" w:rsidRPr="001A1836" w14:paraId="05E018CD" w14:textId="77777777" w:rsidTr="009E2E92">
        <w:trPr>
          <w:tblHeader/>
        </w:trPr>
        <w:tc>
          <w:tcPr>
            <w:tcW w:w="2029" w:type="dxa"/>
            <w:shd w:val="clear" w:color="auto" w:fill="auto"/>
          </w:tcPr>
          <w:p w14:paraId="348762AD" w14:textId="77777777" w:rsidR="00B074CC" w:rsidRPr="001A1836" w:rsidRDefault="00B074CC" w:rsidP="00626054">
            <w:pPr>
              <w:rPr>
                <w:b/>
                <w:szCs w:val="24"/>
              </w:rPr>
            </w:pPr>
            <w:r w:rsidRPr="001A1836">
              <w:rPr>
                <w:b/>
                <w:szCs w:val="24"/>
              </w:rPr>
              <w:t>SL17</w:t>
            </w:r>
          </w:p>
        </w:tc>
        <w:tc>
          <w:tcPr>
            <w:tcW w:w="6577" w:type="dxa"/>
            <w:gridSpan w:val="2"/>
            <w:shd w:val="clear" w:color="auto" w:fill="auto"/>
          </w:tcPr>
          <w:p w14:paraId="48E149FC" w14:textId="56410537" w:rsidR="00B074CC" w:rsidRPr="001A1836" w:rsidRDefault="00B074CC" w:rsidP="00626054">
            <w:pPr>
              <w:rPr>
                <w:b/>
                <w:szCs w:val="24"/>
              </w:rPr>
            </w:pPr>
            <w:r w:rsidRPr="001A1836">
              <w:rPr>
                <w:b/>
                <w:szCs w:val="24"/>
              </w:rPr>
              <w:t xml:space="preserve">% of applications &amp; registration changes processed and ID cards issued within 5 Working Days </w:t>
            </w:r>
            <w:r w:rsidR="00CA1B14" w:rsidRPr="001A1836">
              <w:rPr>
                <w:b/>
                <w:szCs w:val="24"/>
              </w:rPr>
              <w:t>during April to January, and 10 Working Days during February and March</w:t>
            </w:r>
          </w:p>
        </w:tc>
      </w:tr>
      <w:tr w:rsidR="00B074CC" w:rsidRPr="001A1836" w14:paraId="761CBE18" w14:textId="77777777" w:rsidTr="004F1C82">
        <w:tc>
          <w:tcPr>
            <w:tcW w:w="2029" w:type="dxa"/>
            <w:shd w:val="clear" w:color="auto" w:fill="auto"/>
          </w:tcPr>
          <w:p w14:paraId="01241232" w14:textId="5333E81A" w:rsidR="00B074CC" w:rsidRPr="001A1836" w:rsidRDefault="00B074CC" w:rsidP="00626054">
            <w:pPr>
              <w:rPr>
                <w:sz w:val="20"/>
                <w:szCs w:val="24"/>
              </w:rPr>
            </w:pPr>
            <w:r w:rsidRPr="001A1836">
              <w:rPr>
                <w:sz w:val="20"/>
                <w:szCs w:val="24"/>
              </w:rPr>
              <w:t xml:space="preserve">Service </w:t>
            </w:r>
            <w:r w:rsidR="00747264" w:rsidRPr="001A1836">
              <w:rPr>
                <w:sz w:val="20"/>
                <w:szCs w:val="24"/>
              </w:rPr>
              <w:t>L</w:t>
            </w:r>
            <w:r w:rsidRPr="001A1836">
              <w:rPr>
                <w:sz w:val="20"/>
                <w:szCs w:val="24"/>
              </w:rPr>
              <w:t>evel description</w:t>
            </w:r>
          </w:p>
        </w:tc>
        <w:tc>
          <w:tcPr>
            <w:tcW w:w="6577" w:type="dxa"/>
            <w:gridSpan w:val="2"/>
            <w:shd w:val="clear" w:color="auto" w:fill="auto"/>
          </w:tcPr>
          <w:p w14:paraId="5FDAB199" w14:textId="77777777" w:rsidR="00B074CC" w:rsidRPr="001A1836" w:rsidRDefault="00B074CC" w:rsidP="00626054">
            <w:pPr>
              <w:rPr>
                <w:sz w:val="20"/>
                <w:szCs w:val="24"/>
              </w:rPr>
            </w:pPr>
            <w:r w:rsidRPr="001A1836">
              <w:rPr>
                <w:sz w:val="20"/>
                <w:szCs w:val="24"/>
              </w:rPr>
              <w:t>The number of:</w:t>
            </w:r>
          </w:p>
          <w:p w14:paraId="63DC2594" w14:textId="77777777" w:rsidR="00B074CC" w:rsidRPr="001A1836" w:rsidRDefault="00B074CC">
            <w:pPr>
              <w:numPr>
                <w:ilvl w:val="0"/>
                <w:numId w:val="19"/>
              </w:numPr>
              <w:rPr>
                <w:sz w:val="20"/>
                <w:szCs w:val="24"/>
              </w:rPr>
            </w:pPr>
            <w:r w:rsidRPr="001A1836">
              <w:rPr>
                <w:sz w:val="20"/>
                <w:szCs w:val="24"/>
              </w:rPr>
              <w:t>Registration applications (new and renewal; business &amp; engineer)</w:t>
            </w:r>
          </w:p>
          <w:p w14:paraId="0F9A92C2" w14:textId="77777777" w:rsidR="00B074CC" w:rsidRPr="00F763D7" w:rsidRDefault="00B074CC">
            <w:pPr>
              <w:numPr>
                <w:ilvl w:val="0"/>
                <w:numId w:val="19"/>
              </w:numPr>
              <w:rPr>
                <w:sz w:val="20"/>
                <w:szCs w:val="24"/>
                <w:lang w:val="fr-FR"/>
              </w:rPr>
            </w:pPr>
            <w:r w:rsidRPr="00F763D7">
              <w:rPr>
                <w:sz w:val="20"/>
                <w:szCs w:val="24"/>
                <w:lang w:val="fr-FR"/>
              </w:rPr>
              <w:t>Registration changes (trading title, qualifications etc)</w:t>
            </w:r>
          </w:p>
          <w:p w14:paraId="37FCD6D9" w14:textId="77777777" w:rsidR="00B074CC" w:rsidRPr="001A1836" w:rsidRDefault="00B074CC">
            <w:pPr>
              <w:numPr>
                <w:ilvl w:val="0"/>
                <w:numId w:val="19"/>
              </w:numPr>
              <w:rPr>
                <w:sz w:val="20"/>
                <w:szCs w:val="24"/>
              </w:rPr>
            </w:pPr>
            <w:r w:rsidRPr="001A1836">
              <w:rPr>
                <w:sz w:val="20"/>
                <w:szCs w:val="24"/>
              </w:rPr>
              <w:t>New and replacement ID cards issued</w:t>
            </w:r>
          </w:p>
          <w:p w14:paraId="79CB0969" w14:textId="7F98459D" w:rsidR="00B074CC" w:rsidRPr="001A1836" w:rsidRDefault="00B074CC" w:rsidP="00626054">
            <w:pPr>
              <w:rPr>
                <w:sz w:val="20"/>
                <w:szCs w:val="24"/>
              </w:rPr>
            </w:pPr>
            <w:r w:rsidRPr="001A1836">
              <w:rPr>
                <w:sz w:val="20"/>
                <w:szCs w:val="24"/>
              </w:rPr>
              <w:t>processed and completed within five Working Days of receipt of request, expressed as a percentage of the total number of applications, change requests received and ID cards required.</w:t>
            </w:r>
          </w:p>
          <w:p w14:paraId="7D350564" w14:textId="77777777" w:rsidR="00B074CC" w:rsidRPr="001A1836" w:rsidRDefault="00B074CC" w:rsidP="00626054">
            <w:pPr>
              <w:rPr>
                <w:sz w:val="20"/>
                <w:szCs w:val="24"/>
              </w:rPr>
            </w:pPr>
            <w:r w:rsidRPr="001A1836">
              <w:rPr>
                <w:sz w:val="20"/>
                <w:szCs w:val="24"/>
              </w:rPr>
              <w:t>When applications and changes are submitted outside service hours, it is counted as received when service hours next resume.</w:t>
            </w:r>
          </w:p>
        </w:tc>
      </w:tr>
      <w:tr w:rsidR="00B074CC" w:rsidRPr="001A1836" w14:paraId="222DDBF2" w14:textId="77777777" w:rsidTr="004F1C82">
        <w:tc>
          <w:tcPr>
            <w:tcW w:w="2029" w:type="dxa"/>
            <w:shd w:val="clear" w:color="auto" w:fill="auto"/>
          </w:tcPr>
          <w:p w14:paraId="47B586CB" w14:textId="0FB393BF" w:rsidR="00B074CC" w:rsidRPr="001A1836" w:rsidRDefault="00B074CC" w:rsidP="00626054">
            <w:pPr>
              <w:rPr>
                <w:sz w:val="20"/>
                <w:szCs w:val="24"/>
              </w:rPr>
            </w:pPr>
            <w:r w:rsidRPr="001A1836">
              <w:rPr>
                <w:sz w:val="20"/>
                <w:szCs w:val="24"/>
              </w:rPr>
              <w:t xml:space="preserve">Service </w:t>
            </w:r>
            <w:r w:rsidR="00747264" w:rsidRPr="001A1836">
              <w:rPr>
                <w:sz w:val="20"/>
                <w:szCs w:val="24"/>
              </w:rPr>
              <w:t>L</w:t>
            </w:r>
            <w:r w:rsidRPr="001A1836">
              <w:rPr>
                <w:sz w:val="20"/>
                <w:szCs w:val="24"/>
              </w:rPr>
              <w:t>evel calculation</w:t>
            </w:r>
          </w:p>
        </w:tc>
        <w:tc>
          <w:tcPr>
            <w:tcW w:w="6577" w:type="dxa"/>
            <w:gridSpan w:val="2"/>
            <w:shd w:val="clear" w:color="auto" w:fill="auto"/>
          </w:tcPr>
          <w:p w14:paraId="1A00FF20" w14:textId="16E59EC1" w:rsidR="00B074CC" w:rsidRPr="001A1836" w:rsidRDefault="00C4005F" w:rsidP="00626054">
            <w:pPr>
              <w:rPr>
                <w:sz w:val="20"/>
                <w:szCs w:val="24"/>
              </w:rPr>
            </w:pPr>
            <w:r>
              <w:rPr>
                <w:sz w:val="20"/>
                <w:szCs w:val="24"/>
              </w:rPr>
              <w:t>(A+ B + C) / (D+ E + F)</w:t>
            </w:r>
            <w:r w:rsidR="00B074CC" w:rsidRPr="001A1836">
              <w:rPr>
                <w:sz w:val="20"/>
                <w:szCs w:val="24"/>
              </w:rPr>
              <w:t xml:space="preserve"> x 100</w:t>
            </w:r>
          </w:p>
          <w:p w14:paraId="33483F40" w14:textId="77777777" w:rsidR="00B074CC" w:rsidRPr="001A1836" w:rsidRDefault="00B074CC" w:rsidP="00626054">
            <w:pPr>
              <w:rPr>
                <w:sz w:val="20"/>
                <w:szCs w:val="24"/>
              </w:rPr>
            </w:pPr>
          </w:p>
          <w:p w14:paraId="75AF3ECE" w14:textId="77777777" w:rsidR="00B074CC" w:rsidRPr="001A1836" w:rsidRDefault="00B074CC" w:rsidP="00626054">
            <w:pPr>
              <w:rPr>
                <w:sz w:val="20"/>
                <w:szCs w:val="24"/>
              </w:rPr>
            </w:pPr>
            <w:r w:rsidRPr="001A1836">
              <w:rPr>
                <w:sz w:val="20"/>
                <w:szCs w:val="24"/>
              </w:rPr>
              <w:t>Where:</w:t>
            </w:r>
          </w:p>
          <w:p w14:paraId="5F096CC1" w14:textId="7737B5AA" w:rsidR="00B074CC" w:rsidRPr="001A1836" w:rsidRDefault="00B074CC" w:rsidP="00626054">
            <w:pPr>
              <w:rPr>
                <w:sz w:val="20"/>
                <w:szCs w:val="24"/>
              </w:rPr>
            </w:pPr>
            <w:r w:rsidRPr="001A1836">
              <w:rPr>
                <w:sz w:val="20"/>
                <w:szCs w:val="24"/>
              </w:rPr>
              <w:t>A = the number of registration applications processed in 5 Working Days</w:t>
            </w:r>
            <w:r w:rsidR="00CA1B14" w:rsidRPr="001A1836">
              <w:rPr>
                <w:sz w:val="20"/>
                <w:szCs w:val="24"/>
              </w:rPr>
              <w:t xml:space="preserve"> during April to January and 10 Working Days during February and March</w:t>
            </w:r>
          </w:p>
          <w:p w14:paraId="079E1523" w14:textId="2F412C33" w:rsidR="00B074CC" w:rsidRPr="001A1836" w:rsidRDefault="00B074CC" w:rsidP="00626054">
            <w:pPr>
              <w:rPr>
                <w:sz w:val="20"/>
                <w:szCs w:val="24"/>
              </w:rPr>
            </w:pPr>
            <w:r w:rsidRPr="001A1836">
              <w:rPr>
                <w:sz w:val="20"/>
                <w:szCs w:val="24"/>
              </w:rPr>
              <w:t>B = the number of registration change requests processed in 5 Working Days</w:t>
            </w:r>
            <w:r w:rsidR="00CA1B14" w:rsidRPr="001A1836">
              <w:rPr>
                <w:sz w:val="20"/>
                <w:szCs w:val="24"/>
              </w:rPr>
              <w:t xml:space="preserve"> during April to January and 10 Working Days during February and March</w:t>
            </w:r>
          </w:p>
          <w:p w14:paraId="569D9E34" w14:textId="72497AAA" w:rsidR="00B074CC" w:rsidRPr="001A1836" w:rsidRDefault="00B074CC" w:rsidP="00626054">
            <w:pPr>
              <w:rPr>
                <w:sz w:val="20"/>
                <w:szCs w:val="24"/>
              </w:rPr>
            </w:pPr>
            <w:r w:rsidRPr="001A1836">
              <w:rPr>
                <w:sz w:val="20"/>
                <w:szCs w:val="24"/>
              </w:rPr>
              <w:t>C = the number of ID cards (new and replacement) issued in 5 Working Days</w:t>
            </w:r>
            <w:r w:rsidR="00CA1B14" w:rsidRPr="001A1836">
              <w:rPr>
                <w:sz w:val="20"/>
                <w:szCs w:val="24"/>
              </w:rPr>
              <w:t xml:space="preserve"> during April to January and 10 Working Days during February and March</w:t>
            </w:r>
            <w:r w:rsidRPr="001A1836">
              <w:rPr>
                <w:sz w:val="20"/>
                <w:szCs w:val="24"/>
              </w:rPr>
              <w:t xml:space="preserve"> </w:t>
            </w:r>
          </w:p>
          <w:p w14:paraId="77CB1D75" w14:textId="77777777" w:rsidR="00B074CC" w:rsidRPr="001A1836" w:rsidRDefault="00B074CC" w:rsidP="00626054">
            <w:pPr>
              <w:rPr>
                <w:sz w:val="20"/>
                <w:szCs w:val="24"/>
              </w:rPr>
            </w:pPr>
            <w:r w:rsidRPr="001A1836">
              <w:rPr>
                <w:sz w:val="20"/>
                <w:szCs w:val="24"/>
              </w:rPr>
              <w:t xml:space="preserve">D = the total number of registration applications received </w:t>
            </w:r>
          </w:p>
          <w:p w14:paraId="46361946" w14:textId="77777777" w:rsidR="00B074CC" w:rsidRPr="001A1836" w:rsidRDefault="00B074CC" w:rsidP="00626054">
            <w:pPr>
              <w:rPr>
                <w:sz w:val="20"/>
                <w:szCs w:val="24"/>
              </w:rPr>
            </w:pPr>
            <w:r w:rsidRPr="001A1836">
              <w:rPr>
                <w:sz w:val="20"/>
                <w:szCs w:val="24"/>
              </w:rPr>
              <w:t xml:space="preserve">E = the total number of registration change requests received </w:t>
            </w:r>
          </w:p>
          <w:p w14:paraId="2474715E" w14:textId="77777777" w:rsidR="00B074CC" w:rsidRPr="001A1836" w:rsidRDefault="00B074CC" w:rsidP="00626054">
            <w:pPr>
              <w:rPr>
                <w:sz w:val="20"/>
                <w:szCs w:val="24"/>
              </w:rPr>
            </w:pPr>
            <w:r w:rsidRPr="001A1836">
              <w:rPr>
                <w:sz w:val="20"/>
                <w:szCs w:val="24"/>
              </w:rPr>
              <w:t>F = the total number of ID cards (new and replacement) requested</w:t>
            </w:r>
          </w:p>
        </w:tc>
      </w:tr>
      <w:tr w:rsidR="00B074CC" w:rsidRPr="001A1836" w14:paraId="73B6A285" w14:textId="77777777" w:rsidTr="004F1C82">
        <w:tc>
          <w:tcPr>
            <w:tcW w:w="2029" w:type="dxa"/>
            <w:shd w:val="clear" w:color="auto" w:fill="auto"/>
          </w:tcPr>
          <w:p w14:paraId="545BA09D" w14:textId="1989C4B2" w:rsidR="00B074CC" w:rsidRPr="001A1836" w:rsidRDefault="00B074CC" w:rsidP="00626054">
            <w:pPr>
              <w:rPr>
                <w:sz w:val="20"/>
                <w:szCs w:val="24"/>
              </w:rPr>
            </w:pPr>
            <w:r w:rsidRPr="001A1836">
              <w:rPr>
                <w:sz w:val="20"/>
                <w:szCs w:val="24"/>
              </w:rPr>
              <w:t xml:space="preserve">Reporting frequency </w:t>
            </w:r>
          </w:p>
        </w:tc>
        <w:tc>
          <w:tcPr>
            <w:tcW w:w="6577" w:type="dxa"/>
            <w:gridSpan w:val="2"/>
            <w:shd w:val="clear" w:color="auto" w:fill="auto"/>
          </w:tcPr>
          <w:p w14:paraId="5A2D8EBC" w14:textId="77777777" w:rsidR="00B074CC" w:rsidRPr="001A1836" w:rsidRDefault="00B074CC" w:rsidP="00626054">
            <w:pPr>
              <w:rPr>
                <w:sz w:val="20"/>
                <w:szCs w:val="24"/>
              </w:rPr>
            </w:pPr>
            <w:r w:rsidRPr="001A1836">
              <w:rPr>
                <w:sz w:val="20"/>
                <w:szCs w:val="24"/>
              </w:rPr>
              <w:t>Performance is reported monthly.</w:t>
            </w:r>
          </w:p>
          <w:p w14:paraId="20C9AB20" w14:textId="0CB4EB46" w:rsidR="00B876A2" w:rsidRPr="001A1836" w:rsidRDefault="00B876A2" w:rsidP="00CA1B14">
            <w:pPr>
              <w:rPr>
                <w:sz w:val="20"/>
                <w:szCs w:val="24"/>
              </w:rPr>
            </w:pPr>
          </w:p>
        </w:tc>
      </w:tr>
      <w:tr w:rsidR="004F1C82" w:rsidRPr="001A1836" w14:paraId="687BF0C1" w14:textId="77777777" w:rsidTr="004F1C82">
        <w:tc>
          <w:tcPr>
            <w:tcW w:w="2029" w:type="dxa"/>
            <w:shd w:val="clear" w:color="auto" w:fill="auto"/>
          </w:tcPr>
          <w:p w14:paraId="3E263BB3" w14:textId="358331AF" w:rsidR="004F1C82" w:rsidRPr="001A1836" w:rsidDel="00B20DB7" w:rsidRDefault="004F1C82" w:rsidP="004F1C82">
            <w:pPr>
              <w:rPr>
                <w:sz w:val="20"/>
                <w:szCs w:val="24"/>
              </w:rPr>
            </w:pPr>
            <w:r w:rsidRPr="001A1836">
              <w:rPr>
                <w:sz w:val="20"/>
                <w:szCs w:val="24"/>
              </w:rPr>
              <w:t>Service Measurement Period</w:t>
            </w:r>
          </w:p>
        </w:tc>
        <w:tc>
          <w:tcPr>
            <w:tcW w:w="6577" w:type="dxa"/>
            <w:gridSpan w:val="2"/>
            <w:shd w:val="clear" w:color="auto" w:fill="auto"/>
          </w:tcPr>
          <w:p w14:paraId="5BCD27C7" w14:textId="70473D0E" w:rsidR="004F1C82" w:rsidRPr="001A1836" w:rsidRDefault="00CA1B14" w:rsidP="004F1C82">
            <w:pPr>
              <w:rPr>
                <w:sz w:val="20"/>
                <w:szCs w:val="24"/>
              </w:rPr>
            </w:pPr>
            <w:r w:rsidRPr="001A1836">
              <w:rPr>
                <w:sz w:val="20"/>
                <w:szCs w:val="24"/>
              </w:rPr>
              <w:t>Service Credits are calculated monthly.</w:t>
            </w:r>
          </w:p>
        </w:tc>
      </w:tr>
      <w:tr w:rsidR="004F1C82" w:rsidRPr="001A1836" w14:paraId="0BFEE387" w14:textId="77777777" w:rsidTr="004F1C82">
        <w:tc>
          <w:tcPr>
            <w:tcW w:w="2029" w:type="dxa"/>
            <w:shd w:val="clear" w:color="auto" w:fill="auto"/>
          </w:tcPr>
          <w:p w14:paraId="71A424AF" w14:textId="0515E18B" w:rsidR="004F1C82" w:rsidRPr="001A1836" w:rsidDel="00B20DB7" w:rsidRDefault="004F1C82" w:rsidP="004F1C82">
            <w:pPr>
              <w:rPr>
                <w:sz w:val="20"/>
                <w:szCs w:val="24"/>
              </w:rPr>
            </w:pPr>
            <w:r w:rsidRPr="001A1836">
              <w:rPr>
                <w:sz w:val="20"/>
                <w:szCs w:val="24"/>
              </w:rPr>
              <w:t>Service Point Application Period</w:t>
            </w:r>
          </w:p>
        </w:tc>
        <w:tc>
          <w:tcPr>
            <w:tcW w:w="6577" w:type="dxa"/>
            <w:gridSpan w:val="2"/>
            <w:shd w:val="clear" w:color="auto" w:fill="auto"/>
          </w:tcPr>
          <w:p w14:paraId="41203786" w14:textId="1B011405" w:rsidR="004F1C82" w:rsidRPr="001A1836" w:rsidRDefault="00EA4BD8" w:rsidP="004F1C82">
            <w:pPr>
              <w:rPr>
                <w:sz w:val="20"/>
                <w:szCs w:val="24"/>
              </w:rPr>
            </w:pPr>
            <w:r w:rsidRPr="001A1836">
              <w:rPr>
                <w:sz w:val="20"/>
                <w:szCs w:val="24"/>
              </w:rPr>
              <w:t xml:space="preserve">Service Points are applied monthly against </w:t>
            </w:r>
            <w:r>
              <w:rPr>
                <w:sz w:val="20"/>
                <w:szCs w:val="24"/>
              </w:rPr>
              <w:t xml:space="preserve">one twelfth of the sum of </w:t>
            </w:r>
            <w:r w:rsidRPr="001A1836">
              <w:rPr>
                <w:sz w:val="20"/>
                <w:szCs w:val="24"/>
              </w:rPr>
              <w:t xml:space="preserve">the Provider’s </w:t>
            </w:r>
            <w:r>
              <w:rPr>
                <w:sz w:val="20"/>
                <w:szCs w:val="24"/>
              </w:rPr>
              <w:t>annual</w:t>
            </w:r>
            <w:r w:rsidRPr="001A1836">
              <w:rPr>
                <w:sz w:val="20"/>
                <w:szCs w:val="24"/>
              </w:rPr>
              <w:t xml:space="preserve"> </w:t>
            </w:r>
            <w:r>
              <w:rPr>
                <w:sz w:val="20"/>
                <w:szCs w:val="24"/>
              </w:rPr>
              <w:t>A</w:t>
            </w:r>
            <w:r w:rsidRPr="001A1836">
              <w:rPr>
                <w:sz w:val="20"/>
                <w:szCs w:val="24"/>
              </w:rPr>
              <w:t xml:space="preserve">greed Operating Costs plus </w:t>
            </w:r>
            <w:r>
              <w:rPr>
                <w:sz w:val="20"/>
                <w:szCs w:val="24"/>
              </w:rPr>
              <w:t xml:space="preserve">Provider </w:t>
            </w:r>
            <w:r w:rsidRPr="001A1836">
              <w:rPr>
                <w:sz w:val="20"/>
                <w:szCs w:val="24"/>
              </w:rPr>
              <w:t>Profit.</w:t>
            </w:r>
          </w:p>
        </w:tc>
      </w:tr>
      <w:tr w:rsidR="00B074CC" w:rsidRPr="001A1836" w14:paraId="43944216" w14:textId="77777777" w:rsidTr="004F1C82">
        <w:tc>
          <w:tcPr>
            <w:tcW w:w="2029" w:type="dxa"/>
            <w:shd w:val="clear" w:color="auto" w:fill="auto"/>
          </w:tcPr>
          <w:p w14:paraId="4085B57D" w14:textId="77777777" w:rsidR="00B074CC" w:rsidRPr="001A1836" w:rsidRDefault="00B074CC" w:rsidP="00626054">
            <w:pPr>
              <w:rPr>
                <w:sz w:val="20"/>
                <w:szCs w:val="24"/>
              </w:rPr>
            </w:pPr>
            <w:r w:rsidRPr="001A1836">
              <w:rPr>
                <w:sz w:val="20"/>
                <w:szCs w:val="24"/>
              </w:rPr>
              <w:t>Data capture</w:t>
            </w:r>
          </w:p>
        </w:tc>
        <w:tc>
          <w:tcPr>
            <w:tcW w:w="6577" w:type="dxa"/>
            <w:gridSpan w:val="2"/>
            <w:shd w:val="clear" w:color="auto" w:fill="auto"/>
          </w:tcPr>
          <w:p w14:paraId="649048E9" w14:textId="77777777" w:rsidR="00B074CC" w:rsidRPr="00100601" w:rsidRDefault="00B074CC" w:rsidP="00626054">
            <w:pPr>
              <w:rPr>
                <w:color w:val="000000" w:themeColor="text1"/>
                <w:sz w:val="20"/>
                <w:szCs w:val="24"/>
              </w:rPr>
            </w:pPr>
            <w:r w:rsidRPr="00100601">
              <w:rPr>
                <w:color w:val="000000" w:themeColor="text1"/>
                <w:sz w:val="20"/>
                <w:szCs w:val="24"/>
              </w:rPr>
              <w:t>During the Service Measurement Period:</w:t>
            </w:r>
          </w:p>
          <w:p w14:paraId="0E49FDF2" w14:textId="77777777" w:rsidR="00B074CC" w:rsidRPr="00100601" w:rsidRDefault="00B074CC">
            <w:pPr>
              <w:numPr>
                <w:ilvl w:val="0"/>
                <w:numId w:val="20"/>
              </w:numPr>
              <w:rPr>
                <w:color w:val="000000" w:themeColor="text1"/>
                <w:sz w:val="20"/>
                <w:szCs w:val="24"/>
              </w:rPr>
            </w:pPr>
            <w:r w:rsidRPr="00100601">
              <w:rPr>
                <w:color w:val="000000" w:themeColor="text1"/>
                <w:sz w:val="20"/>
                <w:szCs w:val="24"/>
              </w:rPr>
              <w:t>Number of</w:t>
            </w:r>
          </w:p>
          <w:p w14:paraId="479FE496" w14:textId="77777777" w:rsidR="00B074CC" w:rsidRPr="00100601" w:rsidRDefault="00B074CC">
            <w:pPr>
              <w:numPr>
                <w:ilvl w:val="1"/>
                <w:numId w:val="20"/>
              </w:numPr>
              <w:rPr>
                <w:color w:val="000000" w:themeColor="text1"/>
                <w:sz w:val="20"/>
                <w:szCs w:val="24"/>
              </w:rPr>
            </w:pPr>
            <w:r w:rsidRPr="00100601">
              <w:rPr>
                <w:color w:val="000000" w:themeColor="text1"/>
                <w:sz w:val="20"/>
                <w:szCs w:val="24"/>
              </w:rPr>
              <w:t>registration applications received</w:t>
            </w:r>
          </w:p>
          <w:p w14:paraId="5C1126C2" w14:textId="77777777" w:rsidR="00B074CC" w:rsidRPr="00100601" w:rsidRDefault="00B074CC">
            <w:pPr>
              <w:numPr>
                <w:ilvl w:val="1"/>
                <w:numId w:val="20"/>
              </w:numPr>
              <w:rPr>
                <w:color w:val="000000" w:themeColor="text1"/>
                <w:sz w:val="20"/>
                <w:szCs w:val="24"/>
              </w:rPr>
            </w:pPr>
            <w:r w:rsidRPr="00100601">
              <w:rPr>
                <w:color w:val="000000" w:themeColor="text1"/>
                <w:sz w:val="20"/>
                <w:szCs w:val="24"/>
              </w:rPr>
              <w:t xml:space="preserve">registration change requests received </w:t>
            </w:r>
          </w:p>
          <w:p w14:paraId="1908B945" w14:textId="77777777" w:rsidR="00B074CC" w:rsidRPr="00100601" w:rsidRDefault="00B074CC">
            <w:pPr>
              <w:numPr>
                <w:ilvl w:val="1"/>
                <w:numId w:val="20"/>
              </w:numPr>
              <w:rPr>
                <w:color w:val="000000" w:themeColor="text1"/>
                <w:sz w:val="20"/>
                <w:szCs w:val="24"/>
              </w:rPr>
            </w:pPr>
            <w:r w:rsidRPr="00100601">
              <w:rPr>
                <w:color w:val="000000" w:themeColor="text1"/>
                <w:sz w:val="20"/>
                <w:szCs w:val="24"/>
              </w:rPr>
              <w:t xml:space="preserve">ID cards requests – new, replacement required </w:t>
            </w:r>
          </w:p>
          <w:p w14:paraId="7EB848E8" w14:textId="095C0EB5" w:rsidR="00B074CC" w:rsidRPr="00100601" w:rsidRDefault="00CA1B14">
            <w:pPr>
              <w:numPr>
                <w:ilvl w:val="0"/>
                <w:numId w:val="20"/>
              </w:numPr>
              <w:rPr>
                <w:color w:val="000000" w:themeColor="text1"/>
                <w:sz w:val="20"/>
                <w:szCs w:val="24"/>
              </w:rPr>
            </w:pPr>
            <w:r w:rsidRPr="00100601">
              <w:rPr>
                <w:color w:val="000000" w:themeColor="text1"/>
                <w:sz w:val="20"/>
                <w:szCs w:val="24"/>
              </w:rPr>
              <w:t>During the months April to January, the n</w:t>
            </w:r>
            <w:r w:rsidR="00B074CC" w:rsidRPr="00100601">
              <w:rPr>
                <w:color w:val="000000" w:themeColor="text1"/>
                <w:sz w:val="20"/>
                <w:szCs w:val="24"/>
              </w:rPr>
              <w:t xml:space="preserve">umber of </w:t>
            </w:r>
          </w:p>
          <w:p w14:paraId="7ED1D900" w14:textId="2BACE064" w:rsidR="00B074CC" w:rsidRPr="00100601" w:rsidRDefault="00B074CC">
            <w:pPr>
              <w:numPr>
                <w:ilvl w:val="1"/>
                <w:numId w:val="20"/>
              </w:numPr>
              <w:rPr>
                <w:color w:val="000000" w:themeColor="text1"/>
                <w:sz w:val="20"/>
                <w:szCs w:val="24"/>
              </w:rPr>
            </w:pPr>
            <w:r w:rsidRPr="00100601">
              <w:rPr>
                <w:color w:val="000000" w:themeColor="text1"/>
                <w:sz w:val="20"/>
                <w:szCs w:val="24"/>
              </w:rPr>
              <w:t>registration applications processed within 5 Working Days</w:t>
            </w:r>
          </w:p>
          <w:p w14:paraId="537EC46B" w14:textId="1E586C1A" w:rsidR="00B074CC" w:rsidRPr="00100601" w:rsidRDefault="00B074CC">
            <w:pPr>
              <w:numPr>
                <w:ilvl w:val="1"/>
                <w:numId w:val="20"/>
              </w:numPr>
              <w:rPr>
                <w:color w:val="000000" w:themeColor="text1"/>
                <w:sz w:val="20"/>
                <w:szCs w:val="24"/>
              </w:rPr>
            </w:pPr>
            <w:r w:rsidRPr="00100601">
              <w:rPr>
                <w:color w:val="000000" w:themeColor="text1"/>
                <w:sz w:val="20"/>
                <w:szCs w:val="24"/>
              </w:rPr>
              <w:t>registration change requests processed within 5 Working Days</w:t>
            </w:r>
          </w:p>
          <w:p w14:paraId="41421A9B" w14:textId="4137E9D4" w:rsidR="00B074CC" w:rsidRPr="00100601" w:rsidRDefault="00B074CC">
            <w:pPr>
              <w:numPr>
                <w:ilvl w:val="1"/>
                <w:numId w:val="20"/>
              </w:numPr>
              <w:rPr>
                <w:color w:val="000000" w:themeColor="text1"/>
                <w:sz w:val="20"/>
                <w:szCs w:val="24"/>
              </w:rPr>
            </w:pPr>
            <w:r w:rsidRPr="00100601">
              <w:rPr>
                <w:color w:val="000000" w:themeColor="text1"/>
                <w:sz w:val="20"/>
                <w:szCs w:val="24"/>
              </w:rPr>
              <w:t xml:space="preserve">ID cards issued within 5 Working Days </w:t>
            </w:r>
          </w:p>
          <w:p w14:paraId="4846EB13" w14:textId="77777777" w:rsidR="00CA1B14" w:rsidRPr="00100601" w:rsidRDefault="00CA1B14">
            <w:pPr>
              <w:numPr>
                <w:ilvl w:val="0"/>
                <w:numId w:val="32"/>
              </w:numPr>
              <w:rPr>
                <w:color w:val="000000" w:themeColor="text1"/>
                <w:sz w:val="20"/>
                <w:szCs w:val="24"/>
              </w:rPr>
            </w:pPr>
            <w:r w:rsidRPr="00100601">
              <w:rPr>
                <w:color w:val="000000" w:themeColor="text1"/>
                <w:sz w:val="20"/>
                <w:szCs w:val="24"/>
              </w:rPr>
              <w:t>During the months February and March, the number of:</w:t>
            </w:r>
          </w:p>
          <w:p w14:paraId="1AB582CD" w14:textId="659718E4" w:rsidR="00CA1B14" w:rsidRPr="00100601" w:rsidRDefault="00CA1B14">
            <w:pPr>
              <w:numPr>
                <w:ilvl w:val="1"/>
                <w:numId w:val="20"/>
              </w:numPr>
              <w:rPr>
                <w:color w:val="000000" w:themeColor="text1"/>
                <w:sz w:val="20"/>
                <w:szCs w:val="24"/>
              </w:rPr>
            </w:pPr>
            <w:r w:rsidRPr="00100601">
              <w:rPr>
                <w:color w:val="000000" w:themeColor="text1"/>
                <w:sz w:val="20"/>
                <w:szCs w:val="24"/>
              </w:rPr>
              <w:lastRenderedPageBreak/>
              <w:t xml:space="preserve">registration applications processed within 10 Working Days </w:t>
            </w:r>
          </w:p>
          <w:p w14:paraId="63E4D2A7" w14:textId="28326BDD" w:rsidR="00CA1B14" w:rsidRPr="00100601" w:rsidRDefault="00CA1B14">
            <w:pPr>
              <w:numPr>
                <w:ilvl w:val="1"/>
                <w:numId w:val="20"/>
              </w:numPr>
              <w:rPr>
                <w:color w:val="000000" w:themeColor="text1"/>
                <w:sz w:val="20"/>
                <w:szCs w:val="24"/>
              </w:rPr>
            </w:pPr>
            <w:r w:rsidRPr="00100601">
              <w:rPr>
                <w:color w:val="000000" w:themeColor="text1"/>
                <w:sz w:val="20"/>
                <w:szCs w:val="24"/>
              </w:rPr>
              <w:t>registration change requests processed within 10 Working Days</w:t>
            </w:r>
          </w:p>
          <w:p w14:paraId="1F2EFC3B" w14:textId="2DE6E5C0" w:rsidR="00CA1B14" w:rsidRPr="00100601" w:rsidRDefault="00CA1B14">
            <w:pPr>
              <w:numPr>
                <w:ilvl w:val="1"/>
                <w:numId w:val="20"/>
              </w:numPr>
              <w:rPr>
                <w:color w:val="000000" w:themeColor="text1"/>
                <w:sz w:val="20"/>
                <w:szCs w:val="24"/>
              </w:rPr>
            </w:pPr>
            <w:r w:rsidRPr="00100601">
              <w:rPr>
                <w:color w:val="000000" w:themeColor="text1"/>
                <w:sz w:val="20"/>
                <w:szCs w:val="24"/>
              </w:rPr>
              <w:t xml:space="preserve">ID cards issued within 10 Working Days </w:t>
            </w:r>
          </w:p>
          <w:p w14:paraId="20038F11" w14:textId="5A057A3A" w:rsidR="00B074CC" w:rsidRPr="00100601" w:rsidRDefault="00B074CC">
            <w:pPr>
              <w:numPr>
                <w:ilvl w:val="0"/>
                <w:numId w:val="32"/>
              </w:numPr>
              <w:rPr>
                <w:color w:val="000000" w:themeColor="text1"/>
                <w:sz w:val="20"/>
                <w:szCs w:val="24"/>
              </w:rPr>
            </w:pPr>
            <w:r w:rsidRPr="00100601">
              <w:rPr>
                <w:color w:val="000000" w:themeColor="text1"/>
                <w:sz w:val="20"/>
                <w:szCs w:val="24"/>
              </w:rPr>
              <w:t>Date and time application or registration change received</w:t>
            </w:r>
          </w:p>
        </w:tc>
      </w:tr>
      <w:tr w:rsidR="00B074CC" w:rsidRPr="001A1836" w14:paraId="2AB23AA2" w14:textId="77777777" w:rsidTr="004F1C82">
        <w:tc>
          <w:tcPr>
            <w:tcW w:w="2029" w:type="dxa"/>
            <w:shd w:val="clear" w:color="auto" w:fill="auto"/>
          </w:tcPr>
          <w:p w14:paraId="29B827B3" w14:textId="77777777" w:rsidR="00B074CC" w:rsidRPr="001A1836" w:rsidRDefault="00B074CC" w:rsidP="00626054">
            <w:pPr>
              <w:rPr>
                <w:sz w:val="20"/>
                <w:szCs w:val="24"/>
              </w:rPr>
            </w:pPr>
            <w:r w:rsidRPr="001A1836">
              <w:rPr>
                <w:sz w:val="20"/>
                <w:szCs w:val="24"/>
              </w:rPr>
              <w:lastRenderedPageBreak/>
              <w:t>Impact</w:t>
            </w:r>
          </w:p>
        </w:tc>
        <w:tc>
          <w:tcPr>
            <w:tcW w:w="6577" w:type="dxa"/>
            <w:gridSpan w:val="2"/>
            <w:shd w:val="clear" w:color="auto" w:fill="auto"/>
          </w:tcPr>
          <w:p w14:paraId="18D7D279" w14:textId="77777777" w:rsidR="00B074CC" w:rsidRPr="00100601" w:rsidRDefault="00B074CC" w:rsidP="00626054">
            <w:pPr>
              <w:rPr>
                <w:color w:val="000000" w:themeColor="text1"/>
                <w:sz w:val="20"/>
                <w:szCs w:val="24"/>
              </w:rPr>
            </w:pPr>
            <w:r w:rsidRPr="00100601">
              <w:rPr>
                <w:color w:val="000000" w:themeColor="text1"/>
                <w:sz w:val="20"/>
                <w:szCs w:val="24"/>
              </w:rPr>
              <w:t>Medium</w:t>
            </w:r>
          </w:p>
        </w:tc>
      </w:tr>
      <w:tr w:rsidR="00B074CC" w:rsidRPr="001A1836" w14:paraId="1DE94A60" w14:textId="77777777" w:rsidTr="004F1C82">
        <w:tc>
          <w:tcPr>
            <w:tcW w:w="2029" w:type="dxa"/>
            <w:shd w:val="clear" w:color="auto" w:fill="auto"/>
          </w:tcPr>
          <w:p w14:paraId="1280280E" w14:textId="77777777" w:rsidR="00B074CC" w:rsidRPr="001A1836" w:rsidRDefault="00B074CC" w:rsidP="00626054">
            <w:pPr>
              <w:rPr>
                <w:sz w:val="20"/>
                <w:szCs w:val="24"/>
              </w:rPr>
            </w:pPr>
            <w:r w:rsidRPr="001A1836">
              <w:rPr>
                <w:sz w:val="20"/>
                <w:szCs w:val="24"/>
              </w:rPr>
              <w:t>Criticality</w:t>
            </w:r>
          </w:p>
        </w:tc>
        <w:tc>
          <w:tcPr>
            <w:tcW w:w="6577" w:type="dxa"/>
            <w:gridSpan w:val="2"/>
            <w:shd w:val="clear" w:color="auto" w:fill="auto"/>
          </w:tcPr>
          <w:p w14:paraId="598D5456" w14:textId="77777777" w:rsidR="00B074CC" w:rsidRPr="00100601" w:rsidRDefault="00B074CC" w:rsidP="00626054">
            <w:pPr>
              <w:rPr>
                <w:color w:val="000000" w:themeColor="text1"/>
                <w:sz w:val="20"/>
                <w:szCs w:val="24"/>
              </w:rPr>
            </w:pPr>
            <w:r w:rsidRPr="00100601">
              <w:rPr>
                <w:color w:val="000000" w:themeColor="text1"/>
                <w:sz w:val="20"/>
                <w:szCs w:val="24"/>
              </w:rPr>
              <w:t>B</w:t>
            </w:r>
          </w:p>
        </w:tc>
      </w:tr>
      <w:tr w:rsidR="00B074CC" w:rsidRPr="001A1836" w14:paraId="5FD9C227" w14:textId="77777777" w:rsidTr="004F1C82">
        <w:tc>
          <w:tcPr>
            <w:tcW w:w="2029" w:type="dxa"/>
            <w:shd w:val="clear" w:color="auto" w:fill="auto"/>
          </w:tcPr>
          <w:p w14:paraId="19D70444" w14:textId="77777777" w:rsidR="00B074CC" w:rsidRPr="001A1836" w:rsidRDefault="00B074CC" w:rsidP="00626054">
            <w:pPr>
              <w:rPr>
                <w:sz w:val="20"/>
                <w:szCs w:val="24"/>
              </w:rPr>
            </w:pPr>
            <w:r w:rsidRPr="001A1836">
              <w:rPr>
                <w:sz w:val="20"/>
                <w:szCs w:val="24"/>
              </w:rPr>
              <w:t>Service Level Performance Measure</w:t>
            </w:r>
          </w:p>
        </w:tc>
        <w:tc>
          <w:tcPr>
            <w:tcW w:w="6577" w:type="dxa"/>
            <w:gridSpan w:val="2"/>
            <w:shd w:val="clear" w:color="auto" w:fill="auto"/>
          </w:tcPr>
          <w:p w14:paraId="108CA6AF" w14:textId="77777777" w:rsidR="00C72816" w:rsidRPr="00100601" w:rsidRDefault="00C72816" w:rsidP="00C72816">
            <w:pPr>
              <w:rPr>
                <w:color w:val="000000" w:themeColor="text1"/>
                <w:sz w:val="20"/>
                <w:szCs w:val="24"/>
              </w:rPr>
            </w:pPr>
            <w:bookmarkStart w:id="974" w:name="_cp_change_253"/>
            <w:r w:rsidRPr="00100601">
              <w:rPr>
                <w:color w:val="000000" w:themeColor="text1"/>
                <w:sz w:val="20"/>
                <w:szCs w:val="24"/>
                <w:u w:color="0000FF"/>
              </w:rPr>
              <w:t xml:space="preserve">Relief Period – 100% of applications and registration changes processed and ID cards </w:t>
            </w:r>
            <w:bookmarkStart w:id="975" w:name="_cp_change_257"/>
            <w:bookmarkEnd w:id="974"/>
            <w:r w:rsidRPr="00100601">
              <w:rPr>
                <w:color w:val="000000" w:themeColor="text1"/>
                <w:sz w:val="20"/>
                <w:szCs w:val="24"/>
                <w:u w:color="0000FF"/>
              </w:rPr>
              <w:t xml:space="preserve">issued within 10 Working Days </w:t>
            </w:r>
            <w:bookmarkStart w:id="976" w:name="_cp_change_256"/>
            <w:bookmarkEnd w:id="975"/>
          </w:p>
          <w:p w14:paraId="7EE34097" w14:textId="77777777" w:rsidR="00C72816" w:rsidRPr="00100601" w:rsidRDefault="00C72816" w:rsidP="00C72816">
            <w:pPr>
              <w:rPr>
                <w:color w:val="000000" w:themeColor="text1"/>
                <w:sz w:val="20"/>
                <w:szCs w:val="24"/>
              </w:rPr>
            </w:pPr>
            <w:bookmarkStart w:id="977" w:name="_cp_change_259"/>
            <w:bookmarkEnd w:id="976"/>
            <w:r w:rsidRPr="00100601">
              <w:rPr>
                <w:color w:val="000000" w:themeColor="text1"/>
                <w:sz w:val="20"/>
                <w:szCs w:val="24"/>
                <w:u w:color="0000FF"/>
              </w:rPr>
              <w:t>Thereafter;</w:t>
            </w:r>
            <w:bookmarkStart w:id="978" w:name="_cp_change_258"/>
            <w:bookmarkEnd w:id="977"/>
          </w:p>
          <w:bookmarkEnd w:id="978"/>
          <w:p w14:paraId="65ABA91B" w14:textId="7BE5F677" w:rsidR="00B074CC" w:rsidRPr="00100601" w:rsidRDefault="00B074CC" w:rsidP="00626054">
            <w:pPr>
              <w:rPr>
                <w:color w:val="000000" w:themeColor="text1"/>
                <w:sz w:val="20"/>
                <w:szCs w:val="24"/>
              </w:rPr>
            </w:pPr>
            <w:r w:rsidRPr="00100601">
              <w:rPr>
                <w:color w:val="000000" w:themeColor="text1"/>
                <w:sz w:val="20"/>
                <w:szCs w:val="24"/>
              </w:rPr>
              <w:t>100% of applications and registration changes processed and ID cards issued within 5 Working Days</w:t>
            </w:r>
            <w:r w:rsidR="004A4FBB" w:rsidRPr="00100601">
              <w:rPr>
                <w:color w:val="000000" w:themeColor="text1"/>
                <w:sz w:val="20"/>
                <w:szCs w:val="24"/>
              </w:rPr>
              <w:t xml:space="preserve"> for the months April to January</w:t>
            </w:r>
          </w:p>
          <w:p w14:paraId="68CB71CD" w14:textId="180E6C59" w:rsidR="004A4FBB" w:rsidRPr="00100601" w:rsidRDefault="004A4FBB" w:rsidP="00626054">
            <w:pPr>
              <w:rPr>
                <w:color w:val="000000" w:themeColor="text1"/>
                <w:sz w:val="20"/>
                <w:szCs w:val="24"/>
              </w:rPr>
            </w:pPr>
            <w:r w:rsidRPr="00100601">
              <w:rPr>
                <w:color w:val="000000" w:themeColor="text1"/>
                <w:sz w:val="20"/>
                <w:szCs w:val="24"/>
              </w:rPr>
              <w:t>100% of applications and registration changes processed and ID cards issued within 10 Working Days for the months February and March</w:t>
            </w:r>
          </w:p>
        </w:tc>
      </w:tr>
      <w:tr w:rsidR="00B074CC" w:rsidRPr="001A1836" w14:paraId="0C3FC1AC" w14:textId="77777777" w:rsidTr="004F1C82">
        <w:tc>
          <w:tcPr>
            <w:tcW w:w="2029" w:type="dxa"/>
            <w:shd w:val="clear" w:color="auto" w:fill="auto"/>
          </w:tcPr>
          <w:p w14:paraId="3FFA3599" w14:textId="77777777" w:rsidR="00B074CC" w:rsidRPr="001A1836" w:rsidRDefault="00B074CC" w:rsidP="00626054">
            <w:pPr>
              <w:rPr>
                <w:sz w:val="20"/>
                <w:szCs w:val="24"/>
              </w:rPr>
            </w:pPr>
          </w:p>
        </w:tc>
        <w:tc>
          <w:tcPr>
            <w:tcW w:w="4678" w:type="dxa"/>
            <w:shd w:val="clear" w:color="auto" w:fill="auto"/>
          </w:tcPr>
          <w:p w14:paraId="7CE709D7" w14:textId="77777777" w:rsidR="00B074CC" w:rsidRPr="00100601" w:rsidRDefault="00B074CC" w:rsidP="00626054">
            <w:pPr>
              <w:rPr>
                <w:b/>
                <w:color w:val="000000" w:themeColor="text1"/>
                <w:sz w:val="20"/>
                <w:szCs w:val="24"/>
              </w:rPr>
            </w:pPr>
            <w:r w:rsidRPr="00100601">
              <w:rPr>
                <w:b/>
                <w:color w:val="000000" w:themeColor="text1"/>
                <w:sz w:val="20"/>
                <w:szCs w:val="24"/>
              </w:rPr>
              <w:t>Service Level Performance Measure</w:t>
            </w:r>
          </w:p>
        </w:tc>
        <w:tc>
          <w:tcPr>
            <w:tcW w:w="1899" w:type="dxa"/>
            <w:shd w:val="clear" w:color="auto" w:fill="auto"/>
          </w:tcPr>
          <w:p w14:paraId="46718673" w14:textId="77777777" w:rsidR="00B074CC" w:rsidRPr="001A1836" w:rsidRDefault="00B074CC" w:rsidP="00626054">
            <w:pPr>
              <w:rPr>
                <w:b/>
                <w:sz w:val="20"/>
                <w:szCs w:val="24"/>
              </w:rPr>
            </w:pPr>
            <w:r w:rsidRPr="001A1836">
              <w:rPr>
                <w:b/>
                <w:sz w:val="20"/>
                <w:szCs w:val="24"/>
              </w:rPr>
              <w:t>Service points</w:t>
            </w:r>
          </w:p>
        </w:tc>
      </w:tr>
      <w:tr w:rsidR="00B074CC" w:rsidRPr="001A1836" w14:paraId="2E81B519" w14:textId="77777777" w:rsidTr="004F1C82">
        <w:tc>
          <w:tcPr>
            <w:tcW w:w="2029" w:type="dxa"/>
            <w:shd w:val="clear" w:color="auto" w:fill="auto"/>
          </w:tcPr>
          <w:p w14:paraId="04F59970" w14:textId="5CC81BE8" w:rsidR="00B074CC" w:rsidRPr="001A1836" w:rsidRDefault="00B074CC" w:rsidP="00626054">
            <w:pPr>
              <w:rPr>
                <w:sz w:val="20"/>
                <w:szCs w:val="24"/>
              </w:rPr>
            </w:pPr>
            <w:r w:rsidRPr="001A1836">
              <w:rPr>
                <w:sz w:val="20"/>
                <w:szCs w:val="24"/>
              </w:rPr>
              <w:t xml:space="preserve">Service </w:t>
            </w:r>
            <w:r w:rsidR="00747264" w:rsidRPr="001A1836">
              <w:rPr>
                <w:sz w:val="20"/>
                <w:szCs w:val="24"/>
              </w:rPr>
              <w:t>L</w:t>
            </w:r>
            <w:r w:rsidRPr="001A1836">
              <w:rPr>
                <w:sz w:val="20"/>
                <w:szCs w:val="24"/>
              </w:rPr>
              <w:t>evel met</w:t>
            </w:r>
          </w:p>
        </w:tc>
        <w:tc>
          <w:tcPr>
            <w:tcW w:w="4678" w:type="dxa"/>
            <w:shd w:val="clear" w:color="auto" w:fill="auto"/>
          </w:tcPr>
          <w:p w14:paraId="5D0C08C5" w14:textId="77777777" w:rsidR="00B074CC" w:rsidRPr="00100601" w:rsidRDefault="00B074CC" w:rsidP="00626054">
            <w:pPr>
              <w:rPr>
                <w:color w:val="000000" w:themeColor="text1"/>
                <w:sz w:val="20"/>
                <w:szCs w:val="24"/>
              </w:rPr>
            </w:pPr>
            <w:r w:rsidRPr="00100601">
              <w:rPr>
                <w:color w:val="000000" w:themeColor="text1"/>
                <w:sz w:val="20"/>
                <w:szCs w:val="24"/>
              </w:rPr>
              <w:t xml:space="preserve">100% </w:t>
            </w:r>
          </w:p>
        </w:tc>
        <w:tc>
          <w:tcPr>
            <w:tcW w:w="1899" w:type="dxa"/>
            <w:shd w:val="clear" w:color="auto" w:fill="auto"/>
          </w:tcPr>
          <w:p w14:paraId="31B9586A" w14:textId="77777777" w:rsidR="00B074CC" w:rsidRPr="001A1836" w:rsidRDefault="00B074CC" w:rsidP="00626054">
            <w:pPr>
              <w:rPr>
                <w:sz w:val="20"/>
                <w:szCs w:val="24"/>
              </w:rPr>
            </w:pPr>
            <w:r w:rsidRPr="001A1836">
              <w:rPr>
                <w:sz w:val="20"/>
                <w:szCs w:val="24"/>
              </w:rPr>
              <w:t>0</w:t>
            </w:r>
          </w:p>
        </w:tc>
      </w:tr>
      <w:tr w:rsidR="00B074CC" w:rsidRPr="001A1836" w14:paraId="19B0C40D" w14:textId="77777777" w:rsidTr="004F1C82">
        <w:tc>
          <w:tcPr>
            <w:tcW w:w="2029" w:type="dxa"/>
            <w:shd w:val="clear" w:color="auto" w:fill="auto"/>
          </w:tcPr>
          <w:p w14:paraId="410D4AB6" w14:textId="77777777" w:rsidR="00B074CC" w:rsidRPr="001A1836" w:rsidRDefault="00B074CC" w:rsidP="00626054">
            <w:pPr>
              <w:rPr>
                <w:sz w:val="20"/>
                <w:szCs w:val="24"/>
              </w:rPr>
            </w:pPr>
            <w:r w:rsidRPr="001A1836">
              <w:rPr>
                <w:sz w:val="20"/>
                <w:szCs w:val="24"/>
              </w:rPr>
              <w:t>Minor Service Level Failure</w:t>
            </w:r>
          </w:p>
        </w:tc>
        <w:tc>
          <w:tcPr>
            <w:tcW w:w="4678" w:type="dxa"/>
            <w:shd w:val="clear" w:color="auto" w:fill="auto"/>
          </w:tcPr>
          <w:p w14:paraId="35F7FEA9" w14:textId="77777777" w:rsidR="00B074CC" w:rsidRPr="00100601" w:rsidRDefault="00B074CC" w:rsidP="00626054">
            <w:pPr>
              <w:rPr>
                <w:color w:val="000000" w:themeColor="text1"/>
                <w:sz w:val="20"/>
                <w:szCs w:val="24"/>
              </w:rPr>
            </w:pPr>
            <w:r w:rsidRPr="00100601">
              <w:rPr>
                <w:color w:val="000000" w:themeColor="text1"/>
                <w:sz w:val="20"/>
                <w:szCs w:val="24"/>
              </w:rPr>
              <w:t>Less than 100% but greater than 98%</w:t>
            </w:r>
          </w:p>
        </w:tc>
        <w:tc>
          <w:tcPr>
            <w:tcW w:w="1899" w:type="dxa"/>
            <w:shd w:val="clear" w:color="auto" w:fill="auto"/>
          </w:tcPr>
          <w:p w14:paraId="05F16B5F" w14:textId="77777777" w:rsidR="00B074CC" w:rsidRPr="001A1836" w:rsidRDefault="00B074CC" w:rsidP="00626054">
            <w:pPr>
              <w:rPr>
                <w:sz w:val="20"/>
                <w:szCs w:val="24"/>
              </w:rPr>
            </w:pPr>
            <w:r w:rsidRPr="001A1836">
              <w:rPr>
                <w:sz w:val="20"/>
                <w:szCs w:val="24"/>
              </w:rPr>
              <w:t>1.0</w:t>
            </w:r>
          </w:p>
        </w:tc>
      </w:tr>
      <w:tr w:rsidR="00B074CC" w:rsidRPr="001A1836" w14:paraId="0B5A4261" w14:textId="77777777" w:rsidTr="004F1C82">
        <w:tc>
          <w:tcPr>
            <w:tcW w:w="2029" w:type="dxa"/>
            <w:shd w:val="clear" w:color="auto" w:fill="auto"/>
          </w:tcPr>
          <w:p w14:paraId="2D5DE477" w14:textId="77777777" w:rsidR="00B074CC" w:rsidRPr="001A1836" w:rsidRDefault="00B074CC" w:rsidP="00626054">
            <w:pPr>
              <w:rPr>
                <w:sz w:val="20"/>
                <w:szCs w:val="24"/>
              </w:rPr>
            </w:pPr>
            <w:r w:rsidRPr="001A1836">
              <w:rPr>
                <w:sz w:val="20"/>
                <w:szCs w:val="24"/>
              </w:rPr>
              <w:t>Moderate Service Level Failure</w:t>
            </w:r>
          </w:p>
        </w:tc>
        <w:tc>
          <w:tcPr>
            <w:tcW w:w="4678" w:type="dxa"/>
            <w:shd w:val="clear" w:color="auto" w:fill="auto"/>
          </w:tcPr>
          <w:p w14:paraId="0612767C" w14:textId="1B2428D5" w:rsidR="00B074CC" w:rsidRPr="00100601" w:rsidRDefault="00B074CC" w:rsidP="00626054">
            <w:pPr>
              <w:rPr>
                <w:color w:val="000000" w:themeColor="text1"/>
                <w:sz w:val="20"/>
                <w:szCs w:val="24"/>
              </w:rPr>
            </w:pPr>
            <w:r w:rsidRPr="00100601">
              <w:rPr>
                <w:color w:val="000000" w:themeColor="text1"/>
                <w:sz w:val="20"/>
                <w:szCs w:val="24"/>
              </w:rPr>
              <w:t xml:space="preserve">Between 95% and 98% </w:t>
            </w:r>
            <w:r w:rsidR="00EA4BD8" w:rsidRPr="00100601">
              <w:rPr>
                <w:color w:val="000000" w:themeColor="text1"/>
                <w:sz w:val="20"/>
                <w:szCs w:val="24"/>
              </w:rPr>
              <w:t>inclusive</w:t>
            </w:r>
          </w:p>
        </w:tc>
        <w:tc>
          <w:tcPr>
            <w:tcW w:w="1899" w:type="dxa"/>
            <w:shd w:val="clear" w:color="auto" w:fill="auto"/>
          </w:tcPr>
          <w:p w14:paraId="0D5830F1" w14:textId="77777777" w:rsidR="00B074CC" w:rsidRPr="001A1836" w:rsidRDefault="00B074CC" w:rsidP="00626054">
            <w:pPr>
              <w:rPr>
                <w:sz w:val="20"/>
                <w:szCs w:val="24"/>
              </w:rPr>
            </w:pPr>
            <w:r w:rsidRPr="001A1836">
              <w:rPr>
                <w:sz w:val="20"/>
                <w:szCs w:val="24"/>
              </w:rPr>
              <w:t>2.0</w:t>
            </w:r>
          </w:p>
        </w:tc>
      </w:tr>
      <w:tr w:rsidR="00B074CC" w:rsidRPr="001A1836" w14:paraId="78DC5B0D" w14:textId="77777777" w:rsidTr="004F1C82">
        <w:tc>
          <w:tcPr>
            <w:tcW w:w="2029" w:type="dxa"/>
            <w:shd w:val="clear" w:color="auto" w:fill="auto"/>
          </w:tcPr>
          <w:p w14:paraId="20B138E4" w14:textId="77777777" w:rsidR="00B074CC" w:rsidRPr="001A1836" w:rsidRDefault="00B074CC" w:rsidP="00626054">
            <w:pPr>
              <w:rPr>
                <w:sz w:val="20"/>
                <w:szCs w:val="24"/>
              </w:rPr>
            </w:pPr>
            <w:r w:rsidRPr="001A1836">
              <w:rPr>
                <w:sz w:val="20"/>
                <w:szCs w:val="24"/>
              </w:rPr>
              <w:t>Major Service Level Failure</w:t>
            </w:r>
          </w:p>
        </w:tc>
        <w:tc>
          <w:tcPr>
            <w:tcW w:w="4678" w:type="dxa"/>
            <w:shd w:val="clear" w:color="auto" w:fill="auto"/>
          </w:tcPr>
          <w:p w14:paraId="49E03867" w14:textId="77777777" w:rsidR="00B074CC" w:rsidRPr="00100601" w:rsidRDefault="00B074CC" w:rsidP="00626054">
            <w:pPr>
              <w:rPr>
                <w:color w:val="000000" w:themeColor="text1"/>
                <w:sz w:val="20"/>
                <w:szCs w:val="24"/>
              </w:rPr>
            </w:pPr>
            <w:r w:rsidRPr="00100601">
              <w:rPr>
                <w:color w:val="000000" w:themeColor="text1"/>
                <w:sz w:val="20"/>
                <w:szCs w:val="24"/>
              </w:rPr>
              <w:t xml:space="preserve">Less than 95% </w:t>
            </w:r>
          </w:p>
        </w:tc>
        <w:tc>
          <w:tcPr>
            <w:tcW w:w="1899" w:type="dxa"/>
            <w:shd w:val="clear" w:color="auto" w:fill="auto"/>
          </w:tcPr>
          <w:p w14:paraId="39E09C63" w14:textId="77777777" w:rsidR="00B074CC" w:rsidRPr="001A1836" w:rsidRDefault="00B074CC" w:rsidP="00626054">
            <w:pPr>
              <w:rPr>
                <w:sz w:val="20"/>
                <w:szCs w:val="24"/>
              </w:rPr>
            </w:pPr>
            <w:r w:rsidRPr="001A1836">
              <w:rPr>
                <w:sz w:val="20"/>
                <w:szCs w:val="24"/>
              </w:rPr>
              <w:t>3.0</w:t>
            </w:r>
          </w:p>
        </w:tc>
      </w:tr>
    </w:tbl>
    <w:p w14:paraId="389E00CD" w14:textId="77777777" w:rsidR="00B074CC" w:rsidRPr="001A1836" w:rsidRDefault="00B074CC" w:rsidP="00626054">
      <w:pPr>
        <w:spacing w:after="0"/>
        <w:rPr>
          <w:b/>
        </w:rPr>
      </w:pPr>
    </w:p>
    <w:bookmarkEnd w:id="765"/>
    <w:p w14:paraId="1C682982" w14:textId="77777777" w:rsidR="009064B4" w:rsidRPr="001A1836" w:rsidRDefault="009064B4" w:rsidP="009064B4"/>
    <w:p w14:paraId="2343B840" w14:textId="77777777" w:rsidR="00394111" w:rsidRPr="001A1836" w:rsidRDefault="00394111" w:rsidP="009064B4">
      <w:pPr>
        <w:pStyle w:val="GSRL1Scheduleheader"/>
        <w:sectPr w:rsidR="00394111" w:rsidRPr="001A1836" w:rsidSect="00F87B8D">
          <w:footerReference w:type="default" r:id="rId17"/>
          <w:pgSz w:w="11900" w:h="16840"/>
          <w:pgMar w:top="1134" w:right="1440" w:bottom="1440" w:left="1440" w:header="1077" w:footer="833" w:gutter="0"/>
          <w:cols w:space="708"/>
        </w:sectPr>
      </w:pPr>
    </w:p>
    <w:p w14:paraId="1089FCFC" w14:textId="5ABD17B7" w:rsidR="00B074CC" w:rsidRPr="001A1836" w:rsidRDefault="00B074CC" w:rsidP="009064B4">
      <w:pPr>
        <w:pStyle w:val="GSRL1Scheduleheader"/>
      </w:pPr>
      <w:bookmarkStart w:id="979" w:name="_Toc129038172"/>
      <w:bookmarkStart w:id="980" w:name="_Toc129038458"/>
      <w:bookmarkStart w:id="981" w:name="_Toc132268028"/>
      <w:bookmarkStart w:id="982" w:name="_Toc132268334"/>
      <w:bookmarkStart w:id="983" w:name="_Toc136198585"/>
      <w:bookmarkStart w:id="984" w:name="_Toc136198866"/>
      <w:bookmarkStart w:id="985" w:name="_Toc188885250"/>
      <w:r w:rsidRPr="001A1836">
        <w:lastRenderedPageBreak/>
        <w:t>SCHEDULE 4: C</w:t>
      </w:r>
      <w:r w:rsidR="004C2FF4" w:rsidRPr="001A1836">
        <w:t>harges</w:t>
      </w:r>
      <w:bookmarkEnd w:id="979"/>
      <w:bookmarkEnd w:id="980"/>
      <w:bookmarkEnd w:id="981"/>
      <w:bookmarkEnd w:id="982"/>
      <w:bookmarkEnd w:id="983"/>
      <w:bookmarkEnd w:id="984"/>
      <w:bookmarkEnd w:id="985"/>
    </w:p>
    <w:p w14:paraId="18BAFA7C" w14:textId="77777777" w:rsidR="00B074CC" w:rsidRPr="001A1836" w:rsidRDefault="00B074CC" w:rsidP="009064B4"/>
    <w:p w14:paraId="58281D98" w14:textId="4289660E" w:rsidR="00B074CC" w:rsidRPr="001A1836" w:rsidRDefault="00B074CC" w:rsidP="009064B4"/>
    <w:p w14:paraId="5DF9BDC8" w14:textId="77777777" w:rsidR="009064B4" w:rsidRPr="001A1836" w:rsidRDefault="009064B4">
      <w:pPr>
        <w:spacing w:before="0" w:after="0"/>
        <w:rPr>
          <w:rFonts w:eastAsia="STZhongsong" w:cs="Arial"/>
          <w:b/>
          <w:caps/>
          <w:kern w:val="0"/>
          <w:sz w:val="24"/>
          <w:szCs w:val="22"/>
          <w:lang w:eastAsia="zh-CN"/>
        </w:rPr>
      </w:pPr>
      <w:bookmarkStart w:id="986" w:name="_Toc521319342"/>
      <w:bookmarkStart w:id="987" w:name="_Toc521327004"/>
      <w:bookmarkStart w:id="988" w:name="_Toc521333237"/>
      <w:bookmarkStart w:id="989" w:name="_Toc521496797"/>
      <w:bookmarkStart w:id="990" w:name="_Toc521498239"/>
      <w:r w:rsidRPr="001A1836">
        <w:br w:type="page"/>
      </w:r>
    </w:p>
    <w:p w14:paraId="1604330D" w14:textId="0B47D66D" w:rsidR="00B074CC" w:rsidRPr="001A1836" w:rsidRDefault="00B074CC" w:rsidP="005E43DB">
      <w:pPr>
        <w:pStyle w:val="GSRL2Sectionheading"/>
      </w:pPr>
      <w:bookmarkStart w:id="991" w:name="_Toc129038173"/>
      <w:bookmarkStart w:id="992" w:name="_Toc129038459"/>
      <w:bookmarkStart w:id="993" w:name="_Toc132268029"/>
      <w:bookmarkStart w:id="994" w:name="_Toc132268335"/>
      <w:bookmarkStart w:id="995" w:name="_Toc136198586"/>
      <w:bookmarkStart w:id="996" w:name="_Toc136198867"/>
      <w:r w:rsidRPr="001A1836">
        <w:lastRenderedPageBreak/>
        <w:t>Contents</w:t>
      </w:r>
      <w:bookmarkEnd w:id="986"/>
      <w:bookmarkEnd w:id="987"/>
      <w:bookmarkEnd w:id="988"/>
      <w:bookmarkEnd w:id="989"/>
      <w:bookmarkEnd w:id="990"/>
      <w:bookmarkEnd w:id="991"/>
      <w:bookmarkEnd w:id="992"/>
      <w:bookmarkEnd w:id="993"/>
      <w:bookmarkEnd w:id="994"/>
      <w:bookmarkEnd w:id="995"/>
      <w:bookmarkEnd w:id="996"/>
    </w:p>
    <w:p w14:paraId="3A27439A" w14:textId="77777777" w:rsidR="00B074CC" w:rsidRPr="001A1836" w:rsidRDefault="00B074CC" w:rsidP="00626054"/>
    <w:p w14:paraId="23CD75E3" w14:textId="298116F9" w:rsidR="00152A89" w:rsidRDefault="0080172E" w:rsidP="001F3A00">
      <w:pPr>
        <w:pStyle w:val="TOC3"/>
        <w:rPr>
          <w:rFonts w:asciiTheme="minorHAnsi" w:eastAsiaTheme="minorEastAsia" w:hAnsiTheme="minorHAnsi" w:cstheme="minorBidi"/>
          <w:noProof/>
          <w:kern w:val="0"/>
          <w:szCs w:val="22"/>
          <w:lang w:eastAsia="en-GB"/>
        </w:rPr>
      </w:pPr>
      <w:r w:rsidRPr="001A1836">
        <w:rPr>
          <w:rFonts w:cs="Arial"/>
        </w:rPr>
        <w:fldChar w:fldCharType="begin"/>
      </w:r>
      <w:r w:rsidRPr="001A1836">
        <w:rPr>
          <w:rFonts w:cs="Arial"/>
        </w:rPr>
        <w:instrText xml:space="preserve"> TOC \b Schedule4 \* MERGEFORMAT </w:instrText>
      </w:r>
      <w:r w:rsidRPr="001A1836">
        <w:rPr>
          <w:rFonts w:cs="Arial"/>
        </w:rPr>
        <w:fldChar w:fldCharType="separate"/>
      </w:r>
      <w:r w:rsidR="00152A89" w:rsidRPr="000B5098">
        <w:rPr>
          <w:noProof/>
          <w:color w:val="000000"/>
        </w:rPr>
        <w:t>1.</w:t>
      </w:r>
      <w:r w:rsidR="00152A89">
        <w:rPr>
          <w:rFonts w:asciiTheme="minorHAnsi" w:eastAsiaTheme="minorEastAsia" w:hAnsiTheme="minorHAnsi" w:cstheme="minorBidi"/>
          <w:noProof/>
          <w:kern w:val="0"/>
          <w:szCs w:val="22"/>
          <w:lang w:eastAsia="en-GB"/>
        </w:rPr>
        <w:tab/>
      </w:r>
      <w:r w:rsidR="00152A89">
        <w:rPr>
          <w:noProof/>
        </w:rPr>
        <w:t xml:space="preserve">Overview </w:t>
      </w:r>
      <w:r w:rsidR="00152A89">
        <w:rPr>
          <w:noProof/>
        </w:rPr>
        <w:tab/>
      </w:r>
      <w:r w:rsidR="00152A89">
        <w:rPr>
          <w:noProof/>
        </w:rPr>
        <w:fldChar w:fldCharType="begin"/>
      </w:r>
      <w:r w:rsidR="00152A89">
        <w:rPr>
          <w:noProof/>
        </w:rPr>
        <w:instrText xml:space="preserve"> PAGEREF _Toc132099295 \h </w:instrText>
      </w:r>
      <w:r w:rsidR="00152A89">
        <w:rPr>
          <w:noProof/>
        </w:rPr>
      </w:r>
      <w:r w:rsidR="00152A89">
        <w:rPr>
          <w:noProof/>
        </w:rPr>
        <w:fldChar w:fldCharType="separate"/>
      </w:r>
      <w:r w:rsidR="00C87D85">
        <w:rPr>
          <w:noProof/>
        </w:rPr>
        <w:t>75</w:t>
      </w:r>
      <w:r w:rsidR="00152A89">
        <w:rPr>
          <w:noProof/>
        </w:rPr>
        <w:fldChar w:fldCharType="end"/>
      </w:r>
    </w:p>
    <w:p w14:paraId="1C303C17" w14:textId="394B9E21" w:rsidR="00152A89" w:rsidRDefault="00152A89" w:rsidP="001F3A00">
      <w:pPr>
        <w:pStyle w:val="TOC3"/>
        <w:rPr>
          <w:rFonts w:asciiTheme="minorHAnsi" w:eastAsiaTheme="minorEastAsia" w:hAnsiTheme="minorHAnsi" w:cstheme="minorBidi"/>
          <w:noProof/>
          <w:kern w:val="0"/>
          <w:szCs w:val="22"/>
          <w:lang w:eastAsia="en-GB"/>
        </w:rPr>
      </w:pPr>
      <w:r w:rsidRPr="000B5098">
        <w:rPr>
          <w:noProof/>
          <w:color w:val="000000"/>
        </w:rPr>
        <w:t>2.</w:t>
      </w:r>
      <w:r>
        <w:rPr>
          <w:rFonts w:asciiTheme="minorHAnsi" w:eastAsiaTheme="minorEastAsia" w:hAnsiTheme="minorHAnsi" w:cstheme="minorBidi"/>
          <w:noProof/>
          <w:kern w:val="0"/>
          <w:szCs w:val="22"/>
          <w:lang w:eastAsia="en-GB"/>
        </w:rPr>
        <w:tab/>
      </w:r>
      <w:r>
        <w:rPr>
          <w:noProof/>
        </w:rPr>
        <w:t>Concession Charges – General Principles</w:t>
      </w:r>
      <w:r>
        <w:rPr>
          <w:noProof/>
        </w:rPr>
        <w:tab/>
      </w:r>
      <w:r>
        <w:rPr>
          <w:noProof/>
        </w:rPr>
        <w:fldChar w:fldCharType="begin"/>
      </w:r>
      <w:r>
        <w:rPr>
          <w:noProof/>
        </w:rPr>
        <w:instrText xml:space="preserve"> PAGEREF _Toc132099296 \h </w:instrText>
      </w:r>
      <w:r>
        <w:rPr>
          <w:noProof/>
        </w:rPr>
      </w:r>
      <w:r>
        <w:rPr>
          <w:noProof/>
        </w:rPr>
        <w:fldChar w:fldCharType="separate"/>
      </w:r>
      <w:r w:rsidR="00C87D85">
        <w:rPr>
          <w:noProof/>
        </w:rPr>
        <w:t>75</w:t>
      </w:r>
      <w:r>
        <w:rPr>
          <w:noProof/>
        </w:rPr>
        <w:fldChar w:fldCharType="end"/>
      </w:r>
    </w:p>
    <w:p w14:paraId="017E01CC" w14:textId="485CD195" w:rsidR="00152A89" w:rsidRDefault="00152A89" w:rsidP="001F3A00">
      <w:pPr>
        <w:pStyle w:val="TOC3"/>
        <w:rPr>
          <w:rFonts w:asciiTheme="minorHAnsi" w:eastAsiaTheme="minorEastAsia" w:hAnsiTheme="minorHAnsi" w:cstheme="minorBidi"/>
          <w:noProof/>
          <w:kern w:val="0"/>
          <w:szCs w:val="22"/>
          <w:lang w:eastAsia="en-GB"/>
        </w:rPr>
      </w:pPr>
      <w:r w:rsidRPr="000B5098">
        <w:rPr>
          <w:noProof/>
          <w:color w:val="000000"/>
        </w:rPr>
        <w:t>3.</w:t>
      </w:r>
      <w:r>
        <w:rPr>
          <w:rFonts w:asciiTheme="minorHAnsi" w:eastAsiaTheme="minorEastAsia" w:hAnsiTheme="minorHAnsi" w:cstheme="minorBidi"/>
          <w:noProof/>
          <w:kern w:val="0"/>
          <w:szCs w:val="22"/>
          <w:lang w:eastAsia="en-GB"/>
        </w:rPr>
        <w:tab/>
      </w:r>
      <w:r>
        <w:rPr>
          <w:noProof/>
        </w:rPr>
        <w:t>Concession Charges to be Levied</w:t>
      </w:r>
      <w:r>
        <w:rPr>
          <w:noProof/>
        </w:rPr>
        <w:tab/>
      </w:r>
      <w:r>
        <w:rPr>
          <w:noProof/>
        </w:rPr>
        <w:fldChar w:fldCharType="begin"/>
      </w:r>
      <w:r>
        <w:rPr>
          <w:noProof/>
        </w:rPr>
        <w:instrText xml:space="preserve"> PAGEREF _Toc132099297 \h </w:instrText>
      </w:r>
      <w:r>
        <w:rPr>
          <w:noProof/>
        </w:rPr>
      </w:r>
      <w:r>
        <w:rPr>
          <w:noProof/>
        </w:rPr>
        <w:fldChar w:fldCharType="separate"/>
      </w:r>
      <w:r w:rsidR="00C87D85">
        <w:rPr>
          <w:noProof/>
        </w:rPr>
        <w:t>76</w:t>
      </w:r>
      <w:r>
        <w:rPr>
          <w:noProof/>
        </w:rPr>
        <w:fldChar w:fldCharType="end"/>
      </w:r>
    </w:p>
    <w:p w14:paraId="5A178E81" w14:textId="7589B120" w:rsidR="00152A89" w:rsidRDefault="00152A89" w:rsidP="001F3A00">
      <w:pPr>
        <w:pStyle w:val="TOC3"/>
        <w:rPr>
          <w:rFonts w:asciiTheme="minorHAnsi" w:eastAsiaTheme="minorEastAsia" w:hAnsiTheme="minorHAnsi" w:cstheme="minorBidi"/>
          <w:noProof/>
          <w:kern w:val="0"/>
          <w:szCs w:val="22"/>
          <w:lang w:eastAsia="en-GB"/>
        </w:rPr>
      </w:pPr>
      <w:r w:rsidRPr="000B5098">
        <w:rPr>
          <w:noProof/>
          <w:color w:val="000000"/>
        </w:rPr>
        <w:t>4.</w:t>
      </w:r>
      <w:r>
        <w:rPr>
          <w:rFonts w:asciiTheme="minorHAnsi" w:eastAsiaTheme="minorEastAsia" w:hAnsiTheme="minorHAnsi" w:cstheme="minorBidi"/>
          <w:noProof/>
          <w:kern w:val="0"/>
          <w:szCs w:val="22"/>
          <w:lang w:eastAsia="en-GB"/>
        </w:rPr>
        <w:tab/>
      </w:r>
      <w:r>
        <w:rPr>
          <w:noProof/>
        </w:rPr>
        <w:t>Indexation</w:t>
      </w:r>
      <w:r>
        <w:rPr>
          <w:noProof/>
        </w:rPr>
        <w:tab/>
      </w:r>
      <w:r>
        <w:rPr>
          <w:noProof/>
        </w:rPr>
        <w:fldChar w:fldCharType="begin"/>
      </w:r>
      <w:r>
        <w:rPr>
          <w:noProof/>
        </w:rPr>
        <w:instrText xml:space="preserve"> PAGEREF _Toc132099298 \h </w:instrText>
      </w:r>
      <w:r>
        <w:rPr>
          <w:noProof/>
        </w:rPr>
      </w:r>
      <w:r>
        <w:rPr>
          <w:noProof/>
        </w:rPr>
        <w:fldChar w:fldCharType="separate"/>
      </w:r>
      <w:r w:rsidR="00C87D85">
        <w:rPr>
          <w:noProof/>
        </w:rPr>
        <w:t>78</w:t>
      </w:r>
      <w:r>
        <w:rPr>
          <w:noProof/>
        </w:rPr>
        <w:fldChar w:fldCharType="end"/>
      </w:r>
    </w:p>
    <w:p w14:paraId="54C2C8D3" w14:textId="134C5D40" w:rsidR="00152A89" w:rsidRDefault="00152A89" w:rsidP="001F3A00">
      <w:pPr>
        <w:pStyle w:val="TOC3"/>
        <w:rPr>
          <w:rFonts w:asciiTheme="minorHAnsi" w:eastAsiaTheme="minorEastAsia" w:hAnsiTheme="minorHAnsi" w:cstheme="minorBidi"/>
          <w:noProof/>
          <w:kern w:val="0"/>
          <w:szCs w:val="22"/>
          <w:lang w:eastAsia="en-GB"/>
        </w:rPr>
      </w:pPr>
      <w:r w:rsidRPr="000B5098">
        <w:rPr>
          <w:noProof/>
          <w:color w:val="000000"/>
        </w:rPr>
        <w:t>5.</w:t>
      </w:r>
      <w:r>
        <w:rPr>
          <w:rFonts w:asciiTheme="minorHAnsi" w:eastAsiaTheme="minorEastAsia" w:hAnsiTheme="minorHAnsi" w:cstheme="minorBidi"/>
          <w:noProof/>
          <w:kern w:val="0"/>
          <w:szCs w:val="22"/>
          <w:lang w:eastAsia="en-GB"/>
        </w:rPr>
        <w:tab/>
      </w:r>
      <w:r>
        <w:rPr>
          <w:noProof/>
        </w:rPr>
        <w:t>HSE recovery of Outstanding Renewal Charges</w:t>
      </w:r>
      <w:r>
        <w:rPr>
          <w:noProof/>
        </w:rPr>
        <w:tab/>
      </w:r>
      <w:r>
        <w:rPr>
          <w:noProof/>
        </w:rPr>
        <w:fldChar w:fldCharType="begin"/>
      </w:r>
      <w:r>
        <w:rPr>
          <w:noProof/>
        </w:rPr>
        <w:instrText xml:space="preserve"> PAGEREF _Toc132099299 \h </w:instrText>
      </w:r>
      <w:r>
        <w:rPr>
          <w:noProof/>
        </w:rPr>
      </w:r>
      <w:r>
        <w:rPr>
          <w:noProof/>
        </w:rPr>
        <w:fldChar w:fldCharType="separate"/>
      </w:r>
      <w:r w:rsidR="00C87D85">
        <w:rPr>
          <w:noProof/>
        </w:rPr>
        <w:t>79</w:t>
      </w:r>
      <w:r>
        <w:rPr>
          <w:noProof/>
        </w:rPr>
        <w:fldChar w:fldCharType="end"/>
      </w:r>
    </w:p>
    <w:p w14:paraId="6DAD766A" w14:textId="407AD175" w:rsidR="00B074CC" w:rsidRPr="001A1836" w:rsidRDefault="0080172E" w:rsidP="0034159A">
      <w:r w:rsidRPr="001A1836">
        <w:rPr>
          <w:rFonts w:cs="Arial"/>
          <w:b/>
          <w:bCs/>
        </w:rPr>
        <w:fldChar w:fldCharType="end"/>
      </w:r>
      <w:r w:rsidR="00B074CC" w:rsidRPr="001A1836">
        <w:br w:type="page"/>
      </w:r>
      <w:bookmarkStart w:id="997" w:name="_Toc521319343"/>
      <w:bookmarkStart w:id="998" w:name="_Toc521327005"/>
      <w:bookmarkStart w:id="999" w:name="_Toc521333238"/>
      <w:bookmarkStart w:id="1000" w:name="_Toc521483985"/>
      <w:bookmarkStart w:id="1001" w:name="_Toc521484748"/>
      <w:bookmarkStart w:id="1002" w:name="_Toc521485079"/>
      <w:bookmarkStart w:id="1003" w:name="_Toc521485751"/>
      <w:bookmarkStart w:id="1004" w:name="_Toc521496798"/>
      <w:bookmarkStart w:id="1005" w:name="_Toc521498240"/>
      <w:bookmarkStart w:id="1006" w:name="_Toc129038174"/>
      <w:bookmarkStart w:id="1007" w:name="_Toc129038460"/>
      <w:bookmarkStart w:id="1008" w:name="_Toc132099295"/>
      <w:bookmarkStart w:id="1009" w:name="_Toc132268030"/>
      <w:bookmarkStart w:id="1010" w:name="_Toc132268336"/>
      <w:bookmarkStart w:id="1011" w:name="Schedule4"/>
      <w:r w:rsidR="00B074CC" w:rsidRPr="001A1836">
        <w:lastRenderedPageBreak/>
        <w:t>Overview</w:t>
      </w:r>
      <w:bookmarkEnd w:id="997"/>
      <w:bookmarkEnd w:id="998"/>
      <w:bookmarkEnd w:id="999"/>
      <w:bookmarkEnd w:id="1000"/>
      <w:bookmarkEnd w:id="1001"/>
      <w:bookmarkEnd w:id="1002"/>
      <w:bookmarkEnd w:id="1003"/>
      <w:bookmarkEnd w:id="1004"/>
      <w:bookmarkEnd w:id="1005"/>
      <w:r w:rsidR="00B074CC" w:rsidRPr="001A1836">
        <w:t xml:space="preserve"> </w:t>
      </w:r>
      <w:bookmarkEnd w:id="1006"/>
      <w:bookmarkEnd w:id="1007"/>
      <w:bookmarkEnd w:id="1008"/>
      <w:bookmarkEnd w:id="1009"/>
      <w:bookmarkEnd w:id="1010"/>
    </w:p>
    <w:p w14:paraId="32A4C3A2" w14:textId="77777777" w:rsidR="00B074CC" w:rsidRPr="001A1836" w:rsidRDefault="00B074CC" w:rsidP="004E2262">
      <w:pPr>
        <w:pStyle w:val="GSRL3heading"/>
        <w:numPr>
          <w:ilvl w:val="0"/>
          <w:numId w:val="97"/>
        </w:numPr>
      </w:pPr>
      <w:bookmarkStart w:id="1012" w:name="_Toc136198587"/>
      <w:bookmarkStart w:id="1013" w:name="_Toc136198868"/>
      <w:r w:rsidRPr="001A1836">
        <w:t>The purpose of this Schedule is to set out the provisions relating to and mechanisms for calculating:</w:t>
      </w:r>
      <w:bookmarkEnd w:id="1012"/>
      <w:bookmarkEnd w:id="1013"/>
      <w:r w:rsidRPr="001A1836">
        <w:t xml:space="preserve"> </w:t>
      </w:r>
    </w:p>
    <w:p w14:paraId="75F1F2E4" w14:textId="77777777" w:rsidR="00B074CC" w:rsidRPr="001A1836" w:rsidRDefault="00B074CC">
      <w:pPr>
        <w:pStyle w:val="GSRL5numberedclause"/>
      </w:pPr>
      <w:r w:rsidRPr="001A1836">
        <w:t xml:space="preserve">Concession Charges; </w:t>
      </w:r>
    </w:p>
    <w:p w14:paraId="5E001B3F" w14:textId="77777777" w:rsidR="00B074CC" w:rsidRPr="001A1836" w:rsidRDefault="00B074CC">
      <w:pPr>
        <w:pStyle w:val="GSRL5numberedclause"/>
      </w:pPr>
      <w:r w:rsidRPr="001A1836">
        <w:t xml:space="preserve">Indexation; </w:t>
      </w:r>
    </w:p>
    <w:p w14:paraId="45223AFE" w14:textId="77777777" w:rsidR="00B074CC" w:rsidRPr="001A1836" w:rsidRDefault="00B074CC">
      <w:pPr>
        <w:pStyle w:val="GSRL5numberedclause"/>
      </w:pPr>
      <w:r w:rsidRPr="001A1836">
        <w:t xml:space="preserve">HSE recovery of Outstanding Renewal Charges. </w:t>
      </w:r>
    </w:p>
    <w:p w14:paraId="4D3E0CD2" w14:textId="77777777" w:rsidR="00B074CC" w:rsidRPr="001A1836" w:rsidRDefault="00B074CC">
      <w:pPr>
        <w:pStyle w:val="GSRL3heading"/>
      </w:pPr>
      <w:bookmarkStart w:id="1014" w:name="_Toc521319344"/>
      <w:bookmarkStart w:id="1015" w:name="_Toc521327006"/>
      <w:bookmarkStart w:id="1016" w:name="_Toc521333239"/>
      <w:bookmarkStart w:id="1017" w:name="_Toc521483986"/>
      <w:bookmarkStart w:id="1018" w:name="_Toc521484749"/>
      <w:bookmarkStart w:id="1019" w:name="_Toc521485080"/>
      <w:bookmarkStart w:id="1020" w:name="_Toc521485752"/>
      <w:bookmarkStart w:id="1021" w:name="_Toc521496799"/>
      <w:bookmarkStart w:id="1022" w:name="_Toc521498241"/>
      <w:bookmarkStart w:id="1023" w:name="_Toc129038175"/>
      <w:bookmarkStart w:id="1024" w:name="_Toc129038461"/>
      <w:bookmarkStart w:id="1025" w:name="_Toc132099296"/>
      <w:bookmarkStart w:id="1026" w:name="_Toc132268031"/>
      <w:bookmarkStart w:id="1027" w:name="_Toc132268337"/>
      <w:bookmarkStart w:id="1028" w:name="_Toc136198588"/>
      <w:bookmarkStart w:id="1029" w:name="_Toc136198869"/>
      <w:r w:rsidRPr="001A1836">
        <w:t>Concession Charges – General Principles</w:t>
      </w:r>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p>
    <w:p w14:paraId="4CCCED7D" w14:textId="77777777" w:rsidR="004417D3" w:rsidRDefault="003D41EF">
      <w:pPr>
        <w:pStyle w:val="GSRL4numberedclause"/>
      </w:pPr>
      <w:r w:rsidRPr="001A1836">
        <w:t>With effect from the Services Start Date, t</w:t>
      </w:r>
      <w:r w:rsidR="00B074CC" w:rsidRPr="001A1836">
        <w:t>he Provider may levy the following charges on Businesses, approved third parties and Awarding Bodies, as appropriate:</w:t>
      </w:r>
    </w:p>
    <w:p w14:paraId="789A2642" w14:textId="77777777" w:rsidR="00B074CC" w:rsidRPr="005E6E66" w:rsidRDefault="00B074CC">
      <w:pPr>
        <w:pStyle w:val="GSRL5numberedclause"/>
      </w:pPr>
      <w:r w:rsidRPr="005E6E66">
        <w:t xml:space="preserve">the New Registration Charge: </w:t>
      </w:r>
    </w:p>
    <w:p w14:paraId="4CBAAD62" w14:textId="77777777" w:rsidR="00B074CC" w:rsidRPr="005E6E66" w:rsidRDefault="00B074CC">
      <w:pPr>
        <w:pStyle w:val="GSRL5numberedclause"/>
      </w:pPr>
      <w:r w:rsidRPr="005E6E66">
        <w:t>the Engineer Charge;</w:t>
      </w:r>
    </w:p>
    <w:p w14:paraId="309A68BC" w14:textId="77777777" w:rsidR="00B074CC" w:rsidRPr="005E6E66" w:rsidRDefault="00B074CC">
      <w:pPr>
        <w:pStyle w:val="GSRL5numberedclause"/>
      </w:pPr>
      <w:r w:rsidRPr="005E6E66">
        <w:t xml:space="preserve">the Business Renewal (Telephone &amp; Post) Charge; </w:t>
      </w:r>
    </w:p>
    <w:p w14:paraId="2EB0CFDC" w14:textId="77777777" w:rsidR="00B074CC" w:rsidRPr="005E6E66" w:rsidRDefault="00B074CC">
      <w:pPr>
        <w:pStyle w:val="GSRL5numberedclause"/>
      </w:pPr>
      <w:r w:rsidRPr="005E6E66">
        <w:t xml:space="preserve">the Business Renewal (Online) Charge; </w:t>
      </w:r>
    </w:p>
    <w:p w14:paraId="50230369" w14:textId="77777777" w:rsidR="00B074CC" w:rsidRPr="005E6E66" w:rsidRDefault="00B074CC">
      <w:pPr>
        <w:pStyle w:val="GSRL5numberedclause"/>
      </w:pPr>
      <w:r w:rsidRPr="005E6E66">
        <w:t>the Late Renewal Charge;</w:t>
      </w:r>
    </w:p>
    <w:p w14:paraId="6A46C0D6" w14:textId="77777777" w:rsidR="00B074CC" w:rsidRPr="005E6E66" w:rsidRDefault="00B074CC">
      <w:pPr>
        <w:pStyle w:val="GSRL5numberedclause"/>
      </w:pPr>
      <w:r w:rsidRPr="005E6E66">
        <w:t xml:space="preserve">the Notification of Work Under the Building Regulations (Telephone and Post) Charge; </w:t>
      </w:r>
    </w:p>
    <w:p w14:paraId="3760CEF3" w14:textId="77777777" w:rsidR="00B074CC" w:rsidRPr="005E6E66" w:rsidRDefault="00B074CC">
      <w:pPr>
        <w:pStyle w:val="GSRL5numberedclause"/>
      </w:pPr>
      <w:r w:rsidRPr="005E6E66">
        <w:t xml:space="preserve">the Notification of Work Under the Building Regulations (Online) Charge; </w:t>
      </w:r>
    </w:p>
    <w:p w14:paraId="17F007C3" w14:textId="77777777" w:rsidR="00B074CC" w:rsidRPr="005E6E66" w:rsidRDefault="00B074CC">
      <w:pPr>
        <w:pStyle w:val="GSRL5numberedclause"/>
      </w:pPr>
      <w:r w:rsidRPr="005E6E66">
        <w:t xml:space="preserve">the Notification of Work Under the Building Regulations (Third Party) Charge; </w:t>
      </w:r>
    </w:p>
    <w:p w14:paraId="6E668241" w14:textId="77777777" w:rsidR="00B074CC" w:rsidRPr="005E6E66" w:rsidRDefault="00B074CC">
      <w:pPr>
        <w:pStyle w:val="GSRL5numberedclause"/>
      </w:pPr>
      <w:r w:rsidRPr="005E6E66">
        <w:t>the Notification of Work Under the Building Regulations (Reprint) Charge;</w:t>
      </w:r>
    </w:p>
    <w:p w14:paraId="6D9FDD37" w14:textId="77777777" w:rsidR="00B074CC" w:rsidRPr="005E6E66" w:rsidRDefault="00B074CC">
      <w:pPr>
        <w:pStyle w:val="GSRL5numberedclause"/>
      </w:pPr>
      <w:r w:rsidRPr="005E6E66">
        <w:t xml:space="preserve">the ACS / Qualification Reporting Charge; </w:t>
      </w:r>
    </w:p>
    <w:p w14:paraId="28F66C83" w14:textId="429BC91D" w:rsidR="00B074CC" w:rsidRPr="005E6E66" w:rsidRDefault="00B074CC">
      <w:pPr>
        <w:pStyle w:val="GSRL5numberedclause"/>
      </w:pPr>
      <w:r w:rsidRPr="005E6E66">
        <w:t xml:space="preserve">the Lost Identity Card Charge; </w:t>
      </w:r>
    </w:p>
    <w:p w14:paraId="10AD95DD" w14:textId="6D7F3EDD" w:rsidR="00B074CC" w:rsidRPr="005E6E66" w:rsidRDefault="00B074CC">
      <w:pPr>
        <w:pStyle w:val="GSRL5numberedclause"/>
      </w:pPr>
      <w:r w:rsidRPr="005E6E66">
        <w:t>the Updated Identity Card Charge;</w:t>
      </w:r>
    </w:p>
    <w:p w14:paraId="4DFE7FE6" w14:textId="0FDE4BAA" w:rsidR="00A64E65" w:rsidRPr="005E6E66" w:rsidRDefault="004001A4">
      <w:pPr>
        <w:pStyle w:val="GSRL5numberedclause"/>
      </w:pPr>
      <w:r>
        <w:t>the Physical Identity Card Charge</w:t>
      </w:r>
    </w:p>
    <w:p w14:paraId="6E5B0291" w14:textId="002ED8F7" w:rsidR="00B074CC" w:rsidRPr="005E6E66" w:rsidRDefault="00B074CC">
      <w:pPr>
        <w:pStyle w:val="GSRL5numberedclause"/>
      </w:pPr>
      <w:r w:rsidRPr="005E6E66">
        <w:rPr>
          <w:color w:val="000000"/>
        </w:rPr>
        <w:t>Access to Standards – 1 year subscription fee for businesses with 1–5 registered engineers;</w:t>
      </w:r>
    </w:p>
    <w:p w14:paraId="185F1FC2" w14:textId="786B5B72" w:rsidR="005E6E66" w:rsidRPr="005E6E66" w:rsidRDefault="005E6E66">
      <w:pPr>
        <w:pStyle w:val="GSRL5numberedclause"/>
      </w:pPr>
      <w:r w:rsidRPr="005E6E66">
        <w:rPr>
          <w:color w:val="000000"/>
        </w:rPr>
        <w:t>Access to Standards – 1 year subscription fee for businesses with 6–10 registered engineers;</w:t>
      </w:r>
    </w:p>
    <w:p w14:paraId="347E793A" w14:textId="2DBC1115" w:rsidR="00B074CC" w:rsidRPr="005E6E66" w:rsidRDefault="00B074CC">
      <w:pPr>
        <w:pStyle w:val="GSRL5numberedclause"/>
      </w:pPr>
      <w:r w:rsidRPr="005E6E66">
        <w:rPr>
          <w:color w:val="000000"/>
        </w:rPr>
        <w:t>Access to Standards – 3 year subscription fee for businesses with 1–5 registered engineers;</w:t>
      </w:r>
      <w:r w:rsidR="00094E17">
        <w:rPr>
          <w:color w:val="000000"/>
        </w:rPr>
        <w:t xml:space="preserve"> and</w:t>
      </w:r>
    </w:p>
    <w:p w14:paraId="6519C633" w14:textId="2AC96258" w:rsidR="005E6E66" w:rsidRPr="005E6E66" w:rsidRDefault="005E6E66">
      <w:pPr>
        <w:pStyle w:val="GSRL5numberedclause"/>
      </w:pPr>
      <w:r w:rsidRPr="005E6E66">
        <w:rPr>
          <w:color w:val="000000"/>
        </w:rPr>
        <w:t>Access to Standards – 3 year subscription fee for businesses with 6–10 registered engineers</w:t>
      </w:r>
      <w:r w:rsidR="00340417">
        <w:rPr>
          <w:color w:val="000000"/>
        </w:rPr>
        <w:t>,</w:t>
      </w:r>
    </w:p>
    <w:p w14:paraId="36F8E1A6" w14:textId="77777777" w:rsidR="00B074CC" w:rsidRPr="001A1836" w:rsidRDefault="00B074CC" w:rsidP="00626054">
      <w:pPr>
        <w:ind w:left="720"/>
      </w:pPr>
      <w:r w:rsidRPr="001A1836">
        <w:t>together the "</w:t>
      </w:r>
      <w:r w:rsidRPr="001A1836">
        <w:rPr>
          <w:b/>
        </w:rPr>
        <w:t>Concession Charges</w:t>
      </w:r>
      <w:r w:rsidRPr="001A1836">
        <w:t xml:space="preserve">". </w:t>
      </w:r>
    </w:p>
    <w:p w14:paraId="04F55D13" w14:textId="77777777" w:rsidR="00B074CC" w:rsidRPr="001A1836" w:rsidRDefault="00B074CC">
      <w:pPr>
        <w:pStyle w:val="GSRL4numberedclause"/>
      </w:pPr>
      <w:r w:rsidRPr="001A1836">
        <w:t xml:space="preserve">The Provider shall not levy any charges other than the Concession Charges on any person in respect of the Concession Services without Approval in accordance with the Change Control Procedure. </w:t>
      </w:r>
    </w:p>
    <w:p w14:paraId="5400451E" w14:textId="77777777" w:rsidR="00B074CC" w:rsidRPr="001A1836" w:rsidRDefault="00B074CC">
      <w:pPr>
        <w:pStyle w:val="GSRL4numberedclause"/>
      </w:pPr>
      <w:r w:rsidRPr="001A1836">
        <w:t xml:space="preserve">All Concession Charges are expressed exclusive of value added tax, which shall be payable in addition at the prevailing rate. </w:t>
      </w:r>
    </w:p>
    <w:p w14:paraId="296877FA" w14:textId="77777777" w:rsidR="00B074CC" w:rsidRPr="001A1836" w:rsidRDefault="00B074CC">
      <w:pPr>
        <w:pStyle w:val="GSRL4numberedclause"/>
      </w:pPr>
      <w:r w:rsidRPr="001A1836">
        <w:lastRenderedPageBreak/>
        <w:t xml:space="preserve">The Provider may vary the Concession Charges in accordance with paragraph 4 of this Schedule 4 (Charges). </w:t>
      </w:r>
    </w:p>
    <w:p w14:paraId="27CF70C3" w14:textId="444F6ED1" w:rsidR="00B074CC" w:rsidRPr="001A1836" w:rsidRDefault="00B074CC">
      <w:pPr>
        <w:pStyle w:val="GSRL4numberedclause"/>
      </w:pPr>
      <w:r w:rsidRPr="001A1836">
        <w:t>The Provider shall put in place suitable arrangements with Awarding Bodies for the reporting of qualifications and the payment of the ACS</w:t>
      </w:r>
      <w:r w:rsidR="00A82E6C" w:rsidRPr="001A1836">
        <w:t xml:space="preserve"> / Qualification</w:t>
      </w:r>
      <w:r w:rsidRPr="001A1836">
        <w:t xml:space="preserve"> Reporting Charge. </w:t>
      </w:r>
    </w:p>
    <w:p w14:paraId="5C25B27E" w14:textId="6156323E" w:rsidR="00B074CC" w:rsidRPr="001A1836" w:rsidRDefault="00B074CC">
      <w:pPr>
        <w:pStyle w:val="GSRL4numberedclause"/>
      </w:pPr>
      <w:r w:rsidRPr="001A1836">
        <w:t>The Provider shall not refuse to include a Business or Engineer on the Register solely for the reason that an Awarding Body has not paid the appropriate ACS</w:t>
      </w:r>
      <w:r w:rsidR="00A82E6C" w:rsidRPr="001A1836">
        <w:t xml:space="preserve"> / Qualification</w:t>
      </w:r>
      <w:r w:rsidRPr="001A1836">
        <w:t xml:space="preserve"> Reporting Charge. </w:t>
      </w:r>
    </w:p>
    <w:p w14:paraId="2D3D7AD2" w14:textId="69B5AC71" w:rsidR="00B074CC" w:rsidRPr="001A1836" w:rsidRDefault="00B074CC">
      <w:pPr>
        <w:pStyle w:val="GSRL3heading"/>
      </w:pPr>
      <w:bookmarkStart w:id="1030" w:name="_Toc521319345"/>
      <w:bookmarkStart w:id="1031" w:name="_Toc521327007"/>
      <w:bookmarkStart w:id="1032" w:name="_Toc521333240"/>
      <w:bookmarkStart w:id="1033" w:name="_Toc521483987"/>
      <w:bookmarkStart w:id="1034" w:name="_Toc521484750"/>
      <w:bookmarkStart w:id="1035" w:name="_Toc521485081"/>
      <w:bookmarkStart w:id="1036" w:name="_Toc521485753"/>
      <w:bookmarkStart w:id="1037" w:name="_Toc521496800"/>
      <w:bookmarkStart w:id="1038" w:name="_Toc521498242"/>
      <w:bookmarkStart w:id="1039" w:name="_Toc129038176"/>
      <w:bookmarkStart w:id="1040" w:name="_Toc129038462"/>
      <w:bookmarkStart w:id="1041" w:name="_Toc132099297"/>
      <w:bookmarkStart w:id="1042" w:name="_Toc132268032"/>
      <w:bookmarkStart w:id="1043" w:name="_Toc132268338"/>
      <w:bookmarkStart w:id="1044" w:name="_Toc136198589"/>
      <w:bookmarkStart w:id="1045" w:name="_Toc136198870"/>
      <w:r w:rsidRPr="001A1836">
        <w:t>Concession Charges to be Levied</w:t>
      </w:r>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14:paraId="2A9D851C" w14:textId="77777777" w:rsidR="00B074CC" w:rsidRPr="001A1836" w:rsidRDefault="00B074CC">
      <w:pPr>
        <w:pStyle w:val="GSRL4numberedclause"/>
      </w:pPr>
      <w:r w:rsidRPr="001A1836">
        <w:t xml:space="preserve">Subject to paragraph 4, the maximum Concession Charges applicable for each Contract Year are set out in the table below. </w:t>
      </w:r>
    </w:p>
    <w:p w14:paraId="684C52A1" w14:textId="77777777" w:rsidR="00152A89" w:rsidRPr="001A1836" w:rsidRDefault="00152A89" w:rsidP="00626054">
      <w:pPr>
        <w:rPr>
          <w:b/>
        </w:rPr>
      </w:pPr>
    </w:p>
    <w:p w14:paraId="78084D33" w14:textId="75CD92A3" w:rsidR="00B074CC" w:rsidRPr="001A1836" w:rsidRDefault="00B074CC" w:rsidP="00626054">
      <w:r w:rsidRPr="001A1836">
        <w:rPr>
          <w:b/>
        </w:rPr>
        <w:t>Table 1</w:t>
      </w:r>
      <w:r w:rsidRPr="001A1836">
        <w:t xml:space="preserve"> Concession Charges</w:t>
      </w:r>
      <w:r w:rsidR="004D2007" w:rsidRPr="001A1836">
        <w:t xml:space="preserve"> £</w:t>
      </w:r>
      <w:r w:rsidRPr="001A183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4106"/>
        <w:gridCol w:w="980"/>
        <w:gridCol w:w="981"/>
        <w:gridCol w:w="981"/>
        <w:gridCol w:w="981"/>
        <w:gridCol w:w="981"/>
      </w:tblGrid>
      <w:tr w:rsidR="00B074CC" w:rsidRPr="001A1836" w14:paraId="34EF4F27" w14:textId="77777777" w:rsidTr="00811070">
        <w:trPr>
          <w:cantSplit/>
          <w:tblHeader/>
        </w:trPr>
        <w:tc>
          <w:tcPr>
            <w:tcW w:w="4106" w:type="dxa"/>
          </w:tcPr>
          <w:p w14:paraId="7186890C" w14:textId="77777777" w:rsidR="00B074CC" w:rsidRPr="001A1836" w:rsidRDefault="00B074CC" w:rsidP="00626054">
            <w:pPr>
              <w:autoSpaceDE w:val="0"/>
              <w:autoSpaceDN w:val="0"/>
              <w:adjustRightInd w:val="0"/>
              <w:spacing w:after="0"/>
              <w:rPr>
                <w:rFonts w:cs="Arial"/>
                <w:color w:val="000000"/>
              </w:rPr>
            </w:pPr>
          </w:p>
        </w:tc>
        <w:tc>
          <w:tcPr>
            <w:tcW w:w="980" w:type="dxa"/>
          </w:tcPr>
          <w:p w14:paraId="51448460" w14:textId="77777777" w:rsidR="00B074CC" w:rsidRPr="001A1836" w:rsidRDefault="00B074CC" w:rsidP="00457DA8">
            <w:pPr>
              <w:autoSpaceDE w:val="0"/>
              <w:autoSpaceDN w:val="0"/>
              <w:adjustRightInd w:val="0"/>
              <w:spacing w:after="0"/>
              <w:jc w:val="right"/>
              <w:rPr>
                <w:rFonts w:cs="Arial"/>
                <w:b/>
                <w:color w:val="000000"/>
              </w:rPr>
            </w:pPr>
            <w:r w:rsidRPr="001A1836">
              <w:rPr>
                <w:rFonts w:cs="Arial"/>
                <w:b/>
                <w:color w:val="000000"/>
              </w:rPr>
              <w:t>Year 1</w:t>
            </w:r>
          </w:p>
        </w:tc>
        <w:tc>
          <w:tcPr>
            <w:tcW w:w="981" w:type="dxa"/>
          </w:tcPr>
          <w:p w14:paraId="4C9729D2" w14:textId="77777777" w:rsidR="00B074CC" w:rsidRPr="001A1836" w:rsidRDefault="00B074CC" w:rsidP="00457DA8">
            <w:pPr>
              <w:autoSpaceDE w:val="0"/>
              <w:autoSpaceDN w:val="0"/>
              <w:adjustRightInd w:val="0"/>
              <w:spacing w:after="0"/>
              <w:jc w:val="right"/>
              <w:rPr>
                <w:rFonts w:cs="Arial"/>
                <w:b/>
                <w:color w:val="000000"/>
              </w:rPr>
            </w:pPr>
            <w:r w:rsidRPr="001A1836">
              <w:rPr>
                <w:rFonts w:cs="Arial"/>
                <w:b/>
                <w:color w:val="000000"/>
              </w:rPr>
              <w:t>Year 2</w:t>
            </w:r>
          </w:p>
        </w:tc>
        <w:tc>
          <w:tcPr>
            <w:tcW w:w="981" w:type="dxa"/>
          </w:tcPr>
          <w:p w14:paraId="5E2C3A0C" w14:textId="77777777" w:rsidR="00B074CC" w:rsidRPr="001A1836" w:rsidRDefault="00B074CC" w:rsidP="00457DA8">
            <w:pPr>
              <w:autoSpaceDE w:val="0"/>
              <w:autoSpaceDN w:val="0"/>
              <w:adjustRightInd w:val="0"/>
              <w:spacing w:after="0"/>
              <w:jc w:val="right"/>
              <w:rPr>
                <w:rFonts w:cs="Arial"/>
                <w:b/>
                <w:color w:val="000000"/>
              </w:rPr>
            </w:pPr>
            <w:r w:rsidRPr="001A1836">
              <w:rPr>
                <w:rFonts w:cs="Arial"/>
                <w:b/>
                <w:color w:val="000000"/>
              </w:rPr>
              <w:t>Year 3</w:t>
            </w:r>
          </w:p>
        </w:tc>
        <w:tc>
          <w:tcPr>
            <w:tcW w:w="981" w:type="dxa"/>
          </w:tcPr>
          <w:p w14:paraId="61BBD99D" w14:textId="77777777" w:rsidR="00B074CC" w:rsidRPr="001A1836" w:rsidRDefault="00B074CC" w:rsidP="00457DA8">
            <w:pPr>
              <w:autoSpaceDE w:val="0"/>
              <w:autoSpaceDN w:val="0"/>
              <w:adjustRightInd w:val="0"/>
              <w:spacing w:after="0"/>
              <w:jc w:val="right"/>
              <w:rPr>
                <w:rFonts w:cs="Arial"/>
                <w:b/>
                <w:color w:val="000000"/>
              </w:rPr>
            </w:pPr>
            <w:r w:rsidRPr="001A1836">
              <w:rPr>
                <w:rFonts w:cs="Arial"/>
                <w:b/>
                <w:color w:val="000000"/>
              </w:rPr>
              <w:t>Year 4</w:t>
            </w:r>
          </w:p>
        </w:tc>
        <w:tc>
          <w:tcPr>
            <w:tcW w:w="981" w:type="dxa"/>
          </w:tcPr>
          <w:p w14:paraId="7E985484" w14:textId="77777777" w:rsidR="00B074CC" w:rsidRPr="001A1836" w:rsidRDefault="00B074CC" w:rsidP="00457DA8">
            <w:pPr>
              <w:autoSpaceDE w:val="0"/>
              <w:autoSpaceDN w:val="0"/>
              <w:adjustRightInd w:val="0"/>
              <w:spacing w:after="0"/>
              <w:jc w:val="right"/>
              <w:rPr>
                <w:rFonts w:cs="Arial"/>
                <w:b/>
                <w:color w:val="000000"/>
              </w:rPr>
            </w:pPr>
            <w:r w:rsidRPr="001A1836">
              <w:rPr>
                <w:rFonts w:cs="Arial"/>
                <w:b/>
                <w:color w:val="000000"/>
              </w:rPr>
              <w:t>Year 5</w:t>
            </w:r>
          </w:p>
        </w:tc>
      </w:tr>
      <w:tr w:rsidR="00FE6896" w:rsidRPr="001A1836" w14:paraId="3B9989C4" w14:textId="77777777" w:rsidTr="005522DB">
        <w:trPr>
          <w:cantSplit/>
        </w:trPr>
        <w:tc>
          <w:tcPr>
            <w:tcW w:w="4106" w:type="dxa"/>
          </w:tcPr>
          <w:p w14:paraId="5BBC671B" w14:textId="77777777" w:rsidR="00FE6896" w:rsidRPr="001A1836" w:rsidRDefault="00FE6896" w:rsidP="00FE6896">
            <w:pPr>
              <w:autoSpaceDE w:val="0"/>
              <w:autoSpaceDN w:val="0"/>
              <w:adjustRightInd w:val="0"/>
              <w:spacing w:after="0"/>
              <w:rPr>
                <w:rFonts w:cs="Arial"/>
                <w:color w:val="000000"/>
              </w:rPr>
            </w:pPr>
            <w:r w:rsidRPr="001A1836">
              <w:rPr>
                <w:rFonts w:cs="Arial"/>
                <w:color w:val="000000"/>
              </w:rPr>
              <w:t>New Registration Charge</w:t>
            </w:r>
          </w:p>
        </w:tc>
        <w:tc>
          <w:tcPr>
            <w:tcW w:w="980" w:type="dxa"/>
            <w:tcBorders>
              <w:top w:val="nil"/>
              <w:left w:val="single" w:sz="8" w:space="0" w:color="auto"/>
              <w:bottom w:val="single" w:sz="8" w:space="0" w:color="auto"/>
              <w:right w:val="single" w:sz="8" w:space="0" w:color="auto"/>
            </w:tcBorders>
            <w:shd w:val="clear" w:color="auto" w:fill="auto"/>
            <w:vAlign w:val="center"/>
          </w:tcPr>
          <w:p w14:paraId="65CC4BC6" w14:textId="020A57CA" w:rsidR="00FE6896" w:rsidRPr="001A1836" w:rsidRDefault="00247876" w:rsidP="00FE6896">
            <w:pPr>
              <w:autoSpaceDE w:val="0"/>
              <w:autoSpaceDN w:val="0"/>
              <w:adjustRightInd w:val="0"/>
              <w:spacing w:after="0"/>
              <w:jc w:val="right"/>
              <w:rPr>
                <w:rFonts w:cs="Arial"/>
                <w:color w:val="000000"/>
              </w:rPr>
            </w:pPr>
            <w:r>
              <w:rPr>
                <w:rFonts w:cs="Arial"/>
                <w:color w:val="000000"/>
                <w:sz w:val="20"/>
              </w:rPr>
              <w:t>REDACTED</w:t>
            </w:r>
            <w:r w:rsidDel="001B788B">
              <w:rPr>
                <w:rFonts w:cs="Arial"/>
                <w:color w:val="000000"/>
                <w:szCs w:val="22"/>
              </w:rPr>
              <w:t xml:space="preserve"> </w:t>
            </w:r>
          </w:p>
        </w:tc>
        <w:tc>
          <w:tcPr>
            <w:tcW w:w="981" w:type="dxa"/>
            <w:tcBorders>
              <w:top w:val="nil"/>
              <w:left w:val="nil"/>
              <w:bottom w:val="single" w:sz="8" w:space="0" w:color="auto"/>
              <w:right w:val="single" w:sz="8" w:space="0" w:color="auto"/>
            </w:tcBorders>
            <w:shd w:val="clear" w:color="auto" w:fill="auto"/>
            <w:vAlign w:val="center"/>
          </w:tcPr>
          <w:p w14:paraId="6983EA61" w14:textId="61D6962E" w:rsidR="00FE6896" w:rsidRPr="001A1836" w:rsidRDefault="00247876" w:rsidP="00FE6896">
            <w:pPr>
              <w:autoSpaceDE w:val="0"/>
              <w:autoSpaceDN w:val="0"/>
              <w:adjustRightInd w:val="0"/>
              <w:spacing w:after="0"/>
              <w:jc w:val="right"/>
              <w:rPr>
                <w:rFonts w:cs="Arial"/>
                <w:color w:val="000000"/>
              </w:rPr>
            </w:pPr>
            <w:r>
              <w:rPr>
                <w:rFonts w:cs="Arial"/>
                <w:color w:val="000000"/>
                <w:sz w:val="20"/>
              </w:rPr>
              <w:t>REDACTED</w:t>
            </w:r>
            <w:r w:rsidDel="001B788B">
              <w:rPr>
                <w:rFonts w:cs="Arial"/>
                <w:color w:val="000000"/>
                <w:szCs w:val="22"/>
              </w:rPr>
              <w:t xml:space="preserve"> </w:t>
            </w:r>
          </w:p>
        </w:tc>
        <w:tc>
          <w:tcPr>
            <w:tcW w:w="981" w:type="dxa"/>
            <w:tcBorders>
              <w:top w:val="nil"/>
              <w:left w:val="nil"/>
              <w:bottom w:val="single" w:sz="8" w:space="0" w:color="auto"/>
              <w:right w:val="single" w:sz="8" w:space="0" w:color="auto"/>
            </w:tcBorders>
            <w:shd w:val="clear" w:color="auto" w:fill="auto"/>
            <w:vAlign w:val="center"/>
          </w:tcPr>
          <w:p w14:paraId="04C38A52" w14:textId="004C4C97" w:rsidR="00FE6896" w:rsidRPr="001A1836" w:rsidRDefault="00247876" w:rsidP="00FE6896">
            <w:pPr>
              <w:autoSpaceDE w:val="0"/>
              <w:autoSpaceDN w:val="0"/>
              <w:adjustRightInd w:val="0"/>
              <w:spacing w:after="0"/>
              <w:jc w:val="right"/>
              <w:rPr>
                <w:rFonts w:cs="Arial"/>
                <w:color w:val="000000"/>
              </w:rPr>
            </w:pPr>
            <w:r>
              <w:rPr>
                <w:rFonts w:cs="Arial"/>
                <w:color w:val="000000"/>
                <w:sz w:val="20"/>
              </w:rPr>
              <w:t>REDACTED</w:t>
            </w:r>
            <w:r w:rsidDel="001B788B">
              <w:rPr>
                <w:rFonts w:cs="Arial"/>
                <w:color w:val="000000"/>
                <w:szCs w:val="22"/>
              </w:rPr>
              <w:t xml:space="preserve"> </w:t>
            </w:r>
          </w:p>
        </w:tc>
        <w:tc>
          <w:tcPr>
            <w:tcW w:w="981" w:type="dxa"/>
            <w:tcBorders>
              <w:top w:val="nil"/>
              <w:left w:val="nil"/>
              <w:bottom w:val="single" w:sz="8" w:space="0" w:color="auto"/>
              <w:right w:val="single" w:sz="8" w:space="0" w:color="auto"/>
            </w:tcBorders>
            <w:shd w:val="clear" w:color="auto" w:fill="auto"/>
            <w:vAlign w:val="center"/>
          </w:tcPr>
          <w:p w14:paraId="5C9E21A9" w14:textId="0A22FA3A" w:rsidR="00FE6896" w:rsidRPr="001A1836" w:rsidRDefault="00247876" w:rsidP="00FE6896">
            <w:pPr>
              <w:autoSpaceDE w:val="0"/>
              <w:autoSpaceDN w:val="0"/>
              <w:adjustRightInd w:val="0"/>
              <w:spacing w:after="0"/>
              <w:jc w:val="right"/>
              <w:rPr>
                <w:rFonts w:cs="Arial"/>
                <w:color w:val="000000"/>
              </w:rPr>
            </w:pPr>
            <w:r>
              <w:rPr>
                <w:rFonts w:cs="Arial"/>
                <w:color w:val="000000"/>
                <w:sz w:val="20"/>
              </w:rPr>
              <w:t>REDACTED</w:t>
            </w:r>
            <w:r w:rsidDel="001B788B">
              <w:rPr>
                <w:rFonts w:cs="Arial"/>
                <w:color w:val="000000"/>
                <w:szCs w:val="22"/>
              </w:rPr>
              <w:t xml:space="preserve"> </w:t>
            </w:r>
          </w:p>
        </w:tc>
        <w:tc>
          <w:tcPr>
            <w:tcW w:w="981" w:type="dxa"/>
            <w:tcBorders>
              <w:top w:val="nil"/>
              <w:left w:val="nil"/>
              <w:bottom w:val="single" w:sz="8" w:space="0" w:color="auto"/>
              <w:right w:val="single" w:sz="8" w:space="0" w:color="auto"/>
            </w:tcBorders>
            <w:shd w:val="clear" w:color="auto" w:fill="auto"/>
            <w:vAlign w:val="center"/>
          </w:tcPr>
          <w:p w14:paraId="397E413D" w14:textId="7AE62D7A" w:rsidR="00FE6896" w:rsidRPr="001A1836" w:rsidRDefault="00247876" w:rsidP="00FE6896">
            <w:pPr>
              <w:autoSpaceDE w:val="0"/>
              <w:autoSpaceDN w:val="0"/>
              <w:adjustRightInd w:val="0"/>
              <w:spacing w:after="0"/>
              <w:jc w:val="right"/>
              <w:rPr>
                <w:rFonts w:cs="Arial"/>
                <w:color w:val="000000"/>
              </w:rPr>
            </w:pPr>
            <w:r>
              <w:rPr>
                <w:rFonts w:cs="Arial"/>
                <w:color w:val="000000"/>
                <w:sz w:val="20"/>
              </w:rPr>
              <w:t>REDACTED</w:t>
            </w:r>
            <w:r w:rsidDel="001B788B">
              <w:rPr>
                <w:rFonts w:cs="Arial"/>
                <w:color w:val="000000"/>
                <w:szCs w:val="22"/>
              </w:rPr>
              <w:t xml:space="preserve"> </w:t>
            </w:r>
          </w:p>
        </w:tc>
      </w:tr>
      <w:tr w:rsidR="00247876" w:rsidRPr="001A1836" w14:paraId="34499398" w14:textId="77777777" w:rsidTr="00247876">
        <w:trPr>
          <w:cantSplit/>
        </w:trPr>
        <w:tc>
          <w:tcPr>
            <w:tcW w:w="4106" w:type="dxa"/>
          </w:tcPr>
          <w:p w14:paraId="0C46FE6C" w14:textId="77777777" w:rsidR="00247876" w:rsidRPr="001A1836" w:rsidRDefault="00247876" w:rsidP="00247876">
            <w:pPr>
              <w:autoSpaceDE w:val="0"/>
              <w:autoSpaceDN w:val="0"/>
              <w:adjustRightInd w:val="0"/>
              <w:spacing w:after="0"/>
              <w:rPr>
                <w:rFonts w:cs="Arial"/>
                <w:color w:val="000000"/>
              </w:rPr>
            </w:pPr>
            <w:r w:rsidRPr="001A1836">
              <w:rPr>
                <w:rFonts w:cs="Arial"/>
                <w:color w:val="000000"/>
              </w:rPr>
              <w:t>Engineer Charge</w:t>
            </w:r>
          </w:p>
        </w:tc>
        <w:tc>
          <w:tcPr>
            <w:tcW w:w="980" w:type="dxa"/>
            <w:tcBorders>
              <w:top w:val="nil"/>
              <w:left w:val="single" w:sz="8" w:space="0" w:color="auto"/>
              <w:bottom w:val="single" w:sz="8" w:space="0" w:color="auto"/>
              <w:right w:val="single" w:sz="8" w:space="0" w:color="auto"/>
            </w:tcBorders>
            <w:shd w:val="clear" w:color="auto" w:fill="auto"/>
          </w:tcPr>
          <w:p w14:paraId="1A9B1D06" w14:textId="6B6BA88E" w:rsidR="00247876" w:rsidRPr="001A1836"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4BB533F7" w14:textId="1C2E3B43" w:rsidR="00247876" w:rsidRPr="001A1836"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01975AD5" w14:textId="34A42D91" w:rsidR="00247876" w:rsidRPr="001A1836"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26845786" w14:textId="1974DE4F" w:rsidR="00247876" w:rsidRPr="001A1836"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3E1E87B9" w14:textId="33812CE1" w:rsidR="00247876" w:rsidRPr="001A1836"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r>
      <w:tr w:rsidR="00247876" w:rsidRPr="001A1836" w14:paraId="5774074D" w14:textId="77777777" w:rsidTr="00247876">
        <w:trPr>
          <w:cantSplit/>
        </w:trPr>
        <w:tc>
          <w:tcPr>
            <w:tcW w:w="4106" w:type="dxa"/>
          </w:tcPr>
          <w:p w14:paraId="05B0060A" w14:textId="77777777" w:rsidR="00247876" w:rsidRPr="001A1836" w:rsidRDefault="00247876" w:rsidP="00247876">
            <w:pPr>
              <w:autoSpaceDE w:val="0"/>
              <w:autoSpaceDN w:val="0"/>
              <w:adjustRightInd w:val="0"/>
              <w:spacing w:after="0"/>
              <w:rPr>
                <w:rFonts w:cs="Arial"/>
                <w:color w:val="000000"/>
              </w:rPr>
            </w:pPr>
            <w:r w:rsidRPr="001A1836">
              <w:rPr>
                <w:rFonts w:cs="Arial"/>
                <w:color w:val="000000"/>
              </w:rPr>
              <w:t xml:space="preserve">Business Renewal (Telephone &amp; Post) Charge </w:t>
            </w:r>
          </w:p>
        </w:tc>
        <w:tc>
          <w:tcPr>
            <w:tcW w:w="980" w:type="dxa"/>
            <w:tcBorders>
              <w:top w:val="nil"/>
              <w:left w:val="single" w:sz="8" w:space="0" w:color="auto"/>
              <w:bottom w:val="single" w:sz="8" w:space="0" w:color="auto"/>
              <w:right w:val="single" w:sz="8" w:space="0" w:color="auto"/>
            </w:tcBorders>
            <w:shd w:val="clear" w:color="auto" w:fill="auto"/>
          </w:tcPr>
          <w:p w14:paraId="4CE45C9D" w14:textId="7DA385B5" w:rsidR="00247876" w:rsidRPr="001A1836"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6FC1C89A" w14:textId="054D6605" w:rsidR="00247876" w:rsidRPr="001A1836"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7839A66A" w14:textId="054F8BA3" w:rsidR="00247876" w:rsidRPr="001A1836"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56B2350E" w14:textId="57AC9A12" w:rsidR="00247876" w:rsidRPr="001A1836"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0DAA405E" w14:textId="139F84AD" w:rsidR="00247876" w:rsidRPr="001A1836"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r>
      <w:tr w:rsidR="00247876" w:rsidRPr="001A1836" w14:paraId="2E8A46DD" w14:textId="77777777" w:rsidTr="00247876">
        <w:trPr>
          <w:cantSplit/>
        </w:trPr>
        <w:tc>
          <w:tcPr>
            <w:tcW w:w="4106" w:type="dxa"/>
          </w:tcPr>
          <w:p w14:paraId="1948F4CF" w14:textId="77777777" w:rsidR="00247876" w:rsidRPr="001A1836" w:rsidRDefault="00247876" w:rsidP="00247876">
            <w:pPr>
              <w:autoSpaceDE w:val="0"/>
              <w:autoSpaceDN w:val="0"/>
              <w:adjustRightInd w:val="0"/>
              <w:spacing w:after="0"/>
              <w:rPr>
                <w:rFonts w:cs="Arial"/>
                <w:color w:val="000000"/>
              </w:rPr>
            </w:pPr>
            <w:r w:rsidRPr="001A1836">
              <w:rPr>
                <w:rFonts w:cs="Arial"/>
                <w:color w:val="000000"/>
              </w:rPr>
              <w:t xml:space="preserve">Business Renewal (Online) Charge </w:t>
            </w:r>
          </w:p>
        </w:tc>
        <w:tc>
          <w:tcPr>
            <w:tcW w:w="980" w:type="dxa"/>
            <w:tcBorders>
              <w:top w:val="nil"/>
              <w:left w:val="single" w:sz="8" w:space="0" w:color="auto"/>
              <w:bottom w:val="single" w:sz="8" w:space="0" w:color="auto"/>
              <w:right w:val="single" w:sz="8" w:space="0" w:color="auto"/>
            </w:tcBorders>
            <w:shd w:val="clear" w:color="auto" w:fill="auto"/>
          </w:tcPr>
          <w:p w14:paraId="1EE468E4" w14:textId="69B1960B" w:rsidR="00247876" w:rsidRPr="001A1836"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3B98B571" w14:textId="5CD622D9" w:rsidR="00247876" w:rsidRPr="001A1836"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6C7575E2" w14:textId="1E03CC88" w:rsidR="00247876" w:rsidRPr="001A1836"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71384407" w14:textId="12CA2DE3" w:rsidR="00247876" w:rsidRPr="001A1836"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1696B429" w14:textId="714F24F2" w:rsidR="00247876" w:rsidRPr="001A1836"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r>
      <w:tr w:rsidR="00247876" w:rsidRPr="001A1836" w14:paraId="46FB0EE6" w14:textId="77777777" w:rsidTr="00247876">
        <w:trPr>
          <w:cantSplit/>
        </w:trPr>
        <w:tc>
          <w:tcPr>
            <w:tcW w:w="4106" w:type="dxa"/>
          </w:tcPr>
          <w:p w14:paraId="09CD4815" w14:textId="77777777" w:rsidR="00247876" w:rsidRPr="001A1836" w:rsidRDefault="00247876" w:rsidP="00247876">
            <w:pPr>
              <w:autoSpaceDE w:val="0"/>
              <w:autoSpaceDN w:val="0"/>
              <w:adjustRightInd w:val="0"/>
              <w:spacing w:after="0"/>
              <w:rPr>
                <w:rFonts w:cs="Arial"/>
                <w:color w:val="000000"/>
              </w:rPr>
            </w:pPr>
            <w:r w:rsidRPr="001A1836">
              <w:rPr>
                <w:rFonts w:cs="Arial"/>
                <w:color w:val="000000"/>
              </w:rPr>
              <w:t>Late Renewal Charge</w:t>
            </w:r>
          </w:p>
        </w:tc>
        <w:tc>
          <w:tcPr>
            <w:tcW w:w="980" w:type="dxa"/>
            <w:tcBorders>
              <w:top w:val="nil"/>
              <w:left w:val="single" w:sz="8" w:space="0" w:color="auto"/>
              <w:bottom w:val="single" w:sz="8" w:space="0" w:color="auto"/>
              <w:right w:val="single" w:sz="8" w:space="0" w:color="auto"/>
            </w:tcBorders>
            <w:shd w:val="clear" w:color="auto" w:fill="auto"/>
          </w:tcPr>
          <w:p w14:paraId="2352FF29" w14:textId="04493CB2" w:rsidR="00247876" w:rsidRPr="001A1836" w:rsidDel="0066715D"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42137DD8" w14:textId="08AA37FB" w:rsidR="00247876" w:rsidRPr="001A1836" w:rsidDel="0066715D"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00CF98EC" w14:textId="05325E52" w:rsidR="00247876" w:rsidRPr="001A1836" w:rsidDel="0066715D"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372A33DB" w14:textId="785923DC" w:rsidR="00247876" w:rsidRPr="001A1836" w:rsidDel="0066715D"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69143325" w14:textId="0EC1B858" w:rsidR="00247876" w:rsidRPr="001A1836" w:rsidDel="0066715D"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r>
      <w:tr w:rsidR="00247876" w:rsidRPr="001A1836" w14:paraId="3DB9D9C9" w14:textId="77777777" w:rsidTr="00247876">
        <w:trPr>
          <w:cantSplit/>
        </w:trPr>
        <w:tc>
          <w:tcPr>
            <w:tcW w:w="4106" w:type="dxa"/>
          </w:tcPr>
          <w:p w14:paraId="28775C15" w14:textId="77777777" w:rsidR="00247876" w:rsidRPr="001A1836" w:rsidRDefault="00247876" w:rsidP="00247876">
            <w:pPr>
              <w:autoSpaceDE w:val="0"/>
              <w:autoSpaceDN w:val="0"/>
              <w:adjustRightInd w:val="0"/>
              <w:spacing w:after="0"/>
              <w:rPr>
                <w:rFonts w:cs="Arial"/>
                <w:color w:val="000000"/>
              </w:rPr>
            </w:pPr>
            <w:r w:rsidRPr="001A1836">
              <w:rPr>
                <w:rFonts w:cs="Arial"/>
                <w:color w:val="000000"/>
              </w:rPr>
              <w:t xml:space="preserve">Notification of Work Under the Building Regulations (Telephone &amp; Post) Charge </w:t>
            </w:r>
          </w:p>
        </w:tc>
        <w:tc>
          <w:tcPr>
            <w:tcW w:w="980" w:type="dxa"/>
            <w:tcBorders>
              <w:top w:val="nil"/>
              <w:left w:val="single" w:sz="8" w:space="0" w:color="auto"/>
              <w:bottom w:val="single" w:sz="8" w:space="0" w:color="auto"/>
              <w:right w:val="single" w:sz="8" w:space="0" w:color="auto"/>
            </w:tcBorders>
            <w:shd w:val="clear" w:color="auto" w:fill="auto"/>
          </w:tcPr>
          <w:p w14:paraId="061452E5" w14:textId="38C9C08A" w:rsidR="00247876" w:rsidRPr="001A1836"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54BCD6AF" w14:textId="2EEC4D4B" w:rsidR="00247876" w:rsidRPr="001A1836"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6B84D9F4" w14:textId="3A5E03F3" w:rsidR="00247876" w:rsidRPr="001A1836"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62AA526F" w14:textId="43CA429D" w:rsidR="00247876" w:rsidRPr="001A1836"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3B2962A3" w14:textId="416A69DC" w:rsidR="00247876" w:rsidRPr="001A1836"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r>
      <w:tr w:rsidR="00247876" w:rsidRPr="001A1836" w14:paraId="1DFEC038" w14:textId="77777777" w:rsidTr="00247876">
        <w:trPr>
          <w:cantSplit/>
        </w:trPr>
        <w:tc>
          <w:tcPr>
            <w:tcW w:w="4106" w:type="dxa"/>
          </w:tcPr>
          <w:p w14:paraId="1DE4D44E" w14:textId="77777777" w:rsidR="00247876" w:rsidRPr="001A1836" w:rsidRDefault="00247876" w:rsidP="00247876">
            <w:pPr>
              <w:autoSpaceDE w:val="0"/>
              <w:autoSpaceDN w:val="0"/>
              <w:adjustRightInd w:val="0"/>
              <w:spacing w:after="0"/>
              <w:rPr>
                <w:rFonts w:cs="Arial"/>
                <w:color w:val="000000"/>
              </w:rPr>
            </w:pPr>
            <w:r w:rsidRPr="001A1836">
              <w:rPr>
                <w:rFonts w:cs="Arial"/>
                <w:color w:val="000000"/>
              </w:rPr>
              <w:t xml:space="preserve">Notification of Work Under the Building Regulations (Online) Charge </w:t>
            </w:r>
          </w:p>
        </w:tc>
        <w:tc>
          <w:tcPr>
            <w:tcW w:w="980" w:type="dxa"/>
            <w:tcBorders>
              <w:top w:val="nil"/>
              <w:left w:val="single" w:sz="8" w:space="0" w:color="auto"/>
              <w:bottom w:val="single" w:sz="8" w:space="0" w:color="auto"/>
              <w:right w:val="single" w:sz="8" w:space="0" w:color="auto"/>
            </w:tcBorders>
            <w:shd w:val="clear" w:color="auto" w:fill="auto"/>
          </w:tcPr>
          <w:p w14:paraId="6EB17778" w14:textId="2A6BFB2F" w:rsidR="00247876" w:rsidRPr="001A1836"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29412D35" w14:textId="0B9000E3" w:rsidR="00247876" w:rsidRPr="001A1836"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44701269" w14:textId="2E7EAA88" w:rsidR="00247876" w:rsidRPr="001A1836"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1A7F1CEA" w14:textId="4C60E15F" w:rsidR="00247876" w:rsidRPr="001A1836"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1984FD86" w14:textId="3BB2DBAB" w:rsidR="00247876" w:rsidRPr="001A1836"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r>
      <w:tr w:rsidR="00247876" w:rsidRPr="001A1836" w14:paraId="571B236F" w14:textId="77777777" w:rsidTr="00247876">
        <w:trPr>
          <w:cantSplit/>
        </w:trPr>
        <w:tc>
          <w:tcPr>
            <w:tcW w:w="4106" w:type="dxa"/>
          </w:tcPr>
          <w:p w14:paraId="5120E335" w14:textId="77777777" w:rsidR="00247876" w:rsidRPr="001A1836" w:rsidRDefault="00247876" w:rsidP="00247876">
            <w:pPr>
              <w:autoSpaceDE w:val="0"/>
              <w:autoSpaceDN w:val="0"/>
              <w:adjustRightInd w:val="0"/>
              <w:spacing w:after="0"/>
              <w:rPr>
                <w:rFonts w:cs="Arial"/>
                <w:color w:val="000000"/>
              </w:rPr>
            </w:pPr>
            <w:r w:rsidRPr="001A1836">
              <w:rPr>
                <w:rFonts w:cs="Arial"/>
                <w:color w:val="000000"/>
              </w:rPr>
              <w:t>Notification of Work Under the Building Regulations (Third Party) Charge</w:t>
            </w:r>
          </w:p>
        </w:tc>
        <w:tc>
          <w:tcPr>
            <w:tcW w:w="980" w:type="dxa"/>
            <w:tcBorders>
              <w:top w:val="nil"/>
              <w:left w:val="single" w:sz="8" w:space="0" w:color="auto"/>
              <w:bottom w:val="single" w:sz="8" w:space="0" w:color="auto"/>
              <w:right w:val="single" w:sz="8" w:space="0" w:color="auto"/>
            </w:tcBorders>
            <w:shd w:val="clear" w:color="auto" w:fill="auto"/>
          </w:tcPr>
          <w:p w14:paraId="75B9514D" w14:textId="57A20703" w:rsidR="00247876" w:rsidRPr="001A1836"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6170EA23" w14:textId="7DF3DA66" w:rsidR="00247876" w:rsidRPr="001A1836"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43D32199" w14:textId="0F0E72DE" w:rsidR="00247876" w:rsidRPr="001A1836"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15BCBF1B" w14:textId="38597335" w:rsidR="00247876" w:rsidRPr="001A1836"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04FC1E18" w14:textId="5AA599CF" w:rsidR="00247876" w:rsidRPr="001A1836"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r>
      <w:tr w:rsidR="00247876" w:rsidRPr="001A1836" w14:paraId="18257B71" w14:textId="77777777" w:rsidTr="00247876">
        <w:trPr>
          <w:cantSplit/>
        </w:trPr>
        <w:tc>
          <w:tcPr>
            <w:tcW w:w="4106" w:type="dxa"/>
          </w:tcPr>
          <w:p w14:paraId="472B3350" w14:textId="77777777" w:rsidR="00247876" w:rsidRPr="001A1836" w:rsidDel="003151A3" w:rsidRDefault="00247876" w:rsidP="00247876">
            <w:pPr>
              <w:autoSpaceDE w:val="0"/>
              <w:autoSpaceDN w:val="0"/>
              <w:adjustRightInd w:val="0"/>
              <w:spacing w:after="0"/>
              <w:rPr>
                <w:rFonts w:cs="Arial"/>
                <w:color w:val="000000"/>
              </w:rPr>
            </w:pPr>
            <w:r w:rsidRPr="001A1836">
              <w:rPr>
                <w:rFonts w:cs="Arial"/>
                <w:color w:val="000000"/>
              </w:rPr>
              <w:t xml:space="preserve">Notification of Work Under the Building Regulations (reprint) Charge </w:t>
            </w:r>
          </w:p>
        </w:tc>
        <w:tc>
          <w:tcPr>
            <w:tcW w:w="980" w:type="dxa"/>
            <w:tcBorders>
              <w:top w:val="nil"/>
              <w:left w:val="single" w:sz="8" w:space="0" w:color="auto"/>
              <w:bottom w:val="single" w:sz="8" w:space="0" w:color="auto"/>
              <w:right w:val="single" w:sz="8" w:space="0" w:color="auto"/>
            </w:tcBorders>
            <w:shd w:val="clear" w:color="auto" w:fill="auto"/>
          </w:tcPr>
          <w:p w14:paraId="5F5C63AB" w14:textId="1E0A8713" w:rsidR="00247876" w:rsidRPr="001A1836" w:rsidDel="0066715D"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76688EA1" w14:textId="14EC9475" w:rsidR="00247876" w:rsidRPr="001A1836" w:rsidDel="0066715D"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2434ABD4" w14:textId="53081AF4" w:rsidR="00247876" w:rsidRPr="001A1836" w:rsidDel="0066715D"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13B0A8E1" w14:textId="78FEE34C" w:rsidR="00247876" w:rsidRPr="001A1836" w:rsidDel="0066715D"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7B4B7070" w14:textId="6562C096" w:rsidR="00247876" w:rsidRPr="001A1836" w:rsidDel="0066715D"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r>
      <w:tr w:rsidR="00247876" w:rsidRPr="001A1836" w14:paraId="4E7B2BA6" w14:textId="77777777" w:rsidTr="00247876">
        <w:trPr>
          <w:cantSplit/>
        </w:trPr>
        <w:tc>
          <w:tcPr>
            <w:tcW w:w="4106" w:type="dxa"/>
          </w:tcPr>
          <w:p w14:paraId="70FD502D" w14:textId="77777777" w:rsidR="00247876" w:rsidRPr="001A1836" w:rsidRDefault="00247876" w:rsidP="00247876">
            <w:pPr>
              <w:autoSpaceDE w:val="0"/>
              <w:autoSpaceDN w:val="0"/>
              <w:adjustRightInd w:val="0"/>
              <w:spacing w:after="0"/>
              <w:rPr>
                <w:rFonts w:cs="Arial"/>
                <w:color w:val="000000"/>
              </w:rPr>
            </w:pPr>
            <w:r w:rsidRPr="001A1836">
              <w:rPr>
                <w:rFonts w:cs="Arial"/>
                <w:color w:val="000000"/>
              </w:rPr>
              <w:t xml:space="preserve">ACS / Qualification Reporting Charge </w:t>
            </w:r>
          </w:p>
        </w:tc>
        <w:tc>
          <w:tcPr>
            <w:tcW w:w="980" w:type="dxa"/>
            <w:tcBorders>
              <w:top w:val="nil"/>
              <w:left w:val="single" w:sz="8" w:space="0" w:color="auto"/>
              <w:bottom w:val="single" w:sz="8" w:space="0" w:color="auto"/>
              <w:right w:val="single" w:sz="8" w:space="0" w:color="auto"/>
            </w:tcBorders>
            <w:shd w:val="clear" w:color="auto" w:fill="auto"/>
          </w:tcPr>
          <w:p w14:paraId="40F9BC0B" w14:textId="18831C93" w:rsidR="00247876" w:rsidRPr="001A1836"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47AFC8D6" w14:textId="78EC0452" w:rsidR="00247876" w:rsidRPr="001A1836"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3DB8A796" w14:textId="116EC497" w:rsidR="00247876" w:rsidRPr="001A1836"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70020A45" w14:textId="61787FA3" w:rsidR="00247876" w:rsidRPr="001A1836"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1950DEAC" w14:textId="66C5858D" w:rsidR="00247876" w:rsidRPr="001A1836"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r>
      <w:tr w:rsidR="00247876" w:rsidRPr="001A1836" w14:paraId="55BA807B" w14:textId="77777777" w:rsidTr="00247876">
        <w:trPr>
          <w:cantSplit/>
        </w:trPr>
        <w:tc>
          <w:tcPr>
            <w:tcW w:w="4106" w:type="dxa"/>
          </w:tcPr>
          <w:p w14:paraId="66465DDD" w14:textId="77777777" w:rsidR="00247876" w:rsidRPr="001A1836" w:rsidRDefault="00247876" w:rsidP="00247876">
            <w:pPr>
              <w:autoSpaceDE w:val="0"/>
              <w:autoSpaceDN w:val="0"/>
              <w:adjustRightInd w:val="0"/>
              <w:spacing w:after="0"/>
              <w:rPr>
                <w:rFonts w:cs="Arial"/>
                <w:color w:val="000000"/>
              </w:rPr>
            </w:pPr>
            <w:r w:rsidRPr="001A1836">
              <w:rPr>
                <w:rFonts w:cs="Arial"/>
                <w:color w:val="000000"/>
              </w:rPr>
              <w:t xml:space="preserve">Lost Identity Card Charge </w:t>
            </w:r>
          </w:p>
        </w:tc>
        <w:tc>
          <w:tcPr>
            <w:tcW w:w="980" w:type="dxa"/>
            <w:tcBorders>
              <w:top w:val="nil"/>
              <w:left w:val="single" w:sz="8" w:space="0" w:color="auto"/>
              <w:bottom w:val="single" w:sz="8" w:space="0" w:color="auto"/>
              <w:right w:val="single" w:sz="8" w:space="0" w:color="auto"/>
            </w:tcBorders>
            <w:shd w:val="clear" w:color="auto" w:fill="auto"/>
          </w:tcPr>
          <w:p w14:paraId="348BC9F7" w14:textId="42A15D4C" w:rsidR="00247876" w:rsidRPr="001A1836"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71CFEB09" w14:textId="4384F5BD" w:rsidR="00247876" w:rsidRPr="001A1836"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50789E19" w14:textId="5ED4384A" w:rsidR="00247876" w:rsidRPr="001A1836"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3E55F93A" w14:textId="0E80468D" w:rsidR="00247876" w:rsidRPr="001A1836"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0346FF3D" w14:textId="6A1F56A1" w:rsidR="00247876" w:rsidRPr="001A1836"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r>
      <w:tr w:rsidR="00247876" w:rsidRPr="001A1836" w14:paraId="75CBF893" w14:textId="77777777" w:rsidTr="00247876">
        <w:trPr>
          <w:cantSplit/>
        </w:trPr>
        <w:tc>
          <w:tcPr>
            <w:tcW w:w="4106" w:type="dxa"/>
          </w:tcPr>
          <w:p w14:paraId="6EDFC6CD" w14:textId="77777777" w:rsidR="00247876" w:rsidRPr="001A1836" w:rsidRDefault="00247876" w:rsidP="00247876">
            <w:pPr>
              <w:autoSpaceDE w:val="0"/>
              <w:autoSpaceDN w:val="0"/>
              <w:adjustRightInd w:val="0"/>
              <w:spacing w:after="0"/>
              <w:rPr>
                <w:rFonts w:cs="Arial"/>
                <w:color w:val="000000"/>
              </w:rPr>
            </w:pPr>
            <w:r w:rsidRPr="001A1836">
              <w:rPr>
                <w:rFonts w:cs="Arial"/>
                <w:color w:val="000000"/>
              </w:rPr>
              <w:t xml:space="preserve">Updated Identity Card Charge </w:t>
            </w:r>
          </w:p>
        </w:tc>
        <w:tc>
          <w:tcPr>
            <w:tcW w:w="980" w:type="dxa"/>
            <w:tcBorders>
              <w:top w:val="nil"/>
              <w:left w:val="single" w:sz="8" w:space="0" w:color="auto"/>
              <w:bottom w:val="single" w:sz="8" w:space="0" w:color="auto"/>
              <w:right w:val="single" w:sz="8" w:space="0" w:color="auto"/>
            </w:tcBorders>
            <w:shd w:val="clear" w:color="auto" w:fill="auto"/>
          </w:tcPr>
          <w:p w14:paraId="19DA8855" w14:textId="4F4B3C4C" w:rsidR="00247876" w:rsidRPr="001A1836"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6FACE10B" w14:textId="14551956" w:rsidR="00247876" w:rsidRPr="001A1836"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56425DBA" w14:textId="1FB9B709" w:rsidR="00247876" w:rsidRPr="001A1836"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4B1296CA" w14:textId="32AF8FFD" w:rsidR="00247876" w:rsidRPr="001A1836"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232FA4A4" w14:textId="1433ADD6" w:rsidR="00247876" w:rsidRPr="001A1836"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r>
      <w:tr w:rsidR="00247876" w:rsidRPr="001A1836" w14:paraId="52337CE6" w14:textId="77777777" w:rsidTr="00247876">
        <w:trPr>
          <w:cantSplit/>
        </w:trPr>
        <w:tc>
          <w:tcPr>
            <w:tcW w:w="4106" w:type="dxa"/>
          </w:tcPr>
          <w:p w14:paraId="6410DDF8" w14:textId="0631067F" w:rsidR="00247876" w:rsidRPr="001A1836" w:rsidRDefault="00247876" w:rsidP="00247876">
            <w:pPr>
              <w:autoSpaceDE w:val="0"/>
              <w:autoSpaceDN w:val="0"/>
              <w:adjustRightInd w:val="0"/>
              <w:spacing w:after="0"/>
              <w:rPr>
                <w:rFonts w:cs="Arial"/>
                <w:color w:val="000000"/>
              </w:rPr>
            </w:pPr>
            <w:r w:rsidRPr="08E06F43">
              <w:rPr>
                <w:rFonts w:cs="Arial"/>
                <w:color w:val="000000" w:themeColor="text1"/>
              </w:rPr>
              <w:t>Physical Identity Card Charge **</w:t>
            </w:r>
          </w:p>
        </w:tc>
        <w:tc>
          <w:tcPr>
            <w:tcW w:w="980" w:type="dxa"/>
            <w:tcBorders>
              <w:top w:val="nil"/>
              <w:left w:val="single" w:sz="8" w:space="0" w:color="auto"/>
              <w:bottom w:val="single" w:sz="8" w:space="0" w:color="auto"/>
              <w:right w:val="single" w:sz="8" w:space="0" w:color="auto"/>
            </w:tcBorders>
            <w:shd w:val="clear" w:color="auto" w:fill="auto"/>
          </w:tcPr>
          <w:p w14:paraId="76206941" w14:textId="1DA0A4D0" w:rsidR="00247876" w:rsidRPr="000956D6"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5472CD9C" w14:textId="36DF90A3" w:rsidR="00247876" w:rsidRPr="000956D6"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5346C232" w14:textId="39BC8539" w:rsidR="00247876" w:rsidRPr="000956D6"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5C94E0EA" w14:textId="104FA48A" w:rsidR="00247876" w:rsidRPr="000956D6"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5685484C" w14:textId="5A680AE3" w:rsidR="00247876" w:rsidRPr="000956D6"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r>
      <w:tr w:rsidR="00247876" w:rsidRPr="001A1836" w14:paraId="37629B55" w14:textId="77777777" w:rsidTr="00247876">
        <w:trPr>
          <w:cantSplit/>
        </w:trPr>
        <w:tc>
          <w:tcPr>
            <w:tcW w:w="4106" w:type="dxa"/>
          </w:tcPr>
          <w:p w14:paraId="2D0C06CE" w14:textId="122BC5C2" w:rsidR="00247876" w:rsidRPr="001A1836" w:rsidRDefault="00247876" w:rsidP="00247876">
            <w:pPr>
              <w:autoSpaceDE w:val="0"/>
              <w:autoSpaceDN w:val="0"/>
              <w:adjustRightInd w:val="0"/>
              <w:spacing w:after="0"/>
              <w:rPr>
                <w:rFonts w:cs="Arial"/>
                <w:color w:val="000000"/>
              </w:rPr>
            </w:pPr>
            <w:r w:rsidRPr="001A1836">
              <w:rPr>
                <w:rFonts w:cs="Arial"/>
                <w:color w:val="000000"/>
              </w:rPr>
              <w:lastRenderedPageBreak/>
              <w:t xml:space="preserve">Access to Standards – 1 year subscription fee </w:t>
            </w:r>
            <w:r>
              <w:rPr>
                <w:rFonts w:cs="Arial"/>
                <w:color w:val="000000"/>
              </w:rPr>
              <w:t>(1 to 5 Engineers)</w:t>
            </w:r>
          </w:p>
        </w:tc>
        <w:tc>
          <w:tcPr>
            <w:tcW w:w="980" w:type="dxa"/>
            <w:tcBorders>
              <w:top w:val="nil"/>
              <w:left w:val="single" w:sz="8" w:space="0" w:color="auto"/>
              <w:bottom w:val="single" w:sz="8" w:space="0" w:color="auto"/>
              <w:right w:val="single" w:sz="8" w:space="0" w:color="auto"/>
            </w:tcBorders>
            <w:shd w:val="clear" w:color="auto" w:fill="auto"/>
          </w:tcPr>
          <w:p w14:paraId="416DD9CA" w14:textId="64768E9D" w:rsidR="00247876" w:rsidRPr="001A1836"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2E48E2C4" w14:textId="334A094F" w:rsidR="00247876" w:rsidRPr="001A1836"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3D303E83" w14:textId="3A53E13C" w:rsidR="00247876" w:rsidRPr="001A1836"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7EDB021A" w14:textId="3EF483DA" w:rsidR="00247876" w:rsidRPr="001A1836"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32EC8978" w14:textId="45731FDB" w:rsidR="00247876" w:rsidRPr="001A1836"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r>
      <w:tr w:rsidR="00247876" w:rsidRPr="001A1836" w14:paraId="0AF1C8A1" w14:textId="77777777" w:rsidTr="00247876">
        <w:trPr>
          <w:cantSplit/>
        </w:trPr>
        <w:tc>
          <w:tcPr>
            <w:tcW w:w="4106" w:type="dxa"/>
          </w:tcPr>
          <w:p w14:paraId="52A2F844" w14:textId="629CAD1C" w:rsidR="00247876" w:rsidRPr="001A1836" w:rsidRDefault="00247876" w:rsidP="00247876">
            <w:pPr>
              <w:autoSpaceDE w:val="0"/>
              <w:autoSpaceDN w:val="0"/>
              <w:adjustRightInd w:val="0"/>
              <w:spacing w:after="0"/>
              <w:rPr>
                <w:rFonts w:cs="Arial"/>
                <w:color w:val="000000"/>
              </w:rPr>
            </w:pPr>
            <w:r w:rsidRPr="001A1836">
              <w:rPr>
                <w:rFonts w:cs="Arial"/>
                <w:color w:val="000000"/>
              </w:rPr>
              <w:t>Access to Standards – 1 year subscription fee</w:t>
            </w:r>
            <w:r>
              <w:rPr>
                <w:rFonts w:cs="Arial"/>
                <w:color w:val="000000"/>
              </w:rPr>
              <w:t xml:space="preserve"> (6 to 10 Engineers)</w:t>
            </w:r>
          </w:p>
        </w:tc>
        <w:tc>
          <w:tcPr>
            <w:tcW w:w="980" w:type="dxa"/>
            <w:tcBorders>
              <w:top w:val="nil"/>
              <w:left w:val="single" w:sz="8" w:space="0" w:color="auto"/>
              <w:bottom w:val="single" w:sz="8" w:space="0" w:color="auto"/>
              <w:right w:val="single" w:sz="8" w:space="0" w:color="auto"/>
            </w:tcBorders>
            <w:shd w:val="clear" w:color="auto" w:fill="auto"/>
          </w:tcPr>
          <w:p w14:paraId="511B3B6B" w14:textId="6C99F058" w:rsidR="00247876" w:rsidRPr="00C63F71"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1CC3553C" w14:textId="68A64D5D" w:rsidR="00247876" w:rsidRPr="00C63F71"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0CA99EB7" w14:textId="4EF2CA1E" w:rsidR="00247876" w:rsidRPr="00C63F71"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623A83A2" w14:textId="5340B8DD" w:rsidR="00247876" w:rsidRPr="00C63F71"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79D8BDAF" w14:textId="7500D990" w:rsidR="00247876" w:rsidRPr="00C63F71" w:rsidRDefault="00247876" w:rsidP="00247876">
            <w:pPr>
              <w:autoSpaceDE w:val="0"/>
              <w:autoSpaceDN w:val="0"/>
              <w:adjustRightInd w:val="0"/>
              <w:spacing w:after="0"/>
              <w:jc w:val="right"/>
              <w:rPr>
                <w:rFonts w:cs="Arial"/>
                <w:color w:val="000000"/>
              </w:rPr>
            </w:pPr>
            <w:r w:rsidRPr="009B5B0D">
              <w:rPr>
                <w:rFonts w:cs="Arial"/>
                <w:color w:val="000000"/>
                <w:sz w:val="20"/>
              </w:rPr>
              <w:t>REDACTED</w:t>
            </w:r>
          </w:p>
        </w:tc>
      </w:tr>
      <w:tr w:rsidR="00247876" w:rsidRPr="001A1836" w14:paraId="55EB3496" w14:textId="77777777" w:rsidTr="00247876">
        <w:trPr>
          <w:cantSplit/>
        </w:trPr>
        <w:tc>
          <w:tcPr>
            <w:tcW w:w="4106" w:type="dxa"/>
          </w:tcPr>
          <w:p w14:paraId="5CEDE471" w14:textId="0BD16F6E" w:rsidR="00247876" w:rsidRPr="001A1836" w:rsidRDefault="00247876" w:rsidP="00247876">
            <w:pPr>
              <w:autoSpaceDE w:val="0"/>
              <w:autoSpaceDN w:val="0"/>
              <w:adjustRightInd w:val="0"/>
              <w:spacing w:after="0"/>
              <w:rPr>
                <w:rFonts w:cs="Arial"/>
                <w:color w:val="000000"/>
              </w:rPr>
            </w:pPr>
            <w:r w:rsidRPr="001A1836">
              <w:rPr>
                <w:rFonts w:cs="Arial"/>
                <w:color w:val="000000"/>
              </w:rPr>
              <w:t xml:space="preserve">Access to Standards – 3 year subscription fee </w:t>
            </w:r>
            <w:r>
              <w:rPr>
                <w:rFonts w:cs="Arial"/>
                <w:color w:val="000000"/>
              </w:rPr>
              <w:t>(1 to 5 Engineers)</w:t>
            </w:r>
          </w:p>
        </w:tc>
        <w:tc>
          <w:tcPr>
            <w:tcW w:w="980" w:type="dxa"/>
            <w:tcBorders>
              <w:top w:val="nil"/>
              <w:left w:val="single" w:sz="8" w:space="0" w:color="auto"/>
              <w:bottom w:val="single" w:sz="8" w:space="0" w:color="auto"/>
              <w:right w:val="single" w:sz="8" w:space="0" w:color="auto"/>
            </w:tcBorders>
            <w:shd w:val="clear" w:color="auto" w:fill="auto"/>
          </w:tcPr>
          <w:p w14:paraId="2D61B7B7" w14:textId="3CA75D01" w:rsidR="00247876" w:rsidRPr="001A1836" w:rsidRDefault="00247876" w:rsidP="00247876">
            <w:pPr>
              <w:autoSpaceDE w:val="0"/>
              <w:autoSpaceDN w:val="0"/>
              <w:adjustRightInd w:val="0"/>
              <w:spacing w:after="0"/>
              <w:jc w:val="right"/>
              <w:rPr>
                <w:rFonts w:cs="Arial"/>
                <w:color w:val="000000"/>
              </w:rPr>
            </w:pPr>
            <w:r w:rsidRPr="00515AAB">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18D1BA34" w14:textId="7BA7B438" w:rsidR="00247876" w:rsidRPr="001A1836" w:rsidRDefault="00247876" w:rsidP="00247876">
            <w:pPr>
              <w:autoSpaceDE w:val="0"/>
              <w:autoSpaceDN w:val="0"/>
              <w:adjustRightInd w:val="0"/>
              <w:spacing w:after="0"/>
              <w:jc w:val="right"/>
              <w:rPr>
                <w:rFonts w:cs="Arial"/>
                <w:color w:val="000000"/>
              </w:rPr>
            </w:pPr>
            <w:r w:rsidRPr="00515AAB">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40E124BF" w14:textId="6BB9C5C5" w:rsidR="00247876" w:rsidRPr="001A1836" w:rsidRDefault="00247876" w:rsidP="00247876">
            <w:pPr>
              <w:autoSpaceDE w:val="0"/>
              <w:autoSpaceDN w:val="0"/>
              <w:adjustRightInd w:val="0"/>
              <w:spacing w:after="0"/>
              <w:jc w:val="right"/>
              <w:rPr>
                <w:rFonts w:cs="Arial"/>
                <w:color w:val="000000"/>
              </w:rPr>
            </w:pPr>
            <w:r w:rsidRPr="00515AAB">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184B94A5" w14:textId="50E51977" w:rsidR="00247876" w:rsidRPr="001A1836" w:rsidRDefault="00247876" w:rsidP="00247876">
            <w:pPr>
              <w:autoSpaceDE w:val="0"/>
              <w:autoSpaceDN w:val="0"/>
              <w:adjustRightInd w:val="0"/>
              <w:spacing w:after="0"/>
              <w:jc w:val="right"/>
              <w:rPr>
                <w:rFonts w:cs="Arial"/>
                <w:color w:val="000000"/>
              </w:rPr>
            </w:pPr>
            <w:r w:rsidRPr="00515AAB">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26924EF1" w14:textId="000ED0A9" w:rsidR="00247876" w:rsidRPr="001A1836" w:rsidRDefault="00247876" w:rsidP="00247876">
            <w:pPr>
              <w:autoSpaceDE w:val="0"/>
              <w:autoSpaceDN w:val="0"/>
              <w:adjustRightInd w:val="0"/>
              <w:spacing w:after="0"/>
              <w:jc w:val="right"/>
              <w:rPr>
                <w:rFonts w:cs="Arial"/>
                <w:color w:val="000000"/>
              </w:rPr>
            </w:pPr>
            <w:r w:rsidRPr="00515AAB">
              <w:rPr>
                <w:rFonts w:cs="Arial"/>
                <w:color w:val="000000"/>
                <w:sz w:val="20"/>
              </w:rPr>
              <w:t>REDACTED</w:t>
            </w:r>
          </w:p>
        </w:tc>
      </w:tr>
      <w:tr w:rsidR="00247876" w:rsidRPr="001A1836" w14:paraId="2612FA08" w14:textId="77777777" w:rsidTr="00247876">
        <w:trPr>
          <w:cantSplit/>
        </w:trPr>
        <w:tc>
          <w:tcPr>
            <w:tcW w:w="4106" w:type="dxa"/>
          </w:tcPr>
          <w:p w14:paraId="66B21CEE" w14:textId="4D7C6EDD" w:rsidR="00247876" w:rsidRPr="001A1836" w:rsidRDefault="00247876" w:rsidP="00247876">
            <w:pPr>
              <w:autoSpaceDE w:val="0"/>
              <w:autoSpaceDN w:val="0"/>
              <w:adjustRightInd w:val="0"/>
              <w:spacing w:after="0"/>
              <w:rPr>
                <w:rFonts w:cs="Arial"/>
                <w:color w:val="000000"/>
              </w:rPr>
            </w:pPr>
            <w:r>
              <w:rPr>
                <w:rFonts w:cs="Arial"/>
                <w:color w:val="000000"/>
              </w:rPr>
              <w:t>Access to Standards – 3</w:t>
            </w:r>
            <w:r w:rsidRPr="001A1836">
              <w:rPr>
                <w:rFonts w:cs="Arial"/>
                <w:color w:val="000000"/>
              </w:rPr>
              <w:t xml:space="preserve"> year subscription fee</w:t>
            </w:r>
            <w:r>
              <w:rPr>
                <w:rFonts w:cs="Arial"/>
                <w:color w:val="000000"/>
              </w:rPr>
              <w:t xml:space="preserve"> (6 to 10 Engineers)</w:t>
            </w:r>
          </w:p>
        </w:tc>
        <w:tc>
          <w:tcPr>
            <w:tcW w:w="980" w:type="dxa"/>
            <w:tcBorders>
              <w:top w:val="nil"/>
              <w:left w:val="single" w:sz="8" w:space="0" w:color="auto"/>
              <w:bottom w:val="single" w:sz="8" w:space="0" w:color="auto"/>
              <w:right w:val="single" w:sz="8" w:space="0" w:color="auto"/>
            </w:tcBorders>
            <w:shd w:val="clear" w:color="auto" w:fill="auto"/>
          </w:tcPr>
          <w:p w14:paraId="5A0CD158" w14:textId="5367A27C" w:rsidR="00247876" w:rsidRPr="00C63F71" w:rsidRDefault="00247876" w:rsidP="00247876">
            <w:pPr>
              <w:autoSpaceDE w:val="0"/>
              <w:autoSpaceDN w:val="0"/>
              <w:adjustRightInd w:val="0"/>
              <w:spacing w:after="0"/>
              <w:jc w:val="right"/>
              <w:rPr>
                <w:rFonts w:cs="Arial"/>
                <w:color w:val="000000"/>
              </w:rPr>
            </w:pPr>
            <w:r w:rsidRPr="00515AAB">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38C7F29D" w14:textId="49D146A4" w:rsidR="00247876" w:rsidRPr="00C63F71" w:rsidRDefault="00247876" w:rsidP="00247876">
            <w:pPr>
              <w:autoSpaceDE w:val="0"/>
              <w:autoSpaceDN w:val="0"/>
              <w:adjustRightInd w:val="0"/>
              <w:spacing w:after="0"/>
              <w:jc w:val="right"/>
              <w:rPr>
                <w:rFonts w:cs="Arial"/>
                <w:color w:val="000000"/>
              </w:rPr>
            </w:pPr>
            <w:r w:rsidRPr="00515AAB">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69B33C1C" w14:textId="7C8FCFA6" w:rsidR="00247876" w:rsidRPr="00C63F71" w:rsidRDefault="00247876" w:rsidP="00247876">
            <w:pPr>
              <w:autoSpaceDE w:val="0"/>
              <w:autoSpaceDN w:val="0"/>
              <w:adjustRightInd w:val="0"/>
              <w:spacing w:after="0"/>
              <w:jc w:val="right"/>
              <w:rPr>
                <w:rFonts w:cs="Arial"/>
                <w:color w:val="000000"/>
              </w:rPr>
            </w:pPr>
            <w:r w:rsidRPr="00515AAB">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1C15FE87" w14:textId="341E1DD9" w:rsidR="00247876" w:rsidRPr="00C63F71" w:rsidRDefault="00247876" w:rsidP="00247876">
            <w:pPr>
              <w:autoSpaceDE w:val="0"/>
              <w:autoSpaceDN w:val="0"/>
              <w:adjustRightInd w:val="0"/>
              <w:spacing w:after="0"/>
              <w:jc w:val="right"/>
              <w:rPr>
                <w:rFonts w:cs="Arial"/>
                <w:color w:val="000000"/>
              </w:rPr>
            </w:pPr>
            <w:r w:rsidRPr="00515AAB">
              <w:rPr>
                <w:rFonts w:cs="Arial"/>
                <w:color w:val="000000"/>
                <w:sz w:val="20"/>
              </w:rPr>
              <w:t>REDACTED</w:t>
            </w:r>
          </w:p>
        </w:tc>
        <w:tc>
          <w:tcPr>
            <w:tcW w:w="981" w:type="dxa"/>
            <w:tcBorders>
              <w:top w:val="nil"/>
              <w:left w:val="nil"/>
              <w:bottom w:val="single" w:sz="8" w:space="0" w:color="auto"/>
              <w:right w:val="single" w:sz="8" w:space="0" w:color="auto"/>
            </w:tcBorders>
            <w:shd w:val="clear" w:color="auto" w:fill="auto"/>
          </w:tcPr>
          <w:p w14:paraId="12D23A4B" w14:textId="026BE221" w:rsidR="00247876" w:rsidRPr="00C63F71" w:rsidRDefault="00247876" w:rsidP="00247876">
            <w:pPr>
              <w:autoSpaceDE w:val="0"/>
              <w:autoSpaceDN w:val="0"/>
              <w:adjustRightInd w:val="0"/>
              <w:spacing w:after="0"/>
              <w:jc w:val="right"/>
              <w:rPr>
                <w:rFonts w:cs="Arial"/>
                <w:color w:val="000000"/>
              </w:rPr>
            </w:pPr>
            <w:r w:rsidRPr="00515AAB">
              <w:rPr>
                <w:rFonts w:cs="Arial"/>
                <w:color w:val="000000"/>
                <w:sz w:val="20"/>
              </w:rPr>
              <w:t>REDACTED</w:t>
            </w:r>
          </w:p>
        </w:tc>
      </w:tr>
      <w:tr w:rsidR="00247876" w:rsidRPr="001A1836" w:rsidDel="00094E17" w14:paraId="35057DAC" w14:textId="77777777" w:rsidTr="00811070">
        <w:trPr>
          <w:cantSplit/>
        </w:trPr>
        <w:tc>
          <w:tcPr>
            <w:tcW w:w="4106" w:type="dxa"/>
          </w:tcPr>
          <w:p w14:paraId="0B2728C7" w14:textId="0BE9C153" w:rsidR="00247876" w:rsidRPr="00E8476A" w:rsidDel="00094E17" w:rsidRDefault="00247876" w:rsidP="00247876">
            <w:pPr>
              <w:autoSpaceDE w:val="0"/>
              <w:autoSpaceDN w:val="0"/>
              <w:adjustRightInd w:val="0"/>
              <w:spacing w:after="0"/>
              <w:rPr>
                <w:rFonts w:cs="Arial"/>
                <w:color w:val="000000"/>
              </w:rPr>
            </w:pPr>
            <w:r w:rsidRPr="00E8476A" w:rsidDel="00094E17">
              <w:rPr>
                <w:rFonts w:cs="Arial"/>
                <w:color w:val="000000"/>
              </w:rPr>
              <w:t>Third Par</w:t>
            </w:r>
            <w:r w:rsidDel="00094E17">
              <w:rPr>
                <w:rFonts w:cs="Arial"/>
                <w:color w:val="000000"/>
              </w:rPr>
              <w:t>ty Access Fee Annual Charge</w:t>
            </w:r>
          </w:p>
        </w:tc>
        <w:tc>
          <w:tcPr>
            <w:tcW w:w="980" w:type="dxa"/>
          </w:tcPr>
          <w:p w14:paraId="785409CB" w14:textId="7FCECCB9" w:rsidR="00247876" w:rsidRPr="00C63F71" w:rsidDel="00094E17" w:rsidRDefault="00247876" w:rsidP="00247876">
            <w:pPr>
              <w:autoSpaceDE w:val="0"/>
              <w:autoSpaceDN w:val="0"/>
              <w:adjustRightInd w:val="0"/>
              <w:spacing w:after="0"/>
              <w:jc w:val="right"/>
              <w:rPr>
                <w:rFonts w:cs="Arial"/>
                <w:color w:val="000000"/>
              </w:rPr>
            </w:pPr>
            <w:r w:rsidRPr="00515AAB">
              <w:rPr>
                <w:rFonts w:cs="Arial"/>
                <w:color w:val="000000"/>
                <w:sz w:val="20"/>
              </w:rPr>
              <w:t>REDACTED</w:t>
            </w:r>
          </w:p>
        </w:tc>
        <w:tc>
          <w:tcPr>
            <w:tcW w:w="981" w:type="dxa"/>
          </w:tcPr>
          <w:p w14:paraId="4B08B718" w14:textId="3B90D304" w:rsidR="00247876" w:rsidRPr="00C63F71" w:rsidDel="00094E17" w:rsidRDefault="00247876" w:rsidP="00247876">
            <w:pPr>
              <w:autoSpaceDE w:val="0"/>
              <w:autoSpaceDN w:val="0"/>
              <w:adjustRightInd w:val="0"/>
              <w:spacing w:after="0"/>
              <w:jc w:val="right"/>
              <w:rPr>
                <w:rFonts w:cs="Arial"/>
                <w:color w:val="000000"/>
              </w:rPr>
            </w:pPr>
            <w:r w:rsidRPr="00515AAB">
              <w:rPr>
                <w:rFonts w:cs="Arial"/>
                <w:color w:val="000000"/>
                <w:sz w:val="20"/>
              </w:rPr>
              <w:t>REDACTED</w:t>
            </w:r>
          </w:p>
        </w:tc>
        <w:tc>
          <w:tcPr>
            <w:tcW w:w="981" w:type="dxa"/>
          </w:tcPr>
          <w:p w14:paraId="2864E16C" w14:textId="3DFC09F5" w:rsidR="00247876" w:rsidRPr="00C63F71" w:rsidDel="00094E17" w:rsidRDefault="00247876" w:rsidP="00247876">
            <w:pPr>
              <w:autoSpaceDE w:val="0"/>
              <w:autoSpaceDN w:val="0"/>
              <w:adjustRightInd w:val="0"/>
              <w:spacing w:after="0"/>
              <w:jc w:val="right"/>
              <w:rPr>
                <w:rFonts w:cs="Arial"/>
                <w:color w:val="000000"/>
              </w:rPr>
            </w:pPr>
            <w:r w:rsidRPr="00515AAB">
              <w:rPr>
                <w:rFonts w:cs="Arial"/>
                <w:color w:val="000000"/>
                <w:sz w:val="20"/>
              </w:rPr>
              <w:t>REDACTED</w:t>
            </w:r>
          </w:p>
        </w:tc>
        <w:tc>
          <w:tcPr>
            <w:tcW w:w="981" w:type="dxa"/>
          </w:tcPr>
          <w:p w14:paraId="4128AD92" w14:textId="0916DD1D" w:rsidR="00247876" w:rsidRPr="00C63F71" w:rsidDel="00094E17" w:rsidRDefault="00247876" w:rsidP="00247876">
            <w:pPr>
              <w:autoSpaceDE w:val="0"/>
              <w:autoSpaceDN w:val="0"/>
              <w:adjustRightInd w:val="0"/>
              <w:spacing w:after="0"/>
              <w:jc w:val="right"/>
              <w:rPr>
                <w:rFonts w:cs="Arial"/>
                <w:color w:val="000000"/>
              </w:rPr>
            </w:pPr>
            <w:r w:rsidRPr="00515AAB">
              <w:rPr>
                <w:rFonts w:cs="Arial"/>
                <w:color w:val="000000"/>
                <w:sz w:val="20"/>
              </w:rPr>
              <w:t>REDACTED</w:t>
            </w:r>
          </w:p>
        </w:tc>
        <w:tc>
          <w:tcPr>
            <w:tcW w:w="981" w:type="dxa"/>
          </w:tcPr>
          <w:p w14:paraId="5097A2DD" w14:textId="4D2D6498" w:rsidR="00247876" w:rsidRPr="00C63F71" w:rsidDel="00094E17" w:rsidRDefault="00247876" w:rsidP="00247876">
            <w:pPr>
              <w:autoSpaceDE w:val="0"/>
              <w:autoSpaceDN w:val="0"/>
              <w:adjustRightInd w:val="0"/>
              <w:spacing w:after="0"/>
              <w:jc w:val="right"/>
              <w:rPr>
                <w:rFonts w:cs="Arial"/>
                <w:color w:val="000000"/>
              </w:rPr>
            </w:pPr>
            <w:r w:rsidRPr="00515AAB">
              <w:rPr>
                <w:rFonts w:cs="Arial"/>
                <w:color w:val="000000"/>
                <w:sz w:val="20"/>
              </w:rPr>
              <w:t>REDACTED</w:t>
            </w:r>
          </w:p>
        </w:tc>
      </w:tr>
      <w:tr w:rsidR="00247876" w:rsidRPr="001A1836" w:rsidDel="00094E17" w14:paraId="4686786B" w14:textId="77777777" w:rsidTr="00811070">
        <w:trPr>
          <w:cantSplit/>
        </w:trPr>
        <w:tc>
          <w:tcPr>
            <w:tcW w:w="4106" w:type="dxa"/>
          </w:tcPr>
          <w:p w14:paraId="64868CC4" w14:textId="44433ECB" w:rsidR="00247876" w:rsidRPr="00E8476A" w:rsidDel="00094E17" w:rsidRDefault="00247876" w:rsidP="00247876">
            <w:pPr>
              <w:autoSpaceDE w:val="0"/>
              <w:autoSpaceDN w:val="0"/>
              <w:adjustRightInd w:val="0"/>
              <w:spacing w:after="0"/>
              <w:rPr>
                <w:rFonts w:cs="Arial"/>
                <w:color w:val="000000"/>
              </w:rPr>
            </w:pPr>
            <w:r w:rsidRPr="00E8476A" w:rsidDel="00094E17">
              <w:rPr>
                <w:rFonts w:cs="Arial"/>
                <w:color w:val="000000"/>
              </w:rPr>
              <w:t>Third Party Access Fee Setup Charge (One-Off)</w:t>
            </w:r>
          </w:p>
        </w:tc>
        <w:tc>
          <w:tcPr>
            <w:tcW w:w="980" w:type="dxa"/>
          </w:tcPr>
          <w:p w14:paraId="18D326E1" w14:textId="7BA28C7C" w:rsidR="00247876" w:rsidRPr="00C63F71" w:rsidDel="00094E17" w:rsidRDefault="00247876" w:rsidP="00247876">
            <w:pPr>
              <w:autoSpaceDE w:val="0"/>
              <w:autoSpaceDN w:val="0"/>
              <w:adjustRightInd w:val="0"/>
              <w:spacing w:after="0"/>
              <w:jc w:val="center"/>
              <w:rPr>
                <w:rFonts w:cs="Arial"/>
                <w:color w:val="000000"/>
              </w:rPr>
            </w:pPr>
            <w:r w:rsidRPr="00515AAB">
              <w:rPr>
                <w:rFonts w:cs="Arial"/>
                <w:color w:val="000000"/>
                <w:sz w:val="20"/>
              </w:rPr>
              <w:t>REDACTED</w:t>
            </w:r>
          </w:p>
        </w:tc>
        <w:tc>
          <w:tcPr>
            <w:tcW w:w="981" w:type="dxa"/>
          </w:tcPr>
          <w:p w14:paraId="778739E3" w14:textId="25F466D6" w:rsidR="00247876" w:rsidRPr="00C63F71" w:rsidDel="00094E17" w:rsidRDefault="00247876" w:rsidP="00247876">
            <w:pPr>
              <w:autoSpaceDE w:val="0"/>
              <w:autoSpaceDN w:val="0"/>
              <w:adjustRightInd w:val="0"/>
              <w:spacing w:after="0"/>
              <w:jc w:val="right"/>
              <w:rPr>
                <w:rFonts w:cs="Arial"/>
                <w:color w:val="000000"/>
              </w:rPr>
            </w:pPr>
            <w:r w:rsidRPr="00515AAB">
              <w:rPr>
                <w:rFonts w:cs="Arial"/>
                <w:color w:val="000000"/>
                <w:sz w:val="20"/>
              </w:rPr>
              <w:t>REDACTED</w:t>
            </w:r>
          </w:p>
        </w:tc>
        <w:tc>
          <w:tcPr>
            <w:tcW w:w="981" w:type="dxa"/>
          </w:tcPr>
          <w:p w14:paraId="19C4A37E" w14:textId="2C19E7E6" w:rsidR="00247876" w:rsidRPr="00C63F71" w:rsidDel="00094E17" w:rsidRDefault="00247876" w:rsidP="00247876">
            <w:pPr>
              <w:autoSpaceDE w:val="0"/>
              <w:autoSpaceDN w:val="0"/>
              <w:adjustRightInd w:val="0"/>
              <w:spacing w:after="0"/>
              <w:jc w:val="right"/>
              <w:rPr>
                <w:rFonts w:cs="Arial"/>
                <w:color w:val="000000"/>
              </w:rPr>
            </w:pPr>
            <w:r w:rsidRPr="00515AAB">
              <w:rPr>
                <w:rFonts w:cs="Arial"/>
                <w:color w:val="000000"/>
                <w:sz w:val="20"/>
              </w:rPr>
              <w:t>REDACTED</w:t>
            </w:r>
          </w:p>
        </w:tc>
        <w:tc>
          <w:tcPr>
            <w:tcW w:w="981" w:type="dxa"/>
          </w:tcPr>
          <w:p w14:paraId="27C0CD26" w14:textId="78E23952" w:rsidR="00247876" w:rsidRPr="00C63F71" w:rsidDel="00094E17" w:rsidRDefault="00247876" w:rsidP="00247876">
            <w:pPr>
              <w:autoSpaceDE w:val="0"/>
              <w:autoSpaceDN w:val="0"/>
              <w:adjustRightInd w:val="0"/>
              <w:spacing w:after="0"/>
              <w:jc w:val="right"/>
              <w:rPr>
                <w:rFonts w:cs="Arial"/>
                <w:color w:val="000000"/>
              </w:rPr>
            </w:pPr>
            <w:r w:rsidRPr="00515AAB">
              <w:rPr>
                <w:rFonts w:cs="Arial"/>
                <w:color w:val="000000"/>
                <w:sz w:val="20"/>
              </w:rPr>
              <w:t>REDACTED</w:t>
            </w:r>
          </w:p>
        </w:tc>
        <w:tc>
          <w:tcPr>
            <w:tcW w:w="981" w:type="dxa"/>
          </w:tcPr>
          <w:p w14:paraId="2A8B035F" w14:textId="19BDE5AB" w:rsidR="00247876" w:rsidRPr="00C63F71" w:rsidDel="00094E17" w:rsidRDefault="00247876" w:rsidP="00247876">
            <w:pPr>
              <w:autoSpaceDE w:val="0"/>
              <w:autoSpaceDN w:val="0"/>
              <w:adjustRightInd w:val="0"/>
              <w:spacing w:after="0"/>
              <w:jc w:val="right"/>
              <w:rPr>
                <w:rFonts w:cs="Arial"/>
                <w:color w:val="000000"/>
              </w:rPr>
            </w:pPr>
            <w:r w:rsidRPr="00515AAB">
              <w:rPr>
                <w:rFonts w:cs="Arial"/>
                <w:color w:val="000000"/>
                <w:sz w:val="20"/>
              </w:rPr>
              <w:t>REDACTED</w:t>
            </w:r>
          </w:p>
        </w:tc>
      </w:tr>
    </w:tbl>
    <w:p w14:paraId="0EF6F5FB" w14:textId="433CC197" w:rsidR="355DE5F9" w:rsidRDefault="355DE5F9" w:rsidP="08E06F43">
      <w:pPr>
        <w:rPr>
          <w:rFonts w:eastAsia="Arial" w:cs="Arial"/>
          <w:szCs w:val="22"/>
        </w:rPr>
      </w:pPr>
      <w:r>
        <w:t xml:space="preserve">** </w:t>
      </w:r>
      <w:r w:rsidRPr="08E06F43">
        <w:rPr>
          <w:rFonts w:eastAsia="Arial" w:cs="Arial"/>
          <w:szCs w:val="22"/>
        </w:rPr>
        <w:t>For the avoidance of doubt, the Physical Identity Card Charge will automatically be added to the New Registration Charge, the Engineer Charge, the Business Renewal (Telephone &amp; Post) Charge and the Business Renewal (Online) Charge until such point in time when the Digital ID Card is made available. At this point, the Physical Identity Card will then be available as an option</w:t>
      </w:r>
      <w:r w:rsidR="00776EAE">
        <w:rPr>
          <w:rFonts w:eastAsia="Arial" w:cs="Arial"/>
          <w:szCs w:val="22"/>
        </w:rPr>
        <w:t xml:space="preserve">, and </w:t>
      </w:r>
      <w:r w:rsidR="008806CC">
        <w:rPr>
          <w:rFonts w:eastAsia="Arial" w:cs="Arial"/>
          <w:szCs w:val="22"/>
        </w:rPr>
        <w:t xml:space="preserve">a Business will only be required to pay the Physical Identity Card Charge </w:t>
      </w:r>
      <w:r w:rsidR="00DE4A0E">
        <w:rPr>
          <w:rFonts w:eastAsia="Arial" w:cs="Arial"/>
          <w:szCs w:val="22"/>
        </w:rPr>
        <w:t xml:space="preserve">for each Physical </w:t>
      </w:r>
      <w:r w:rsidR="007761E1">
        <w:rPr>
          <w:rFonts w:eastAsia="Arial" w:cs="Arial"/>
          <w:szCs w:val="22"/>
        </w:rPr>
        <w:t xml:space="preserve">Identity Card </w:t>
      </w:r>
      <w:r w:rsidR="00174E71">
        <w:rPr>
          <w:rFonts w:eastAsia="Arial" w:cs="Arial"/>
          <w:szCs w:val="22"/>
        </w:rPr>
        <w:t xml:space="preserve">it </w:t>
      </w:r>
      <w:r w:rsidR="00DE4A0E">
        <w:rPr>
          <w:rFonts w:eastAsia="Arial" w:cs="Arial"/>
          <w:szCs w:val="22"/>
        </w:rPr>
        <w:t>requires</w:t>
      </w:r>
      <w:r w:rsidRPr="08E06F43">
        <w:rPr>
          <w:rFonts w:eastAsia="Arial" w:cs="Arial"/>
          <w:szCs w:val="22"/>
        </w:rPr>
        <w:t xml:space="preserve">. </w:t>
      </w:r>
    </w:p>
    <w:p w14:paraId="2294ACC6" w14:textId="6E8032BA" w:rsidR="08E06F43" w:rsidRDefault="08E06F43"/>
    <w:p w14:paraId="3963D544" w14:textId="2D03AAEC" w:rsidR="00B074CC" w:rsidRPr="001A1836" w:rsidRDefault="00B074CC">
      <w:pPr>
        <w:pStyle w:val="GSRL4numberedclause"/>
      </w:pPr>
      <w:r w:rsidRPr="001A1836">
        <w:t xml:space="preserve">Subject to paragraph </w:t>
      </w:r>
      <w:r w:rsidRPr="001A1836">
        <w:fldChar w:fldCharType="begin"/>
      </w:r>
      <w:r w:rsidRPr="001A1836">
        <w:instrText xml:space="preserve"> REF _Ref505932105 \r \h </w:instrText>
      </w:r>
      <w:r w:rsidR="001A1836">
        <w:instrText xml:space="preserve"> \* MERGEFORMAT </w:instrText>
      </w:r>
      <w:r w:rsidRPr="001A1836">
        <w:fldChar w:fldCharType="separate"/>
      </w:r>
      <w:r w:rsidR="00C87D85">
        <w:t>3.3</w:t>
      </w:r>
      <w:r w:rsidRPr="001A1836">
        <w:fldChar w:fldCharType="end"/>
      </w:r>
      <w:r w:rsidRPr="001A1836">
        <w:t xml:space="preserve"> the Provider may only levy a New Registration Charge: </w:t>
      </w:r>
    </w:p>
    <w:p w14:paraId="45F95FA1" w14:textId="77777777" w:rsidR="00B074CC" w:rsidRPr="001A1836" w:rsidRDefault="00B074CC">
      <w:pPr>
        <w:pStyle w:val="GSRL5numberedclause"/>
      </w:pPr>
      <w:r w:rsidRPr="001A1836">
        <w:t xml:space="preserve">on the occasion of the Registration of a Business: </w:t>
      </w:r>
    </w:p>
    <w:p w14:paraId="0AD679BC" w14:textId="77777777" w:rsidR="00B074CC" w:rsidRPr="001A1836" w:rsidRDefault="00B074CC">
      <w:pPr>
        <w:pStyle w:val="GSRL6numberedclause"/>
      </w:pPr>
      <w:r w:rsidRPr="001A1836">
        <w:t xml:space="preserve">for the first time; or </w:t>
      </w:r>
    </w:p>
    <w:p w14:paraId="6108D765" w14:textId="18EE233B" w:rsidR="00B074CC" w:rsidRPr="001A1836" w:rsidRDefault="00B074CC">
      <w:pPr>
        <w:pStyle w:val="GSRL6numberedclause"/>
      </w:pPr>
      <w:r w:rsidRPr="001A1836">
        <w:t xml:space="preserve">where it has previously been a Registered Business but its Registration ceased for any reason; or </w:t>
      </w:r>
    </w:p>
    <w:p w14:paraId="2B3C1D14" w14:textId="77777777" w:rsidR="00B074CC" w:rsidRPr="001A1836" w:rsidRDefault="00B074CC">
      <w:pPr>
        <w:pStyle w:val="GSRL5numberedclause"/>
      </w:pPr>
      <w:r w:rsidRPr="001A1836">
        <w:t xml:space="preserve">where any information about that Registered Business included on the Register has changed significantly so as to require the Provider to consider whether that Business should continue to be a Registered Business. </w:t>
      </w:r>
    </w:p>
    <w:p w14:paraId="3C344482" w14:textId="77777777" w:rsidR="00B074CC" w:rsidRPr="001A1836" w:rsidRDefault="00B074CC">
      <w:pPr>
        <w:pStyle w:val="GSRL4numberedclause"/>
      </w:pPr>
      <w:bookmarkStart w:id="1046" w:name="_Ref505932105"/>
      <w:r w:rsidRPr="001A1836">
        <w:t>Where a proposed Registered Business engages:</w:t>
      </w:r>
      <w:bookmarkEnd w:id="1046"/>
      <w:r w:rsidRPr="001A1836">
        <w:t xml:space="preserve"> </w:t>
      </w:r>
    </w:p>
    <w:p w14:paraId="3C350A91" w14:textId="77777777" w:rsidR="00B074CC" w:rsidRPr="001A1836" w:rsidRDefault="00B074CC">
      <w:pPr>
        <w:pStyle w:val="GSRL5numberedclause"/>
      </w:pPr>
      <w:r w:rsidRPr="001A1836">
        <w:t>one (1) Engineer, the Provider shall not levy an Engineer Charge in respect of that proposed Registered Business; or</w:t>
      </w:r>
    </w:p>
    <w:p w14:paraId="59E32043" w14:textId="6D5E6CD4" w:rsidR="00B074CC" w:rsidRPr="001A1836" w:rsidRDefault="00B074CC">
      <w:pPr>
        <w:pStyle w:val="GSRL5numberedclause"/>
      </w:pPr>
      <w:r w:rsidRPr="001A1836">
        <w:t xml:space="preserve">more than one (1) Engineer, the Provider may levy an Engineer Charge in respect of all but one </w:t>
      </w:r>
      <w:r w:rsidR="005E5ED4" w:rsidRPr="001A1836">
        <w:t xml:space="preserve">(1) </w:t>
      </w:r>
      <w:r w:rsidRPr="001A1836">
        <w:t xml:space="preserve">of the Engineers employed by that proposed Registered Business. </w:t>
      </w:r>
    </w:p>
    <w:p w14:paraId="79597E08" w14:textId="77777777" w:rsidR="00B074CC" w:rsidRPr="001A1836" w:rsidRDefault="00B074CC">
      <w:pPr>
        <w:pStyle w:val="GSRL4numberedclause"/>
      </w:pPr>
      <w:r w:rsidRPr="001A1836">
        <w:t xml:space="preserve">Subject to paragraph 3.5, the Provider may levy Renewal Charges in advance of the Registration Year to which such Renewal Charges relate. </w:t>
      </w:r>
    </w:p>
    <w:p w14:paraId="7944F4FC" w14:textId="77777777" w:rsidR="00B074CC" w:rsidRPr="001A1836" w:rsidRDefault="00B074CC">
      <w:pPr>
        <w:pStyle w:val="GSRL4numberedclause"/>
      </w:pPr>
      <w:r w:rsidRPr="001A1836">
        <w:t xml:space="preserve">Where a Registered Business engages: </w:t>
      </w:r>
    </w:p>
    <w:p w14:paraId="65775FF4" w14:textId="77777777" w:rsidR="00B074CC" w:rsidRPr="001A1836" w:rsidRDefault="00B074CC">
      <w:pPr>
        <w:pStyle w:val="GSRL5numberedclause"/>
      </w:pPr>
      <w:r w:rsidRPr="001A1836">
        <w:t xml:space="preserve">one (1) Engineer, the Provider shall not levy an Engineer Charge in respect of that Registered Business; or </w:t>
      </w:r>
    </w:p>
    <w:p w14:paraId="2FA90FF3" w14:textId="77777777" w:rsidR="00B074CC" w:rsidRPr="001A1836" w:rsidRDefault="00B074CC">
      <w:pPr>
        <w:pStyle w:val="GSRL5numberedclause"/>
      </w:pPr>
      <w:r w:rsidRPr="001A1836">
        <w:t xml:space="preserve">more than one (1) Engineer, the Provider may levy an Engineer Charge in respect of all but one of the Engineers employed by that Registered Business. </w:t>
      </w:r>
    </w:p>
    <w:p w14:paraId="03D59DDF" w14:textId="254D7C94" w:rsidR="00B074CC" w:rsidRPr="001A1836" w:rsidRDefault="00B074CC">
      <w:pPr>
        <w:pStyle w:val="GSRL4numberedclause"/>
      </w:pPr>
      <w:r w:rsidRPr="001A1836">
        <w:lastRenderedPageBreak/>
        <w:t>A Business shall have twelve (12) weeks from the date of expiry of its Registration to submit an application to renew its Registration.</w:t>
      </w:r>
    </w:p>
    <w:p w14:paraId="35161727" w14:textId="2F7EEDA9" w:rsidR="00B074CC" w:rsidRPr="001A1836" w:rsidRDefault="00B074CC">
      <w:pPr>
        <w:pStyle w:val="GSRL4numberedclause"/>
      </w:pPr>
      <w:r w:rsidRPr="001A1836">
        <w:t xml:space="preserve">If a Business renews its Registration within six (6) weeks of the expiry date the Provider may levy the Business Renewal Charge. If a Business renews its registration between six (6) and twelve (12) weeks of the expiry date, the Provider shall be entitled to levy a Late Renewal Charge in addition to the Business Renewal Charge. After twelve (12) weeks the Registration will be cancelled and the Business will be required to apply for a new registration. </w:t>
      </w:r>
    </w:p>
    <w:p w14:paraId="2B831447" w14:textId="77777777" w:rsidR="00B074CC" w:rsidRPr="001A1836" w:rsidRDefault="00B074CC">
      <w:pPr>
        <w:pStyle w:val="GSRL4numberedclause"/>
      </w:pPr>
      <w:r w:rsidRPr="001A1836">
        <w:t xml:space="preserve">The Provider may restrict the Business Renewal (Online) Charge only to Businesses that undertake to conduct all communications electronically and agree to make payment by direct debit. </w:t>
      </w:r>
    </w:p>
    <w:p w14:paraId="5EADAADA" w14:textId="7D5E507D" w:rsidR="00B074CC" w:rsidRPr="001A1836" w:rsidRDefault="00A8264B">
      <w:pPr>
        <w:pStyle w:val="GSRL4numberedclause"/>
      </w:pPr>
      <w:bookmarkStart w:id="1047" w:name="_Hlk527632261"/>
      <w:r w:rsidRPr="001A1836">
        <w:t xml:space="preserve">Subject to paragraph 5.4 </w:t>
      </w:r>
      <w:r w:rsidR="002C042B" w:rsidRPr="001A1836">
        <w:t xml:space="preserve">of this Schedule 4, the </w:t>
      </w:r>
      <w:bookmarkEnd w:id="1047"/>
      <w:r w:rsidR="00B074CC" w:rsidRPr="001A1836">
        <w:t xml:space="preserve">Provider will not be obliged for any reason to make refunds of Concession Charges paid in advance. </w:t>
      </w:r>
    </w:p>
    <w:p w14:paraId="47805CD7" w14:textId="77777777" w:rsidR="00B074CC" w:rsidRPr="001A1836" w:rsidRDefault="00B074CC">
      <w:pPr>
        <w:pStyle w:val="GSRL4numberedclause"/>
      </w:pPr>
      <w:r w:rsidRPr="001A1836">
        <w:t xml:space="preserve">The Provider shall: </w:t>
      </w:r>
    </w:p>
    <w:p w14:paraId="2276704F" w14:textId="77777777" w:rsidR="00B074CC" w:rsidRPr="001A1836" w:rsidRDefault="00B074CC">
      <w:pPr>
        <w:pStyle w:val="GSRL5numberedclause"/>
      </w:pPr>
      <w:r w:rsidRPr="001A1836">
        <w:t xml:space="preserve">allow Registered Businesses to pay the appropriate Renewal Charge in equal monthly instalments by direct debit; and </w:t>
      </w:r>
    </w:p>
    <w:p w14:paraId="34BF5620" w14:textId="77777777" w:rsidR="00B074CC" w:rsidRPr="001A1836" w:rsidRDefault="00B074CC">
      <w:pPr>
        <w:pStyle w:val="GSRL5numberedclause"/>
      </w:pPr>
      <w:r w:rsidRPr="001A1836">
        <w:t xml:space="preserve">with effect from the Services Start Date, allow a Business seeking Registration for the first time to pay the appropriate New Registration Charge in equal monthly instalments by direct debit. </w:t>
      </w:r>
    </w:p>
    <w:p w14:paraId="2B57D1C8" w14:textId="383B0925" w:rsidR="00B074CC" w:rsidRPr="001A1836" w:rsidRDefault="00B074CC">
      <w:pPr>
        <w:pStyle w:val="GSRL4numberedclause"/>
      </w:pPr>
      <w:r w:rsidRPr="001A1836">
        <w:t xml:space="preserve">Where a Registered Business pays the appropriate </w:t>
      </w:r>
      <w:r w:rsidR="00A82E6C" w:rsidRPr="001A1836">
        <w:t xml:space="preserve">Concession </w:t>
      </w:r>
      <w:r w:rsidRPr="001A1836">
        <w:t xml:space="preserve">Charge in equal monthly instalments by direct debit the Provider may make it a condition of such means of payment that the Registered Business make such payments for a minimum period of time as the Provider may from time to time specify. </w:t>
      </w:r>
    </w:p>
    <w:p w14:paraId="6317BC6C" w14:textId="33702677" w:rsidR="00B074CC" w:rsidRPr="001A1836" w:rsidRDefault="00B074CC">
      <w:pPr>
        <w:pStyle w:val="GSRL4numberedclause"/>
      </w:pPr>
      <w:r w:rsidRPr="001A1836">
        <w:t xml:space="preserve">The Provider shall offer a range of payment mechanisms including those specified in paragraph 3.24 of Schedule 1 (Concession Services Requirements) and shall from time to time review such mechanisms to ensure payment may be made to and received by the Provider efficiently and economically. </w:t>
      </w:r>
    </w:p>
    <w:p w14:paraId="20A4621D" w14:textId="77777777" w:rsidR="00B074CC" w:rsidRPr="001A1836" w:rsidRDefault="00B074CC">
      <w:pPr>
        <w:pStyle w:val="GSRL3heading"/>
      </w:pPr>
      <w:bookmarkStart w:id="1048" w:name="_Toc521319346"/>
      <w:bookmarkStart w:id="1049" w:name="_Toc521327008"/>
      <w:bookmarkStart w:id="1050" w:name="_Toc521333241"/>
      <w:bookmarkStart w:id="1051" w:name="_Toc521483988"/>
      <w:bookmarkStart w:id="1052" w:name="_Toc521484751"/>
      <w:bookmarkStart w:id="1053" w:name="_Toc521485082"/>
      <w:bookmarkStart w:id="1054" w:name="_Toc521485754"/>
      <w:bookmarkStart w:id="1055" w:name="_Toc521496801"/>
      <w:bookmarkStart w:id="1056" w:name="_Toc521498243"/>
      <w:bookmarkStart w:id="1057" w:name="_Toc129038177"/>
      <w:bookmarkStart w:id="1058" w:name="_Toc129038463"/>
      <w:bookmarkStart w:id="1059" w:name="_Toc132099298"/>
      <w:bookmarkStart w:id="1060" w:name="_Toc132268033"/>
      <w:bookmarkStart w:id="1061" w:name="_Toc132268339"/>
      <w:bookmarkStart w:id="1062" w:name="_Toc136198590"/>
      <w:bookmarkStart w:id="1063" w:name="_Toc136198871"/>
      <w:r w:rsidRPr="001A1836">
        <w:t>Indexation</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r w:rsidRPr="001A1836">
        <w:t xml:space="preserve"> </w:t>
      </w:r>
    </w:p>
    <w:p w14:paraId="5D54B512" w14:textId="2B95A846" w:rsidR="00B074CC" w:rsidRPr="001A1836" w:rsidRDefault="00B074CC">
      <w:pPr>
        <w:pStyle w:val="GSRL4numberedclause"/>
      </w:pPr>
      <w:r w:rsidRPr="001A1836">
        <w:t>All Concession Charges</w:t>
      </w:r>
      <w:r w:rsidR="003B2647" w:rsidRPr="001A1836">
        <w:t>,</w:t>
      </w:r>
      <w:r w:rsidRPr="001A1836">
        <w:t xml:space="preserve"> Additional </w:t>
      </w:r>
      <w:r w:rsidR="003B2647" w:rsidRPr="001A1836">
        <w:t xml:space="preserve">Charges </w:t>
      </w:r>
      <w:r w:rsidRPr="001A1836">
        <w:t xml:space="preserve">and Ancillary </w:t>
      </w:r>
      <w:r w:rsidR="003B2647" w:rsidRPr="001A1836">
        <w:t>Charges</w:t>
      </w:r>
      <w:r w:rsidR="00307584" w:rsidRPr="001A1836">
        <w:t>, including the Day Rates set out in Part D of Schedule 2 (Additional and Ancillary Services)</w:t>
      </w:r>
      <w:r w:rsidR="0098054F" w:rsidRPr="001A1836">
        <w:t>,</w:t>
      </w:r>
      <w:r w:rsidR="003B2647" w:rsidRPr="001A1836">
        <w:t xml:space="preserve"> </w:t>
      </w:r>
      <w:r w:rsidRPr="001A1836">
        <w:t>shall be adjusted annually</w:t>
      </w:r>
      <w:r w:rsidR="00953FFB">
        <w:t xml:space="preserve">. The </w:t>
      </w:r>
      <w:r w:rsidR="008D7B8D">
        <w:t xml:space="preserve">adjustment referred to in this paragraph 4.1 has already been applied to the </w:t>
      </w:r>
      <w:r w:rsidR="00953FFB">
        <w:t>Concession C</w:t>
      </w:r>
      <w:r w:rsidR="00BC563C">
        <w:t>harges</w:t>
      </w:r>
      <w:r w:rsidR="00953FFB">
        <w:t xml:space="preserve"> </w:t>
      </w:r>
      <w:r w:rsidR="00BC563C">
        <w:t xml:space="preserve">and </w:t>
      </w:r>
      <w:r w:rsidR="00953FFB">
        <w:t>Day Rates</w:t>
      </w:r>
      <w:r w:rsidR="00BC563C">
        <w:t xml:space="preserve"> set out in Table 1</w:t>
      </w:r>
      <w:r w:rsidR="008D7B8D">
        <w:t xml:space="preserve"> in paragraph 3.1</w:t>
      </w:r>
      <w:r w:rsidR="00BC563C">
        <w:t xml:space="preserve"> of Schedule 4 and </w:t>
      </w:r>
      <w:r w:rsidR="008D7B8D">
        <w:t>Table 3 in paragraph 9.1 of Schedule 2 respectively, and those rates shall apply from the Services Start Date.</w:t>
      </w:r>
      <w:r w:rsidR="00ED097D" w:rsidRPr="001A1836">
        <w:t xml:space="preserve"> </w:t>
      </w:r>
      <w:r w:rsidR="009C530A">
        <w:t xml:space="preserve">Further adjustments </w:t>
      </w:r>
      <w:r w:rsidR="00FB0782">
        <w:t xml:space="preserve">to the </w:t>
      </w:r>
      <w:r w:rsidR="00EC0207">
        <w:t xml:space="preserve">Concession </w:t>
      </w:r>
      <w:r w:rsidR="00FB0782">
        <w:t>Charges,</w:t>
      </w:r>
      <w:r w:rsidR="00E56F05">
        <w:t xml:space="preserve"> </w:t>
      </w:r>
      <w:r w:rsidR="00EC0207">
        <w:t>Additional Charges</w:t>
      </w:r>
      <w:r w:rsidR="00E56F05">
        <w:t xml:space="preserve"> and</w:t>
      </w:r>
      <w:r w:rsidR="00EC0207">
        <w:t xml:space="preserve"> Ancillary Charges</w:t>
      </w:r>
      <w:r w:rsidR="00E56F05">
        <w:t>,</w:t>
      </w:r>
      <w:r w:rsidR="00FB0782">
        <w:t xml:space="preserve"> including the Day Rates, </w:t>
      </w:r>
      <w:r w:rsidR="009C530A">
        <w:t xml:space="preserve">shall be made </w:t>
      </w:r>
      <w:r w:rsidR="00ED097D" w:rsidRPr="001A1836">
        <w:t>each 1</w:t>
      </w:r>
      <w:r w:rsidR="00ED097D" w:rsidRPr="001A1836">
        <w:rPr>
          <w:vertAlign w:val="superscript"/>
        </w:rPr>
        <w:t>st</w:t>
      </w:r>
      <w:r w:rsidR="00ED097D" w:rsidRPr="001A1836">
        <w:t xml:space="preserve"> April thereafter</w:t>
      </w:r>
      <w:r w:rsidRPr="001A1836">
        <w:t xml:space="preserve"> in accordance with paragraph 4.2</w:t>
      </w:r>
      <w:r w:rsidR="00E65185">
        <w:t>.  Such adjustment will be limited to a</w:t>
      </w:r>
      <w:r w:rsidR="00DF3A58">
        <w:t xml:space="preserve"> maximum of any</w:t>
      </w:r>
      <w:r w:rsidRPr="001A1836">
        <w:t xml:space="preserve"> </w:t>
      </w:r>
      <w:r w:rsidR="008405DB" w:rsidRPr="001A1836">
        <w:t>increases</w:t>
      </w:r>
      <w:r w:rsidRPr="001A1836">
        <w:t xml:space="preserve"> in the Consumer Price Index (CPI) </w:t>
      </w:r>
      <w:r w:rsidR="00DF3A58">
        <w:t xml:space="preserve">and will be </w:t>
      </w:r>
      <w:r w:rsidR="00307584" w:rsidRPr="001A1836">
        <w:t>subject to</w:t>
      </w:r>
      <w:r w:rsidRPr="001A1836">
        <w:t xml:space="preserve"> </w:t>
      </w:r>
      <w:r w:rsidR="00DF3A58">
        <w:t>HSE’s agreement which will not be unreasonably withheld.</w:t>
      </w:r>
      <w:r w:rsidR="000F4624">
        <w:t xml:space="preserve"> </w:t>
      </w:r>
      <w:r w:rsidR="00FC7E93" w:rsidRPr="001A1836">
        <w:t>Such adjustment shall not</w:t>
      </w:r>
      <w:r w:rsidRPr="001A1836">
        <w:t xml:space="preserve"> take account of any other factor or element which might otherwise increase the cost to the Provider including inflation, change to exchange rate, or change to interest rate.</w:t>
      </w:r>
    </w:p>
    <w:p w14:paraId="15B358C5" w14:textId="16914B03" w:rsidR="00B074CC" w:rsidRPr="001A1836" w:rsidRDefault="007920CE">
      <w:pPr>
        <w:pStyle w:val="GSRL4numberedclause"/>
      </w:pPr>
      <w:r w:rsidRPr="001A1836">
        <w:t xml:space="preserve">In respect of each of the </w:t>
      </w:r>
      <w:r w:rsidR="00B074CC" w:rsidRPr="001A1836">
        <w:t>Concession Charges</w:t>
      </w:r>
      <w:r w:rsidRPr="001A1836">
        <w:t>, Additional Charges, Ancillary Charges and Day Rates, the Provider</w:t>
      </w:r>
      <w:r w:rsidR="00B074CC" w:rsidRPr="001A1836">
        <w:t xml:space="preserve"> shall</w:t>
      </w:r>
      <w:r w:rsidRPr="001A1836">
        <w:t>,</w:t>
      </w:r>
      <w:r w:rsidR="00B074CC" w:rsidRPr="001A1836">
        <w:t xml:space="preserve"> </w:t>
      </w:r>
      <w:r w:rsidR="00FC7E93" w:rsidRPr="001A1836">
        <w:t>by</w:t>
      </w:r>
      <w:r w:rsidR="00B074CC" w:rsidRPr="001A1836">
        <w:t xml:space="preserve"> the </w:t>
      </w:r>
      <w:r w:rsidR="1E6F3B22">
        <w:t>30</w:t>
      </w:r>
      <w:r w:rsidR="00B074CC" w:rsidRPr="001A1836">
        <w:rPr>
          <w:vertAlign w:val="superscript"/>
        </w:rPr>
        <w:t>th</w:t>
      </w:r>
      <w:r w:rsidR="00B074CC" w:rsidRPr="001A1836">
        <w:t xml:space="preserve"> of November</w:t>
      </w:r>
      <w:r w:rsidRPr="001A1836">
        <w:t xml:space="preserve"> </w:t>
      </w:r>
      <w:r w:rsidR="000B21CE">
        <w:t>2025</w:t>
      </w:r>
      <w:r w:rsidR="00152A89" w:rsidRPr="001A1836">
        <w:t xml:space="preserve"> </w:t>
      </w:r>
      <w:r w:rsidRPr="001A1836">
        <w:t xml:space="preserve">and the </w:t>
      </w:r>
      <w:r w:rsidR="00A907AB">
        <w:t>30</w:t>
      </w:r>
      <w:r w:rsidR="00A907AB" w:rsidRPr="00A907AB">
        <w:rPr>
          <w:vertAlign w:val="superscript"/>
        </w:rPr>
        <w:t>th</w:t>
      </w:r>
      <w:r w:rsidR="00A907AB">
        <w:t xml:space="preserve"> of November </w:t>
      </w:r>
      <w:r w:rsidRPr="001A1836">
        <w:t xml:space="preserve">in each </w:t>
      </w:r>
      <w:r w:rsidR="000B21CE">
        <w:t xml:space="preserve">subsequent </w:t>
      </w:r>
      <w:r w:rsidRPr="001A1836">
        <w:t>Contract Year</w:t>
      </w:r>
      <w:r w:rsidR="00B074CC" w:rsidRPr="001A1836">
        <w:t xml:space="preserve"> (</w:t>
      </w:r>
      <w:r w:rsidRPr="001A1836">
        <w:t>each such date being an</w:t>
      </w:r>
      <w:r w:rsidR="00B074CC" w:rsidRPr="001A1836">
        <w:t xml:space="preserve"> “Indexation Date”) </w:t>
      </w:r>
      <w:r w:rsidRPr="001A1836">
        <w:t xml:space="preserve">calculate such adjustment by multiplying the relevant amount or sum by any </w:t>
      </w:r>
      <w:r w:rsidR="00B074CC" w:rsidRPr="001A1836">
        <w:t xml:space="preserve">percentage </w:t>
      </w:r>
      <w:r w:rsidRPr="001A1836">
        <w:t xml:space="preserve">increase </w:t>
      </w:r>
      <w:r w:rsidR="00B074CC" w:rsidRPr="001A1836">
        <w:t xml:space="preserve">in the CPI index </w:t>
      </w:r>
      <w:r w:rsidRPr="001A1836">
        <w:t>for the period of twelve (12) months ending on the 31</w:t>
      </w:r>
      <w:r w:rsidRPr="001A1836">
        <w:rPr>
          <w:vertAlign w:val="superscript"/>
        </w:rPr>
        <w:t>st</w:t>
      </w:r>
      <w:r w:rsidRPr="001A1836">
        <w:t xml:space="preserve"> October immediately preceding the relevant Indexation Date.</w:t>
      </w:r>
    </w:p>
    <w:p w14:paraId="1C614041" w14:textId="77777777" w:rsidR="00B074CC" w:rsidRPr="001A1836" w:rsidRDefault="00B074CC">
      <w:pPr>
        <w:pStyle w:val="GSRL4numberedclause"/>
      </w:pPr>
      <w:r w:rsidRPr="001A1836">
        <w:lastRenderedPageBreak/>
        <w:t>Where the CPI index:</w:t>
      </w:r>
    </w:p>
    <w:p w14:paraId="59EACA6A" w14:textId="77777777" w:rsidR="00B074CC" w:rsidRPr="001A1836" w:rsidRDefault="00B074CC">
      <w:pPr>
        <w:pStyle w:val="GSRL5numberedclause"/>
      </w:pPr>
      <w:r w:rsidRPr="001A1836">
        <w:t xml:space="preserve">used to carry out an indexation calculation is updated (for example due to it being provisional) then the indexation calculation shall also be updated unless HSE and the Provider agree otherwise; </w:t>
      </w:r>
    </w:p>
    <w:p w14:paraId="1F642551" w14:textId="77777777" w:rsidR="00B074CC" w:rsidRPr="001A1836" w:rsidRDefault="00B074CC">
      <w:pPr>
        <w:pStyle w:val="GSRL5numberedclause"/>
      </w:pPr>
      <w:r w:rsidRPr="001A1836">
        <w:t>is no longer published, HSE and the Provider shall agree a fair and reasonable replacement that will have substantially the same effect.</w:t>
      </w:r>
    </w:p>
    <w:p w14:paraId="5FF861FA" w14:textId="332EA84A" w:rsidR="00B074CC" w:rsidRPr="001A1836" w:rsidRDefault="00B074CC">
      <w:pPr>
        <w:pStyle w:val="GSRL4numberedclause"/>
      </w:pPr>
      <w:r w:rsidRPr="001A1836">
        <w:t>The Provider shall, after having calculated variations</w:t>
      </w:r>
      <w:r w:rsidR="00DF3A58">
        <w:t xml:space="preserve"> to, and obtained HSE agreement to adjust, </w:t>
      </w:r>
      <w:r w:rsidRPr="001A1836">
        <w:t>the Concession Charges</w:t>
      </w:r>
      <w:r w:rsidR="003010D7" w:rsidRPr="001A1836">
        <w:t>,</w:t>
      </w:r>
      <w:r w:rsidRPr="001A1836">
        <w:t xml:space="preserve"> Additional </w:t>
      </w:r>
      <w:r w:rsidR="00536FC9" w:rsidRPr="001A1836">
        <w:t>Charges,</w:t>
      </w:r>
      <w:r w:rsidRPr="001A1836">
        <w:t xml:space="preserve"> Ancillary </w:t>
      </w:r>
      <w:r w:rsidR="00536FC9" w:rsidRPr="001A1836">
        <w:t xml:space="preserve">Charges and Day Rates </w:t>
      </w:r>
      <w:r w:rsidRPr="001A1836">
        <w:t xml:space="preserve">in accordance with the provisions of paragraph 4.1 above, be entitled to round up </w:t>
      </w:r>
      <w:r w:rsidR="00DF3A58">
        <w:t xml:space="preserve">the </w:t>
      </w:r>
      <w:r w:rsidR="00DF3A58" w:rsidRPr="001A1836">
        <w:t xml:space="preserve">Concession Charges, Additional Charges, Ancillary Charges and Day Rates </w:t>
      </w:r>
      <w:r w:rsidRPr="001A1836">
        <w:t xml:space="preserve">to the nearest pence. </w:t>
      </w:r>
    </w:p>
    <w:p w14:paraId="56D38D95" w14:textId="557A1695" w:rsidR="00B074CC" w:rsidRPr="001A1836" w:rsidRDefault="00B074CC">
      <w:pPr>
        <w:pStyle w:val="GSRL4numberedclause"/>
      </w:pPr>
      <w:bookmarkStart w:id="1064" w:name="_Ref505595043"/>
      <w:r w:rsidRPr="001A1836">
        <w:t xml:space="preserve">The Provider shall </w:t>
      </w:r>
      <w:r w:rsidR="001E30FB">
        <w:t>in the first Contract</w:t>
      </w:r>
      <w:r w:rsidR="003F7EC8">
        <w:t xml:space="preserve"> Year </w:t>
      </w:r>
      <w:r w:rsidR="005C701A">
        <w:t>as soon as is reasonably practicable after</w:t>
      </w:r>
      <w:r w:rsidR="003D0E6B">
        <w:t xml:space="preserve"> </w:t>
      </w:r>
      <w:r w:rsidRPr="001A1836">
        <w:t xml:space="preserve">the </w:t>
      </w:r>
      <w:r w:rsidR="00530F57">
        <w:t>Effective Date</w:t>
      </w:r>
      <w:r w:rsidR="00C00F9A" w:rsidRPr="001A1836">
        <w:t xml:space="preserve"> inform Businesses of variations to be made to Concession Charges in accordance with this paragraph 4</w:t>
      </w:r>
      <w:r w:rsidR="00530F57">
        <w:t xml:space="preserve"> </w:t>
      </w:r>
      <w:r w:rsidR="009701AD">
        <w:t xml:space="preserve">and </w:t>
      </w:r>
      <w:r w:rsidR="003D0E6B">
        <w:t xml:space="preserve">in subsequent Contract Years </w:t>
      </w:r>
      <w:r w:rsidRPr="001A1836">
        <w:t>no later than the 15th of January following each indexation date inform Businesses of variations to be made to Concession Charges in accordance with this paragraph 4.</w:t>
      </w:r>
      <w:bookmarkEnd w:id="1064"/>
      <w:r w:rsidRPr="001A1836">
        <w:t xml:space="preserve"> </w:t>
      </w:r>
    </w:p>
    <w:p w14:paraId="0CEB7E33" w14:textId="05C612FE" w:rsidR="00B074CC" w:rsidRPr="001A1836" w:rsidRDefault="00B074CC">
      <w:pPr>
        <w:pStyle w:val="GSRL4numberedclause"/>
      </w:pPr>
      <w:r w:rsidRPr="001A1836">
        <w:t xml:space="preserve">The Provider shall, no later than one (1) Month prior to the date referred to in paragraph </w:t>
      </w:r>
      <w:r w:rsidRPr="001A1836">
        <w:fldChar w:fldCharType="begin"/>
      </w:r>
      <w:r w:rsidRPr="001A1836">
        <w:instrText xml:space="preserve"> REF _Ref505595043 \r \h </w:instrText>
      </w:r>
      <w:r w:rsidR="005E43DB" w:rsidRPr="001A1836">
        <w:instrText xml:space="preserve"> \* MERGEFORMAT </w:instrText>
      </w:r>
      <w:r w:rsidRPr="001A1836">
        <w:fldChar w:fldCharType="separate"/>
      </w:r>
      <w:r w:rsidR="00C87D85">
        <w:t>4.5</w:t>
      </w:r>
      <w:r w:rsidRPr="001A1836">
        <w:fldChar w:fldCharType="end"/>
      </w:r>
      <w:r w:rsidRPr="001A1836">
        <w:t xml:space="preserve">, provide sufficient information to demonstrate to HSE that any variations to Concession Charges as a result of indexation have been calculated properly in accordance with the provisions of this Schedule 4. The Provider shall not notify Registered Businesses of any change in the Concession Charges until it has received written agreement from HSE that the changes have been correctly calculated, such agreement not to be unreasonably withheld or delayed. </w:t>
      </w:r>
    </w:p>
    <w:p w14:paraId="415521AD" w14:textId="3929123E" w:rsidR="00B074CC" w:rsidRPr="001A1836" w:rsidRDefault="00B074CC">
      <w:pPr>
        <w:pStyle w:val="GSRL4numberedclause"/>
      </w:pPr>
      <w:r w:rsidRPr="001A1836">
        <w:t>In respect of any Concession Charges payable by monthly direct debit</w:t>
      </w:r>
      <w:r w:rsidR="00FC7E93" w:rsidRPr="001A1836">
        <w:t xml:space="preserve"> by any person</w:t>
      </w:r>
      <w:r w:rsidRPr="001A1836">
        <w:t xml:space="preserve">, the Provider shall be entitled to vary such monthly payment with effect from each relevant </w:t>
      </w:r>
      <w:r w:rsidR="00536FC9" w:rsidRPr="001A1836">
        <w:t>I</w:t>
      </w:r>
      <w:r w:rsidRPr="001A1836">
        <w:t xml:space="preserve">ndexation </w:t>
      </w:r>
      <w:r w:rsidR="00536FC9" w:rsidRPr="001A1836">
        <w:t>D</w:t>
      </w:r>
      <w:r w:rsidRPr="001A1836">
        <w:t xml:space="preserve">ate notwithstanding that the relevant </w:t>
      </w:r>
      <w:r w:rsidR="0098054F" w:rsidRPr="001A1836">
        <w:t>I</w:t>
      </w:r>
      <w:r w:rsidRPr="001A1836">
        <w:t xml:space="preserve">ndexation </w:t>
      </w:r>
      <w:r w:rsidR="0098054F" w:rsidRPr="001A1836">
        <w:t>D</w:t>
      </w:r>
      <w:r w:rsidRPr="001A1836">
        <w:t xml:space="preserve">ate may be part way through a Registration Year applicable to that person. </w:t>
      </w:r>
    </w:p>
    <w:p w14:paraId="79F9B7B2" w14:textId="77777777" w:rsidR="00B074CC" w:rsidRPr="001A1836" w:rsidRDefault="00B074CC">
      <w:pPr>
        <w:pStyle w:val="GSRL3heading"/>
      </w:pPr>
      <w:bookmarkStart w:id="1065" w:name="_Toc521319347"/>
      <w:bookmarkStart w:id="1066" w:name="_Toc521327009"/>
      <w:bookmarkStart w:id="1067" w:name="_Toc521333242"/>
      <w:bookmarkStart w:id="1068" w:name="_Toc521483989"/>
      <w:bookmarkStart w:id="1069" w:name="_Toc521484752"/>
      <w:bookmarkStart w:id="1070" w:name="_Toc521485083"/>
      <w:bookmarkStart w:id="1071" w:name="_Toc521485755"/>
      <w:bookmarkStart w:id="1072" w:name="_Toc521496802"/>
      <w:bookmarkStart w:id="1073" w:name="_Toc521498244"/>
      <w:bookmarkStart w:id="1074" w:name="_Toc129038178"/>
      <w:bookmarkStart w:id="1075" w:name="_Toc129038464"/>
      <w:bookmarkStart w:id="1076" w:name="_Toc132099299"/>
      <w:bookmarkStart w:id="1077" w:name="_Toc132268034"/>
      <w:bookmarkStart w:id="1078" w:name="_Toc132268340"/>
      <w:bookmarkStart w:id="1079" w:name="_Toc136198591"/>
      <w:bookmarkStart w:id="1080" w:name="_Toc136198872"/>
      <w:r w:rsidRPr="001A1836">
        <w:t>HSE recovery of Outstanding Renewal Charges</w:t>
      </w:r>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r w:rsidRPr="001A1836">
        <w:t xml:space="preserve"> </w:t>
      </w:r>
    </w:p>
    <w:p w14:paraId="7C091D4C" w14:textId="77777777" w:rsidR="00B074CC" w:rsidRPr="001A1836" w:rsidRDefault="00B074CC">
      <w:pPr>
        <w:pStyle w:val="GSRL4numberedclause"/>
      </w:pPr>
      <w:r w:rsidRPr="001A1836">
        <w:t xml:space="preserve">In the event of expiry or earlier termination of the Agreement for any reason, HSE may require the Provider to return any Outstanding Renewal Charges to HSE or such other party as may be nominated in writing by HSE in accordance with the following provisions of this paragraph 5. </w:t>
      </w:r>
    </w:p>
    <w:p w14:paraId="04B5F3B6" w14:textId="77777777" w:rsidR="00B074CC" w:rsidRPr="001A1836" w:rsidRDefault="00B074CC">
      <w:pPr>
        <w:pStyle w:val="GSRL4numberedclause"/>
      </w:pPr>
      <w:r w:rsidRPr="001A1836">
        <w:t xml:space="preserve">At the date of expiry or earlier termination, the Provider shall provide HSE with details of Businesses that have paid their annual Renewal Charges in full in advance and those that have apportioned the payment of the annual Renewal Charges through, for example, monthly direct debits. </w:t>
      </w:r>
    </w:p>
    <w:p w14:paraId="53532D69" w14:textId="3E956753" w:rsidR="00B074CC" w:rsidRPr="001A1836" w:rsidRDefault="00B074CC">
      <w:pPr>
        <w:pStyle w:val="GSRL4numberedclause"/>
      </w:pPr>
      <w:r w:rsidRPr="001A1836">
        <w:t xml:space="preserve">The Outstanding Renewal Charges will be calculated for each individual Registered Business on the appropriate basis as described in paragraph 5.3.1 or 5.3.2 below. The sum total of all Outstanding Renewal </w:t>
      </w:r>
      <w:r w:rsidR="004D2007" w:rsidRPr="001A1836">
        <w:t>C</w:t>
      </w:r>
      <w:r w:rsidRPr="001A1836">
        <w:t>harges for all Registered Businesses shall be returned to HSE.</w:t>
      </w:r>
    </w:p>
    <w:p w14:paraId="3901FA00" w14:textId="25DB4706" w:rsidR="00B074CC" w:rsidRPr="001A1836" w:rsidRDefault="007920CE">
      <w:pPr>
        <w:pStyle w:val="GSRL5numberedclause"/>
      </w:pPr>
      <w:r w:rsidRPr="001A1836">
        <w:t xml:space="preserve">In respect of Business Renewal Charges and New Registration </w:t>
      </w:r>
      <w:r w:rsidR="002C042B" w:rsidRPr="001A1836">
        <w:t>Charges paid</w:t>
      </w:r>
      <w:r w:rsidR="00B074CC" w:rsidRPr="001A1836">
        <w:t xml:space="preserve"> in full at point of registration</w:t>
      </w:r>
      <w:r w:rsidRPr="001A1836">
        <w:t xml:space="preserve"> or renewal, as applicable</w:t>
      </w:r>
      <w:r w:rsidR="00B074CC" w:rsidRPr="001A1836">
        <w:t>:</w:t>
      </w:r>
    </w:p>
    <w:p w14:paraId="1BE09836" w14:textId="77777777" w:rsidR="00B074CC" w:rsidRPr="001A1836" w:rsidRDefault="00B074CC" w:rsidP="00626054">
      <w:pPr>
        <w:pStyle w:val="Number"/>
        <w:ind w:left="1582" w:firstLine="0"/>
        <w:rPr>
          <w:b/>
        </w:rPr>
      </w:pPr>
      <w:r w:rsidRPr="001A1836">
        <w:rPr>
          <w:b/>
        </w:rPr>
        <w:t>A = B/365 x C</w:t>
      </w:r>
    </w:p>
    <w:p w14:paraId="123C0AAA" w14:textId="77777777" w:rsidR="00B074CC" w:rsidRPr="001A1836" w:rsidRDefault="00B074CC" w:rsidP="00626054">
      <w:pPr>
        <w:tabs>
          <w:tab w:val="left" w:pos="1582"/>
        </w:tabs>
        <w:ind w:left="1582" w:hanging="1582"/>
      </w:pPr>
      <w:r w:rsidRPr="001A1836">
        <w:tab/>
        <w:t xml:space="preserve">Where: </w:t>
      </w:r>
    </w:p>
    <w:p w14:paraId="2471D455" w14:textId="77777777" w:rsidR="00B074CC" w:rsidRPr="001A1836" w:rsidRDefault="00B074CC" w:rsidP="00626054">
      <w:pPr>
        <w:tabs>
          <w:tab w:val="left" w:pos="1582"/>
        </w:tabs>
        <w:ind w:left="1582" w:hanging="1582"/>
      </w:pPr>
      <w:r w:rsidRPr="001A1836">
        <w:tab/>
        <w:t>A = the Outstanding Renewal Charges for each individual Registered Business</w:t>
      </w:r>
    </w:p>
    <w:p w14:paraId="3DEB79AD" w14:textId="6E8E2FAD" w:rsidR="00B074CC" w:rsidRPr="001A1836" w:rsidRDefault="00B074CC" w:rsidP="00626054">
      <w:pPr>
        <w:tabs>
          <w:tab w:val="left" w:pos="1582"/>
        </w:tabs>
        <w:ind w:left="1582" w:hanging="1582"/>
      </w:pPr>
      <w:r w:rsidRPr="001A1836">
        <w:lastRenderedPageBreak/>
        <w:tab/>
        <w:t>B = the number of paid-for days of registration remaining on the day immediately following the date of termination or expiry</w:t>
      </w:r>
      <w:r w:rsidR="004D2007" w:rsidRPr="001A1836">
        <w:t xml:space="preserve"> of this Agreement</w:t>
      </w:r>
    </w:p>
    <w:p w14:paraId="0DA7AF8D" w14:textId="7DBF4005" w:rsidR="00B074CC" w:rsidRPr="001A1836" w:rsidRDefault="00B074CC" w:rsidP="00626054">
      <w:pPr>
        <w:pStyle w:val="Number"/>
        <w:tabs>
          <w:tab w:val="left" w:pos="1582"/>
        </w:tabs>
        <w:ind w:left="1582" w:hanging="1582"/>
      </w:pPr>
      <w:r w:rsidRPr="001A1836">
        <w:tab/>
        <w:t xml:space="preserve">C = the </w:t>
      </w:r>
      <w:r w:rsidR="006A419E" w:rsidRPr="001A1836">
        <w:t xml:space="preserve"> Business Renewal Charge</w:t>
      </w:r>
      <w:r w:rsidR="000C426D" w:rsidRPr="001A1836">
        <w:t>s</w:t>
      </w:r>
      <w:r w:rsidR="00C11836" w:rsidRPr="001A1836">
        <w:t xml:space="preserve"> </w:t>
      </w:r>
      <w:r w:rsidR="00C4005F">
        <w:t>or</w:t>
      </w:r>
      <w:r w:rsidR="00C11836" w:rsidRPr="001A1836">
        <w:t xml:space="preserve"> the New Registration Charge</w:t>
      </w:r>
      <w:r w:rsidR="00C4005F">
        <w:t>,</w:t>
      </w:r>
      <w:r w:rsidR="00C11836" w:rsidRPr="001A1836">
        <w:t xml:space="preserve"> as applicable</w:t>
      </w:r>
      <w:r w:rsidR="006A419E" w:rsidRPr="001A1836">
        <w:t>.</w:t>
      </w:r>
    </w:p>
    <w:p w14:paraId="7506758F" w14:textId="77777777" w:rsidR="00B074CC" w:rsidRPr="001A1836" w:rsidRDefault="00B074CC" w:rsidP="00626054">
      <w:pPr>
        <w:pStyle w:val="Number"/>
        <w:tabs>
          <w:tab w:val="left" w:pos="1582"/>
        </w:tabs>
        <w:ind w:left="1582" w:hanging="1582"/>
      </w:pPr>
      <w:r w:rsidRPr="001A1836">
        <w:tab/>
        <w:t>In a leap year, 366 is to be used in the calculation instead of 365.</w:t>
      </w:r>
    </w:p>
    <w:p w14:paraId="13D8D7C7" w14:textId="7B17A4A0" w:rsidR="00B074CC" w:rsidRPr="001A1836" w:rsidRDefault="007920CE">
      <w:pPr>
        <w:pStyle w:val="GSRL5numberedclause"/>
      </w:pPr>
      <w:r w:rsidRPr="001A1836">
        <w:t>In respect of Business Renewal Charges and New Registration Charges</w:t>
      </w:r>
      <w:r w:rsidR="00B074CC" w:rsidRPr="001A1836">
        <w:t xml:space="preserve"> paid in monthly instalments by Direct Debit</w:t>
      </w:r>
      <w:r w:rsidRPr="001A1836">
        <w:t>, Outstanding Renewal Charges shall be calculated in accordance with the following formula</w:t>
      </w:r>
      <w:r w:rsidR="00B074CC" w:rsidRPr="001A1836">
        <w:t>:</w:t>
      </w:r>
    </w:p>
    <w:p w14:paraId="5F02EF7A" w14:textId="3070296F" w:rsidR="00B074CC" w:rsidRPr="001A1836" w:rsidRDefault="00B074CC" w:rsidP="00626054">
      <w:pPr>
        <w:pStyle w:val="Number"/>
        <w:tabs>
          <w:tab w:val="left" w:pos="1582"/>
        </w:tabs>
        <w:ind w:left="0" w:firstLine="0"/>
        <w:rPr>
          <w:b/>
        </w:rPr>
      </w:pPr>
      <w:r w:rsidRPr="001A1836">
        <w:tab/>
      </w:r>
      <w:r w:rsidRPr="001A1836">
        <w:rPr>
          <w:b/>
        </w:rPr>
        <w:t>A = B/C x D</w:t>
      </w:r>
    </w:p>
    <w:p w14:paraId="0EAA09FE" w14:textId="77777777" w:rsidR="00B074CC" w:rsidRPr="001A1836" w:rsidRDefault="00B074CC" w:rsidP="00626054">
      <w:pPr>
        <w:tabs>
          <w:tab w:val="left" w:pos="1582"/>
        </w:tabs>
        <w:ind w:left="1582" w:hanging="1582"/>
      </w:pPr>
      <w:r w:rsidRPr="001A1836">
        <w:tab/>
        <w:t xml:space="preserve">Where: </w:t>
      </w:r>
    </w:p>
    <w:p w14:paraId="2C4E1F14" w14:textId="77777777" w:rsidR="00B074CC" w:rsidRPr="001A1836" w:rsidRDefault="00B074CC" w:rsidP="00626054">
      <w:pPr>
        <w:tabs>
          <w:tab w:val="left" w:pos="1582"/>
        </w:tabs>
        <w:ind w:left="1582" w:hanging="1582"/>
      </w:pPr>
      <w:r w:rsidRPr="001A1836">
        <w:tab/>
        <w:t>A = the Outstanding Renewal Charges for each individual Registered Business</w:t>
      </w:r>
    </w:p>
    <w:p w14:paraId="4C0B18E2" w14:textId="77777777" w:rsidR="00B074CC" w:rsidRPr="001A1836" w:rsidRDefault="00B074CC" w:rsidP="00626054">
      <w:pPr>
        <w:tabs>
          <w:tab w:val="left" w:pos="1582"/>
        </w:tabs>
        <w:ind w:left="1582" w:hanging="1582"/>
      </w:pPr>
      <w:r w:rsidRPr="001A1836">
        <w:tab/>
        <w:t>B = the number of paid-for days of registration remaining on the day immediately following the date of termination or expiry</w:t>
      </w:r>
    </w:p>
    <w:p w14:paraId="60C66F0A" w14:textId="59F246DD" w:rsidR="00B074CC" w:rsidRPr="001A1836" w:rsidRDefault="00B074CC" w:rsidP="00626054">
      <w:pPr>
        <w:pStyle w:val="Number"/>
        <w:tabs>
          <w:tab w:val="left" w:pos="1582"/>
        </w:tabs>
        <w:ind w:left="1582" w:hanging="1582"/>
      </w:pPr>
      <w:r w:rsidRPr="001A1836">
        <w:tab/>
        <w:t xml:space="preserve">C = the number of days in the month that the </w:t>
      </w:r>
      <w:r w:rsidR="006A419E" w:rsidRPr="001A1836">
        <w:t>Agreement</w:t>
      </w:r>
      <w:r w:rsidRPr="001A1836">
        <w:t xml:space="preserve"> is terminated or expires </w:t>
      </w:r>
    </w:p>
    <w:p w14:paraId="379EC3C6" w14:textId="615F1C20" w:rsidR="00B074CC" w:rsidRPr="001A1836" w:rsidRDefault="00B074CC" w:rsidP="00626054">
      <w:pPr>
        <w:pStyle w:val="Number"/>
        <w:tabs>
          <w:tab w:val="left" w:pos="1582"/>
        </w:tabs>
        <w:ind w:left="1582" w:hanging="1582"/>
      </w:pPr>
      <w:r w:rsidRPr="001A1836">
        <w:tab/>
        <w:t xml:space="preserve">D = </w:t>
      </w:r>
      <w:r w:rsidR="00431EB0" w:rsidRPr="001A1836">
        <w:t xml:space="preserve">the amount paid by the Registered Business, </w:t>
      </w:r>
      <w:r w:rsidR="00431EB0" w:rsidRPr="001A1836">
        <w:rPr>
          <w:b/>
        </w:rPr>
        <w:t>in the month</w:t>
      </w:r>
      <w:r w:rsidR="00431EB0" w:rsidRPr="001A1836">
        <w:t xml:space="preserve"> that the Agreement is terminated or expires, of </w:t>
      </w:r>
      <w:r w:rsidR="007920CE" w:rsidRPr="001A1836">
        <w:t xml:space="preserve">(i) the </w:t>
      </w:r>
      <w:r w:rsidR="00C11836" w:rsidRPr="001A1836">
        <w:t xml:space="preserve">Business </w:t>
      </w:r>
      <w:r w:rsidR="007920CE" w:rsidRPr="001A1836">
        <w:t>Renewal Charge paid by that Registered Business or, (ii) New Registration Charge</w:t>
      </w:r>
    </w:p>
    <w:p w14:paraId="0F451C9D" w14:textId="3A5E4C82" w:rsidR="008D673E" w:rsidRPr="001A1836" w:rsidRDefault="00C632F2">
      <w:pPr>
        <w:pStyle w:val="GSRL5numberedclause"/>
      </w:pPr>
      <w:r w:rsidRPr="001A1836">
        <w:t>For the purpose of the calculations in 5.3.1 and 5.3.2, the new Registration Charge excludes the Application Fee because this does not relate to any period that falls after the date of expiry or earlier termination</w:t>
      </w:r>
      <w:r w:rsidR="008D673E" w:rsidRPr="001A1836">
        <w:t>.</w:t>
      </w:r>
    </w:p>
    <w:p w14:paraId="2EB8BD6B" w14:textId="77777777" w:rsidR="00B074CC" w:rsidRPr="001A1836" w:rsidRDefault="00B074CC">
      <w:pPr>
        <w:pStyle w:val="GSRL4numberedclause"/>
      </w:pPr>
      <w:r w:rsidRPr="001A1836">
        <w:t xml:space="preserve">If HSE terminates the Agreement for convenience pursuant to Clause 41.7 (Termination Without Cause) and does not appoint a third party to undertake the Concession Services or services substantially similar to the Concession Services in the period of twelve (12) Months following the date of expiry or earlier termination of this Agreement, the Provider shall subject to payment of a reasonable administration costs to be agreed with HSE, return the Outstanding Renewal Charges to Businesses in proportion to the Renewal Charges originally paid by such Business in respect of the relevant Contract Year. </w:t>
      </w:r>
    </w:p>
    <w:p w14:paraId="00477FA7" w14:textId="4EA9FB55" w:rsidR="00B074CC" w:rsidRPr="001A1836" w:rsidRDefault="00B074CC">
      <w:pPr>
        <w:pStyle w:val="GSRL4numberedclause"/>
      </w:pPr>
      <w:r w:rsidRPr="001A1836">
        <w:t xml:space="preserve">Any payment of Outstanding Renewal </w:t>
      </w:r>
      <w:r w:rsidR="00FD20D3" w:rsidRPr="001A1836">
        <w:t xml:space="preserve">Charges </w:t>
      </w:r>
      <w:r w:rsidRPr="001A1836">
        <w:t xml:space="preserve">by the Provider pursuant to this paragraph 5 shall be made net of any tax due in respect of such payment. </w:t>
      </w:r>
    </w:p>
    <w:p w14:paraId="51F8CB9C" w14:textId="77777777" w:rsidR="00B074CC" w:rsidRPr="001A1836" w:rsidRDefault="00B074CC" w:rsidP="00626054"/>
    <w:bookmarkEnd w:id="1011"/>
    <w:p w14:paraId="670C1D8D" w14:textId="77777777" w:rsidR="009064B4" w:rsidRPr="001A1836" w:rsidRDefault="009064B4" w:rsidP="009064B4"/>
    <w:p w14:paraId="6B8193F0" w14:textId="77777777" w:rsidR="009064B4" w:rsidRPr="001A1836" w:rsidRDefault="009064B4" w:rsidP="009064B4"/>
    <w:p w14:paraId="76FD0661" w14:textId="77777777" w:rsidR="00394111" w:rsidRPr="001A1836" w:rsidRDefault="00394111" w:rsidP="009064B4">
      <w:pPr>
        <w:pStyle w:val="GSRL1Scheduleheader"/>
        <w:sectPr w:rsidR="00394111" w:rsidRPr="001A1836" w:rsidSect="00F87B8D">
          <w:footerReference w:type="default" r:id="rId18"/>
          <w:pgSz w:w="11900" w:h="16840"/>
          <w:pgMar w:top="1134" w:right="1440" w:bottom="1440" w:left="1440" w:header="1077" w:footer="833" w:gutter="0"/>
          <w:cols w:space="708"/>
        </w:sectPr>
      </w:pPr>
    </w:p>
    <w:p w14:paraId="2BB5AD09" w14:textId="55FC185B" w:rsidR="00B074CC" w:rsidRPr="001A1836" w:rsidRDefault="00B074CC" w:rsidP="009064B4">
      <w:pPr>
        <w:pStyle w:val="GSRL1Scheduleheader"/>
      </w:pPr>
      <w:bookmarkStart w:id="1081" w:name="_Toc129038179"/>
      <w:bookmarkStart w:id="1082" w:name="_Toc129038465"/>
      <w:bookmarkStart w:id="1083" w:name="_Toc132268035"/>
      <w:bookmarkStart w:id="1084" w:name="_Toc132268341"/>
      <w:bookmarkStart w:id="1085" w:name="_Toc136198592"/>
      <w:bookmarkStart w:id="1086" w:name="_Toc136198873"/>
      <w:bookmarkStart w:id="1087" w:name="_Toc188885251"/>
      <w:r w:rsidRPr="001A1836">
        <w:lastRenderedPageBreak/>
        <w:t xml:space="preserve">SCHEDULE 5: </w:t>
      </w:r>
      <w:r w:rsidR="004C2FF4" w:rsidRPr="001A1836">
        <w:t xml:space="preserve">Financial Model and Gain </w:t>
      </w:r>
      <w:r w:rsidR="00207185">
        <w:t>S</w:t>
      </w:r>
      <w:r w:rsidR="004C2FF4" w:rsidRPr="001A1836">
        <w:t>hare</w:t>
      </w:r>
      <w:bookmarkEnd w:id="1081"/>
      <w:bookmarkEnd w:id="1082"/>
      <w:bookmarkEnd w:id="1083"/>
      <w:bookmarkEnd w:id="1084"/>
      <w:bookmarkEnd w:id="1085"/>
      <w:bookmarkEnd w:id="1086"/>
      <w:bookmarkEnd w:id="1087"/>
    </w:p>
    <w:p w14:paraId="73BBF40E" w14:textId="77777777" w:rsidR="00B074CC" w:rsidRPr="001A1836" w:rsidRDefault="00B074CC" w:rsidP="009064B4"/>
    <w:p w14:paraId="0C8EA95C" w14:textId="77777777" w:rsidR="00B074CC" w:rsidRPr="001A1836" w:rsidRDefault="00B074CC" w:rsidP="009064B4"/>
    <w:p w14:paraId="0BC7E8CF" w14:textId="13047744" w:rsidR="0080172E" w:rsidRPr="001A1836" w:rsidRDefault="00B074CC" w:rsidP="000671D8">
      <w:pPr>
        <w:pStyle w:val="GSRL2Sectionheading"/>
        <w:rPr>
          <w:b w:val="0"/>
          <w:caps w:val="0"/>
        </w:rPr>
      </w:pPr>
      <w:r w:rsidRPr="001A1836">
        <w:br w:type="page"/>
      </w:r>
      <w:bookmarkStart w:id="1088" w:name="_Toc521319349"/>
      <w:bookmarkStart w:id="1089" w:name="_Toc521327011"/>
      <w:bookmarkStart w:id="1090" w:name="_Toc521333244"/>
      <w:bookmarkStart w:id="1091" w:name="Schedule5"/>
    </w:p>
    <w:p w14:paraId="74BF2AED" w14:textId="659B242E" w:rsidR="00B074CC" w:rsidRPr="001A1836" w:rsidRDefault="00B074CC" w:rsidP="005E43DB">
      <w:pPr>
        <w:pStyle w:val="GSRL2Sectionheading"/>
      </w:pPr>
      <w:bookmarkStart w:id="1092" w:name="_Toc521496804"/>
      <w:bookmarkStart w:id="1093" w:name="_Toc521498246"/>
      <w:bookmarkStart w:id="1094" w:name="_Toc529345980"/>
      <w:bookmarkStart w:id="1095" w:name="_Toc129038181"/>
      <w:bookmarkStart w:id="1096" w:name="_Toc129038467"/>
      <w:bookmarkStart w:id="1097" w:name="_Toc132268037"/>
      <w:bookmarkStart w:id="1098" w:name="_Toc132268343"/>
      <w:bookmarkStart w:id="1099" w:name="_Toc136198594"/>
      <w:bookmarkStart w:id="1100" w:name="_Toc136198875"/>
      <w:r w:rsidRPr="001A1836">
        <w:lastRenderedPageBreak/>
        <w:t>Purpose and General Obligation Upon Provider</w:t>
      </w:r>
      <w:bookmarkEnd w:id="1088"/>
      <w:bookmarkEnd w:id="1089"/>
      <w:bookmarkEnd w:id="1090"/>
      <w:bookmarkEnd w:id="1092"/>
      <w:bookmarkEnd w:id="1093"/>
      <w:bookmarkEnd w:id="1094"/>
      <w:bookmarkEnd w:id="1095"/>
      <w:bookmarkEnd w:id="1096"/>
      <w:bookmarkEnd w:id="1097"/>
      <w:bookmarkEnd w:id="1098"/>
      <w:bookmarkEnd w:id="1099"/>
      <w:bookmarkEnd w:id="1100"/>
    </w:p>
    <w:p w14:paraId="64DEAA80" w14:textId="77777777" w:rsidR="00B074CC" w:rsidRPr="001A1836" w:rsidRDefault="00B074CC" w:rsidP="004E2262">
      <w:pPr>
        <w:pStyle w:val="GSRL3heading"/>
        <w:numPr>
          <w:ilvl w:val="0"/>
          <w:numId w:val="61"/>
        </w:numPr>
      </w:pPr>
      <w:bookmarkStart w:id="1101" w:name="_Toc521319350"/>
      <w:bookmarkStart w:id="1102" w:name="_Toc521327012"/>
      <w:bookmarkStart w:id="1103" w:name="_Toc521333245"/>
      <w:bookmarkStart w:id="1104" w:name="_Toc521483991"/>
      <w:bookmarkStart w:id="1105" w:name="_Toc521484754"/>
      <w:bookmarkStart w:id="1106" w:name="_Toc521485085"/>
      <w:bookmarkStart w:id="1107" w:name="_Toc521496805"/>
      <w:bookmarkStart w:id="1108" w:name="_Toc521498247"/>
      <w:bookmarkStart w:id="1109" w:name="_Toc529345981"/>
      <w:bookmarkStart w:id="1110" w:name="_Toc129038182"/>
      <w:bookmarkStart w:id="1111" w:name="_Toc129038468"/>
      <w:bookmarkStart w:id="1112" w:name="_Toc132268038"/>
      <w:bookmarkStart w:id="1113" w:name="_Toc132268344"/>
      <w:bookmarkStart w:id="1114" w:name="_Toc136198595"/>
      <w:bookmarkStart w:id="1115" w:name="_Toc136198876"/>
      <w:r w:rsidRPr="001A1836">
        <w:t>Purpose and effect</w:t>
      </w:r>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r w:rsidRPr="001A1836">
        <w:t xml:space="preserve"> </w:t>
      </w:r>
    </w:p>
    <w:p w14:paraId="4D3FD9A0" w14:textId="77777777" w:rsidR="00B074CC" w:rsidRPr="001A1836" w:rsidRDefault="00B074CC">
      <w:pPr>
        <w:pStyle w:val="GSRL4numberedclause"/>
      </w:pPr>
      <w:r w:rsidRPr="001A1836">
        <w:t xml:space="preserve">The purpose of this Schedule is to enable HSE to ensure that throughout the Term: </w:t>
      </w:r>
    </w:p>
    <w:p w14:paraId="258CA2E6" w14:textId="77777777" w:rsidR="00B074CC" w:rsidRPr="001A1836" w:rsidRDefault="00B074CC">
      <w:pPr>
        <w:pStyle w:val="GSRL5numberedclause"/>
      </w:pPr>
      <w:r w:rsidRPr="001A1836">
        <w:t xml:space="preserve">the provision of Services continues to represent value for money for Registered Businesses and Engineers; </w:t>
      </w:r>
    </w:p>
    <w:p w14:paraId="1F5207E1" w14:textId="77777777" w:rsidR="00B074CC" w:rsidRPr="001A1836" w:rsidRDefault="00B074CC">
      <w:pPr>
        <w:pStyle w:val="GSRL5numberedclause"/>
      </w:pPr>
      <w:r w:rsidRPr="001A1836">
        <w:t xml:space="preserve">the Provider receives value for money in respect of Intra-group Services it purchases; </w:t>
      </w:r>
    </w:p>
    <w:p w14:paraId="290510AA" w14:textId="77777777" w:rsidR="00B074CC" w:rsidRPr="001A1836" w:rsidRDefault="00B074CC">
      <w:pPr>
        <w:pStyle w:val="GSRL5numberedclause"/>
      </w:pPr>
      <w:r w:rsidRPr="001A1836">
        <w:t xml:space="preserve">the Provider provides Intra-group Services on commercially reasonable terms; and </w:t>
      </w:r>
    </w:p>
    <w:p w14:paraId="425D2000" w14:textId="37C21744" w:rsidR="00B074CC" w:rsidRPr="001A1836" w:rsidRDefault="00B074CC">
      <w:pPr>
        <w:pStyle w:val="GSRL5numberedclause"/>
      </w:pPr>
      <w:r w:rsidRPr="001A1836">
        <w:t>an appropriate mechanism is in place to monitor and apportion the Gain Share Fund as further set out in paragraph</w:t>
      </w:r>
      <w:r w:rsidR="00044984">
        <w:t>s 4 and</w:t>
      </w:r>
      <w:r w:rsidRPr="001A1836">
        <w:t xml:space="preserve"> </w:t>
      </w:r>
      <w:r w:rsidRPr="001A1836">
        <w:fldChar w:fldCharType="begin"/>
      </w:r>
      <w:r w:rsidRPr="001A1836">
        <w:instrText xml:space="preserve"> REF _Ref505866447 \r \h </w:instrText>
      </w:r>
      <w:r w:rsidR="00510454" w:rsidRPr="001A1836">
        <w:instrText xml:space="preserve"> \* MERGEFORMAT </w:instrText>
      </w:r>
      <w:r w:rsidRPr="001A1836">
        <w:fldChar w:fldCharType="separate"/>
      </w:r>
      <w:r w:rsidR="00C87D85">
        <w:t>5</w:t>
      </w:r>
      <w:r w:rsidRPr="001A1836">
        <w:fldChar w:fldCharType="end"/>
      </w:r>
      <w:r w:rsidRPr="001A1836">
        <w:t xml:space="preserve"> below. </w:t>
      </w:r>
    </w:p>
    <w:p w14:paraId="09A17C77" w14:textId="77777777" w:rsidR="00B074CC" w:rsidRPr="001A1836" w:rsidRDefault="00B074CC">
      <w:pPr>
        <w:pStyle w:val="GSRL3heading"/>
      </w:pPr>
      <w:bookmarkStart w:id="1116" w:name="_Toc521319351"/>
      <w:bookmarkStart w:id="1117" w:name="_Toc521327013"/>
      <w:bookmarkStart w:id="1118" w:name="_Toc521333246"/>
      <w:bookmarkStart w:id="1119" w:name="_Toc521483992"/>
      <w:bookmarkStart w:id="1120" w:name="_Toc521484755"/>
      <w:bookmarkStart w:id="1121" w:name="_Toc521485086"/>
      <w:bookmarkStart w:id="1122" w:name="_Toc521496806"/>
      <w:bookmarkStart w:id="1123" w:name="_Toc521498248"/>
      <w:bookmarkStart w:id="1124" w:name="_Toc529345982"/>
      <w:bookmarkStart w:id="1125" w:name="_Toc129038183"/>
      <w:bookmarkStart w:id="1126" w:name="_Toc129038469"/>
      <w:bookmarkStart w:id="1127" w:name="_Toc132268039"/>
      <w:bookmarkStart w:id="1128" w:name="_Toc132268345"/>
      <w:bookmarkStart w:id="1129" w:name="_Toc136198596"/>
      <w:bookmarkStart w:id="1130" w:name="_Toc136198877"/>
      <w:r w:rsidRPr="001A1836">
        <w:t>Provider's general obligation</w:t>
      </w:r>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r w:rsidRPr="001A1836">
        <w:t xml:space="preserve"> </w:t>
      </w:r>
    </w:p>
    <w:p w14:paraId="13309A41" w14:textId="77777777" w:rsidR="00B074CC" w:rsidRPr="001A1836" w:rsidRDefault="00B074CC">
      <w:pPr>
        <w:pStyle w:val="GSRL4numberedclause"/>
      </w:pPr>
      <w:r w:rsidRPr="001A1836">
        <w:t xml:space="preserve">Provider shall, as further set out in this Schedule, put mechanisms in place and take measures to ensure, from the Effective Date and throughout the Term, that the value for money and quality of the Services provided to Customers increases over time. </w:t>
      </w:r>
    </w:p>
    <w:p w14:paraId="4A9A6BDB" w14:textId="77777777" w:rsidR="00B074CC" w:rsidRPr="001A1836" w:rsidRDefault="00B074CC">
      <w:pPr>
        <w:pStyle w:val="GSRL4numberedclause"/>
      </w:pPr>
      <w:r w:rsidRPr="001A1836">
        <w:t xml:space="preserve">This Schedule covers: </w:t>
      </w:r>
    </w:p>
    <w:p w14:paraId="21288BE6" w14:textId="77777777" w:rsidR="00B074CC" w:rsidRPr="001A1836" w:rsidRDefault="00B074CC">
      <w:pPr>
        <w:pStyle w:val="GSRL5numberedclause"/>
      </w:pPr>
      <w:r w:rsidRPr="001A1836">
        <w:t xml:space="preserve">Financial Model; </w:t>
      </w:r>
    </w:p>
    <w:p w14:paraId="2B8BBA24" w14:textId="77777777" w:rsidR="00B074CC" w:rsidRPr="001A1836" w:rsidRDefault="00B074CC">
      <w:pPr>
        <w:pStyle w:val="GSRL5numberedclause"/>
      </w:pPr>
      <w:r w:rsidRPr="001A1836">
        <w:t xml:space="preserve">Gain Share; </w:t>
      </w:r>
    </w:p>
    <w:p w14:paraId="2A70CAC6" w14:textId="77777777" w:rsidR="00B074CC" w:rsidRPr="001A1836" w:rsidRDefault="00B074CC">
      <w:pPr>
        <w:pStyle w:val="GSRL5numberedclause"/>
      </w:pPr>
      <w:r w:rsidRPr="001A1836">
        <w:t>Open Book Accounting;</w:t>
      </w:r>
    </w:p>
    <w:p w14:paraId="441FE3A6" w14:textId="77777777" w:rsidR="00B074CC" w:rsidRPr="001A1836" w:rsidRDefault="00B074CC">
      <w:pPr>
        <w:pStyle w:val="GSRL5numberedclause"/>
      </w:pPr>
      <w:r w:rsidRPr="001A1836">
        <w:t xml:space="preserve">Benchmarking; and </w:t>
      </w:r>
    </w:p>
    <w:p w14:paraId="166D295B" w14:textId="77777777" w:rsidR="00B074CC" w:rsidRPr="001A1836" w:rsidRDefault="00B074CC">
      <w:pPr>
        <w:pStyle w:val="GSRL5numberedclause"/>
      </w:pPr>
      <w:r w:rsidRPr="001A1836">
        <w:t xml:space="preserve">Continuous Service Improvement. </w:t>
      </w:r>
    </w:p>
    <w:p w14:paraId="74D8378F" w14:textId="77777777" w:rsidR="00B074CC" w:rsidRPr="001A1836" w:rsidRDefault="00B074CC" w:rsidP="005E43DB">
      <w:pPr>
        <w:pStyle w:val="GSRL2Sectionheading"/>
      </w:pPr>
      <w:bookmarkStart w:id="1131" w:name="_Toc521319352"/>
      <w:bookmarkStart w:id="1132" w:name="_Toc521327014"/>
      <w:bookmarkStart w:id="1133" w:name="_Toc521333247"/>
      <w:bookmarkStart w:id="1134" w:name="_Toc521496807"/>
      <w:bookmarkStart w:id="1135" w:name="_Toc521498249"/>
      <w:bookmarkStart w:id="1136" w:name="_Toc529345983"/>
      <w:bookmarkStart w:id="1137" w:name="_Toc129038184"/>
      <w:bookmarkStart w:id="1138" w:name="_Toc129038470"/>
      <w:bookmarkStart w:id="1139" w:name="_Toc132268040"/>
      <w:bookmarkStart w:id="1140" w:name="_Toc132268346"/>
      <w:bookmarkStart w:id="1141" w:name="_Toc136198597"/>
      <w:bookmarkStart w:id="1142" w:name="_Toc136198878"/>
      <w:r w:rsidRPr="001A1836">
        <w:t>Financial Model</w:t>
      </w:r>
      <w:bookmarkEnd w:id="1131"/>
      <w:bookmarkEnd w:id="1132"/>
      <w:bookmarkEnd w:id="1133"/>
      <w:bookmarkEnd w:id="1134"/>
      <w:bookmarkEnd w:id="1135"/>
      <w:bookmarkEnd w:id="1136"/>
      <w:bookmarkEnd w:id="1137"/>
      <w:bookmarkEnd w:id="1138"/>
      <w:bookmarkEnd w:id="1139"/>
      <w:bookmarkEnd w:id="1140"/>
      <w:bookmarkEnd w:id="1141"/>
      <w:bookmarkEnd w:id="1142"/>
    </w:p>
    <w:p w14:paraId="25D86F4C" w14:textId="77777777" w:rsidR="00B074CC" w:rsidRPr="001A1836" w:rsidRDefault="00B074CC">
      <w:pPr>
        <w:pStyle w:val="GSRL3heading"/>
      </w:pPr>
      <w:bookmarkStart w:id="1143" w:name="_Toc521319353"/>
      <w:bookmarkStart w:id="1144" w:name="_Toc521327015"/>
      <w:bookmarkStart w:id="1145" w:name="_Toc521333248"/>
      <w:bookmarkStart w:id="1146" w:name="_Toc521483993"/>
      <w:bookmarkStart w:id="1147" w:name="_Toc521484756"/>
      <w:bookmarkStart w:id="1148" w:name="_Toc521485087"/>
      <w:bookmarkStart w:id="1149" w:name="_Toc521496808"/>
      <w:bookmarkStart w:id="1150" w:name="_Toc521498250"/>
      <w:bookmarkStart w:id="1151" w:name="_Toc529345984"/>
      <w:bookmarkStart w:id="1152" w:name="_Toc129038185"/>
      <w:bookmarkStart w:id="1153" w:name="_Toc129038471"/>
      <w:bookmarkStart w:id="1154" w:name="_Toc132268041"/>
      <w:bookmarkStart w:id="1155" w:name="_Toc132268347"/>
      <w:bookmarkStart w:id="1156" w:name="_Toc136198598"/>
      <w:bookmarkStart w:id="1157" w:name="_Toc136198879"/>
      <w:r w:rsidRPr="001A1836">
        <w:t>Financial Model</w:t>
      </w:r>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r w:rsidRPr="001A1836">
        <w:t xml:space="preserve"> </w:t>
      </w:r>
    </w:p>
    <w:p w14:paraId="7B32844F" w14:textId="77777777" w:rsidR="00B074CC" w:rsidRPr="001A1836" w:rsidRDefault="00B074CC">
      <w:pPr>
        <w:pStyle w:val="GSRL4numberedclause"/>
      </w:pPr>
      <w:r w:rsidRPr="001A1836">
        <w:t>General Principles</w:t>
      </w:r>
    </w:p>
    <w:p w14:paraId="5C0AB266" w14:textId="1EA339CA" w:rsidR="00B074CC" w:rsidRPr="001A1836" w:rsidRDefault="00B074CC">
      <w:pPr>
        <w:pStyle w:val="GSRL5numberedclause"/>
      </w:pPr>
      <w:r w:rsidRPr="001A1836">
        <w:t>The Provider shall receive Revenue throughout the Term in accordance with the Terms and Conditions of this Agreement.</w:t>
      </w:r>
    </w:p>
    <w:p w14:paraId="235C7522" w14:textId="0A3D4C01" w:rsidR="003B46B7" w:rsidRPr="00B52652" w:rsidRDefault="00B074CC">
      <w:pPr>
        <w:pStyle w:val="GSRL5numberedclause"/>
      </w:pPr>
      <w:r w:rsidRPr="001A1836">
        <w:t xml:space="preserve">The Provider Profit will be calculated as a percentage of their </w:t>
      </w:r>
      <w:r w:rsidR="005504F6">
        <w:t>Agreed Operating Costs</w:t>
      </w:r>
      <w:r w:rsidRPr="001A1836">
        <w:t xml:space="preserve">. The </w:t>
      </w:r>
      <w:r w:rsidR="00B52652">
        <w:t xml:space="preserve">Provider Profit </w:t>
      </w:r>
      <w:r w:rsidR="00FE6896">
        <w:t xml:space="preserve">percentage </w:t>
      </w:r>
      <w:r w:rsidR="00B52652">
        <w:t xml:space="preserve">for each Contract Year is set out in Table 1 below. </w:t>
      </w:r>
    </w:p>
    <w:p w14:paraId="2631A15E" w14:textId="3CB79925" w:rsidR="00B52652" w:rsidRPr="001A1836" w:rsidRDefault="00B52652" w:rsidP="00B52652">
      <w:r w:rsidRPr="001A1836">
        <w:rPr>
          <w:b/>
        </w:rPr>
        <w:t>Table 1</w:t>
      </w:r>
      <w:r w:rsidRPr="001A1836">
        <w:t xml:space="preserve"> </w:t>
      </w:r>
      <w:r w:rsidR="002033A5">
        <w:t>Provider Profit %</w:t>
      </w:r>
      <w:r w:rsidRPr="001A183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000" w:firstRow="0" w:lastRow="0" w:firstColumn="0" w:lastColumn="0" w:noHBand="0" w:noVBand="0"/>
      </w:tblPr>
      <w:tblGrid>
        <w:gridCol w:w="2672"/>
        <w:gridCol w:w="1217"/>
        <w:gridCol w:w="1217"/>
        <w:gridCol w:w="1217"/>
        <w:gridCol w:w="1217"/>
        <w:gridCol w:w="1217"/>
      </w:tblGrid>
      <w:tr w:rsidR="00B52652" w:rsidRPr="001A1836" w14:paraId="48E489FB" w14:textId="77777777" w:rsidTr="002033A5">
        <w:trPr>
          <w:cantSplit/>
          <w:tblHeader/>
        </w:trPr>
        <w:tc>
          <w:tcPr>
            <w:tcW w:w="0" w:type="auto"/>
          </w:tcPr>
          <w:p w14:paraId="59085443" w14:textId="77777777" w:rsidR="00B52652" w:rsidRPr="001A1836" w:rsidRDefault="00B52652" w:rsidP="002033A5">
            <w:pPr>
              <w:autoSpaceDE w:val="0"/>
              <w:autoSpaceDN w:val="0"/>
              <w:adjustRightInd w:val="0"/>
              <w:spacing w:after="0"/>
              <w:rPr>
                <w:rFonts w:cs="Arial"/>
                <w:color w:val="000000"/>
              </w:rPr>
            </w:pPr>
          </w:p>
        </w:tc>
        <w:tc>
          <w:tcPr>
            <w:tcW w:w="0" w:type="auto"/>
          </w:tcPr>
          <w:p w14:paraId="2F956243" w14:textId="77777777" w:rsidR="00B52652" w:rsidRPr="001A1836" w:rsidRDefault="00B52652" w:rsidP="002033A5">
            <w:pPr>
              <w:autoSpaceDE w:val="0"/>
              <w:autoSpaceDN w:val="0"/>
              <w:adjustRightInd w:val="0"/>
              <w:spacing w:after="0"/>
              <w:jc w:val="right"/>
              <w:rPr>
                <w:rFonts w:cs="Arial"/>
                <w:b/>
                <w:color w:val="000000"/>
              </w:rPr>
            </w:pPr>
            <w:r w:rsidRPr="001A1836">
              <w:rPr>
                <w:rFonts w:cs="Arial"/>
                <w:b/>
                <w:color w:val="000000"/>
              </w:rPr>
              <w:t>Year 1</w:t>
            </w:r>
          </w:p>
        </w:tc>
        <w:tc>
          <w:tcPr>
            <w:tcW w:w="0" w:type="auto"/>
          </w:tcPr>
          <w:p w14:paraId="10E7689A" w14:textId="77777777" w:rsidR="00B52652" w:rsidRPr="001A1836" w:rsidRDefault="00B52652" w:rsidP="002033A5">
            <w:pPr>
              <w:autoSpaceDE w:val="0"/>
              <w:autoSpaceDN w:val="0"/>
              <w:adjustRightInd w:val="0"/>
              <w:spacing w:after="0"/>
              <w:jc w:val="right"/>
              <w:rPr>
                <w:rFonts w:cs="Arial"/>
                <w:b/>
                <w:color w:val="000000"/>
              </w:rPr>
            </w:pPr>
            <w:r w:rsidRPr="001A1836">
              <w:rPr>
                <w:rFonts w:cs="Arial"/>
                <w:b/>
                <w:color w:val="000000"/>
              </w:rPr>
              <w:t>Year 2</w:t>
            </w:r>
          </w:p>
        </w:tc>
        <w:tc>
          <w:tcPr>
            <w:tcW w:w="0" w:type="auto"/>
          </w:tcPr>
          <w:p w14:paraId="18A4A1A2" w14:textId="77777777" w:rsidR="00B52652" w:rsidRPr="001A1836" w:rsidRDefault="00B52652" w:rsidP="002033A5">
            <w:pPr>
              <w:autoSpaceDE w:val="0"/>
              <w:autoSpaceDN w:val="0"/>
              <w:adjustRightInd w:val="0"/>
              <w:spacing w:after="0"/>
              <w:jc w:val="right"/>
              <w:rPr>
                <w:rFonts w:cs="Arial"/>
                <w:b/>
                <w:color w:val="000000"/>
              </w:rPr>
            </w:pPr>
            <w:r w:rsidRPr="001A1836">
              <w:rPr>
                <w:rFonts w:cs="Arial"/>
                <w:b/>
                <w:color w:val="000000"/>
              </w:rPr>
              <w:t>Year 3</w:t>
            </w:r>
          </w:p>
        </w:tc>
        <w:tc>
          <w:tcPr>
            <w:tcW w:w="0" w:type="auto"/>
          </w:tcPr>
          <w:p w14:paraId="7ED9747A" w14:textId="77777777" w:rsidR="00B52652" w:rsidRPr="001A1836" w:rsidRDefault="00B52652" w:rsidP="002033A5">
            <w:pPr>
              <w:autoSpaceDE w:val="0"/>
              <w:autoSpaceDN w:val="0"/>
              <w:adjustRightInd w:val="0"/>
              <w:spacing w:after="0"/>
              <w:jc w:val="right"/>
              <w:rPr>
                <w:rFonts w:cs="Arial"/>
                <w:b/>
                <w:color w:val="000000"/>
              </w:rPr>
            </w:pPr>
            <w:r w:rsidRPr="001A1836">
              <w:rPr>
                <w:rFonts w:cs="Arial"/>
                <w:b/>
                <w:color w:val="000000"/>
              </w:rPr>
              <w:t>Year 4</w:t>
            </w:r>
          </w:p>
        </w:tc>
        <w:tc>
          <w:tcPr>
            <w:tcW w:w="0" w:type="auto"/>
          </w:tcPr>
          <w:p w14:paraId="77566819" w14:textId="77777777" w:rsidR="00B52652" w:rsidRPr="001A1836" w:rsidRDefault="00B52652" w:rsidP="002033A5">
            <w:pPr>
              <w:autoSpaceDE w:val="0"/>
              <w:autoSpaceDN w:val="0"/>
              <w:adjustRightInd w:val="0"/>
              <w:spacing w:after="0"/>
              <w:jc w:val="right"/>
              <w:rPr>
                <w:rFonts w:cs="Arial"/>
                <w:b/>
                <w:color w:val="000000"/>
              </w:rPr>
            </w:pPr>
            <w:r w:rsidRPr="001A1836">
              <w:rPr>
                <w:rFonts w:cs="Arial"/>
                <w:b/>
                <w:color w:val="000000"/>
              </w:rPr>
              <w:t>Year 5</w:t>
            </w:r>
          </w:p>
        </w:tc>
      </w:tr>
      <w:tr w:rsidR="00B52652" w:rsidRPr="001A1836" w14:paraId="2DC1CCC6" w14:textId="77777777" w:rsidTr="002033A5">
        <w:trPr>
          <w:cantSplit/>
        </w:trPr>
        <w:tc>
          <w:tcPr>
            <w:tcW w:w="0" w:type="auto"/>
          </w:tcPr>
          <w:p w14:paraId="028E489D" w14:textId="77600F39" w:rsidR="00B52652" w:rsidRPr="001A1836" w:rsidRDefault="00B52652" w:rsidP="002033A5">
            <w:pPr>
              <w:autoSpaceDE w:val="0"/>
              <w:autoSpaceDN w:val="0"/>
              <w:adjustRightInd w:val="0"/>
              <w:spacing w:after="0"/>
              <w:rPr>
                <w:rFonts w:cs="Arial"/>
                <w:color w:val="000000"/>
              </w:rPr>
            </w:pPr>
            <w:r>
              <w:rPr>
                <w:rFonts w:cs="Arial"/>
                <w:color w:val="000000"/>
              </w:rPr>
              <w:t>Provider Profit</w:t>
            </w:r>
            <w:r w:rsidR="00FE6896">
              <w:rPr>
                <w:rFonts w:cs="Arial"/>
                <w:color w:val="000000"/>
              </w:rPr>
              <w:t xml:space="preserve"> percentage</w:t>
            </w:r>
          </w:p>
        </w:tc>
        <w:tc>
          <w:tcPr>
            <w:tcW w:w="0" w:type="auto"/>
            <w:vAlign w:val="center"/>
          </w:tcPr>
          <w:p w14:paraId="27846E20" w14:textId="77C6EF16" w:rsidR="00B52652" w:rsidRPr="001A1836" w:rsidRDefault="00247876" w:rsidP="002033A5">
            <w:pPr>
              <w:autoSpaceDE w:val="0"/>
              <w:autoSpaceDN w:val="0"/>
              <w:adjustRightInd w:val="0"/>
              <w:spacing w:after="0"/>
              <w:jc w:val="right"/>
              <w:rPr>
                <w:rFonts w:cs="Arial"/>
                <w:color w:val="000000"/>
              </w:rPr>
            </w:pPr>
            <w:r>
              <w:rPr>
                <w:rFonts w:cs="Arial"/>
                <w:color w:val="000000"/>
                <w:sz w:val="20"/>
              </w:rPr>
              <w:t>REDACTED</w:t>
            </w:r>
          </w:p>
        </w:tc>
        <w:tc>
          <w:tcPr>
            <w:tcW w:w="0" w:type="auto"/>
          </w:tcPr>
          <w:p w14:paraId="1E819939" w14:textId="25CF2783" w:rsidR="00B52652" w:rsidRPr="001A1836" w:rsidRDefault="00247876" w:rsidP="002033A5">
            <w:pPr>
              <w:autoSpaceDE w:val="0"/>
              <w:autoSpaceDN w:val="0"/>
              <w:adjustRightInd w:val="0"/>
              <w:spacing w:after="0"/>
              <w:jc w:val="right"/>
              <w:rPr>
                <w:rFonts w:cs="Arial"/>
                <w:color w:val="000000"/>
              </w:rPr>
            </w:pPr>
            <w:r>
              <w:rPr>
                <w:rFonts w:cs="Arial"/>
                <w:color w:val="000000"/>
                <w:sz w:val="20"/>
              </w:rPr>
              <w:t>REDACTED</w:t>
            </w:r>
            <w:r w:rsidDel="00D67DE9">
              <w:rPr>
                <w:rFonts w:cs="Arial"/>
                <w:color w:val="000000"/>
              </w:rPr>
              <w:t xml:space="preserve"> </w:t>
            </w:r>
          </w:p>
        </w:tc>
        <w:tc>
          <w:tcPr>
            <w:tcW w:w="0" w:type="auto"/>
          </w:tcPr>
          <w:p w14:paraId="6CDFD0C8" w14:textId="172BA4A2" w:rsidR="00B52652" w:rsidRPr="001A1836" w:rsidRDefault="00247876" w:rsidP="002033A5">
            <w:pPr>
              <w:autoSpaceDE w:val="0"/>
              <w:autoSpaceDN w:val="0"/>
              <w:adjustRightInd w:val="0"/>
              <w:spacing w:after="0"/>
              <w:jc w:val="right"/>
              <w:rPr>
                <w:rFonts w:cs="Arial"/>
                <w:color w:val="000000"/>
              </w:rPr>
            </w:pPr>
            <w:r>
              <w:rPr>
                <w:rFonts w:cs="Arial"/>
                <w:color w:val="000000"/>
                <w:sz w:val="20"/>
              </w:rPr>
              <w:t>REDACTED</w:t>
            </w:r>
            <w:r w:rsidDel="00D67DE9">
              <w:rPr>
                <w:rFonts w:cs="Arial"/>
                <w:color w:val="000000"/>
              </w:rPr>
              <w:t xml:space="preserve"> </w:t>
            </w:r>
          </w:p>
        </w:tc>
        <w:tc>
          <w:tcPr>
            <w:tcW w:w="0" w:type="auto"/>
          </w:tcPr>
          <w:p w14:paraId="615987E2" w14:textId="00579EBE" w:rsidR="00B52652" w:rsidRPr="001A1836" w:rsidRDefault="00247876" w:rsidP="002033A5">
            <w:pPr>
              <w:autoSpaceDE w:val="0"/>
              <w:autoSpaceDN w:val="0"/>
              <w:adjustRightInd w:val="0"/>
              <w:spacing w:after="0"/>
              <w:jc w:val="right"/>
              <w:rPr>
                <w:rFonts w:cs="Arial"/>
                <w:color w:val="000000"/>
              </w:rPr>
            </w:pPr>
            <w:r>
              <w:rPr>
                <w:rFonts w:cs="Arial"/>
                <w:color w:val="000000"/>
                <w:sz w:val="20"/>
              </w:rPr>
              <w:t>REDACTED</w:t>
            </w:r>
            <w:r w:rsidDel="00D67DE9">
              <w:rPr>
                <w:rFonts w:cs="Arial"/>
                <w:color w:val="000000"/>
              </w:rPr>
              <w:t xml:space="preserve"> </w:t>
            </w:r>
          </w:p>
        </w:tc>
        <w:tc>
          <w:tcPr>
            <w:tcW w:w="0" w:type="auto"/>
          </w:tcPr>
          <w:p w14:paraId="42BED36D" w14:textId="3C7181DE" w:rsidR="00B52652" w:rsidRPr="001A1836" w:rsidRDefault="00247876" w:rsidP="002033A5">
            <w:pPr>
              <w:autoSpaceDE w:val="0"/>
              <w:autoSpaceDN w:val="0"/>
              <w:adjustRightInd w:val="0"/>
              <w:spacing w:after="0"/>
              <w:jc w:val="right"/>
              <w:rPr>
                <w:rFonts w:cs="Arial"/>
                <w:color w:val="000000"/>
              </w:rPr>
            </w:pPr>
            <w:r>
              <w:rPr>
                <w:rFonts w:cs="Arial"/>
                <w:color w:val="000000"/>
                <w:sz w:val="20"/>
              </w:rPr>
              <w:t>REDACTED</w:t>
            </w:r>
            <w:r w:rsidDel="00D67DE9">
              <w:rPr>
                <w:rFonts w:cs="Arial"/>
                <w:color w:val="000000"/>
              </w:rPr>
              <w:t xml:space="preserve"> </w:t>
            </w:r>
          </w:p>
        </w:tc>
      </w:tr>
    </w:tbl>
    <w:p w14:paraId="20914432" w14:textId="77777777" w:rsidR="00B52652" w:rsidRPr="001A1836" w:rsidRDefault="00B52652" w:rsidP="00B52652">
      <w:pPr>
        <w:pStyle w:val="GSRL5numberedclause"/>
        <w:numPr>
          <w:ilvl w:val="0"/>
          <w:numId w:val="0"/>
        </w:numPr>
        <w:ind w:left="1582"/>
      </w:pPr>
    </w:p>
    <w:p w14:paraId="1B822500" w14:textId="77777777" w:rsidR="00B074CC" w:rsidRPr="001A1836" w:rsidRDefault="00B074CC">
      <w:pPr>
        <w:pStyle w:val="GSRL4numberedclause"/>
      </w:pPr>
      <w:r w:rsidRPr="001A1836">
        <w:t>Distribution of Revenue</w:t>
      </w:r>
    </w:p>
    <w:p w14:paraId="6AD237CE" w14:textId="77777777" w:rsidR="00B074CC" w:rsidRPr="001A1836" w:rsidRDefault="00B074CC">
      <w:pPr>
        <w:pStyle w:val="GSRL5numberedclause"/>
      </w:pPr>
      <w:bookmarkStart w:id="1158" w:name="_Ref505259216"/>
      <w:r w:rsidRPr="001A1836">
        <w:t>The Provider shall deduct from Revenue, in order of precedence:</w:t>
      </w:r>
    </w:p>
    <w:p w14:paraId="1DB3CCA1" w14:textId="74A42450" w:rsidR="00B074CC" w:rsidRPr="001A1836" w:rsidRDefault="00B074CC">
      <w:pPr>
        <w:pStyle w:val="GSRL6numberedclause"/>
      </w:pPr>
      <w:r w:rsidRPr="001A1836">
        <w:lastRenderedPageBreak/>
        <w:t>Fifty Thousand Pounds (£50,000) (such amount to be reviewed annually) payable to HSE quarterly in arrears to cover HSE’s costs related to the management of this Agreement;</w:t>
      </w:r>
    </w:p>
    <w:p w14:paraId="15BDFA75" w14:textId="2FC49975" w:rsidR="00B074CC" w:rsidRPr="001A1836" w:rsidRDefault="00B074CC">
      <w:pPr>
        <w:pStyle w:val="GSRL6numberedclause"/>
      </w:pPr>
      <w:r w:rsidRPr="001A1836">
        <w:t>One Hundred Thousand Pounds (£100,000.00) payable to HSE within one (1) Month of the end of each Contract Year to cover HSE’s costs related to the procurement of this Agreement;</w:t>
      </w:r>
    </w:p>
    <w:p w14:paraId="343E164C" w14:textId="5CCBFEE3" w:rsidR="00B074CC" w:rsidRPr="001A1836" w:rsidRDefault="00B074CC">
      <w:pPr>
        <w:pStyle w:val="GSRL6numberedclause"/>
      </w:pPr>
      <w:r w:rsidRPr="001A1836">
        <w:t>Sixteen Thousand and Six Hundred and Sixty</w:t>
      </w:r>
      <w:r w:rsidR="002C042B" w:rsidRPr="001A1836">
        <w:t>-</w:t>
      </w:r>
      <w:r w:rsidRPr="001A1836">
        <w:t>Six Pounds and Sixty</w:t>
      </w:r>
      <w:r w:rsidR="000C426D" w:rsidRPr="001A1836">
        <w:t>-</w:t>
      </w:r>
      <w:r w:rsidRPr="001A1836">
        <w:t xml:space="preserve">Seven Pence (£16,666.67) </w:t>
      </w:r>
      <w:r w:rsidR="006B133D">
        <w:t>(</w:t>
      </w:r>
      <w:r w:rsidR="00FB5755" w:rsidRPr="001A1836">
        <w:t xml:space="preserve">or such other amount as is payable to the SSF service delivery provider pursuant to the procurement exercise described in paragraph 16 (Standards Setting Body) of Schedule 1) </w:t>
      </w:r>
      <w:r w:rsidRPr="001A1836">
        <w:t xml:space="preserve">payable to EU Skills Limited (or its replacement) </w:t>
      </w:r>
      <w:r w:rsidR="00FB5755" w:rsidRPr="001A1836">
        <w:t xml:space="preserve">pursuant to such exercise </w:t>
      </w:r>
      <w:r w:rsidRPr="001A1836">
        <w:t>on the first day of every Month to fund the Standards Setting Function;</w:t>
      </w:r>
    </w:p>
    <w:p w14:paraId="6601B4A5" w14:textId="279AE6B6" w:rsidR="00201C82" w:rsidRDefault="00201C82">
      <w:pPr>
        <w:pStyle w:val="GSRL6numberedclause"/>
      </w:pPr>
      <w:r>
        <w:t>Seven</w:t>
      </w:r>
      <w:r w:rsidRPr="001A1836">
        <w:t xml:space="preserve"> Thousand </w:t>
      </w:r>
      <w:r>
        <w:t>Five Hundred</w:t>
      </w:r>
      <w:r w:rsidRPr="001A1836">
        <w:t xml:space="preserve"> Pounds </w:t>
      </w:r>
      <w:r w:rsidR="009F50C6">
        <w:t xml:space="preserve">(£7,500) </w:t>
      </w:r>
      <w:r w:rsidRPr="001A1836">
        <w:t xml:space="preserve">payable to </w:t>
      </w:r>
      <w:r w:rsidR="00E10B4A">
        <w:t>Institute of Gas Engineers and Managers</w:t>
      </w:r>
      <w:r w:rsidR="00327407">
        <w:t xml:space="preserve"> </w:t>
      </w:r>
      <w:r w:rsidR="00E10B4A">
        <w:t>(IGEM)</w:t>
      </w:r>
      <w:r w:rsidR="00327407">
        <w:t xml:space="preserve"> </w:t>
      </w:r>
      <w:r w:rsidRPr="001A1836">
        <w:t xml:space="preserve">(or its replacement) </w:t>
      </w:r>
      <w:r w:rsidR="00E10B4A" w:rsidRPr="001A1836">
        <w:t xml:space="preserve">within one (1) Month of the end of each Contract Year </w:t>
      </w:r>
      <w:r w:rsidRPr="001A1836">
        <w:t xml:space="preserve">to fund the </w:t>
      </w:r>
      <w:r w:rsidR="00E10B4A">
        <w:t>GUISP secretariat;</w:t>
      </w:r>
    </w:p>
    <w:p w14:paraId="7C412D06" w14:textId="15BBF063" w:rsidR="00F950EC" w:rsidRDefault="00637C77">
      <w:pPr>
        <w:pStyle w:val="GSRL6numberedclause"/>
      </w:pPr>
      <w:r>
        <w:t xml:space="preserve">Five Hundred and </w:t>
      </w:r>
      <w:r w:rsidR="00954BB1">
        <w:t>Forty</w:t>
      </w:r>
      <w:r w:rsidR="00954BB1" w:rsidRPr="001A1836">
        <w:t xml:space="preserve"> </w:t>
      </w:r>
      <w:r w:rsidR="00B074CC" w:rsidRPr="001A1836">
        <w:t xml:space="preserve">Thousand </w:t>
      </w:r>
      <w:r w:rsidR="00954BB1">
        <w:t xml:space="preserve">Five Hundred and Fifty-Eight </w:t>
      </w:r>
      <w:r w:rsidR="00B074CC" w:rsidRPr="001A1836">
        <w:t>Pounds (£</w:t>
      </w:r>
      <w:r w:rsidR="00954BB1">
        <w:t>540,558</w:t>
      </w:r>
      <w:r w:rsidR="00B074CC" w:rsidRPr="001A1836">
        <w:t>) payable to the Gas Safe Charity within one (1) Month of the end of each Contract Year</w:t>
      </w:r>
      <w:r>
        <w:t xml:space="preserve">, </w:t>
      </w:r>
      <w:r w:rsidRPr="001A1836">
        <w:t>adjusted annually</w:t>
      </w:r>
      <w:r>
        <w:t xml:space="preserve"> </w:t>
      </w:r>
      <w:r w:rsidRPr="001A1836">
        <w:t xml:space="preserve">in line with increases in the Consumer Price Index (CPI) </w:t>
      </w:r>
      <w:r w:rsidR="00801100">
        <w:t xml:space="preserve">as calculated in accordance with paragraph 4.1 </w:t>
      </w:r>
      <w:r w:rsidR="00356284">
        <w:t>of Schedule 4 (Charges)</w:t>
      </w:r>
      <w:r w:rsidR="005E6061">
        <w:t xml:space="preserve">, the first such adjustment taking place </w:t>
      </w:r>
      <w:r w:rsidR="00D02E45">
        <w:t>at the end of the second Contract Year</w:t>
      </w:r>
      <w:r w:rsidR="00F950EC">
        <w:t>;</w:t>
      </w:r>
    </w:p>
    <w:p w14:paraId="4CEA3980" w14:textId="0DCFBD97" w:rsidR="00B074CC" w:rsidRPr="001A1836" w:rsidRDefault="008E35D8">
      <w:pPr>
        <w:pStyle w:val="GSRL6numberedclause"/>
      </w:pPr>
      <w:r w:rsidRPr="001A1836">
        <w:t xml:space="preserve">One Hundred Thousand Pounds (£100,000.00) payable to HSE within one (1) Month of the end of each Contract Year </w:t>
      </w:r>
      <w:r w:rsidR="0004736C">
        <w:t>which will be held and</w:t>
      </w:r>
      <w:r w:rsidR="006067B2">
        <w:t xml:space="preserve"> allocated towards</w:t>
      </w:r>
      <w:r w:rsidRPr="001A1836">
        <w:t xml:space="preserve"> HSE’s costs </w:t>
      </w:r>
      <w:r w:rsidR="006067B2">
        <w:t>connected with any</w:t>
      </w:r>
      <w:r w:rsidRPr="001A1836">
        <w:t xml:space="preserve"> </w:t>
      </w:r>
      <w:r w:rsidR="006067B2">
        <w:t xml:space="preserve">transition </w:t>
      </w:r>
      <w:r w:rsidR="00F366BA">
        <w:t xml:space="preserve">of responsibility for performance of all or part of the Services (or all or part of any services that are similar to the Services) </w:t>
      </w:r>
      <w:r w:rsidR="006067B2">
        <w:t xml:space="preserve">to a </w:t>
      </w:r>
      <w:r w:rsidR="00F366BA">
        <w:t xml:space="preserve">HSE and/or a </w:t>
      </w:r>
      <w:r w:rsidR="006067B2">
        <w:t xml:space="preserve">Replacement Provider that may </w:t>
      </w:r>
      <w:r w:rsidR="00F366BA">
        <w:t>take place any time during, on expiry and/or after</w:t>
      </w:r>
      <w:r w:rsidR="006067B2">
        <w:t xml:space="preserve"> the Term of this Agreement</w:t>
      </w:r>
      <w:r w:rsidR="00777DA9">
        <w:t xml:space="preserve">. If the full amount of </w:t>
      </w:r>
      <w:r w:rsidR="00C3795F">
        <w:t xml:space="preserve">the relevant funds </w:t>
      </w:r>
      <w:r w:rsidR="00777DA9">
        <w:t>do not require to be spent by HSE</w:t>
      </w:r>
      <w:r w:rsidR="00C3795F">
        <w:t xml:space="preserve"> in meeting its </w:t>
      </w:r>
      <w:r w:rsidR="00C3795F" w:rsidRPr="001A1836">
        <w:t xml:space="preserve">costs </w:t>
      </w:r>
      <w:r w:rsidR="00C3795F">
        <w:t>connected with any</w:t>
      </w:r>
      <w:r w:rsidR="00C3795F" w:rsidRPr="001A1836">
        <w:t xml:space="preserve"> </w:t>
      </w:r>
      <w:r w:rsidR="00C3795F">
        <w:t>transition of responsibility for performance of all or part of the Services (or all or part of any services that are similar to the Services) to a HSE and/or a Replacement Provider</w:t>
      </w:r>
      <w:r w:rsidR="00777DA9">
        <w:t xml:space="preserve">, any remaining balance will be paid by HSE into the Funds for Distribution and used </w:t>
      </w:r>
      <w:r w:rsidR="00C3795F">
        <w:t xml:space="preserve">or allocated </w:t>
      </w:r>
      <w:r w:rsidR="00777DA9">
        <w:t xml:space="preserve">by HSE </w:t>
      </w:r>
      <w:r w:rsidR="00D30BE0">
        <w:t>for the purposes set out in paragraph 4.3.5</w:t>
      </w:r>
      <w:r w:rsidR="00C3795F">
        <w:t xml:space="preserve"> of this Schedule</w:t>
      </w:r>
      <w:r w:rsidR="00B074CC" w:rsidRPr="001A1836">
        <w:t>;</w:t>
      </w:r>
    </w:p>
    <w:p w14:paraId="50ACBFD0" w14:textId="56B1D4B7" w:rsidR="00B074CC" w:rsidRPr="001A1836" w:rsidRDefault="00B074CC">
      <w:pPr>
        <w:pStyle w:val="GSRL6numberedclause"/>
      </w:pPr>
      <w:r w:rsidRPr="001A1836">
        <w:t xml:space="preserve">Provider’s </w:t>
      </w:r>
      <w:r w:rsidR="005504F6">
        <w:t>Agreed Operating Costs</w:t>
      </w:r>
      <w:r w:rsidRPr="001A1836">
        <w:t>;</w:t>
      </w:r>
      <w:r w:rsidR="00FC0507">
        <w:t xml:space="preserve"> and</w:t>
      </w:r>
    </w:p>
    <w:p w14:paraId="0E476003" w14:textId="57A7BBC1" w:rsidR="00B074CC" w:rsidRPr="001A1836" w:rsidRDefault="00097A1C">
      <w:pPr>
        <w:pStyle w:val="GSRL6numberedclause"/>
      </w:pPr>
      <w:r>
        <w:t>subject to paragraph</w:t>
      </w:r>
      <w:r w:rsidR="00D318E6">
        <w:t xml:space="preserve"> 3.2.2(a)(i) and paragraph</w:t>
      </w:r>
      <w:r>
        <w:t xml:space="preserve"> 4 of this Schedule, the </w:t>
      </w:r>
      <w:r w:rsidR="00B074CC" w:rsidRPr="001A1836">
        <w:t xml:space="preserve">Provider Profit. </w:t>
      </w:r>
    </w:p>
    <w:p w14:paraId="633B1793" w14:textId="7F3A539B" w:rsidR="00B074CC" w:rsidRPr="001A1836" w:rsidRDefault="00B074CC">
      <w:pPr>
        <w:pStyle w:val="GSRL5numberedclause"/>
      </w:pPr>
      <w:bookmarkStart w:id="1159" w:name="_Ref505259217"/>
      <w:bookmarkEnd w:id="1158"/>
      <w:r w:rsidRPr="001A1836">
        <w:t xml:space="preserve">The Provider shall be required to pay the following from the Provider’s </w:t>
      </w:r>
      <w:r w:rsidR="005504F6">
        <w:t>Agreed Operating Costs</w:t>
      </w:r>
      <w:r w:rsidRPr="001A1836">
        <w:t xml:space="preserve"> and Provider Profit:</w:t>
      </w:r>
    </w:p>
    <w:p w14:paraId="6D043CFD" w14:textId="6272F2EC" w:rsidR="00B074CC" w:rsidRPr="001A1836" w:rsidRDefault="00387139">
      <w:pPr>
        <w:pStyle w:val="GSRL6numberedclause"/>
      </w:pPr>
      <w:r w:rsidRPr="001A1836">
        <w:t>into</w:t>
      </w:r>
      <w:r w:rsidR="00B074CC" w:rsidRPr="001A1836">
        <w:t xml:space="preserve"> Funds For Distribution (see paragraph 4.3 of this Schedule):</w:t>
      </w:r>
    </w:p>
    <w:p w14:paraId="7DCCE8B5" w14:textId="2CA71B4D" w:rsidR="00097A1C" w:rsidRDefault="00D318E6">
      <w:pPr>
        <w:pStyle w:val="GSRL7numberedclause"/>
      </w:pPr>
      <w:r w:rsidRPr="00D318E6">
        <w:t>Transferrable Provider Profit Funds</w:t>
      </w:r>
      <w:r w:rsidR="00CA5E29">
        <w:t xml:space="preserve"> that </w:t>
      </w:r>
      <w:r>
        <w:t>are</w:t>
      </w:r>
      <w:r w:rsidR="00CA5E29">
        <w:t xml:space="preserve"> due by the Provider </w:t>
      </w:r>
      <w:r w:rsidR="00CA5E29" w:rsidRPr="001A1836">
        <w:t xml:space="preserve">in accordance with paragraph </w:t>
      </w:r>
      <w:r w:rsidR="00CA5E29">
        <w:t>4</w:t>
      </w:r>
      <w:r w:rsidR="00CA5E29" w:rsidRPr="001A1836">
        <w:t xml:space="preserve"> of this Schedule;</w:t>
      </w:r>
    </w:p>
    <w:p w14:paraId="56A4A6E7" w14:textId="64C52C20" w:rsidR="00B074CC" w:rsidRPr="001A1836" w:rsidRDefault="00B074CC">
      <w:pPr>
        <w:pStyle w:val="GSRL7numberedclause"/>
      </w:pPr>
      <w:r w:rsidRPr="001A1836">
        <w:lastRenderedPageBreak/>
        <w:t xml:space="preserve">Service Credits </w:t>
      </w:r>
      <w:r w:rsidR="00C85B12" w:rsidRPr="001A1836">
        <w:t>in accordance with</w:t>
      </w:r>
      <w:r w:rsidRPr="001A1836">
        <w:t xml:space="preserve"> paragraph </w:t>
      </w:r>
      <w:r w:rsidR="00097A1C">
        <w:t>5</w:t>
      </w:r>
      <w:r w:rsidRPr="001A1836">
        <w:t>.3.2 of this Schedule</w:t>
      </w:r>
      <w:r w:rsidR="00C85B12" w:rsidRPr="001A1836">
        <w:t xml:space="preserve"> and</w:t>
      </w:r>
      <w:r w:rsidR="002038A1" w:rsidRPr="001A1836">
        <w:t xml:space="preserve"> the Service Point Application Period for each individual Service Level as defined in Schedule 3 </w:t>
      </w:r>
      <w:r w:rsidR="00356284">
        <w:t>(</w:t>
      </w:r>
      <w:r w:rsidR="002038A1" w:rsidRPr="001A1836">
        <w:t>Service Levels</w:t>
      </w:r>
      <w:r w:rsidR="00356284">
        <w:t>)</w:t>
      </w:r>
      <w:r w:rsidRPr="001A1836">
        <w:t>;</w:t>
      </w:r>
    </w:p>
    <w:p w14:paraId="05A3C277" w14:textId="5BD556AA" w:rsidR="00B074CC" w:rsidRPr="001A1836" w:rsidRDefault="00B074CC">
      <w:pPr>
        <w:pStyle w:val="GSRL7numberedclause"/>
      </w:pPr>
      <w:r w:rsidRPr="001A1836">
        <w:t xml:space="preserve">Default </w:t>
      </w:r>
      <w:r w:rsidR="00C85B12" w:rsidRPr="001A1836">
        <w:t xml:space="preserve">Management </w:t>
      </w:r>
      <w:r w:rsidRPr="001A1836">
        <w:t xml:space="preserve">Charges </w:t>
      </w:r>
      <w:r w:rsidR="00C85B12" w:rsidRPr="001A1836">
        <w:t>in accordance with</w:t>
      </w:r>
      <w:r w:rsidRPr="001A1836">
        <w:t xml:space="preserve"> paragraph 2.</w:t>
      </w:r>
      <w:r w:rsidR="00356284">
        <w:t>6</w:t>
      </w:r>
      <w:r w:rsidRPr="001A1836">
        <w:t xml:space="preserve"> of Schedule 11</w:t>
      </w:r>
      <w:r w:rsidR="00356284">
        <w:t xml:space="preserve"> (Management Information, Reporting and Records)</w:t>
      </w:r>
      <w:r w:rsidRPr="001A1836">
        <w:t>;</w:t>
      </w:r>
    </w:p>
    <w:p w14:paraId="03F4C6C6" w14:textId="38F9107C" w:rsidR="005B0F23" w:rsidRPr="001A1836" w:rsidRDefault="00387139">
      <w:pPr>
        <w:pStyle w:val="GSRL6numberedclause"/>
      </w:pPr>
      <w:r w:rsidRPr="001A1836">
        <w:t>to</w:t>
      </w:r>
      <w:r w:rsidR="00B074CC" w:rsidRPr="001A1836">
        <w:t xml:space="preserve"> HSE: </w:t>
      </w:r>
    </w:p>
    <w:p w14:paraId="0E0ED902" w14:textId="226AADB2" w:rsidR="00B074CC" w:rsidRPr="001A1836" w:rsidRDefault="00B074CC">
      <w:pPr>
        <w:pStyle w:val="GSRL7numberedclause"/>
      </w:pPr>
      <w:r w:rsidRPr="001A1836">
        <w:t>Admin Fees</w:t>
      </w:r>
      <w:r w:rsidR="00FE38F7" w:rsidRPr="001A1836">
        <w:t>, in accordance with</w:t>
      </w:r>
      <w:r w:rsidRPr="001A1836">
        <w:t xml:space="preserve"> paragraph 2.</w:t>
      </w:r>
      <w:r w:rsidR="00356284">
        <w:t>5</w:t>
      </w:r>
      <w:r w:rsidRPr="001A1836">
        <w:t xml:space="preserve"> of Schedule 11</w:t>
      </w:r>
      <w:r w:rsidR="00356284">
        <w:t xml:space="preserve"> (Management Information, Reporting and Records</w:t>
      </w:r>
      <w:r w:rsidRPr="001A1836">
        <w:t>).</w:t>
      </w:r>
    </w:p>
    <w:p w14:paraId="6AA7DF8A" w14:textId="77777777" w:rsidR="00B074CC" w:rsidRPr="001A1836" w:rsidRDefault="00B074CC">
      <w:pPr>
        <w:pStyle w:val="GSRL5numberedclause"/>
      </w:pPr>
      <w:r w:rsidRPr="001A1836">
        <w:t>Unless specified otherwise, the amounts listed in paragraph 3.2.1 and 3.2.2 shall be deducted on the last day of every Month throughout the Term. Where the amounts are not payable monthly, the Provider shall deduct and set aside a pro-rata amount.</w:t>
      </w:r>
    </w:p>
    <w:bookmarkEnd w:id="1159"/>
    <w:p w14:paraId="4537ABB7" w14:textId="155A9550" w:rsidR="00B074CC" w:rsidRPr="001A1836" w:rsidRDefault="00B074CC">
      <w:pPr>
        <w:pStyle w:val="GSRL5numberedclause"/>
      </w:pPr>
      <w:r w:rsidRPr="001A1836">
        <w:t xml:space="preserve">All surplus Revenue remaining after the payments made pursuant to paragraph </w:t>
      </w:r>
      <w:r w:rsidRPr="001A1836">
        <w:fldChar w:fldCharType="begin"/>
      </w:r>
      <w:r w:rsidRPr="001A1836">
        <w:instrText xml:space="preserve"> REF _Ref505259216 \r \h </w:instrText>
      </w:r>
      <w:r w:rsidR="00510454" w:rsidRPr="001A1836">
        <w:instrText xml:space="preserve"> \* MERGEFORMAT </w:instrText>
      </w:r>
      <w:r w:rsidRPr="001A1836">
        <w:fldChar w:fldCharType="separate"/>
      </w:r>
      <w:r w:rsidR="00C87D85">
        <w:t>3.2.1</w:t>
      </w:r>
      <w:r w:rsidRPr="001A1836">
        <w:fldChar w:fldCharType="end"/>
      </w:r>
      <w:r w:rsidRPr="001A1836">
        <w:t xml:space="preserve"> shall be calculated annually at the end of each Contract Year (and in the event of termination, on termination) and shall constitute the </w:t>
      </w:r>
      <w:r w:rsidR="00693C3E" w:rsidRPr="005456AA">
        <w:rPr>
          <w:b/>
        </w:rPr>
        <w:t>"</w:t>
      </w:r>
      <w:r w:rsidRPr="005456AA">
        <w:rPr>
          <w:b/>
        </w:rPr>
        <w:t>Gain Share Fund</w:t>
      </w:r>
      <w:r w:rsidR="00693C3E" w:rsidRPr="005456AA">
        <w:rPr>
          <w:b/>
        </w:rPr>
        <w:t>"</w:t>
      </w:r>
      <w:r w:rsidRPr="001A1836">
        <w:t>.</w:t>
      </w:r>
    </w:p>
    <w:p w14:paraId="03C36B9E" w14:textId="631DF4D3" w:rsidR="00B074CC" w:rsidRPr="001A1836" w:rsidRDefault="00B074CC">
      <w:pPr>
        <w:pStyle w:val="GSRL5numberedclause"/>
      </w:pPr>
      <w:r w:rsidRPr="001A1836">
        <w:t>In the event of early termination or for any partial termination, the amounts payable in accordance with paragraph</w:t>
      </w:r>
      <w:r w:rsidR="00AD6B3A" w:rsidRPr="001A1836">
        <w:t>s</w:t>
      </w:r>
      <w:r w:rsidRPr="001A1836">
        <w:t xml:space="preserve"> 3.2.1(a) to </w:t>
      </w:r>
      <w:r w:rsidR="00AD6B3A" w:rsidRPr="001A1836">
        <w:t>3.2.1</w:t>
      </w:r>
      <w:r w:rsidRPr="001A1836">
        <w:t>(d)</w:t>
      </w:r>
      <w:r w:rsidR="00B3713F" w:rsidRPr="001A1836">
        <w:t xml:space="preserve"> and 3.2.4</w:t>
      </w:r>
      <w:r w:rsidRPr="001A1836">
        <w:t xml:space="preserve">, along with the impact on the Charges, </w:t>
      </w:r>
      <w:r w:rsidR="00AD6B3A" w:rsidRPr="001A1836">
        <w:t xml:space="preserve">shall </w:t>
      </w:r>
      <w:r w:rsidRPr="001A1836">
        <w:t xml:space="preserve">be revised in accordance with the Change Control Procedure. </w:t>
      </w:r>
    </w:p>
    <w:p w14:paraId="00A78F97" w14:textId="066330BD" w:rsidR="00B074CC" w:rsidRPr="001A1836" w:rsidRDefault="00B074CC">
      <w:pPr>
        <w:pStyle w:val="GSRL5numberedclause"/>
      </w:pPr>
      <w:r w:rsidRPr="001A1836">
        <w:t>The Provider’s marketing budget, as stated in Annex 1 to this Schedule 5, is ring-fenced for the purpose of marketing expenditure, and such expenditure is subject to HSE approval in the form of a high-level budget and marketing plan, which shall be presented to HSE</w:t>
      </w:r>
      <w:r w:rsidR="001C446F">
        <w:t xml:space="preserve"> </w:t>
      </w:r>
      <w:r w:rsidR="00302E7A">
        <w:t xml:space="preserve">(two) (2) weeks </w:t>
      </w:r>
      <w:r w:rsidR="001C446F">
        <w:t>before the Services Start Date in Contract Year 1, and</w:t>
      </w:r>
      <w:r w:rsidRPr="001A1836">
        <w:t xml:space="preserve"> three (3) months before the start of </w:t>
      </w:r>
      <w:r w:rsidR="00EA1356" w:rsidRPr="001A1836">
        <w:t>each</w:t>
      </w:r>
      <w:r w:rsidRPr="001A1836">
        <w:t xml:space="preserve"> </w:t>
      </w:r>
      <w:r w:rsidR="001C446F">
        <w:t xml:space="preserve">subsequent </w:t>
      </w:r>
      <w:r w:rsidRPr="001A1836">
        <w:t xml:space="preserve">Contract Year. Any </w:t>
      </w:r>
      <w:r w:rsidR="00AD6B3A" w:rsidRPr="001A1836">
        <w:t xml:space="preserve">such marketing </w:t>
      </w:r>
      <w:r w:rsidRPr="001A1836">
        <w:t>budget not spent in the planned Contract Year (pro-rated for any partial year), or allocated for expenditure in the following Contract Year, shall be paid into Funds For Distribution.</w:t>
      </w:r>
    </w:p>
    <w:p w14:paraId="2DD2C9A5" w14:textId="7D1715E5" w:rsidR="002C042B" w:rsidRPr="001A1836" w:rsidRDefault="002C042B">
      <w:pPr>
        <w:pStyle w:val="GSRL5numberedclause"/>
      </w:pPr>
      <w:bookmarkStart w:id="1160" w:name="_Hlk527632939"/>
      <w:r w:rsidRPr="001A1836">
        <w:t>Any increase to the sums</w:t>
      </w:r>
      <w:r w:rsidR="0087178E" w:rsidRPr="001A1836">
        <w:t xml:space="preserve"> detailed in 3.2.1(a) to 3.2.1</w:t>
      </w:r>
      <w:r w:rsidRPr="001A1836">
        <w:t>(d) will be funded by way of any one or combination of the options listed below which HSE at its sole discretion may determine:</w:t>
      </w:r>
    </w:p>
    <w:p w14:paraId="0A8E97E3" w14:textId="389B3E92" w:rsidR="002C042B" w:rsidRPr="001A1836" w:rsidRDefault="002C042B">
      <w:pPr>
        <w:pStyle w:val="GSRL6numberedclause"/>
      </w:pPr>
      <w:r w:rsidRPr="001A1836">
        <w:t xml:space="preserve">a Funds For Distribution subsidy in </w:t>
      </w:r>
      <w:r w:rsidR="0087178E" w:rsidRPr="001A1836">
        <w:t>accordance with paragraph 4.3.5</w:t>
      </w:r>
      <w:r w:rsidRPr="001A1836">
        <w:t>(c) of Schedule 5 (Financial Model and Gain</w:t>
      </w:r>
      <w:r w:rsidR="001236C2">
        <w:t xml:space="preserve"> S</w:t>
      </w:r>
      <w:r w:rsidRPr="001A1836">
        <w:t>hare);</w:t>
      </w:r>
    </w:p>
    <w:p w14:paraId="1B6583E2" w14:textId="5DEF085D" w:rsidR="002C042B" w:rsidRPr="001A1836" w:rsidRDefault="000C426D">
      <w:pPr>
        <w:pStyle w:val="GSRL6numberedclause"/>
      </w:pPr>
      <w:r w:rsidRPr="001A1836">
        <w:t>re</w:t>
      </w:r>
      <w:r w:rsidR="002C042B" w:rsidRPr="001A1836">
        <w:t>apportioning the distribution of the sums detailed in paragraph 3.2.</w:t>
      </w:r>
      <w:r w:rsidR="0087178E" w:rsidRPr="001A1836">
        <w:t>1</w:t>
      </w:r>
      <w:r w:rsidR="002C042B" w:rsidRPr="001A1836">
        <w:t>(a) to</w:t>
      </w:r>
      <w:r w:rsidR="0087178E" w:rsidRPr="001A1836">
        <w:t xml:space="preserve"> 3.2.1</w:t>
      </w:r>
      <w:r w:rsidR="002C042B" w:rsidRPr="001A1836">
        <w:t>(d) above;</w:t>
      </w:r>
      <w:r w:rsidR="00CA5E29">
        <w:t xml:space="preserve"> and/or</w:t>
      </w:r>
    </w:p>
    <w:p w14:paraId="373C37E6" w14:textId="4E606A1A" w:rsidR="00B074CC" w:rsidRPr="001A1836" w:rsidRDefault="002C042B">
      <w:pPr>
        <w:pStyle w:val="GSRL6numberedclause"/>
      </w:pPr>
      <w:r w:rsidRPr="001A1836">
        <w:t>an increase in the Charges.</w:t>
      </w:r>
    </w:p>
    <w:bookmarkEnd w:id="1160"/>
    <w:p w14:paraId="1C393432" w14:textId="77777777" w:rsidR="00B074CC" w:rsidRPr="001A1836" w:rsidRDefault="00B074CC">
      <w:pPr>
        <w:pStyle w:val="GSRL4numberedclause"/>
      </w:pPr>
      <w:r w:rsidRPr="001A1836">
        <w:t>Form and Content of Financial Model</w:t>
      </w:r>
    </w:p>
    <w:p w14:paraId="59942599" w14:textId="340CA959" w:rsidR="00B074CC" w:rsidRPr="001A1836" w:rsidRDefault="00B074CC">
      <w:pPr>
        <w:pStyle w:val="GSRL5numberedclause"/>
      </w:pPr>
      <w:r w:rsidRPr="001A1836">
        <w:t>No later than two (2)</w:t>
      </w:r>
      <w:r w:rsidR="00302E7A">
        <w:t xml:space="preserve"> </w:t>
      </w:r>
      <w:r w:rsidRPr="001A1836">
        <w:t>months before the Service Start Date, the Provider shall provide HSE with a copy of the Financial Model.</w:t>
      </w:r>
    </w:p>
    <w:p w14:paraId="23734AB5" w14:textId="77777777" w:rsidR="00B074CC" w:rsidRPr="001A1836" w:rsidRDefault="00B074CC">
      <w:pPr>
        <w:pStyle w:val="GSRL5numberedclause"/>
      </w:pPr>
      <w:r w:rsidRPr="001A1836">
        <w:t xml:space="preserve">The Financial Model shall: </w:t>
      </w:r>
    </w:p>
    <w:p w14:paraId="1905B95A" w14:textId="7BA66D6C" w:rsidR="00B074CC" w:rsidRPr="001A1836" w:rsidRDefault="00B074CC">
      <w:pPr>
        <w:pStyle w:val="GSRL6numberedclause"/>
      </w:pPr>
      <w:r w:rsidRPr="001A1836">
        <w:t xml:space="preserve">provide sufficient detail for HSE to have visibility of the </w:t>
      </w:r>
      <w:r w:rsidR="005504F6">
        <w:t>Agreed Operating Costs</w:t>
      </w:r>
      <w:r w:rsidRPr="001A1836">
        <w:t xml:space="preserve">, Provider Profit and the Concession Charges to </w:t>
      </w:r>
      <w:r w:rsidRPr="001A1836">
        <w:lastRenderedPageBreak/>
        <w:t xml:space="preserve">be levied in respect of the provision of the Services for every Contract Year; </w:t>
      </w:r>
    </w:p>
    <w:p w14:paraId="0BA482FF" w14:textId="3B0A7DB7" w:rsidR="00B074CC" w:rsidRPr="001A1836" w:rsidRDefault="00B074CC">
      <w:pPr>
        <w:pStyle w:val="GSRL6numberedclause"/>
      </w:pPr>
      <w:r w:rsidRPr="001A1836">
        <w:t xml:space="preserve">provide a full analysis of the Provider's </w:t>
      </w:r>
      <w:r w:rsidR="00FE38F7" w:rsidRPr="001A1836">
        <w:t xml:space="preserve">estimated </w:t>
      </w:r>
      <w:r w:rsidRPr="001A1836">
        <w:t xml:space="preserve">costs and the assumptions used to develop the Charges; </w:t>
      </w:r>
    </w:p>
    <w:p w14:paraId="4142272F" w14:textId="77777777" w:rsidR="00B074CC" w:rsidRPr="001A1836" w:rsidRDefault="00B074CC">
      <w:pPr>
        <w:pStyle w:val="GSRL6numberedclause"/>
      </w:pPr>
      <w:r w:rsidRPr="001A1836">
        <w:t xml:space="preserve">quote all costs, prices and revenues based on current prices; </w:t>
      </w:r>
    </w:p>
    <w:p w14:paraId="21E618E8" w14:textId="563690F1" w:rsidR="00B074CC" w:rsidRPr="001A1836" w:rsidRDefault="00B074CC">
      <w:pPr>
        <w:pStyle w:val="GSRL6numberedclause"/>
      </w:pPr>
      <w:r w:rsidRPr="001A1836">
        <w:t xml:space="preserve">describe any indexation assumptions relating to operating costs; </w:t>
      </w:r>
    </w:p>
    <w:p w14:paraId="1356462A" w14:textId="16DFB14D" w:rsidR="00B074CC" w:rsidRPr="001A1836" w:rsidRDefault="00B074CC">
      <w:pPr>
        <w:pStyle w:val="GSRL6numberedclause"/>
      </w:pPr>
      <w:r w:rsidRPr="001A1836">
        <w:t xml:space="preserve">provide details of </w:t>
      </w:r>
      <w:r w:rsidR="005B7203" w:rsidRPr="001A1836">
        <w:t xml:space="preserve">Provider </w:t>
      </w:r>
      <w:r w:rsidRPr="001A1836">
        <w:t xml:space="preserve">Profit (and the calculation of </w:t>
      </w:r>
      <w:r w:rsidR="005B7203" w:rsidRPr="001A1836">
        <w:t xml:space="preserve">Provider </w:t>
      </w:r>
      <w:r w:rsidRPr="001A1836">
        <w:t xml:space="preserve">Profit as both a value and percentage). </w:t>
      </w:r>
    </w:p>
    <w:p w14:paraId="6FCE707A" w14:textId="2AB38D9F" w:rsidR="00B074CC" w:rsidRPr="001A1836" w:rsidRDefault="00B074CC">
      <w:pPr>
        <w:pStyle w:val="GSRL5numberedclause"/>
      </w:pPr>
      <w:r w:rsidRPr="001A1836">
        <w:t>The Financial Model and operating costs shall be reviewed annually:</w:t>
      </w:r>
    </w:p>
    <w:p w14:paraId="5DBDF380" w14:textId="2DE8F47B" w:rsidR="00B074CC" w:rsidRPr="001A1836" w:rsidRDefault="00B074CC">
      <w:pPr>
        <w:pStyle w:val="GSRL6numberedclause"/>
      </w:pPr>
      <w:r w:rsidRPr="001A1836">
        <w:t>operating costs shall be agreed with HSE annually</w:t>
      </w:r>
      <w:r w:rsidR="00C6614C" w:rsidRPr="001A1836">
        <w:t xml:space="preserve"> and</w:t>
      </w:r>
      <w:r w:rsidR="005504F6">
        <w:t xml:space="preserve"> any increase will be subject to the provision </w:t>
      </w:r>
      <w:r w:rsidR="005504F6" w:rsidRPr="001A1836">
        <w:t>of satisfactory evidence supporting the request</w:t>
      </w:r>
      <w:r w:rsidR="005504F6">
        <w:t xml:space="preserve"> and H</w:t>
      </w:r>
      <w:r w:rsidR="00C6614C" w:rsidRPr="001A1836">
        <w:t xml:space="preserve">SE’s </w:t>
      </w:r>
      <w:r w:rsidR="005504F6">
        <w:t xml:space="preserve">reasonable consideration that the Provider has taken appropriate steps to minimise any increases through </w:t>
      </w:r>
      <w:r w:rsidR="00E65185">
        <w:t xml:space="preserve">the application of cost-reduction and other savings measures.  The Provider shall not be entitled to request increases to </w:t>
      </w:r>
      <w:r w:rsidR="00801100">
        <w:t xml:space="preserve">any of </w:t>
      </w:r>
      <w:r w:rsidR="00E65185">
        <w:t xml:space="preserve">its Agreed Operating Costs where the proposed </w:t>
      </w:r>
      <w:r w:rsidR="00801100">
        <w:t>increase is greater than the CPI adjustment to Concession Charges permitted by paragraph 4.1</w:t>
      </w:r>
      <w:r w:rsidR="00356284">
        <w:t xml:space="preserve"> of Schedule 4 (Charges)</w:t>
      </w:r>
      <w:r w:rsidR="00801100">
        <w:t>;</w:t>
      </w:r>
    </w:p>
    <w:p w14:paraId="5B336704" w14:textId="76DD4E4D" w:rsidR="00B074CC" w:rsidRPr="001A1836" w:rsidRDefault="00637350">
      <w:pPr>
        <w:pStyle w:val="GSRL6numberedclause"/>
      </w:pPr>
      <w:r w:rsidRPr="001A1836">
        <w:t>t</w:t>
      </w:r>
      <w:r w:rsidR="00B074CC" w:rsidRPr="001A1836">
        <w:t>he Provider shall propose operating costs for the next Contract Year two months before the start of the next Contract Year</w:t>
      </w:r>
      <w:r w:rsidRPr="001A1836">
        <w:t>;</w:t>
      </w:r>
      <w:r w:rsidR="00704C9E">
        <w:t xml:space="preserve"> and</w:t>
      </w:r>
    </w:p>
    <w:p w14:paraId="5E03E569" w14:textId="77777777" w:rsidR="00B074CC" w:rsidRPr="001A1836" w:rsidRDefault="00B074CC">
      <w:pPr>
        <w:pStyle w:val="GSRL6numberedclause"/>
      </w:pPr>
      <w:r w:rsidRPr="001A1836">
        <w:t xml:space="preserve">HSE will review the proposals and respond within four weeks.  </w:t>
      </w:r>
    </w:p>
    <w:p w14:paraId="5684C8A2" w14:textId="181BFC59" w:rsidR="00B074CC" w:rsidRPr="001A1836" w:rsidRDefault="00B074CC">
      <w:pPr>
        <w:pStyle w:val="GSRL5numberedclause"/>
      </w:pPr>
      <w:r w:rsidRPr="001A1836">
        <w:t xml:space="preserve">The </w:t>
      </w:r>
      <w:r w:rsidR="005504F6">
        <w:t>Agreed Operating Costs</w:t>
      </w:r>
      <w:r w:rsidRPr="001A1836">
        <w:t xml:space="preserve"> may be amended in-year subject to </w:t>
      </w:r>
      <w:r w:rsidR="00CF274C" w:rsidRPr="001A1836">
        <w:t>the application of the Contract Change Procedure.</w:t>
      </w:r>
    </w:p>
    <w:p w14:paraId="366EB0E8" w14:textId="04ACB3C8" w:rsidR="00AD17E8" w:rsidRPr="001A1836" w:rsidRDefault="001B4748">
      <w:pPr>
        <w:pStyle w:val="GSRL5numberedclause"/>
      </w:pPr>
      <w:r w:rsidRPr="001A1836">
        <w:t>In respect of paragraphs 3.3.3 and 3.3.4 of this Schedule 5, w</w:t>
      </w:r>
      <w:r w:rsidR="00195755" w:rsidRPr="001A1836">
        <w:t>here a</w:t>
      </w:r>
      <w:r w:rsidR="00253F07" w:rsidRPr="001A1836">
        <w:t xml:space="preserve">ny proposal from the Provider to increase the </w:t>
      </w:r>
      <w:r w:rsidR="005504F6">
        <w:t>Agreed Operating Costs</w:t>
      </w:r>
      <w:r w:rsidR="00253F07" w:rsidRPr="001A1836">
        <w:t xml:space="preserve"> is</w:t>
      </w:r>
      <w:r w:rsidR="00195755" w:rsidRPr="001A1836">
        <w:t xml:space="preserve"> </w:t>
      </w:r>
      <w:r w:rsidR="00AD17E8" w:rsidRPr="001A1836">
        <w:t xml:space="preserve">linked to an increase in Business Changes, the request will be considered and </w:t>
      </w:r>
      <w:r w:rsidR="00195755" w:rsidRPr="001A1836">
        <w:t xml:space="preserve">HSE’s </w:t>
      </w:r>
      <w:r w:rsidR="00AD17E8" w:rsidRPr="001A1836">
        <w:t>agr</w:t>
      </w:r>
      <w:r w:rsidR="00195755" w:rsidRPr="001A1836">
        <w:t>eement will not be withheld</w:t>
      </w:r>
      <w:r w:rsidR="00AD17E8" w:rsidRPr="001A1836">
        <w:t xml:space="preserve"> subject to the following:</w:t>
      </w:r>
    </w:p>
    <w:p w14:paraId="6460C05D" w14:textId="0E23F633" w:rsidR="00195755" w:rsidRPr="001A1836" w:rsidRDefault="00195755">
      <w:pPr>
        <w:pStyle w:val="GSRL6numberedclause"/>
      </w:pPr>
      <w:r w:rsidRPr="001A1836">
        <w:t xml:space="preserve">the provision of satisfactory evidence supporting the request; </w:t>
      </w:r>
    </w:p>
    <w:p w14:paraId="64203F18" w14:textId="7079C423" w:rsidR="00AD17E8" w:rsidRPr="001A1836" w:rsidRDefault="00AD17E8">
      <w:pPr>
        <w:pStyle w:val="GSRL6numberedclause"/>
      </w:pPr>
      <w:r w:rsidRPr="001A1836">
        <w:t xml:space="preserve">any increase </w:t>
      </w:r>
      <w:r w:rsidR="000A4449" w:rsidRPr="001A1836">
        <w:t>being</w:t>
      </w:r>
      <w:r w:rsidRPr="001A1836">
        <w:t xml:space="preserve"> limited to the </w:t>
      </w:r>
      <w:r w:rsidR="000A4449" w:rsidRPr="001A1836">
        <w:t>proposed</w:t>
      </w:r>
      <w:r w:rsidRPr="001A1836">
        <w:t xml:space="preserve"> increase in the </w:t>
      </w:r>
      <w:r w:rsidR="005504F6">
        <w:t>Agreed Operating Costs</w:t>
      </w:r>
      <w:r w:rsidRPr="001A1836">
        <w:t>;</w:t>
      </w:r>
    </w:p>
    <w:p w14:paraId="3EF09413" w14:textId="0A6673AC" w:rsidR="00AD17E8" w:rsidRPr="001A1836" w:rsidRDefault="00AD17E8">
      <w:pPr>
        <w:pStyle w:val="GSRL6numberedclause"/>
      </w:pPr>
      <w:r w:rsidRPr="001A1836">
        <w:t xml:space="preserve">the </w:t>
      </w:r>
      <w:r w:rsidR="00195755" w:rsidRPr="001A1836">
        <w:t xml:space="preserve">proposed </w:t>
      </w:r>
      <w:r w:rsidRPr="001A1836">
        <w:t xml:space="preserve">increase in </w:t>
      </w:r>
      <w:r w:rsidR="005504F6">
        <w:t>Agreed Operating Costs</w:t>
      </w:r>
      <w:r w:rsidRPr="001A1836">
        <w:t xml:space="preserve"> not exceed</w:t>
      </w:r>
      <w:r w:rsidR="000A4449" w:rsidRPr="001A1836">
        <w:t>ing</w:t>
      </w:r>
      <w:r w:rsidR="001B4748" w:rsidRPr="001A1836">
        <w:t xml:space="preserve"> the increase in Revenue; and</w:t>
      </w:r>
    </w:p>
    <w:p w14:paraId="14A8BEC6" w14:textId="177031D4" w:rsidR="00195755" w:rsidRPr="001A1836" w:rsidRDefault="00195755">
      <w:pPr>
        <w:pStyle w:val="GSRL6numberedclause"/>
      </w:pPr>
      <w:r w:rsidRPr="001A1836">
        <w:t xml:space="preserve">the Parties recognising that an increase in Revenue does not automatically result in a corresponding increase in </w:t>
      </w:r>
      <w:r w:rsidR="005504F6">
        <w:t>Agreed Operating Costs</w:t>
      </w:r>
      <w:r w:rsidRPr="001A1836">
        <w:t>.</w:t>
      </w:r>
    </w:p>
    <w:p w14:paraId="65B2D0BF" w14:textId="2967D4ED" w:rsidR="00097A1C" w:rsidRPr="001A1836" w:rsidRDefault="00CA5E29" w:rsidP="00097A1C">
      <w:pPr>
        <w:pStyle w:val="GSRL2Sectionheading"/>
      </w:pPr>
      <w:bookmarkStart w:id="1161" w:name="_Toc521319354"/>
      <w:bookmarkStart w:id="1162" w:name="_Toc521327016"/>
      <w:bookmarkStart w:id="1163" w:name="_Toc521333249"/>
      <w:bookmarkStart w:id="1164" w:name="_Toc521496809"/>
      <w:bookmarkStart w:id="1165" w:name="_Toc521498251"/>
      <w:bookmarkStart w:id="1166" w:name="_Toc529345985"/>
      <w:bookmarkStart w:id="1167" w:name="_Toc129038186"/>
      <w:bookmarkStart w:id="1168" w:name="_Toc129038472"/>
      <w:bookmarkStart w:id="1169" w:name="_Toc132268042"/>
      <w:bookmarkStart w:id="1170" w:name="_Toc132268348"/>
      <w:bookmarkStart w:id="1171" w:name="_Toc136198599"/>
      <w:bookmarkStart w:id="1172" w:name="_Toc136198880"/>
      <w:r>
        <w:t>PROVIDER PROFIT</w:t>
      </w:r>
    </w:p>
    <w:p w14:paraId="17FF2B3F" w14:textId="788AF3B6" w:rsidR="00097A1C" w:rsidRDefault="00AE3CB3" w:rsidP="00097A1C">
      <w:pPr>
        <w:pStyle w:val="GSRL3heading"/>
      </w:pPr>
      <w:r>
        <w:t>Provider Profit</w:t>
      </w:r>
    </w:p>
    <w:p w14:paraId="332ACD08" w14:textId="77777777" w:rsidR="00097A1C" w:rsidRPr="001A1836" w:rsidRDefault="00097A1C" w:rsidP="00097A1C">
      <w:pPr>
        <w:pStyle w:val="GSRL4numberedclause"/>
      </w:pPr>
      <w:r w:rsidRPr="001A1836">
        <w:t>General principles</w:t>
      </w:r>
    </w:p>
    <w:p w14:paraId="0C0867C7" w14:textId="5FF27E4D" w:rsidR="00097A1C" w:rsidRPr="001A1836" w:rsidRDefault="00097A1C" w:rsidP="00097A1C">
      <w:pPr>
        <w:pStyle w:val="GSRL5numberedclause"/>
      </w:pPr>
      <w:r w:rsidRPr="001A1836">
        <w:t xml:space="preserve">The </w:t>
      </w:r>
      <w:r w:rsidR="00CA5E29">
        <w:t>Provider Profit</w:t>
      </w:r>
      <w:r w:rsidRPr="001A1836">
        <w:t xml:space="preserve"> </w:t>
      </w:r>
      <w:r w:rsidR="00561904">
        <w:t xml:space="preserve">in respect of each Contract Year </w:t>
      </w:r>
      <w:r w:rsidRPr="001A1836">
        <w:t xml:space="preserve">shall be </w:t>
      </w:r>
      <w:r w:rsidR="00CA5E29">
        <w:t xml:space="preserve">divided </w:t>
      </w:r>
      <w:r w:rsidR="00AE3CB3">
        <w:t>as follows</w:t>
      </w:r>
      <w:r w:rsidRPr="001A1836">
        <w:t>:</w:t>
      </w:r>
    </w:p>
    <w:p w14:paraId="3981F5CA" w14:textId="698FE6E2" w:rsidR="00097A1C" w:rsidRPr="001A1836" w:rsidRDefault="00247876" w:rsidP="00097A1C">
      <w:pPr>
        <w:pStyle w:val="GSRL6numberedclause"/>
      </w:pPr>
      <w:r>
        <w:rPr>
          <w:color w:val="000000"/>
          <w:sz w:val="20"/>
        </w:rPr>
        <w:lastRenderedPageBreak/>
        <w:t>REDACTED</w:t>
      </w:r>
      <w:r w:rsidDel="005D139D">
        <w:t xml:space="preserve"> </w:t>
      </w:r>
      <w:r w:rsidR="00F36765">
        <w:t xml:space="preserve">of the total Provider Profit for that Contract Year </w:t>
      </w:r>
      <w:r w:rsidR="00C07BA4">
        <w:t>can be deducted from Revenue and retained by the Provider in accordance with paragraph 3.2.1 of this Schedule</w:t>
      </w:r>
      <w:r w:rsidR="00F36765">
        <w:t xml:space="preserve"> (the </w:t>
      </w:r>
      <w:r w:rsidR="00F36765" w:rsidRPr="00F36765">
        <w:rPr>
          <w:b/>
        </w:rPr>
        <w:t>"Reserved Provider Profit"</w:t>
      </w:r>
      <w:r w:rsidR="00F36765">
        <w:t>)</w:t>
      </w:r>
      <w:r w:rsidR="00097A1C" w:rsidRPr="001A1836">
        <w:t>; and</w:t>
      </w:r>
    </w:p>
    <w:p w14:paraId="49BF1E93" w14:textId="50994E08" w:rsidR="00097A1C" w:rsidRPr="001A1836" w:rsidRDefault="00247876" w:rsidP="00097A1C">
      <w:pPr>
        <w:pStyle w:val="GSRL6numberedclause"/>
      </w:pPr>
      <w:r>
        <w:rPr>
          <w:color w:val="000000"/>
          <w:sz w:val="20"/>
        </w:rPr>
        <w:t>REDACTED</w:t>
      </w:r>
      <w:r w:rsidDel="00247876">
        <w:t xml:space="preserve"> </w:t>
      </w:r>
      <w:r w:rsidR="00F36765">
        <w:t xml:space="preserve">of the total Provider Profit for that Contract Year </w:t>
      </w:r>
      <w:r w:rsidR="00C07BA4">
        <w:t xml:space="preserve">can only be deducted from Revenue and retained by the Provider if and to the extent that the </w:t>
      </w:r>
      <w:r w:rsidR="008E6770">
        <w:t xml:space="preserve">Provider </w:t>
      </w:r>
      <w:r w:rsidR="00C07BA4">
        <w:t xml:space="preserve">achieves the </w:t>
      </w:r>
      <w:r w:rsidR="00946A1A">
        <w:t>Provisional</w:t>
      </w:r>
      <w:r w:rsidR="00C07BA4">
        <w:t xml:space="preserve"> Provider Profit KPIs</w:t>
      </w:r>
      <w:r w:rsidR="002E67DE">
        <w:t xml:space="preserve"> as further set out in paragraph 4.2</w:t>
      </w:r>
      <w:r w:rsidR="00C07BA4">
        <w:t xml:space="preserve"> of this Schedule</w:t>
      </w:r>
      <w:r w:rsidR="00F36765">
        <w:t xml:space="preserve"> (the </w:t>
      </w:r>
      <w:r w:rsidR="00F36765" w:rsidRPr="00F36765">
        <w:rPr>
          <w:b/>
        </w:rPr>
        <w:t>"Provisional Provider Profit"</w:t>
      </w:r>
      <w:r w:rsidR="00F36765">
        <w:t>)</w:t>
      </w:r>
      <w:r w:rsidR="00AE3CB3">
        <w:t>.</w:t>
      </w:r>
      <w:r w:rsidR="00097A1C" w:rsidRPr="001A1836">
        <w:t xml:space="preserve"> </w:t>
      </w:r>
    </w:p>
    <w:p w14:paraId="4404BF39" w14:textId="07A19967" w:rsidR="00097A1C" w:rsidRPr="001A1836" w:rsidRDefault="002B3F67" w:rsidP="00097A1C">
      <w:pPr>
        <w:pStyle w:val="GSRL4numberedclause"/>
      </w:pPr>
      <w:r>
        <w:t>Provisional Provider</w:t>
      </w:r>
      <w:r w:rsidR="00561904">
        <w:t xml:space="preserve"> Profit</w:t>
      </w:r>
    </w:p>
    <w:p w14:paraId="0528D509" w14:textId="4A72C1C3" w:rsidR="00097A1C" w:rsidRPr="001A1836" w:rsidRDefault="00097A1C" w:rsidP="00097A1C">
      <w:pPr>
        <w:pStyle w:val="GSRL5numberedclause"/>
      </w:pPr>
      <w:r w:rsidRPr="001A1836">
        <w:t xml:space="preserve">For each relevant Contract Year, the </w:t>
      </w:r>
      <w:r w:rsidR="00946A1A">
        <w:t>Provisional</w:t>
      </w:r>
      <w:r w:rsidRPr="001A1836">
        <w:t xml:space="preserve"> Provider </w:t>
      </w:r>
      <w:r w:rsidR="00CA5E29">
        <w:t xml:space="preserve">Profit </w:t>
      </w:r>
      <w:r w:rsidRPr="001A1836">
        <w:t>shall be subject to the Provider’s performance against the following KPIs:</w:t>
      </w:r>
    </w:p>
    <w:p w14:paraId="0A818042" w14:textId="77777777" w:rsidR="00097A1C" w:rsidRPr="001A1836" w:rsidRDefault="00097A1C" w:rsidP="00097A1C">
      <w:pPr>
        <w:pStyle w:val="GSRL6numberedclause"/>
      </w:pPr>
      <w:r w:rsidRPr="001A1836">
        <w:t>KPI 1;</w:t>
      </w:r>
    </w:p>
    <w:p w14:paraId="25220A1E" w14:textId="77777777" w:rsidR="00097A1C" w:rsidRPr="001A1836" w:rsidRDefault="00097A1C" w:rsidP="00097A1C">
      <w:pPr>
        <w:pStyle w:val="GSRL6numberedclause"/>
      </w:pPr>
      <w:r w:rsidRPr="001A1836">
        <w:t>KPI 2; and</w:t>
      </w:r>
    </w:p>
    <w:p w14:paraId="25EAE5D6" w14:textId="77777777" w:rsidR="00097A1C" w:rsidRPr="001A1836" w:rsidRDefault="00097A1C" w:rsidP="00097A1C">
      <w:pPr>
        <w:pStyle w:val="GSRL6numberedclause"/>
      </w:pPr>
      <w:r w:rsidRPr="001A1836">
        <w:t>KPI 3,</w:t>
      </w:r>
    </w:p>
    <w:p w14:paraId="3F7FFA6A" w14:textId="6F199B04" w:rsidR="00097A1C" w:rsidRPr="001A1836" w:rsidRDefault="00097A1C" w:rsidP="00097A1C">
      <w:pPr>
        <w:pStyle w:val="Number"/>
        <w:ind w:left="1440" w:firstLine="144"/>
      </w:pPr>
      <w:r w:rsidRPr="001A1836">
        <w:t>(together the “</w:t>
      </w:r>
      <w:r w:rsidR="00946A1A">
        <w:rPr>
          <w:b/>
        </w:rPr>
        <w:t>Provisional</w:t>
      </w:r>
      <w:r w:rsidR="00C07BA4">
        <w:rPr>
          <w:b/>
        </w:rPr>
        <w:t xml:space="preserve"> Provider Profit</w:t>
      </w:r>
      <w:r w:rsidRPr="001A1836">
        <w:rPr>
          <w:b/>
        </w:rPr>
        <w:t xml:space="preserve"> KPIs</w:t>
      </w:r>
      <w:r w:rsidRPr="001A1836">
        <w:t>”).</w:t>
      </w:r>
    </w:p>
    <w:p w14:paraId="2BB68CC6" w14:textId="77777777" w:rsidR="00097A1C" w:rsidRPr="001A1836" w:rsidRDefault="00097A1C" w:rsidP="00097A1C">
      <w:pPr>
        <w:pStyle w:val="Number"/>
        <w:ind w:left="1584" w:firstLine="0"/>
        <w:rPr>
          <w:b/>
        </w:rPr>
      </w:pPr>
      <w:r w:rsidRPr="001A1836">
        <w:rPr>
          <w:b/>
        </w:rPr>
        <w:t>Deductions for KPI Failures</w:t>
      </w:r>
    </w:p>
    <w:p w14:paraId="154360B9" w14:textId="6E8153F9" w:rsidR="00097A1C" w:rsidRPr="001A1836" w:rsidRDefault="00097A1C" w:rsidP="00097A1C">
      <w:pPr>
        <w:pStyle w:val="GSRL5numberedclause"/>
      </w:pPr>
      <w:r w:rsidRPr="001A1836">
        <w:t xml:space="preserve">Each of the </w:t>
      </w:r>
      <w:r w:rsidR="00946A1A">
        <w:t>Provisional</w:t>
      </w:r>
      <w:r w:rsidR="00C07BA4" w:rsidRPr="00C07BA4">
        <w:t xml:space="preserve"> Provider Profit KPIs</w:t>
      </w:r>
      <w:r w:rsidRPr="001A1836">
        <w:t xml:space="preserve"> listed in paragraph </w:t>
      </w:r>
      <w:r w:rsidRPr="001A1836">
        <w:fldChar w:fldCharType="begin"/>
      </w:r>
      <w:r w:rsidRPr="001A1836">
        <w:instrText xml:space="preserve"> REF _Ref505260139 \r \h </w:instrText>
      </w:r>
      <w:r>
        <w:instrText xml:space="preserve"> \* MERGEFORMAT </w:instrText>
      </w:r>
      <w:r w:rsidRPr="001A1836">
        <w:fldChar w:fldCharType="separate"/>
      </w:r>
      <w:r w:rsidR="00C87D85">
        <w:t>5.2.1</w:t>
      </w:r>
      <w:r w:rsidRPr="001A1836">
        <w:fldChar w:fldCharType="end"/>
      </w:r>
      <w:r w:rsidRPr="001A1836">
        <w:t xml:space="preserve"> shall be apportioned a percentage of the total value of the </w:t>
      </w:r>
      <w:r w:rsidR="00946A1A">
        <w:t>Provisional</w:t>
      </w:r>
      <w:r w:rsidR="00C07BA4">
        <w:t xml:space="preserve"> Provider Profit</w:t>
      </w:r>
      <w:r w:rsidRPr="001A1836">
        <w:t xml:space="preserve"> as set out in Table 1 below:</w:t>
      </w:r>
    </w:p>
    <w:p w14:paraId="54E2560C" w14:textId="77777777" w:rsidR="00097A1C" w:rsidRPr="001A1836" w:rsidRDefault="00097A1C" w:rsidP="00097A1C">
      <w:pPr>
        <w:ind w:firstLine="709"/>
        <w:rPr>
          <w:b/>
        </w:rPr>
      </w:pPr>
    </w:p>
    <w:p w14:paraId="0A0BF715" w14:textId="18AB9179" w:rsidR="00097A1C" w:rsidRPr="001A1836" w:rsidRDefault="00097A1C" w:rsidP="00097A1C">
      <w:pPr>
        <w:ind w:firstLine="709"/>
      </w:pPr>
      <w:r w:rsidRPr="001A1836">
        <w:rPr>
          <w:b/>
        </w:rPr>
        <w:t>Table 1</w:t>
      </w:r>
      <w:r w:rsidRPr="001A1836">
        <w:t xml:space="preserve"> </w:t>
      </w:r>
      <w:r w:rsidR="00946A1A">
        <w:t>Provisional</w:t>
      </w:r>
      <w:r w:rsidR="001F56DA">
        <w:t xml:space="preserve"> Provider Profit </w:t>
      </w:r>
      <w:r w:rsidRPr="001A1836">
        <w:t>KPI Deductions</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538"/>
        <w:gridCol w:w="1319"/>
        <w:gridCol w:w="1350"/>
        <w:gridCol w:w="1318"/>
      </w:tblGrid>
      <w:tr w:rsidR="00097A1C" w:rsidRPr="001A1836" w14:paraId="0B0E2253" w14:textId="77777777" w:rsidTr="0005437F">
        <w:trPr>
          <w:cantSplit/>
          <w:trHeight w:val="720"/>
          <w:tblHeader/>
        </w:trPr>
        <w:tc>
          <w:tcPr>
            <w:tcW w:w="1417" w:type="dxa"/>
            <w:vMerge w:val="restart"/>
            <w:shd w:val="clear" w:color="auto" w:fill="auto"/>
            <w:vAlign w:val="center"/>
          </w:tcPr>
          <w:p w14:paraId="0812A99D" w14:textId="77777777" w:rsidR="00097A1C" w:rsidRPr="001A1836" w:rsidRDefault="00097A1C" w:rsidP="0005437F">
            <w:pPr>
              <w:pStyle w:val="Number"/>
              <w:ind w:left="0" w:firstLine="0"/>
              <w:jc w:val="center"/>
              <w:rPr>
                <w:b/>
              </w:rPr>
            </w:pPr>
            <w:r w:rsidRPr="001A1836">
              <w:rPr>
                <w:b/>
              </w:rPr>
              <w:t>KPI number</w:t>
            </w:r>
          </w:p>
        </w:tc>
        <w:tc>
          <w:tcPr>
            <w:tcW w:w="2632" w:type="dxa"/>
            <w:vMerge w:val="restart"/>
            <w:shd w:val="clear" w:color="auto" w:fill="auto"/>
            <w:vAlign w:val="center"/>
          </w:tcPr>
          <w:p w14:paraId="4F019C5D" w14:textId="3BC5399D" w:rsidR="00097A1C" w:rsidRPr="001A1836" w:rsidRDefault="00097A1C" w:rsidP="00946A1A">
            <w:pPr>
              <w:pStyle w:val="Number"/>
              <w:ind w:left="0" w:firstLine="0"/>
              <w:jc w:val="center"/>
              <w:rPr>
                <w:b/>
              </w:rPr>
            </w:pPr>
            <w:r w:rsidRPr="001A1836">
              <w:rPr>
                <w:b/>
              </w:rPr>
              <w:t xml:space="preserve">% Total </w:t>
            </w:r>
            <w:r w:rsidR="00946A1A">
              <w:rPr>
                <w:b/>
              </w:rPr>
              <w:t>Provisional</w:t>
            </w:r>
            <w:r w:rsidR="00C07BA4">
              <w:rPr>
                <w:b/>
              </w:rPr>
              <w:t xml:space="preserve"> Provider Profit</w:t>
            </w:r>
            <w:r w:rsidRPr="001A1836">
              <w:rPr>
                <w:b/>
              </w:rPr>
              <w:t xml:space="preserve"> apportioned to KPI</w:t>
            </w:r>
          </w:p>
        </w:tc>
        <w:tc>
          <w:tcPr>
            <w:tcW w:w="4092" w:type="dxa"/>
            <w:gridSpan w:val="3"/>
            <w:shd w:val="clear" w:color="auto" w:fill="auto"/>
          </w:tcPr>
          <w:p w14:paraId="0BD87BB2" w14:textId="00802BCE" w:rsidR="00097A1C" w:rsidRPr="001A1836" w:rsidRDefault="00097A1C" w:rsidP="00946A1A">
            <w:pPr>
              <w:pStyle w:val="Number"/>
              <w:ind w:left="0" w:firstLine="0"/>
              <w:rPr>
                <w:b/>
              </w:rPr>
            </w:pPr>
            <w:r w:rsidRPr="001A1836">
              <w:rPr>
                <w:b/>
              </w:rPr>
              <w:t xml:space="preserve">Deduction from apportioned amount of </w:t>
            </w:r>
            <w:r w:rsidR="00946A1A">
              <w:rPr>
                <w:b/>
              </w:rPr>
              <w:t>Provisional</w:t>
            </w:r>
            <w:r w:rsidR="00C07BA4">
              <w:rPr>
                <w:b/>
              </w:rPr>
              <w:t xml:space="preserve"> Provider Profit</w:t>
            </w:r>
          </w:p>
        </w:tc>
      </w:tr>
      <w:tr w:rsidR="00097A1C" w:rsidRPr="001A1836" w14:paraId="463D858D" w14:textId="77777777" w:rsidTr="0005437F">
        <w:trPr>
          <w:cantSplit/>
          <w:trHeight w:val="401"/>
          <w:tblHeader/>
        </w:trPr>
        <w:tc>
          <w:tcPr>
            <w:tcW w:w="1417" w:type="dxa"/>
            <w:vMerge/>
            <w:shd w:val="clear" w:color="auto" w:fill="auto"/>
          </w:tcPr>
          <w:p w14:paraId="384788A5" w14:textId="77777777" w:rsidR="00097A1C" w:rsidRPr="001A1836" w:rsidRDefault="00097A1C" w:rsidP="0005437F">
            <w:pPr>
              <w:pStyle w:val="Number"/>
              <w:ind w:left="0" w:firstLine="0"/>
              <w:rPr>
                <w:b/>
              </w:rPr>
            </w:pPr>
          </w:p>
        </w:tc>
        <w:tc>
          <w:tcPr>
            <w:tcW w:w="2632" w:type="dxa"/>
            <w:vMerge/>
            <w:shd w:val="clear" w:color="auto" w:fill="auto"/>
          </w:tcPr>
          <w:p w14:paraId="2B51E827" w14:textId="77777777" w:rsidR="00097A1C" w:rsidRPr="001A1836" w:rsidRDefault="00097A1C" w:rsidP="0005437F">
            <w:pPr>
              <w:pStyle w:val="Number"/>
              <w:ind w:left="0" w:firstLine="0"/>
              <w:rPr>
                <w:b/>
              </w:rPr>
            </w:pPr>
          </w:p>
        </w:tc>
        <w:tc>
          <w:tcPr>
            <w:tcW w:w="4092" w:type="dxa"/>
            <w:gridSpan w:val="3"/>
            <w:shd w:val="clear" w:color="auto" w:fill="auto"/>
            <w:vAlign w:val="center"/>
          </w:tcPr>
          <w:p w14:paraId="0043DB37" w14:textId="77777777" w:rsidR="00097A1C" w:rsidRPr="001A1836" w:rsidRDefault="00097A1C" w:rsidP="0005437F">
            <w:pPr>
              <w:pStyle w:val="Number"/>
              <w:ind w:left="0" w:firstLine="0"/>
              <w:jc w:val="center"/>
              <w:rPr>
                <w:b/>
              </w:rPr>
            </w:pPr>
            <w:r w:rsidRPr="001A1836">
              <w:rPr>
                <w:b/>
              </w:rPr>
              <w:t>KPI failure level</w:t>
            </w:r>
          </w:p>
        </w:tc>
      </w:tr>
      <w:tr w:rsidR="00097A1C" w:rsidRPr="001A1836" w14:paraId="23214090" w14:textId="77777777" w:rsidTr="0005437F">
        <w:trPr>
          <w:cantSplit/>
          <w:tblHeader/>
        </w:trPr>
        <w:tc>
          <w:tcPr>
            <w:tcW w:w="1417" w:type="dxa"/>
            <w:vMerge/>
            <w:shd w:val="clear" w:color="auto" w:fill="auto"/>
          </w:tcPr>
          <w:p w14:paraId="41395162" w14:textId="77777777" w:rsidR="00097A1C" w:rsidRPr="001A1836" w:rsidRDefault="00097A1C" w:rsidP="0005437F">
            <w:pPr>
              <w:pStyle w:val="Number"/>
              <w:ind w:left="0" w:firstLine="0"/>
            </w:pPr>
          </w:p>
        </w:tc>
        <w:tc>
          <w:tcPr>
            <w:tcW w:w="2632" w:type="dxa"/>
            <w:vMerge/>
            <w:shd w:val="clear" w:color="auto" w:fill="auto"/>
          </w:tcPr>
          <w:p w14:paraId="4EF3F8B0" w14:textId="77777777" w:rsidR="00097A1C" w:rsidRPr="001A1836" w:rsidRDefault="00097A1C" w:rsidP="0005437F">
            <w:pPr>
              <w:pStyle w:val="Number"/>
              <w:ind w:left="0" w:firstLine="0"/>
            </w:pPr>
          </w:p>
        </w:tc>
        <w:tc>
          <w:tcPr>
            <w:tcW w:w="1364" w:type="dxa"/>
            <w:shd w:val="clear" w:color="auto" w:fill="auto"/>
          </w:tcPr>
          <w:p w14:paraId="00985AD9" w14:textId="77777777" w:rsidR="00097A1C" w:rsidRPr="001A1836" w:rsidRDefault="00097A1C" w:rsidP="0005437F">
            <w:pPr>
              <w:pStyle w:val="Number"/>
              <w:ind w:left="0" w:firstLine="0"/>
              <w:jc w:val="center"/>
              <w:rPr>
                <w:b/>
              </w:rPr>
            </w:pPr>
            <w:r w:rsidRPr="001A1836">
              <w:rPr>
                <w:b/>
              </w:rPr>
              <w:t>Minor</w:t>
            </w:r>
          </w:p>
        </w:tc>
        <w:tc>
          <w:tcPr>
            <w:tcW w:w="1364" w:type="dxa"/>
            <w:shd w:val="clear" w:color="auto" w:fill="auto"/>
          </w:tcPr>
          <w:p w14:paraId="6FE1E150" w14:textId="77777777" w:rsidR="00097A1C" w:rsidRPr="001A1836" w:rsidRDefault="00097A1C" w:rsidP="0005437F">
            <w:pPr>
              <w:pStyle w:val="Number"/>
              <w:ind w:left="0" w:firstLine="0"/>
              <w:jc w:val="center"/>
              <w:rPr>
                <w:b/>
              </w:rPr>
            </w:pPr>
            <w:r w:rsidRPr="001A1836">
              <w:rPr>
                <w:b/>
              </w:rPr>
              <w:t>Moderate</w:t>
            </w:r>
          </w:p>
        </w:tc>
        <w:tc>
          <w:tcPr>
            <w:tcW w:w="1364" w:type="dxa"/>
            <w:shd w:val="clear" w:color="auto" w:fill="auto"/>
          </w:tcPr>
          <w:p w14:paraId="478DB9E4" w14:textId="77777777" w:rsidR="00097A1C" w:rsidRPr="001A1836" w:rsidRDefault="00097A1C" w:rsidP="0005437F">
            <w:pPr>
              <w:pStyle w:val="Number"/>
              <w:ind w:left="0" w:firstLine="0"/>
              <w:jc w:val="center"/>
              <w:rPr>
                <w:b/>
              </w:rPr>
            </w:pPr>
            <w:r w:rsidRPr="001A1836">
              <w:rPr>
                <w:b/>
              </w:rPr>
              <w:t>Major</w:t>
            </w:r>
          </w:p>
        </w:tc>
      </w:tr>
      <w:tr w:rsidR="00097A1C" w:rsidRPr="001A1836" w14:paraId="0E38A829" w14:textId="77777777" w:rsidTr="0005437F">
        <w:trPr>
          <w:cantSplit/>
        </w:trPr>
        <w:tc>
          <w:tcPr>
            <w:tcW w:w="1417" w:type="dxa"/>
            <w:shd w:val="clear" w:color="auto" w:fill="auto"/>
          </w:tcPr>
          <w:p w14:paraId="4DB69AE5" w14:textId="77777777" w:rsidR="00097A1C" w:rsidRPr="001A1836" w:rsidRDefault="00097A1C" w:rsidP="0005437F">
            <w:pPr>
              <w:pStyle w:val="Number"/>
              <w:ind w:left="0" w:firstLine="0"/>
              <w:jc w:val="center"/>
            </w:pPr>
            <w:r w:rsidRPr="001A1836">
              <w:t>1</w:t>
            </w:r>
          </w:p>
        </w:tc>
        <w:tc>
          <w:tcPr>
            <w:tcW w:w="2632" w:type="dxa"/>
            <w:shd w:val="clear" w:color="auto" w:fill="auto"/>
          </w:tcPr>
          <w:p w14:paraId="71612113" w14:textId="77777777" w:rsidR="00097A1C" w:rsidRPr="001A1836" w:rsidRDefault="00097A1C" w:rsidP="0005437F">
            <w:pPr>
              <w:pStyle w:val="Number"/>
              <w:ind w:left="0" w:firstLine="0"/>
              <w:jc w:val="center"/>
            </w:pPr>
            <w:r>
              <w:t>30%</w:t>
            </w:r>
          </w:p>
        </w:tc>
        <w:tc>
          <w:tcPr>
            <w:tcW w:w="1364" w:type="dxa"/>
            <w:shd w:val="clear" w:color="auto" w:fill="auto"/>
          </w:tcPr>
          <w:p w14:paraId="363EC698" w14:textId="77777777" w:rsidR="00097A1C" w:rsidRPr="001A1836" w:rsidRDefault="00097A1C" w:rsidP="0005437F">
            <w:pPr>
              <w:pStyle w:val="Number"/>
              <w:ind w:left="0" w:firstLine="0"/>
              <w:jc w:val="right"/>
            </w:pPr>
            <w:r w:rsidRPr="001A1836">
              <w:t>25%</w:t>
            </w:r>
          </w:p>
        </w:tc>
        <w:tc>
          <w:tcPr>
            <w:tcW w:w="1364" w:type="dxa"/>
            <w:shd w:val="clear" w:color="auto" w:fill="auto"/>
          </w:tcPr>
          <w:p w14:paraId="21559641" w14:textId="77777777" w:rsidR="00097A1C" w:rsidRPr="001A1836" w:rsidRDefault="00097A1C" w:rsidP="0005437F">
            <w:pPr>
              <w:pStyle w:val="Number"/>
              <w:ind w:left="0" w:firstLine="0"/>
              <w:jc w:val="right"/>
            </w:pPr>
            <w:r w:rsidRPr="001A1836">
              <w:t>50%</w:t>
            </w:r>
          </w:p>
        </w:tc>
        <w:tc>
          <w:tcPr>
            <w:tcW w:w="1364" w:type="dxa"/>
            <w:shd w:val="clear" w:color="auto" w:fill="auto"/>
          </w:tcPr>
          <w:p w14:paraId="6B71F7B4" w14:textId="77777777" w:rsidR="00097A1C" w:rsidRPr="001A1836" w:rsidRDefault="00097A1C" w:rsidP="0005437F">
            <w:pPr>
              <w:pStyle w:val="Number"/>
              <w:ind w:left="0" w:firstLine="0"/>
              <w:jc w:val="right"/>
            </w:pPr>
            <w:r w:rsidRPr="001A1836">
              <w:t>100%</w:t>
            </w:r>
          </w:p>
        </w:tc>
      </w:tr>
      <w:tr w:rsidR="00097A1C" w:rsidRPr="001A1836" w14:paraId="0E01D45C" w14:textId="77777777" w:rsidTr="0005437F">
        <w:trPr>
          <w:cantSplit/>
        </w:trPr>
        <w:tc>
          <w:tcPr>
            <w:tcW w:w="1417" w:type="dxa"/>
            <w:shd w:val="clear" w:color="auto" w:fill="auto"/>
          </w:tcPr>
          <w:p w14:paraId="2E97D26F" w14:textId="77777777" w:rsidR="00097A1C" w:rsidRPr="001A1836" w:rsidRDefault="00097A1C" w:rsidP="0005437F">
            <w:pPr>
              <w:pStyle w:val="Number"/>
              <w:ind w:left="0" w:firstLine="0"/>
              <w:jc w:val="center"/>
            </w:pPr>
            <w:r w:rsidRPr="001A1836">
              <w:t>2</w:t>
            </w:r>
          </w:p>
        </w:tc>
        <w:tc>
          <w:tcPr>
            <w:tcW w:w="2632" w:type="dxa"/>
            <w:shd w:val="clear" w:color="auto" w:fill="auto"/>
          </w:tcPr>
          <w:p w14:paraId="1170C63E" w14:textId="77777777" w:rsidR="00097A1C" w:rsidRPr="001A1836" w:rsidRDefault="00097A1C" w:rsidP="0005437F">
            <w:pPr>
              <w:pStyle w:val="Number"/>
              <w:ind w:left="0" w:firstLine="0"/>
              <w:jc w:val="center"/>
            </w:pPr>
            <w:r w:rsidRPr="001A1836">
              <w:t>30%</w:t>
            </w:r>
          </w:p>
        </w:tc>
        <w:tc>
          <w:tcPr>
            <w:tcW w:w="1364" w:type="dxa"/>
            <w:shd w:val="clear" w:color="auto" w:fill="auto"/>
          </w:tcPr>
          <w:p w14:paraId="2E71EACD" w14:textId="77777777" w:rsidR="00097A1C" w:rsidRPr="001A1836" w:rsidRDefault="00097A1C" w:rsidP="0005437F">
            <w:pPr>
              <w:pStyle w:val="Number"/>
              <w:ind w:left="0" w:firstLine="0"/>
              <w:jc w:val="right"/>
            </w:pPr>
            <w:r w:rsidRPr="001A1836">
              <w:t>25%</w:t>
            </w:r>
          </w:p>
        </w:tc>
        <w:tc>
          <w:tcPr>
            <w:tcW w:w="1364" w:type="dxa"/>
            <w:shd w:val="clear" w:color="auto" w:fill="auto"/>
          </w:tcPr>
          <w:p w14:paraId="63498FBD" w14:textId="77777777" w:rsidR="00097A1C" w:rsidRPr="001A1836" w:rsidRDefault="00097A1C" w:rsidP="0005437F">
            <w:pPr>
              <w:pStyle w:val="Number"/>
              <w:ind w:left="0" w:firstLine="0"/>
              <w:jc w:val="right"/>
            </w:pPr>
            <w:r w:rsidRPr="001A1836">
              <w:t>50%</w:t>
            </w:r>
          </w:p>
        </w:tc>
        <w:tc>
          <w:tcPr>
            <w:tcW w:w="1364" w:type="dxa"/>
            <w:shd w:val="clear" w:color="auto" w:fill="auto"/>
          </w:tcPr>
          <w:p w14:paraId="181C3AA0" w14:textId="77777777" w:rsidR="00097A1C" w:rsidRPr="001A1836" w:rsidRDefault="00097A1C" w:rsidP="0005437F">
            <w:pPr>
              <w:pStyle w:val="Number"/>
              <w:ind w:left="0" w:firstLine="0"/>
              <w:jc w:val="right"/>
            </w:pPr>
            <w:r w:rsidRPr="001A1836">
              <w:t>100%</w:t>
            </w:r>
          </w:p>
        </w:tc>
      </w:tr>
      <w:tr w:rsidR="00097A1C" w:rsidRPr="001A1836" w14:paraId="6CBA6979" w14:textId="77777777" w:rsidTr="0005437F">
        <w:trPr>
          <w:cantSplit/>
        </w:trPr>
        <w:tc>
          <w:tcPr>
            <w:tcW w:w="1417" w:type="dxa"/>
            <w:shd w:val="clear" w:color="auto" w:fill="auto"/>
          </w:tcPr>
          <w:p w14:paraId="773C84CA" w14:textId="77777777" w:rsidR="00097A1C" w:rsidRPr="001A1836" w:rsidRDefault="00097A1C" w:rsidP="0005437F">
            <w:pPr>
              <w:pStyle w:val="Number"/>
              <w:ind w:left="0" w:firstLine="0"/>
              <w:jc w:val="center"/>
            </w:pPr>
            <w:r w:rsidRPr="001A1836">
              <w:t>3</w:t>
            </w:r>
          </w:p>
        </w:tc>
        <w:tc>
          <w:tcPr>
            <w:tcW w:w="2632" w:type="dxa"/>
            <w:shd w:val="clear" w:color="auto" w:fill="auto"/>
          </w:tcPr>
          <w:p w14:paraId="67BF4280" w14:textId="77777777" w:rsidR="00097A1C" w:rsidRPr="001A1836" w:rsidRDefault="00097A1C" w:rsidP="0005437F">
            <w:pPr>
              <w:pStyle w:val="Number"/>
              <w:ind w:left="0" w:firstLine="0"/>
              <w:jc w:val="center"/>
            </w:pPr>
            <w:r>
              <w:t>40</w:t>
            </w:r>
            <w:r w:rsidRPr="001A1836">
              <w:t>%</w:t>
            </w:r>
          </w:p>
        </w:tc>
        <w:tc>
          <w:tcPr>
            <w:tcW w:w="1364" w:type="dxa"/>
            <w:shd w:val="clear" w:color="auto" w:fill="auto"/>
          </w:tcPr>
          <w:p w14:paraId="2F6711ED" w14:textId="77777777" w:rsidR="00097A1C" w:rsidRPr="001A1836" w:rsidRDefault="00097A1C" w:rsidP="0005437F">
            <w:pPr>
              <w:pStyle w:val="Number"/>
              <w:ind w:left="0" w:firstLine="0"/>
              <w:jc w:val="right"/>
            </w:pPr>
            <w:r w:rsidRPr="001A1836">
              <w:t>25%</w:t>
            </w:r>
          </w:p>
        </w:tc>
        <w:tc>
          <w:tcPr>
            <w:tcW w:w="1364" w:type="dxa"/>
            <w:shd w:val="clear" w:color="auto" w:fill="auto"/>
          </w:tcPr>
          <w:p w14:paraId="20277A61" w14:textId="77777777" w:rsidR="00097A1C" w:rsidRPr="001A1836" w:rsidRDefault="00097A1C" w:rsidP="0005437F">
            <w:pPr>
              <w:pStyle w:val="Number"/>
              <w:ind w:left="0" w:firstLine="0"/>
              <w:jc w:val="right"/>
            </w:pPr>
            <w:r w:rsidRPr="001A1836">
              <w:t>50%</w:t>
            </w:r>
          </w:p>
        </w:tc>
        <w:tc>
          <w:tcPr>
            <w:tcW w:w="1364" w:type="dxa"/>
            <w:shd w:val="clear" w:color="auto" w:fill="auto"/>
          </w:tcPr>
          <w:p w14:paraId="258EA771" w14:textId="77777777" w:rsidR="00097A1C" w:rsidRPr="001A1836" w:rsidRDefault="00097A1C" w:rsidP="0005437F">
            <w:pPr>
              <w:pStyle w:val="Number"/>
              <w:ind w:left="0" w:firstLine="0"/>
              <w:jc w:val="right"/>
            </w:pPr>
            <w:r w:rsidRPr="001A1836">
              <w:t>100%</w:t>
            </w:r>
          </w:p>
        </w:tc>
      </w:tr>
    </w:tbl>
    <w:p w14:paraId="466D357A" w14:textId="77777777" w:rsidR="00097A1C" w:rsidRPr="001A1836" w:rsidRDefault="00097A1C" w:rsidP="00097A1C">
      <w:pPr>
        <w:pStyle w:val="Number"/>
        <w:ind w:left="0" w:firstLine="0"/>
      </w:pPr>
    </w:p>
    <w:p w14:paraId="66A96029" w14:textId="3183760E" w:rsidR="00097A1C" w:rsidRPr="001A1836" w:rsidRDefault="00097A1C" w:rsidP="00097A1C">
      <w:pPr>
        <w:pStyle w:val="GSRL5numberedclause"/>
      </w:pPr>
      <w:r w:rsidRPr="001A1836">
        <w:t xml:space="preserve">The Provider shall review its performance against the </w:t>
      </w:r>
      <w:r w:rsidR="00946A1A">
        <w:t>Provisional</w:t>
      </w:r>
      <w:r w:rsidR="00C07BA4">
        <w:t xml:space="preserve"> Provider Profit</w:t>
      </w:r>
      <w:r w:rsidRPr="001A1836">
        <w:t xml:space="preserve"> KPIs in accordance with Schedule 8 (Key Performance Indicators) and determine the amount to be deducted from the </w:t>
      </w:r>
      <w:r w:rsidR="00946A1A">
        <w:t>Provisional</w:t>
      </w:r>
      <w:r w:rsidR="00C07BA4">
        <w:t xml:space="preserve"> Provider Profit</w:t>
      </w:r>
      <w:r w:rsidRPr="001A1836">
        <w:t xml:space="preserve"> in accordance with Table 1 above and transferred to the Funds For Distribution where the Provider fails, or partly fails, any of the </w:t>
      </w:r>
      <w:r w:rsidR="00946A1A">
        <w:t>Provisional</w:t>
      </w:r>
      <w:r w:rsidR="00C07BA4">
        <w:t xml:space="preserve"> Provider Profit</w:t>
      </w:r>
      <w:r w:rsidRPr="001A1836">
        <w:t xml:space="preserve"> KPIs (the “</w:t>
      </w:r>
      <w:r w:rsidR="00946A1A" w:rsidRPr="00946A1A">
        <w:rPr>
          <w:b/>
        </w:rPr>
        <w:t>Provisional</w:t>
      </w:r>
      <w:r w:rsidR="00C07BA4" w:rsidRPr="00C07BA4">
        <w:rPr>
          <w:b/>
        </w:rPr>
        <w:t xml:space="preserve"> Provider Profit</w:t>
      </w:r>
      <w:r w:rsidR="00C07BA4">
        <w:t xml:space="preserve"> </w:t>
      </w:r>
      <w:r w:rsidRPr="001A1836">
        <w:rPr>
          <w:b/>
        </w:rPr>
        <w:t>KPI Deductions</w:t>
      </w:r>
      <w:r w:rsidRPr="001A1836">
        <w:t xml:space="preserve">”). </w:t>
      </w:r>
    </w:p>
    <w:p w14:paraId="0ADAF2BE" w14:textId="6C104052" w:rsidR="00097A1C" w:rsidRPr="001A1836" w:rsidRDefault="00097A1C" w:rsidP="00097A1C">
      <w:pPr>
        <w:pStyle w:val="Number"/>
        <w:ind w:left="1584" w:firstLine="0"/>
        <w:rPr>
          <w:b/>
        </w:rPr>
      </w:pPr>
      <w:r w:rsidRPr="001A1836">
        <w:rPr>
          <w:b/>
        </w:rPr>
        <w:t xml:space="preserve">Transferrable </w:t>
      </w:r>
      <w:r w:rsidR="00AD62F5">
        <w:rPr>
          <w:b/>
        </w:rPr>
        <w:t>Provider Profit</w:t>
      </w:r>
      <w:r w:rsidRPr="001A1836">
        <w:rPr>
          <w:b/>
        </w:rPr>
        <w:t xml:space="preserve"> Funds</w:t>
      </w:r>
    </w:p>
    <w:p w14:paraId="0C9F2171" w14:textId="4AEF1978" w:rsidR="00097A1C" w:rsidRPr="001A1836" w:rsidRDefault="00097A1C" w:rsidP="00097A1C">
      <w:pPr>
        <w:pStyle w:val="GSRL5numberedclause"/>
      </w:pPr>
      <w:r w:rsidRPr="001A1836">
        <w:lastRenderedPageBreak/>
        <w:t xml:space="preserve">The total </w:t>
      </w:r>
      <w:r w:rsidR="00946A1A">
        <w:t>Provisional</w:t>
      </w:r>
      <w:r w:rsidR="00C07BA4" w:rsidRPr="00C07BA4">
        <w:t xml:space="preserve"> Provider Profit KPI Deductions</w:t>
      </w:r>
      <w:r w:rsidRPr="001A1836">
        <w:t xml:space="preserve"> made in relation to performance during a Contract Year of the </w:t>
      </w:r>
      <w:r w:rsidR="00AD62F5">
        <w:t>Provisional Provider Profit</w:t>
      </w:r>
      <w:r w:rsidRPr="001A1836">
        <w:t xml:space="preserve"> KPIs shall be the “</w:t>
      </w:r>
      <w:r w:rsidRPr="001A1836">
        <w:rPr>
          <w:b/>
        </w:rPr>
        <w:t xml:space="preserve">Transferrable </w:t>
      </w:r>
      <w:r w:rsidR="00C07BA4">
        <w:rPr>
          <w:b/>
        </w:rPr>
        <w:t>Provider Profit</w:t>
      </w:r>
      <w:r w:rsidRPr="001A1836">
        <w:rPr>
          <w:b/>
        </w:rPr>
        <w:t xml:space="preserve"> Funds</w:t>
      </w:r>
      <w:r w:rsidRPr="001A1836">
        <w:t>”</w:t>
      </w:r>
      <w:r w:rsidRPr="001A1836">
        <w:rPr>
          <w:rStyle w:val="CommentReference"/>
        </w:rPr>
        <w:t xml:space="preserve"> </w:t>
      </w:r>
      <w:r w:rsidRPr="001A1836">
        <w:t>applicable for that Contract Year.</w:t>
      </w:r>
    </w:p>
    <w:p w14:paraId="4FD2AB4A" w14:textId="64DC1950" w:rsidR="00097A1C" w:rsidRPr="001A1836" w:rsidRDefault="00097A1C" w:rsidP="00097A1C">
      <w:pPr>
        <w:pStyle w:val="Number"/>
        <w:ind w:left="1584" w:firstLine="0"/>
        <w:rPr>
          <w:b/>
        </w:rPr>
      </w:pPr>
      <w:r w:rsidRPr="001A1836">
        <w:rPr>
          <w:b/>
        </w:rPr>
        <w:t xml:space="preserve">Agreed Provider </w:t>
      </w:r>
      <w:r w:rsidR="00D318E6">
        <w:rPr>
          <w:b/>
        </w:rPr>
        <w:t>Profit</w:t>
      </w:r>
    </w:p>
    <w:p w14:paraId="60021B69" w14:textId="201FAC4B" w:rsidR="00097A1C" w:rsidRPr="001A1836" w:rsidRDefault="00097A1C" w:rsidP="00097A1C">
      <w:pPr>
        <w:pStyle w:val="GSRL5numberedclause"/>
      </w:pPr>
      <w:r w:rsidRPr="001A1836">
        <w:t xml:space="preserve">In respect of each Contract Year the Agreed Provider </w:t>
      </w:r>
      <w:r w:rsidR="00D318E6">
        <w:t>Profit</w:t>
      </w:r>
      <w:r w:rsidRPr="001A1836">
        <w:t xml:space="preserve"> shall be calculated as follows:</w:t>
      </w:r>
    </w:p>
    <w:p w14:paraId="4BE269B4" w14:textId="77777777" w:rsidR="00097A1C" w:rsidRPr="001A1836" w:rsidRDefault="00097A1C" w:rsidP="00097A1C">
      <w:pPr>
        <w:pStyle w:val="Number"/>
        <w:ind w:left="1857" w:firstLine="0"/>
      </w:pPr>
      <w:r w:rsidRPr="001A1836">
        <w:t>A – B = X</w:t>
      </w:r>
    </w:p>
    <w:p w14:paraId="47FE0112" w14:textId="77777777" w:rsidR="00097A1C" w:rsidRPr="001A1836" w:rsidRDefault="00097A1C" w:rsidP="00097A1C">
      <w:pPr>
        <w:pStyle w:val="Number"/>
        <w:ind w:left="1857" w:firstLine="0"/>
      </w:pPr>
      <w:r w:rsidRPr="001A1836">
        <w:t>Where:</w:t>
      </w:r>
    </w:p>
    <w:p w14:paraId="767BF1D8" w14:textId="7C175AAA" w:rsidR="00097A1C" w:rsidRPr="001A1836" w:rsidRDefault="00097A1C" w:rsidP="00097A1C">
      <w:pPr>
        <w:pStyle w:val="Number"/>
        <w:ind w:left="1857" w:firstLine="0"/>
      </w:pPr>
      <w:r w:rsidRPr="001A1836">
        <w:t xml:space="preserve">A = </w:t>
      </w:r>
      <w:r w:rsidR="00946A1A">
        <w:t>Provisional</w:t>
      </w:r>
      <w:r w:rsidR="00D318E6">
        <w:t xml:space="preserve"> Provider Profit</w:t>
      </w:r>
    </w:p>
    <w:p w14:paraId="0BF9D14D" w14:textId="2D464B28" w:rsidR="00097A1C" w:rsidRPr="001A1836" w:rsidRDefault="00097A1C" w:rsidP="00097A1C">
      <w:pPr>
        <w:pStyle w:val="Number"/>
        <w:ind w:left="1857" w:firstLine="0"/>
      </w:pPr>
      <w:r w:rsidRPr="001A1836">
        <w:t xml:space="preserve">B = Transferrable </w:t>
      </w:r>
      <w:r w:rsidR="00D318E6">
        <w:t>Provider Profit</w:t>
      </w:r>
      <w:r w:rsidRPr="001A1836">
        <w:t xml:space="preserve"> Funds</w:t>
      </w:r>
    </w:p>
    <w:p w14:paraId="09DF24C2" w14:textId="562E0118" w:rsidR="00097A1C" w:rsidRPr="001A1836" w:rsidRDefault="00097A1C" w:rsidP="00097A1C">
      <w:pPr>
        <w:pStyle w:val="Number"/>
        <w:ind w:left="1857" w:firstLine="0"/>
      </w:pPr>
      <w:r w:rsidRPr="001A1836">
        <w:t xml:space="preserve">X = Agreed Provider </w:t>
      </w:r>
      <w:r w:rsidR="00D318E6">
        <w:t>Profit</w:t>
      </w:r>
    </w:p>
    <w:p w14:paraId="5091D947" w14:textId="1B754A4E" w:rsidR="00097A1C" w:rsidRPr="001A1836" w:rsidRDefault="00097A1C" w:rsidP="00097A1C">
      <w:pPr>
        <w:pStyle w:val="GSRL5numberedclause"/>
      </w:pPr>
      <w:r w:rsidRPr="001A1836">
        <w:t xml:space="preserve">The Provider shall perform the calculation set out in paragraph </w:t>
      </w:r>
      <w:r w:rsidRPr="001A1836">
        <w:fldChar w:fldCharType="begin"/>
      </w:r>
      <w:r w:rsidRPr="001A1836">
        <w:instrText xml:space="preserve"> REF _Ref506298739 \r \h </w:instrText>
      </w:r>
      <w:r>
        <w:instrText xml:space="preserve"> \* MERGEFORMAT </w:instrText>
      </w:r>
      <w:r w:rsidRPr="001A1836">
        <w:fldChar w:fldCharType="separate"/>
      </w:r>
      <w:r w:rsidR="00C87D85">
        <w:t>5.2.5</w:t>
      </w:r>
      <w:r w:rsidRPr="001A1836">
        <w:fldChar w:fldCharType="end"/>
      </w:r>
      <w:r w:rsidRPr="001A1836">
        <w:t xml:space="preserve"> and notify HSE of the Agreed Provider </w:t>
      </w:r>
      <w:r w:rsidR="00D318E6">
        <w:t>Profit</w:t>
      </w:r>
      <w:r w:rsidRPr="001A1836">
        <w:t xml:space="preserve"> as part of the Annual Service Report in accordance with paragraph 3.2 of Schedule 11</w:t>
      </w:r>
      <w:r>
        <w:t xml:space="preserve"> (Management Information, Reporting and Records)</w:t>
      </w:r>
      <w:r w:rsidRPr="001A1836">
        <w:t xml:space="preserve">. </w:t>
      </w:r>
    </w:p>
    <w:p w14:paraId="0649587B" w14:textId="0ECFCC9D" w:rsidR="00097A1C" w:rsidRPr="001A1836" w:rsidRDefault="00097A1C" w:rsidP="00097A1C">
      <w:pPr>
        <w:pStyle w:val="GSRL5numberedclause"/>
      </w:pPr>
      <w:r w:rsidRPr="001A1836">
        <w:t xml:space="preserve">Following notification pursuant to paragraph </w:t>
      </w:r>
      <w:r w:rsidRPr="001A1836">
        <w:fldChar w:fldCharType="begin"/>
      </w:r>
      <w:r w:rsidRPr="001A1836">
        <w:instrText xml:space="preserve"> REF _Ref506298843 \r \h </w:instrText>
      </w:r>
      <w:r>
        <w:instrText xml:space="preserve"> \* MERGEFORMAT </w:instrText>
      </w:r>
      <w:r w:rsidRPr="001A1836">
        <w:fldChar w:fldCharType="separate"/>
      </w:r>
      <w:r w:rsidR="00C87D85">
        <w:t>5.2.6</w:t>
      </w:r>
      <w:r w:rsidRPr="001A1836">
        <w:fldChar w:fldCharType="end"/>
      </w:r>
      <w:r w:rsidRPr="001A1836">
        <w:t xml:space="preserve">, and subject to HSE’s agreement that the calculation of the Agreed Provider </w:t>
      </w:r>
      <w:r w:rsidR="002B3F67">
        <w:t>Profit</w:t>
      </w:r>
      <w:r w:rsidRPr="001A1836">
        <w:t xml:space="preserve"> is correct, the Provider shall, within one (1) Month of being notified by HSE of its Approval of the Annual Service Report, and subject to the requirements to Table 2:</w:t>
      </w:r>
    </w:p>
    <w:p w14:paraId="46D41870" w14:textId="2CD73600" w:rsidR="00097A1C" w:rsidRPr="001A1836" w:rsidRDefault="00097A1C" w:rsidP="00097A1C">
      <w:pPr>
        <w:pStyle w:val="GSRL6numberedclause"/>
      </w:pPr>
      <w:r w:rsidRPr="001A1836">
        <w:t xml:space="preserve">transfer the Transferrable </w:t>
      </w:r>
      <w:r w:rsidR="00AE3C9C">
        <w:t>Provider Profit</w:t>
      </w:r>
      <w:r w:rsidRPr="001A1836">
        <w:t xml:space="preserve"> Funds to the Funds For Distribution; and</w:t>
      </w:r>
    </w:p>
    <w:p w14:paraId="51BA4B8A" w14:textId="1CE8752A" w:rsidR="00671FDF" w:rsidRDefault="00097A1C" w:rsidP="00097A1C">
      <w:pPr>
        <w:pStyle w:val="GSRL6numberedclause"/>
      </w:pPr>
      <w:r w:rsidRPr="001A1836">
        <w:t xml:space="preserve">be entitled to the Agreed Provider </w:t>
      </w:r>
      <w:r w:rsidR="00AE3C9C">
        <w:t>Profit</w:t>
      </w:r>
      <w:r w:rsidRPr="001A1836">
        <w:t>.</w:t>
      </w:r>
    </w:p>
    <w:p w14:paraId="1CE38847" w14:textId="77777777" w:rsidR="00671FDF" w:rsidRDefault="00671FDF">
      <w:pPr>
        <w:spacing w:before="0" w:after="0"/>
        <w:rPr>
          <w:rFonts w:cs="Arial"/>
          <w:kern w:val="0"/>
          <w:lang w:eastAsia="zh-CN"/>
        </w:rPr>
      </w:pPr>
      <w:r>
        <w:br w:type="page"/>
      </w:r>
    </w:p>
    <w:p w14:paraId="73B25EB7" w14:textId="77777777" w:rsidR="00097A1C" w:rsidRDefault="00097A1C" w:rsidP="006051B4">
      <w:pPr>
        <w:pStyle w:val="GSRL6numberedclause"/>
        <w:numPr>
          <w:ilvl w:val="0"/>
          <w:numId w:val="0"/>
        </w:numPr>
        <w:ind w:left="2665"/>
      </w:pPr>
    </w:p>
    <w:p w14:paraId="72F0D894" w14:textId="77777777" w:rsidR="00097A1C" w:rsidRPr="001A1836" w:rsidRDefault="00097A1C" w:rsidP="00097A1C">
      <w:pPr>
        <w:pStyle w:val="GSRL5numberedclause"/>
      </w:pPr>
      <w:r>
        <w:t>Within six (6) months of the Services Start Date the Provider shall submit its proposal, for HSE’s consideration and agreement, for transferring the Funds for Distribution to an appropriate repository, were it can only be accessed by HSE, in as cost efficient manner as possible</w:t>
      </w:r>
    </w:p>
    <w:p w14:paraId="1CB191BD" w14:textId="77777777" w:rsidR="00097A1C" w:rsidRPr="001A1836" w:rsidRDefault="00097A1C" w:rsidP="00097A1C">
      <w:pPr>
        <w:pStyle w:val="GSRL4numberedclause"/>
      </w:pPr>
      <w:r w:rsidRPr="001A1836">
        <w:t xml:space="preserve">Funds For Distribution </w:t>
      </w:r>
    </w:p>
    <w:p w14:paraId="6330CFC2" w14:textId="77777777" w:rsidR="00097A1C" w:rsidRPr="001A1836" w:rsidRDefault="00097A1C" w:rsidP="00097A1C">
      <w:pPr>
        <w:pStyle w:val="GSRL5numberedclause"/>
      </w:pPr>
      <w:r w:rsidRPr="001A1836">
        <w:t xml:space="preserve">In respect of each Contract Year the Funds For Distribution will comprise: </w:t>
      </w:r>
    </w:p>
    <w:p w14:paraId="53974281" w14:textId="4E988C90" w:rsidR="002E67DE" w:rsidRDefault="002E67DE" w:rsidP="00097A1C">
      <w:pPr>
        <w:pStyle w:val="GSRL6numberedclause"/>
      </w:pPr>
      <w:r>
        <w:t>the Transferrable Provider Profit Funds for such Contract Year;</w:t>
      </w:r>
    </w:p>
    <w:p w14:paraId="629F25FB" w14:textId="35E1B393" w:rsidR="00097A1C" w:rsidRPr="001A1836" w:rsidRDefault="00097A1C" w:rsidP="00097A1C">
      <w:pPr>
        <w:pStyle w:val="GSRL6numberedclause"/>
      </w:pPr>
      <w:r w:rsidRPr="001A1836">
        <w:t>the share of the Gain Share Funds for such Contract Year designated as the Funds for Distribution, apportioned in accordance wi</w:t>
      </w:r>
      <w:r w:rsidR="002E67DE">
        <w:t>th the provisions of paragraph 5</w:t>
      </w:r>
      <w:r w:rsidRPr="001A1836">
        <w:t>.1.1 of this Schedule 5; and</w:t>
      </w:r>
    </w:p>
    <w:p w14:paraId="0E810C97" w14:textId="77777777" w:rsidR="00097A1C" w:rsidRPr="001A1836" w:rsidRDefault="00097A1C" w:rsidP="00097A1C">
      <w:pPr>
        <w:pStyle w:val="GSRL6numberedclause"/>
      </w:pPr>
      <w:r w:rsidRPr="001A1836">
        <w:t>the Transferrable Gain Share Funds transferred from the Provisional Provider Gain Share Funds as a result of KPI Failures;</w:t>
      </w:r>
    </w:p>
    <w:p w14:paraId="07CCC0BF" w14:textId="77777777" w:rsidR="00097A1C" w:rsidRPr="001A1836" w:rsidRDefault="00097A1C" w:rsidP="00097A1C">
      <w:pPr>
        <w:pStyle w:val="GSRL6numberedclause"/>
      </w:pPr>
      <w:r w:rsidRPr="001A1836">
        <w:t xml:space="preserve">funds resulting from any Service Credits (see </w:t>
      </w:r>
      <w:r>
        <w:t>p</w:t>
      </w:r>
      <w:r w:rsidRPr="001A1836">
        <w:t>aragraph 4.3.2 of this Schedule and Schedule 3 (Service Levels));</w:t>
      </w:r>
    </w:p>
    <w:p w14:paraId="550B023A" w14:textId="77777777" w:rsidR="00097A1C" w:rsidRPr="001A1836" w:rsidRDefault="00097A1C" w:rsidP="00097A1C">
      <w:pPr>
        <w:pStyle w:val="GSRL6numberedclause"/>
      </w:pPr>
      <w:r w:rsidRPr="001A1836">
        <w:t>any Default Charge applied in accordance with Schedule 11 (Management Information, Reporting and Records).</w:t>
      </w:r>
    </w:p>
    <w:p w14:paraId="226156AB" w14:textId="77777777" w:rsidR="00097A1C" w:rsidRPr="001A1836" w:rsidRDefault="00097A1C" w:rsidP="00097A1C">
      <w:pPr>
        <w:pStyle w:val="Number"/>
        <w:ind w:left="1584" w:firstLine="0"/>
        <w:rPr>
          <w:b/>
        </w:rPr>
      </w:pPr>
      <w:r w:rsidRPr="001A1836">
        <w:rPr>
          <w:b/>
        </w:rPr>
        <w:t>Deductions as a result of Service Credits</w:t>
      </w:r>
    </w:p>
    <w:p w14:paraId="0B46B1AB" w14:textId="77777777" w:rsidR="00097A1C" w:rsidRPr="001A1836" w:rsidRDefault="00097A1C" w:rsidP="00097A1C">
      <w:pPr>
        <w:pStyle w:val="GSRL5numberedclause"/>
      </w:pPr>
      <w:r w:rsidRPr="001A1836">
        <w:t>The Provider shall monitor its performance against the Service Levels in accordance with Schedule 3 (Service Levels) and determine the amount to be deducted where Service Credits are applied (the “</w:t>
      </w:r>
      <w:r w:rsidRPr="001A1836">
        <w:rPr>
          <w:b/>
        </w:rPr>
        <w:t>Service Credit Deductions</w:t>
      </w:r>
      <w:r w:rsidRPr="001A1836">
        <w:t xml:space="preserve">”). </w:t>
      </w:r>
    </w:p>
    <w:p w14:paraId="321AB4E7" w14:textId="47345AC0" w:rsidR="00097A1C" w:rsidRPr="001A1836" w:rsidRDefault="00097A1C" w:rsidP="00097A1C">
      <w:pPr>
        <w:pStyle w:val="GSRL5numberedclause"/>
      </w:pPr>
      <w:r w:rsidRPr="001A1836">
        <w:t xml:space="preserve">Service Credits shall be calculated as a percentage of, and deducted from, the sum of the Provider’s </w:t>
      </w:r>
      <w:r>
        <w:t>Agreed Operating Costs</w:t>
      </w:r>
      <w:r w:rsidRPr="001A1836">
        <w:t xml:space="preserve"> plus </w:t>
      </w:r>
      <w:r w:rsidR="002E67DE">
        <w:t xml:space="preserve">Provider </w:t>
      </w:r>
      <w:r w:rsidRPr="001A1836">
        <w:t xml:space="preserve">Profit. </w:t>
      </w:r>
    </w:p>
    <w:p w14:paraId="459ADC35" w14:textId="77777777" w:rsidR="00097A1C" w:rsidRPr="001A1836" w:rsidRDefault="00097A1C" w:rsidP="00097A1C">
      <w:pPr>
        <w:pStyle w:val="Number"/>
        <w:ind w:left="1584" w:firstLine="0"/>
        <w:rPr>
          <w:b/>
        </w:rPr>
      </w:pPr>
      <w:r w:rsidRPr="001A1836">
        <w:rPr>
          <w:b/>
        </w:rPr>
        <w:t>Distribution</w:t>
      </w:r>
    </w:p>
    <w:p w14:paraId="60FEB25F" w14:textId="77777777" w:rsidR="00097A1C" w:rsidRPr="001A1836" w:rsidRDefault="00097A1C" w:rsidP="00097A1C">
      <w:pPr>
        <w:pStyle w:val="GSRL5numberedclause"/>
      </w:pPr>
      <w:r w:rsidRPr="001A1836">
        <w:t xml:space="preserve">The Provider shall transfer the following funds to the HSE nominated Funds For Distribution </w:t>
      </w:r>
      <w:r>
        <w:t xml:space="preserve">repository, determined in accordance with paragraph 4.2.8, </w:t>
      </w:r>
      <w:r w:rsidRPr="001A1836">
        <w:t xml:space="preserve">within the timescales indicated in the right hand column of the table below: </w:t>
      </w:r>
    </w:p>
    <w:p w14:paraId="260DCD8A" w14:textId="77777777" w:rsidR="00097A1C" w:rsidRPr="001A1836" w:rsidRDefault="00097A1C" w:rsidP="00097A1C">
      <w:pPr>
        <w:rPr>
          <w:b/>
        </w:rPr>
      </w:pPr>
    </w:p>
    <w:p w14:paraId="7A92F79A" w14:textId="77777777" w:rsidR="00097A1C" w:rsidRPr="001A1836" w:rsidRDefault="00097A1C" w:rsidP="00097A1C">
      <w:pPr>
        <w:ind w:firstLine="709"/>
      </w:pPr>
      <w:r w:rsidRPr="001A1836">
        <w:rPr>
          <w:b/>
        </w:rPr>
        <w:t>Table 2</w:t>
      </w:r>
      <w:r w:rsidRPr="001A1836">
        <w:t xml:space="preserve"> Timetable for calculation and transfer of funds</w:t>
      </w:r>
    </w:p>
    <w:tbl>
      <w:tblPr>
        <w:tblStyle w:val="TableGrid"/>
        <w:tblW w:w="0" w:type="auto"/>
        <w:tblInd w:w="720" w:type="dxa"/>
        <w:tblLook w:val="04A0" w:firstRow="1" w:lastRow="0" w:firstColumn="1" w:lastColumn="0" w:noHBand="0" w:noVBand="1"/>
      </w:tblPr>
      <w:tblGrid>
        <w:gridCol w:w="2792"/>
        <w:gridCol w:w="2009"/>
        <w:gridCol w:w="3489"/>
      </w:tblGrid>
      <w:tr w:rsidR="00097A1C" w:rsidRPr="001A1836" w14:paraId="7D1C699E" w14:textId="77777777" w:rsidTr="0005437F">
        <w:trPr>
          <w:cantSplit/>
          <w:tblHeader/>
        </w:trPr>
        <w:tc>
          <w:tcPr>
            <w:tcW w:w="2792" w:type="dxa"/>
          </w:tcPr>
          <w:p w14:paraId="7331D24B" w14:textId="77777777" w:rsidR="00097A1C" w:rsidRPr="001A1836" w:rsidRDefault="00097A1C" w:rsidP="0005437F">
            <w:pPr>
              <w:pStyle w:val="Number"/>
              <w:spacing w:after="60"/>
              <w:ind w:left="0" w:firstLine="0"/>
              <w:jc w:val="left"/>
              <w:rPr>
                <w:b/>
              </w:rPr>
            </w:pPr>
            <w:r w:rsidRPr="001A1836">
              <w:rPr>
                <w:b/>
              </w:rPr>
              <w:t>Fund</w:t>
            </w:r>
          </w:p>
        </w:tc>
        <w:tc>
          <w:tcPr>
            <w:tcW w:w="2009" w:type="dxa"/>
          </w:tcPr>
          <w:p w14:paraId="595D711E" w14:textId="77777777" w:rsidR="00097A1C" w:rsidRPr="001A1836" w:rsidRDefault="00097A1C" w:rsidP="0005437F">
            <w:pPr>
              <w:pStyle w:val="Number"/>
              <w:spacing w:after="60"/>
              <w:ind w:left="0" w:firstLine="0"/>
              <w:jc w:val="left"/>
              <w:rPr>
                <w:b/>
              </w:rPr>
            </w:pPr>
            <w:r w:rsidRPr="001A1836">
              <w:rPr>
                <w:b/>
              </w:rPr>
              <w:t>When calculated</w:t>
            </w:r>
          </w:p>
        </w:tc>
        <w:tc>
          <w:tcPr>
            <w:tcW w:w="3489" w:type="dxa"/>
          </w:tcPr>
          <w:p w14:paraId="70C97F10" w14:textId="77777777" w:rsidR="00097A1C" w:rsidRPr="001A1836" w:rsidRDefault="00097A1C" w:rsidP="0005437F">
            <w:pPr>
              <w:pStyle w:val="Number"/>
              <w:spacing w:after="60"/>
              <w:ind w:left="0" w:firstLine="0"/>
              <w:jc w:val="left"/>
              <w:rPr>
                <w:b/>
              </w:rPr>
            </w:pPr>
            <w:r w:rsidRPr="001A1836">
              <w:rPr>
                <w:b/>
              </w:rPr>
              <w:t>When transferred</w:t>
            </w:r>
          </w:p>
        </w:tc>
      </w:tr>
      <w:tr w:rsidR="002E67DE" w:rsidRPr="001A1836" w14:paraId="5BABD104" w14:textId="77777777" w:rsidTr="0005437F">
        <w:trPr>
          <w:cantSplit/>
        </w:trPr>
        <w:tc>
          <w:tcPr>
            <w:tcW w:w="2792" w:type="dxa"/>
          </w:tcPr>
          <w:p w14:paraId="342CD83E" w14:textId="1ABF8802" w:rsidR="002E67DE" w:rsidRPr="001A1836" w:rsidRDefault="002E67DE" w:rsidP="002E67DE">
            <w:pPr>
              <w:pStyle w:val="Number"/>
              <w:spacing w:after="60"/>
              <w:ind w:left="0" w:firstLine="0"/>
            </w:pPr>
            <w:r>
              <w:t>Transferable Provider Profit Funds</w:t>
            </w:r>
          </w:p>
        </w:tc>
        <w:tc>
          <w:tcPr>
            <w:tcW w:w="2009" w:type="dxa"/>
          </w:tcPr>
          <w:p w14:paraId="3770982B" w14:textId="18A91FAE" w:rsidR="002E67DE" w:rsidRPr="001A1836" w:rsidRDefault="002E67DE" w:rsidP="002E67DE">
            <w:pPr>
              <w:pStyle w:val="Number"/>
              <w:spacing w:after="60"/>
              <w:ind w:left="0" w:firstLine="0"/>
            </w:pPr>
            <w:r w:rsidRPr="001A1836">
              <w:t>Annually</w:t>
            </w:r>
          </w:p>
        </w:tc>
        <w:tc>
          <w:tcPr>
            <w:tcW w:w="3489" w:type="dxa"/>
          </w:tcPr>
          <w:p w14:paraId="758A74B2" w14:textId="2B310724" w:rsidR="002E67DE" w:rsidRPr="001A1836" w:rsidRDefault="002E67DE" w:rsidP="002E67DE">
            <w:pPr>
              <w:pStyle w:val="Number"/>
              <w:spacing w:after="60"/>
              <w:ind w:left="0" w:firstLine="0"/>
            </w:pPr>
            <w:r w:rsidRPr="001A1836">
              <w:t>Subject to paragraph 4.3.6, annually within three (3) calendar months of the end of the Contract Year</w:t>
            </w:r>
          </w:p>
        </w:tc>
      </w:tr>
      <w:tr w:rsidR="002E67DE" w:rsidRPr="001A1836" w14:paraId="5746B165" w14:textId="77777777" w:rsidTr="0005437F">
        <w:trPr>
          <w:cantSplit/>
        </w:trPr>
        <w:tc>
          <w:tcPr>
            <w:tcW w:w="2792" w:type="dxa"/>
          </w:tcPr>
          <w:p w14:paraId="460CC650" w14:textId="353D81FD" w:rsidR="002E67DE" w:rsidRPr="001A1836" w:rsidRDefault="002E67DE" w:rsidP="002E67DE">
            <w:pPr>
              <w:pStyle w:val="Number"/>
              <w:spacing w:after="60"/>
              <w:ind w:left="0" w:firstLine="0"/>
              <w:jc w:val="left"/>
            </w:pPr>
            <w:r w:rsidRPr="001A1836">
              <w:t xml:space="preserve">Apportioned share of Gain Share Funds to Funds For Distribution as </w:t>
            </w:r>
            <w:r>
              <w:t>specified in paragraph 5</w:t>
            </w:r>
            <w:r w:rsidRPr="001A1836">
              <w:t>.1.1(a)</w:t>
            </w:r>
          </w:p>
        </w:tc>
        <w:tc>
          <w:tcPr>
            <w:tcW w:w="2009" w:type="dxa"/>
          </w:tcPr>
          <w:p w14:paraId="7320C4E6" w14:textId="77777777" w:rsidR="002E67DE" w:rsidRPr="001A1836" w:rsidRDefault="002E67DE" w:rsidP="002E67DE">
            <w:pPr>
              <w:pStyle w:val="Number"/>
              <w:spacing w:after="60"/>
              <w:ind w:left="0" w:firstLine="0"/>
              <w:jc w:val="left"/>
            </w:pPr>
            <w:r w:rsidRPr="001A1836">
              <w:t>Annually</w:t>
            </w:r>
          </w:p>
        </w:tc>
        <w:tc>
          <w:tcPr>
            <w:tcW w:w="3489" w:type="dxa"/>
          </w:tcPr>
          <w:p w14:paraId="4B2EA397" w14:textId="2EAE0623" w:rsidR="002E67DE" w:rsidRPr="001A1836" w:rsidRDefault="002E67DE" w:rsidP="002E67DE">
            <w:pPr>
              <w:pStyle w:val="Number"/>
              <w:spacing w:after="60"/>
              <w:ind w:left="0" w:firstLine="0"/>
              <w:jc w:val="left"/>
            </w:pPr>
            <w:r w:rsidRPr="001A1836">
              <w:t>Subject to pa</w:t>
            </w:r>
            <w:r w:rsidR="00A46936">
              <w:t>ragraph 4</w:t>
            </w:r>
            <w:r w:rsidRPr="001A1836">
              <w:t>.3.6, annually within three (3) calendar months of the end of the Contract Year</w:t>
            </w:r>
          </w:p>
        </w:tc>
      </w:tr>
      <w:tr w:rsidR="002E67DE" w:rsidRPr="001A1836" w14:paraId="7746A18A" w14:textId="77777777" w:rsidTr="0005437F">
        <w:trPr>
          <w:cantSplit/>
        </w:trPr>
        <w:tc>
          <w:tcPr>
            <w:tcW w:w="2792" w:type="dxa"/>
          </w:tcPr>
          <w:p w14:paraId="4E104BDA" w14:textId="77777777" w:rsidR="002E67DE" w:rsidRPr="001A1836" w:rsidRDefault="002E67DE" w:rsidP="002E67DE">
            <w:pPr>
              <w:pStyle w:val="Number"/>
              <w:spacing w:after="60"/>
              <w:ind w:left="0" w:firstLine="0"/>
              <w:jc w:val="left"/>
            </w:pPr>
            <w:r w:rsidRPr="001A1836">
              <w:t>Transferrable Gain Share Funds</w:t>
            </w:r>
          </w:p>
        </w:tc>
        <w:tc>
          <w:tcPr>
            <w:tcW w:w="2009" w:type="dxa"/>
          </w:tcPr>
          <w:p w14:paraId="623AD411" w14:textId="77777777" w:rsidR="002E67DE" w:rsidRPr="001A1836" w:rsidRDefault="002E67DE" w:rsidP="002E67DE">
            <w:pPr>
              <w:pStyle w:val="Number"/>
              <w:spacing w:after="60"/>
              <w:ind w:left="0" w:firstLine="0"/>
              <w:jc w:val="left"/>
            </w:pPr>
            <w:r w:rsidRPr="001A1836">
              <w:t>Annually</w:t>
            </w:r>
          </w:p>
        </w:tc>
        <w:tc>
          <w:tcPr>
            <w:tcW w:w="3489" w:type="dxa"/>
          </w:tcPr>
          <w:p w14:paraId="05E68345" w14:textId="77777777" w:rsidR="002E67DE" w:rsidRPr="001A1836" w:rsidRDefault="002E67DE" w:rsidP="002E67DE">
            <w:pPr>
              <w:pStyle w:val="Number"/>
              <w:spacing w:after="60"/>
              <w:ind w:left="0" w:firstLine="0"/>
              <w:jc w:val="left"/>
            </w:pPr>
            <w:r w:rsidRPr="001A1836">
              <w:t>Annually within three (3) calendar months of the end of the Contract Year</w:t>
            </w:r>
          </w:p>
        </w:tc>
      </w:tr>
      <w:tr w:rsidR="002E67DE" w:rsidRPr="001A1836" w14:paraId="476CD1D5" w14:textId="77777777" w:rsidTr="0005437F">
        <w:trPr>
          <w:cantSplit/>
        </w:trPr>
        <w:tc>
          <w:tcPr>
            <w:tcW w:w="2792" w:type="dxa"/>
          </w:tcPr>
          <w:p w14:paraId="6BB0232A" w14:textId="77777777" w:rsidR="002E67DE" w:rsidRPr="001A1836" w:rsidRDefault="002E67DE" w:rsidP="002E67DE">
            <w:pPr>
              <w:pStyle w:val="Number"/>
              <w:spacing w:after="60"/>
              <w:ind w:left="0" w:firstLine="0"/>
              <w:jc w:val="left"/>
            </w:pPr>
            <w:r w:rsidRPr="001A1836">
              <w:lastRenderedPageBreak/>
              <w:t>Default Management Charge</w:t>
            </w:r>
          </w:p>
        </w:tc>
        <w:tc>
          <w:tcPr>
            <w:tcW w:w="2009" w:type="dxa"/>
          </w:tcPr>
          <w:p w14:paraId="5F420229" w14:textId="77777777" w:rsidR="002E67DE" w:rsidRPr="001A1836" w:rsidRDefault="002E67DE" w:rsidP="002E67DE">
            <w:pPr>
              <w:pStyle w:val="Number"/>
              <w:spacing w:after="60"/>
              <w:ind w:left="0" w:firstLine="0"/>
              <w:jc w:val="left"/>
            </w:pPr>
            <w:r w:rsidRPr="001A1836">
              <w:t>Annually</w:t>
            </w:r>
          </w:p>
        </w:tc>
        <w:tc>
          <w:tcPr>
            <w:tcW w:w="3489" w:type="dxa"/>
          </w:tcPr>
          <w:p w14:paraId="0259BB23" w14:textId="77777777" w:rsidR="002E67DE" w:rsidRPr="001A1836" w:rsidRDefault="002E67DE" w:rsidP="002E67DE">
            <w:pPr>
              <w:pStyle w:val="Number"/>
              <w:spacing w:after="60"/>
              <w:ind w:left="0" w:firstLine="0"/>
              <w:jc w:val="left"/>
            </w:pPr>
            <w:r w:rsidRPr="001A1836">
              <w:t>Annually within two (2) calendar months of the end of the Contract Year</w:t>
            </w:r>
          </w:p>
        </w:tc>
      </w:tr>
      <w:tr w:rsidR="002E67DE" w:rsidRPr="001A1836" w14:paraId="051764A5" w14:textId="77777777" w:rsidTr="0005437F">
        <w:trPr>
          <w:cantSplit/>
        </w:trPr>
        <w:tc>
          <w:tcPr>
            <w:tcW w:w="2792" w:type="dxa"/>
          </w:tcPr>
          <w:p w14:paraId="34BAA0FD" w14:textId="77777777" w:rsidR="002E67DE" w:rsidRPr="001A1836" w:rsidRDefault="002E67DE" w:rsidP="002E67DE">
            <w:pPr>
              <w:pStyle w:val="Number"/>
              <w:spacing w:after="60"/>
              <w:ind w:left="0" w:firstLine="0"/>
              <w:jc w:val="left"/>
            </w:pPr>
            <w:r w:rsidRPr="001A1836">
              <w:t>Service Credit Deductions that are calculated annually</w:t>
            </w:r>
          </w:p>
        </w:tc>
        <w:tc>
          <w:tcPr>
            <w:tcW w:w="2009" w:type="dxa"/>
          </w:tcPr>
          <w:p w14:paraId="76BED4C3" w14:textId="77777777" w:rsidR="002E67DE" w:rsidRPr="001A1836" w:rsidRDefault="002E67DE" w:rsidP="002E67DE">
            <w:pPr>
              <w:pStyle w:val="Number"/>
              <w:spacing w:after="60"/>
              <w:ind w:left="0" w:firstLine="0"/>
              <w:jc w:val="left"/>
            </w:pPr>
            <w:r w:rsidRPr="001A1836">
              <w:t>Annually</w:t>
            </w:r>
          </w:p>
        </w:tc>
        <w:tc>
          <w:tcPr>
            <w:tcW w:w="3489" w:type="dxa"/>
          </w:tcPr>
          <w:p w14:paraId="11F5284A" w14:textId="77777777" w:rsidR="002E67DE" w:rsidRPr="001A1836" w:rsidRDefault="002E67DE" w:rsidP="002E67DE">
            <w:pPr>
              <w:pStyle w:val="Number"/>
              <w:spacing w:after="60"/>
              <w:ind w:left="0" w:firstLine="0"/>
              <w:jc w:val="left"/>
            </w:pPr>
            <w:r w:rsidRPr="001A1836">
              <w:t>Annually within two (2) calendar months of the end of the Contract Year</w:t>
            </w:r>
          </w:p>
        </w:tc>
      </w:tr>
      <w:tr w:rsidR="002E67DE" w:rsidRPr="001A1836" w14:paraId="1551B5B7" w14:textId="77777777" w:rsidTr="0005437F">
        <w:trPr>
          <w:cantSplit/>
        </w:trPr>
        <w:tc>
          <w:tcPr>
            <w:tcW w:w="2792" w:type="dxa"/>
          </w:tcPr>
          <w:p w14:paraId="6D7CC589" w14:textId="77777777" w:rsidR="002E67DE" w:rsidRPr="001A1836" w:rsidRDefault="002E67DE" w:rsidP="002E67DE">
            <w:pPr>
              <w:pStyle w:val="Number"/>
              <w:spacing w:after="60"/>
              <w:ind w:left="0" w:firstLine="0"/>
              <w:jc w:val="left"/>
            </w:pPr>
            <w:r w:rsidRPr="001A1836">
              <w:t>Service Credit Deductions that are calculated monthly</w:t>
            </w:r>
          </w:p>
        </w:tc>
        <w:tc>
          <w:tcPr>
            <w:tcW w:w="2009" w:type="dxa"/>
          </w:tcPr>
          <w:p w14:paraId="66B3106E" w14:textId="77777777" w:rsidR="002E67DE" w:rsidRPr="001A1836" w:rsidRDefault="002E67DE" w:rsidP="002E67DE">
            <w:pPr>
              <w:pStyle w:val="Number"/>
              <w:spacing w:after="60"/>
              <w:ind w:left="0" w:firstLine="0"/>
              <w:jc w:val="left"/>
            </w:pPr>
            <w:r w:rsidRPr="001A1836">
              <w:t>Monthly</w:t>
            </w:r>
          </w:p>
        </w:tc>
        <w:tc>
          <w:tcPr>
            <w:tcW w:w="3489" w:type="dxa"/>
          </w:tcPr>
          <w:p w14:paraId="7E8A28F2" w14:textId="77777777" w:rsidR="002E67DE" w:rsidRPr="001A1836" w:rsidRDefault="002E67DE" w:rsidP="002E67DE">
            <w:pPr>
              <w:pStyle w:val="Number"/>
              <w:spacing w:after="60"/>
              <w:ind w:left="0" w:firstLine="0"/>
              <w:jc w:val="left"/>
            </w:pPr>
            <w:r w:rsidRPr="001A1836">
              <w:t>Monthly, within six (6) weeks of the end of the Service Management Period to which they apply</w:t>
            </w:r>
          </w:p>
        </w:tc>
      </w:tr>
    </w:tbl>
    <w:p w14:paraId="7AB4F33C" w14:textId="77777777" w:rsidR="00097A1C" w:rsidRPr="001A1836" w:rsidRDefault="00097A1C" w:rsidP="00097A1C">
      <w:pPr>
        <w:pStyle w:val="Number"/>
      </w:pPr>
    </w:p>
    <w:p w14:paraId="0AE44920" w14:textId="77777777" w:rsidR="00097A1C" w:rsidRPr="001A1836" w:rsidRDefault="00097A1C" w:rsidP="00097A1C">
      <w:pPr>
        <w:pStyle w:val="GSRL5numberedclause"/>
      </w:pPr>
      <w:r w:rsidRPr="001A1836">
        <w:t xml:space="preserve">HSE shall only distribute Funds For Distribution to: </w:t>
      </w:r>
    </w:p>
    <w:p w14:paraId="72D5FBB5" w14:textId="77777777" w:rsidR="00097A1C" w:rsidRPr="001A1836" w:rsidRDefault="00097A1C" w:rsidP="00097A1C">
      <w:pPr>
        <w:pStyle w:val="GSRL6numberedclause"/>
      </w:pPr>
      <w:r w:rsidRPr="001A1836">
        <w:t xml:space="preserve">the Gas Safety Charity; </w:t>
      </w:r>
      <w:r>
        <w:t>and/</w:t>
      </w:r>
      <w:r w:rsidRPr="001A1836">
        <w:t xml:space="preserve">or </w:t>
      </w:r>
    </w:p>
    <w:p w14:paraId="1626399B" w14:textId="77777777" w:rsidR="00097A1C" w:rsidRPr="001A1836" w:rsidRDefault="00097A1C" w:rsidP="00097A1C">
      <w:pPr>
        <w:pStyle w:val="GSRL6numberedclause"/>
      </w:pPr>
      <w:r w:rsidRPr="001A1836">
        <w:t xml:space="preserve">such other recipients as agreed or directed by HSE for purposes connected to gas safety; </w:t>
      </w:r>
      <w:r>
        <w:t>and/</w:t>
      </w:r>
      <w:r w:rsidRPr="001A1836">
        <w:t xml:space="preserve">or </w:t>
      </w:r>
    </w:p>
    <w:p w14:paraId="537CA3AF" w14:textId="77777777" w:rsidR="00097A1C" w:rsidRDefault="00097A1C" w:rsidP="00097A1C">
      <w:pPr>
        <w:pStyle w:val="GSRL6numberedclause"/>
      </w:pPr>
      <w:r w:rsidRPr="001A1836">
        <w:t>subsidise future Concession Charges (and if HSE decide to so distribute any Funds For Distribution, it shall issue a Change Request in accordance with the Change Control Procedure)</w:t>
      </w:r>
      <w:r>
        <w:t>; and/or</w:t>
      </w:r>
    </w:p>
    <w:p w14:paraId="6FA04923" w14:textId="77777777" w:rsidR="00097A1C" w:rsidRPr="001A1836" w:rsidRDefault="00097A1C" w:rsidP="00097A1C">
      <w:pPr>
        <w:pStyle w:val="GSRL6numberedclause"/>
      </w:pPr>
      <w:r>
        <w:t xml:space="preserve">meet Ancillary Charges in accordance with paragraph 8 of Schedule 2 (Additional and Ancillary Charges), </w:t>
      </w:r>
      <w:r w:rsidRPr="001A1836">
        <w:t xml:space="preserve"> </w:t>
      </w:r>
    </w:p>
    <w:p w14:paraId="7322B860" w14:textId="77777777" w:rsidR="00097A1C" w:rsidRPr="001A1836" w:rsidRDefault="00097A1C" w:rsidP="00097A1C">
      <w:pPr>
        <w:ind w:left="864" w:firstLine="720"/>
      </w:pPr>
      <w:r w:rsidRPr="001A1836">
        <w:t xml:space="preserve">as HSE may in its sole discretion decide. </w:t>
      </w:r>
    </w:p>
    <w:p w14:paraId="16083409" w14:textId="0DCEE12E" w:rsidR="00097A1C" w:rsidRDefault="00097A1C" w:rsidP="00097A1C">
      <w:pPr>
        <w:pStyle w:val="GSRL5numberedclause"/>
      </w:pPr>
      <w:r w:rsidRPr="001A1836">
        <w:t>Within two (2) calendar month</w:t>
      </w:r>
      <w:r w:rsidR="002E67DE">
        <w:t>s</w:t>
      </w:r>
      <w:r w:rsidRPr="001A1836">
        <w:t xml:space="preserve"> of the Expiry Date or earlier date of termination of this Agreement, the Provider shall transfer any </w:t>
      </w:r>
      <w:r w:rsidR="002E67DE">
        <w:t xml:space="preserve">outstanding </w:t>
      </w:r>
      <w:r w:rsidRPr="002E67DE">
        <w:t>Funds For Distribution</w:t>
      </w:r>
      <w:r w:rsidRPr="001A1836">
        <w:t xml:space="preserve"> to the HSE nominated </w:t>
      </w:r>
      <w:r>
        <w:t xml:space="preserve">repository for </w:t>
      </w:r>
      <w:r w:rsidRPr="001A1836">
        <w:t>Funds For Distribution.</w:t>
      </w:r>
    </w:p>
    <w:p w14:paraId="79E6B3A7" w14:textId="77777777" w:rsidR="00097A1C" w:rsidRDefault="00097A1C" w:rsidP="005E43DB">
      <w:pPr>
        <w:pStyle w:val="GSRL2Sectionheading"/>
      </w:pPr>
    </w:p>
    <w:p w14:paraId="3F11C060" w14:textId="4E785877" w:rsidR="00B074CC" w:rsidRPr="001A1836" w:rsidRDefault="00B074CC" w:rsidP="005E43DB">
      <w:pPr>
        <w:pStyle w:val="GSRL2Sectionheading"/>
      </w:pPr>
      <w:r w:rsidRPr="001A1836">
        <w:t>Gain Share Fund</w:t>
      </w:r>
      <w:bookmarkEnd w:id="1161"/>
      <w:bookmarkEnd w:id="1162"/>
      <w:bookmarkEnd w:id="1163"/>
      <w:bookmarkEnd w:id="1164"/>
      <w:bookmarkEnd w:id="1165"/>
      <w:bookmarkEnd w:id="1166"/>
      <w:bookmarkEnd w:id="1167"/>
      <w:bookmarkEnd w:id="1168"/>
      <w:bookmarkEnd w:id="1169"/>
      <w:bookmarkEnd w:id="1170"/>
      <w:bookmarkEnd w:id="1171"/>
      <w:bookmarkEnd w:id="1172"/>
    </w:p>
    <w:p w14:paraId="270DEE54" w14:textId="77777777" w:rsidR="00B074CC" w:rsidRDefault="00B074CC">
      <w:pPr>
        <w:pStyle w:val="GSRL3heading"/>
      </w:pPr>
      <w:bookmarkStart w:id="1173" w:name="_Ref505259260"/>
      <w:bookmarkStart w:id="1174" w:name="_Ref505866447"/>
      <w:bookmarkStart w:id="1175" w:name="_Toc521319355"/>
      <w:bookmarkStart w:id="1176" w:name="_Toc521327017"/>
      <w:bookmarkStart w:id="1177" w:name="_Toc521333250"/>
      <w:bookmarkStart w:id="1178" w:name="_Toc521483994"/>
      <w:bookmarkStart w:id="1179" w:name="_Toc521484757"/>
      <w:bookmarkStart w:id="1180" w:name="_Toc521485088"/>
      <w:bookmarkStart w:id="1181" w:name="_Toc521496810"/>
      <w:bookmarkStart w:id="1182" w:name="_Toc521498252"/>
      <w:bookmarkStart w:id="1183" w:name="_Toc529345986"/>
      <w:bookmarkStart w:id="1184" w:name="_Toc129038187"/>
      <w:bookmarkStart w:id="1185" w:name="_Toc129038473"/>
      <w:bookmarkStart w:id="1186" w:name="_Toc132268043"/>
      <w:bookmarkStart w:id="1187" w:name="_Toc132268349"/>
      <w:bookmarkStart w:id="1188" w:name="_Toc136198600"/>
      <w:bookmarkStart w:id="1189" w:name="_Toc136198881"/>
      <w:r w:rsidRPr="001A1836">
        <w:t>Gain Share Fund</w:t>
      </w:r>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p>
    <w:p w14:paraId="5C7CE2FB" w14:textId="77777777" w:rsidR="00B074CC" w:rsidRPr="001A1836" w:rsidRDefault="00B074CC">
      <w:pPr>
        <w:pStyle w:val="GSRL4numberedclause"/>
      </w:pPr>
      <w:r w:rsidRPr="001A1836">
        <w:t>General principles</w:t>
      </w:r>
    </w:p>
    <w:p w14:paraId="3E1CA88D" w14:textId="1C14C2C4" w:rsidR="00B074CC" w:rsidRPr="001A1836" w:rsidRDefault="00B074CC">
      <w:pPr>
        <w:pStyle w:val="GSRL5numberedclause"/>
      </w:pPr>
      <w:r w:rsidRPr="001A1836">
        <w:t>The Gain Share Fund</w:t>
      </w:r>
      <w:r w:rsidR="00B51918">
        <w:t>s</w:t>
      </w:r>
      <w:r w:rsidRPr="001A1836">
        <w:t xml:space="preserve"> shall be apportioned as follows:</w:t>
      </w:r>
    </w:p>
    <w:p w14:paraId="6C7AFC3E" w14:textId="2850B0C4" w:rsidR="00B074CC" w:rsidRPr="001A1836" w:rsidRDefault="00AD6B3A">
      <w:pPr>
        <w:pStyle w:val="GSRL6numberedclause"/>
      </w:pPr>
      <w:r w:rsidRPr="001A1836">
        <w:t>t</w:t>
      </w:r>
      <w:r w:rsidR="00B074CC" w:rsidRPr="001A1836">
        <w:t>o the Funds For Distribution –</w:t>
      </w:r>
      <w:r w:rsidR="00247876">
        <w:t xml:space="preserve"> </w:t>
      </w:r>
      <w:r w:rsidR="00247876">
        <w:rPr>
          <w:color w:val="000000"/>
          <w:sz w:val="20"/>
        </w:rPr>
        <w:t>REDACTED</w:t>
      </w:r>
      <w:r w:rsidR="00247876" w:rsidDel="00401C9B">
        <w:t xml:space="preserve"> </w:t>
      </w:r>
      <w:r w:rsidR="007D27B3">
        <w:t xml:space="preserve"> </w:t>
      </w:r>
      <w:r w:rsidR="00B074CC" w:rsidRPr="001A1836">
        <w:t>and</w:t>
      </w:r>
    </w:p>
    <w:p w14:paraId="2EFD1ECD" w14:textId="090C8D42" w:rsidR="005C7F5E" w:rsidRDefault="00AD6B3A">
      <w:pPr>
        <w:pStyle w:val="GSRL6numberedclause"/>
      </w:pPr>
      <w:r w:rsidRPr="001A1836">
        <w:t>t</w:t>
      </w:r>
      <w:r w:rsidR="00B074CC" w:rsidRPr="001A1836">
        <w:t>o the Provisional Provider Gain Share Funds –</w:t>
      </w:r>
      <w:r w:rsidR="007D27B3">
        <w:t xml:space="preserve"> </w:t>
      </w:r>
      <w:r w:rsidR="00247876">
        <w:rPr>
          <w:color w:val="000000"/>
          <w:sz w:val="20"/>
        </w:rPr>
        <w:t>REDACTED</w:t>
      </w:r>
      <w:r w:rsidR="007D27B3">
        <w:t xml:space="preserve"> </w:t>
      </w:r>
      <w:r w:rsidR="005C7F5E">
        <w:t>.</w:t>
      </w:r>
      <w:r w:rsidR="00B074CC" w:rsidRPr="001A1836">
        <w:t xml:space="preserve"> </w:t>
      </w:r>
    </w:p>
    <w:p w14:paraId="39952076" w14:textId="35B4F6B5" w:rsidR="00B074CC" w:rsidRPr="001A1836" w:rsidRDefault="00B074CC">
      <w:pPr>
        <w:pStyle w:val="GSRL4numberedclause"/>
      </w:pPr>
      <w:r w:rsidRPr="001A1836">
        <w:t>Provider Gain Share Funds</w:t>
      </w:r>
    </w:p>
    <w:p w14:paraId="290B2855" w14:textId="1BDA8FF1" w:rsidR="00B074CC" w:rsidRPr="001A1836" w:rsidRDefault="00B074CC">
      <w:pPr>
        <w:pStyle w:val="GSRL5numberedclause"/>
      </w:pPr>
      <w:bookmarkStart w:id="1190" w:name="_Ref505260139"/>
      <w:r w:rsidRPr="001A1836">
        <w:t>For each relevant Contract Year, the Provisional Provider Gain Share Funds shall be subject to the Provider’s performance against the following KPIs:</w:t>
      </w:r>
      <w:bookmarkEnd w:id="1190"/>
    </w:p>
    <w:p w14:paraId="2C171A13" w14:textId="2EC567B8" w:rsidR="00B074CC" w:rsidRPr="001A1836" w:rsidRDefault="00B074CC">
      <w:pPr>
        <w:pStyle w:val="GSRL6numberedclause"/>
      </w:pPr>
      <w:r w:rsidRPr="001A1836">
        <w:t>KPI 1;</w:t>
      </w:r>
    </w:p>
    <w:p w14:paraId="0D50128A" w14:textId="6628BE35" w:rsidR="00B074CC" w:rsidRPr="001A1836" w:rsidRDefault="00B074CC">
      <w:pPr>
        <w:pStyle w:val="GSRL6numberedclause"/>
      </w:pPr>
      <w:r w:rsidRPr="001A1836">
        <w:t>KPI 2; and</w:t>
      </w:r>
    </w:p>
    <w:p w14:paraId="53E3DE1F" w14:textId="4415D238" w:rsidR="00B074CC" w:rsidRPr="001A1836" w:rsidRDefault="00B074CC">
      <w:pPr>
        <w:pStyle w:val="GSRL6numberedclause"/>
      </w:pPr>
      <w:r w:rsidRPr="001A1836">
        <w:lastRenderedPageBreak/>
        <w:t>KPI 3,</w:t>
      </w:r>
    </w:p>
    <w:p w14:paraId="67CD289F" w14:textId="5E35C41C" w:rsidR="00B074CC" w:rsidRPr="001A1836" w:rsidRDefault="00B074CC" w:rsidP="00626054">
      <w:pPr>
        <w:pStyle w:val="Number"/>
        <w:ind w:left="1440" w:firstLine="144"/>
      </w:pPr>
      <w:r w:rsidRPr="001A1836">
        <w:t>(together the “</w:t>
      </w:r>
      <w:r w:rsidRPr="001A1836">
        <w:rPr>
          <w:b/>
        </w:rPr>
        <w:t>Gain Share KPIs</w:t>
      </w:r>
      <w:r w:rsidRPr="001A1836">
        <w:t>”).</w:t>
      </w:r>
    </w:p>
    <w:p w14:paraId="449C420A" w14:textId="4FB149D3" w:rsidR="00B074CC" w:rsidRPr="001A1836" w:rsidRDefault="00B074CC" w:rsidP="00626054">
      <w:pPr>
        <w:pStyle w:val="Number"/>
        <w:ind w:left="1584" w:firstLine="0"/>
        <w:rPr>
          <w:b/>
        </w:rPr>
      </w:pPr>
      <w:r w:rsidRPr="001A1836">
        <w:rPr>
          <w:b/>
        </w:rPr>
        <w:t>Deductions for KPI Failures</w:t>
      </w:r>
    </w:p>
    <w:p w14:paraId="40849944" w14:textId="159D5D4B" w:rsidR="00B074CC" w:rsidRPr="001A1836" w:rsidRDefault="00B074CC">
      <w:pPr>
        <w:pStyle w:val="GSRL5numberedclause"/>
      </w:pPr>
      <w:r w:rsidRPr="001A1836">
        <w:t xml:space="preserve">Each of the Gain Share KPIs listed in paragraph </w:t>
      </w:r>
      <w:r w:rsidRPr="001A1836">
        <w:fldChar w:fldCharType="begin"/>
      </w:r>
      <w:r w:rsidRPr="001A1836">
        <w:instrText xml:space="preserve"> REF _Ref505260139 \r \h </w:instrText>
      </w:r>
      <w:r w:rsidR="001A1836">
        <w:instrText xml:space="preserve"> \* MERGEFORMAT </w:instrText>
      </w:r>
      <w:r w:rsidRPr="001A1836">
        <w:fldChar w:fldCharType="separate"/>
      </w:r>
      <w:r w:rsidR="00C87D85">
        <w:t>5.2.1</w:t>
      </w:r>
      <w:r w:rsidRPr="001A1836">
        <w:fldChar w:fldCharType="end"/>
      </w:r>
      <w:r w:rsidRPr="001A1836">
        <w:t xml:space="preserve"> shall be apportioned a percentage of the total value of the Provisional Provider Gain Share Funds as set out in Table 1 below:</w:t>
      </w:r>
    </w:p>
    <w:p w14:paraId="39F8AEAE" w14:textId="4779F9A8" w:rsidR="00B074CC" w:rsidRPr="001A1836" w:rsidRDefault="00B074CC" w:rsidP="00626054">
      <w:pPr>
        <w:ind w:firstLine="709"/>
        <w:rPr>
          <w:b/>
        </w:rPr>
      </w:pPr>
    </w:p>
    <w:p w14:paraId="14520F0C" w14:textId="2735C3BF" w:rsidR="00B074CC" w:rsidRPr="001A1836" w:rsidRDefault="00B074CC" w:rsidP="00626054">
      <w:pPr>
        <w:ind w:firstLine="709"/>
      </w:pPr>
      <w:r w:rsidRPr="001A1836">
        <w:rPr>
          <w:b/>
        </w:rPr>
        <w:t>Table 1</w:t>
      </w:r>
      <w:r w:rsidRPr="001A1836">
        <w:t xml:space="preserve"> </w:t>
      </w:r>
      <w:r w:rsidR="001F56DA">
        <w:t xml:space="preserve">Gain Share </w:t>
      </w:r>
      <w:r w:rsidRPr="001A1836">
        <w:t>KPI Deductions</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538"/>
        <w:gridCol w:w="1319"/>
        <w:gridCol w:w="1350"/>
        <w:gridCol w:w="1318"/>
      </w:tblGrid>
      <w:tr w:rsidR="00664E03" w:rsidRPr="001A1836" w14:paraId="4477DDC5" w14:textId="77777777" w:rsidTr="005B0F23">
        <w:trPr>
          <w:cantSplit/>
          <w:trHeight w:val="720"/>
          <w:tblHeader/>
        </w:trPr>
        <w:tc>
          <w:tcPr>
            <w:tcW w:w="1417" w:type="dxa"/>
            <w:vMerge w:val="restart"/>
            <w:shd w:val="clear" w:color="auto" w:fill="auto"/>
            <w:vAlign w:val="center"/>
          </w:tcPr>
          <w:p w14:paraId="2B17FDED" w14:textId="5D5238F9" w:rsidR="00B074CC" w:rsidRPr="001A1836" w:rsidRDefault="00B074CC" w:rsidP="00626054">
            <w:pPr>
              <w:pStyle w:val="Number"/>
              <w:ind w:left="0" w:firstLine="0"/>
              <w:jc w:val="center"/>
              <w:rPr>
                <w:b/>
              </w:rPr>
            </w:pPr>
            <w:r w:rsidRPr="001A1836">
              <w:rPr>
                <w:b/>
              </w:rPr>
              <w:t>KPI number</w:t>
            </w:r>
          </w:p>
        </w:tc>
        <w:tc>
          <w:tcPr>
            <w:tcW w:w="2632" w:type="dxa"/>
            <w:vMerge w:val="restart"/>
            <w:shd w:val="clear" w:color="auto" w:fill="auto"/>
            <w:vAlign w:val="center"/>
          </w:tcPr>
          <w:p w14:paraId="52753A46" w14:textId="366096D4" w:rsidR="00B074CC" w:rsidRPr="001A1836" w:rsidRDefault="00B074CC" w:rsidP="00626054">
            <w:pPr>
              <w:pStyle w:val="Number"/>
              <w:ind w:left="0" w:firstLine="0"/>
              <w:jc w:val="center"/>
              <w:rPr>
                <w:b/>
              </w:rPr>
            </w:pPr>
            <w:r w:rsidRPr="001A1836">
              <w:rPr>
                <w:b/>
              </w:rPr>
              <w:t>% Total Provisional Provider Gain Share Funds apportioned to KPI</w:t>
            </w:r>
          </w:p>
        </w:tc>
        <w:tc>
          <w:tcPr>
            <w:tcW w:w="4092" w:type="dxa"/>
            <w:gridSpan w:val="3"/>
            <w:shd w:val="clear" w:color="auto" w:fill="auto"/>
          </w:tcPr>
          <w:p w14:paraId="76496CB6" w14:textId="01DE4C97" w:rsidR="00B074CC" w:rsidRPr="001A1836" w:rsidRDefault="00B074CC" w:rsidP="00626054">
            <w:pPr>
              <w:pStyle w:val="Number"/>
              <w:ind w:left="0" w:firstLine="0"/>
              <w:rPr>
                <w:b/>
              </w:rPr>
            </w:pPr>
            <w:r w:rsidRPr="001A1836">
              <w:rPr>
                <w:b/>
              </w:rPr>
              <w:t>Deduction from apportioned amount of Provisional Provider Gain Share Funds</w:t>
            </w:r>
          </w:p>
        </w:tc>
      </w:tr>
      <w:tr w:rsidR="00664E03" w:rsidRPr="001A1836" w14:paraId="4562B57C" w14:textId="77777777" w:rsidTr="005B0F23">
        <w:trPr>
          <w:cantSplit/>
          <w:trHeight w:val="401"/>
          <w:tblHeader/>
        </w:trPr>
        <w:tc>
          <w:tcPr>
            <w:tcW w:w="1417" w:type="dxa"/>
            <w:vMerge/>
            <w:shd w:val="clear" w:color="auto" w:fill="auto"/>
          </w:tcPr>
          <w:p w14:paraId="1C522C06" w14:textId="0131C5DB" w:rsidR="00B074CC" w:rsidRPr="001A1836" w:rsidRDefault="00B074CC" w:rsidP="00626054">
            <w:pPr>
              <w:pStyle w:val="Number"/>
              <w:ind w:left="0" w:firstLine="0"/>
              <w:rPr>
                <w:b/>
              </w:rPr>
            </w:pPr>
          </w:p>
        </w:tc>
        <w:tc>
          <w:tcPr>
            <w:tcW w:w="2632" w:type="dxa"/>
            <w:vMerge/>
            <w:shd w:val="clear" w:color="auto" w:fill="auto"/>
          </w:tcPr>
          <w:p w14:paraId="176F9B5A" w14:textId="6D8018BB" w:rsidR="00B074CC" w:rsidRPr="001A1836" w:rsidRDefault="00B074CC" w:rsidP="00626054">
            <w:pPr>
              <w:pStyle w:val="Number"/>
              <w:ind w:left="0" w:firstLine="0"/>
              <w:rPr>
                <w:b/>
              </w:rPr>
            </w:pPr>
          </w:p>
        </w:tc>
        <w:tc>
          <w:tcPr>
            <w:tcW w:w="4092" w:type="dxa"/>
            <w:gridSpan w:val="3"/>
            <w:shd w:val="clear" w:color="auto" w:fill="auto"/>
            <w:vAlign w:val="center"/>
          </w:tcPr>
          <w:p w14:paraId="2FA795E0" w14:textId="6641A449" w:rsidR="00B074CC" w:rsidRPr="001A1836" w:rsidRDefault="00B074CC" w:rsidP="00626054">
            <w:pPr>
              <w:pStyle w:val="Number"/>
              <w:ind w:left="0" w:firstLine="0"/>
              <w:jc w:val="center"/>
              <w:rPr>
                <w:b/>
              </w:rPr>
            </w:pPr>
            <w:r w:rsidRPr="001A1836">
              <w:rPr>
                <w:b/>
              </w:rPr>
              <w:t>KPI failure level</w:t>
            </w:r>
          </w:p>
        </w:tc>
      </w:tr>
      <w:tr w:rsidR="00664E03" w:rsidRPr="001A1836" w14:paraId="4FCA199C" w14:textId="77777777" w:rsidTr="00626054">
        <w:trPr>
          <w:cantSplit/>
          <w:tblHeader/>
        </w:trPr>
        <w:tc>
          <w:tcPr>
            <w:tcW w:w="1417" w:type="dxa"/>
            <w:vMerge/>
            <w:shd w:val="clear" w:color="auto" w:fill="auto"/>
          </w:tcPr>
          <w:p w14:paraId="2C66374B" w14:textId="18C5A529" w:rsidR="00B074CC" w:rsidRPr="001A1836" w:rsidRDefault="00B074CC" w:rsidP="00626054">
            <w:pPr>
              <w:pStyle w:val="Number"/>
              <w:ind w:left="0" w:firstLine="0"/>
            </w:pPr>
          </w:p>
        </w:tc>
        <w:tc>
          <w:tcPr>
            <w:tcW w:w="2632" w:type="dxa"/>
            <w:vMerge/>
            <w:shd w:val="clear" w:color="auto" w:fill="auto"/>
          </w:tcPr>
          <w:p w14:paraId="686404E5" w14:textId="715DE7A3" w:rsidR="00B074CC" w:rsidRPr="001A1836" w:rsidRDefault="00B074CC" w:rsidP="00626054">
            <w:pPr>
              <w:pStyle w:val="Number"/>
              <w:ind w:left="0" w:firstLine="0"/>
            </w:pPr>
          </w:p>
        </w:tc>
        <w:tc>
          <w:tcPr>
            <w:tcW w:w="1364" w:type="dxa"/>
            <w:shd w:val="clear" w:color="auto" w:fill="auto"/>
          </w:tcPr>
          <w:p w14:paraId="601CBE6C" w14:textId="3A8C5EF0" w:rsidR="00B074CC" w:rsidRPr="001A1836" w:rsidRDefault="00B074CC" w:rsidP="00626054">
            <w:pPr>
              <w:pStyle w:val="Number"/>
              <w:ind w:left="0" w:firstLine="0"/>
              <w:jc w:val="center"/>
              <w:rPr>
                <w:b/>
              </w:rPr>
            </w:pPr>
            <w:r w:rsidRPr="001A1836">
              <w:rPr>
                <w:b/>
              </w:rPr>
              <w:t>Minor</w:t>
            </w:r>
          </w:p>
        </w:tc>
        <w:tc>
          <w:tcPr>
            <w:tcW w:w="1364" w:type="dxa"/>
            <w:shd w:val="clear" w:color="auto" w:fill="auto"/>
          </w:tcPr>
          <w:p w14:paraId="49C23164" w14:textId="3622E771" w:rsidR="00B074CC" w:rsidRPr="001A1836" w:rsidRDefault="00B074CC" w:rsidP="00626054">
            <w:pPr>
              <w:pStyle w:val="Number"/>
              <w:ind w:left="0" w:firstLine="0"/>
              <w:jc w:val="center"/>
              <w:rPr>
                <w:b/>
              </w:rPr>
            </w:pPr>
            <w:r w:rsidRPr="001A1836">
              <w:rPr>
                <w:b/>
              </w:rPr>
              <w:t>Moderate</w:t>
            </w:r>
          </w:p>
        </w:tc>
        <w:tc>
          <w:tcPr>
            <w:tcW w:w="1364" w:type="dxa"/>
            <w:shd w:val="clear" w:color="auto" w:fill="auto"/>
          </w:tcPr>
          <w:p w14:paraId="39EDA258" w14:textId="7415B41D" w:rsidR="00B074CC" w:rsidRPr="001A1836" w:rsidRDefault="00B074CC" w:rsidP="00626054">
            <w:pPr>
              <w:pStyle w:val="Number"/>
              <w:ind w:left="0" w:firstLine="0"/>
              <w:jc w:val="center"/>
              <w:rPr>
                <w:b/>
              </w:rPr>
            </w:pPr>
            <w:r w:rsidRPr="001A1836">
              <w:rPr>
                <w:b/>
              </w:rPr>
              <w:t>Major</w:t>
            </w:r>
          </w:p>
        </w:tc>
      </w:tr>
      <w:tr w:rsidR="00664E03" w:rsidRPr="001A1836" w14:paraId="7F5FE276" w14:textId="77777777" w:rsidTr="00626054">
        <w:trPr>
          <w:cantSplit/>
        </w:trPr>
        <w:tc>
          <w:tcPr>
            <w:tcW w:w="1417" w:type="dxa"/>
            <w:shd w:val="clear" w:color="auto" w:fill="auto"/>
          </w:tcPr>
          <w:p w14:paraId="19EEDBD7" w14:textId="769D5CA2" w:rsidR="00B074CC" w:rsidRPr="001A1836" w:rsidRDefault="00B074CC" w:rsidP="00626054">
            <w:pPr>
              <w:pStyle w:val="Number"/>
              <w:ind w:left="0" w:firstLine="0"/>
              <w:jc w:val="center"/>
            </w:pPr>
            <w:r w:rsidRPr="001A1836">
              <w:t>1</w:t>
            </w:r>
          </w:p>
        </w:tc>
        <w:tc>
          <w:tcPr>
            <w:tcW w:w="2632" w:type="dxa"/>
            <w:shd w:val="clear" w:color="auto" w:fill="auto"/>
          </w:tcPr>
          <w:p w14:paraId="7B74915B" w14:textId="7218B7C7" w:rsidR="00B074CC" w:rsidRPr="001A1836" w:rsidRDefault="00EA0CC8" w:rsidP="00626054">
            <w:pPr>
              <w:pStyle w:val="Number"/>
              <w:ind w:left="0" w:firstLine="0"/>
              <w:jc w:val="center"/>
            </w:pPr>
            <w:r>
              <w:t>30%</w:t>
            </w:r>
          </w:p>
        </w:tc>
        <w:tc>
          <w:tcPr>
            <w:tcW w:w="1364" w:type="dxa"/>
            <w:shd w:val="clear" w:color="auto" w:fill="auto"/>
          </w:tcPr>
          <w:p w14:paraId="41F9507C" w14:textId="394F51C4" w:rsidR="00B074CC" w:rsidRPr="001A1836" w:rsidRDefault="00B074CC" w:rsidP="00626054">
            <w:pPr>
              <w:pStyle w:val="Number"/>
              <w:ind w:left="0" w:firstLine="0"/>
              <w:jc w:val="right"/>
            </w:pPr>
            <w:r w:rsidRPr="001A1836">
              <w:t>25%</w:t>
            </w:r>
          </w:p>
        </w:tc>
        <w:tc>
          <w:tcPr>
            <w:tcW w:w="1364" w:type="dxa"/>
            <w:shd w:val="clear" w:color="auto" w:fill="auto"/>
          </w:tcPr>
          <w:p w14:paraId="14918BC7" w14:textId="3300AB70" w:rsidR="00B074CC" w:rsidRPr="001A1836" w:rsidRDefault="00B074CC" w:rsidP="00626054">
            <w:pPr>
              <w:pStyle w:val="Number"/>
              <w:ind w:left="0" w:firstLine="0"/>
              <w:jc w:val="right"/>
            </w:pPr>
            <w:r w:rsidRPr="001A1836">
              <w:t>50%</w:t>
            </w:r>
          </w:p>
        </w:tc>
        <w:tc>
          <w:tcPr>
            <w:tcW w:w="1364" w:type="dxa"/>
            <w:shd w:val="clear" w:color="auto" w:fill="auto"/>
          </w:tcPr>
          <w:p w14:paraId="2EAC05E5" w14:textId="3BBDBC5B" w:rsidR="00B074CC" w:rsidRPr="001A1836" w:rsidRDefault="00B074CC" w:rsidP="00626054">
            <w:pPr>
              <w:pStyle w:val="Number"/>
              <w:ind w:left="0" w:firstLine="0"/>
              <w:jc w:val="right"/>
            </w:pPr>
            <w:r w:rsidRPr="001A1836">
              <w:t>100%</w:t>
            </w:r>
          </w:p>
        </w:tc>
      </w:tr>
      <w:tr w:rsidR="00664E03" w:rsidRPr="001A1836" w14:paraId="58B764DD" w14:textId="77777777" w:rsidTr="00626054">
        <w:trPr>
          <w:cantSplit/>
        </w:trPr>
        <w:tc>
          <w:tcPr>
            <w:tcW w:w="1417" w:type="dxa"/>
            <w:shd w:val="clear" w:color="auto" w:fill="auto"/>
          </w:tcPr>
          <w:p w14:paraId="5884F0E9" w14:textId="2370A06B" w:rsidR="00B074CC" w:rsidRPr="001A1836" w:rsidRDefault="00B074CC" w:rsidP="00626054">
            <w:pPr>
              <w:pStyle w:val="Number"/>
              <w:ind w:left="0" w:firstLine="0"/>
              <w:jc w:val="center"/>
            </w:pPr>
            <w:r w:rsidRPr="001A1836">
              <w:t>2</w:t>
            </w:r>
          </w:p>
        </w:tc>
        <w:tc>
          <w:tcPr>
            <w:tcW w:w="2632" w:type="dxa"/>
            <w:shd w:val="clear" w:color="auto" w:fill="auto"/>
          </w:tcPr>
          <w:p w14:paraId="7F1AEE7C" w14:textId="32C6DD3F" w:rsidR="00B074CC" w:rsidRPr="001A1836" w:rsidRDefault="00B074CC" w:rsidP="00626054">
            <w:pPr>
              <w:pStyle w:val="Number"/>
              <w:ind w:left="0" w:firstLine="0"/>
              <w:jc w:val="center"/>
            </w:pPr>
            <w:r w:rsidRPr="001A1836">
              <w:t>30%</w:t>
            </w:r>
          </w:p>
        </w:tc>
        <w:tc>
          <w:tcPr>
            <w:tcW w:w="1364" w:type="dxa"/>
            <w:shd w:val="clear" w:color="auto" w:fill="auto"/>
          </w:tcPr>
          <w:p w14:paraId="473C1511" w14:textId="12229275" w:rsidR="00B074CC" w:rsidRPr="001A1836" w:rsidRDefault="00B074CC" w:rsidP="00626054">
            <w:pPr>
              <w:pStyle w:val="Number"/>
              <w:ind w:left="0" w:firstLine="0"/>
              <w:jc w:val="right"/>
            </w:pPr>
            <w:r w:rsidRPr="001A1836">
              <w:t>25%</w:t>
            </w:r>
          </w:p>
        </w:tc>
        <w:tc>
          <w:tcPr>
            <w:tcW w:w="1364" w:type="dxa"/>
            <w:shd w:val="clear" w:color="auto" w:fill="auto"/>
          </w:tcPr>
          <w:p w14:paraId="6700F721" w14:textId="53593A71" w:rsidR="00B074CC" w:rsidRPr="001A1836" w:rsidRDefault="00B074CC" w:rsidP="00626054">
            <w:pPr>
              <w:pStyle w:val="Number"/>
              <w:ind w:left="0" w:firstLine="0"/>
              <w:jc w:val="right"/>
            </w:pPr>
            <w:r w:rsidRPr="001A1836">
              <w:t>50%</w:t>
            </w:r>
          </w:p>
        </w:tc>
        <w:tc>
          <w:tcPr>
            <w:tcW w:w="1364" w:type="dxa"/>
            <w:shd w:val="clear" w:color="auto" w:fill="auto"/>
          </w:tcPr>
          <w:p w14:paraId="2B15918B" w14:textId="2123D3C6" w:rsidR="00B074CC" w:rsidRPr="001A1836" w:rsidRDefault="00B074CC" w:rsidP="00626054">
            <w:pPr>
              <w:pStyle w:val="Number"/>
              <w:ind w:left="0" w:firstLine="0"/>
              <w:jc w:val="right"/>
            </w:pPr>
            <w:r w:rsidRPr="001A1836">
              <w:t>100%</w:t>
            </w:r>
          </w:p>
        </w:tc>
      </w:tr>
      <w:tr w:rsidR="00664E03" w:rsidRPr="001A1836" w14:paraId="3BD6F08C" w14:textId="77777777" w:rsidTr="00626054">
        <w:trPr>
          <w:cantSplit/>
        </w:trPr>
        <w:tc>
          <w:tcPr>
            <w:tcW w:w="1417" w:type="dxa"/>
            <w:shd w:val="clear" w:color="auto" w:fill="auto"/>
          </w:tcPr>
          <w:p w14:paraId="63C713B1" w14:textId="2B907247" w:rsidR="00B074CC" w:rsidRPr="001A1836" w:rsidRDefault="00B074CC" w:rsidP="00626054">
            <w:pPr>
              <w:pStyle w:val="Number"/>
              <w:ind w:left="0" w:firstLine="0"/>
              <w:jc w:val="center"/>
            </w:pPr>
            <w:r w:rsidRPr="001A1836">
              <w:t>3</w:t>
            </w:r>
          </w:p>
        </w:tc>
        <w:tc>
          <w:tcPr>
            <w:tcW w:w="2632" w:type="dxa"/>
            <w:shd w:val="clear" w:color="auto" w:fill="auto"/>
          </w:tcPr>
          <w:p w14:paraId="674B4ABC" w14:textId="54819286" w:rsidR="00B074CC" w:rsidRPr="001A1836" w:rsidRDefault="00EA0CC8" w:rsidP="00626054">
            <w:pPr>
              <w:pStyle w:val="Number"/>
              <w:ind w:left="0" w:firstLine="0"/>
              <w:jc w:val="center"/>
            </w:pPr>
            <w:r>
              <w:t>40</w:t>
            </w:r>
            <w:r w:rsidR="00B074CC" w:rsidRPr="001A1836">
              <w:t>%</w:t>
            </w:r>
          </w:p>
        </w:tc>
        <w:tc>
          <w:tcPr>
            <w:tcW w:w="1364" w:type="dxa"/>
            <w:shd w:val="clear" w:color="auto" w:fill="auto"/>
          </w:tcPr>
          <w:p w14:paraId="4E7EFB8B" w14:textId="09DF09C1" w:rsidR="00B074CC" w:rsidRPr="001A1836" w:rsidRDefault="00B074CC" w:rsidP="00626054">
            <w:pPr>
              <w:pStyle w:val="Number"/>
              <w:ind w:left="0" w:firstLine="0"/>
              <w:jc w:val="right"/>
            </w:pPr>
            <w:r w:rsidRPr="001A1836">
              <w:t>25%</w:t>
            </w:r>
          </w:p>
        </w:tc>
        <w:tc>
          <w:tcPr>
            <w:tcW w:w="1364" w:type="dxa"/>
            <w:shd w:val="clear" w:color="auto" w:fill="auto"/>
          </w:tcPr>
          <w:p w14:paraId="7884D6E3" w14:textId="4C85FA3E" w:rsidR="00B074CC" w:rsidRPr="001A1836" w:rsidRDefault="00B074CC" w:rsidP="00626054">
            <w:pPr>
              <w:pStyle w:val="Number"/>
              <w:ind w:left="0" w:firstLine="0"/>
              <w:jc w:val="right"/>
            </w:pPr>
            <w:r w:rsidRPr="001A1836">
              <w:t>50%</w:t>
            </w:r>
          </w:p>
        </w:tc>
        <w:tc>
          <w:tcPr>
            <w:tcW w:w="1364" w:type="dxa"/>
            <w:shd w:val="clear" w:color="auto" w:fill="auto"/>
          </w:tcPr>
          <w:p w14:paraId="1B34C90A" w14:textId="4ADE0127" w:rsidR="00B074CC" w:rsidRPr="001A1836" w:rsidRDefault="00B074CC" w:rsidP="00626054">
            <w:pPr>
              <w:pStyle w:val="Number"/>
              <w:ind w:left="0" w:firstLine="0"/>
              <w:jc w:val="right"/>
            </w:pPr>
            <w:r w:rsidRPr="001A1836">
              <w:t>100%</w:t>
            </w:r>
          </w:p>
        </w:tc>
      </w:tr>
    </w:tbl>
    <w:p w14:paraId="57EFCCD7" w14:textId="24FC3527" w:rsidR="00B074CC" w:rsidRPr="001A1836" w:rsidRDefault="00B074CC" w:rsidP="00626054">
      <w:pPr>
        <w:pStyle w:val="Number"/>
        <w:ind w:left="0" w:firstLine="0"/>
      </w:pPr>
    </w:p>
    <w:p w14:paraId="2592422D" w14:textId="0155ECCB" w:rsidR="00B074CC" w:rsidRPr="001A1836" w:rsidRDefault="00B074CC">
      <w:pPr>
        <w:pStyle w:val="GSRL5numberedclause"/>
      </w:pPr>
      <w:bookmarkStart w:id="1191" w:name="_Ref506297426"/>
      <w:r w:rsidRPr="001A1836">
        <w:t>The Provider shall review its performance against the Gain Share KPIs in accordance with Schedule 8 (Key Performance Indicators) and determine the amount to be deducted from the Provisional Provider Gain Share Funds in accordance with Table 1 above and transferred to the Funds For Distribution where the Provider fails, or partly fails, any of the Gain Share KPIs (the “</w:t>
      </w:r>
      <w:r w:rsidR="001F56DA" w:rsidRPr="001F56DA">
        <w:rPr>
          <w:b/>
        </w:rPr>
        <w:t>Gain Share</w:t>
      </w:r>
      <w:r w:rsidR="001F56DA">
        <w:t xml:space="preserve"> </w:t>
      </w:r>
      <w:r w:rsidRPr="001A1836">
        <w:rPr>
          <w:b/>
        </w:rPr>
        <w:t>KPI Deductions</w:t>
      </w:r>
      <w:r w:rsidRPr="001A1836">
        <w:t>”).</w:t>
      </w:r>
      <w:bookmarkEnd w:id="1191"/>
      <w:r w:rsidRPr="001A1836">
        <w:t xml:space="preserve"> </w:t>
      </w:r>
    </w:p>
    <w:p w14:paraId="77018BAA" w14:textId="66BA3E6C" w:rsidR="00B074CC" w:rsidRPr="001A1836" w:rsidRDefault="00B074CC" w:rsidP="00626054">
      <w:pPr>
        <w:pStyle w:val="Number"/>
        <w:ind w:left="1584" w:firstLine="0"/>
        <w:rPr>
          <w:b/>
        </w:rPr>
      </w:pPr>
      <w:r w:rsidRPr="001A1836">
        <w:rPr>
          <w:b/>
        </w:rPr>
        <w:t>Transferrable Gain Share Funds</w:t>
      </w:r>
    </w:p>
    <w:p w14:paraId="1157F85D" w14:textId="5079CBDC" w:rsidR="00B074CC" w:rsidRPr="001A1836" w:rsidRDefault="00B074CC">
      <w:pPr>
        <w:pStyle w:val="GSRL5numberedclause"/>
      </w:pPr>
      <w:r w:rsidRPr="001A1836">
        <w:t xml:space="preserve">The total </w:t>
      </w:r>
      <w:r w:rsidR="001F56DA">
        <w:t xml:space="preserve">Gain Share </w:t>
      </w:r>
      <w:r w:rsidRPr="001A1836">
        <w:t xml:space="preserve">KPI Deductions made in relation to performance during a Contract Year of the Gain Share KPIs shall be the </w:t>
      </w:r>
      <w:r w:rsidR="007B5C23" w:rsidRPr="001A1836">
        <w:t>“</w:t>
      </w:r>
      <w:r w:rsidRPr="001A1836">
        <w:rPr>
          <w:b/>
        </w:rPr>
        <w:t>Transferrable Gain Share Funds</w:t>
      </w:r>
      <w:r w:rsidR="007B5C23" w:rsidRPr="001A1836">
        <w:t>”</w:t>
      </w:r>
      <w:r w:rsidRPr="001A1836">
        <w:rPr>
          <w:rStyle w:val="CommentReference"/>
        </w:rPr>
        <w:t xml:space="preserve"> </w:t>
      </w:r>
      <w:r w:rsidRPr="001A1836">
        <w:t>applicable for that Contract Year.</w:t>
      </w:r>
    </w:p>
    <w:p w14:paraId="76DFC825" w14:textId="4C5FDAD1" w:rsidR="00B074CC" w:rsidRPr="001A1836" w:rsidRDefault="00B074CC" w:rsidP="00626054">
      <w:pPr>
        <w:pStyle w:val="Number"/>
        <w:ind w:left="1584" w:firstLine="0"/>
        <w:rPr>
          <w:b/>
        </w:rPr>
      </w:pPr>
      <w:r w:rsidRPr="001A1836">
        <w:rPr>
          <w:b/>
        </w:rPr>
        <w:t>Agreed Provider Gain Share Funds</w:t>
      </w:r>
    </w:p>
    <w:p w14:paraId="020E34C6" w14:textId="476D367D" w:rsidR="00B074CC" w:rsidRPr="001A1836" w:rsidRDefault="00BA5BD2">
      <w:pPr>
        <w:pStyle w:val="GSRL5numberedclause"/>
      </w:pPr>
      <w:bookmarkStart w:id="1192" w:name="_Ref506298739"/>
      <w:r w:rsidRPr="001A1836">
        <w:t>In respect of each Contract Year t</w:t>
      </w:r>
      <w:r w:rsidR="00B074CC" w:rsidRPr="001A1836">
        <w:t>he Agreed Provider Gain Share Funds shall be calculated as follows:</w:t>
      </w:r>
      <w:bookmarkEnd w:id="1192"/>
    </w:p>
    <w:p w14:paraId="760B30D2" w14:textId="777132B9" w:rsidR="00B074CC" w:rsidRPr="001A1836" w:rsidRDefault="00B074CC" w:rsidP="00626054">
      <w:pPr>
        <w:pStyle w:val="Number"/>
        <w:ind w:left="1857" w:firstLine="0"/>
      </w:pPr>
      <w:r w:rsidRPr="001A1836">
        <w:t>A – B = X</w:t>
      </w:r>
    </w:p>
    <w:p w14:paraId="265CDE88" w14:textId="4CB3EA74" w:rsidR="00B074CC" w:rsidRPr="001A1836" w:rsidRDefault="00B074CC" w:rsidP="00626054">
      <w:pPr>
        <w:pStyle w:val="Number"/>
        <w:ind w:left="1857" w:firstLine="0"/>
      </w:pPr>
      <w:r w:rsidRPr="001A1836">
        <w:t>Where:</w:t>
      </w:r>
    </w:p>
    <w:p w14:paraId="53D1C3B9" w14:textId="2D3638BC" w:rsidR="00B074CC" w:rsidRPr="001A1836" w:rsidRDefault="00B074CC" w:rsidP="00626054">
      <w:pPr>
        <w:pStyle w:val="Number"/>
        <w:ind w:left="1857" w:firstLine="0"/>
      </w:pPr>
      <w:r w:rsidRPr="001A1836">
        <w:t>A = Provisional Provider Gain Share Funds</w:t>
      </w:r>
    </w:p>
    <w:p w14:paraId="314E7284" w14:textId="0BAB9B50" w:rsidR="00B074CC" w:rsidRPr="001A1836" w:rsidRDefault="00B074CC" w:rsidP="00626054">
      <w:pPr>
        <w:pStyle w:val="Number"/>
        <w:ind w:left="1857" w:firstLine="0"/>
      </w:pPr>
      <w:r w:rsidRPr="001A1836">
        <w:t xml:space="preserve">B = </w:t>
      </w:r>
      <w:r w:rsidR="00B81CF1" w:rsidRPr="001A1836">
        <w:t>Transferrable Gain Share Funds</w:t>
      </w:r>
    </w:p>
    <w:p w14:paraId="298BF16B" w14:textId="517201C9" w:rsidR="00B074CC" w:rsidRPr="001A1836" w:rsidRDefault="00B074CC" w:rsidP="00626054">
      <w:pPr>
        <w:pStyle w:val="Number"/>
        <w:ind w:left="1857" w:firstLine="0"/>
      </w:pPr>
      <w:r w:rsidRPr="001A1836">
        <w:t>X = Agreed Provider Gain Share Funds</w:t>
      </w:r>
    </w:p>
    <w:p w14:paraId="78B969F0" w14:textId="6F8CC18F" w:rsidR="00B074CC" w:rsidRPr="001A1836" w:rsidRDefault="00B074CC">
      <w:pPr>
        <w:pStyle w:val="GSRL5numberedclause"/>
      </w:pPr>
      <w:bookmarkStart w:id="1193" w:name="_Ref506298843"/>
      <w:r w:rsidRPr="001A1836">
        <w:lastRenderedPageBreak/>
        <w:t xml:space="preserve">The Provider shall perform the calculation set out in paragraph </w:t>
      </w:r>
      <w:r w:rsidRPr="001A1836">
        <w:fldChar w:fldCharType="begin"/>
      </w:r>
      <w:r w:rsidRPr="001A1836">
        <w:instrText xml:space="preserve"> REF _Ref506298739 \r \h </w:instrText>
      </w:r>
      <w:r w:rsidR="001A1836">
        <w:instrText xml:space="preserve"> \* MERGEFORMAT </w:instrText>
      </w:r>
      <w:r w:rsidRPr="001A1836">
        <w:fldChar w:fldCharType="separate"/>
      </w:r>
      <w:r w:rsidR="00C87D85">
        <w:t>5.2.5</w:t>
      </w:r>
      <w:r w:rsidRPr="001A1836">
        <w:fldChar w:fldCharType="end"/>
      </w:r>
      <w:r w:rsidRPr="001A1836">
        <w:t xml:space="preserve"> and notify HSE of the Agreed Provider Gain Share Funds as part of the Annual Service Report in accordance with paragraph 3.2 of Schedule 11</w:t>
      </w:r>
      <w:r w:rsidR="00356284">
        <w:t xml:space="preserve"> (Management Information, Reporting and Records)</w:t>
      </w:r>
      <w:r w:rsidRPr="001A1836">
        <w:t>.</w:t>
      </w:r>
      <w:bookmarkEnd w:id="1193"/>
      <w:r w:rsidRPr="001A1836">
        <w:t xml:space="preserve"> </w:t>
      </w:r>
    </w:p>
    <w:p w14:paraId="7C2214BE" w14:textId="0992214E" w:rsidR="00B074CC" w:rsidRPr="001A1836" w:rsidRDefault="00B074CC">
      <w:pPr>
        <w:pStyle w:val="GSRL5numberedclause"/>
      </w:pPr>
      <w:r w:rsidRPr="001A1836">
        <w:t xml:space="preserve">Following notification pursuant to paragraph </w:t>
      </w:r>
      <w:r w:rsidRPr="001A1836">
        <w:fldChar w:fldCharType="begin"/>
      </w:r>
      <w:r w:rsidRPr="001A1836">
        <w:instrText xml:space="preserve"> REF _Ref506298843 \r \h </w:instrText>
      </w:r>
      <w:r w:rsidR="001A1836">
        <w:instrText xml:space="preserve"> \* MERGEFORMAT </w:instrText>
      </w:r>
      <w:r w:rsidRPr="001A1836">
        <w:fldChar w:fldCharType="separate"/>
      </w:r>
      <w:r w:rsidR="00C87D85">
        <w:t>5.2.6</w:t>
      </w:r>
      <w:r w:rsidRPr="001A1836">
        <w:fldChar w:fldCharType="end"/>
      </w:r>
      <w:r w:rsidRPr="001A1836">
        <w:t xml:space="preserve">, and subject to HSE’s </w:t>
      </w:r>
      <w:r w:rsidR="00B81CF1" w:rsidRPr="001A1836">
        <w:t xml:space="preserve">agreement that the calculation </w:t>
      </w:r>
      <w:r w:rsidRPr="001A1836">
        <w:t>of the Agreed Provider Gain Share Funds</w:t>
      </w:r>
      <w:r w:rsidR="00B81CF1" w:rsidRPr="001A1836">
        <w:t xml:space="preserve"> is correct</w:t>
      </w:r>
      <w:r w:rsidRPr="001A1836">
        <w:t>, the Provider shall, within one (1) Month of being notified by HSE of its Approval of the Annual Service Report</w:t>
      </w:r>
      <w:r w:rsidR="0065425B" w:rsidRPr="001A1836">
        <w:t>, and subject to the requirements to Table 2</w:t>
      </w:r>
      <w:r w:rsidRPr="001A1836">
        <w:t>:</w:t>
      </w:r>
    </w:p>
    <w:p w14:paraId="4282C744" w14:textId="10CC5FF6" w:rsidR="00B074CC" w:rsidRPr="001A1836" w:rsidRDefault="00B074CC">
      <w:pPr>
        <w:pStyle w:val="GSRL6numberedclause"/>
      </w:pPr>
      <w:r w:rsidRPr="001A1836">
        <w:t>transfer the Transferrable Gain Share Funds to the Funds For Distribution; and</w:t>
      </w:r>
    </w:p>
    <w:p w14:paraId="2E235A7D" w14:textId="087917F3" w:rsidR="00B074CC" w:rsidRDefault="00B074CC">
      <w:pPr>
        <w:pStyle w:val="GSRL6numberedclause"/>
      </w:pPr>
      <w:r w:rsidRPr="001A1836">
        <w:t>be entitled to the Agreed Provider Gain Share Funds.</w:t>
      </w:r>
    </w:p>
    <w:p w14:paraId="1354CACB" w14:textId="49D7C645" w:rsidR="005456AA" w:rsidRPr="001A1836" w:rsidRDefault="005456AA" w:rsidP="007B3A2C">
      <w:pPr>
        <w:pStyle w:val="GSRL5numberedclause"/>
      </w:pPr>
      <w:r>
        <w:t>Within six (6) months of the Services Start Date the Provider shall submit its proposal, for HSE’s consideration and agreement, for transferring the Funds for Distribution to an appropriate repository, were it can only be accessed by HSE, in as cost efficient manner as possible</w:t>
      </w:r>
    </w:p>
    <w:p w14:paraId="3F99DA53" w14:textId="3201B35A" w:rsidR="007B3A2C" w:rsidRDefault="007B3A2C" w:rsidP="00BA0779">
      <w:pPr>
        <w:pStyle w:val="GSRL5numberedclause"/>
        <w:numPr>
          <w:ilvl w:val="0"/>
          <w:numId w:val="0"/>
        </w:numPr>
        <w:ind w:left="1582"/>
      </w:pPr>
    </w:p>
    <w:p w14:paraId="281FDCE1" w14:textId="0C089070" w:rsidR="00B074CC" w:rsidRPr="001A1836" w:rsidRDefault="00B074CC" w:rsidP="007B3A2C">
      <w:pPr>
        <w:pStyle w:val="GSRL5numberedclause"/>
        <w:numPr>
          <w:ilvl w:val="0"/>
          <w:numId w:val="0"/>
        </w:numPr>
      </w:pPr>
      <w:r w:rsidRPr="001A1836">
        <w:t xml:space="preserve"> </w:t>
      </w:r>
    </w:p>
    <w:p w14:paraId="69695A49" w14:textId="77777777" w:rsidR="00B074CC" w:rsidRPr="001A1836" w:rsidRDefault="00B074CC" w:rsidP="005E43DB">
      <w:pPr>
        <w:pStyle w:val="GSRL2Sectionheading"/>
      </w:pPr>
      <w:bookmarkStart w:id="1194" w:name="_Toc521319356"/>
      <w:bookmarkStart w:id="1195" w:name="_Toc521327018"/>
      <w:bookmarkStart w:id="1196" w:name="_Toc521333251"/>
      <w:bookmarkStart w:id="1197" w:name="_Toc521496811"/>
      <w:bookmarkStart w:id="1198" w:name="_Toc521498253"/>
      <w:bookmarkStart w:id="1199" w:name="_Toc529345987"/>
      <w:bookmarkStart w:id="1200" w:name="_Toc129038188"/>
      <w:bookmarkStart w:id="1201" w:name="_Toc129038474"/>
      <w:bookmarkStart w:id="1202" w:name="_Toc132268044"/>
      <w:bookmarkStart w:id="1203" w:name="_Toc132268350"/>
      <w:bookmarkStart w:id="1204" w:name="_Toc136198601"/>
      <w:bookmarkStart w:id="1205" w:name="_Toc136198882"/>
      <w:r w:rsidRPr="001A1836">
        <w:t>Open Book Accounting</w:t>
      </w:r>
      <w:bookmarkEnd w:id="1194"/>
      <w:bookmarkEnd w:id="1195"/>
      <w:bookmarkEnd w:id="1196"/>
      <w:bookmarkEnd w:id="1197"/>
      <w:bookmarkEnd w:id="1198"/>
      <w:bookmarkEnd w:id="1199"/>
      <w:bookmarkEnd w:id="1200"/>
      <w:bookmarkEnd w:id="1201"/>
      <w:bookmarkEnd w:id="1202"/>
      <w:bookmarkEnd w:id="1203"/>
      <w:bookmarkEnd w:id="1204"/>
      <w:bookmarkEnd w:id="1205"/>
    </w:p>
    <w:p w14:paraId="09B9855B" w14:textId="77777777" w:rsidR="00B074CC" w:rsidRPr="001A1836" w:rsidRDefault="00B074CC">
      <w:pPr>
        <w:pStyle w:val="GSRL3heading"/>
      </w:pPr>
      <w:bookmarkStart w:id="1206" w:name="_Toc521319357"/>
      <w:bookmarkStart w:id="1207" w:name="_Toc521327019"/>
      <w:bookmarkStart w:id="1208" w:name="_Toc521333252"/>
      <w:bookmarkStart w:id="1209" w:name="_Toc521483995"/>
      <w:bookmarkStart w:id="1210" w:name="_Toc521484758"/>
      <w:bookmarkStart w:id="1211" w:name="_Toc521485089"/>
      <w:bookmarkStart w:id="1212" w:name="_Toc521496812"/>
      <w:bookmarkStart w:id="1213" w:name="_Toc521498254"/>
      <w:bookmarkStart w:id="1214" w:name="_Toc529345988"/>
      <w:bookmarkStart w:id="1215" w:name="_Toc129038189"/>
      <w:bookmarkStart w:id="1216" w:name="_Toc129038475"/>
      <w:bookmarkStart w:id="1217" w:name="_Toc132268045"/>
      <w:bookmarkStart w:id="1218" w:name="_Toc132268351"/>
      <w:bookmarkStart w:id="1219" w:name="_Toc136198602"/>
      <w:bookmarkStart w:id="1220" w:name="_Toc136198883"/>
      <w:r w:rsidRPr="001A1836">
        <w:t>Financial visibility</w:t>
      </w:r>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r w:rsidRPr="001A1836">
        <w:t xml:space="preserve"> </w:t>
      </w:r>
    </w:p>
    <w:p w14:paraId="4B5DABB4" w14:textId="06AC013C" w:rsidR="00F400C9" w:rsidRPr="00DB1413" w:rsidRDefault="00F400C9">
      <w:pPr>
        <w:pStyle w:val="GSRL4numberedclause"/>
        <w:rPr>
          <w:b/>
        </w:rPr>
      </w:pPr>
      <w:r w:rsidRPr="00DB1413">
        <w:rPr>
          <w:b/>
        </w:rPr>
        <w:t xml:space="preserve">Maintenance of </w:t>
      </w:r>
      <w:r w:rsidR="00857417">
        <w:rPr>
          <w:b/>
        </w:rPr>
        <w:t xml:space="preserve">Services </w:t>
      </w:r>
      <w:r w:rsidR="00451BDD" w:rsidRPr="00DB1413">
        <w:rPr>
          <w:b/>
        </w:rPr>
        <w:t>Accounts</w:t>
      </w:r>
    </w:p>
    <w:p w14:paraId="2D3D9793" w14:textId="4CF58E32" w:rsidR="00B074CC" w:rsidRPr="001A1836" w:rsidRDefault="00B074CC">
      <w:pPr>
        <w:pStyle w:val="GSRL5numberedclause"/>
      </w:pPr>
      <w:r w:rsidRPr="001A1836">
        <w:t xml:space="preserve">In order to maintain financial visibility and support the value for money mechanism used in respect of this Agreement, the Provider shall maintain comprehensive accounts </w:t>
      </w:r>
      <w:r w:rsidR="00451BDD">
        <w:t xml:space="preserve">and financial records </w:t>
      </w:r>
      <w:r w:rsidRPr="001A1836">
        <w:t>in respect of its provision of the Services</w:t>
      </w:r>
      <w:r w:rsidR="00451BDD">
        <w:t xml:space="preserve"> (the </w:t>
      </w:r>
      <w:r w:rsidR="00451BDD" w:rsidRPr="00451BDD">
        <w:rPr>
          <w:b/>
        </w:rPr>
        <w:t>"</w:t>
      </w:r>
      <w:r w:rsidR="00451BDD">
        <w:rPr>
          <w:b/>
        </w:rPr>
        <w:t xml:space="preserve">Services </w:t>
      </w:r>
      <w:r w:rsidR="00451BDD" w:rsidRPr="00451BDD">
        <w:rPr>
          <w:b/>
        </w:rPr>
        <w:t>Accounts"</w:t>
      </w:r>
      <w:r w:rsidR="00451BDD">
        <w:t>)</w:t>
      </w:r>
      <w:r w:rsidRPr="001A1836">
        <w:t xml:space="preserve">. </w:t>
      </w:r>
    </w:p>
    <w:p w14:paraId="2EECBFFD" w14:textId="04563799" w:rsidR="00B074CC" w:rsidRPr="001A1836" w:rsidRDefault="00B074CC">
      <w:pPr>
        <w:pStyle w:val="GSRL5numberedclause"/>
      </w:pPr>
      <w:r w:rsidRPr="001A1836">
        <w:t xml:space="preserve">The </w:t>
      </w:r>
      <w:r w:rsidR="00451BDD">
        <w:t>Services A</w:t>
      </w:r>
      <w:r w:rsidRPr="001A1836">
        <w:t xml:space="preserve">ccounts shall: </w:t>
      </w:r>
    </w:p>
    <w:p w14:paraId="4B8E21BB" w14:textId="77777777" w:rsidR="00B074CC" w:rsidRPr="001A1836" w:rsidRDefault="00B074CC">
      <w:pPr>
        <w:pStyle w:val="GSRL6numberedclause"/>
      </w:pPr>
      <w:r w:rsidRPr="001A1836">
        <w:t xml:space="preserve">detail the associated costs and revenue arising from and/or associated with the provision by Provider of the Services; </w:t>
      </w:r>
    </w:p>
    <w:p w14:paraId="44EFAA9E" w14:textId="77777777" w:rsidR="00451BDD" w:rsidRDefault="00B074CC">
      <w:pPr>
        <w:pStyle w:val="GSRL6numberedclause"/>
      </w:pPr>
      <w:r w:rsidRPr="001A1836">
        <w:t xml:space="preserve">be prepared in accordance with UK generally accepted accounting principles / International Financial Reporting Standards; </w:t>
      </w:r>
    </w:p>
    <w:p w14:paraId="26B0CE17" w14:textId="51DB83B4" w:rsidR="00B074CC" w:rsidRPr="001A1836" w:rsidRDefault="00451BDD">
      <w:pPr>
        <w:pStyle w:val="GSRL6numberedclause"/>
      </w:pPr>
      <w:r>
        <w:t xml:space="preserve">incorporate the Open Book Data; </w:t>
      </w:r>
      <w:r w:rsidR="00B074CC" w:rsidRPr="001A1836">
        <w:t xml:space="preserve">and </w:t>
      </w:r>
    </w:p>
    <w:p w14:paraId="67DF02F3" w14:textId="1C38BEFE" w:rsidR="00B074CC" w:rsidRDefault="00B074CC">
      <w:pPr>
        <w:pStyle w:val="GSRL6numberedclause"/>
      </w:pPr>
      <w:r w:rsidRPr="001A1836">
        <w:t xml:space="preserve">be </w:t>
      </w:r>
      <w:r w:rsidR="00F400C9">
        <w:t>independently audited and</w:t>
      </w:r>
      <w:r w:rsidR="00451BDD">
        <w:t xml:space="preserve">, without prejudice to paragraph </w:t>
      </w:r>
      <w:r w:rsidR="00F86BE3">
        <w:t>6</w:t>
      </w:r>
      <w:r w:rsidR="00451BDD">
        <w:t>.2,</w:t>
      </w:r>
      <w:r w:rsidR="00F400C9">
        <w:t xml:space="preserve"> </w:t>
      </w:r>
      <w:r w:rsidRPr="001A1836">
        <w:t xml:space="preserve">made available for review by HSE upon reasonable request from time to time with access to supporting source documentation. </w:t>
      </w:r>
    </w:p>
    <w:p w14:paraId="05C141A4" w14:textId="78DB3AC4" w:rsidR="00F400C9" w:rsidRPr="00DB1413" w:rsidRDefault="00A62D38">
      <w:pPr>
        <w:pStyle w:val="GSRL4numberedclause"/>
        <w:rPr>
          <w:b/>
        </w:rPr>
      </w:pPr>
      <w:r w:rsidRPr="00DB1413">
        <w:rPr>
          <w:b/>
        </w:rPr>
        <w:t xml:space="preserve">Annual </w:t>
      </w:r>
      <w:r w:rsidR="00382F88" w:rsidRPr="00DB1413">
        <w:rPr>
          <w:b/>
        </w:rPr>
        <w:t>Open Book Review</w:t>
      </w:r>
    </w:p>
    <w:p w14:paraId="630F6284" w14:textId="2046E98A" w:rsidR="00E26450" w:rsidRDefault="00451BDD">
      <w:pPr>
        <w:pStyle w:val="GSRL5numberedclause"/>
      </w:pPr>
      <w:r>
        <w:t xml:space="preserve">Without prejudice to HSE's rights under Clause 24 (Audit), within [30 days] of the end of each Contract Year, </w:t>
      </w:r>
      <w:r w:rsidR="00E65EBE">
        <w:t>HSE will conduct (</w:t>
      </w:r>
      <w:r w:rsidR="00AA1B71">
        <w:t>and/</w:t>
      </w:r>
      <w:r w:rsidR="00E65EBE">
        <w:t xml:space="preserve">or </w:t>
      </w:r>
      <w:r w:rsidR="00AA1B71">
        <w:t>will</w:t>
      </w:r>
      <w:r w:rsidR="00E65EBE">
        <w:t>, at HSE's sole discretion, appoint a third party</w:t>
      </w:r>
      <w:r w:rsidR="00E26450">
        <w:t xml:space="preserve"> </w:t>
      </w:r>
      <w:r w:rsidR="00E65EBE">
        <w:t>to</w:t>
      </w:r>
      <w:r w:rsidR="00E26450">
        <w:t xml:space="preserve"> </w:t>
      </w:r>
      <w:r>
        <w:t>conduct</w:t>
      </w:r>
      <w:r w:rsidR="00E65EBE">
        <w:t>)</w:t>
      </w:r>
      <w:r>
        <w:t xml:space="preserve"> a review of the Services Accounts in accordance with this paragraph </w:t>
      </w:r>
      <w:r w:rsidR="004735A4">
        <w:t>6</w:t>
      </w:r>
      <w:r>
        <w:t>.2</w:t>
      </w:r>
      <w:r w:rsidR="00FD4060">
        <w:t xml:space="preserve"> (an </w:t>
      </w:r>
      <w:r w:rsidR="00FD4060" w:rsidRPr="00FD4060">
        <w:rPr>
          <w:b/>
        </w:rPr>
        <w:t>"Annual Open Book Review"</w:t>
      </w:r>
      <w:r w:rsidR="00FD4060">
        <w:t>)</w:t>
      </w:r>
      <w:r>
        <w:t>.</w:t>
      </w:r>
    </w:p>
    <w:p w14:paraId="52B938AB" w14:textId="1F3D223C" w:rsidR="00E26450" w:rsidRDefault="00FD4060">
      <w:pPr>
        <w:pStyle w:val="GSRL5numberedclause"/>
      </w:pPr>
      <w:r>
        <w:t>HSE</w:t>
      </w:r>
      <w:r w:rsidR="00E26450">
        <w:t xml:space="preserve"> shall </w:t>
      </w:r>
      <w:r w:rsidR="00E65EBE">
        <w:t xml:space="preserve">comply </w:t>
      </w:r>
      <w:r w:rsidR="00AA1B71">
        <w:t xml:space="preserve">with </w:t>
      </w:r>
      <w:r w:rsidR="00E65EBE">
        <w:t>(</w:t>
      </w:r>
      <w:r w:rsidR="00AA1B71">
        <w:t>and/</w:t>
      </w:r>
      <w:r w:rsidR="00E65EBE">
        <w:t xml:space="preserve">or shall procure that </w:t>
      </w:r>
      <w:r w:rsidR="00AA1B71">
        <w:t>any</w:t>
      </w:r>
      <w:r w:rsidR="00E65EBE">
        <w:t xml:space="preserve"> appointed third party complies</w:t>
      </w:r>
      <w:r w:rsidR="00AA1B71">
        <w:t xml:space="preserve"> with</w:t>
      </w:r>
      <w:r w:rsidR="00E65EBE">
        <w:t>)</w:t>
      </w:r>
      <w:r w:rsidR="00E26450">
        <w:t xml:space="preserve"> those security, sites, systems and facilities operating procedures of the </w:t>
      </w:r>
      <w:r>
        <w:t>Provider</w:t>
      </w:r>
      <w:r w:rsidR="00E26450">
        <w:t xml:space="preserve"> that </w:t>
      </w:r>
      <w:r>
        <w:t>HSE</w:t>
      </w:r>
      <w:r w:rsidR="00E26450">
        <w:t xml:space="preserve"> deems reasonable and use its </w:t>
      </w:r>
      <w:r w:rsidR="00E26450">
        <w:lastRenderedPageBreak/>
        <w:t xml:space="preserve">reasonable endeavours to ensure that the conduct of each audit does not unreasonably disrupt the </w:t>
      </w:r>
      <w:r>
        <w:t>Provider</w:t>
      </w:r>
      <w:r w:rsidR="00E26450">
        <w:t xml:space="preserve"> or delay the provision of the Services.</w:t>
      </w:r>
    </w:p>
    <w:p w14:paraId="26BFE7FE" w14:textId="565EE4A4" w:rsidR="00E26450" w:rsidRDefault="00E26450">
      <w:pPr>
        <w:pStyle w:val="GSRL5numberedclause"/>
      </w:pPr>
      <w:r>
        <w:t xml:space="preserve">Subject to </w:t>
      </w:r>
      <w:r w:rsidR="00FD4060">
        <w:t>HSE's</w:t>
      </w:r>
      <w:r>
        <w:t xml:space="preserve"> obligations of confidentiality</w:t>
      </w:r>
      <w:r w:rsidR="00FD4060">
        <w:t xml:space="preserve"> under this Agreement</w:t>
      </w:r>
      <w:r>
        <w:t xml:space="preserve">, the </w:t>
      </w:r>
      <w:r w:rsidR="00FD4060">
        <w:t>Provider</w:t>
      </w:r>
      <w:r>
        <w:t xml:space="preserve"> shall on demand provide </w:t>
      </w:r>
      <w:r w:rsidR="00FD4060">
        <w:t xml:space="preserve">HSE </w:t>
      </w:r>
      <w:r w:rsidR="00E65EBE">
        <w:t xml:space="preserve">(and/or the appointed third party) </w:t>
      </w:r>
      <w:r>
        <w:t xml:space="preserve">with all reasonable </w:t>
      </w:r>
      <w:r w:rsidR="00DB1413">
        <w:t xml:space="preserve">information, </w:t>
      </w:r>
      <w:r>
        <w:t xml:space="preserve">co-operation and assistance (and shall procure such </w:t>
      </w:r>
      <w:r w:rsidR="00DB1413">
        <w:t xml:space="preserve">information, </w:t>
      </w:r>
      <w:r>
        <w:t>co-operati</w:t>
      </w:r>
      <w:r w:rsidR="00FD4060">
        <w:t>on and assistance from its Sub-C</w:t>
      </w:r>
      <w:r>
        <w:t xml:space="preserve">ontractors) in relation to each </w:t>
      </w:r>
      <w:r w:rsidR="00FD4060">
        <w:t>Annual Open Book Review</w:t>
      </w:r>
      <w:r>
        <w:t>, including:</w:t>
      </w:r>
    </w:p>
    <w:p w14:paraId="43BB429A" w14:textId="17233396" w:rsidR="00DB1413" w:rsidRDefault="00DB1413">
      <w:pPr>
        <w:pStyle w:val="GSRL6numberedclause"/>
      </w:pPr>
      <w:r>
        <w:t>the Services Accounts and all other information, accounts and supporting evidence requested by HSE in connection with the Services;</w:t>
      </w:r>
    </w:p>
    <w:p w14:paraId="79DAA0E0" w14:textId="1EAB9BAD" w:rsidR="00E26450" w:rsidRDefault="00E26450">
      <w:pPr>
        <w:pStyle w:val="GSRL6numberedclause"/>
      </w:pPr>
      <w:r>
        <w:t xml:space="preserve">reasonable access to any Sites and to any </w:t>
      </w:r>
      <w:r w:rsidR="00D878A6">
        <w:t>Service Access</w:t>
      </w:r>
      <w:r>
        <w:t xml:space="preserve"> used (whether exclusively or non-exclusively) in the performance of the Services; </w:t>
      </w:r>
      <w:r w:rsidR="00D878A6">
        <w:t>and</w:t>
      </w:r>
    </w:p>
    <w:p w14:paraId="56E0092B" w14:textId="7400F135" w:rsidR="00E26450" w:rsidRDefault="00D878A6">
      <w:pPr>
        <w:pStyle w:val="GSRL6numberedclause"/>
      </w:pPr>
      <w:r>
        <w:t xml:space="preserve">reasonable </w:t>
      </w:r>
      <w:r w:rsidR="00E26450">
        <w:t xml:space="preserve">access to </w:t>
      </w:r>
      <w:r w:rsidR="00FD4060">
        <w:t>Provider</w:t>
      </w:r>
      <w:r w:rsidR="00E26450">
        <w:t xml:space="preserve"> Personnel.</w:t>
      </w:r>
    </w:p>
    <w:p w14:paraId="0231B411" w14:textId="5D69B0DC" w:rsidR="00B30D53" w:rsidRDefault="00B30D53">
      <w:pPr>
        <w:pStyle w:val="GSRL5numberedclause"/>
      </w:pPr>
      <w:r>
        <w:t xml:space="preserve">The Services Accounts (and all other information, accounts and supporting evidence) provided or made available by the </w:t>
      </w:r>
      <w:r w:rsidR="00B35787">
        <w:t>Provider pursuant to paragraph 6</w:t>
      </w:r>
      <w:r>
        <w:t>.2.3 shall be certified by the Provider's Chief Financial Officer or Director of Finance (or equivalent as agreed in writing by HSE), acting with express authority, as:</w:t>
      </w:r>
    </w:p>
    <w:p w14:paraId="47D59797" w14:textId="77777777" w:rsidR="00B30D53" w:rsidRDefault="00B30D53">
      <w:pPr>
        <w:pStyle w:val="GSRL6numberedclause"/>
      </w:pPr>
      <w:r>
        <w:t xml:space="preserve">being accurate and not misleading; </w:t>
      </w:r>
    </w:p>
    <w:p w14:paraId="68254429" w14:textId="4745F3A6" w:rsidR="00B30D53" w:rsidRDefault="00B30D53">
      <w:pPr>
        <w:pStyle w:val="GSRL6numberedclause"/>
      </w:pPr>
      <w:r>
        <w:t>having been prepared in conformity with generally accepted accounting principles within the United Kingdom; and</w:t>
      </w:r>
    </w:p>
    <w:p w14:paraId="78B4D499" w14:textId="510A9AFA" w:rsidR="00B30D53" w:rsidRDefault="00B30D53">
      <w:pPr>
        <w:pStyle w:val="GSRL6numberedclause"/>
      </w:pPr>
      <w:r>
        <w:t>being a true and fair reflection of the information included within the Provider's management and statutory accounts.</w:t>
      </w:r>
    </w:p>
    <w:p w14:paraId="7A8EC477" w14:textId="6620E493" w:rsidR="00E26450" w:rsidRDefault="00E861FE">
      <w:pPr>
        <w:pStyle w:val="GSRL5numberedclause"/>
      </w:pPr>
      <w:r>
        <w:t xml:space="preserve">If an Annual Open Book Review identifies that </w:t>
      </w:r>
      <w:r w:rsidR="00E26450">
        <w:t xml:space="preserve">the </w:t>
      </w:r>
      <w:r w:rsidR="001C5CC8">
        <w:t>Provider</w:t>
      </w:r>
      <w:r w:rsidR="00E26450">
        <w:t xml:space="preserve"> has committed a Default, </w:t>
      </w:r>
      <w:r w:rsidR="001C5CC8">
        <w:t>HSE</w:t>
      </w:r>
      <w:r w:rsidR="00E26450">
        <w:t xml:space="preserve"> may (without prejudice to any rights and remedies </w:t>
      </w:r>
      <w:r w:rsidR="001C5CC8">
        <w:t>HSE</w:t>
      </w:r>
      <w:r w:rsidR="00E26450">
        <w:t xml:space="preserve"> may have) require the </w:t>
      </w:r>
      <w:r w:rsidR="001C5CC8">
        <w:t>Provider</w:t>
      </w:r>
      <w:r w:rsidR="00E26450">
        <w:t xml:space="preserve"> to correct such Default </w:t>
      </w:r>
      <w:r w:rsidR="00B30D53">
        <w:t>in accordance with Clause 40.1.1 (Remedies)</w:t>
      </w:r>
      <w:r w:rsidR="007B3A2C">
        <w:t>.</w:t>
      </w:r>
    </w:p>
    <w:p w14:paraId="46309BE4" w14:textId="44EE1F7B" w:rsidR="00AA1B71" w:rsidRDefault="00AA1B71">
      <w:pPr>
        <w:pStyle w:val="GSRL5numberedclause"/>
      </w:pPr>
      <w:r>
        <w:t>The costs of each Annual Open Book Review will borne by the Provider, and the Provider will reimburse HSE for HSE's reasonable costs and expenses incurred in connection with any Annual Open Book Review within thirty days of HSE's demand.</w:t>
      </w:r>
    </w:p>
    <w:p w14:paraId="7180FFC3" w14:textId="77777777" w:rsidR="00B074CC" w:rsidRPr="001A1836" w:rsidRDefault="00B074CC" w:rsidP="005E43DB">
      <w:pPr>
        <w:pStyle w:val="GSRL2Sectionheading"/>
      </w:pPr>
      <w:bookmarkStart w:id="1221" w:name="_Toc521319358"/>
      <w:bookmarkStart w:id="1222" w:name="_Toc521327020"/>
      <w:bookmarkStart w:id="1223" w:name="_Toc521333253"/>
      <w:bookmarkStart w:id="1224" w:name="_Toc521496813"/>
      <w:bookmarkStart w:id="1225" w:name="_Toc521498255"/>
      <w:bookmarkStart w:id="1226" w:name="_Toc529345989"/>
      <w:bookmarkStart w:id="1227" w:name="_Toc129038190"/>
      <w:bookmarkStart w:id="1228" w:name="_Toc129038476"/>
      <w:bookmarkStart w:id="1229" w:name="_Toc132268046"/>
      <w:bookmarkStart w:id="1230" w:name="_Toc132268352"/>
      <w:bookmarkStart w:id="1231" w:name="_Toc136198603"/>
      <w:bookmarkStart w:id="1232" w:name="_Toc136198884"/>
      <w:r w:rsidRPr="001A1836">
        <w:t>Benchmarking</w:t>
      </w:r>
      <w:bookmarkEnd w:id="1221"/>
      <w:bookmarkEnd w:id="1222"/>
      <w:bookmarkEnd w:id="1223"/>
      <w:bookmarkEnd w:id="1224"/>
      <w:bookmarkEnd w:id="1225"/>
      <w:bookmarkEnd w:id="1226"/>
      <w:bookmarkEnd w:id="1227"/>
      <w:bookmarkEnd w:id="1228"/>
      <w:bookmarkEnd w:id="1229"/>
      <w:bookmarkEnd w:id="1230"/>
      <w:bookmarkEnd w:id="1231"/>
      <w:bookmarkEnd w:id="1232"/>
    </w:p>
    <w:p w14:paraId="7CE0D3B9" w14:textId="77777777" w:rsidR="00B074CC" w:rsidRPr="001A1836" w:rsidRDefault="00B074CC">
      <w:pPr>
        <w:pStyle w:val="GSRL3heading"/>
      </w:pPr>
      <w:bookmarkStart w:id="1233" w:name="_Toc521319359"/>
      <w:bookmarkStart w:id="1234" w:name="_Toc521327021"/>
      <w:bookmarkStart w:id="1235" w:name="_Toc521333254"/>
      <w:bookmarkStart w:id="1236" w:name="_Toc521483996"/>
      <w:bookmarkStart w:id="1237" w:name="_Toc521484759"/>
      <w:bookmarkStart w:id="1238" w:name="_Toc521485090"/>
      <w:bookmarkStart w:id="1239" w:name="_Toc521496814"/>
      <w:bookmarkStart w:id="1240" w:name="_Toc521498256"/>
      <w:bookmarkStart w:id="1241" w:name="_Toc529345990"/>
      <w:bookmarkStart w:id="1242" w:name="_Toc129038191"/>
      <w:bookmarkStart w:id="1243" w:name="_Toc129038477"/>
      <w:bookmarkStart w:id="1244" w:name="_Toc132268047"/>
      <w:bookmarkStart w:id="1245" w:name="_Toc132268353"/>
      <w:bookmarkStart w:id="1246" w:name="_Toc136198604"/>
      <w:bookmarkStart w:id="1247" w:name="_Toc136198885"/>
      <w:r w:rsidRPr="001A1836">
        <w:t>Benchmark Review</w:t>
      </w:r>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r w:rsidRPr="001A1836">
        <w:t xml:space="preserve"> </w:t>
      </w:r>
    </w:p>
    <w:p w14:paraId="58275206" w14:textId="3F540E73" w:rsidR="00B074CC" w:rsidRPr="001A1836" w:rsidRDefault="00B074CC">
      <w:pPr>
        <w:pStyle w:val="GSRL4numberedclause"/>
      </w:pPr>
      <w:r w:rsidRPr="001A1836">
        <w:t xml:space="preserve">HSE may, </w:t>
      </w:r>
      <w:r w:rsidR="0007322F">
        <w:t xml:space="preserve">at any time and </w:t>
      </w:r>
      <w:r w:rsidRPr="001A1836">
        <w:t>by written notice to the Provider (</w:t>
      </w:r>
      <w:r w:rsidR="0007322F">
        <w:t>but</w:t>
      </w:r>
      <w:r w:rsidR="0007322F" w:rsidRPr="001A1836">
        <w:t xml:space="preserve"> </w:t>
      </w:r>
      <w:r w:rsidR="000D32DF">
        <w:t>no more than</w:t>
      </w:r>
      <w:r w:rsidR="000D32DF" w:rsidRPr="001A1836">
        <w:t xml:space="preserve"> </w:t>
      </w:r>
      <w:r w:rsidRPr="001A1836">
        <w:t xml:space="preserve">twice during the Term) require, in </w:t>
      </w:r>
      <w:r w:rsidR="00731B08">
        <w:t>accordance with this paragraph 7</w:t>
      </w:r>
      <w:r w:rsidRPr="001A1836">
        <w:t xml:space="preserve">, a Benchmark Review of the Services and/or the Intra-group Services. </w:t>
      </w:r>
    </w:p>
    <w:p w14:paraId="778286B8" w14:textId="77777777" w:rsidR="00B074CC" w:rsidRPr="001A1836" w:rsidRDefault="00B074CC">
      <w:pPr>
        <w:pStyle w:val="GSRL4numberedclause"/>
      </w:pPr>
      <w:r w:rsidRPr="001A1836">
        <w:t xml:space="preserve">HSE shall not require a Benchmark Review during the 18 month period from the Effective Date.  </w:t>
      </w:r>
    </w:p>
    <w:p w14:paraId="6577392D" w14:textId="724C0C34" w:rsidR="00B074CC" w:rsidRPr="001A1836" w:rsidRDefault="00B074CC" w:rsidP="0007322F">
      <w:pPr>
        <w:pStyle w:val="GSRL4numberedclause"/>
        <w:numPr>
          <w:ilvl w:val="0"/>
          <w:numId w:val="0"/>
        </w:numPr>
        <w:ind w:left="720"/>
      </w:pPr>
    </w:p>
    <w:p w14:paraId="29D968C3" w14:textId="77777777" w:rsidR="00B074CC" w:rsidRPr="001A1836" w:rsidRDefault="00B074CC">
      <w:pPr>
        <w:pStyle w:val="GSRL3heading"/>
      </w:pPr>
      <w:bookmarkStart w:id="1248" w:name="_Toc521319360"/>
      <w:bookmarkStart w:id="1249" w:name="_Toc521327022"/>
      <w:bookmarkStart w:id="1250" w:name="_Toc521333255"/>
      <w:bookmarkStart w:id="1251" w:name="_Toc521483997"/>
      <w:bookmarkStart w:id="1252" w:name="_Toc521484760"/>
      <w:bookmarkStart w:id="1253" w:name="_Toc521485091"/>
      <w:bookmarkStart w:id="1254" w:name="_Toc521496815"/>
      <w:bookmarkStart w:id="1255" w:name="_Toc521498257"/>
      <w:bookmarkStart w:id="1256" w:name="_Toc529345991"/>
      <w:bookmarkStart w:id="1257" w:name="_Toc129038192"/>
      <w:bookmarkStart w:id="1258" w:name="_Toc129038478"/>
      <w:bookmarkStart w:id="1259" w:name="_Toc132268048"/>
      <w:bookmarkStart w:id="1260" w:name="_Toc132268354"/>
      <w:bookmarkStart w:id="1261" w:name="_Toc136198605"/>
      <w:bookmarkStart w:id="1262" w:name="_Toc136198886"/>
      <w:r w:rsidRPr="001A1836">
        <w:t>Purpose and Scope of Benchmark Review</w:t>
      </w:r>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r w:rsidRPr="001A1836">
        <w:t xml:space="preserve"> </w:t>
      </w:r>
    </w:p>
    <w:p w14:paraId="1494CC85" w14:textId="77777777" w:rsidR="00B074CC" w:rsidRPr="001A1836" w:rsidRDefault="00B074CC">
      <w:pPr>
        <w:pStyle w:val="GSRL4numberedclause"/>
      </w:pPr>
      <w:r w:rsidRPr="001A1836">
        <w:lastRenderedPageBreak/>
        <w:t xml:space="preserve">The purpose of a Benchmark Review will be to establish whether the Benchmarked Services as a whole are Good Value. </w:t>
      </w:r>
    </w:p>
    <w:p w14:paraId="2B76CF54" w14:textId="107136EF" w:rsidR="00B074CC" w:rsidRPr="001A1836" w:rsidRDefault="00B074CC">
      <w:pPr>
        <w:pStyle w:val="GSRL4numberedclause"/>
      </w:pPr>
      <w:r w:rsidRPr="001A1836">
        <w:t xml:space="preserve">The Services and/or Intra-group Services that are to be the Benchmarked Services will be identified by HSE in the written notice given under paragraph </w:t>
      </w:r>
      <w:r w:rsidR="002B3F67">
        <w:t>7</w:t>
      </w:r>
      <w:r w:rsidRPr="001A1836">
        <w:t xml:space="preserve">.1. </w:t>
      </w:r>
    </w:p>
    <w:p w14:paraId="07FC8829" w14:textId="77777777" w:rsidR="00B074CC" w:rsidRPr="001A1836" w:rsidRDefault="00B074CC">
      <w:pPr>
        <w:pStyle w:val="GSRL3heading"/>
      </w:pPr>
      <w:bookmarkStart w:id="1263" w:name="_Toc521319361"/>
      <w:bookmarkStart w:id="1264" w:name="_Toc521327023"/>
      <w:bookmarkStart w:id="1265" w:name="_Toc521333256"/>
      <w:bookmarkStart w:id="1266" w:name="_Toc521483998"/>
      <w:bookmarkStart w:id="1267" w:name="_Toc521484761"/>
      <w:bookmarkStart w:id="1268" w:name="_Toc521485092"/>
      <w:bookmarkStart w:id="1269" w:name="_Toc521496816"/>
      <w:bookmarkStart w:id="1270" w:name="_Toc521498258"/>
      <w:bookmarkStart w:id="1271" w:name="_Toc529345992"/>
      <w:bookmarkStart w:id="1272" w:name="_Toc129038193"/>
      <w:bookmarkStart w:id="1273" w:name="_Toc129038479"/>
      <w:bookmarkStart w:id="1274" w:name="_Toc132268049"/>
      <w:bookmarkStart w:id="1275" w:name="_Toc132268355"/>
      <w:bookmarkStart w:id="1276" w:name="_Toc136198606"/>
      <w:bookmarkStart w:id="1277" w:name="_Toc136198887"/>
      <w:r w:rsidRPr="001A1836">
        <w:t>Appointment of Benchmarker</w:t>
      </w:r>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r w:rsidRPr="001A1836">
        <w:t xml:space="preserve"> </w:t>
      </w:r>
    </w:p>
    <w:p w14:paraId="7E003AAC" w14:textId="592DB7F5" w:rsidR="00B074CC" w:rsidRPr="001A1836" w:rsidRDefault="00B074CC">
      <w:pPr>
        <w:pStyle w:val="GSRL4numberedclause"/>
      </w:pPr>
      <w:r w:rsidRPr="001A1836">
        <w:t xml:space="preserve">The Parties shall, acting reasonably and within </w:t>
      </w:r>
      <w:r w:rsidR="00DD1E9F" w:rsidRPr="001A1836">
        <w:t>ten (</w:t>
      </w:r>
      <w:r w:rsidRPr="001A1836">
        <w:t>10</w:t>
      </w:r>
      <w:r w:rsidR="00DD1E9F" w:rsidRPr="001A1836">
        <w:t>)</w:t>
      </w:r>
      <w:r w:rsidRPr="001A1836">
        <w:t xml:space="preserve"> Working Days of the notice given under paragraph </w:t>
      </w:r>
      <w:r w:rsidR="002B3F67">
        <w:t>7</w:t>
      </w:r>
      <w:r w:rsidRPr="001A1836">
        <w:t xml:space="preserve">.1, appoint the Benchmarker to carry out the Benchmark Review. In the absence of agreement within </w:t>
      </w:r>
      <w:r w:rsidR="00DD1E9F" w:rsidRPr="001A1836">
        <w:t>ten (</w:t>
      </w:r>
      <w:r w:rsidRPr="001A1836">
        <w:t>10</w:t>
      </w:r>
      <w:r w:rsidR="00DD1E9F" w:rsidRPr="001A1836">
        <w:t>)</w:t>
      </w:r>
      <w:r w:rsidRPr="001A1836">
        <w:t xml:space="preserve"> Working Days, either party may require the appointment of an Expert in accordance with the provisions of Clause 28 (Dispute Resolution) who shall appoint the Benchmarker. </w:t>
      </w:r>
    </w:p>
    <w:p w14:paraId="69D7D803" w14:textId="77777777" w:rsidR="00B074CC" w:rsidRPr="001A1836" w:rsidRDefault="00B074CC">
      <w:pPr>
        <w:pStyle w:val="GSRL4numberedclause"/>
      </w:pPr>
      <w:r w:rsidRPr="001A1836">
        <w:t xml:space="preserve">HSE will, at the written request of Provider, require the Benchmarker to enter into an appropriate confidentiality undertaking with Provider. </w:t>
      </w:r>
    </w:p>
    <w:p w14:paraId="1886CAED" w14:textId="77777777" w:rsidR="00B074CC" w:rsidRPr="001A1836" w:rsidRDefault="00B074CC">
      <w:pPr>
        <w:pStyle w:val="GSRL4numberedclause"/>
      </w:pPr>
      <w:r w:rsidRPr="001A1836">
        <w:t xml:space="preserve">The costs and expenses of the Benchmarker shall be borne by Provider. </w:t>
      </w:r>
    </w:p>
    <w:p w14:paraId="0623A5CA" w14:textId="77777777" w:rsidR="00B074CC" w:rsidRPr="001A1836" w:rsidRDefault="00B074CC">
      <w:pPr>
        <w:pStyle w:val="GSRL3heading"/>
      </w:pPr>
      <w:bookmarkStart w:id="1278" w:name="_Toc521319362"/>
      <w:bookmarkStart w:id="1279" w:name="_Toc521327024"/>
      <w:bookmarkStart w:id="1280" w:name="_Toc521333257"/>
      <w:bookmarkStart w:id="1281" w:name="_Toc521483999"/>
      <w:bookmarkStart w:id="1282" w:name="_Toc521484762"/>
      <w:bookmarkStart w:id="1283" w:name="_Toc521485093"/>
      <w:bookmarkStart w:id="1284" w:name="_Toc521496817"/>
      <w:bookmarkStart w:id="1285" w:name="_Toc521498259"/>
      <w:bookmarkStart w:id="1286" w:name="_Toc529345993"/>
      <w:bookmarkStart w:id="1287" w:name="_Toc129038194"/>
      <w:bookmarkStart w:id="1288" w:name="_Toc129038480"/>
      <w:bookmarkStart w:id="1289" w:name="_Toc132268050"/>
      <w:bookmarkStart w:id="1290" w:name="_Toc132268356"/>
      <w:bookmarkStart w:id="1291" w:name="_Toc136198607"/>
      <w:bookmarkStart w:id="1292" w:name="_Toc136198888"/>
      <w:r w:rsidRPr="001A1836">
        <w:t>Benchmarking Process</w:t>
      </w:r>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r w:rsidRPr="001A1836">
        <w:t xml:space="preserve"> </w:t>
      </w:r>
    </w:p>
    <w:p w14:paraId="209BF8FF" w14:textId="3C793705" w:rsidR="00B074CC" w:rsidRPr="001A1836" w:rsidRDefault="00B074CC">
      <w:pPr>
        <w:pStyle w:val="GSRL4numberedclause"/>
      </w:pPr>
      <w:r w:rsidRPr="001A1836">
        <w:t xml:space="preserve">HSE shall require the Benchmarker to produce, and to send to each party for approval, a draft plan for the Benchmark Review within </w:t>
      </w:r>
      <w:r w:rsidR="00DD1E9F" w:rsidRPr="001A1836">
        <w:t>ten (</w:t>
      </w:r>
      <w:r w:rsidRPr="001A1836">
        <w:t>10</w:t>
      </w:r>
      <w:r w:rsidR="00DD1E9F" w:rsidRPr="001A1836">
        <w:t>)</w:t>
      </w:r>
      <w:r w:rsidRPr="001A1836">
        <w:t xml:space="preserve"> Working Days after the date of the appointment of the Benchmarker, or such longer period as the Benchmarker shall reasonably request in all the circumstances. The plan must include: </w:t>
      </w:r>
    </w:p>
    <w:p w14:paraId="1AAC1479" w14:textId="77777777" w:rsidR="00B074CC" w:rsidRPr="001A1836" w:rsidRDefault="00B074CC">
      <w:pPr>
        <w:pStyle w:val="GSRL5numberedclause"/>
      </w:pPr>
      <w:r w:rsidRPr="001A1836">
        <w:t xml:space="preserve">a proposed timetable for the Benchmark Review; </w:t>
      </w:r>
    </w:p>
    <w:p w14:paraId="569A2485" w14:textId="77777777" w:rsidR="00B074CC" w:rsidRPr="001A1836" w:rsidRDefault="00B074CC">
      <w:pPr>
        <w:pStyle w:val="GSRL5numberedclause"/>
      </w:pPr>
      <w:r w:rsidRPr="001A1836">
        <w:t xml:space="preserve">a description of the information that the Benchmarker requires each party to provide; </w:t>
      </w:r>
    </w:p>
    <w:p w14:paraId="7277F5DA" w14:textId="77777777" w:rsidR="00B074CC" w:rsidRPr="001A1836" w:rsidRDefault="00B074CC">
      <w:pPr>
        <w:pStyle w:val="GSRL5numberedclause"/>
      </w:pPr>
      <w:r w:rsidRPr="001A1836">
        <w:t xml:space="preserve">a description of the benchmarking methodology to be used; and </w:t>
      </w:r>
    </w:p>
    <w:p w14:paraId="7F1FAFD7" w14:textId="77777777" w:rsidR="00B074CC" w:rsidRPr="001A1836" w:rsidRDefault="00B074CC">
      <w:pPr>
        <w:pStyle w:val="GSRL5numberedclause"/>
      </w:pPr>
      <w:r w:rsidRPr="001A1836">
        <w:t xml:space="preserve">details of any entities which the Benchmarker proposes to include within the Comparison Group based on the Benchmarker’s professional judgement taking into consideration: </w:t>
      </w:r>
    </w:p>
    <w:p w14:paraId="7DA9D0D9" w14:textId="77777777" w:rsidR="00B074CC" w:rsidRPr="001A1836" w:rsidRDefault="00B074CC">
      <w:pPr>
        <w:pStyle w:val="GSRL6numberedclause"/>
      </w:pPr>
      <w:r w:rsidRPr="001A1836">
        <w:t xml:space="preserve">information from other service providers to HSE; </w:t>
      </w:r>
    </w:p>
    <w:p w14:paraId="76BE1DDF" w14:textId="77777777" w:rsidR="00B074CC" w:rsidRPr="001A1836" w:rsidRDefault="00B074CC">
      <w:pPr>
        <w:pStyle w:val="GSRL6numberedclause"/>
      </w:pPr>
      <w:r w:rsidRPr="001A1836">
        <w:t xml:space="preserve">survey information; </w:t>
      </w:r>
    </w:p>
    <w:p w14:paraId="768CFCC1" w14:textId="77777777" w:rsidR="00B074CC" w:rsidRPr="001A1836" w:rsidRDefault="00B074CC">
      <w:pPr>
        <w:pStyle w:val="GSRL6numberedclause"/>
      </w:pPr>
      <w:r w:rsidRPr="001A1836">
        <w:t xml:space="preserve">market intelligence; </w:t>
      </w:r>
    </w:p>
    <w:p w14:paraId="19C964FD" w14:textId="77777777" w:rsidR="00B074CC" w:rsidRPr="001A1836" w:rsidRDefault="00B074CC">
      <w:pPr>
        <w:pStyle w:val="GSRL6numberedclause"/>
      </w:pPr>
      <w:r w:rsidRPr="001A1836">
        <w:t xml:space="preserve">the Benchmarker's own data and experience; </w:t>
      </w:r>
    </w:p>
    <w:p w14:paraId="5E33EE89" w14:textId="77777777" w:rsidR="00B074CC" w:rsidRPr="001A1836" w:rsidRDefault="00B074CC">
      <w:pPr>
        <w:pStyle w:val="GSRL6numberedclause"/>
      </w:pPr>
      <w:r w:rsidRPr="001A1836">
        <w:t xml:space="preserve">relevant published information; and </w:t>
      </w:r>
    </w:p>
    <w:p w14:paraId="0952F98E" w14:textId="2341967D" w:rsidR="00B074CC" w:rsidRPr="001A1836" w:rsidRDefault="00B074CC">
      <w:pPr>
        <w:pStyle w:val="GSRL6numberedclause"/>
      </w:pPr>
      <w:r w:rsidRPr="001A1836">
        <w:t xml:space="preserve">information from consultancies and/or other vendors or purchasers of Comparable Services. </w:t>
      </w:r>
    </w:p>
    <w:p w14:paraId="4F3C72C2" w14:textId="7A6A0A1B" w:rsidR="00B074CC" w:rsidRPr="001A1836" w:rsidRDefault="00B074CC">
      <w:pPr>
        <w:pStyle w:val="GSRL4numberedclause"/>
      </w:pPr>
      <w:r w:rsidRPr="001A1836">
        <w:t xml:space="preserve">Each </w:t>
      </w:r>
      <w:r w:rsidR="00A77559">
        <w:t>P</w:t>
      </w:r>
      <w:r w:rsidRPr="001A1836">
        <w:t xml:space="preserve">arty must give notice in writing to the Benchmarker and to the other </w:t>
      </w:r>
      <w:r w:rsidR="00A77559">
        <w:t>P</w:t>
      </w:r>
      <w:r w:rsidRPr="001A1836">
        <w:t xml:space="preserve">arty within </w:t>
      </w:r>
      <w:r w:rsidR="00DD1E9F" w:rsidRPr="001A1836">
        <w:t>ten (</w:t>
      </w:r>
      <w:r w:rsidRPr="001A1836">
        <w:t>10</w:t>
      </w:r>
      <w:r w:rsidR="00DD1E9F" w:rsidRPr="001A1836">
        <w:t>)</w:t>
      </w:r>
      <w:r w:rsidRPr="001A1836">
        <w:t xml:space="preserve"> Working Days after receiving the draft plan, advising whether it approves the draft plan, or, if it does not approve the draft plan, suggesting amendments to that plan. Neither </w:t>
      </w:r>
      <w:r w:rsidR="00A77559">
        <w:t>P</w:t>
      </w:r>
      <w:r w:rsidRPr="001A1836">
        <w:t xml:space="preserve">arty may unreasonably withhold or delay its approval of the draft plan, and any suggested amendments must be reasonable. </w:t>
      </w:r>
    </w:p>
    <w:p w14:paraId="5D0B62D4" w14:textId="7F3A7CCB" w:rsidR="00B074CC" w:rsidRPr="001A1836" w:rsidRDefault="00B074CC">
      <w:pPr>
        <w:pStyle w:val="GSRL4numberedclause"/>
      </w:pPr>
      <w:r w:rsidRPr="001A1836">
        <w:t xml:space="preserve">Where a </w:t>
      </w:r>
      <w:r w:rsidR="00A77559">
        <w:t>P</w:t>
      </w:r>
      <w:r w:rsidRPr="001A1836">
        <w:t xml:space="preserve">arty suggests amendments to the draft plan under paragraph </w:t>
      </w:r>
      <w:r w:rsidR="002B3F67">
        <w:t>10</w:t>
      </w:r>
      <w:r w:rsidRPr="001A1836">
        <w:t xml:space="preserve">.2, the Benchmarker must produce an amended draft plan. Paragraph </w:t>
      </w:r>
      <w:r w:rsidR="002B3F67">
        <w:t>10</w:t>
      </w:r>
      <w:r w:rsidRPr="001A1836">
        <w:t xml:space="preserve">.2 shall apply to any amended draft plan. </w:t>
      </w:r>
    </w:p>
    <w:p w14:paraId="18DB3D81" w14:textId="5770D99F" w:rsidR="00B074CC" w:rsidRPr="001A1836" w:rsidRDefault="00B074CC">
      <w:pPr>
        <w:pStyle w:val="GSRL4numberedclause"/>
      </w:pPr>
      <w:r w:rsidRPr="001A1836">
        <w:lastRenderedPageBreak/>
        <w:t xml:space="preserve">Failure by a </w:t>
      </w:r>
      <w:r w:rsidR="00A77559">
        <w:t>P</w:t>
      </w:r>
      <w:r w:rsidRPr="001A1836">
        <w:t xml:space="preserve">arty to give notice under paragraph </w:t>
      </w:r>
      <w:r w:rsidR="002B3F67">
        <w:t>10</w:t>
      </w:r>
      <w:r w:rsidRPr="001A1836">
        <w:t xml:space="preserve">.2 will be treated as approval of the draft plan by that party. </w:t>
      </w:r>
    </w:p>
    <w:p w14:paraId="2DD33337" w14:textId="4EE308C9" w:rsidR="00B074CC" w:rsidRPr="001A1836" w:rsidRDefault="00B074CC">
      <w:pPr>
        <w:pStyle w:val="GSRL4numberedclause"/>
      </w:pPr>
      <w:r w:rsidRPr="001A1836">
        <w:t xml:space="preserve">Once the plan is approved by both </w:t>
      </w:r>
      <w:r w:rsidR="00A77559">
        <w:t>P</w:t>
      </w:r>
      <w:r w:rsidRPr="001A1836">
        <w:t xml:space="preserve">arties, the Benchmarker will carry out the Benchmark Review in accordance with the plan. Each </w:t>
      </w:r>
      <w:r w:rsidR="00A77559">
        <w:t>P</w:t>
      </w:r>
      <w:r w:rsidRPr="001A1836">
        <w:t xml:space="preserve">arty shall procure that all the information described in the plan, together with any additional information reasonably required by the Benchmarker, including information held by members of the Provider's Group, is provided to the Benchmarker without undue delay. </w:t>
      </w:r>
    </w:p>
    <w:p w14:paraId="1A60850C" w14:textId="76D4D7A4" w:rsidR="00B074CC" w:rsidRPr="001A1836" w:rsidRDefault="00B074CC">
      <w:pPr>
        <w:pStyle w:val="GSRL4numberedclause"/>
      </w:pPr>
      <w:r w:rsidRPr="001A1836">
        <w:t xml:space="preserve">Each </w:t>
      </w:r>
      <w:r w:rsidR="00A77559">
        <w:t>P</w:t>
      </w:r>
      <w:r w:rsidRPr="001A1836">
        <w:t xml:space="preserve">arty shall co-operate fully with the Benchmarker, including by providing access to records, technical documentation, premises, equipment, systems and personnel at times reasonably requested by the Benchmarker, provided that the Benchmarker shall be instructed to minimise any disruption to the Services. </w:t>
      </w:r>
    </w:p>
    <w:p w14:paraId="03DCDC74" w14:textId="5E619980" w:rsidR="00B074CC" w:rsidRPr="001A1836" w:rsidRDefault="00B074CC">
      <w:pPr>
        <w:pStyle w:val="GSRL4numberedclause"/>
      </w:pPr>
      <w:r w:rsidRPr="001A1836">
        <w:t xml:space="preserve">Either </w:t>
      </w:r>
      <w:r w:rsidR="00A77559">
        <w:t>P</w:t>
      </w:r>
      <w:r w:rsidRPr="001A1836">
        <w:t>arty may provide additional material to the Benchmarker to assist the Benchmarker in conducting the Benchmark Review.</w:t>
      </w:r>
    </w:p>
    <w:p w14:paraId="4B01FF5E" w14:textId="77777777" w:rsidR="00B074CC" w:rsidRPr="001A1836" w:rsidRDefault="00B074CC">
      <w:pPr>
        <w:pStyle w:val="GSRL4numberedclause"/>
      </w:pPr>
      <w:r w:rsidRPr="001A1836">
        <w:t xml:space="preserve">Once it has received the information it requires, the Benchmarker shall collect data relating to Comparable Services by: </w:t>
      </w:r>
    </w:p>
    <w:p w14:paraId="26AE9FF4" w14:textId="10DB1ADC" w:rsidR="00B074CC" w:rsidRPr="001A1836" w:rsidRDefault="00B074CC">
      <w:pPr>
        <w:pStyle w:val="GSRL5numberedclause"/>
      </w:pPr>
      <w:r w:rsidRPr="001A1836">
        <w:t xml:space="preserve">applying the adjustment factors listed in paragraph </w:t>
      </w:r>
      <w:r w:rsidR="002B3F67">
        <w:t>10</w:t>
      </w:r>
      <w:r w:rsidRPr="001A1836">
        <w:t xml:space="preserve">.9 and from an analysis of the Comparable Services derive the Equivalent Services Data; </w:t>
      </w:r>
    </w:p>
    <w:p w14:paraId="143B0F36" w14:textId="77777777" w:rsidR="00B074CC" w:rsidRPr="001A1836" w:rsidRDefault="00B074CC">
      <w:pPr>
        <w:pStyle w:val="GSRL5numberedclause"/>
      </w:pPr>
      <w:r w:rsidRPr="001A1836">
        <w:t xml:space="preserve">using the Equivalent Services Data calculate the Average Price and/or median Service Levels; </w:t>
      </w:r>
    </w:p>
    <w:p w14:paraId="38C34D9B" w14:textId="77777777" w:rsidR="00B074CC" w:rsidRPr="001A1836" w:rsidRDefault="00B074CC">
      <w:pPr>
        <w:pStyle w:val="GSRL5numberedclause"/>
      </w:pPr>
      <w:r w:rsidRPr="001A1836">
        <w:t xml:space="preserve">comparing the Charges attributable to the Benchmarked Services (having regard in particular to the Service Levels and Service Credits regime) with the Average Price using the Equivalent Services Data; </w:t>
      </w:r>
    </w:p>
    <w:p w14:paraId="3784F59F" w14:textId="77777777" w:rsidR="00B074CC" w:rsidRPr="001A1836" w:rsidRDefault="00B074CC">
      <w:pPr>
        <w:pStyle w:val="GSRL5numberedclause"/>
      </w:pPr>
      <w:r w:rsidRPr="001A1836">
        <w:t xml:space="preserve">comparing the Service Levels attributable to the Benchmarked Services (having regard to the Charges and Service Credits) with the mean average service levels using the Equivalent Services Data; and </w:t>
      </w:r>
    </w:p>
    <w:p w14:paraId="02CFA517" w14:textId="77777777" w:rsidR="00B074CC" w:rsidRPr="001A1836" w:rsidRDefault="00B074CC">
      <w:pPr>
        <w:pStyle w:val="GSRL5numberedclause"/>
      </w:pPr>
      <w:r w:rsidRPr="001A1836">
        <w:t xml:space="preserve">determining whether or not each Benchmarked Service is and/or the Benchmarked Services as a whole are, Good Value. </w:t>
      </w:r>
    </w:p>
    <w:p w14:paraId="72FD0C0A" w14:textId="77777777" w:rsidR="00B074CC" w:rsidRPr="001A1836" w:rsidRDefault="00B074CC">
      <w:pPr>
        <w:pStyle w:val="GSRL4numberedclause"/>
      </w:pPr>
      <w:r w:rsidRPr="001A1836">
        <w:t xml:space="preserve">In carrying out the benchmarking analysis the Benchmarker shall have regard to the following matters when performing a comparative assessment of the Benchmarked Services and the Comparable Services in order to derive Equivalent Services Data: </w:t>
      </w:r>
    </w:p>
    <w:p w14:paraId="70C3CDAC" w14:textId="77777777" w:rsidR="00B074CC" w:rsidRPr="001A1836" w:rsidRDefault="00B074CC">
      <w:pPr>
        <w:pStyle w:val="GSRL5numberedclause"/>
      </w:pPr>
      <w:r w:rsidRPr="001A1836">
        <w:t xml:space="preserve">the contractual and business environment under which the Services are being provided (including the scope, scale, complexity and geographical spread of the Services and Intra-group Services and any particular requirements of HSE as set out in this Agreement in respect of how Provider should operate and how the Services are required to be delivered); </w:t>
      </w:r>
    </w:p>
    <w:p w14:paraId="22B641F0" w14:textId="77777777" w:rsidR="00B074CC" w:rsidRPr="001A1836" w:rsidRDefault="00B074CC">
      <w:pPr>
        <w:pStyle w:val="GSRL5numberedclause"/>
      </w:pPr>
      <w:r w:rsidRPr="001A1836">
        <w:t xml:space="preserve">any front-end investment and development costs of Provider; </w:t>
      </w:r>
    </w:p>
    <w:p w14:paraId="450C50CE" w14:textId="77777777" w:rsidR="00B074CC" w:rsidRPr="001A1836" w:rsidRDefault="00B074CC">
      <w:pPr>
        <w:pStyle w:val="GSRL5numberedclause"/>
      </w:pPr>
      <w:r w:rsidRPr="001A1836">
        <w:t xml:space="preserve">Provider's risk profile including the financial, performance or liability risks associated with the provision of the Services and Intra-group Services as a whole; </w:t>
      </w:r>
    </w:p>
    <w:p w14:paraId="0484C6A8" w14:textId="77777777" w:rsidR="00B074CC" w:rsidRPr="001A1836" w:rsidRDefault="00B074CC">
      <w:pPr>
        <w:pStyle w:val="GSRL5numberedclause"/>
      </w:pPr>
      <w:r w:rsidRPr="001A1836">
        <w:t xml:space="preserve">the extent of Provider's management and contract governance responsibilities; and </w:t>
      </w:r>
    </w:p>
    <w:p w14:paraId="74C5CA02" w14:textId="77777777" w:rsidR="00B074CC" w:rsidRPr="001A1836" w:rsidRDefault="00B074CC">
      <w:pPr>
        <w:pStyle w:val="GSRL5numberedclause"/>
      </w:pPr>
      <w:r w:rsidRPr="001A1836">
        <w:t xml:space="preserve">any other factors reasonably identified by Provider, which, if not taken into consideration, could unfairly cause Provider's pricing to appear non-competitive (such as erroneous costing or over-aggressive pricing). </w:t>
      </w:r>
    </w:p>
    <w:p w14:paraId="62E3AAA8" w14:textId="77777777" w:rsidR="00B074CC" w:rsidRPr="001A1836" w:rsidRDefault="00B074CC">
      <w:pPr>
        <w:pStyle w:val="GSRL3heading"/>
      </w:pPr>
      <w:bookmarkStart w:id="1293" w:name="_Toc521319363"/>
      <w:bookmarkStart w:id="1294" w:name="_Toc521327025"/>
      <w:bookmarkStart w:id="1295" w:name="_Toc521333258"/>
      <w:bookmarkStart w:id="1296" w:name="_Toc521484000"/>
      <w:bookmarkStart w:id="1297" w:name="_Toc521484763"/>
      <w:bookmarkStart w:id="1298" w:name="_Toc521485094"/>
      <w:bookmarkStart w:id="1299" w:name="_Toc521496818"/>
      <w:bookmarkStart w:id="1300" w:name="_Toc521498260"/>
      <w:bookmarkStart w:id="1301" w:name="_Toc529345994"/>
      <w:bookmarkStart w:id="1302" w:name="_Toc129038195"/>
      <w:bookmarkStart w:id="1303" w:name="_Toc129038481"/>
      <w:bookmarkStart w:id="1304" w:name="_Toc132268051"/>
      <w:bookmarkStart w:id="1305" w:name="_Toc132268357"/>
      <w:bookmarkStart w:id="1306" w:name="_Toc136198608"/>
      <w:bookmarkStart w:id="1307" w:name="_Toc136198889"/>
      <w:r w:rsidRPr="001A1836">
        <w:t>Benchmarker's report</w:t>
      </w:r>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r w:rsidRPr="001A1836">
        <w:t xml:space="preserve"> </w:t>
      </w:r>
    </w:p>
    <w:p w14:paraId="5316D9A7" w14:textId="244CCF78" w:rsidR="00B074CC" w:rsidRPr="001A1836" w:rsidRDefault="00B074CC">
      <w:pPr>
        <w:pStyle w:val="GSRL4numberedclause"/>
      </w:pPr>
      <w:r w:rsidRPr="001A1836">
        <w:lastRenderedPageBreak/>
        <w:t xml:space="preserve">The Benchmarker shall be required to prepare a Benchmarking Report, at the time specified in the plan approved under paragraph </w:t>
      </w:r>
      <w:r w:rsidR="002B3F67">
        <w:t>10</w:t>
      </w:r>
      <w:r w:rsidRPr="001A1836">
        <w:t xml:space="preserve"> of this Schedule, setting out its findings. Those findings shall be required to: </w:t>
      </w:r>
    </w:p>
    <w:p w14:paraId="2EA8C7B7" w14:textId="77777777" w:rsidR="00B074CC" w:rsidRPr="001A1836" w:rsidRDefault="00B074CC">
      <w:pPr>
        <w:pStyle w:val="GSRL5numberedclause"/>
      </w:pPr>
      <w:r w:rsidRPr="001A1836">
        <w:t xml:space="preserve">identify whether or not each Benchmarked Service is and/or whether the Benchmarked Services as a whole are, Good Value; </w:t>
      </w:r>
    </w:p>
    <w:p w14:paraId="1C028E7A" w14:textId="77777777" w:rsidR="00B074CC" w:rsidRPr="001A1836" w:rsidRDefault="00B074CC">
      <w:pPr>
        <w:pStyle w:val="GSRL5numberedclause"/>
      </w:pPr>
      <w:r w:rsidRPr="001A1836">
        <w:t xml:space="preserve">include other findings (if any) regarding the quality and competitiveness or otherwise of those Services and Intra-group Services; and </w:t>
      </w:r>
    </w:p>
    <w:p w14:paraId="29208D61" w14:textId="77777777" w:rsidR="00B074CC" w:rsidRPr="001A1836" w:rsidRDefault="00B074CC">
      <w:pPr>
        <w:pStyle w:val="GSRL5numberedclause"/>
      </w:pPr>
      <w:r w:rsidRPr="001A1836">
        <w:t xml:space="preserve">if the Benchmarked Services as a whole are not Good Value, specify the changes that would be required to the Charges or Service Levels, that would be required to make that Benchmarked Service or those Benchmarked Service as a whole Good Value. </w:t>
      </w:r>
    </w:p>
    <w:p w14:paraId="60DC7869" w14:textId="77777777" w:rsidR="00B074CC" w:rsidRPr="001A1836" w:rsidRDefault="00B074CC">
      <w:pPr>
        <w:pStyle w:val="GSRL4numberedclause"/>
      </w:pPr>
      <w:r w:rsidRPr="001A1836">
        <w:t xml:space="preserve">The Benchmarker shall act as an expert and not as an arbitrator. </w:t>
      </w:r>
    </w:p>
    <w:p w14:paraId="05043A80" w14:textId="77777777" w:rsidR="00B074CC" w:rsidRPr="001A1836" w:rsidRDefault="00B074CC">
      <w:pPr>
        <w:pStyle w:val="GSRL4numberedclause"/>
      </w:pPr>
      <w:r w:rsidRPr="001A1836">
        <w:t xml:space="preserve">For the avoidance of doubt, Benchmark Reviews shall not result in any increase to the Charges or any decrease in the performance of any Services. </w:t>
      </w:r>
    </w:p>
    <w:p w14:paraId="0E44F8A0" w14:textId="77777777" w:rsidR="00B074CC" w:rsidRPr="001A1836" w:rsidRDefault="00B074CC">
      <w:pPr>
        <w:pStyle w:val="GSRL4numberedclause"/>
      </w:pPr>
      <w:r w:rsidRPr="001A1836">
        <w:t xml:space="preserve">If the Benchmarking Report states that the Benchmarked Services as a whole are not Good Value then the Parties shall agree a set of actions (as soon as practicable, but in any event in no more than two months) to address the recommendations set out in the Benchmarking Report, so that the Benchmarked Services are Good Value. These actions shall be implemented through the Change Control Procedure. </w:t>
      </w:r>
    </w:p>
    <w:p w14:paraId="0702C77A" w14:textId="614AA521" w:rsidR="00B074CC" w:rsidRPr="001A1836" w:rsidRDefault="00B074CC">
      <w:pPr>
        <w:pStyle w:val="GSRL4numberedclause"/>
      </w:pPr>
      <w:r w:rsidRPr="001A1836">
        <w:t>The Provider shall not be obliged to implement any Benchmarking Report to the extent this would cause the Provider to provide the Services or an</w:t>
      </w:r>
      <w:r w:rsidR="00A77559">
        <w:t>y</w:t>
      </w:r>
      <w:r w:rsidRPr="001A1836">
        <w:t xml:space="preserve"> Intra-group Services at a loss or below the </w:t>
      </w:r>
      <w:r w:rsidR="00A86B0D" w:rsidRPr="001A1836">
        <w:t>Profit</w:t>
      </w:r>
      <w:r w:rsidRPr="001A1836">
        <w:t xml:space="preserve"> Margin (in accordance with paragraph </w:t>
      </w:r>
      <w:r w:rsidR="00A86B0D" w:rsidRPr="001A1836">
        <w:t xml:space="preserve">3.1.2 </w:t>
      </w:r>
      <w:r w:rsidRPr="001A1836">
        <w:t xml:space="preserve">of this Schedule 5 (Financial Model and Gain Share), or to the extent the Provider cannot technically or without the risk of disruption to the Registration Scheme implement the recommended changes. </w:t>
      </w:r>
    </w:p>
    <w:p w14:paraId="10AB5363" w14:textId="77777777" w:rsidR="00B074CC" w:rsidRPr="001A1836" w:rsidRDefault="00B074CC" w:rsidP="005E43DB">
      <w:pPr>
        <w:pStyle w:val="GSRL2Sectionheading"/>
      </w:pPr>
      <w:bookmarkStart w:id="1308" w:name="_Toc521319364"/>
      <w:bookmarkStart w:id="1309" w:name="_Toc521327026"/>
      <w:bookmarkStart w:id="1310" w:name="_Toc521333259"/>
      <w:bookmarkStart w:id="1311" w:name="_Toc521496819"/>
      <w:bookmarkStart w:id="1312" w:name="_Toc521498261"/>
      <w:bookmarkStart w:id="1313" w:name="_Toc529345995"/>
      <w:bookmarkStart w:id="1314" w:name="_Toc129038196"/>
      <w:bookmarkStart w:id="1315" w:name="_Toc129038482"/>
      <w:bookmarkStart w:id="1316" w:name="_Toc132268052"/>
      <w:bookmarkStart w:id="1317" w:name="_Toc132268358"/>
      <w:bookmarkStart w:id="1318" w:name="_Toc136198609"/>
      <w:bookmarkStart w:id="1319" w:name="_Toc136198890"/>
      <w:r w:rsidRPr="001A1836">
        <w:t>Continuous Service Improvement</w:t>
      </w:r>
      <w:bookmarkEnd w:id="1308"/>
      <w:bookmarkEnd w:id="1309"/>
      <w:bookmarkEnd w:id="1310"/>
      <w:bookmarkEnd w:id="1311"/>
      <w:bookmarkEnd w:id="1312"/>
      <w:bookmarkEnd w:id="1313"/>
      <w:bookmarkEnd w:id="1314"/>
      <w:bookmarkEnd w:id="1315"/>
      <w:bookmarkEnd w:id="1316"/>
      <w:bookmarkEnd w:id="1317"/>
      <w:bookmarkEnd w:id="1318"/>
      <w:bookmarkEnd w:id="1319"/>
    </w:p>
    <w:p w14:paraId="17AABC0F" w14:textId="77777777" w:rsidR="00B074CC" w:rsidRPr="001A1836" w:rsidRDefault="00B074CC">
      <w:pPr>
        <w:pStyle w:val="GSRL3heading"/>
      </w:pPr>
      <w:bookmarkStart w:id="1320" w:name="_Toc521319365"/>
      <w:bookmarkStart w:id="1321" w:name="_Toc521327027"/>
      <w:bookmarkStart w:id="1322" w:name="_Toc521333260"/>
      <w:bookmarkStart w:id="1323" w:name="_Toc521484001"/>
      <w:bookmarkStart w:id="1324" w:name="_Toc521484764"/>
      <w:bookmarkStart w:id="1325" w:name="_Toc521485095"/>
      <w:bookmarkStart w:id="1326" w:name="_Toc521496820"/>
      <w:bookmarkStart w:id="1327" w:name="_Toc521498262"/>
      <w:bookmarkStart w:id="1328" w:name="_Toc529345996"/>
      <w:bookmarkStart w:id="1329" w:name="_Toc129038197"/>
      <w:bookmarkStart w:id="1330" w:name="_Toc129038483"/>
      <w:bookmarkStart w:id="1331" w:name="_Toc132268053"/>
      <w:bookmarkStart w:id="1332" w:name="_Toc132268359"/>
      <w:bookmarkStart w:id="1333" w:name="_Toc136198610"/>
      <w:bookmarkStart w:id="1334" w:name="_Toc136198891"/>
      <w:r w:rsidRPr="001A1836">
        <w:t>Continuous Service Improvement</w:t>
      </w:r>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r w:rsidRPr="001A1836">
        <w:t xml:space="preserve"> </w:t>
      </w:r>
    </w:p>
    <w:p w14:paraId="0BFD3CAE" w14:textId="76D03CBA" w:rsidR="00B074CC" w:rsidRPr="001A1836" w:rsidRDefault="00B074CC">
      <w:pPr>
        <w:pStyle w:val="GSRL4numberedclause"/>
      </w:pPr>
      <w:r w:rsidRPr="001A1836">
        <w:t>To provide a dedicated focus on continual service improvement, the Provider shall establish a business improvement team following the Effective Date that will be tasked with identifying and developing tangible business improvement initiatives. To provide independence and autonomy, the business improvement team shall not form part of the operational structure and will report directly to the Provider's business director responsible for sustaining the long</w:t>
      </w:r>
      <w:r w:rsidR="000C426D" w:rsidRPr="001A1836">
        <w:t>-</w:t>
      </w:r>
      <w:r w:rsidRPr="001A1836">
        <w:t xml:space="preserve">term relationship with HSE and the wider gas industry. </w:t>
      </w:r>
    </w:p>
    <w:p w14:paraId="0D0D9FA7" w14:textId="77777777" w:rsidR="00B074CC" w:rsidRPr="001A1836" w:rsidRDefault="00B074CC">
      <w:pPr>
        <w:pStyle w:val="GSRL4numberedclause"/>
      </w:pPr>
      <w:r w:rsidRPr="001A1836">
        <w:t xml:space="preserve">Provider shall seek to align such initiatives with HSE goals including those that address policy change, increased operational efficiency, reduced cost and those that enrich customer experience. </w:t>
      </w:r>
    </w:p>
    <w:p w14:paraId="66367447" w14:textId="366CB7CB" w:rsidR="0007322F" w:rsidRDefault="00B074CC">
      <w:pPr>
        <w:pStyle w:val="GSRL4numberedclause"/>
      </w:pPr>
      <w:r w:rsidRPr="001A1836">
        <w:t>The Parties acknowledge and agree that as at the Effective Date the Charges and the Services and Service Levels to be delivered by Provider incorporate and reflect the principle of continuous service improvement. In the event that, during the Term, the Provider becomes aware of emergence of significant new technologies or business process developments that have the potential to enable material improvement in the Services for the benefit of Businesses or other stakeholders in respect of the Scheme, the Provider shall bring such technologies, business process developments and potential improvement to the attention of HSE</w:t>
      </w:r>
      <w:r w:rsidR="00F02311">
        <w:t xml:space="preserve">. </w:t>
      </w:r>
      <w:r w:rsidRPr="001A1836">
        <w:t xml:space="preserve"> </w:t>
      </w:r>
      <w:r w:rsidR="00F02311">
        <w:t xml:space="preserve">In particular, but without limitation, </w:t>
      </w:r>
      <w:r w:rsidRPr="001A1836">
        <w:t xml:space="preserve">as </w:t>
      </w:r>
      <w:r w:rsidRPr="001A1836">
        <w:lastRenderedPageBreak/>
        <w:t>part of Provider's Annual Service Review for the Contract Review Board</w:t>
      </w:r>
      <w:r w:rsidR="00F02311">
        <w:t xml:space="preserve">, the Provider shall </w:t>
      </w:r>
      <w:r w:rsidR="0007322F">
        <w:t xml:space="preserve">report to </w:t>
      </w:r>
      <w:r w:rsidR="00F02311">
        <w:t>HSE</w:t>
      </w:r>
      <w:r w:rsidR="0007322F">
        <w:t xml:space="preserve"> once every 12 months on:</w:t>
      </w:r>
    </w:p>
    <w:p w14:paraId="5217C5BF" w14:textId="01C6F089" w:rsidR="0007322F" w:rsidRDefault="0007322F">
      <w:pPr>
        <w:pStyle w:val="GSRL5numberedclause"/>
      </w:pPr>
      <w:r>
        <w:t xml:space="preserve">the emergence of new and evolving relevant technologies which could improve the Services, and those technological advances potentially available to the </w:t>
      </w:r>
      <w:r w:rsidR="00F02311">
        <w:t>Provider</w:t>
      </w:r>
      <w:r>
        <w:t xml:space="preserve"> and </w:t>
      </w:r>
      <w:r w:rsidR="00F02311">
        <w:t>HSE</w:t>
      </w:r>
      <w:r>
        <w:t xml:space="preserve"> which the Parties may wish to adopt; </w:t>
      </w:r>
    </w:p>
    <w:p w14:paraId="750A172F" w14:textId="37F1C205" w:rsidR="0007322F" w:rsidRDefault="0007322F">
      <w:pPr>
        <w:pStyle w:val="GSRL5numberedclause"/>
      </w:pPr>
      <w:r>
        <w:t>new or potential improvements to the Services including the quality, responsiveness, procedures, benchmarking methods, likely performance mechanisms and customer support services in relation to the Services;</w:t>
      </w:r>
    </w:p>
    <w:p w14:paraId="1F286E5F" w14:textId="402C4338" w:rsidR="0007322F" w:rsidRDefault="0007322F">
      <w:pPr>
        <w:pStyle w:val="GSRL5numberedclause"/>
      </w:pPr>
      <w:r>
        <w:t xml:space="preserve">new or potential improvements to the interfaces or integration of the Services with other services provided by third parties or </w:t>
      </w:r>
      <w:r w:rsidR="00F02311">
        <w:t>HSE</w:t>
      </w:r>
      <w:r>
        <w:t xml:space="preserve"> which might result in efficiency or productivity gains or reduction of operational risk; </w:t>
      </w:r>
    </w:p>
    <w:p w14:paraId="6D1EF592" w14:textId="093B7645" w:rsidR="0007322F" w:rsidRDefault="0007322F">
      <w:pPr>
        <w:pStyle w:val="GSRL5numberedclause"/>
      </w:pPr>
      <w:r>
        <w:t xml:space="preserve">changes in business processes and ways of working that would enable the Services to be delivered at lower cost and/or with greater benefits to </w:t>
      </w:r>
      <w:r w:rsidR="00F02311">
        <w:t>HSE</w:t>
      </w:r>
      <w:r>
        <w:t>; and/or</w:t>
      </w:r>
    </w:p>
    <w:p w14:paraId="57BFD1AE" w14:textId="6167746C" w:rsidR="0007322F" w:rsidRDefault="0007322F">
      <w:pPr>
        <w:pStyle w:val="GSRL5numberedclause"/>
      </w:pPr>
      <w:r>
        <w:t>changes to the business processes and ways of working that would enable reductions in the total energy consumed in the delivery of Services.</w:t>
      </w:r>
    </w:p>
    <w:p w14:paraId="5EB2853C" w14:textId="62AD3E6D" w:rsidR="00B074CC" w:rsidRPr="001A1836" w:rsidRDefault="0007322F">
      <w:pPr>
        <w:pStyle w:val="GSRL4numberedclause"/>
      </w:pPr>
      <w:r>
        <w:t xml:space="preserve">The </w:t>
      </w:r>
      <w:r w:rsidR="00F02311">
        <w:t>Provider</w:t>
      </w:r>
      <w:r>
        <w:t xml:space="preserve"> shall ensure that the information that it provides to </w:t>
      </w:r>
      <w:r w:rsidR="00F02311">
        <w:t>HSE</w:t>
      </w:r>
      <w:r>
        <w:t xml:space="preserve"> shall be sufficient for </w:t>
      </w:r>
      <w:r w:rsidR="00F02311">
        <w:t>HSE</w:t>
      </w:r>
      <w:r>
        <w:t xml:space="preserve"> to decide whether any improvement should be implemented. </w:t>
      </w:r>
      <w:r w:rsidR="00F02311">
        <w:t xml:space="preserve">The Provider </w:t>
      </w:r>
      <w:r>
        <w:t xml:space="preserve">shall provide any further information that </w:t>
      </w:r>
      <w:r w:rsidR="00F02311">
        <w:t>HSE</w:t>
      </w:r>
      <w:r>
        <w:t xml:space="preserve"> requests. </w:t>
      </w:r>
      <w:r w:rsidR="00B074CC" w:rsidRPr="001A1836">
        <w:t xml:space="preserve"> </w:t>
      </w:r>
    </w:p>
    <w:p w14:paraId="01AE3826" w14:textId="75BCC15F" w:rsidR="00B074CC" w:rsidRPr="001A1836" w:rsidRDefault="00B074CC">
      <w:pPr>
        <w:pStyle w:val="GSRL4numberedclause"/>
      </w:pPr>
      <w:r w:rsidRPr="001A1836">
        <w:t>If HSE wishes to adopt any improvement referred to in paragraph 1</w:t>
      </w:r>
      <w:r w:rsidR="002B3F67">
        <w:t>2</w:t>
      </w:r>
      <w:r w:rsidRPr="001A1836">
        <w:t xml:space="preserve"> the Provider and HSE shall agree the terms of such improvement under the relevant Change Control Procedure. </w:t>
      </w:r>
    </w:p>
    <w:p w14:paraId="13ACCC1F" w14:textId="77777777" w:rsidR="00B074CC" w:rsidRPr="001A1836" w:rsidRDefault="00B074CC">
      <w:pPr>
        <w:spacing w:after="0"/>
      </w:pPr>
      <w:r w:rsidRPr="001A1836">
        <w:br w:type="page"/>
      </w:r>
    </w:p>
    <w:p w14:paraId="671F6B39" w14:textId="547E808D" w:rsidR="00B074CC" w:rsidRPr="001A1836" w:rsidRDefault="00B074CC" w:rsidP="005B0F23">
      <w:pPr>
        <w:pStyle w:val="GSRL2Sectionheading"/>
        <w:tabs>
          <w:tab w:val="clear" w:pos="1656"/>
        </w:tabs>
      </w:pPr>
      <w:bookmarkStart w:id="1335" w:name="_Toc521319366"/>
      <w:bookmarkStart w:id="1336" w:name="_Toc521327028"/>
      <w:bookmarkStart w:id="1337" w:name="_Toc521333261"/>
      <w:bookmarkStart w:id="1338" w:name="_Toc521496821"/>
      <w:bookmarkStart w:id="1339" w:name="_Toc521498263"/>
      <w:bookmarkStart w:id="1340" w:name="_Toc529345997"/>
      <w:bookmarkStart w:id="1341" w:name="_Toc129038198"/>
      <w:bookmarkStart w:id="1342" w:name="_Toc129038484"/>
      <w:bookmarkStart w:id="1343" w:name="_Toc132268054"/>
      <w:bookmarkStart w:id="1344" w:name="_Toc132268360"/>
      <w:bookmarkStart w:id="1345" w:name="_Toc136198611"/>
      <w:bookmarkStart w:id="1346" w:name="_Toc136198892"/>
      <w:r w:rsidRPr="001A1836">
        <w:lastRenderedPageBreak/>
        <w:t xml:space="preserve">Annex 1 </w:t>
      </w:r>
      <w:r w:rsidR="004C2FF4" w:rsidRPr="001A1836">
        <w:t xml:space="preserve">– </w:t>
      </w:r>
      <w:r w:rsidRPr="001A1836">
        <w:t>Marketing Budget</w:t>
      </w:r>
      <w:bookmarkEnd w:id="1335"/>
      <w:bookmarkEnd w:id="1336"/>
      <w:bookmarkEnd w:id="1337"/>
      <w:bookmarkEnd w:id="1338"/>
      <w:bookmarkEnd w:id="1339"/>
      <w:bookmarkEnd w:id="1340"/>
      <w:bookmarkEnd w:id="1341"/>
      <w:bookmarkEnd w:id="1342"/>
      <w:bookmarkEnd w:id="1343"/>
      <w:bookmarkEnd w:id="1344"/>
      <w:bookmarkEnd w:id="1345"/>
      <w:bookmarkEnd w:id="1346"/>
    </w:p>
    <w:p w14:paraId="3B614FC3" w14:textId="77777777" w:rsidR="00B074CC" w:rsidRPr="001A1836" w:rsidRDefault="00B074CC">
      <w:pPr>
        <w:pStyle w:val="GSRL3heading"/>
      </w:pPr>
      <w:bookmarkStart w:id="1347" w:name="_Toc521319367"/>
      <w:bookmarkStart w:id="1348" w:name="_Toc521327029"/>
      <w:bookmarkStart w:id="1349" w:name="_Toc521333262"/>
      <w:bookmarkStart w:id="1350" w:name="_Toc521484002"/>
      <w:bookmarkStart w:id="1351" w:name="_Toc521484765"/>
      <w:bookmarkStart w:id="1352" w:name="_Toc521485096"/>
      <w:bookmarkStart w:id="1353" w:name="_Toc521496822"/>
      <w:bookmarkStart w:id="1354" w:name="_Toc521498264"/>
      <w:bookmarkStart w:id="1355" w:name="_Toc529345998"/>
      <w:bookmarkStart w:id="1356" w:name="_Toc129038199"/>
      <w:bookmarkStart w:id="1357" w:name="_Toc129038485"/>
      <w:bookmarkStart w:id="1358" w:name="_Toc132268055"/>
      <w:bookmarkStart w:id="1359" w:name="_Toc132268361"/>
      <w:bookmarkStart w:id="1360" w:name="_Toc136198612"/>
      <w:bookmarkStart w:id="1361" w:name="_Toc136198893"/>
      <w:r w:rsidRPr="001A1836">
        <w:t>Marketing budget</w:t>
      </w:r>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p>
    <w:p w14:paraId="1F3DAE74" w14:textId="77777777" w:rsidR="00B074CC" w:rsidRPr="001A1836" w:rsidRDefault="00B074CC">
      <w:pPr>
        <w:pStyle w:val="GSRL4numberedclause"/>
      </w:pPr>
      <w:r w:rsidRPr="001A1836">
        <w:t>The agreed marketing budget is as stated in Table 3.</w:t>
      </w:r>
    </w:p>
    <w:p w14:paraId="1455F67F" w14:textId="77777777" w:rsidR="00510454" w:rsidRPr="001A1836" w:rsidRDefault="00510454" w:rsidP="00510454">
      <w:pPr>
        <w:pStyle w:val="Number"/>
        <w:ind w:left="0" w:firstLine="0"/>
        <w:rPr>
          <w:b/>
        </w:rPr>
      </w:pPr>
    </w:p>
    <w:p w14:paraId="1C5A5DFA" w14:textId="102C7D93" w:rsidR="00B074CC" w:rsidRPr="001A1836" w:rsidRDefault="00B074CC" w:rsidP="00510454">
      <w:pPr>
        <w:pStyle w:val="Number"/>
        <w:ind w:left="0" w:firstLine="0"/>
      </w:pPr>
      <w:r w:rsidRPr="001A1836">
        <w:rPr>
          <w:b/>
        </w:rPr>
        <w:t>Table 3</w:t>
      </w:r>
      <w:r w:rsidRPr="001A1836">
        <w:t xml:space="preserve"> Marketing budget</w:t>
      </w:r>
    </w:p>
    <w:tbl>
      <w:tblPr>
        <w:tblStyle w:val="TableGrid"/>
        <w:tblW w:w="0" w:type="auto"/>
        <w:tblInd w:w="720" w:type="dxa"/>
        <w:tblLook w:val="04A0" w:firstRow="1" w:lastRow="0" w:firstColumn="1" w:lastColumn="0" w:noHBand="0" w:noVBand="1"/>
      </w:tblPr>
      <w:tblGrid>
        <w:gridCol w:w="4103"/>
        <w:gridCol w:w="4187"/>
      </w:tblGrid>
      <w:tr w:rsidR="00B074CC" w:rsidRPr="001A1836" w14:paraId="5246E75D" w14:textId="77777777" w:rsidTr="004B1E87">
        <w:trPr>
          <w:cantSplit/>
          <w:tblHeader/>
        </w:trPr>
        <w:tc>
          <w:tcPr>
            <w:tcW w:w="4103" w:type="dxa"/>
          </w:tcPr>
          <w:p w14:paraId="51D3FE62" w14:textId="77777777" w:rsidR="00B074CC" w:rsidRPr="001A1836" w:rsidRDefault="00B074CC">
            <w:pPr>
              <w:pStyle w:val="Number"/>
              <w:spacing w:before="120" w:after="120"/>
              <w:ind w:left="0" w:firstLine="0"/>
              <w:rPr>
                <w:b/>
              </w:rPr>
            </w:pPr>
            <w:r w:rsidRPr="001A1836">
              <w:rPr>
                <w:b/>
              </w:rPr>
              <w:t>Contract Year</w:t>
            </w:r>
          </w:p>
        </w:tc>
        <w:tc>
          <w:tcPr>
            <w:tcW w:w="4187" w:type="dxa"/>
          </w:tcPr>
          <w:p w14:paraId="4CD2E924" w14:textId="77777777" w:rsidR="00B074CC" w:rsidRPr="001A1836" w:rsidRDefault="00B074CC">
            <w:pPr>
              <w:pStyle w:val="Number"/>
              <w:spacing w:before="120" w:after="120"/>
              <w:ind w:left="0" w:firstLine="0"/>
              <w:jc w:val="right"/>
              <w:rPr>
                <w:b/>
              </w:rPr>
            </w:pPr>
            <w:r w:rsidRPr="001A1836">
              <w:rPr>
                <w:b/>
              </w:rPr>
              <w:t>Budget</w:t>
            </w:r>
          </w:p>
        </w:tc>
      </w:tr>
      <w:tr w:rsidR="00247876" w:rsidRPr="001A1836" w14:paraId="4A06B084" w14:textId="77777777" w:rsidTr="004B1E87">
        <w:trPr>
          <w:cantSplit/>
        </w:trPr>
        <w:tc>
          <w:tcPr>
            <w:tcW w:w="4103" w:type="dxa"/>
          </w:tcPr>
          <w:p w14:paraId="0526BA19" w14:textId="77777777" w:rsidR="00247876" w:rsidRPr="001A1836" w:rsidRDefault="00247876" w:rsidP="00247876">
            <w:pPr>
              <w:pStyle w:val="Number"/>
              <w:spacing w:before="120" w:after="120"/>
              <w:ind w:left="0" w:firstLine="0"/>
            </w:pPr>
            <w:r w:rsidRPr="001A1836">
              <w:t>Year 1</w:t>
            </w:r>
          </w:p>
        </w:tc>
        <w:tc>
          <w:tcPr>
            <w:tcW w:w="4187" w:type="dxa"/>
          </w:tcPr>
          <w:p w14:paraId="39BE065B" w14:textId="1AE1AFBC" w:rsidR="00247876" w:rsidRPr="001A1836" w:rsidRDefault="00247876" w:rsidP="00247876">
            <w:pPr>
              <w:pStyle w:val="Number"/>
              <w:spacing w:before="120" w:after="120"/>
              <w:ind w:left="0" w:firstLine="0"/>
              <w:jc w:val="right"/>
            </w:pPr>
            <w:r w:rsidRPr="00342FF6">
              <w:rPr>
                <w:rFonts w:cs="Arial"/>
                <w:color w:val="000000"/>
                <w:sz w:val="20"/>
              </w:rPr>
              <w:t>REDACTED</w:t>
            </w:r>
          </w:p>
        </w:tc>
      </w:tr>
      <w:tr w:rsidR="00247876" w:rsidRPr="001A1836" w14:paraId="18BFC14D" w14:textId="77777777" w:rsidTr="004B1E87">
        <w:trPr>
          <w:cantSplit/>
        </w:trPr>
        <w:tc>
          <w:tcPr>
            <w:tcW w:w="4103" w:type="dxa"/>
          </w:tcPr>
          <w:p w14:paraId="7DAEA186" w14:textId="77777777" w:rsidR="00247876" w:rsidRPr="001A1836" w:rsidRDefault="00247876" w:rsidP="00247876">
            <w:pPr>
              <w:pStyle w:val="Number"/>
              <w:spacing w:before="120" w:after="120"/>
              <w:ind w:left="0" w:firstLine="0"/>
            </w:pPr>
            <w:r w:rsidRPr="001A1836">
              <w:t>Year 2</w:t>
            </w:r>
          </w:p>
        </w:tc>
        <w:tc>
          <w:tcPr>
            <w:tcW w:w="4187" w:type="dxa"/>
          </w:tcPr>
          <w:p w14:paraId="2F778F43" w14:textId="5F1F8E45" w:rsidR="00247876" w:rsidRPr="001A1836" w:rsidRDefault="00247876" w:rsidP="00247876">
            <w:pPr>
              <w:pStyle w:val="Number"/>
              <w:spacing w:before="120" w:after="120"/>
              <w:ind w:left="0" w:firstLine="0"/>
              <w:jc w:val="right"/>
            </w:pPr>
            <w:r w:rsidRPr="00342FF6">
              <w:rPr>
                <w:rFonts w:cs="Arial"/>
                <w:color w:val="000000"/>
                <w:sz w:val="20"/>
              </w:rPr>
              <w:t>REDACTED</w:t>
            </w:r>
          </w:p>
        </w:tc>
      </w:tr>
      <w:tr w:rsidR="00247876" w:rsidRPr="001A1836" w14:paraId="71E6E44A" w14:textId="77777777" w:rsidTr="004B1E87">
        <w:trPr>
          <w:cantSplit/>
        </w:trPr>
        <w:tc>
          <w:tcPr>
            <w:tcW w:w="4103" w:type="dxa"/>
          </w:tcPr>
          <w:p w14:paraId="0F677726" w14:textId="77777777" w:rsidR="00247876" w:rsidRPr="001A1836" w:rsidRDefault="00247876" w:rsidP="00247876">
            <w:pPr>
              <w:pStyle w:val="Number"/>
              <w:spacing w:before="120" w:after="120"/>
              <w:ind w:left="0" w:firstLine="0"/>
            </w:pPr>
            <w:r w:rsidRPr="001A1836">
              <w:t>Year 3</w:t>
            </w:r>
          </w:p>
        </w:tc>
        <w:tc>
          <w:tcPr>
            <w:tcW w:w="4187" w:type="dxa"/>
          </w:tcPr>
          <w:p w14:paraId="0F52ADEC" w14:textId="58A1D823" w:rsidR="00247876" w:rsidRPr="001A1836" w:rsidRDefault="00247876" w:rsidP="00247876">
            <w:pPr>
              <w:pStyle w:val="Number"/>
              <w:spacing w:before="120" w:after="120"/>
              <w:ind w:left="0" w:firstLine="0"/>
              <w:jc w:val="right"/>
            </w:pPr>
            <w:r w:rsidRPr="00342FF6">
              <w:rPr>
                <w:rFonts w:cs="Arial"/>
                <w:color w:val="000000"/>
                <w:sz w:val="20"/>
              </w:rPr>
              <w:t>REDACTED</w:t>
            </w:r>
          </w:p>
        </w:tc>
      </w:tr>
      <w:tr w:rsidR="00247876" w:rsidRPr="001A1836" w14:paraId="04A21E83" w14:textId="77777777" w:rsidTr="004B1E87">
        <w:trPr>
          <w:cantSplit/>
        </w:trPr>
        <w:tc>
          <w:tcPr>
            <w:tcW w:w="4103" w:type="dxa"/>
          </w:tcPr>
          <w:p w14:paraId="41D0D582" w14:textId="77777777" w:rsidR="00247876" w:rsidRPr="001A1836" w:rsidRDefault="00247876" w:rsidP="00247876">
            <w:pPr>
              <w:pStyle w:val="Number"/>
              <w:spacing w:before="120" w:after="120"/>
              <w:ind w:left="0" w:firstLine="0"/>
            </w:pPr>
            <w:r w:rsidRPr="001A1836">
              <w:t>Year 4</w:t>
            </w:r>
          </w:p>
        </w:tc>
        <w:tc>
          <w:tcPr>
            <w:tcW w:w="4187" w:type="dxa"/>
          </w:tcPr>
          <w:p w14:paraId="039BA1FD" w14:textId="53EDA635" w:rsidR="00247876" w:rsidRPr="001A1836" w:rsidRDefault="00247876" w:rsidP="00247876">
            <w:pPr>
              <w:pStyle w:val="Number"/>
              <w:spacing w:before="120" w:after="120"/>
              <w:ind w:left="0" w:firstLine="0"/>
              <w:jc w:val="right"/>
            </w:pPr>
            <w:r w:rsidRPr="00342FF6">
              <w:rPr>
                <w:rFonts w:cs="Arial"/>
                <w:color w:val="000000"/>
                <w:sz w:val="20"/>
              </w:rPr>
              <w:t>REDACTED</w:t>
            </w:r>
          </w:p>
        </w:tc>
      </w:tr>
      <w:tr w:rsidR="00247876" w:rsidRPr="001A1836" w14:paraId="2AF352B0" w14:textId="77777777" w:rsidTr="004B1E87">
        <w:trPr>
          <w:cantSplit/>
        </w:trPr>
        <w:tc>
          <w:tcPr>
            <w:tcW w:w="4103" w:type="dxa"/>
          </w:tcPr>
          <w:p w14:paraId="5A793286" w14:textId="77777777" w:rsidR="00247876" w:rsidRPr="001A1836" w:rsidRDefault="00247876" w:rsidP="00247876">
            <w:pPr>
              <w:pStyle w:val="Number"/>
              <w:spacing w:before="120" w:after="120"/>
              <w:ind w:left="0" w:firstLine="0"/>
            </w:pPr>
            <w:r w:rsidRPr="001A1836">
              <w:t>Year 5</w:t>
            </w:r>
          </w:p>
        </w:tc>
        <w:tc>
          <w:tcPr>
            <w:tcW w:w="4187" w:type="dxa"/>
          </w:tcPr>
          <w:p w14:paraId="76941B96" w14:textId="5F0E23E2" w:rsidR="00247876" w:rsidRPr="001A1836" w:rsidRDefault="00247876" w:rsidP="00247876">
            <w:pPr>
              <w:pStyle w:val="Number"/>
              <w:spacing w:before="120" w:after="120"/>
              <w:ind w:left="0" w:firstLine="0"/>
              <w:jc w:val="right"/>
            </w:pPr>
            <w:r w:rsidRPr="00342FF6">
              <w:rPr>
                <w:rFonts w:cs="Arial"/>
                <w:color w:val="000000"/>
                <w:sz w:val="20"/>
              </w:rPr>
              <w:t>REDACTED</w:t>
            </w:r>
          </w:p>
        </w:tc>
      </w:tr>
    </w:tbl>
    <w:p w14:paraId="53B7F3E4" w14:textId="77777777" w:rsidR="00B074CC" w:rsidRPr="001A1836" w:rsidRDefault="00B074CC" w:rsidP="00626054">
      <w:pPr>
        <w:pStyle w:val="Number"/>
        <w:ind w:firstLine="0"/>
      </w:pPr>
    </w:p>
    <w:p w14:paraId="53145662" w14:textId="77777777" w:rsidR="00B074CC" w:rsidRPr="001A1836" w:rsidRDefault="00B074CC" w:rsidP="00626054">
      <w:pPr>
        <w:pStyle w:val="Number"/>
        <w:spacing w:after="0"/>
        <w:ind w:firstLine="0"/>
        <w:rPr>
          <w:rFonts w:cs="Arial"/>
        </w:rPr>
      </w:pPr>
    </w:p>
    <w:bookmarkEnd w:id="1091"/>
    <w:p w14:paraId="65BFED18" w14:textId="77777777" w:rsidR="009064B4" w:rsidRPr="001A1836" w:rsidRDefault="009064B4" w:rsidP="009064B4"/>
    <w:p w14:paraId="4E8DD4FF" w14:textId="77777777" w:rsidR="00394111" w:rsidRPr="001A1836" w:rsidRDefault="00394111" w:rsidP="009064B4">
      <w:pPr>
        <w:pStyle w:val="GSRL1Scheduleheader"/>
        <w:sectPr w:rsidR="00394111" w:rsidRPr="001A1836" w:rsidSect="00F87B8D">
          <w:footerReference w:type="default" r:id="rId19"/>
          <w:pgSz w:w="11900" w:h="16840"/>
          <w:pgMar w:top="1134" w:right="1440" w:bottom="1440" w:left="1440" w:header="1077" w:footer="833" w:gutter="0"/>
          <w:cols w:space="708"/>
        </w:sectPr>
      </w:pPr>
    </w:p>
    <w:p w14:paraId="5C7890BB" w14:textId="04CD2EEC" w:rsidR="00B074CC" w:rsidRPr="001A1836" w:rsidRDefault="00B074CC" w:rsidP="009064B4">
      <w:pPr>
        <w:pStyle w:val="GSRL1Scheduleheader"/>
      </w:pPr>
      <w:bookmarkStart w:id="1362" w:name="_Toc129038200"/>
      <w:bookmarkStart w:id="1363" w:name="_Toc129038486"/>
      <w:bookmarkStart w:id="1364" w:name="_Toc132268056"/>
      <w:bookmarkStart w:id="1365" w:name="_Toc132268362"/>
      <w:bookmarkStart w:id="1366" w:name="_Toc136198613"/>
      <w:bookmarkStart w:id="1367" w:name="_Toc136198894"/>
      <w:bookmarkStart w:id="1368" w:name="_Toc188885252"/>
      <w:r w:rsidRPr="001A1836">
        <w:lastRenderedPageBreak/>
        <w:t xml:space="preserve">SCHEDULE 6: </w:t>
      </w:r>
      <w:r w:rsidR="004C2FF4" w:rsidRPr="001A1836">
        <w:t>Change Control Procedure</w:t>
      </w:r>
      <w:bookmarkEnd w:id="1362"/>
      <w:bookmarkEnd w:id="1363"/>
      <w:bookmarkEnd w:id="1364"/>
      <w:bookmarkEnd w:id="1365"/>
      <w:bookmarkEnd w:id="1366"/>
      <w:bookmarkEnd w:id="1367"/>
      <w:bookmarkEnd w:id="1368"/>
    </w:p>
    <w:p w14:paraId="18552E47" w14:textId="77777777" w:rsidR="00B074CC" w:rsidRPr="001A1836" w:rsidRDefault="00B074CC" w:rsidP="009064B4"/>
    <w:p w14:paraId="2F1168D3" w14:textId="77777777" w:rsidR="00B074CC" w:rsidRPr="001A1836" w:rsidRDefault="00B074CC" w:rsidP="00626054"/>
    <w:p w14:paraId="49EF22AB" w14:textId="77777777" w:rsidR="00B074CC" w:rsidRPr="001A1836" w:rsidRDefault="00B074CC" w:rsidP="00DF0D46">
      <w:pPr>
        <w:pStyle w:val="GSRL2Sectionheading"/>
      </w:pPr>
      <w:r w:rsidRPr="001A1836">
        <w:br w:type="page"/>
      </w:r>
      <w:bookmarkStart w:id="1369" w:name="_Toc508608392"/>
      <w:bookmarkStart w:id="1370" w:name="_Toc521327031"/>
      <w:bookmarkStart w:id="1371" w:name="_Toc521333264"/>
      <w:bookmarkStart w:id="1372" w:name="_Toc521496824"/>
      <w:bookmarkStart w:id="1373" w:name="_Toc521498266"/>
      <w:bookmarkStart w:id="1374" w:name="_Toc529345999"/>
      <w:bookmarkStart w:id="1375" w:name="_Toc129038202"/>
      <w:bookmarkStart w:id="1376" w:name="_Toc129038488"/>
      <w:bookmarkStart w:id="1377" w:name="_Toc132268058"/>
      <w:bookmarkStart w:id="1378" w:name="_Toc132268364"/>
      <w:bookmarkStart w:id="1379" w:name="_Toc136198615"/>
      <w:bookmarkStart w:id="1380" w:name="_Toc136198896"/>
      <w:bookmarkStart w:id="1381" w:name="Schedule6"/>
      <w:r w:rsidRPr="001A1836">
        <w:lastRenderedPageBreak/>
        <w:t>Purpose</w:t>
      </w:r>
      <w:bookmarkEnd w:id="1369"/>
      <w:bookmarkEnd w:id="1370"/>
      <w:bookmarkEnd w:id="1371"/>
      <w:bookmarkEnd w:id="1372"/>
      <w:bookmarkEnd w:id="1373"/>
      <w:bookmarkEnd w:id="1374"/>
      <w:bookmarkEnd w:id="1375"/>
      <w:bookmarkEnd w:id="1376"/>
      <w:bookmarkEnd w:id="1377"/>
      <w:bookmarkEnd w:id="1378"/>
      <w:bookmarkEnd w:id="1379"/>
      <w:bookmarkEnd w:id="1380"/>
    </w:p>
    <w:p w14:paraId="7611E6EA" w14:textId="77777777" w:rsidR="00B074CC" w:rsidRPr="001A1836" w:rsidRDefault="00B074CC" w:rsidP="004E2262">
      <w:pPr>
        <w:pStyle w:val="GSRL3heading"/>
        <w:numPr>
          <w:ilvl w:val="0"/>
          <w:numId w:val="62"/>
        </w:numPr>
      </w:pPr>
      <w:bookmarkStart w:id="1382" w:name="_Toc508608393"/>
      <w:bookmarkStart w:id="1383" w:name="_Toc521327032"/>
      <w:bookmarkStart w:id="1384" w:name="_Toc521333265"/>
      <w:bookmarkStart w:id="1385" w:name="_Toc521484003"/>
      <w:bookmarkStart w:id="1386" w:name="_Toc521484766"/>
      <w:bookmarkStart w:id="1387" w:name="_Toc521485097"/>
      <w:bookmarkStart w:id="1388" w:name="_Toc521496825"/>
      <w:bookmarkStart w:id="1389" w:name="_Toc521498267"/>
      <w:bookmarkStart w:id="1390" w:name="_Toc529346000"/>
      <w:bookmarkStart w:id="1391" w:name="_Toc129038203"/>
      <w:bookmarkStart w:id="1392" w:name="_Toc129038489"/>
      <w:bookmarkStart w:id="1393" w:name="_Toc132268059"/>
      <w:bookmarkStart w:id="1394" w:name="_Toc132268365"/>
      <w:bookmarkStart w:id="1395" w:name="_Toc136198616"/>
      <w:bookmarkStart w:id="1396" w:name="_Toc136198897"/>
      <w:r w:rsidRPr="001A1836">
        <w:t>Purpose and effect</w:t>
      </w:r>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r w:rsidRPr="001A1836">
        <w:t xml:space="preserve"> </w:t>
      </w:r>
    </w:p>
    <w:p w14:paraId="27D49552" w14:textId="77777777" w:rsidR="00B074CC" w:rsidRPr="001A1836" w:rsidRDefault="00B074CC">
      <w:pPr>
        <w:pStyle w:val="GSRL4numberedclause"/>
      </w:pPr>
      <w:r w:rsidRPr="001A1836">
        <w:t xml:space="preserve">The purpose of this Schedule is to set out the Change Control Procedure for dealing with Changes to the Services. </w:t>
      </w:r>
    </w:p>
    <w:p w14:paraId="21713D70" w14:textId="77777777" w:rsidR="00B074CC" w:rsidRPr="001A1836" w:rsidRDefault="00B074CC">
      <w:pPr>
        <w:pStyle w:val="GSRL4numberedclause"/>
      </w:pPr>
      <w:r w:rsidRPr="001A1836">
        <w:t xml:space="preserve">This Schedule shall have effect throughout the Term. </w:t>
      </w:r>
    </w:p>
    <w:p w14:paraId="104EB294" w14:textId="77777777" w:rsidR="00B074CC" w:rsidRPr="001A1836" w:rsidRDefault="00B074CC" w:rsidP="00DF0D46">
      <w:pPr>
        <w:pStyle w:val="GSRL2Sectionheading"/>
      </w:pPr>
      <w:bookmarkStart w:id="1397" w:name="_Toc508608394"/>
      <w:bookmarkStart w:id="1398" w:name="_Toc521327033"/>
      <w:bookmarkStart w:id="1399" w:name="_Toc521333266"/>
      <w:bookmarkStart w:id="1400" w:name="_Toc521496826"/>
      <w:bookmarkStart w:id="1401" w:name="_Toc521498268"/>
      <w:bookmarkStart w:id="1402" w:name="_Toc529346001"/>
      <w:bookmarkStart w:id="1403" w:name="_Toc129038204"/>
      <w:bookmarkStart w:id="1404" w:name="_Toc129038490"/>
      <w:bookmarkStart w:id="1405" w:name="_Toc132268060"/>
      <w:bookmarkStart w:id="1406" w:name="_Toc132268366"/>
      <w:bookmarkStart w:id="1407" w:name="_Toc136198617"/>
      <w:bookmarkStart w:id="1408" w:name="_Toc136198898"/>
      <w:r w:rsidRPr="001A1836">
        <w:t>Operative Provisions</w:t>
      </w:r>
      <w:bookmarkEnd w:id="1397"/>
      <w:bookmarkEnd w:id="1398"/>
      <w:bookmarkEnd w:id="1399"/>
      <w:bookmarkEnd w:id="1400"/>
      <w:bookmarkEnd w:id="1401"/>
      <w:bookmarkEnd w:id="1402"/>
      <w:bookmarkEnd w:id="1403"/>
      <w:bookmarkEnd w:id="1404"/>
      <w:bookmarkEnd w:id="1405"/>
      <w:bookmarkEnd w:id="1406"/>
      <w:bookmarkEnd w:id="1407"/>
      <w:bookmarkEnd w:id="1408"/>
    </w:p>
    <w:p w14:paraId="362596C8" w14:textId="77777777" w:rsidR="00B074CC" w:rsidRPr="001A1836" w:rsidRDefault="00B074CC">
      <w:pPr>
        <w:pStyle w:val="GSRL3heading"/>
      </w:pPr>
      <w:bookmarkStart w:id="1409" w:name="_Toc508608395"/>
      <w:bookmarkStart w:id="1410" w:name="_Toc521327034"/>
      <w:bookmarkStart w:id="1411" w:name="_Toc521333267"/>
      <w:bookmarkStart w:id="1412" w:name="_Toc521484004"/>
      <w:bookmarkStart w:id="1413" w:name="_Toc521484767"/>
      <w:bookmarkStart w:id="1414" w:name="_Toc521485098"/>
      <w:bookmarkStart w:id="1415" w:name="_Toc521496827"/>
      <w:bookmarkStart w:id="1416" w:name="_Toc521498269"/>
      <w:bookmarkStart w:id="1417" w:name="_Toc529346002"/>
      <w:bookmarkStart w:id="1418" w:name="_Toc129038205"/>
      <w:bookmarkStart w:id="1419" w:name="_Toc129038491"/>
      <w:bookmarkStart w:id="1420" w:name="_Toc132268061"/>
      <w:bookmarkStart w:id="1421" w:name="_Toc132268367"/>
      <w:bookmarkStart w:id="1422" w:name="_Toc136198618"/>
      <w:bookmarkStart w:id="1423" w:name="_Toc136198899"/>
      <w:r w:rsidRPr="001A1836">
        <w:t>Overview</w:t>
      </w:r>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p>
    <w:p w14:paraId="5B164747" w14:textId="38031727" w:rsidR="00B074CC" w:rsidRPr="001A1836" w:rsidRDefault="00B074CC">
      <w:pPr>
        <w:pStyle w:val="GSRL4numberedclause"/>
      </w:pPr>
      <w:r w:rsidRPr="001A1836">
        <w:t>Under this Change Control Procedure either Party may request a variation to this Agreement</w:t>
      </w:r>
      <w:r w:rsidR="0065425B" w:rsidRPr="001A1836">
        <w:t xml:space="preserve"> provided that such variation does not amount to an impermissible modification of the Agreement under the Concession Contracts Regulations 2016</w:t>
      </w:r>
      <w:r w:rsidRPr="001A1836">
        <w:t>. Such a variation once implemented is hereinafter called a “</w:t>
      </w:r>
      <w:r w:rsidRPr="001A1836">
        <w:rPr>
          <w:b/>
        </w:rPr>
        <w:t>Change</w:t>
      </w:r>
      <w:r w:rsidRPr="001A1836">
        <w:t xml:space="preserve">”. </w:t>
      </w:r>
    </w:p>
    <w:p w14:paraId="00B959B8" w14:textId="23A02C68" w:rsidR="00B074CC" w:rsidRPr="001A1836" w:rsidRDefault="00B074CC">
      <w:pPr>
        <w:pStyle w:val="GSRL4numberedclause"/>
      </w:pPr>
      <w:r w:rsidRPr="001A1836">
        <w:t>Until such time as a Change is made in accordance with the procedure set out in this Schedule 6, the Provider shall continue to perform the Services and to levy the Charges as if the request for a Change had not been made. Any work undertaken or services provided to Customers by the Provider which have not been authorised shall be undertaken entirely at the expense and liability of the Provider and shall not result in any increase to the Charges.</w:t>
      </w:r>
    </w:p>
    <w:p w14:paraId="61B3A309" w14:textId="395FADE0" w:rsidR="00B074CC" w:rsidRPr="001A1836" w:rsidRDefault="00B074CC">
      <w:pPr>
        <w:pStyle w:val="GSRL4numberedclause"/>
      </w:pPr>
      <w:r w:rsidRPr="001A1836">
        <w:t>All discussions which take place between the Parties concerning a request for a Change shall be undertaken in good faith but without prejudice to the rights of either Party.</w:t>
      </w:r>
    </w:p>
    <w:p w14:paraId="43827D24" w14:textId="77777777" w:rsidR="00B074CC" w:rsidRPr="001A1836" w:rsidRDefault="00B074CC">
      <w:pPr>
        <w:pStyle w:val="GSRL3heading"/>
      </w:pPr>
      <w:bookmarkStart w:id="1424" w:name="_Toc508608396"/>
      <w:bookmarkStart w:id="1425" w:name="_Toc521327035"/>
      <w:bookmarkStart w:id="1426" w:name="_Toc521333268"/>
      <w:bookmarkStart w:id="1427" w:name="_Toc521484005"/>
      <w:bookmarkStart w:id="1428" w:name="_Toc521484768"/>
      <w:bookmarkStart w:id="1429" w:name="_Toc521485099"/>
      <w:bookmarkStart w:id="1430" w:name="_Toc521496828"/>
      <w:bookmarkStart w:id="1431" w:name="_Toc521498270"/>
      <w:bookmarkStart w:id="1432" w:name="_Toc529346003"/>
      <w:bookmarkStart w:id="1433" w:name="_Toc129038206"/>
      <w:bookmarkStart w:id="1434" w:name="_Toc129038492"/>
      <w:bookmarkStart w:id="1435" w:name="_Toc132268062"/>
      <w:bookmarkStart w:id="1436" w:name="_Toc132268368"/>
      <w:bookmarkStart w:id="1437" w:name="_Toc136198619"/>
      <w:bookmarkStart w:id="1438" w:name="_Toc136198900"/>
      <w:r w:rsidRPr="001A1836">
        <w:t>Change Procedure</w:t>
      </w:r>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r w:rsidRPr="001A1836">
        <w:t xml:space="preserve"> </w:t>
      </w:r>
    </w:p>
    <w:p w14:paraId="0007B077" w14:textId="77777777" w:rsidR="00B074CC" w:rsidRPr="001A1836" w:rsidRDefault="00B074CC">
      <w:pPr>
        <w:pStyle w:val="GSRL4numberedclause"/>
      </w:pPr>
      <w:r w:rsidRPr="001A1836">
        <w:t>A Party may request a Change by completing, signing and sending a Change Control Note (in the form set out in Annex 1) to the other Party giving sufficient information for the receiving Party to assess the extent of the proposed Change and any financial implications.</w:t>
      </w:r>
    </w:p>
    <w:p w14:paraId="4209654D" w14:textId="77777777" w:rsidR="00B074CC" w:rsidRPr="001A1836" w:rsidRDefault="00B074CC">
      <w:pPr>
        <w:pStyle w:val="GSRL4numberedclause"/>
      </w:pPr>
      <w:bookmarkStart w:id="1439" w:name="_Ref365625097"/>
      <w:r w:rsidRPr="001A1836">
        <w:t>The Change Control Note shall be valid for a period of at least twenty (20) Working Days from the date of the Change Control Note and shall expire at the date set out therein (the “</w:t>
      </w:r>
      <w:r w:rsidRPr="001A1836">
        <w:rPr>
          <w:b/>
        </w:rPr>
        <w:t>Period Of Validity</w:t>
      </w:r>
      <w:r w:rsidRPr="001A1836">
        <w:t xml:space="preserve">”). </w:t>
      </w:r>
    </w:p>
    <w:p w14:paraId="7D800AEB" w14:textId="77777777" w:rsidR="00B074CC" w:rsidRPr="001A1836" w:rsidRDefault="00B074CC">
      <w:pPr>
        <w:pStyle w:val="GSRL4numberedclause"/>
        <w:rPr>
          <w:b/>
          <w:bCs/>
        </w:rPr>
      </w:pPr>
      <w:bookmarkStart w:id="1440" w:name="_Ref505683196"/>
      <w:r w:rsidRPr="001A1836">
        <w:t>The Parties may agree to adjust any time limits specified in the Change Control Note, including the Period of Validity.</w:t>
      </w:r>
      <w:bookmarkEnd w:id="1439"/>
      <w:bookmarkEnd w:id="1440"/>
    </w:p>
    <w:p w14:paraId="342FDFF1" w14:textId="17CCF1FC" w:rsidR="00B074CC" w:rsidRPr="001A1836" w:rsidRDefault="00B074CC">
      <w:pPr>
        <w:pStyle w:val="GSRL4numberedclause"/>
      </w:pPr>
      <w:r w:rsidRPr="001A1836">
        <w:t xml:space="preserve">Subject to paragraph </w:t>
      </w:r>
      <w:r w:rsidRPr="001A1836">
        <w:fldChar w:fldCharType="begin"/>
      </w:r>
      <w:r w:rsidRPr="001A1836">
        <w:instrText xml:space="preserve"> REF _Ref505683196 \r \h </w:instrText>
      </w:r>
      <w:r w:rsidR="001A1836">
        <w:instrText xml:space="preserve"> \* MERGEFORMAT </w:instrText>
      </w:r>
      <w:r w:rsidRPr="001A1836">
        <w:fldChar w:fldCharType="separate"/>
      </w:r>
      <w:r w:rsidR="00C87D85">
        <w:t>3.3</w:t>
      </w:r>
      <w:r w:rsidRPr="001A1836">
        <w:fldChar w:fldCharType="end"/>
      </w:r>
      <w:r w:rsidRPr="001A1836">
        <w:t>, the receiving Party shall respond to the request within fif</w:t>
      </w:r>
      <w:r w:rsidR="00DD1E9F" w:rsidRPr="001A1836">
        <w:t>teen (15) Working D</w:t>
      </w:r>
      <w:r w:rsidRPr="001A1836">
        <w:t xml:space="preserve">ays or any such longer time limits specified in the Change Control Note, having regard to the nature of the Services and the proposed Change. </w:t>
      </w:r>
    </w:p>
    <w:p w14:paraId="2BAF0315" w14:textId="77777777" w:rsidR="00B074CC" w:rsidRPr="001A1836" w:rsidRDefault="00B074CC">
      <w:pPr>
        <w:pStyle w:val="GSRL4numberedclause"/>
      </w:pPr>
      <w:r w:rsidRPr="001A1836">
        <w:t xml:space="preserve">Each Change Control Note shall contain the following information: </w:t>
      </w:r>
    </w:p>
    <w:p w14:paraId="741610FF" w14:textId="77777777" w:rsidR="00B074CC" w:rsidRPr="001A1836" w:rsidRDefault="00B074CC">
      <w:pPr>
        <w:pStyle w:val="GSRL5numberedclause"/>
      </w:pPr>
      <w:r w:rsidRPr="001A1836">
        <w:t xml:space="preserve">the title of the change; </w:t>
      </w:r>
    </w:p>
    <w:p w14:paraId="0D96F4B6" w14:textId="77777777" w:rsidR="00B074CC" w:rsidRPr="001A1836" w:rsidRDefault="00B074CC">
      <w:pPr>
        <w:pStyle w:val="GSRL5numberedclause"/>
      </w:pPr>
      <w:r w:rsidRPr="001A1836">
        <w:t xml:space="preserve">the originator of the request for a Change and the date on which it was made; </w:t>
      </w:r>
    </w:p>
    <w:p w14:paraId="73369725" w14:textId="77777777" w:rsidR="00B074CC" w:rsidRPr="001A1836" w:rsidRDefault="00B074CC">
      <w:pPr>
        <w:pStyle w:val="GSRL5numberedclause"/>
      </w:pPr>
      <w:r w:rsidRPr="001A1836">
        <w:t xml:space="preserve">the reason for the change; </w:t>
      </w:r>
    </w:p>
    <w:p w14:paraId="10516D04" w14:textId="77777777" w:rsidR="00B074CC" w:rsidRPr="001A1836" w:rsidRDefault="00B074CC">
      <w:pPr>
        <w:pStyle w:val="GSRL5numberedclause"/>
      </w:pPr>
      <w:r w:rsidRPr="001A1836">
        <w:t xml:space="preserve">full details of the proposed Change, including any specifications; </w:t>
      </w:r>
    </w:p>
    <w:p w14:paraId="1ECFEE9F" w14:textId="77777777" w:rsidR="00B074CC" w:rsidRPr="001A1836" w:rsidRDefault="00B074CC">
      <w:pPr>
        <w:pStyle w:val="GSRL5numberedclause"/>
      </w:pPr>
      <w:r w:rsidRPr="001A1836">
        <w:lastRenderedPageBreak/>
        <w:t xml:space="preserve">the anticipated cost impact of the proposed Change calculated in accordance with paragraph 4; </w:t>
      </w:r>
    </w:p>
    <w:p w14:paraId="2A021E22" w14:textId="77777777" w:rsidR="00B074CC" w:rsidRPr="001A1836" w:rsidRDefault="00B074CC">
      <w:pPr>
        <w:pStyle w:val="GSRL5numberedclause"/>
      </w:pPr>
      <w:r w:rsidRPr="001A1836">
        <w:t xml:space="preserve">the anticipated increase or decrease in the Charges or any element thereof, calculated in accordance with paragraph 4; </w:t>
      </w:r>
    </w:p>
    <w:p w14:paraId="2E4AC60F" w14:textId="77777777" w:rsidR="00B074CC" w:rsidRPr="001A1836" w:rsidRDefault="00B074CC">
      <w:pPr>
        <w:pStyle w:val="GSRL5numberedclause"/>
      </w:pPr>
      <w:r w:rsidRPr="001A1836">
        <w:t xml:space="preserve">a timetable for the implementation of the proposed Change; </w:t>
      </w:r>
    </w:p>
    <w:p w14:paraId="059D00C6" w14:textId="77777777" w:rsidR="00B074CC" w:rsidRPr="001A1836" w:rsidRDefault="00B074CC">
      <w:pPr>
        <w:pStyle w:val="GSRL5numberedclause"/>
      </w:pPr>
      <w:r w:rsidRPr="001A1836">
        <w:t xml:space="preserve">if appropriate, a schedule of additional payments; </w:t>
      </w:r>
    </w:p>
    <w:p w14:paraId="73335ECE" w14:textId="77777777" w:rsidR="00B074CC" w:rsidRPr="001A1836" w:rsidRDefault="00B074CC">
      <w:pPr>
        <w:pStyle w:val="GSRL5numberedclause"/>
      </w:pPr>
      <w:r w:rsidRPr="001A1836">
        <w:t xml:space="preserve">details of the likely impact, if any, of changes to the Services, including: </w:t>
      </w:r>
    </w:p>
    <w:p w14:paraId="14C8EB7E" w14:textId="77777777" w:rsidR="00B074CC" w:rsidRPr="001A1836" w:rsidRDefault="00B074CC">
      <w:pPr>
        <w:pStyle w:val="GSRL6numberedclause"/>
      </w:pPr>
      <w:r w:rsidRPr="001A1836">
        <w:t xml:space="preserve">any changes to this Agreement or its Schedules required; </w:t>
      </w:r>
    </w:p>
    <w:p w14:paraId="7AFEEE8D" w14:textId="77777777" w:rsidR="00B074CC" w:rsidRPr="001A1836" w:rsidRDefault="00B074CC">
      <w:pPr>
        <w:pStyle w:val="GSRL6numberedclause"/>
      </w:pPr>
      <w:r w:rsidRPr="001A1836">
        <w:t xml:space="preserve">the personnel affected; </w:t>
      </w:r>
    </w:p>
    <w:p w14:paraId="211296C1" w14:textId="77777777" w:rsidR="00B074CC" w:rsidRPr="001A1836" w:rsidRDefault="00B074CC">
      <w:pPr>
        <w:pStyle w:val="GSRL6numberedclause"/>
      </w:pPr>
      <w:r w:rsidRPr="001A1836">
        <w:t>the quality of service provided to Customers; and</w:t>
      </w:r>
    </w:p>
    <w:p w14:paraId="612E2395" w14:textId="77777777" w:rsidR="00B074CC" w:rsidRPr="001A1836" w:rsidRDefault="00B074CC">
      <w:pPr>
        <w:pStyle w:val="GSRL6numberedclause"/>
      </w:pPr>
      <w:r w:rsidRPr="001A1836">
        <w:t xml:space="preserve">the effect the Change will have on Service Levels, if any. </w:t>
      </w:r>
    </w:p>
    <w:p w14:paraId="4217F12E" w14:textId="77777777" w:rsidR="00B074CC" w:rsidRPr="001A1836" w:rsidRDefault="00B074CC">
      <w:pPr>
        <w:pStyle w:val="GSRL4numberedclause"/>
      </w:pPr>
      <w:r w:rsidRPr="001A1836">
        <w:t>Upon receipt of a Change Control Note the receiving Party shall, within the Period Of Validity, evaluate the Change Control Note and, where appropriate:</w:t>
      </w:r>
    </w:p>
    <w:p w14:paraId="2B8C5AB0" w14:textId="77777777" w:rsidR="00B074CC" w:rsidRPr="001A1836" w:rsidRDefault="00B074CC">
      <w:pPr>
        <w:pStyle w:val="GSRL5numberedclause"/>
      </w:pPr>
      <w:r w:rsidRPr="001A1836">
        <w:t xml:space="preserve">request further information from the other Party (and amend by agreement the Period of Validity where appropriate); </w:t>
      </w:r>
    </w:p>
    <w:p w14:paraId="427FD7C5" w14:textId="77777777" w:rsidR="00B074CC" w:rsidRPr="001A1836" w:rsidRDefault="00B074CC">
      <w:pPr>
        <w:pStyle w:val="GSRL5numberedclause"/>
      </w:pPr>
      <w:r w:rsidRPr="001A1836">
        <w:t xml:space="preserve">approve the Change Control Note; or </w:t>
      </w:r>
    </w:p>
    <w:p w14:paraId="7FA21688" w14:textId="77777777" w:rsidR="00867AF5" w:rsidRPr="001A1836" w:rsidRDefault="00B074CC">
      <w:pPr>
        <w:pStyle w:val="GSRL5numberedclause"/>
      </w:pPr>
      <w:r w:rsidRPr="001A1836">
        <w:t xml:space="preserve">reject the Change Control Note. </w:t>
      </w:r>
    </w:p>
    <w:p w14:paraId="385C2D34" w14:textId="77777777" w:rsidR="00867AF5" w:rsidRPr="001A1836" w:rsidRDefault="00B074CC">
      <w:pPr>
        <w:pStyle w:val="GSRL4numberedclause"/>
      </w:pPr>
      <w:r w:rsidRPr="001A1836">
        <w:t>In the event that the Parties are unable to agree the Change within the Period Of Validity, where:</w:t>
      </w:r>
    </w:p>
    <w:p w14:paraId="522006FB" w14:textId="69212010" w:rsidR="00867AF5" w:rsidRPr="001A1836" w:rsidRDefault="00B074CC">
      <w:pPr>
        <w:pStyle w:val="GSRL5numberedclause"/>
      </w:pPr>
      <w:r w:rsidRPr="001A1836">
        <w:t xml:space="preserve">HSE has requested the Change: </w:t>
      </w:r>
    </w:p>
    <w:p w14:paraId="121FB910" w14:textId="14D9A23D" w:rsidR="00867AF5" w:rsidRPr="001A1836" w:rsidRDefault="00C4005F">
      <w:pPr>
        <w:pStyle w:val="GSRL6numberedclause"/>
      </w:pPr>
      <w:r>
        <w:t>the Parties shall</w:t>
      </w:r>
      <w:r w:rsidR="00B074CC" w:rsidRPr="001A1836">
        <w:t xml:space="preserve"> continue to perform </w:t>
      </w:r>
      <w:r>
        <w:t>their</w:t>
      </w:r>
      <w:r w:rsidR="00B074CC" w:rsidRPr="001A1836">
        <w:t xml:space="preserve"> obligations under this Agreement without the Change; or</w:t>
      </w:r>
    </w:p>
    <w:p w14:paraId="1E748525" w14:textId="5D2192AA" w:rsidR="00867AF5" w:rsidRPr="001A1836" w:rsidRDefault="00C4005F">
      <w:pPr>
        <w:pStyle w:val="GSRL6numberedclause"/>
      </w:pPr>
      <w:r>
        <w:t xml:space="preserve">HSE may </w:t>
      </w:r>
      <w:r w:rsidR="006F0AFC" w:rsidRPr="001A1836">
        <w:t xml:space="preserve">terminate this Agreement with immediate effect, except where the Provider has already fulfilled part or all of the provision of the Services in accordance with this Agreement or where the Provider can show evidence of undertaking Transition Activities to provide the Services under this Agreement, and in such a case the </w:t>
      </w:r>
      <w:r w:rsidR="00B074CC" w:rsidRPr="001A1836">
        <w:t>Parties shall attempt to agree upon a resolution to the matter. Where a resolution cannot be reached, the matter shall be dealt with under the Dispute Resolution Procedure;</w:t>
      </w:r>
    </w:p>
    <w:p w14:paraId="4DA15583" w14:textId="3E134396" w:rsidR="00B074CC" w:rsidRPr="001A1836" w:rsidRDefault="00B074CC">
      <w:pPr>
        <w:pStyle w:val="GSRL5numberedclause"/>
      </w:pPr>
      <w:r w:rsidRPr="001A1836">
        <w:t xml:space="preserve">the Provider has requested the Change, the Provider shall continue to perform its obligations under this </w:t>
      </w:r>
      <w:r w:rsidRPr="001A1836">
        <w:rPr>
          <w:bCs/>
        </w:rPr>
        <w:t>Agreement</w:t>
      </w:r>
      <w:r w:rsidRPr="001A1836">
        <w:t xml:space="preserve"> without the Change</w:t>
      </w:r>
      <w:r w:rsidR="00DF4523" w:rsidRPr="001A1836">
        <w:t xml:space="preserve"> provided that, where the Provider has requested the change as a result of Clause 8.5, the Parties shall attempt to agree upon a resolution to the matter and where a resolution cannot be reached, the matter shall be dealt with under the Dispute Resolution Procedure</w:t>
      </w:r>
      <w:r w:rsidRPr="001A1836">
        <w:t xml:space="preserve">: </w:t>
      </w:r>
    </w:p>
    <w:p w14:paraId="415A7322" w14:textId="77777777" w:rsidR="00B074CC" w:rsidRPr="001A1836" w:rsidRDefault="00B074CC">
      <w:pPr>
        <w:pStyle w:val="GSRL4numberedclause"/>
      </w:pPr>
      <w:r w:rsidRPr="001A1836">
        <w:t>In the event that the Change Control Note is agreed, the Change shall only become effective where the Change Control Note is signed by both Parties.</w:t>
      </w:r>
      <w:r w:rsidRPr="001A1836" w:rsidDel="003B4FB7">
        <w:t xml:space="preserve"> </w:t>
      </w:r>
    </w:p>
    <w:p w14:paraId="45FFB272" w14:textId="77777777" w:rsidR="00B074CC" w:rsidRPr="001A1836" w:rsidRDefault="00B074CC">
      <w:pPr>
        <w:pStyle w:val="GSRL4numberedclause"/>
      </w:pPr>
      <w:r w:rsidRPr="001A1836">
        <w:t>Where a Change Control Note relates to Additional Services or Ancillary Services the details shall be recorded in Schedule 2 (Additional and Ancillary Services).</w:t>
      </w:r>
    </w:p>
    <w:p w14:paraId="7D6DAA1C" w14:textId="77777777" w:rsidR="00B074CC" w:rsidRPr="001A1836" w:rsidRDefault="00B074CC">
      <w:pPr>
        <w:pStyle w:val="GSRL3heading"/>
      </w:pPr>
      <w:bookmarkStart w:id="1441" w:name="_Toc508608397"/>
      <w:bookmarkStart w:id="1442" w:name="_Toc521327036"/>
      <w:bookmarkStart w:id="1443" w:name="_Toc521333269"/>
      <w:bookmarkStart w:id="1444" w:name="_Toc521484006"/>
      <w:bookmarkStart w:id="1445" w:name="_Toc521484769"/>
      <w:bookmarkStart w:id="1446" w:name="_Toc521485100"/>
      <w:bookmarkStart w:id="1447" w:name="_Toc521496829"/>
      <w:bookmarkStart w:id="1448" w:name="_Toc521498271"/>
      <w:bookmarkStart w:id="1449" w:name="_Toc529346004"/>
      <w:bookmarkStart w:id="1450" w:name="_Toc129038207"/>
      <w:bookmarkStart w:id="1451" w:name="_Toc129038493"/>
      <w:bookmarkStart w:id="1452" w:name="_Toc132268063"/>
      <w:bookmarkStart w:id="1453" w:name="_Toc132268369"/>
      <w:bookmarkStart w:id="1454" w:name="_Toc136198620"/>
      <w:bookmarkStart w:id="1455" w:name="_Toc136198901"/>
      <w:r w:rsidRPr="001A1836">
        <w:t>Costs</w:t>
      </w:r>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r w:rsidRPr="001A1836">
        <w:t xml:space="preserve"> </w:t>
      </w:r>
    </w:p>
    <w:p w14:paraId="7323E72F" w14:textId="77777777" w:rsidR="00B074CC" w:rsidRPr="001A1836" w:rsidRDefault="00B074CC">
      <w:pPr>
        <w:pStyle w:val="GSRL4numberedclause"/>
      </w:pPr>
      <w:r w:rsidRPr="001A1836">
        <w:lastRenderedPageBreak/>
        <w:t xml:space="preserve">Each Party shall bear its own costs in relation to the preparation and agreement of each Change Control Note. </w:t>
      </w:r>
    </w:p>
    <w:p w14:paraId="4368EF62" w14:textId="77777777" w:rsidR="00B074CC" w:rsidRPr="001A1836" w:rsidRDefault="00B074CC">
      <w:pPr>
        <w:pStyle w:val="GSRL4numberedclause"/>
      </w:pPr>
      <w:r w:rsidRPr="001A1836">
        <w:t>Where the Change relates to Additional Services or Ancillary Services, the cost of all Changes shall be calculated on a time and materials basis, based on the rates set in Schedule 2 (Additional and Ancillary Services).</w:t>
      </w:r>
    </w:p>
    <w:p w14:paraId="2BB45F70" w14:textId="77777777" w:rsidR="00B074CC" w:rsidRPr="001A1836" w:rsidRDefault="00B074CC">
      <w:pPr>
        <w:pStyle w:val="GSRL4numberedclause"/>
      </w:pPr>
      <w:r w:rsidRPr="001A1836">
        <w:t>Where charges are not based on a known rate, they should be calculated on the basis of the principles of open book accounting and Schedule 5 (Financial Model and Gain Share).</w:t>
      </w:r>
    </w:p>
    <w:p w14:paraId="41BE278D" w14:textId="11078D43" w:rsidR="00B074CC" w:rsidRPr="001A1836" w:rsidRDefault="00B074CC" w:rsidP="009B0680">
      <w:pPr>
        <w:pStyle w:val="GSRL2Sectionheading"/>
        <w:tabs>
          <w:tab w:val="center" w:pos="4510"/>
          <w:tab w:val="right" w:pos="9020"/>
        </w:tabs>
        <w:jc w:val="left"/>
      </w:pPr>
      <w:r w:rsidRPr="001A1836">
        <w:br w:type="page"/>
      </w:r>
      <w:bookmarkStart w:id="1456" w:name="_Toc508608398"/>
      <w:bookmarkStart w:id="1457" w:name="_Toc521327037"/>
      <w:bookmarkStart w:id="1458" w:name="_Toc521333270"/>
      <w:bookmarkStart w:id="1459" w:name="_Toc521496830"/>
      <w:bookmarkStart w:id="1460" w:name="_Toc521498272"/>
      <w:bookmarkStart w:id="1461" w:name="_Toc529346005"/>
      <w:bookmarkStart w:id="1462" w:name="_Toc129038208"/>
      <w:bookmarkStart w:id="1463" w:name="_Toc129038494"/>
      <w:bookmarkStart w:id="1464" w:name="_Toc132268064"/>
      <w:bookmarkStart w:id="1465" w:name="_Toc132268370"/>
      <w:bookmarkStart w:id="1466" w:name="_Toc136198621"/>
      <w:bookmarkStart w:id="1467" w:name="_Toc136198902"/>
      <w:r w:rsidR="009B0680">
        <w:lastRenderedPageBreak/>
        <w:tab/>
      </w:r>
      <w:r w:rsidR="009B0680">
        <w:tab/>
      </w:r>
      <w:r w:rsidRPr="001A1836">
        <w:t>Annex 1</w:t>
      </w:r>
      <w:r w:rsidR="004C2FF4" w:rsidRPr="001A1836">
        <w:t xml:space="preserve"> –</w:t>
      </w:r>
      <w:r w:rsidRPr="001A1836">
        <w:t xml:space="preserve"> Change Control Note</w:t>
      </w:r>
      <w:bookmarkEnd w:id="1456"/>
      <w:bookmarkEnd w:id="1457"/>
      <w:bookmarkEnd w:id="1458"/>
      <w:bookmarkEnd w:id="1459"/>
      <w:bookmarkEnd w:id="1460"/>
      <w:bookmarkEnd w:id="1461"/>
      <w:bookmarkEnd w:id="1462"/>
      <w:bookmarkEnd w:id="1463"/>
      <w:bookmarkEnd w:id="1464"/>
      <w:bookmarkEnd w:id="1465"/>
      <w:bookmarkEnd w:id="1466"/>
      <w:bookmarkEnd w:id="1467"/>
      <w:r w:rsidR="009B0680">
        <w:tab/>
      </w:r>
    </w:p>
    <w:tbl>
      <w:tblPr>
        <w:tblW w:w="5000" w:type="pct"/>
        <w:tblBorders>
          <w:top w:val="nil"/>
          <w:left w:val="nil"/>
          <w:bottom w:val="nil"/>
          <w:right w:val="nil"/>
        </w:tblBorders>
        <w:tblCellMar>
          <w:top w:w="58" w:type="dxa"/>
          <w:left w:w="58" w:type="dxa"/>
          <w:bottom w:w="58" w:type="dxa"/>
          <w:right w:w="58" w:type="dxa"/>
        </w:tblCellMar>
        <w:tblLook w:val="0000" w:firstRow="0" w:lastRow="0" w:firstColumn="0" w:lastColumn="0" w:noHBand="0" w:noVBand="0"/>
      </w:tblPr>
      <w:tblGrid>
        <w:gridCol w:w="2252"/>
        <w:gridCol w:w="2252"/>
        <w:gridCol w:w="2253"/>
        <w:gridCol w:w="2253"/>
      </w:tblGrid>
      <w:tr w:rsidR="00B074CC" w:rsidRPr="001A1836" w14:paraId="4786E4B6" w14:textId="77777777" w:rsidTr="00626054">
        <w:trPr>
          <w:trHeight w:val="146"/>
        </w:trPr>
        <w:tc>
          <w:tcPr>
            <w:tcW w:w="1250" w:type="pct"/>
            <w:tcBorders>
              <w:top w:val="single" w:sz="4" w:space="0" w:color="000000"/>
              <w:left w:val="single" w:sz="4" w:space="0" w:color="000000"/>
              <w:bottom w:val="single" w:sz="4" w:space="0" w:color="000000"/>
              <w:right w:val="single" w:sz="4" w:space="0" w:color="000000"/>
            </w:tcBorders>
          </w:tcPr>
          <w:p w14:paraId="37001A39" w14:textId="77777777" w:rsidR="00B074CC" w:rsidRPr="001A1836" w:rsidRDefault="00B074CC" w:rsidP="00626054">
            <w:pPr>
              <w:pStyle w:val="Normal8"/>
              <w:spacing w:after="360"/>
              <w:rPr>
                <w:color w:val="000000"/>
                <w:sz w:val="22"/>
                <w:szCs w:val="22"/>
              </w:rPr>
            </w:pPr>
            <w:r w:rsidRPr="001A1836">
              <w:rPr>
                <w:color w:val="000000"/>
                <w:sz w:val="22"/>
                <w:szCs w:val="22"/>
              </w:rPr>
              <w:t xml:space="preserve">CCN NO.: </w:t>
            </w:r>
          </w:p>
        </w:tc>
        <w:tc>
          <w:tcPr>
            <w:tcW w:w="3750" w:type="pct"/>
            <w:gridSpan w:val="3"/>
            <w:tcBorders>
              <w:top w:val="single" w:sz="4" w:space="0" w:color="000000"/>
              <w:left w:val="single" w:sz="4" w:space="0" w:color="000000"/>
              <w:bottom w:val="single" w:sz="4" w:space="0" w:color="000000"/>
              <w:right w:val="single" w:sz="4" w:space="0" w:color="000000"/>
            </w:tcBorders>
          </w:tcPr>
          <w:p w14:paraId="19FAD9EC" w14:textId="77777777" w:rsidR="00B074CC" w:rsidRPr="001A1836" w:rsidRDefault="00B074CC" w:rsidP="00626054">
            <w:pPr>
              <w:pStyle w:val="Normal8"/>
              <w:spacing w:after="360"/>
              <w:rPr>
                <w:color w:val="000000"/>
                <w:sz w:val="22"/>
                <w:szCs w:val="22"/>
              </w:rPr>
            </w:pPr>
            <w:r w:rsidRPr="001A1836">
              <w:rPr>
                <w:color w:val="000000"/>
                <w:sz w:val="22"/>
                <w:szCs w:val="22"/>
              </w:rPr>
              <w:t xml:space="preserve">TITLE OF CHANGE: </w:t>
            </w:r>
          </w:p>
        </w:tc>
      </w:tr>
      <w:tr w:rsidR="00B074CC" w:rsidRPr="001A1836" w14:paraId="2D0582DF" w14:textId="77777777" w:rsidTr="00626054">
        <w:trPr>
          <w:trHeight w:val="146"/>
        </w:trPr>
        <w:tc>
          <w:tcPr>
            <w:tcW w:w="1250" w:type="pct"/>
            <w:tcBorders>
              <w:top w:val="single" w:sz="4" w:space="0" w:color="000000"/>
              <w:left w:val="single" w:sz="4" w:space="0" w:color="000000"/>
              <w:bottom w:val="single" w:sz="4" w:space="0" w:color="000000"/>
              <w:right w:val="single" w:sz="4" w:space="0" w:color="000000"/>
            </w:tcBorders>
          </w:tcPr>
          <w:p w14:paraId="1D00F9E1" w14:textId="77777777" w:rsidR="00B074CC" w:rsidRPr="001A1836" w:rsidRDefault="00B074CC" w:rsidP="00626054">
            <w:pPr>
              <w:pStyle w:val="Normal8"/>
              <w:spacing w:after="360"/>
              <w:rPr>
                <w:color w:val="000000"/>
                <w:sz w:val="22"/>
                <w:szCs w:val="22"/>
              </w:rPr>
            </w:pPr>
            <w:r w:rsidRPr="001A1836">
              <w:rPr>
                <w:color w:val="000000"/>
                <w:sz w:val="22"/>
                <w:szCs w:val="22"/>
              </w:rPr>
              <w:t xml:space="preserve">ORIGINATOR: </w:t>
            </w:r>
          </w:p>
        </w:tc>
        <w:tc>
          <w:tcPr>
            <w:tcW w:w="1250" w:type="pct"/>
            <w:tcBorders>
              <w:top w:val="single" w:sz="4" w:space="0" w:color="000000"/>
              <w:left w:val="single" w:sz="4" w:space="0" w:color="000000"/>
              <w:bottom w:val="single" w:sz="4" w:space="0" w:color="000000"/>
              <w:right w:val="single" w:sz="4" w:space="0" w:color="000000"/>
            </w:tcBorders>
          </w:tcPr>
          <w:p w14:paraId="497EE575" w14:textId="77777777" w:rsidR="00B074CC" w:rsidRPr="001A1836" w:rsidRDefault="00B074CC" w:rsidP="00626054">
            <w:pPr>
              <w:pStyle w:val="Normal8"/>
              <w:spacing w:after="360"/>
              <w:rPr>
                <w:color w:val="000000"/>
                <w:sz w:val="22"/>
                <w:szCs w:val="22"/>
              </w:rPr>
            </w:pPr>
            <w:r w:rsidRPr="001A1836">
              <w:rPr>
                <w:color w:val="000000"/>
                <w:sz w:val="22"/>
                <w:szCs w:val="22"/>
              </w:rPr>
              <w:t xml:space="preserve">DATE RAISED: </w:t>
            </w:r>
          </w:p>
        </w:tc>
        <w:tc>
          <w:tcPr>
            <w:tcW w:w="1250" w:type="pct"/>
            <w:tcBorders>
              <w:top w:val="single" w:sz="4" w:space="0" w:color="000000"/>
              <w:left w:val="single" w:sz="4" w:space="0" w:color="000000"/>
              <w:bottom w:val="single" w:sz="4" w:space="0" w:color="000000"/>
              <w:right w:val="single" w:sz="4" w:space="0" w:color="000000"/>
            </w:tcBorders>
          </w:tcPr>
          <w:p w14:paraId="2435A69A" w14:textId="77777777" w:rsidR="00B074CC" w:rsidRPr="001A1836" w:rsidRDefault="00B074CC" w:rsidP="00626054">
            <w:pPr>
              <w:pStyle w:val="Normal8"/>
              <w:spacing w:after="360"/>
              <w:rPr>
                <w:color w:val="000000"/>
                <w:sz w:val="22"/>
                <w:szCs w:val="22"/>
              </w:rPr>
            </w:pPr>
            <w:r w:rsidRPr="001A1836">
              <w:rPr>
                <w:color w:val="000000"/>
                <w:sz w:val="22"/>
                <w:szCs w:val="22"/>
              </w:rPr>
              <w:t>DATE OF EXPIRY:</w:t>
            </w:r>
          </w:p>
        </w:tc>
        <w:tc>
          <w:tcPr>
            <w:tcW w:w="1250" w:type="pct"/>
            <w:tcBorders>
              <w:top w:val="single" w:sz="4" w:space="0" w:color="000000"/>
              <w:left w:val="single" w:sz="4" w:space="0" w:color="000000"/>
              <w:bottom w:val="single" w:sz="4" w:space="0" w:color="000000"/>
              <w:right w:val="single" w:sz="4" w:space="0" w:color="000000"/>
            </w:tcBorders>
          </w:tcPr>
          <w:p w14:paraId="39452768" w14:textId="77777777" w:rsidR="00B074CC" w:rsidRPr="001A1836" w:rsidRDefault="00B074CC" w:rsidP="00626054">
            <w:pPr>
              <w:pStyle w:val="Normal8"/>
              <w:spacing w:after="360"/>
              <w:rPr>
                <w:color w:val="000000"/>
                <w:sz w:val="22"/>
                <w:szCs w:val="22"/>
              </w:rPr>
            </w:pPr>
            <w:r w:rsidRPr="001A1836">
              <w:rPr>
                <w:color w:val="000000"/>
                <w:sz w:val="22"/>
                <w:szCs w:val="22"/>
              </w:rPr>
              <w:t xml:space="preserve">DATE REQUIRED BY: </w:t>
            </w:r>
          </w:p>
        </w:tc>
      </w:tr>
      <w:tr w:rsidR="00B074CC" w:rsidRPr="001A1836" w14:paraId="3CD23760" w14:textId="77777777" w:rsidTr="00626054">
        <w:trPr>
          <w:trHeight w:val="146"/>
        </w:trPr>
        <w:tc>
          <w:tcPr>
            <w:tcW w:w="5000" w:type="pct"/>
            <w:gridSpan w:val="4"/>
            <w:tcBorders>
              <w:top w:val="single" w:sz="4" w:space="0" w:color="000000"/>
              <w:left w:val="single" w:sz="4" w:space="0" w:color="000000"/>
              <w:bottom w:val="single" w:sz="4" w:space="0" w:color="000000"/>
              <w:right w:val="single" w:sz="4" w:space="0" w:color="000000"/>
            </w:tcBorders>
          </w:tcPr>
          <w:p w14:paraId="477A606E" w14:textId="77777777" w:rsidR="00B074CC" w:rsidRPr="001A1836" w:rsidRDefault="00B074CC" w:rsidP="00626054">
            <w:pPr>
              <w:pStyle w:val="Normal8"/>
              <w:spacing w:after="360"/>
              <w:rPr>
                <w:color w:val="000000"/>
                <w:sz w:val="22"/>
                <w:szCs w:val="22"/>
              </w:rPr>
            </w:pPr>
            <w:r w:rsidRPr="001A1836">
              <w:rPr>
                <w:color w:val="000000"/>
                <w:sz w:val="22"/>
                <w:szCs w:val="22"/>
              </w:rPr>
              <w:t xml:space="preserve">REASON FOR CHANGE: </w:t>
            </w:r>
          </w:p>
        </w:tc>
      </w:tr>
      <w:tr w:rsidR="00B074CC" w:rsidRPr="001A1836" w14:paraId="7952D388" w14:textId="77777777" w:rsidTr="00626054">
        <w:trPr>
          <w:trHeight w:val="146"/>
        </w:trPr>
        <w:tc>
          <w:tcPr>
            <w:tcW w:w="5000" w:type="pct"/>
            <w:gridSpan w:val="4"/>
            <w:tcBorders>
              <w:top w:val="single" w:sz="4" w:space="0" w:color="000000"/>
              <w:left w:val="single" w:sz="4" w:space="0" w:color="000000"/>
              <w:bottom w:val="single" w:sz="4" w:space="0" w:color="000000"/>
              <w:right w:val="single" w:sz="4" w:space="0" w:color="000000"/>
            </w:tcBorders>
          </w:tcPr>
          <w:p w14:paraId="67A3286D" w14:textId="77777777" w:rsidR="00B074CC" w:rsidRPr="001A1836" w:rsidRDefault="00B074CC" w:rsidP="00626054">
            <w:pPr>
              <w:pStyle w:val="Normal8"/>
              <w:spacing w:after="360"/>
              <w:rPr>
                <w:color w:val="000000"/>
                <w:sz w:val="22"/>
                <w:szCs w:val="22"/>
              </w:rPr>
            </w:pPr>
            <w:r w:rsidRPr="001A1836">
              <w:rPr>
                <w:color w:val="000000"/>
                <w:sz w:val="22"/>
                <w:szCs w:val="22"/>
              </w:rPr>
              <w:t xml:space="preserve">TIMETABLE FOR IMPLEMENTATION: </w:t>
            </w:r>
          </w:p>
        </w:tc>
      </w:tr>
      <w:tr w:rsidR="00B074CC" w:rsidRPr="001A1836" w14:paraId="3EE960E3" w14:textId="77777777" w:rsidTr="00626054">
        <w:trPr>
          <w:trHeight w:val="146"/>
        </w:trPr>
        <w:tc>
          <w:tcPr>
            <w:tcW w:w="5000" w:type="pct"/>
            <w:gridSpan w:val="4"/>
            <w:tcBorders>
              <w:top w:val="single" w:sz="4" w:space="0" w:color="000000"/>
              <w:left w:val="single" w:sz="4" w:space="0" w:color="000000"/>
              <w:bottom w:val="single" w:sz="4" w:space="0" w:color="000000"/>
              <w:right w:val="single" w:sz="4" w:space="0" w:color="000000"/>
            </w:tcBorders>
          </w:tcPr>
          <w:p w14:paraId="798A04DC" w14:textId="77777777" w:rsidR="00B074CC" w:rsidRPr="001A1836" w:rsidRDefault="00B074CC" w:rsidP="00626054">
            <w:pPr>
              <w:pStyle w:val="Normal8"/>
              <w:spacing w:after="360"/>
              <w:jc w:val="both"/>
              <w:rPr>
                <w:color w:val="000000"/>
                <w:sz w:val="22"/>
                <w:szCs w:val="22"/>
              </w:rPr>
            </w:pPr>
            <w:r w:rsidRPr="001A1836">
              <w:rPr>
                <w:color w:val="000000"/>
                <w:sz w:val="22"/>
                <w:szCs w:val="22"/>
              </w:rPr>
              <w:t xml:space="preserve">DESCRIPTION OF CHANGE: </w:t>
            </w:r>
          </w:p>
        </w:tc>
      </w:tr>
      <w:tr w:rsidR="00B074CC" w:rsidRPr="001A1836" w14:paraId="3E8EE645" w14:textId="77777777" w:rsidTr="00626054">
        <w:trPr>
          <w:trHeight w:val="146"/>
        </w:trPr>
        <w:tc>
          <w:tcPr>
            <w:tcW w:w="5000" w:type="pct"/>
            <w:gridSpan w:val="4"/>
            <w:tcBorders>
              <w:top w:val="single" w:sz="4" w:space="0" w:color="000000"/>
              <w:left w:val="single" w:sz="4" w:space="0" w:color="000000"/>
              <w:bottom w:val="single" w:sz="4" w:space="0" w:color="000000"/>
              <w:right w:val="single" w:sz="4" w:space="0" w:color="000000"/>
            </w:tcBorders>
          </w:tcPr>
          <w:p w14:paraId="1A36ACC6" w14:textId="77777777" w:rsidR="00B074CC" w:rsidRPr="001A1836" w:rsidRDefault="00B074CC" w:rsidP="00626054">
            <w:pPr>
              <w:pStyle w:val="Normal8"/>
              <w:spacing w:after="360"/>
              <w:jc w:val="both"/>
              <w:rPr>
                <w:color w:val="000000"/>
                <w:sz w:val="22"/>
                <w:szCs w:val="22"/>
              </w:rPr>
            </w:pPr>
            <w:r w:rsidRPr="001A1836">
              <w:rPr>
                <w:color w:val="000000"/>
                <w:sz w:val="22"/>
                <w:szCs w:val="22"/>
              </w:rPr>
              <w:t xml:space="preserve">COST IMPACT / PROPOSED ADJUSTMENT TO CHARGES / PAYMENTS PROFILE: </w:t>
            </w:r>
          </w:p>
        </w:tc>
      </w:tr>
      <w:tr w:rsidR="00B074CC" w:rsidRPr="001A1836" w14:paraId="1C7493AE" w14:textId="77777777" w:rsidTr="00626054">
        <w:trPr>
          <w:trHeight w:val="146"/>
        </w:trPr>
        <w:tc>
          <w:tcPr>
            <w:tcW w:w="5000" w:type="pct"/>
            <w:gridSpan w:val="4"/>
            <w:tcBorders>
              <w:top w:val="single" w:sz="4" w:space="0" w:color="auto"/>
              <w:left w:val="single" w:sz="4" w:space="0" w:color="auto"/>
              <w:bottom w:val="single" w:sz="6" w:space="0" w:color="auto"/>
              <w:right w:val="single" w:sz="4" w:space="0" w:color="auto"/>
            </w:tcBorders>
          </w:tcPr>
          <w:p w14:paraId="0B24C3B4" w14:textId="77777777" w:rsidR="00B074CC" w:rsidRPr="001A1836" w:rsidRDefault="00B074CC" w:rsidP="00626054">
            <w:pPr>
              <w:pStyle w:val="Normal8"/>
              <w:spacing w:after="360"/>
              <w:jc w:val="both"/>
              <w:rPr>
                <w:color w:val="000000"/>
                <w:sz w:val="22"/>
                <w:szCs w:val="22"/>
              </w:rPr>
            </w:pPr>
            <w:r w:rsidRPr="001A1836">
              <w:rPr>
                <w:color w:val="000000"/>
                <w:sz w:val="22"/>
                <w:szCs w:val="22"/>
              </w:rPr>
              <w:t xml:space="preserve">IMPACT ON SERVICES: </w:t>
            </w:r>
          </w:p>
        </w:tc>
      </w:tr>
      <w:tr w:rsidR="00B074CC" w:rsidRPr="001A1836" w14:paraId="4F56431C" w14:textId="77777777" w:rsidTr="00626054">
        <w:trPr>
          <w:trHeight w:val="146"/>
        </w:trPr>
        <w:tc>
          <w:tcPr>
            <w:tcW w:w="5000" w:type="pct"/>
            <w:gridSpan w:val="4"/>
            <w:tcBorders>
              <w:top w:val="single" w:sz="6" w:space="0" w:color="000000"/>
              <w:left w:val="single" w:sz="6" w:space="0" w:color="000000"/>
              <w:bottom w:val="single" w:sz="6" w:space="0" w:color="000000"/>
              <w:right w:val="single" w:sz="6" w:space="0" w:color="000000"/>
            </w:tcBorders>
          </w:tcPr>
          <w:p w14:paraId="3F523208" w14:textId="77777777" w:rsidR="00B074CC" w:rsidRPr="001A1836" w:rsidRDefault="00B074CC" w:rsidP="00626054">
            <w:pPr>
              <w:pStyle w:val="Normal8"/>
              <w:rPr>
                <w:color w:val="000000"/>
                <w:sz w:val="22"/>
                <w:szCs w:val="22"/>
              </w:rPr>
            </w:pPr>
            <w:r w:rsidRPr="001A1836">
              <w:rPr>
                <w:color w:val="000000"/>
                <w:sz w:val="22"/>
                <w:szCs w:val="22"/>
              </w:rPr>
              <w:t xml:space="preserve">APPROVALS </w:t>
            </w:r>
          </w:p>
        </w:tc>
      </w:tr>
      <w:tr w:rsidR="00B074CC" w:rsidRPr="001A1836" w14:paraId="713E36C9" w14:textId="77777777" w:rsidTr="00626054">
        <w:trPr>
          <w:trHeight w:val="146"/>
        </w:trPr>
        <w:tc>
          <w:tcPr>
            <w:tcW w:w="2500" w:type="pct"/>
            <w:gridSpan w:val="2"/>
            <w:tcBorders>
              <w:top w:val="single" w:sz="6" w:space="0" w:color="000000"/>
              <w:left w:val="single" w:sz="6" w:space="0" w:color="000000"/>
              <w:bottom w:val="single" w:sz="6" w:space="0" w:color="000000"/>
              <w:right w:val="single" w:sz="6" w:space="0" w:color="000000"/>
            </w:tcBorders>
          </w:tcPr>
          <w:p w14:paraId="3B5959B8" w14:textId="77777777" w:rsidR="00B074CC" w:rsidRPr="001A1836" w:rsidRDefault="00B074CC" w:rsidP="00626054">
            <w:pPr>
              <w:pStyle w:val="Normal8"/>
              <w:rPr>
                <w:color w:val="000000"/>
                <w:sz w:val="22"/>
                <w:szCs w:val="22"/>
              </w:rPr>
            </w:pPr>
            <w:r w:rsidRPr="001A1836">
              <w:rPr>
                <w:color w:val="000000"/>
                <w:sz w:val="22"/>
                <w:szCs w:val="22"/>
              </w:rPr>
              <w:t xml:space="preserve">SIGNED ON BEHALF OF HSE: </w:t>
            </w:r>
          </w:p>
        </w:tc>
        <w:tc>
          <w:tcPr>
            <w:tcW w:w="2500" w:type="pct"/>
            <w:gridSpan w:val="2"/>
            <w:tcBorders>
              <w:top w:val="single" w:sz="6" w:space="0" w:color="000000"/>
              <w:left w:val="single" w:sz="6" w:space="0" w:color="000000"/>
              <w:bottom w:val="single" w:sz="6" w:space="0" w:color="000000"/>
              <w:right w:val="single" w:sz="6" w:space="0" w:color="000000"/>
            </w:tcBorders>
          </w:tcPr>
          <w:p w14:paraId="6DD3CBCC" w14:textId="77777777" w:rsidR="00B074CC" w:rsidRPr="001A1836" w:rsidRDefault="00B074CC" w:rsidP="00626054">
            <w:pPr>
              <w:pStyle w:val="Normal8"/>
              <w:rPr>
                <w:color w:val="000000"/>
                <w:sz w:val="22"/>
                <w:szCs w:val="22"/>
              </w:rPr>
            </w:pPr>
            <w:r w:rsidRPr="001A1836">
              <w:rPr>
                <w:color w:val="000000"/>
                <w:sz w:val="22"/>
                <w:szCs w:val="22"/>
              </w:rPr>
              <w:t xml:space="preserve">SIGNED ON BEHALF OF PROVIDER: </w:t>
            </w:r>
          </w:p>
        </w:tc>
      </w:tr>
      <w:tr w:rsidR="00B074CC" w:rsidRPr="001A1836" w14:paraId="5F9DB438" w14:textId="77777777" w:rsidTr="00626054">
        <w:trPr>
          <w:trHeight w:val="146"/>
        </w:trPr>
        <w:tc>
          <w:tcPr>
            <w:tcW w:w="2500" w:type="pct"/>
            <w:gridSpan w:val="2"/>
            <w:tcBorders>
              <w:top w:val="single" w:sz="6" w:space="0" w:color="000000"/>
              <w:left w:val="single" w:sz="6" w:space="0" w:color="000000"/>
              <w:bottom w:val="single" w:sz="6" w:space="0" w:color="000000"/>
              <w:right w:val="single" w:sz="6" w:space="0" w:color="000000"/>
            </w:tcBorders>
          </w:tcPr>
          <w:p w14:paraId="7AC8A996" w14:textId="77777777" w:rsidR="00B074CC" w:rsidRPr="001A1836" w:rsidRDefault="00B074CC" w:rsidP="00626054">
            <w:pPr>
              <w:pStyle w:val="Normal8"/>
              <w:rPr>
                <w:color w:val="000000"/>
                <w:sz w:val="22"/>
                <w:szCs w:val="22"/>
              </w:rPr>
            </w:pPr>
            <w:r w:rsidRPr="001A1836">
              <w:rPr>
                <w:color w:val="000000"/>
                <w:sz w:val="22"/>
                <w:szCs w:val="22"/>
              </w:rPr>
              <w:t xml:space="preserve">Signature:_____________________ </w:t>
            </w:r>
          </w:p>
        </w:tc>
        <w:tc>
          <w:tcPr>
            <w:tcW w:w="2500" w:type="pct"/>
            <w:gridSpan w:val="2"/>
            <w:tcBorders>
              <w:top w:val="single" w:sz="6" w:space="0" w:color="000000"/>
              <w:left w:val="single" w:sz="6" w:space="0" w:color="000000"/>
              <w:bottom w:val="single" w:sz="6" w:space="0" w:color="000000"/>
              <w:right w:val="single" w:sz="6" w:space="0" w:color="000000"/>
            </w:tcBorders>
          </w:tcPr>
          <w:p w14:paraId="7F1EE755" w14:textId="77777777" w:rsidR="00B074CC" w:rsidRPr="001A1836" w:rsidRDefault="00B074CC" w:rsidP="00626054">
            <w:pPr>
              <w:pStyle w:val="Normal8"/>
              <w:rPr>
                <w:color w:val="000000"/>
                <w:sz w:val="22"/>
                <w:szCs w:val="22"/>
              </w:rPr>
            </w:pPr>
            <w:r w:rsidRPr="001A1836">
              <w:rPr>
                <w:color w:val="000000"/>
                <w:sz w:val="22"/>
                <w:szCs w:val="22"/>
              </w:rPr>
              <w:t xml:space="preserve">Signature:_____________________ </w:t>
            </w:r>
          </w:p>
        </w:tc>
      </w:tr>
      <w:tr w:rsidR="00B074CC" w:rsidRPr="001A1836" w14:paraId="697216BF" w14:textId="77777777" w:rsidTr="00626054">
        <w:trPr>
          <w:trHeight w:val="146"/>
        </w:trPr>
        <w:tc>
          <w:tcPr>
            <w:tcW w:w="2500" w:type="pct"/>
            <w:gridSpan w:val="2"/>
            <w:tcBorders>
              <w:top w:val="single" w:sz="6" w:space="0" w:color="000000"/>
              <w:left w:val="single" w:sz="6" w:space="0" w:color="000000"/>
              <w:bottom w:val="single" w:sz="6" w:space="0" w:color="000000"/>
              <w:right w:val="single" w:sz="6" w:space="0" w:color="000000"/>
            </w:tcBorders>
          </w:tcPr>
          <w:p w14:paraId="4017AA6D" w14:textId="77777777" w:rsidR="00B074CC" w:rsidRPr="001A1836" w:rsidRDefault="00B074CC" w:rsidP="00626054">
            <w:pPr>
              <w:pStyle w:val="Normal8"/>
              <w:rPr>
                <w:color w:val="000000"/>
                <w:sz w:val="22"/>
                <w:szCs w:val="22"/>
              </w:rPr>
            </w:pPr>
            <w:r w:rsidRPr="001A1836">
              <w:rPr>
                <w:color w:val="000000"/>
                <w:sz w:val="22"/>
                <w:szCs w:val="22"/>
              </w:rPr>
              <w:t xml:space="preserve">Name:________________________ </w:t>
            </w:r>
          </w:p>
        </w:tc>
        <w:tc>
          <w:tcPr>
            <w:tcW w:w="2500" w:type="pct"/>
            <w:gridSpan w:val="2"/>
            <w:tcBorders>
              <w:top w:val="single" w:sz="6" w:space="0" w:color="000000"/>
              <w:left w:val="single" w:sz="6" w:space="0" w:color="000000"/>
              <w:bottom w:val="single" w:sz="6" w:space="0" w:color="000000"/>
              <w:right w:val="single" w:sz="6" w:space="0" w:color="000000"/>
            </w:tcBorders>
          </w:tcPr>
          <w:p w14:paraId="66F1E885" w14:textId="77777777" w:rsidR="00B074CC" w:rsidRPr="001A1836" w:rsidRDefault="00B074CC" w:rsidP="00626054">
            <w:pPr>
              <w:pStyle w:val="Normal8"/>
              <w:rPr>
                <w:color w:val="000000"/>
                <w:sz w:val="22"/>
                <w:szCs w:val="22"/>
              </w:rPr>
            </w:pPr>
            <w:r w:rsidRPr="001A1836">
              <w:rPr>
                <w:color w:val="000000"/>
                <w:sz w:val="22"/>
                <w:szCs w:val="22"/>
              </w:rPr>
              <w:t xml:space="preserve">Name:________________________ </w:t>
            </w:r>
          </w:p>
        </w:tc>
      </w:tr>
      <w:tr w:rsidR="00B074CC" w:rsidRPr="001A1836" w14:paraId="553A5E39" w14:textId="77777777" w:rsidTr="00626054">
        <w:trPr>
          <w:trHeight w:val="146"/>
        </w:trPr>
        <w:tc>
          <w:tcPr>
            <w:tcW w:w="2500" w:type="pct"/>
            <w:gridSpan w:val="2"/>
            <w:tcBorders>
              <w:top w:val="single" w:sz="6" w:space="0" w:color="000000"/>
              <w:left w:val="single" w:sz="6" w:space="0" w:color="000000"/>
              <w:bottom w:val="single" w:sz="6" w:space="0" w:color="000000"/>
              <w:right w:val="single" w:sz="6" w:space="0" w:color="000000"/>
            </w:tcBorders>
          </w:tcPr>
          <w:p w14:paraId="58DF94D2" w14:textId="77777777" w:rsidR="00B074CC" w:rsidRPr="001A1836" w:rsidRDefault="00B074CC" w:rsidP="00626054">
            <w:pPr>
              <w:pStyle w:val="Normal8"/>
              <w:rPr>
                <w:color w:val="000000"/>
                <w:sz w:val="22"/>
                <w:szCs w:val="22"/>
              </w:rPr>
            </w:pPr>
            <w:r w:rsidRPr="001A1836">
              <w:rPr>
                <w:color w:val="000000"/>
                <w:sz w:val="22"/>
                <w:szCs w:val="22"/>
              </w:rPr>
              <w:t xml:space="preserve">Position:______________________ </w:t>
            </w:r>
          </w:p>
        </w:tc>
        <w:tc>
          <w:tcPr>
            <w:tcW w:w="2500" w:type="pct"/>
            <w:gridSpan w:val="2"/>
            <w:tcBorders>
              <w:top w:val="single" w:sz="6" w:space="0" w:color="000000"/>
              <w:left w:val="single" w:sz="6" w:space="0" w:color="000000"/>
              <w:bottom w:val="single" w:sz="6" w:space="0" w:color="000000"/>
              <w:right w:val="single" w:sz="6" w:space="0" w:color="000000"/>
            </w:tcBorders>
          </w:tcPr>
          <w:p w14:paraId="145D2AA9" w14:textId="77777777" w:rsidR="00B074CC" w:rsidRPr="001A1836" w:rsidRDefault="00B074CC" w:rsidP="00626054">
            <w:pPr>
              <w:pStyle w:val="Normal8"/>
              <w:rPr>
                <w:color w:val="000000"/>
                <w:sz w:val="22"/>
                <w:szCs w:val="22"/>
              </w:rPr>
            </w:pPr>
            <w:r w:rsidRPr="001A1836">
              <w:rPr>
                <w:color w:val="000000"/>
                <w:sz w:val="22"/>
                <w:szCs w:val="22"/>
              </w:rPr>
              <w:t xml:space="preserve">Position:______________________ </w:t>
            </w:r>
          </w:p>
        </w:tc>
      </w:tr>
      <w:tr w:rsidR="00B074CC" w:rsidRPr="001A1836" w14:paraId="390129BF" w14:textId="77777777" w:rsidTr="00626054">
        <w:trPr>
          <w:trHeight w:val="146"/>
        </w:trPr>
        <w:tc>
          <w:tcPr>
            <w:tcW w:w="2500" w:type="pct"/>
            <w:gridSpan w:val="2"/>
            <w:tcBorders>
              <w:top w:val="single" w:sz="6" w:space="0" w:color="000000"/>
              <w:left w:val="single" w:sz="6" w:space="0" w:color="000000"/>
              <w:bottom w:val="single" w:sz="6" w:space="0" w:color="000000"/>
              <w:right w:val="single" w:sz="6" w:space="0" w:color="000000"/>
            </w:tcBorders>
          </w:tcPr>
          <w:p w14:paraId="3B3D9FD4" w14:textId="77777777" w:rsidR="00B074CC" w:rsidRPr="001A1836" w:rsidRDefault="00B074CC" w:rsidP="00626054">
            <w:pPr>
              <w:pStyle w:val="Normal8"/>
              <w:rPr>
                <w:color w:val="000000"/>
                <w:sz w:val="22"/>
                <w:szCs w:val="22"/>
              </w:rPr>
            </w:pPr>
            <w:r w:rsidRPr="001A1836">
              <w:rPr>
                <w:color w:val="000000"/>
                <w:sz w:val="22"/>
                <w:szCs w:val="22"/>
              </w:rPr>
              <w:t xml:space="preserve">Date:________________________ </w:t>
            </w:r>
          </w:p>
        </w:tc>
        <w:tc>
          <w:tcPr>
            <w:tcW w:w="2500" w:type="pct"/>
            <w:gridSpan w:val="2"/>
            <w:tcBorders>
              <w:top w:val="single" w:sz="6" w:space="0" w:color="000000"/>
              <w:left w:val="single" w:sz="6" w:space="0" w:color="000000"/>
              <w:bottom w:val="single" w:sz="6" w:space="0" w:color="000000"/>
              <w:right w:val="single" w:sz="6" w:space="0" w:color="000000"/>
            </w:tcBorders>
          </w:tcPr>
          <w:p w14:paraId="462949CD" w14:textId="77777777" w:rsidR="00B074CC" w:rsidRPr="001A1836" w:rsidRDefault="00B074CC" w:rsidP="00626054">
            <w:pPr>
              <w:pStyle w:val="Normal8"/>
              <w:rPr>
                <w:color w:val="000000"/>
                <w:sz w:val="22"/>
                <w:szCs w:val="22"/>
              </w:rPr>
            </w:pPr>
            <w:r w:rsidRPr="001A1836">
              <w:rPr>
                <w:color w:val="000000"/>
                <w:sz w:val="22"/>
                <w:szCs w:val="22"/>
              </w:rPr>
              <w:t xml:space="preserve">Date:_________________________ </w:t>
            </w:r>
          </w:p>
        </w:tc>
      </w:tr>
    </w:tbl>
    <w:p w14:paraId="7CAB49EB" w14:textId="77777777" w:rsidR="00B074CC" w:rsidRPr="001A1836" w:rsidRDefault="00B074CC" w:rsidP="00626054"/>
    <w:p w14:paraId="523FABCA" w14:textId="77777777" w:rsidR="00B074CC" w:rsidRPr="001A1836" w:rsidRDefault="00B074CC"/>
    <w:bookmarkEnd w:id="1381"/>
    <w:p w14:paraId="4A5612FC" w14:textId="5DCB991F" w:rsidR="00B074CC" w:rsidRPr="001A1836" w:rsidRDefault="00B074CC" w:rsidP="009064B4"/>
    <w:p w14:paraId="0285941B" w14:textId="77777777" w:rsidR="00B074CC" w:rsidRPr="001A1836" w:rsidRDefault="00B074CC" w:rsidP="009064B4"/>
    <w:p w14:paraId="598F7439" w14:textId="77777777" w:rsidR="00B074CC" w:rsidRPr="001A1836" w:rsidRDefault="00B074CC" w:rsidP="009064B4"/>
    <w:p w14:paraId="6F6A9330" w14:textId="77777777" w:rsidR="00B074CC" w:rsidRPr="001A1836" w:rsidRDefault="00B074CC" w:rsidP="009064B4"/>
    <w:p w14:paraId="257EE129" w14:textId="77777777" w:rsidR="00394111" w:rsidRPr="001A1836" w:rsidRDefault="00394111" w:rsidP="009064B4">
      <w:pPr>
        <w:pStyle w:val="GSRL1Scheduleheader"/>
        <w:sectPr w:rsidR="00394111" w:rsidRPr="001A1836" w:rsidSect="00F87B8D">
          <w:footerReference w:type="default" r:id="rId20"/>
          <w:pgSz w:w="11900" w:h="16840"/>
          <w:pgMar w:top="1134" w:right="1440" w:bottom="1440" w:left="1440" w:header="1077" w:footer="833" w:gutter="0"/>
          <w:cols w:space="708"/>
        </w:sectPr>
      </w:pPr>
    </w:p>
    <w:p w14:paraId="669D792B" w14:textId="270C7F5D" w:rsidR="00B074CC" w:rsidRPr="001A1836" w:rsidRDefault="00B074CC" w:rsidP="009064B4">
      <w:pPr>
        <w:pStyle w:val="GSRL1Scheduleheader"/>
      </w:pPr>
      <w:bookmarkStart w:id="1468" w:name="_Toc129038209"/>
      <w:bookmarkStart w:id="1469" w:name="_Toc129038495"/>
      <w:bookmarkStart w:id="1470" w:name="_Toc132268065"/>
      <w:bookmarkStart w:id="1471" w:name="_Toc132268371"/>
      <w:bookmarkStart w:id="1472" w:name="_Toc136198622"/>
      <w:bookmarkStart w:id="1473" w:name="_Toc136198903"/>
      <w:bookmarkStart w:id="1474" w:name="_Toc188885253"/>
      <w:r w:rsidRPr="001A1836">
        <w:lastRenderedPageBreak/>
        <w:t xml:space="preserve">SCHEDULE 7: </w:t>
      </w:r>
      <w:r w:rsidR="004C2FF4" w:rsidRPr="001A1836">
        <w:t>Policies</w:t>
      </w:r>
      <w:bookmarkEnd w:id="1468"/>
      <w:bookmarkEnd w:id="1469"/>
      <w:bookmarkEnd w:id="1470"/>
      <w:bookmarkEnd w:id="1471"/>
      <w:bookmarkEnd w:id="1472"/>
      <w:bookmarkEnd w:id="1473"/>
      <w:bookmarkEnd w:id="1474"/>
    </w:p>
    <w:p w14:paraId="423E53A4" w14:textId="77777777" w:rsidR="00B074CC" w:rsidRPr="001A1836" w:rsidRDefault="00B074CC" w:rsidP="009064B4"/>
    <w:p w14:paraId="3989F4FA" w14:textId="260DFDFA" w:rsidR="00B074CC" w:rsidRPr="001A1836" w:rsidRDefault="00B074CC" w:rsidP="00626054"/>
    <w:p w14:paraId="7C87DC28" w14:textId="77777777" w:rsidR="00B074CC" w:rsidRPr="001A1836" w:rsidRDefault="00B074CC" w:rsidP="00626054"/>
    <w:p w14:paraId="0315D35C" w14:textId="0F3234F5" w:rsidR="00B074CC" w:rsidRPr="001A1836" w:rsidRDefault="00B074CC" w:rsidP="004E2262">
      <w:pPr>
        <w:pStyle w:val="GSRL3heading"/>
        <w:numPr>
          <w:ilvl w:val="0"/>
          <w:numId w:val="63"/>
        </w:numPr>
      </w:pPr>
      <w:r w:rsidRPr="001A1836">
        <w:br w:type="page"/>
      </w:r>
      <w:bookmarkStart w:id="1475" w:name="_Toc508607476"/>
      <w:bookmarkStart w:id="1476" w:name="_Toc521327039"/>
      <w:bookmarkStart w:id="1477" w:name="_Toc521333272"/>
      <w:bookmarkStart w:id="1478" w:name="_Toc521484007"/>
      <w:bookmarkStart w:id="1479" w:name="_Toc521484770"/>
      <w:bookmarkStart w:id="1480" w:name="_Toc521485101"/>
      <w:bookmarkStart w:id="1481" w:name="_Toc521496832"/>
      <w:bookmarkStart w:id="1482" w:name="_Toc521498274"/>
      <w:bookmarkStart w:id="1483" w:name="_Toc529346006"/>
      <w:bookmarkStart w:id="1484" w:name="_Toc129038211"/>
      <w:bookmarkStart w:id="1485" w:name="_Toc129038497"/>
      <w:bookmarkStart w:id="1486" w:name="_Toc132268067"/>
      <w:bookmarkStart w:id="1487" w:name="_Toc132268373"/>
      <w:bookmarkStart w:id="1488" w:name="_Toc136198624"/>
      <w:bookmarkStart w:id="1489" w:name="_Toc136198905"/>
      <w:bookmarkStart w:id="1490" w:name="Schedule7"/>
      <w:r w:rsidRPr="001A1836">
        <w:lastRenderedPageBreak/>
        <w:t>Overview</w:t>
      </w:r>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r w:rsidRPr="001A1836">
        <w:t xml:space="preserve"> </w:t>
      </w:r>
    </w:p>
    <w:p w14:paraId="775A2864" w14:textId="77777777" w:rsidR="00B074CC" w:rsidRPr="001A1836" w:rsidRDefault="00B074CC">
      <w:pPr>
        <w:pStyle w:val="GSRL4numberedclause"/>
      </w:pPr>
      <w:r w:rsidRPr="001A1836">
        <w:t xml:space="preserve">The Provider shall comply with the Policies set out in paragraph 2 when performing the Services. </w:t>
      </w:r>
    </w:p>
    <w:p w14:paraId="58CC7878" w14:textId="77777777" w:rsidR="00B074CC" w:rsidRPr="001A1836" w:rsidRDefault="00B074CC">
      <w:pPr>
        <w:pStyle w:val="GSRL3heading"/>
      </w:pPr>
      <w:bookmarkStart w:id="1491" w:name="_Toc508607477"/>
      <w:bookmarkStart w:id="1492" w:name="_Toc521327040"/>
      <w:bookmarkStart w:id="1493" w:name="_Toc521333273"/>
      <w:bookmarkStart w:id="1494" w:name="_Toc521484008"/>
      <w:bookmarkStart w:id="1495" w:name="_Toc521484771"/>
      <w:bookmarkStart w:id="1496" w:name="_Toc521485102"/>
      <w:bookmarkStart w:id="1497" w:name="_Toc521496833"/>
      <w:bookmarkStart w:id="1498" w:name="_Toc521498275"/>
      <w:bookmarkStart w:id="1499" w:name="_Toc529346007"/>
      <w:bookmarkStart w:id="1500" w:name="_Toc129038212"/>
      <w:bookmarkStart w:id="1501" w:name="_Toc129038498"/>
      <w:bookmarkStart w:id="1502" w:name="_Toc132268068"/>
      <w:bookmarkStart w:id="1503" w:name="_Toc132268374"/>
      <w:bookmarkStart w:id="1504" w:name="_Toc136198625"/>
      <w:bookmarkStart w:id="1505" w:name="_Toc136198906"/>
      <w:r w:rsidRPr="001A1836">
        <w:t>Policies</w:t>
      </w:r>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r w:rsidRPr="001A1836">
        <w:t xml:space="preserve"> </w:t>
      </w:r>
    </w:p>
    <w:p w14:paraId="373672FA" w14:textId="77777777" w:rsidR="00B074CC" w:rsidRPr="001A1836" w:rsidRDefault="00B074CC">
      <w:pPr>
        <w:pStyle w:val="GSRL4numberedclause"/>
      </w:pPr>
      <w:r w:rsidRPr="001A1836">
        <w:t>Consultation Principles</w:t>
      </w:r>
    </w:p>
    <w:p w14:paraId="3EE5C36D" w14:textId="0A48B11E" w:rsidR="00B074CC" w:rsidRPr="001A1836" w:rsidRDefault="00B074CC">
      <w:pPr>
        <w:pStyle w:val="GSRL5numberedclause"/>
      </w:pPr>
      <w:r w:rsidRPr="001A1836">
        <w:t xml:space="preserve">The Provider must follow the Consultation Principles as updated from time to time and set out at </w:t>
      </w:r>
      <w:hyperlink r:id="rId21" w:history="1">
        <w:r w:rsidRPr="001A1836">
          <w:rPr>
            <w:rStyle w:val="Hyperlink"/>
          </w:rPr>
          <w:t>https://www.gov.uk/government/publications/consultation-principles-guidance</w:t>
        </w:r>
      </w:hyperlink>
      <w:r w:rsidRPr="001A1836">
        <w:t xml:space="preserve"> in all its consultations with registered Engineers. </w:t>
      </w:r>
    </w:p>
    <w:p w14:paraId="0F8707F0" w14:textId="77777777" w:rsidR="00B074CC" w:rsidRPr="001A1836" w:rsidRDefault="00B074CC">
      <w:pPr>
        <w:pStyle w:val="GSRL4numberedclause"/>
      </w:pPr>
      <w:r w:rsidRPr="001A1836">
        <w:t xml:space="preserve">Welsh Language Scheme </w:t>
      </w:r>
    </w:p>
    <w:p w14:paraId="13BD0C4F" w14:textId="0C27B983" w:rsidR="00AE30CA" w:rsidRPr="00AE30CA" w:rsidRDefault="00B074CC" w:rsidP="00AE30CA">
      <w:pPr>
        <w:pStyle w:val="GSRL5numberedclause"/>
      </w:pPr>
      <w:r w:rsidRPr="001A1836">
        <w:t xml:space="preserve">Where the Services are to be provided to Wales, the Provider shall </w:t>
      </w:r>
      <w:r w:rsidR="00AE30CA">
        <w:t xml:space="preserve">be </w:t>
      </w:r>
      <w:r w:rsidR="00AE30CA" w:rsidRPr="00AE30CA">
        <w:t xml:space="preserve">required to operate the </w:t>
      </w:r>
      <w:r w:rsidR="007D4A41">
        <w:t>Services</w:t>
      </w:r>
      <w:r w:rsidR="00AE30CA" w:rsidRPr="00AE30CA">
        <w:t xml:space="preserve"> in a</w:t>
      </w:r>
      <w:r w:rsidR="007D4A41">
        <w:t>ccordance with the HSE's Welsh l</w:t>
      </w:r>
      <w:r w:rsidR="00AE30CA" w:rsidRPr="00AE30CA">
        <w:t xml:space="preserve">anguage policy, which is currently being reviewed.  </w:t>
      </w:r>
      <w:r w:rsidR="00AE30CA">
        <w:t xml:space="preserve">As at the </w:t>
      </w:r>
      <w:r w:rsidR="00FA1067">
        <w:t>Services</w:t>
      </w:r>
      <w:r w:rsidR="00AE30CA">
        <w:t xml:space="preserve"> </w:t>
      </w:r>
      <w:r w:rsidR="001718BC">
        <w:t xml:space="preserve">Start </w:t>
      </w:r>
      <w:r w:rsidR="00AE30CA">
        <w:t>Date,</w:t>
      </w:r>
      <w:r w:rsidR="00AE30CA" w:rsidRPr="00AE30CA">
        <w:t xml:space="preserve"> the expectation is th</w:t>
      </w:r>
      <w:r w:rsidR="00AE30CA">
        <w:t>at the P</w:t>
      </w:r>
      <w:r w:rsidR="00AE30CA" w:rsidRPr="00AE30CA">
        <w:t xml:space="preserve">rovider will be able to handle verbal and </w:t>
      </w:r>
      <w:r w:rsidR="007D4A41">
        <w:t xml:space="preserve">written enquiries in the Welsh language, where requested. </w:t>
      </w:r>
      <w:r w:rsidR="00AE30CA" w:rsidRPr="00AE30CA">
        <w:t>During the term of the Agreement</w:t>
      </w:r>
      <w:r w:rsidR="00AE30CA">
        <w:t>, the P</w:t>
      </w:r>
      <w:r w:rsidR="00AE30CA" w:rsidRPr="00AE30CA">
        <w:t>rovider shall be required to assess, on an on-going basis,</w:t>
      </w:r>
      <w:r w:rsidR="007D4A41">
        <w:t xml:space="preserve"> opportunities to extend Welsh l</w:t>
      </w:r>
      <w:r w:rsidR="00AE30CA" w:rsidRPr="00AE30CA">
        <w:t>anguage Service</w:t>
      </w:r>
      <w:r w:rsidR="007D4A41">
        <w:t>s</w:t>
      </w:r>
      <w:r w:rsidR="00AE30CA" w:rsidRPr="00AE30CA">
        <w:t xml:space="preserve"> provision, and make recommendations to HSE to do so, where appropriate.</w:t>
      </w:r>
    </w:p>
    <w:p w14:paraId="51A990A0" w14:textId="77777777" w:rsidR="00B074CC" w:rsidRPr="001A1836" w:rsidRDefault="00B074CC">
      <w:pPr>
        <w:pStyle w:val="GSRL4numberedclause"/>
      </w:pPr>
      <w:r w:rsidRPr="001A1836">
        <w:t>Patching Policy</w:t>
      </w:r>
    </w:p>
    <w:p w14:paraId="711E1FD7" w14:textId="0AFA42A7" w:rsidR="00B074CC" w:rsidRPr="001A1836" w:rsidRDefault="00B074CC">
      <w:pPr>
        <w:pStyle w:val="GSRL5numberedclause"/>
      </w:pPr>
      <w:r w:rsidRPr="001A1836">
        <w:t>The Provider must follow HSE’s Patch</w:t>
      </w:r>
      <w:r w:rsidR="00B17739">
        <w:t>ing Policy</w:t>
      </w:r>
      <w:r w:rsidRPr="001A1836">
        <w:t>.</w:t>
      </w:r>
    </w:p>
    <w:bookmarkEnd w:id="1490"/>
    <w:p w14:paraId="2BB87384" w14:textId="0F3234F5" w:rsidR="00B074CC" w:rsidRPr="001A1836" w:rsidRDefault="00B074CC" w:rsidP="00626054">
      <w:pPr>
        <w:ind w:left="720"/>
      </w:pPr>
    </w:p>
    <w:p w14:paraId="5E3464E5" w14:textId="77777777" w:rsidR="00B074CC" w:rsidRPr="001A1836" w:rsidRDefault="00B074CC" w:rsidP="00626054"/>
    <w:p w14:paraId="1B0F8C25" w14:textId="77777777" w:rsidR="00B074CC" w:rsidRPr="001A1836" w:rsidRDefault="00B074CC" w:rsidP="00626054"/>
    <w:p w14:paraId="3E8030F2" w14:textId="77777777" w:rsidR="00B074CC" w:rsidRPr="001A1836" w:rsidRDefault="00B074CC" w:rsidP="009064B4"/>
    <w:p w14:paraId="00C5D6EB" w14:textId="612FCD06" w:rsidR="00B074CC" w:rsidRPr="001A1836" w:rsidRDefault="00B074CC" w:rsidP="009064B4"/>
    <w:p w14:paraId="37EBFC44" w14:textId="77777777" w:rsidR="00B074CC" w:rsidRPr="001A1836" w:rsidRDefault="00B074CC" w:rsidP="009064B4"/>
    <w:p w14:paraId="73397C3D" w14:textId="77777777" w:rsidR="00B074CC" w:rsidRPr="001A1836" w:rsidRDefault="00B074CC" w:rsidP="009064B4"/>
    <w:p w14:paraId="7F60318F" w14:textId="77777777" w:rsidR="00B074CC" w:rsidRPr="001A1836" w:rsidRDefault="00B074CC" w:rsidP="009064B4"/>
    <w:p w14:paraId="4F1B6891" w14:textId="77777777" w:rsidR="00394111" w:rsidRPr="001A1836" w:rsidRDefault="00394111" w:rsidP="009064B4">
      <w:pPr>
        <w:pStyle w:val="GSRL1Scheduleheader"/>
        <w:sectPr w:rsidR="00394111" w:rsidRPr="001A1836" w:rsidSect="00F87B8D">
          <w:footerReference w:type="default" r:id="rId22"/>
          <w:pgSz w:w="11900" w:h="16840"/>
          <w:pgMar w:top="1134" w:right="1440" w:bottom="1440" w:left="1440" w:header="1077" w:footer="833" w:gutter="0"/>
          <w:cols w:space="708"/>
        </w:sectPr>
      </w:pPr>
    </w:p>
    <w:p w14:paraId="285A2F77" w14:textId="04E13784" w:rsidR="00B074CC" w:rsidRPr="001A1836" w:rsidRDefault="00B074CC" w:rsidP="009064B4">
      <w:pPr>
        <w:pStyle w:val="GSRL1Scheduleheader"/>
      </w:pPr>
      <w:bookmarkStart w:id="1506" w:name="_Toc129038213"/>
      <w:bookmarkStart w:id="1507" w:name="_Toc129038499"/>
      <w:bookmarkStart w:id="1508" w:name="_Toc132268069"/>
      <w:bookmarkStart w:id="1509" w:name="_Toc132268375"/>
      <w:bookmarkStart w:id="1510" w:name="_Toc136198626"/>
      <w:bookmarkStart w:id="1511" w:name="_Toc136198907"/>
      <w:bookmarkStart w:id="1512" w:name="_Toc188885254"/>
      <w:r w:rsidRPr="001A1836">
        <w:lastRenderedPageBreak/>
        <w:t xml:space="preserve">SCHEDULE 8: </w:t>
      </w:r>
      <w:r w:rsidR="004C2FF4" w:rsidRPr="001A1836">
        <w:t>Key Performance Indicators</w:t>
      </w:r>
      <w:bookmarkEnd w:id="1506"/>
      <w:bookmarkEnd w:id="1507"/>
      <w:bookmarkEnd w:id="1508"/>
      <w:bookmarkEnd w:id="1509"/>
      <w:bookmarkEnd w:id="1510"/>
      <w:bookmarkEnd w:id="1511"/>
      <w:bookmarkEnd w:id="1512"/>
    </w:p>
    <w:p w14:paraId="26DBAD17" w14:textId="77777777" w:rsidR="00B074CC" w:rsidRPr="001A1836" w:rsidRDefault="00B074CC" w:rsidP="009064B4"/>
    <w:p w14:paraId="548C226C" w14:textId="77777777" w:rsidR="00B074CC" w:rsidRPr="001A1836" w:rsidRDefault="00B074CC" w:rsidP="009064B4"/>
    <w:p w14:paraId="7A74F69B" w14:textId="33FB3F3D" w:rsidR="00100EBA" w:rsidRPr="001A1836" w:rsidRDefault="00100EBA" w:rsidP="00100EBA">
      <w:bookmarkStart w:id="1513" w:name="_Toc508781103"/>
      <w:bookmarkStart w:id="1514" w:name="_Toc508781167"/>
      <w:bookmarkStart w:id="1515" w:name="_Toc508781311"/>
      <w:bookmarkStart w:id="1516" w:name="_Toc521327041"/>
      <w:bookmarkStart w:id="1517" w:name="_Toc521333274"/>
    </w:p>
    <w:p w14:paraId="63E3C895" w14:textId="77777777" w:rsidR="00100EBA" w:rsidRPr="001A1836" w:rsidRDefault="00100EBA">
      <w:pPr>
        <w:spacing w:before="0" w:after="0"/>
        <w:rPr>
          <w:rFonts w:eastAsia="STZhongsong" w:cs="Arial"/>
          <w:b/>
          <w:caps/>
          <w:kern w:val="0"/>
          <w:sz w:val="24"/>
          <w:szCs w:val="22"/>
          <w:lang w:eastAsia="zh-CN"/>
        </w:rPr>
      </w:pPr>
      <w:r w:rsidRPr="001A1836">
        <w:br w:type="page"/>
      </w:r>
    </w:p>
    <w:p w14:paraId="675D1871" w14:textId="33692601" w:rsidR="00B074CC" w:rsidRPr="001A1836" w:rsidRDefault="00B074CC" w:rsidP="002B3867">
      <w:pPr>
        <w:pStyle w:val="GSRL2Sectionheading"/>
      </w:pPr>
      <w:bookmarkStart w:id="1518" w:name="_Toc521496835"/>
      <w:bookmarkStart w:id="1519" w:name="_Toc521498277"/>
      <w:bookmarkStart w:id="1520" w:name="_Toc529346008"/>
      <w:bookmarkStart w:id="1521" w:name="_Toc129038215"/>
      <w:bookmarkStart w:id="1522" w:name="_Toc129038501"/>
      <w:bookmarkStart w:id="1523" w:name="_Toc132268071"/>
      <w:bookmarkStart w:id="1524" w:name="_Toc132268377"/>
      <w:bookmarkStart w:id="1525" w:name="_Toc136198628"/>
      <w:bookmarkStart w:id="1526" w:name="_Toc136198909"/>
      <w:bookmarkStart w:id="1527" w:name="Schedule8"/>
      <w:r w:rsidRPr="001A1836">
        <w:lastRenderedPageBreak/>
        <w:t>Introduction</w:t>
      </w:r>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p>
    <w:p w14:paraId="797FA168" w14:textId="77777777" w:rsidR="00B074CC" w:rsidRPr="001A1836" w:rsidRDefault="00B074CC" w:rsidP="004E2262">
      <w:pPr>
        <w:pStyle w:val="GSRL3heading"/>
        <w:numPr>
          <w:ilvl w:val="0"/>
          <w:numId w:val="64"/>
        </w:numPr>
      </w:pPr>
      <w:bookmarkStart w:id="1528" w:name="_Toc508781104"/>
      <w:bookmarkStart w:id="1529" w:name="_Toc508781168"/>
      <w:bookmarkStart w:id="1530" w:name="_Toc508781312"/>
      <w:bookmarkStart w:id="1531" w:name="_Toc521327042"/>
      <w:bookmarkStart w:id="1532" w:name="_Toc521333275"/>
      <w:bookmarkStart w:id="1533" w:name="_Toc521484009"/>
      <w:bookmarkStart w:id="1534" w:name="_Toc521484772"/>
      <w:bookmarkStart w:id="1535" w:name="_Toc521485103"/>
      <w:bookmarkStart w:id="1536" w:name="_Toc521496836"/>
      <w:bookmarkStart w:id="1537" w:name="_Toc521498278"/>
      <w:bookmarkStart w:id="1538" w:name="_Toc529346009"/>
      <w:bookmarkStart w:id="1539" w:name="_Toc129038216"/>
      <w:bookmarkStart w:id="1540" w:name="_Toc129038502"/>
      <w:bookmarkStart w:id="1541" w:name="_Toc132268072"/>
      <w:bookmarkStart w:id="1542" w:name="_Toc132268378"/>
      <w:bookmarkStart w:id="1543" w:name="_Toc136198629"/>
      <w:bookmarkStart w:id="1544" w:name="_Toc136198910"/>
      <w:r w:rsidRPr="001A1836">
        <w:t>Overview</w:t>
      </w:r>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r w:rsidRPr="001A1836">
        <w:t xml:space="preserve"> </w:t>
      </w:r>
    </w:p>
    <w:p w14:paraId="30600460" w14:textId="77777777" w:rsidR="00B074CC" w:rsidRPr="001A1836" w:rsidRDefault="00B074CC">
      <w:pPr>
        <w:pStyle w:val="GSRL4numberedclause"/>
      </w:pPr>
      <w:r w:rsidRPr="001A1836">
        <w:t>This Schedule sets out:</w:t>
      </w:r>
    </w:p>
    <w:p w14:paraId="6E94986F" w14:textId="77777777" w:rsidR="00B074CC" w:rsidRPr="001A1836" w:rsidRDefault="00B074CC">
      <w:pPr>
        <w:pStyle w:val="GSRL5numberedclause"/>
      </w:pPr>
      <w:r w:rsidRPr="001A1836">
        <w:t>the Key Performance Indicators (KPIs) that the Provider shall be measured against and the KPI Targets it is required to achieve when delivering the Services;</w:t>
      </w:r>
    </w:p>
    <w:p w14:paraId="55A8D80E" w14:textId="77777777" w:rsidR="00B074CC" w:rsidRPr="001A1836" w:rsidRDefault="00B074CC">
      <w:pPr>
        <w:pStyle w:val="GSRL5numberedclause"/>
      </w:pPr>
      <w:r w:rsidRPr="001A1836">
        <w:t>the methodology by which KPIs will be measured;</w:t>
      </w:r>
    </w:p>
    <w:p w14:paraId="49756322" w14:textId="77777777" w:rsidR="00B074CC" w:rsidRPr="001A1836" w:rsidRDefault="00B074CC">
      <w:pPr>
        <w:pStyle w:val="GSRL5numberedclause"/>
      </w:pPr>
      <w:r w:rsidRPr="001A1836">
        <w:t>the financial implications arising from a KPI Failure; and</w:t>
      </w:r>
    </w:p>
    <w:p w14:paraId="3768E538" w14:textId="77777777" w:rsidR="00B074CC" w:rsidRPr="001A1836" w:rsidRDefault="00B074CC">
      <w:pPr>
        <w:pStyle w:val="GSRL5numberedclause"/>
      </w:pPr>
      <w:r w:rsidRPr="001A1836">
        <w:t xml:space="preserve">any additional measures that may be required where there is a KPI Failure. </w:t>
      </w:r>
    </w:p>
    <w:p w14:paraId="4E2E7554" w14:textId="77777777" w:rsidR="00B074CC" w:rsidRPr="001A1836" w:rsidRDefault="00B074CC">
      <w:pPr>
        <w:pStyle w:val="GSRL4numberedclause"/>
      </w:pPr>
      <w:r w:rsidRPr="001A1836">
        <w:t xml:space="preserve">The objectives of the KPIs are to: </w:t>
      </w:r>
    </w:p>
    <w:p w14:paraId="6757E524" w14:textId="77777777" w:rsidR="00B074CC" w:rsidRPr="001A1836" w:rsidRDefault="00B074CC">
      <w:pPr>
        <w:pStyle w:val="GSRL5numberedclause"/>
      </w:pPr>
      <w:r w:rsidRPr="001A1836">
        <w:t xml:space="preserve">ensure that the Services are of a consistently high quality; and </w:t>
      </w:r>
    </w:p>
    <w:p w14:paraId="31FE76D0" w14:textId="77777777" w:rsidR="00B074CC" w:rsidRPr="001A1836" w:rsidRDefault="00B074CC">
      <w:pPr>
        <w:pStyle w:val="GSRL5numberedclause"/>
      </w:pPr>
      <w:r w:rsidRPr="001A1836">
        <w:t xml:space="preserve">incentivise Provider to meet the KPIs and to remedy KPI Failures expeditiously. </w:t>
      </w:r>
    </w:p>
    <w:p w14:paraId="0A20D026" w14:textId="20C908D6" w:rsidR="00B074CC" w:rsidRPr="001A1836" w:rsidRDefault="00B074CC">
      <w:pPr>
        <w:pStyle w:val="GSRL4numberedclause"/>
      </w:pPr>
      <w:r w:rsidRPr="001A1836">
        <w:t xml:space="preserve">The Provider shall provide accurate, complete and up-to-date reports on the KPIs in accordance with the provisions set out in this Agreement, including Schedule 10 (Governance and Contract Management). </w:t>
      </w:r>
    </w:p>
    <w:p w14:paraId="5B64B396" w14:textId="77777777" w:rsidR="005A391A" w:rsidRPr="001A1836" w:rsidRDefault="005A391A" w:rsidP="00342D3A">
      <w:pPr>
        <w:pStyle w:val="GSRL4numberedclause"/>
        <w:numPr>
          <w:ilvl w:val="0"/>
          <w:numId w:val="0"/>
        </w:numPr>
        <w:ind w:left="720"/>
      </w:pPr>
    </w:p>
    <w:p w14:paraId="27DDF954" w14:textId="77777777" w:rsidR="00B074CC" w:rsidRPr="001A1836" w:rsidRDefault="00B074CC" w:rsidP="002B3867">
      <w:pPr>
        <w:pStyle w:val="GSRL2Sectionheading"/>
      </w:pPr>
      <w:bookmarkStart w:id="1545" w:name="_Toc508781105"/>
      <w:bookmarkStart w:id="1546" w:name="_Toc508781169"/>
      <w:bookmarkStart w:id="1547" w:name="_Toc508781313"/>
      <w:bookmarkStart w:id="1548" w:name="_Toc521327043"/>
      <w:bookmarkStart w:id="1549" w:name="_Toc521333276"/>
      <w:bookmarkStart w:id="1550" w:name="_Toc521496837"/>
      <w:bookmarkStart w:id="1551" w:name="_Toc521498279"/>
      <w:bookmarkStart w:id="1552" w:name="_Toc529346010"/>
      <w:bookmarkStart w:id="1553" w:name="_Toc129038217"/>
      <w:bookmarkStart w:id="1554" w:name="_Toc129038503"/>
      <w:bookmarkStart w:id="1555" w:name="_Toc132268073"/>
      <w:bookmarkStart w:id="1556" w:name="_Toc132268379"/>
      <w:bookmarkStart w:id="1557" w:name="_Toc136198630"/>
      <w:bookmarkStart w:id="1558" w:name="_Toc136198911"/>
      <w:r w:rsidRPr="001A1836">
        <w:t>General Principles</w:t>
      </w:r>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p>
    <w:p w14:paraId="09B2D5D9" w14:textId="77777777" w:rsidR="00B074CC" w:rsidRPr="001A1836" w:rsidRDefault="00B074CC">
      <w:pPr>
        <w:pStyle w:val="GSRL3heading"/>
      </w:pPr>
      <w:bookmarkStart w:id="1559" w:name="_Toc508781106"/>
      <w:bookmarkStart w:id="1560" w:name="_Toc508781170"/>
      <w:bookmarkStart w:id="1561" w:name="_Toc508781314"/>
      <w:bookmarkStart w:id="1562" w:name="_Toc521327044"/>
      <w:bookmarkStart w:id="1563" w:name="_Toc521333277"/>
      <w:bookmarkStart w:id="1564" w:name="_Toc521484010"/>
      <w:bookmarkStart w:id="1565" w:name="_Toc521484773"/>
      <w:bookmarkStart w:id="1566" w:name="_Toc521485104"/>
      <w:bookmarkStart w:id="1567" w:name="_Toc521496838"/>
      <w:bookmarkStart w:id="1568" w:name="_Toc521498280"/>
      <w:bookmarkStart w:id="1569" w:name="_Toc529346011"/>
      <w:bookmarkStart w:id="1570" w:name="_Toc129038218"/>
      <w:bookmarkStart w:id="1571" w:name="_Toc129038504"/>
      <w:bookmarkStart w:id="1572" w:name="_Toc132268074"/>
      <w:bookmarkStart w:id="1573" w:name="_Toc132268380"/>
      <w:bookmarkStart w:id="1574" w:name="_Toc136198631"/>
      <w:bookmarkStart w:id="1575" w:name="_Toc136198912"/>
      <w:r w:rsidRPr="001A1836">
        <w:t>Key Performance Indicators</w:t>
      </w:r>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p>
    <w:p w14:paraId="2CC2A081" w14:textId="77777777" w:rsidR="00B074CC" w:rsidRPr="001A1836" w:rsidRDefault="00B074CC">
      <w:pPr>
        <w:pStyle w:val="GSRL4numberedclause"/>
      </w:pPr>
      <w:r w:rsidRPr="001A1836">
        <w:t>The KPIs and KPI Targets applicable to this Agreement are set out in Annex 1 to this Schedule 8.</w:t>
      </w:r>
    </w:p>
    <w:p w14:paraId="419430F5" w14:textId="77777777" w:rsidR="00B074CC" w:rsidRPr="001A1836" w:rsidRDefault="00B074CC">
      <w:pPr>
        <w:pStyle w:val="GSRL4numberedclause"/>
      </w:pPr>
      <w:r w:rsidRPr="001A1836">
        <w:t>The Provider’s performance against the KPIs shall be measured in accordance with the methodology set out in Annex 1 to this Schedule 8.</w:t>
      </w:r>
    </w:p>
    <w:p w14:paraId="64EA63EA" w14:textId="77777777" w:rsidR="00196E08" w:rsidRDefault="00B074CC">
      <w:pPr>
        <w:pStyle w:val="GSRL4numberedclause"/>
      </w:pPr>
      <w:r w:rsidRPr="001A1836">
        <w:t>The Provider’s achievement of KPIs shall be reviewed as part of the contract management process set out in Schedule 10 (Governance and Contract Management).</w:t>
      </w:r>
    </w:p>
    <w:p w14:paraId="5BBD39F4" w14:textId="65D38D18" w:rsidR="00196E08" w:rsidRPr="00196E08" w:rsidRDefault="00196E08" w:rsidP="00196E08">
      <w:pPr>
        <w:pStyle w:val="GSRL4numberedclause"/>
      </w:pPr>
      <w:r w:rsidRPr="00196E08">
        <w:t xml:space="preserve">KPI targets shall be reviewed by both Parties at </w:t>
      </w:r>
      <w:r>
        <w:t>the mid-year and at the annual service re</w:t>
      </w:r>
      <w:r w:rsidRPr="00196E08">
        <w:t>view in Year 1 an</w:t>
      </w:r>
      <w:r>
        <w:t>d annually thereafter for each C</w:t>
      </w:r>
      <w:r w:rsidRPr="00196E08">
        <w:t>ont</w:t>
      </w:r>
      <w:r>
        <w:t>ract Y</w:t>
      </w:r>
      <w:r w:rsidRPr="00196E08">
        <w:t>ear.</w:t>
      </w:r>
      <w:r w:rsidR="000721EB">
        <w:t xml:space="preserve"> Any amendments to the KPI targets shall only be effective when agreed by both Parties in accordance with the Change Control Procedure. </w:t>
      </w:r>
    </w:p>
    <w:p w14:paraId="0A7B059D" w14:textId="0BB6C1F5" w:rsidR="00B074CC" w:rsidRPr="001A1836" w:rsidRDefault="0005437F">
      <w:pPr>
        <w:pStyle w:val="GSRL3heading"/>
      </w:pPr>
      <w:bookmarkStart w:id="1576" w:name="_Toc508781107"/>
      <w:bookmarkStart w:id="1577" w:name="_Toc508781171"/>
      <w:bookmarkStart w:id="1578" w:name="_Toc508781315"/>
      <w:bookmarkStart w:id="1579" w:name="_Toc521327045"/>
      <w:bookmarkStart w:id="1580" w:name="_Toc521333278"/>
      <w:bookmarkStart w:id="1581" w:name="_Toc521484011"/>
      <w:bookmarkStart w:id="1582" w:name="_Toc521484774"/>
      <w:bookmarkStart w:id="1583" w:name="_Toc521485105"/>
      <w:bookmarkStart w:id="1584" w:name="_Toc521496839"/>
      <w:bookmarkStart w:id="1585" w:name="_Toc521498281"/>
      <w:bookmarkStart w:id="1586" w:name="_Toc529346012"/>
      <w:bookmarkStart w:id="1587" w:name="_Toc129038219"/>
      <w:bookmarkStart w:id="1588" w:name="_Toc129038505"/>
      <w:bookmarkStart w:id="1589" w:name="_Toc132268075"/>
      <w:bookmarkStart w:id="1590" w:name="_Toc132268381"/>
      <w:bookmarkStart w:id="1591" w:name="_Toc136198632"/>
      <w:bookmarkStart w:id="1592" w:name="_Toc136198913"/>
      <w:r>
        <w:t xml:space="preserve">Provider Profit, </w:t>
      </w:r>
      <w:r w:rsidR="00B074CC" w:rsidRPr="001A1836">
        <w:t>Gain Share Funds and KPIs</w:t>
      </w:r>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p>
    <w:p w14:paraId="2C93049E" w14:textId="1FAB15A6" w:rsidR="00B074CC" w:rsidRPr="001A1836" w:rsidRDefault="00B074CC">
      <w:pPr>
        <w:pStyle w:val="GSRL4numberedclause"/>
      </w:pPr>
      <w:bookmarkStart w:id="1593" w:name="_Ref505260496"/>
      <w:r w:rsidRPr="001A1836">
        <w:t xml:space="preserve">The Provider’s access to the </w:t>
      </w:r>
      <w:r w:rsidR="00AD62F5">
        <w:t xml:space="preserve">Provisional </w:t>
      </w:r>
      <w:r w:rsidR="0005437F">
        <w:t xml:space="preserve">Provider Profit and the </w:t>
      </w:r>
      <w:r w:rsidRPr="001A1836">
        <w:t xml:space="preserve">Provisional Provider Gain Share Funds </w:t>
      </w:r>
      <w:r w:rsidR="0005437F">
        <w:t xml:space="preserve">in respect of each Contract Year </w:t>
      </w:r>
      <w:r w:rsidRPr="001A1836">
        <w:t>is subject to its performance against the KPI Targets</w:t>
      </w:r>
      <w:r w:rsidR="0005437F">
        <w:t>,</w:t>
      </w:r>
      <w:r w:rsidRPr="001A1836">
        <w:t xml:space="preserve"> and any KPI Failures shall result in a reduction of the total value of the </w:t>
      </w:r>
      <w:r w:rsidR="00AD62F5">
        <w:t xml:space="preserve">Provisional </w:t>
      </w:r>
      <w:r w:rsidR="0005437F">
        <w:t xml:space="preserve">Provider Profit and the </w:t>
      </w:r>
      <w:r w:rsidRPr="001A1836">
        <w:t>Provider Gain Share Funds in accordance with paragraph</w:t>
      </w:r>
      <w:r w:rsidR="0005437F">
        <w:t>s</w:t>
      </w:r>
      <w:r w:rsidRPr="001A1836">
        <w:t xml:space="preserve"> 4.2.2 </w:t>
      </w:r>
      <w:r w:rsidR="0005437F">
        <w:t xml:space="preserve">and 5.2.2 </w:t>
      </w:r>
      <w:r w:rsidRPr="001A1836">
        <w:t>of Schedule 5 (Financial Model and Gain Share).</w:t>
      </w:r>
      <w:bookmarkEnd w:id="1593"/>
    </w:p>
    <w:p w14:paraId="1F24FE29" w14:textId="703DD004" w:rsidR="00B074CC" w:rsidRPr="001A1836" w:rsidRDefault="00B074CC">
      <w:pPr>
        <w:pStyle w:val="GSRL4numberedclause"/>
      </w:pPr>
      <w:r w:rsidRPr="001A1836">
        <w:t xml:space="preserve">Taking into account any reductions made as set out in paragraph 3.1: </w:t>
      </w:r>
    </w:p>
    <w:p w14:paraId="69373FC9" w14:textId="190F16A7" w:rsidR="00B074CC" w:rsidRPr="001A1836" w:rsidRDefault="00B074CC">
      <w:pPr>
        <w:pStyle w:val="GSRL5numberedclause"/>
      </w:pPr>
      <w:r w:rsidRPr="001A1836">
        <w:lastRenderedPageBreak/>
        <w:t xml:space="preserve">the </w:t>
      </w:r>
      <w:r w:rsidR="0005437F">
        <w:t xml:space="preserve">Agreed Provider Profit and the </w:t>
      </w:r>
      <w:r w:rsidRPr="001A1836">
        <w:t>Agreed Provider Gain Share Funds can be accessed by the Provider; and</w:t>
      </w:r>
    </w:p>
    <w:p w14:paraId="461503B3" w14:textId="57B4C800" w:rsidR="00B074CC" w:rsidRPr="001A1836" w:rsidRDefault="00B074CC">
      <w:pPr>
        <w:pStyle w:val="GSRL5numberedclause"/>
      </w:pPr>
      <w:r w:rsidRPr="001A1836">
        <w:t xml:space="preserve">any </w:t>
      </w:r>
      <w:r w:rsidR="0005437F">
        <w:t xml:space="preserve">Transferable Provider Profit Funds and </w:t>
      </w:r>
      <w:r w:rsidRPr="001A1836">
        <w:t xml:space="preserve">Transferrable Gain Share Funds shall be transferred to Funds For Distribution, </w:t>
      </w:r>
    </w:p>
    <w:p w14:paraId="2F3BC5E4" w14:textId="1B5CB5F7" w:rsidR="00B074CC" w:rsidRPr="001A1836" w:rsidRDefault="00B074CC" w:rsidP="00107BF0">
      <w:pPr>
        <w:pStyle w:val="GSRL5numberedclause"/>
        <w:numPr>
          <w:ilvl w:val="0"/>
          <w:numId w:val="0"/>
        </w:numPr>
        <w:ind w:left="720"/>
      </w:pPr>
      <w:r w:rsidRPr="001A1836">
        <w:t>in accordance with Schedule 5 (Financial Model and Gain Share).</w:t>
      </w:r>
    </w:p>
    <w:p w14:paraId="232389D5" w14:textId="77777777" w:rsidR="00B074CC" w:rsidRPr="001A1836" w:rsidRDefault="00B074CC">
      <w:pPr>
        <w:pStyle w:val="GSRL3heading"/>
      </w:pPr>
      <w:bookmarkStart w:id="1594" w:name="_Toc508781108"/>
      <w:bookmarkStart w:id="1595" w:name="_Toc508781172"/>
      <w:bookmarkStart w:id="1596" w:name="_Toc508781316"/>
      <w:bookmarkStart w:id="1597" w:name="_Toc521327046"/>
      <w:bookmarkStart w:id="1598" w:name="_Toc521333279"/>
      <w:bookmarkStart w:id="1599" w:name="_Toc521484012"/>
      <w:bookmarkStart w:id="1600" w:name="_Toc521484775"/>
      <w:bookmarkStart w:id="1601" w:name="_Toc521485106"/>
      <w:bookmarkStart w:id="1602" w:name="_Toc521496840"/>
      <w:bookmarkStart w:id="1603" w:name="_Toc521498282"/>
      <w:bookmarkStart w:id="1604" w:name="_Toc529346013"/>
      <w:bookmarkStart w:id="1605" w:name="_Toc129038220"/>
      <w:bookmarkStart w:id="1606" w:name="_Toc129038506"/>
      <w:bookmarkStart w:id="1607" w:name="_Toc132268076"/>
      <w:bookmarkStart w:id="1608" w:name="_Toc132268382"/>
      <w:bookmarkStart w:id="1609" w:name="_Toc136198633"/>
      <w:bookmarkStart w:id="1610" w:name="_Toc136198914"/>
      <w:r w:rsidRPr="001A1836">
        <w:t>Additional Measures</w:t>
      </w:r>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p>
    <w:p w14:paraId="256B673A" w14:textId="77777777" w:rsidR="00B074CC" w:rsidRPr="001A1836" w:rsidRDefault="00B074CC">
      <w:pPr>
        <w:pStyle w:val="GSRL4numberedclause"/>
      </w:pPr>
      <w:r w:rsidRPr="001A1836">
        <w:t xml:space="preserve">Pursuant to Clause 11.1.2 of the Agreement, KPI Failures: </w:t>
      </w:r>
    </w:p>
    <w:p w14:paraId="2463F46A" w14:textId="77777777" w:rsidR="00B074CC" w:rsidRPr="001A1836" w:rsidRDefault="00B074CC">
      <w:pPr>
        <w:pStyle w:val="GSRL5numberedclause"/>
      </w:pPr>
      <w:r w:rsidRPr="001A1836">
        <w:t xml:space="preserve">shall be categorised as set out in Annex 1 of this Schedule 8; </w:t>
      </w:r>
    </w:p>
    <w:p w14:paraId="29A43FE8" w14:textId="77777777" w:rsidR="00B074CC" w:rsidRPr="001A1836" w:rsidRDefault="00B074CC">
      <w:pPr>
        <w:pStyle w:val="GSRL5numberedclause"/>
      </w:pPr>
      <w:r w:rsidRPr="001A1836">
        <w:t>shall give rise to additional measures as set out in Clause 11.3 of the Agreement; and</w:t>
      </w:r>
    </w:p>
    <w:p w14:paraId="1D346001" w14:textId="46883EB7" w:rsidR="00B074CC" w:rsidRPr="001A1836" w:rsidRDefault="00B074CC">
      <w:pPr>
        <w:pStyle w:val="GSRL5numberedclause"/>
      </w:pPr>
      <w:r w:rsidRPr="001A1836">
        <w:t xml:space="preserve">shall result in a reduction of </w:t>
      </w:r>
      <w:r w:rsidR="00AD62F5">
        <w:t xml:space="preserve">Provisional </w:t>
      </w:r>
      <w:r w:rsidR="0005437F">
        <w:t xml:space="preserve">Provider Profit and </w:t>
      </w:r>
      <w:r w:rsidRPr="001A1836">
        <w:t>Provisional Provider Gain Share Funds as set out in Annex 1.</w:t>
      </w:r>
    </w:p>
    <w:p w14:paraId="172ED1A7" w14:textId="19458E59" w:rsidR="005F6696" w:rsidRPr="003045FA" w:rsidRDefault="005F6696" w:rsidP="005F6696">
      <w:pPr>
        <w:pStyle w:val="GSRL3heading"/>
      </w:pPr>
      <w:r w:rsidRPr="005F6696">
        <w:rPr>
          <w:b w:val="0"/>
        </w:rPr>
        <w:t xml:space="preserve"> </w:t>
      </w:r>
      <w:r w:rsidR="00100601" w:rsidRPr="003045FA">
        <w:t>Relief</w:t>
      </w:r>
    </w:p>
    <w:p w14:paraId="73730E0B" w14:textId="75A88D68" w:rsidR="003045FA" w:rsidRDefault="003045FA" w:rsidP="00C87D85">
      <w:pPr>
        <w:pStyle w:val="GSRL4numberedclause"/>
      </w:pPr>
      <w:r>
        <w:t>I</w:t>
      </w:r>
      <w:r w:rsidRPr="00CF2589">
        <w:t xml:space="preserve">n acknowledgement of the </w:t>
      </w:r>
      <w:r>
        <w:t xml:space="preserve">delay in contract award, in entering into this Agreement, </w:t>
      </w:r>
      <w:r w:rsidRPr="00CF2589">
        <w:t xml:space="preserve">and the acknowledged impact that this may have on the </w:t>
      </w:r>
      <w:r>
        <w:t xml:space="preserve">Provider’s </w:t>
      </w:r>
      <w:r w:rsidRPr="00CF2589">
        <w:t>performance of the Services</w:t>
      </w:r>
      <w:r>
        <w:t xml:space="preserve"> and the Key Performance Indicators, the Parties have agreed</w:t>
      </w:r>
      <w:r w:rsidR="00C87D85">
        <w:t xml:space="preserve"> </w:t>
      </w:r>
      <w:r>
        <w:t>KPI 01</w:t>
      </w:r>
      <w:r w:rsidR="00111B99">
        <w:t>,</w:t>
      </w:r>
      <w:r>
        <w:t xml:space="preserve"> KPI 02 </w:t>
      </w:r>
      <w:r w:rsidR="00111B99">
        <w:t xml:space="preserve">and KPI 03 </w:t>
      </w:r>
      <w:r>
        <w:t>shall be varied for Year 1.  Details of the variations are set out in the appropriate KPI in Annex 1</w:t>
      </w:r>
      <w:r w:rsidR="00C87D85">
        <w:t>.</w:t>
      </w:r>
    </w:p>
    <w:p w14:paraId="3BC98B08" w14:textId="5E281FE4" w:rsidR="00D25359" w:rsidRPr="001A1836" w:rsidRDefault="00D25359" w:rsidP="0008618D">
      <w:pPr>
        <w:pStyle w:val="GSRL3heading"/>
        <w:numPr>
          <w:ilvl w:val="0"/>
          <w:numId w:val="0"/>
        </w:numPr>
      </w:pPr>
    </w:p>
    <w:p w14:paraId="020E5944" w14:textId="639FAD6F" w:rsidR="00B074CC" w:rsidRPr="001A1836" w:rsidRDefault="00B074CC">
      <w:pPr>
        <w:pStyle w:val="GSRL5numberedclause"/>
      </w:pPr>
      <w:r w:rsidRPr="001A1836">
        <w:br w:type="page"/>
      </w:r>
    </w:p>
    <w:p w14:paraId="7B8324CC" w14:textId="3002F50D" w:rsidR="00B074CC" w:rsidRPr="001A1836" w:rsidRDefault="00B074CC" w:rsidP="002B3867">
      <w:pPr>
        <w:pStyle w:val="GSRL2Sectionheading"/>
      </w:pPr>
      <w:bookmarkStart w:id="1611" w:name="_Toc508781110"/>
      <w:bookmarkStart w:id="1612" w:name="_Toc508781174"/>
      <w:bookmarkStart w:id="1613" w:name="_Toc508781318"/>
      <w:bookmarkStart w:id="1614" w:name="_Toc521327048"/>
      <w:bookmarkStart w:id="1615" w:name="_Toc521333281"/>
      <w:bookmarkStart w:id="1616" w:name="_Toc521496842"/>
      <w:bookmarkStart w:id="1617" w:name="_Toc521498284"/>
      <w:bookmarkStart w:id="1618" w:name="_Toc529346015"/>
      <w:bookmarkStart w:id="1619" w:name="_Toc129038222"/>
      <w:bookmarkStart w:id="1620" w:name="_Toc129038508"/>
      <w:bookmarkStart w:id="1621" w:name="_Toc132268078"/>
      <w:bookmarkStart w:id="1622" w:name="_Toc132268384"/>
      <w:bookmarkStart w:id="1623" w:name="_Toc136198635"/>
      <w:bookmarkStart w:id="1624" w:name="_Toc136198916"/>
      <w:r w:rsidRPr="001A1836">
        <w:lastRenderedPageBreak/>
        <w:t>A</w:t>
      </w:r>
      <w:r w:rsidR="004C2FF4" w:rsidRPr="001A1836">
        <w:t>nnex</w:t>
      </w:r>
      <w:r w:rsidRPr="001A1836">
        <w:t xml:space="preserve"> 1 – Key Performance I</w:t>
      </w:r>
      <w:bookmarkEnd w:id="1611"/>
      <w:bookmarkEnd w:id="1612"/>
      <w:r w:rsidRPr="001A1836">
        <w:t>ndicators</w:t>
      </w:r>
      <w:bookmarkEnd w:id="1613"/>
      <w:bookmarkEnd w:id="1614"/>
      <w:bookmarkEnd w:id="1615"/>
      <w:bookmarkEnd w:id="1616"/>
      <w:bookmarkEnd w:id="1617"/>
      <w:bookmarkEnd w:id="1618"/>
      <w:bookmarkEnd w:id="1619"/>
      <w:bookmarkEnd w:id="1620"/>
      <w:bookmarkEnd w:id="1621"/>
      <w:bookmarkEnd w:id="1622"/>
      <w:bookmarkEnd w:id="1623"/>
      <w:bookmarkEnd w:id="16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4674"/>
        <w:gridCol w:w="1898"/>
      </w:tblGrid>
      <w:tr w:rsidR="00B44CCB" w:rsidRPr="001A1836" w14:paraId="720FA96F" w14:textId="77777777" w:rsidTr="000F4624">
        <w:tc>
          <w:tcPr>
            <w:tcW w:w="1950" w:type="dxa"/>
            <w:tcBorders>
              <w:top w:val="single" w:sz="4" w:space="0" w:color="auto"/>
              <w:left w:val="single" w:sz="4" w:space="0" w:color="auto"/>
              <w:bottom w:val="single" w:sz="4" w:space="0" w:color="auto"/>
              <w:right w:val="single" w:sz="4" w:space="0" w:color="auto"/>
            </w:tcBorders>
            <w:hideMark/>
          </w:tcPr>
          <w:p w14:paraId="653A07F7" w14:textId="77777777" w:rsidR="00B44CCB" w:rsidRPr="001A1836" w:rsidRDefault="00B44CCB" w:rsidP="000F4624">
            <w:pPr>
              <w:rPr>
                <w:rFonts w:cs="Arial"/>
                <w:b/>
                <w:szCs w:val="22"/>
              </w:rPr>
            </w:pPr>
            <w:r w:rsidRPr="001A1836">
              <w:rPr>
                <w:rFonts w:cs="Arial"/>
                <w:b/>
                <w:szCs w:val="22"/>
              </w:rPr>
              <w:t xml:space="preserve">KPI 01 </w:t>
            </w:r>
          </w:p>
        </w:tc>
        <w:tc>
          <w:tcPr>
            <w:tcW w:w="6572" w:type="dxa"/>
            <w:gridSpan w:val="2"/>
            <w:tcBorders>
              <w:top w:val="single" w:sz="4" w:space="0" w:color="auto"/>
              <w:left w:val="single" w:sz="4" w:space="0" w:color="auto"/>
              <w:bottom w:val="single" w:sz="4" w:space="0" w:color="auto"/>
              <w:right w:val="single" w:sz="4" w:space="0" w:color="auto"/>
            </w:tcBorders>
            <w:hideMark/>
          </w:tcPr>
          <w:p w14:paraId="7E50851D" w14:textId="77777777" w:rsidR="00B44CCB" w:rsidRPr="001A1836" w:rsidRDefault="00B44CCB" w:rsidP="000F4624">
            <w:pPr>
              <w:rPr>
                <w:rFonts w:cs="Arial"/>
                <w:b/>
                <w:szCs w:val="22"/>
              </w:rPr>
            </w:pPr>
            <w:r w:rsidRPr="001A1836">
              <w:rPr>
                <w:rFonts w:cs="Arial"/>
                <w:b/>
                <w:szCs w:val="22"/>
              </w:rPr>
              <w:t>Consumer Awareness</w:t>
            </w:r>
          </w:p>
        </w:tc>
      </w:tr>
      <w:tr w:rsidR="00B44CCB" w:rsidRPr="001A1836" w14:paraId="3198499E" w14:textId="77777777" w:rsidTr="000F4624">
        <w:tc>
          <w:tcPr>
            <w:tcW w:w="1950" w:type="dxa"/>
            <w:tcBorders>
              <w:top w:val="single" w:sz="4" w:space="0" w:color="auto"/>
              <w:left w:val="single" w:sz="4" w:space="0" w:color="auto"/>
              <w:bottom w:val="single" w:sz="4" w:space="0" w:color="auto"/>
              <w:right w:val="single" w:sz="4" w:space="0" w:color="auto"/>
            </w:tcBorders>
            <w:hideMark/>
          </w:tcPr>
          <w:p w14:paraId="5DE409EC" w14:textId="77777777" w:rsidR="00B44CCB" w:rsidRPr="001A1836" w:rsidRDefault="00B44CCB" w:rsidP="000F4624">
            <w:pPr>
              <w:rPr>
                <w:rFonts w:cs="Arial"/>
                <w:szCs w:val="22"/>
              </w:rPr>
            </w:pPr>
            <w:r w:rsidRPr="001A1836">
              <w:rPr>
                <w:rFonts w:cs="Arial"/>
                <w:szCs w:val="22"/>
              </w:rPr>
              <w:t xml:space="preserve">KPI description </w:t>
            </w:r>
          </w:p>
        </w:tc>
        <w:tc>
          <w:tcPr>
            <w:tcW w:w="6572" w:type="dxa"/>
            <w:gridSpan w:val="2"/>
            <w:tcBorders>
              <w:top w:val="single" w:sz="4" w:space="0" w:color="auto"/>
              <w:left w:val="single" w:sz="4" w:space="0" w:color="auto"/>
              <w:bottom w:val="single" w:sz="4" w:space="0" w:color="auto"/>
              <w:right w:val="single" w:sz="4" w:space="0" w:color="auto"/>
            </w:tcBorders>
            <w:hideMark/>
          </w:tcPr>
          <w:p w14:paraId="105D93A8" w14:textId="77777777" w:rsidR="00B44CCB" w:rsidRPr="001A1836" w:rsidRDefault="00B44CCB" w:rsidP="000F4624">
            <w:pPr>
              <w:rPr>
                <w:rFonts w:cs="Arial"/>
                <w:i/>
                <w:szCs w:val="22"/>
              </w:rPr>
            </w:pPr>
            <w:r w:rsidRPr="001A1836">
              <w:rPr>
                <w:rFonts w:cs="Arial"/>
                <w:kern w:val="0"/>
                <w:szCs w:val="22"/>
              </w:rPr>
              <w:t xml:space="preserve">Increasing and sustaining consumer awareness of the importance of Gas Safety, including the risk of Carbon Monoxide poisoning, and awareness of the Gas Safe Register brand and the consumer services provided by GSR. </w:t>
            </w:r>
          </w:p>
          <w:p w14:paraId="70F63D3D" w14:textId="77777777" w:rsidR="00B44CCB" w:rsidRPr="001A1836" w:rsidRDefault="00B44CCB" w:rsidP="000F4624">
            <w:pPr>
              <w:rPr>
                <w:rFonts w:cs="Arial"/>
                <w:i/>
                <w:szCs w:val="22"/>
              </w:rPr>
            </w:pPr>
          </w:p>
        </w:tc>
      </w:tr>
      <w:tr w:rsidR="00B44CCB" w:rsidRPr="001A1836" w14:paraId="50D33309" w14:textId="77777777" w:rsidTr="000F4624">
        <w:tc>
          <w:tcPr>
            <w:tcW w:w="1950" w:type="dxa"/>
            <w:tcBorders>
              <w:top w:val="single" w:sz="4" w:space="0" w:color="auto"/>
              <w:left w:val="single" w:sz="4" w:space="0" w:color="auto"/>
              <w:bottom w:val="single" w:sz="4" w:space="0" w:color="auto"/>
              <w:right w:val="single" w:sz="4" w:space="0" w:color="auto"/>
            </w:tcBorders>
          </w:tcPr>
          <w:p w14:paraId="3A4D0100" w14:textId="77777777" w:rsidR="00B44CCB" w:rsidRPr="001A1836" w:rsidRDefault="00B44CCB" w:rsidP="000F4624">
            <w:pPr>
              <w:rPr>
                <w:rFonts w:cs="Arial"/>
                <w:szCs w:val="22"/>
              </w:rPr>
            </w:pPr>
            <w:r w:rsidRPr="001A1836">
              <w:rPr>
                <w:rFonts w:cs="Arial"/>
                <w:szCs w:val="22"/>
              </w:rPr>
              <w:t>KPI methodology</w:t>
            </w:r>
          </w:p>
        </w:tc>
        <w:tc>
          <w:tcPr>
            <w:tcW w:w="6572" w:type="dxa"/>
            <w:gridSpan w:val="2"/>
            <w:tcBorders>
              <w:top w:val="single" w:sz="4" w:space="0" w:color="auto"/>
              <w:left w:val="single" w:sz="4" w:space="0" w:color="auto"/>
              <w:bottom w:val="single" w:sz="4" w:space="0" w:color="auto"/>
              <w:right w:val="single" w:sz="4" w:space="0" w:color="auto"/>
            </w:tcBorders>
          </w:tcPr>
          <w:p w14:paraId="372C253B" w14:textId="77777777" w:rsidR="00B44CCB" w:rsidRPr="001A1836" w:rsidRDefault="00B44CCB" w:rsidP="000F4624">
            <w:pPr>
              <w:rPr>
                <w:rFonts w:cs="Arial"/>
                <w:kern w:val="0"/>
                <w:szCs w:val="22"/>
              </w:rPr>
            </w:pPr>
            <w:r w:rsidRPr="001A1836">
              <w:rPr>
                <w:rFonts w:cs="Arial"/>
                <w:kern w:val="0"/>
                <w:szCs w:val="22"/>
              </w:rPr>
              <w:t xml:space="preserve">Undertake quarterly surveys of gas consumers using </w:t>
            </w:r>
            <w:r>
              <w:rPr>
                <w:rFonts w:cs="Arial"/>
                <w:kern w:val="0"/>
                <w:szCs w:val="22"/>
              </w:rPr>
              <w:t>the Provider’s</w:t>
            </w:r>
            <w:r w:rsidRPr="001A1836">
              <w:rPr>
                <w:rFonts w:cs="Arial"/>
                <w:kern w:val="0"/>
                <w:szCs w:val="22"/>
              </w:rPr>
              <w:t xml:space="preserve"> approved, independent third-party, specialist marketing research partner, to ensure the expected quality standards of the research. </w:t>
            </w:r>
          </w:p>
          <w:p w14:paraId="339D262C" w14:textId="77777777" w:rsidR="00B44CCB" w:rsidRPr="001A1836" w:rsidRDefault="00B44CCB" w:rsidP="000F4624">
            <w:pPr>
              <w:rPr>
                <w:rFonts w:eastAsia="MS Mincho" w:cs="Arial"/>
                <w:kern w:val="0"/>
                <w:szCs w:val="22"/>
              </w:rPr>
            </w:pPr>
            <w:r w:rsidRPr="001A1836">
              <w:rPr>
                <w:rFonts w:cs="Arial"/>
                <w:kern w:val="0"/>
                <w:szCs w:val="22"/>
              </w:rPr>
              <w:t xml:space="preserve">The quarterly survey will be </w:t>
            </w:r>
            <w:r w:rsidRPr="001A1836">
              <w:rPr>
                <w:rFonts w:eastAsia="MS Mincho" w:cs="Arial"/>
                <w:kern w:val="0"/>
                <w:szCs w:val="22"/>
              </w:rPr>
              <w:t xml:space="preserve">undertaken in line with the guidelines set out by the market research quality International Standard ISO 20252. </w:t>
            </w:r>
          </w:p>
          <w:p w14:paraId="2ECE2261" w14:textId="77777777" w:rsidR="00B44CCB" w:rsidRPr="001A1836" w:rsidRDefault="00B44CCB" w:rsidP="000F4624">
            <w:pPr>
              <w:rPr>
                <w:rFonts w:eastAsia="MS Mincho" w:cs="Arial"/>
                <w:kern w:val="0"/>
                <w:szCs w:val="22"/>
              </w:rPr>
            </w:pPr>
            <w:r w:rsidRPr="001A1836">
              <w:rPr>
                <w:rFonts w:eastAsia="MS Mincho" w:cs="Arial"/>
                <w:kern w:val="0"/>
                <w:szCs w:val="22"/>
              </w:rPr>
              <w:t xml:space="preserve">The market research partner will have access to a database that allows them to select a balance of consumers to take part in a survey. An email is sent to selected participants that includes a link to an online survey. The market research partner will collect </w:t>
            </w:r>
            <w:r>
              <w:rPr>
                <w:rFonts w:eastAsia="MS Mincho" w:cs="Arial"/>
                <w:kern w:val="0"/>
                <w:szCs w:val="22"/>
              </w:rPr>
              <w:t>9</w:t>
            </w:r>
            <w:r w:rsidRPr="001A1836">
              <w:rPr>
                <w:rFonts w:eastAsia="MS Mincho" w:cs="Arial"/>
                <w:kern w:val="0"/>
                <w:szCs w:val="22"/>
              </w:rPr>
              <w:t xml:space="preserve">50 online surveys in this way. The remaining 50 surveys will be conducted by on-street colleagues questioning consumers face to face in order to include consumers who </w:t>
            </w:r>
            <w:r w:rsidRPr="001A1836">
              <w:rPr>
                <w:rFonts w:cs="Arial"/>
                <w:kern w:val="0"/>
                <w:szCs w:val="22"/>
              </w:rPr>
              <w:t>are less likely to have access to the internet, typically older consumers and those in socio-economic groups D and E.</w:t>
            </w:r>
          </w:p>
          <w:p w14:paraId="3509A626" w14:textId="77777777" w:rsidR="00B44CCB" w:rsidRPr="001A1836" w:rsidRDefault="00B44CCB" w:rsidP="000F4624">
            <w:pPr>
              <w:rPr>
                <w:rFonts w:cs="Arial"/>
                <w:kern w:val="0"/>
                <w:szCs w:val="22"/>
              </w:rPr>
            </w:pPr>
            <w:r w:rsidRPr="001A1836">
              <w:rPr>
                <w:rFonts w:cs="Arial"/>
                <w:kern w:val="0"/>
                <w:szCs w:val="22"/>
              </w:rPr>
              <w:t xml:space="preserve">The online survey is undertaken using a sample provided by the independent market research company. </w:t>
            </w:r>
          </w:p>
          <w:p w14:paraId="4E37E183" w14:textId="77777777" w:rsidR="00B44CCB" w:rsidRPr="001A1836" w:rsidRDefault="00B44CCB" w:rsidP="000F4624">
            <w:pPr>
              <w:rPr>
                <w:rFonts w:cs="Arial"/>
                <w:i/>
                <w:szCs w:val="22"/>
              </w:rPr>
            </w:pPr>
            <w:r w:rsidRPr="001A1836" w:rsidDel="00F54581">
              <w:rPr>
                <w:rFonts w:cs="Arial"/>
                <w:i/>
                <w:szCs w:val="22"/>
              </w:rPr>
              <w:t xml:space="preserve"> </w:t>
            </w:r>
          </w:p>
        </w:tc>
      </w:tr>
      <w:tr w:rsidR="00B44CCB" w:rsidRPr="001A1836" w14:paraId="4FFD0FEF" w14:textId="77777777" w:rsidTr="000F4624">
        <w:tc>
          <w:tcPr>
            <w:tcW w:w="1950" w:type="dxa"/>
            <w:tcBorders>
              <w:top w:val="single" w:sz="4" w:space="0" w:color="auto"/>
              <w:left w:val="single" w:sz="4" w:space="0" w:color="auto"/>
              <w:bottom w:val="single" w:sz="4" w:space="0" w:color="auto"/>
              <w:right w:val="single" w:sz="4" w:space="0" w:color="auto"/>
            </w:tcBorders>
            <w:hideMark/>
          </w:tcPr>
          <w:p w14:paraId="5159AEF2" w14:textId="77777777" w:rsidR="00B44CCB" w:rsidRPr="001A1836" w:rsidRDefault="00B44CCB" w:rsidP="000F4624">
            <w:pPr>
              <w:rPr>
                <w:rFonts w:cs="Arial"/>
                <w:szCs w:val="22"/>
              </w:rPr>
            </w:pPr>
            <w:r w:rsidRPr="001A1836">
              <w:rPr>
                <w:rFonts w:cs="Arial"/>
                <w:szCs w:val="22"/>
              </w:rPr>
              <w:t>Data capture</w:t>
            </w:r>
          </w:p>
        </w:tc>
        <w:tc>
          <w:tcPr>
            <w:tcW w:w="6572" w:type="dxa"/>
            <w:gridSpan w:val="2"/>
            <w:tcBorders>
              <w:top w:val="single" w:sz="4" w:space="0" w:color="auto"/>
              <w:left w:val="single" w:sz="4" w:space="0" w:color="auto"/>
              <w:bottom w:val="single" w:sz="4" w:space="0" w:color="auto"/>
              <w:right w:val="single" w:sz="4" w:space="0" w:color="auto"/>
            </w:tcBorders>
          </w:tcPr>
          <w:p w14:paraId="7899491C" w14:textId="77777777" w:rsidR="00B44CCB" w:rsidRPr="001A1836" w:rsidRDefault="00B44CCB" w:rsidP="000F4624">
            <w:pPr>
              <w:rPr>
                <w:rFonts w:cs="Arial"/>
                <w:kern w:val="0"/>
                <w:szCs w:val="22"/>
              </w:rPr>
            </w:pPr>
            <w:r>
              <w:rPr>
                <w:rFonts w:cs="Arial"/>
                <w:kern w:val="0"/>
                <w:szCs w:val="22"/>
              </w:rPr>
              <w:t>9</w:t>
            </w:r>
            <w:r w:rsidRPr="001A1836">
              <w:rPr>
                <w:rFonts w:cs="Arial"/>
                <w:kern w:val="0"/>
                <w:szCs w:val="22"/>
              </w:rPr>
              <w:t>50 surveys will be captured online</w:t>
            </w:r>
            <w:r>
              <w:rPr>
                <w:rFonts w:cs="Arial"/>
                <w:kern w:val="0"/>
                <w:szCs w:val="22"/>
              </w:rPr>
              <w:t xml:space="preserve"> each wave as an optimum</w:t>
            </w:r>
            <w:r w:rsidRPr="001A1836">
              <w:rPr>
                <w:rFonts w:cs="Arial"/>
                <w:kern w:val="0"/>
                <w:szCs w:val="22"/>
              </w:rPr>
              <w:t xml:space="preserve">. </w:t>
            </w:r>
          </w:p>
          <w:p w14:paraId="2B96B727" w14:textId="77777777" w:rsidR="00B44CCB" w:rsidRPr="001A1836" w:rsidRDefault="00B44CCB" w:rsidP="000F4624">
            <w:pPr>
              <w:rPr>
                <w:rFonts w:cs="Arial"/>
                <w:i/>
                <w:szCs w:val="22"/>
              </w:rPr>
            </w:pPr>
            <w:r w:rsidRPr="001A1836">
              <w:rPr>
                <w:rFonts w:cs="Arial"/>
                <w:kern w:val="0"/>
                <w:szCs w:val="22"/>
              </w:rPr>
              <w:t>50 survey</w:t>
            </w:r>
            <w:r>
              <w:rPr>
                <w:rFonts w:cs="Arial"/>
                <w:kern w:val="0"/>
                <w:szCs w:val="22"/>
              </w:rPr>
              <w:t>s</w:t>
            </w:r>
            <w:r w:rsidRPr="001A1836">
              <w:rPr>
                <w:rFonts w:cs="Arial"/>
                <w:kern w:val="0"/>
                <w:szCs w:val="22"/>
              </w:rPr>
              <w:t xml:space="preserve"> will be conducted face to face and documented by the market research partner</w:t>
            </w:r>
            <w:r>
              <w:rPr>
                <w:rFonts w:cs="Arial"/>
                <w:kern w:val="0"/>
                <w:szCs w:val="22"/>
              </w:rPr>
              <w:t xml:space="preserve"> each wave</w:t>
            </w:r>
            <w:r w:rsidRPr="001A1836">
              <w:rPr>
                <w:rFonts w:cs="Arial"/>
                <w:kern w:val="0"/>
                <w:szCs w:val="22"/>
              </w:rPr>
              <w:t>.</w:t>
            </w:r>
            <w:r w:rsidRPr="001A1836" w:rsidDel="00F54581">
              <w:rPr>
                <w:rFonts w:cs="Arial"/>
                <w:i/>
                <w:szCs w:val="22"/>
              </w:rPr>
              <w:t xml:space="preserve"> </w:t>
            </w:r>
          </w:p>
        </w:tc>
      </w:tr>
      <w:tr w:rsidR="00B44CCB" w:rsidRPr="001A1836" w14:paraId="4A9B9F01" w14:textId="77777777" w:rsidTr="000F4624">
        <w:tc>
          <w:tcPr>
            <w:tcW w:w="1950" w:type="dxa"/>
            <w:tcBorders>
              <w:top w:val="single" w:sz="4" w:space="0" w:color="auto"/>
              <w:left w:val="single" w:sz="4" w:space="0" w:color="auto"/>
              <w:bottom w:val="single" w:sz="4" w:space="0" w:color="auto"/>
              <w:right w:val="single" w:sz="4" w:space="0" w:color="auto"/>
            </w:tcBorders>
          </w:tcPr>
          <w:p w14:paraId="3A592994" w14:textId="77777777" w:rsidR="00B44CCB" w:rsidRPr="001A1836" w:rsidRDefault="00B44CCB" w:rsidP="000F4624">
            <w:pPr>
              <w:rPr>
                <w:rFonts w:cs="Arial"/>
                <w:szCs w:val="22"/>
              </w:rPr>
            </w:pPr>
            <w:r w:rsidRPr="001A1836">
              <w:rPr>
                <w:rFonts w:cs="Arial"/>
                <w:szCs w:val="22"/>
              </w:rPr>
              <w:t>KPI calculation</w:t>
            </w:r>
          </w:p>
        </w:tc>
        <w:tc>
          <w:tcPr>
            <w:tcW w:w="6572" w:type="dxa"/>
            <w:gridSpan w:val="2"/>
            <w:tcBorders>
              <w:top w:val="single" w:sz="4" w:space="0" w:color="auto"/>
              <w:left w:val="single" w:sz="4" w:space="0" w:color="auto"/>
              <w:bottom w:val="single" w:sz="4" w:space="0" w:color="auto"/>
              <w:right w:val="single" w:sz="4" w:space="0" w:color="auto"/>
            </w:tcBorders>
          </w:tcPr>
          <w:p w14:paraId="099CDFDF" w14:textId="77777777" w:rsidR="00B44CCB" w:rsidRDefault="00B44CCB" w:rsidP="000F4624">
            <w:pPr>
              <w:spacing w:before="120" w:after="240"/>
              <w:rPr>
                <w:rFonts w:cs="Arial"/>
                <w:kern w:val="0"/>
                <w:szCs w:val="22"/>
              </w:rPr>
            </w:pPr>
            <w:r w:rsidRPr="001A1836">
              <w:rPr>
                <w:rFonts w:cs="Arial"/>
                <w:kern w:val="0"/>
                <w:szCs w:val="22"/>
              </w:rPr>
              <w:t xml:space="preserve">Actual performance </w:t>
            </w:r>
            <w:r>
              <w:rPr>
                <w:rFonts w:cs="Arial"/>
                <w:kern w:val="0"/>
                <w:szCs w:val="22"/>
              </w:rPr>
              <w:t xml:space="preserve">data </w:t>
            </w:r>
            <w:r w:rsidRPr="001A1836">
              <w:rPr>
                <w:rFonts w:cs="Arial"/>
                <w:kern w:val="0"/>
                <w:szCs w:val="22"/>
              </w:rPr>
              <w:t xml:space="preserve">will be </w:t>
            </w:r>
            <w:r>
              <w:rPr>
                <w:rFonts w:cs="Arial"/>
                <w:kern w:val="0"/>
                <w:szCs w:val="22"/>
              </w:rPr>
              <w:t>measured using survey results</w:t>
            </w:r>
            <w:r w:rsidRPr="001A1836">
              <w:rPr>
                <w:rFonts w:cs="Arial"/>
                <w:kern w:val="0"/>
                <w:szCs w:val="22"/>
              </w:rPr>
              <w:t xml:space="preserve"> against the baseline target to calculate an overall score for KPI 1. The</w:t>
            </w:r>
            <w:r>
              <w:rPr>
                <w:rFonts w:cs="Arial"/>
                <w:kern w:val="0"/>
                <w:szCs w:val="22"/>
              </w:rPr>
              <w:t xml:space="preserve"> survey has nine key questions relating to KPI  1 with results weighted by importance, and each of the nine questions are split across four measured areas and weighted using the proportions set out below.</w:t>
            </w:r>
            <w:r w:rsidRPr="001A1836">
              <w:rPr>
                <w:rFonts w:cs="Arial"/>
                <w:kern w:val="0"/>
                <w:szCs w:val="22"/>
              </w:rPr>
              <w:t xml:space="preserve">  </w:t>
            </w:r>
          </w:p>
          <w:tbl>
            <w:tblPr>
              <w:tblStyle w:val="TableGrid"/>
              <w:tblW w:w="0" w:type="auto"/>
              <w:tblLook w:val="04A0" w:firstRow="1" w:lastRow="0" w:firstColumn="1" w:lastColumn="0" w:noHBand="0" w:noVBand="1"/>
            </w:tblPr>
            <w:tblGrid>
              <w:gridCol w:w="3227"/>
              <w:gridCol w:w="3119"/>
            </w:tblGrid>
            <w:tr w:rsidR="00B44CCB" w14:paraId="362AB028" w14:textId="77777777" w:rsidTr="000F4624">
              <w:tc>
                <w:tcPr>
                  <w:tcW w:w="3688" w:type="dxa"/>
                </w:tcPr>
                <w:p w14:paraId="62451DF7" w14:textId="77777777" w:rsidR="00B44CCB" w:rsidRPr="00774E24" w:rsidRDefault="00B44CCB" w:rsidP="000F4624">
                  <w:pPr>
                    <w:rPr>
                      <w:rFonts w:cs="Arial"/>
                      <w:b/>
                      <w:kern w:val="0"/>
                      <w:szCs w:val="22"/>
                    </w:rPr>
                  </w:pPr>
                  <w:r w:rsidRPr="00774E24">
                    <w:rPr>
                      <w:rFonts w:cs="Arial"/>
                      <w:b/>
                      <w:kern w:val="0"/>
                      <w:szCs w:val="22"/>
                    </w:rPr>
                    <w:t>Area</w:t>
                  </w:r>
                </w:p>
              </w:tc>
              <w:tc>
                <w:tcPr>
                  <w:tcW w:w="3689" w:type="dxa"/>
                </w:tcPr>
                <w:p w14:paraId="109B702A" w14:textId="77777777" w:rsidR="00B44CCB" w:rsidRPr="00774E24" w:rsidRDefault="00B44CCB" w:rsidP="000F4624">
                  <w:pPr>
                    <w:jc w:val="right"/>
                    <w:rPr>
                      <w:rFonts w:cs="Arial"/>
                      <w:b/>
                      <w:kern w:val="0"/>
                      <w:szCs w:val="22"/>
                    </w:rPr>
                  </w:pPr>
                  <w:r w:rsidRPr="00774E24">
                    <w:rPr>
                      <w:rFonts w:cs="Arial"/>
                      <w:b/>
                      <w:kern w:val="0"/>
                      <w:szCs w:val="22"/>
                    </w:rPr>
                    <w:t>KPI1</w:t>
                  </w:r>
                </w:p>
              </w:tc>
            </w:tr>
            <w:tr w:rsidR="00B44CCB" w14:paraId="51237920" w14:textId="77777777" w:rsidTr="000F4624">
              <w:tc>
                <w:tcPr>
                  <w:tcW w:w="3688" w:type="dxa"/>
                </w:tcPr>
                <w:p w14:paraId="1EB4D184" w14:textId="77777777" w:rsidR="00B44CCB" w:rsidRDefault="00B44CCB" w:rsidP="000F4624">
                  <w:pPr>
                    <w:rPr>
                      <w:rFonts w:cs="Arial"/>
                      <w:kern w:val="0"/>
                      <w:szCs w:val="22"/>
                    </w:rPr>
                  </w:pPr>
                  <w:r>
                    <w:rPr>
                      <w:rFonts w:cs="Arial"/>
                      <w:kern w:val="0"/>
                      <w:szCs w:val="22"/>
                    </w:rPr>
                    <w:t>Brand</w:t>
                  </w:r>
                </w:p>
              </w:tc>
              <w:tc>
                <w:tcPr>
                  <w:tcW w:w="3689" w:type="dxa"/>
                </w:tcPr>
                <w:p w14:paraId="19D66669" w14:textId="77777777" w:rsidR="00B44CCB" w:rsidRDefault="00B44CCB" w:rsidP="000F4624">
                  <w:pPr>
                    <w:jc w:val="right"/>
                    <w:rPr>
                      <w:rFonts w:cs="Arial"/>
                      <w:kern w:val="0"/>
                      <w:szCs w:val="22"/>
                    </w:rPr>
                  </w:pPr>
                  <w:r>
                    <w:rPr>
                      <w:rFonts w:cs="Arial"/>
                      <w:kern w:val="0"/>
                      <w:szCs w:val="22"/>
                    </w:rPr>
                    <w:t>35%</w:t>
                  </w:r>
                </w:p>
              </w:tc>
            </w:tr>
            <w:tr w:rsidR="00B44CCB" w14:paraId="5E2D1B8A" w14:textId="77777777" w:rsidTr="000F4624">
              <w:tc>
                <w:tcPr>
                  <w:tcW w:w="3688" w:type="dxa"/>
                </w:tcPr>
                <w:p w14:paraId="58EA9631" w14:textId="77777777" w:rsidR="00B44CCB" w:rsidRDefault="00B44CCB" w:rsidP="000F4624">
                  <w:pPr>
                    <w:rPr>
                      <w:rFonts w:cs="Arial"/>
                      <w:kern w:val="0"/>
                      <w:szCs w:val="22"/>
                    </w:rPr>
                  </w:pPr>
                  <w:r>
                    <w:rPr>
                      <w:rFonts w:cs="Arial"/>
                      <w:kern w:val="0"/>
                      <w:szCs w:val="22"/>
                    </w:rPr>
                    <w:t>Scope / awareness</w:t>
                  </w:r>
                </w:p>
              </w:tc>
              <w:tc>
                <w:tcPr>
                  <w:tcW w:w="3689" w:type="dxa"/>
                </w:tcPr>
                <w:p w14:paraId="3A90C046" w14:textId="77777777" w:rsidR="00B44CCB" w:rsidRDefault="00B44CCB" w:rsidP="000F4624">
                  <w:pPr>
                    <w:jc w:val="right"/>
                    <w:rPr>
                      <w:rFonts w:cs="Arial"/>
                      <w:kern w:val="0"/>
                      <w:szCs w:val="22"/>
                    </w:rPr>
                  </w:pPr>
                  <w:r>
                    <w:rPr>
                      <w:rFonts w:cs="Arial"/>
                      <w:kern w:val="0"/>
                      <w:szCs w:val="22"/>
                    </w:rPr>
                    <w:t>20%</w:t>
                  </w:r>
                </w:p>
              </w:tc>
            </w:tr>
            <w:tr w:rsidR="00B44CCB" w14:paraId="0D197382" w14:textId="77777777" w:rsidTr="000F4624">
              <w:tc>
                <w:tcPr>
                  <w:tcW w:w="3688" w:type="dxa"/>
                </w:tcPr>
                <w:p w14:paraId="03865C5F" w14:textId="77777777" w:rsidR="00B44CCB" w:rsidRDefault="00B44CCB" w:rsidP="000F4624">
                  <w:pPr>
                    <w:rPr>
                      <w:rFonts w:cs="Arial"/>
                      <w:kern w:val="0"/>
                      <w:szCs w:val="22"/>
                    </w:rPr>
                  </w:pPr>
                  <w:r>
                    <w:rPr>
                      <w:rFonts w:cs="Arial"/>
                      <w:kern w:val="0"/>
                      <w:szCs w:val="22"/>
                    </w:rPr>
                    <w:t>Positive Action</w:t>
                  </w:r>
                </w:p>
              </w:tc>
              <w:tc>
                <w:tcPr>
                  <w:tcW w:w="3689" w:type="dxa"/>
                </w:tcPr>
                <w:p w14:paraId="549256D1" w14:textId="77777777" w:rsidR="00B44CCB" w:rsidRDefault="00B44CCB" w:rsidP="000F4624">
                  <w:pPr>
                    <w:jc w:val="right"/>
                    <w:rPr>
                      <w:rFonts w:cs="Arial"/>
                      <w:kern w:val="0"/>
                      <w:szCs w:val="22"/>
                    </w:rPr>
                  </w:pPr>
                  <w:r>
                    <w:rPr>
                      <w:rFonts w:cs="Arial"/>
                      <w:kern w:val="0"/>
                      <w:szCs w:val="22"/>
                    </w:rPr>
                    <w:t>35%</w:t>
                  </w:r>
                </w:p>
              </w:tc>
            </w:tr>
            <w:tr w:rsidR="00B44CCB" w14:paraId="7B9A26C9" w14:textId="77777777" w:rsidTr="000F4624">
              <w:tc>
                <w:tcPr>
                  <w:tcW w:w="3688" w:type="dxa"/>
                </w:tcPr>
                <w:p w14:paraId="24710511" w14:textId="77777777" w:rsidR="00B44CCB" w:rsidRDefault="00B44CCB" w:rsidP="000F4624">
                  <w:pPr>
                    <w:rPr>
                      <w:rFonts w:cs="Arial"/>
                      <w:kern w:val="0"/>
                      <w:szCs w:val="22"/>
                    </w:rPr>
                  </w:pPr>
                  <w:r>
                    <w:rPr>
                      <w:rFonts w:cs="Arial"/>
                      <w:kern w:val="0"/>
                      <w:szCs w:val="22"/>
                    </w:rPr>
                    <w:t>CO awareness</w:t>
                  </w:r>
                </w:p>
              </w:tc>
              <w:tc>
                <w:tcPr>
                  <w:tcW w:w="3689" w:type="dxa"/>
                </w:tcPr>
                <w:p w14:paraId="1EDC118E" w14:textId="77777777" w:rsidR="00B44CCB" w:rsidRDefault="00B44CCB" w:rsidP="000F4624">
                  <w:pPr>
                    <w:jc w:val="right"/>
                    <w:rPr>
                      <w:rFonts w:cs="Arial"/>
                      <w:kern w:val="0"/>
                      <w:szCs w:val="22"/>
                    </w:rPr>
                  </w:pPr>
                  <w:r>
                    <w:rPr>
                      <w:rFonts w:cs="Arial"/>
                      <w:kern w:val="0"/>
                      <w:szCs w:val="22"/>
                    </w:rPr>
                    <w:t>10%</w:t>
                  </w:r>
                </w:p>
              </w:tc>
            </w:tr>
          </w:tbl>
          <w:p w14:paraId="63CEE1AE" w14:textId="77777777" w:rsidR="00B44CCB" w:rsidRPr="001A1836" w:rsidRDefault="00B44CCB" w:rsidP="000F4624">
            <w:pPr>
              <w:spacing w:before="120" w:after="240"/>
              <w:rPr>
                <w:rFonts w:cs="Arial"/>
                <w:kern w:val="0"/>
                <w:szCs w:val="22"/>
              </w:rPr>
            </w:pPr>
            <w:r w:rsidRPr="001A1836">
              <w:rPr>
                <w:rFonts w:cs="Arial"/>
                <w:kern w:val="0"/>
                <w:szCs w:val="22"/>
              </w:rPr>
              <w:t>The overall score is then calculated as the sum of the individual scores</w:t>
            </w:r>
            <w:r>
              <w:rPr>
                <w:rFonts w:cs="Arial"/>
                <w:kern w:val="0"/>
                <w:szCs w:val="22"/>
              </w:rPr>
              <w:t>, see Table A below for an example of calculations</w:t>
            </w:r>
            <w:r w:rsidRPr="001A1836">
              <w:rPr>
                <w:rFonts w:cs="Arial"/>
                <w:kern w:val="0"/>
                <w:szCs w:val="22"/>
              </w:rPr>
              <w:t>.</w:t>
            </w:r>
          </w:p>
          <w:p w14:paraId="12B4C960" w14:textId="77777777" w:rsidR="00B44CCB" w:rsidRPr="008123C3" w:rsidRDefault="00B44CCB" w:rsidP="000F4624">
            <w:pPr>
              <w:rPr>
                <w:rFonts w:cs="Arial"/>
                <w:b/>
                <w:szCs w:val="22"/>
              </w:rPr>
            </w:pPr>
            <w:r w:rsidRPr="008123C3">
              <w:rPr>
                <w:rFonts w:cs="Arial"/>
                <w:b/>
                <w:szCs w:val="22"/>
              </w:rPr>
              <w:t>Table A</w:t>
            </w:r>
          </w:p>
          <w:p w14:paraId="3C9E1056" w14:textId="77777777" w:rsidR="00B44CCB" w:rsidRDefault="00B44CCB" w:rsidP="000F4624">
            <w:pPr>
              <w:rPr>
                <w:rFonts w:cs="Arial"/>
                <w:szCs w:val="22"/>
              </w:rPr>
            </w:pPr>
          </w:p>
          <w:tbl>
            <w:tblPr>
              <w:tblStyle w:val="TableGrid"/>
              <w:tblW w:w="0" w:type="auto"/>
              <w:tblLook w:val="04A0" w:firstRow="1" w:lastRow="0" w:firstColumn="1" w:lastColumn="0" w:noHBand="0" w:noVBand="1"/>
            </w:tblPr>
            <w:tblGrid>
              <w:gridCol w:w="2973"/>
              <w:gridCol w:w="704"/>
              <w:gridCol w:w="1113"/>
              <w:gridCol w:w="507"/>
              <w:gridCol w:w="1049"/>
            </w:tblGrid>
            <w:tr w:rsidR="00B44CCB" w:rsidRPr="003F0D71" w14:paraId="7647D3F2" w14:textId="77777777" w:rsidTr="000F4624">
              <w:tc>
                <w:tcPr>
                  <w:tcW w:w="3904" w:type="dxa"/>
                </w:tcPr>
                <w:p w14:paraId="16E59062" w14:textId="77777777" w:rsidR="00B44CCB" w:rsidRPr="003F0D71" w:rsidRDefault="00B44CCB" w:rsidP="000F4624">
                  <w:pPr>
                    <w:jc w:val="left"/>
                    <w:rPr>
                      <w:rFonts w:cs="Arial"/>
                      <w:sz w:val="18"/>
                      <w:szCs w:val="18"/>
                    </w:rPr>
                  </w:pPr>
                </w:p>
              </w:tc>
              <w:tc>
                <w:tcPr>
                  <w:tcW w:w="708" w:type="dxa"/>
                </w:tcPr>
                <w:p w14:paraId="7FE0AA9B" w14:textId="77777777" w:rsidR="00B44CCB" w:rsidRPr="003F0D71" w:rsidRDefault="00B44CCB" w:rsidP="000F4624">
                  <w:pPr>
                    <w:jc w:val="right"/>
                    <w:rPr>
                      <w:rFonts w:cs="Arial"/>
                      <w:sz w:val="18"/>
                      <w:szCs w:val="18"/>
                    </w:rPr>
                  </w:pPr>
                </w:p>
              </w:tc>
              <w:tc>
                <w:tcPr>
                  <w:tcW w:w="1134" w:type="dxa"/>
                </w:tcPr>
                <w:p w14:paraId="68FE068D" w14:textId="77777777" w:rsidR="00B44CCB" w:rsidRPr="003F0D71" w:rsidRDefault="00B44CCB" w:rsidP="000F4624">
                  <w:pPr>
                    <w:jc w:val="right"/>
                    <w:rPr>
                      <w:rFonts w:cs="Arial"/>
                      <w:sz w:val="18"/>
                      <w:szCs w:val="18"/>
                    </w:rPr>
                  </w:pPr>
                </w:p>
              </w:tc>
              <w:tc>
                <w:tcPr>
                  <w:tcW w:w="1636" w:type="dxa"/>
                  <w:gridSpan w:val="2"/>
                </w:tcPr>
                <w:p w14:paraId="744E2E01" w14:textId="77777777" w:rsidR="00B44CCB" w:rsidRPr="003F0D71" w:rsidRDefault="00B44CCB" w:rsidP="000F4624">
                  <w:pPr>
                    <w:jc w:val="center"/>
                    <w:rPr>
                      <w:rFonts w:cs="Arial"/>
                      <w:sz w:val="18"/>
                      <w:szCs w:val="18"/>
                    </w:rPr>
                  </w:pPr>
                  <w:r>
                    <w:rPr>
                      <w:rFonts w:cs="Arial"/>
                      <w:sz w:val="18"/>
                      <w:szCs w:val="18"/>
                    </w:rPr>
                    <w:t>June 2019 baseline</w:t>
                  </w:r>
                </w:p>
              </w:tc>
            </w:tr>
            <w:tr w:rsidR="00B44CCB" w:rsidRPr="003F0D71" w14:paraId="6623AAFC" w14:textId="77777777" w:rsidTr="000F4624">
              <w:tc>
                <w:tcPr>
                  <w:tcW w:w="5746" w:type="dxa"/>
                  <w:gridSpan w:val="3"/>
                </w:tcPr>
                <w:p w14:paraId="3C9AE738" w14:textId="77777777" w:rsidR="00B44CCB" w:rsidRPr="003F0D71" w:rsidRDefault="00B44CCB" w:rsidP="000F4624">
                  <w:pPr>
                    <w:jc w:val="left"/>
                    <w:rPr>
                      <w:rFonts w:cs="Arial"/>
                      <w:b/>
                      <w:sz w:val="18"/>
                      <w:szCs w:val="18"/>
                    </w:rPr>
                  </w:pPr>
                  <w:r w:rsidRPr="003F0D71">
                    <w:rPr>
                      <w:rFonts w:cs="Arial"/>
                      <w:b/>
                      <w:sz w:val="18"/>
                      <w:szCs w:val="18"/>
                    </w:rPr>
                    <w:t>Base</w:t>
                  </w:r>
                </w:p>
              </w:tc>
              <w:tc>
                <w:tcPr>
                  <w:tcW w:w="1636" w:type="dxa"/>
                  <w:gridSpan w:val="2"/>
                </w:tcPr>
                <w:p w14:paraId="1DA5365F" w14:textId="77777777" w:rsidR="00B44CCB" w:rsidRPr="003F0D71" w:rsidRDefault="00B44CCB" w:rsidP="000F4624">
                  <w:pPr>
                    <w:jc w:val="center"/>
                    <w:rPr>
                      <w:rFonts w:cs="Arial"/>
                      <w:b/>
                      <w:sz w:val="18"/>
                      <w:szCs w:val="18"/>
                    </w:rPr>
                  </w:pPr>
                  <w:r w:rsidRPr="003F0D71">
                    <w:rPr>
                      <w:rFonts w:cs="Arial"/>
                      <w:b/>
                      <w:sz w:val="18"/>
                      <w:szCs w:val="18"/>
                    </w:rPr>
                    <w:t>1006</w:t>
                  </w:r>
                </w:p>
              </w:tc>
            </w:tr>
            <w:tr w:rsidR="00B44CCB" w:rsidRPr="003F0D71" w14:paraId="61911ADE" w14:textId="77777777" w:rsidTr="000F4624">
              <w:tc>
                <w:tcPr>
                  <w:tcW w:w="3904" w:type="dxa"/>
                </w:tcPr>
                <w:p w14:paraId="01636289" w14:textId="77777777" w:rsidR="00B44CCB" w:rsidRPr="003F0D71" w:rsidRDefault="00B44CCB" w:rsidP="000F4624">
                  <w:pPr>
                    <w:jc w:val="left"/>
                    <w:rPr>
                      <w:rFonts w:cs="Arial"/>
                      <w:b/>
                      <w:sz w:val="18"/>
                      <w:szCs w:val="18"/>
                    </w:rPr>
                  </w:pPr>
                </w:p>
              </w:tc>
              <w:tc>
                <w:tcPr>
                  <w:tcW w:w="708" w:type="dxa"/>
                </w:tcPr>
                <w:p w14:paraId="5CC7E534" w14:textId="77777777" w:rsidR="00B44CCB" w:rsidRPr="003F0D71" w:rsidRDefault="00B44CCB" w:rsidP="000F4624">
                  <w:pPr>
                    <w:jc w:val="right"/>
                    <w:rPr>
                      <w:rFonts w:cs="Arial"/>
                      <w:b/>
                      <w:sz w:val="18"/>
                      <w:szCs w:val="18"/>
                    </w:rPr>
                  </w:pPr>
                  <w:r w:rsidRPr="003F0D71">
                    <w:rPr>
                      <w:rFonts w:cs="Arial"/>
                      <w:b/>
                      <w:sz w:val="18"/>
                      <w:szCs w:val="18"/>
                    </w:rPr>
                    <w:t>Max score</w:t>
                  </w:r>
                </w:p>
              </w:tc>
              <w:tc>
                <w:tcPr>
                  <w:tcW w:w="1134" w:type="dxa"/>
                </w:tcPr>
                <w:p w14:paraId="7BB0E803" w14:textId="77777777" w:rsidR="00B44CCB" w:rsidRPr="003F0D71" w:rsidRDefault="00B44CCB" w:rsidP="000F4624">
                  <w:pPr>
                    <w:jc w:val="right"/>
                    <w:rPr>
                      <w:rFonts w:cs="Arial"/>
                      <w:b/>
                      <w:sz w:val="18"/>
                      <w:szCs w:val="18"/>
                    </w:rPr>
                  </w:pPr>
                  <w:r w:rsidRPr="003F0D71">
                    <w:rPr>
                      <w:rFonts w:cs="Arial"/>
                      <w:b/>
                      <w:sz w:val="18"/>
                      <w:szCs w:val="18"/>
                    </w:rPr>
                    <w:t>Weighting</w:t>
                  </w:r>
                </w:p>
              </w:tc>
              <w:tc>
                <w:tcPr>
                  <w:tcW w:w="569" w:type="dxa"/>
                </w:tcPr>
                <w:p w14:paraId="4CC1A483" w14:textId="77777777" w:rsidR="00B44CCB" w:rsidRPr="003F0D71" w:rsidRDefault="00B44CCB" w:rsidP="000F4624">
                  <w:pPr>
                    <w:jc w:val="right"/>
                    <w:rPr>
                      <w:rFonts w:cs="Arial"/>
                      <w:b/>
                      <w:sz w:val="18"/>
                      <w:szCs w:val="18"/>
                    </w:rPr>
                  </w:pPr>
                  <w:r w:rsidRPr="003F0D71">
                    <w:rPr>
                      <w:rFonts w:cs="Arial"/>
                      <w:b/>
                      <w:sz w:val="18"/>
                      <w:szCs w:val="18"/>
                    </w:rPr>
                    <w:t>%</w:t>
                  </w:r>
                </w:p>
              </w:tc>
              <w:tc>
                <w:tcPr>
                  <w:tcW w:w="1067" w:type="dxa"/>
                </w:tcPr>
                <w:p w14:paraId="3BD1254F" w14:textId="77777777" w:rsidR="00B44CCB" w:rsidRPr="003F0D71" w:rsidRDefault="00B44CCB" w:rsidP="000F4624">
                  <w:pPr>
                    <w:jc w:val="right"/>
                    <w:rPr>
                      <w:rFonts w:cs="Arial"/>
                      <w:b/>
                      <w:sz w:val="18"/>
                      <w:szCs w:val="18"/>
                    </w:rPr>
                  </w:pPr>
                  <w:r w:rsidRPr="003F0D71">
                    <w:rPr>
                      <w:rFonts w:cs="Arial"/>
                      <w:b/>
                      <w:sz w:val="18"/>
                      <w:szCs w:val="18"/>
                    </w:rPr>
                    <w:t>Weighted</w:t>
                  </w:r>
                </w:p>
              </w:tc>
            </w:tr>
            <w:tr w:rsidR="00B44CCB" w:rsidRPr="003F0D71" w14:paraId="27010ADE" w14:textId="77777777" w:rsidTr="000F4624">
              <w:tc>
                <w:tcPr>
                  <w:tcW w:w="3904" w:type="dxa"/>
                </w:tcPr>
                <w:p w14:paraId="16C0A851" w14:textId="77777777" w:rsidR="00B44CCB" w:rsidRPr="00B706FE" w:rsidRDefault="00B44CCB" w:rsidP="000F4624">
                  <w:pPr>
                    <w:jc w:val="left"/>
                    <w:rPr>
                      <w:rFonts w:cs="Arial"/>
                      <w:b/>
                      <w:sz w:val="18"/>
                      <w:szCs w:val="18"/>
                    </w:rPr>
                  </w:pPr>
                  <w:r w:rsidRPr="00B706FE">
                    <w:rPr>
                      <w:rFonts w:cs="Arial"/>
                      <w:b/>
                      <w:sz w:val="18"/>
                      <w:szCs w:val="18"/>
                    </w:rPr>
                    <w:t>Q10 Did you know that there is an ORGANISATION responsible for gas safety and registering qualified gas engineers?</w:t>
                  </w:r>
                </w:p>
              </w:tc>
              <w:tc>
                <w:tcPr>
                  <w:tcW w:w="708" w:type="dxa"/>
                </w:tcPr>
                <w:p w14:paraId="7805F3F4" w14:textId="77777777" w:rsidR="00B44CCB" w:rsidRPr="003F0D71" w:rsidRDefault="00B44CCB" w:rsidP="000F4624">
                  <w:pPr>
                    <w:jc w:val="right"/>
                    <w:rPr>
                      <w:rFonts w:cs="Arial"/>
                      <w:sz w:val="18"/>
                      <w:szCs w:val="18"/>
                    </w:rPr>
                  </w:pPr>
                  <w:r>
                    <w:rPr>
                      <w:rFonts w:cs="Arial"/>
                      <w:sz w:val="18"/>
                      <w:szCs w:val="18"/>
                    </w:rPr>
                    <w:t>100</w:t>
                  </w:r>
                </w:p>
              </w:tc>
              <w:tc>
                <w:tcPr>
                  <w:tcW w:w="1134" w:type="dxa"/>
                </w:tcPr>
                <w:p w14:paraId="176CD141" w14:textId="77777777" w:rsidR="00B44CCB" w:rsidRPr="003F0D71" w:rsidRDefault="00B44CCB" w:rsidP="000F4624">
                  <w:pPr>
                    <w:jc w:val="right"/>
                    <w:rPr>
                      <w:rFonts w:cs="Arial"/>
                      <w:sz w:val="18"/>
                      <w:szCs w:val="18"/>
                    </w:rPr>
                  </w:pPr>
                  <w:r>
                    <w:rPr>
                      <w:rFonts w:cs="Arial"/>
                      <w:sz w:val="18"/>
                      <w:szCs w:val="18"/>
                    </w:rPr>
                    <w:t>11.67%</w:t>
                  </w:r>
                </w:p>
              </w:tc>
              <w:tc>
                <w:tcPr>
                  <w:tcW w:w="569" w:type="dxa"/>
                </w:tcPr>
                <w:p w14:paraId="44A45699" w14:textId="77777777" w:rsidR="00B44CCB" w:rsidRPr="003F0D71" w:rsidRDefault="00B44CCB" w:rsidP="000F4624">
                  <w:pPr>
                    <w:jc w:val="right"/>
                    <w:rPr>
                      <w:rFonts w:cs="Arial"/>
                      <w:sz w:val="18"/>
                      <w:szCs w:val="18"/>
                    </w:rPr>
                  </w:pPr>
                  <w:r>
                    <w:rPr>
                      <w:rFonts w:cs="Arial"/>
                      <w:sz w:val="18"/>
                      <w:szCs w:val="18"/>
                    </w:rPr>
                    <w:t>82</w:t>
                  </w:r>
                </w:p>
              </w:tc>
              <w:tc>
                <w:tcPr>
                  <w:tcW w:w="1067" w:type="dxa"/>
                </w:tcPr>
                <w:p w14:paraId="6F9AF6F5" w14:textId="77777777" w:rsidR="00B44CCB" w:rsidRPr="003F0D71" w:rsidRDefault="00B44CCB" w:rsidP="000F4624">
                  <w:pPr>
                    <w:jc w:val="right"/>
                    <w:rPr>
                      <w:rFonts w:cs="Arial"/>
                      <w:sz w:val="18"/>
                      <w:szCs w:val="18"/>
                    </w:rPr>
                  </w:pPr>
                  <w:r>
                    <w:rPr>
                      <w:rFonts w:cs="Arial"/>
                      <w:sz w:val="18"/>
                      <w:szCs w:val="18"/>
                    </w:rPr>
                    <w:t>9.57</w:t>
                  </w:r>
                </w:p>
              </w:tc>
            </w:tr>
            <w:tr w:rsidR="00B44CCB" w:rsidRPr="003F0D71" w14:paraId="0BE8D804" w14:textId="77777777" w:rsidTr="000F4624">
              <w:tc>
                <w:tcPr>
                  <w:tcW w:w="3904" w:type="dxa"/>
                </w:tcPr>
                <w:p w14:paraId="6E0AB5D8" w14:textId="77777777" w:rsidR="00B44CCB" w:rsidRPr="00B706FE" w:rsidRDefault="00B44CCB" w:rsidP="000F4624">
                  <w:pPr>
                    <w:jc w:val="left"/>
                    <w:rPr>
                      <w:rFonts w:cs="Arial"/>
                      <w:b/>
                      <w:sz w:val="18"/>
                      <w:szCs w:val="18"/>
                    </w:rPr>
                  </w:pPr>
                  <w:r w:rsidRPr="00B706FE">
                    <w:rPr>
                      <w:rFonts w:cs="Arial"/>
                      <w:b/>
                      <w:sz w:val="18"/>
                      <w:szCs w:val="18"/>
                    </w:rPr>
                    <w:t>Q11 What is the NAME of that organisation? (Spontaneous awareness)</w:t>
                  </w:r>
                </w:p>
              </w:tc>
              <w:tc>
                <w:tcPr>
                  <w:tcW w:w="708" w:type="dxa"/>
                </w:tcPr>
                <w:p w14:paraId="2BEF1F73" w14:textId="77777777" w:rsidR="00B44CCB" w:rsidRPr="003F0D71" w:rsidRDefault="00B44CCB" w:rsidP="000F4624">
                  <w:pPr>
                    <w:jc w:val="right"/>
                    <w:rPr>
                      <w:rFonts w:cs="Arial"/>
                      <w:sz w:val="18"/>
                      <w:szCs w:val="18"/>
                    </w:rPr>
                  </w:pPr>
                  <w:r>
                    <w:rPr>
                      <w:rFonts w:cs="Arial"/>
                      <w:sz w:val="18"/>
                      <w:szCs w:val="18"/>
                    </w:rPr>
                    <w:t>100</w:t>
                  </w:r>
                </w:p>
              </w:tc>
              <w:tc>
                <w:tcPr>
                  <w:tcW w:w="1134" w:type="dxa"/>
                </w:tcPr>
                <w:p w14:paraId="0F963B8C" w14:textId="77777777" w:rsidR="00B44CCB" w:rsidRPr="003F0D71" w:rsidRDefault="00B44CCB" w:rsidP="000F4624">
                  <w:pPr>
                    <w:jc w:val="right"/>
                    <w:rPr>
                      <w:rFonts w:cs="Arial"/>
                      <w:sz w:val="18"/>
                      <w:szCs w:val="18"/>
                    </w:rPr>
                  </w:pPr>
                  <w:r>
                    <w:rPr>
                      <w:rFonts w:cs="Arial"/>
                      <w:sz w:val="18"/>
                      <w:szCs w:val="18"/>
                    </w:rPr>
                    <w:t>11.67%</w:t>
                  </w:r>
                </w:p>
              </w:tc>
              <w:tc>
                <w:tcPr>
                  <w:tcW w:w="569" w:type="dxa"/>
                </w:tcPr>
                <w:p w14:paraId="11772940" w14:textId="77777777" w:rsidR="00B44CCB" w:rsidRPr="003F0D71" w:rsidRDefault="00B44CCB" w:rsidP="000F4624">
                  <w:pPr>
                    <w:jc w:val="right"/>
                    <w:rPr>
                      <w:rFonts w:cs="Arial"/>
                      <w:sz w:val="18"/>
                      <w:szCs w:val="18"/>
                    </w:rPr>
                  </w:pPr>
                  <w:r>
                    <w:rPr>
                      <w:rFonts w:cs="Arial"/>
                      <w:sz w:val="18"/>
                      <w:szCs w:val="18"/>
                    </w:rPr>
                    <w:t>17</w:t>
                  </w:r>
                </w:p>
              </w:tc>
              <w:tc>
                <w:tcPr>
                  <w:tcW w:w="1067" w:type="dxa"/>
                </w:tcPr>
                <w:p w14:paraId="2376495A" w14:textId="77777777" w:rsidR="00B44CCB" w:rsidRPr="003F0D71" w:rsidRDefault="00B44CCB" w:rsidP="000F4624">
                  <w:pPr>
                    <w:jc w:val="right"/>
                    <w:rPr>
                      <w:rFonts w:cs="Arial"/>
                      <w:sz w:val="18"/>
                      <w:szCs w:val="18"/>
                    </w:rPr>
                  </w:pPr>
                  <w:r>
                    <w:rPr>
                      <w:rFonts w:cs="Arial"/>
                      <w:sz w:val="18"/>
                      <w:szCs w:val="18"/>
                    </w:rPr>
                    <w:t>1.98</w:t>
                  </w:r>
                </w:p>
              </w:tc>
            </w:tr>
            <w:tr w:rsidR="00B44CCB" w:rsidRPr="003F0D71" w14:paraId="2FE621C6" w14:textId="77777777" w:rsidTr="000F4624">
              <w:tc>
                <w:tcPr>
                  <w:tcW w:w="3904" w:type="dxa"/>
                </w:tcPr>
                <w:p w14:paraId="7EB3CE84" w14:textId="77777777" w:rsidR="00B44CCB" w:rsidRPr="00B706FE" w:rsidRDefault="00B44CCB" w:rsidP="000F4624">
                  <w:pPr>
                    <w:jc w:val="left"/>
                    <w:rPr>
                      <w:rFonts w:cs="Arial"/>
                      <w:b/>
                      <w:sz w:val="18"/>
                      <w:szCs w:val="18"/>
                    </w:rPr>
                  </w:pPr>
                  <w:r w:rsidRPr="00B706FE">
                    <w:rPr>
                      <w:rFonts w:cs="Arial"/>
                      <w:b/>
                      <w:sz w:val="18"/>
                      <w:szCs w:val="18"/>
                    </w:rPr>
                    <w:t>Q12 Now look at these logos, which one do you think is the correct logo for the organisation that is responsible for gas safety and registering gas engineers?</w:t>
                  </w:r>
                </w:p>
              </w:tc>
              <w:tc>
                <w:tcPr>
                  <w:tcW w:w="708" w:type="dxa"/>
                </w:tcPr>
                <w:p w14:paraId="53069F94" w14:textId="77777777" w:rsidR="00B44CCB" w:rsidRPr="003F0D71" w:rsidRDefault="00B44CCB" w:rsidP="000F4624">
                  <w:pPr>
                    <w:jc w:val="right"/>
                    <w:rPr>
                      <w:rFonts w:cs="Arial"/>
                      <w:sz w:val="18"/>
                      <w:szCs w:val="18"/>
                    </w:rPr>
                  </w:pPr>
                  <w:r>
                    <w:rPr>
                      <w:rFonts w:cs="Arial"/>
                      <w:sz w:val="18"/>
                      <w:szCs w:val="18"/>
                    </w:rPr>
                    <w:t>100</w:t>
                  </w:r>
                </w:p>
              </w:tc>
              <w:tc>
                <w:tcPr>
                  <w:tcW w:w="1134" w:type="dxa"/>
                </w:tcPr>
                <w:p w14:paraId="4024D3E5" w14:textId="77777777" w:rsidR="00B44CCB" w:rsidRPr="003F0D71" w:rsidRDefault="00B44CCB" w:rsidP="000F4624">
                  <w:pPr>
                    <w:jc w:val="right"/>
                    <w:rPr>
                      <w:rFonts w:cs="Arial"/>
                      <w:sz w:val="18"/>
                      <w:szCs w:val="18"/>
                    </w:rPr>
                  </w:pPr>
                  <w:r>
                    <w:rPr>
                      <w:rFonts w:cs="Arial"/>
                      <w:sz w:val="18"/>
                      <w:szCs w:val="18"/>
                    </w:rPr>
                    <w:t>11.67%</w:t>
                  </w:r>
                </w:p>
              </w:tc>
              <w:tc>
                <w:tcPr>
                  <w:tcW w:w="569" w:type="dxa"/>
                </w:tcPr>
                <w:p w14:paraId="5FE1DDF1" w14:textId="77777777" w:rsidR="00B44CCB" w:rsidRPr="003F0D71" w:rsidRDefault="00B44CCB" w:rsidP="000F4624">
                  <w:pPr>
                    <w:jc w:val="right"/>
                    <w:rPr>
                      <w:rFonts w:cs="Arial"/>
                      <w:sz w:val="18"/>
                      <w:szCs w:val="18"/>
                    </w:rPr>
                  </w:pPr>
                  <w:r>
                    <w:rPr>
                      <w:rFonts w:cs="Arial"/>
                      <w:sz w:val="18"/>
                      <w:szCs w:val="18"/>
                    </w:rPr>
                    <w:t>35</w:t>
                  </w:r>
                </w:p>
              </w:tc>
              <w:tc>
                <w:tcPr>
                  <w:tcW w:w="1067" w:type="dxa"/>
                </w:tcPr>
                <w:p w14:paraId="770C5A03" w14:textId="77777777" w:rsidR="00B44CCB" w:rsidRPr="003F0D71" w:rsidRDefault="00B44CCB" w:rsidP="000F4624">
                  <w:pPr>
                    <w:jc w:val="right"/>
                    <w:rPr>
                      <w:rFonts w:cs="Arial"/>
                      <w:sz w:val="18"/>
                      <w:szCs w:val="18"/>
                    </w:rPr>
                  </w:pPr>
                  <w:r>
                    <w:rPr>
                      <w:rFonts w:cs="Arial"/>
                      <w:sz w:val="18"/>
                      <w:szCs w:val="18"/>
                    </w:rPr>
                    <w:t>4.08</w:t>
                  </w:r>
                </w:p>
              </w:tc>
            </w:tr>
            <w:tr w:rsidR="00B44CCB" w:rsidRPr="003F0D71" w14:paraId="62C15562" w14:textId="77777777" w:rsidTr="000F4624">
              <w:tc>
                <w:tcPr>
                  <w:tcW w:w="3904" w:type="dxa"/>
                </w:tcPr>
                <w:p w14:paraId="2AAA65FF" w14:textId="77777777" w:rsidR="00B44CCB" w:rsidRPr="00B706FE" w:rsidRDefault="00B44CCB" w:rsidP="000F4624">
                  <w:pPr>
                    <w:jc w:val="left"/>
                    <w:rPr>
                      <w:rFonts w:cs="Arial"/>
                      <w:b/>
                      <w:sz w:val="18"/>
                      <w:szCs w:val="18"/>
                    </w:rPr>
                  </w:pPr>
                  <w:r w:rsidRPr="00B706FE">
                    <w:rPr>
                      <w:rFonts w:cs="Arial"/>
                      <w:b/>
                      <w:sz w:val="18"/>
                      <w:szCs w:val="18"/>
                    </w:rPr>
                    <w:t>Q13a The name of the organisation is Gas Safe Register. Which of the following SERVICES are you aware of Gas Safe Register providing?</w:t>
                  </w:r>
                </w:p>
              </w:tc>
              <w:tc>
                <w:tcPr>
                  <w:tcW w:w="708" w:type="dxa"/>
                </w:tcPr>
                <w:p w14:paraId="6617C2E6" w14:textId="77777777" w:rsidR="00B44CCB" w:rsidRPr="003F0D71" w:rsidRDefault="00B44CCB" w:rsidP="000F4624">
                  <w:pPr>
                    <w:jc w:val="right"/>
                    <w:rPr>
                      <w:rFonts w:cs="Arial"/>
                      <w:sz w:val="18"/>
                      <w:szCs w:val="18"/>
                    </w:rPr>
                  </w:pPr>
                </w:p>
              </w:tc>
              <w:tc>
                <w:tcPr>
                  <w:tcW w:w="1134" w:type="dxa"/>
                </w:tcPr>
                <w:p w14:paraId="389CD489" w14:textId="77777777" w:rsidR="00B44CCB" w:rsidRPr="003F0D71" w:rsidRDefault="00B44CCB" w:rsidP="000F4624">
                  <w:pPr>
                    <w:jc w:val="right"/>
                    <w:rPr>
                      <w:rFonts w:cs="Arial"/>
                      <w:sz w:val="18"/>
                      <w:szCs w:val="18"/>
                    </w:rPr>
                  </w:pPr>
                </w:p>
              </w:tc>
              <w:tc>
                <w:tcPr>
                  <w:tcW w:w="569" w:type="dxa"/>
                </w:tcPr>
                <w:p w14:paraId="73926395" w14:textId="77777777" w:rsidR="00B44CCB" w:rsidRPr="003F0D71" w:rsidRDefault="00B44CCB" w:rsidP="000F4624">
                  <w:pPr>
                    <w:jc w:val="right"/>
                    <w:rPr>
                      <w:rFonts w:cs="Arial"/>
                      <w:sz w:val="18"/>
                      <w:szCs w:val="18"/>
                    </w:rPr>
                  </w:pPr>
                </w:p>
              </w:tc>
              <w:tc>
                <w:tcPr>
                  <w:tcW w:w="1067" w:type="dxa"/>
                </w:tcPr>
                <w:p w14:paraId="520346D6" w14:textId="77777777" w:rsidR="00B44CCB" w:rsidRPr="003F0D71" w:rsidRDefault="00B44CCB" w:rsidP="000F4624">
                  <w:pPr>
                    <w:jc w:val="right"/>
                    <w:rPr>
                      <w:rFonts w:cs="Arial"/>
                      <w:sz w:val="18"/>
                      <w:szCs w:val="18"/>
                    </w:rPr>
                  </w:pPr>
                </w:p>
              </w:tc>
            </w:tr>
            <w:tr w:rsidR="00B44CCB" w:rsidRPr="003F0D71" w14:paraId="435FAF04" w14:textId="77777777" w:rsidTr="000F4624">
              <w:tc>
                <w:tcPr>
                  <w:tcW w:w="3904" w:type="dxa"/>
                </w:tcPr>
                <w:p w14:paraId="2DF5820B" w14:textId="77777777" w:rsidR="00B44CCB" w:rsidRPr="003F0D71" w:rsidRDefault="00B44CCB" w:rsidP="000F4624">
                  <w:pPr>
                    <w:jc w:val="right"/>
                    <w:rPr>
                      <w:rFonts w:cs="Arial"/>
                      <w:sz w:val="18"/>
                      <w:szCs w:val="18"/>
                    </w:rPr>
                  </w:pPr>
                  <w:r>
                    <w:rPr>
                      <w:rFonts w:cs="Arial"/>
                      <w:sz w:val="18"/>
                      <w:szCs w:val="18"/>
                    </w:rPr>
                    <w:t>A national investigations team tracking down illegal workers</w:t>
                  </w:r>
                </w:p>
              </w:tc>
              <w:tc>
                <w:tcPr>
                  <w:tcW w:w="708" w:type="dxa"/>
                </w:tcPr>
                <w:p w14:paraId="3E8AB9FC" w14:textId="77777777" w:rsidR="00B44CCB" w:rsidRPr="003F0D71" w:rsidRDefault="00B44CCB" w:rsidP="000F4624">
                  <w:pPr>
                    <w:jc w:val="right"/>
                    <w:rPr>
                      <w:rFonts w:cs="Arial"/>
                      <w:sz w:val="18"/>
                      <w:szCs w:val="18"/>
                    </w:rPr>
                  </w:pPr>
                  <w:r>
                    <w:rPr>
                      <w:rFonts w:cs="Arial"/>
                      <w:sz w:val="18"/>
                      <w:szCs w:val="18"/>
                    </w:rPr>
                    <w:t>100</w:t>
                  </w:r>
                </w:p>
              </w:tc>
              <w:tc>
                <w:tcPr>
                  <w:tcW w:w="1134" w:type="dxa"/>
                </w:tcPr>
                <w:p w14:paraId="6B0DD827" w14:textId="77777777" w:rsidR="00B44CCB" w:rsidRPr="003F0D71" w:rsidRDefault="00B44CCB" w:rsidP="000F4624">
                  <w:pPr>
                    <w:jc w:val="right"/>
                    <w:rPr>
                      <w:rFonts w:cs="Arial"/>
                      <w:sz w:val="18"/>
                      <w:szCs w:val="18"/>
                    </w:rPr>
                  </w:pPr>
                  <w:r>
                    <w:rPr>
                      <w:rFonts w:cs="Arial"/>
                      <w:sz w:val="18"/>
                      <w:szCs w:val="18"/>
                    </w:rPr>
                    <w:t>5.00%</w:t>
                  </w:r>
                </w:p>
              </w:tc>
              <w:tc>
                <w:tcPr>
                  <w:tcW w:w="569" w:type="dxa"/>
                </w:tcPr>
                <w:p w14:paraId="0D2A47AF" w14:textId="77777777" w:rsidR="00B44CCB" w:rsidRPr="003F0D71" w:rsidRDefault="00B44CCB" w:rsidP="000F4624">
                  <w:pPr>
                    <w:jc w:val="right"/>
                    <w:rPr>
                      <w:rFonts w:cs="Arial"/>
                      <w:sz w:val="18"/>
                      <w:szCs w:val="18"/>
                    </w:rPr>
                  </w:pPr>
                  <w:r>
                    <w:rPr>
                      <w:rFonts w:cs="Arial"/>
                      <w:sz w:val="18"/>
                      <w:szCs w:val="18"/>
                    </w:rPr>
                    <w:t>28</w:t>
                  </w:r>
                </w:p>
              </w:tc>
              <w:tc>
                <w:tcPr>
                  <w:tcW w:w="1067" w:type="dxa"/>
                </w:tcPr>
                <w:p w14:paraId="2A0CAD43" w14:textId="77777777" w:rsidR="00B44CCB" w:rsidRPr="003F0D71" w:rsidRDefault="00B44CCB" w:rsidP="000F4624">
                  <w:pPr>
                    <w:jc w:val="right"/>
                    <w:rPr>
                      <w:rFonts w:cs="Arial"/>
                      <w:sz w:val="18"/>
                      <w:szCs w:val="18"/>
                    </w:rPr>
                  </w:pPr>
                  <w:r>
                    <w:rPr>
                      <w:rFonts w:cs="Arial"/>
                      <w:sz w:val="18"/>
                      <w:szCs w:val="18"/>
                    </w:rPr>
                    <w:t>1.40</w:t>
                  </w:r>
                </w:p>
              </w:tc>
            </w:tr>
            <w:tr w:rsidR="00B44CCB" w:rsidRPr="003F0D71" w14:paraId="1C76048C" w14:textId="77777777" w:rsidTr="000F4624">
              <w:tc>
                <w:tcPr>
                  <w:tcW w:w="3904" w:type="dxa"/>
                </w:tcPr>
                <w:p w14:paraId="48CA17D3" w14:textId="77777777" w:rsidR="00B44CCB" w:rsidRDefault="00B44CCB" w:rsidP="000F4624">
                  <w:pPr>
                    <w:jc w:val="right"/>
                    <w:rPr>
                      <w:rFonts w:cs="Arial"/>
                      <w:sz w:val="18"/>
                      <w:szCs w:val="18"/>
                    </w:rPr>
                  </w:pPr>
                  <w:r>
                    <w:rPr>
                      <w:rFonts w:cs="Arial"/>
                      <w:sz w:val="18"/>
                      <w:szCs w:val="18"/>
                    </w:rPr>
                    <w:t>Regular inspections of Gas Safe registered engineers</w:t>
                  </w:r>
                </w:p>
              </w:tc>
              <w:tc>
                <w:tcPr>
                  <w:tcW w:w="708" w:type="dxa"/>
                </w:tcPr>
                <w:p w14:paraId="0C00DEA9" w14:textId="77777777" w:rsidR="00B44CCB" w:rsidRDefault="00B44CCB" w:rsidP="000F4624">
                  <w:pPr>
                    <w:jc w:val="right"/>
                    <w:rPr>
                      <w:rFonts w:cs="Arial"/>
                      <w:sz w:val="18"/>
                      <w:szCs w:val="18"/>
                    </w:rPr>
                  </w:pPr>
                  <w:r>
                    <w:rPr>
                      <w:rFonts w:cs="Arial"/>
                      <w:sz w:val="18"/>
                      <w:szCs w:val="18"/>
                    </w:rPr>
                    <w:t>100</w:t>
                  </w:r>
                </w:p>
              </w:tc>
              <w:tc>
                <w:tcPr>
                  <w:tcW w:w="1134" w:type="dxa"/>
                </w:tcPr>
                <w:p w14:paraId="186AA72E" w14:textId="77777777" w:rsidR="00B44CCB" w:rsidRDefault="00B44CCB" w:rsidP="000F4624">
                  <w:pPr>
                    <w:jc w:val="right"/>
                    <w:rPr>
                      <w:rFonts w:cs="Arial"/>
                      <w:sz w:val="18"/>
                      <w:szCs w:val="18"/>
                    </w:rPr>
                  </w:pPr>
                  <w:r>
                    <w:rPr>
                      <w:rFonts w:cs="Arial"/>
                      <w:sz w:val="18"/>
                      <w:szCs w:val="18"/>
                    </w:rPr>
                    <w:t>5.00%</w:t>
                  </w:r>
                </w:p>
              </w:tc>
              <w:tc>
                <w:tcPr>
                  <w:tcW w:w="569" w:type="dxa"/>
                </w:tcPr>
                <w:p w14:paraId="4E9C4283" w14:textId="77777777" w:rsidR="00B44CCB" w:rsidRDefault="00B44CCB" w:rsidP="000F4624">
                  <w:pPr>
                    <w:jc w:val="right"/>
                    <w:rPr>
                      <w:rFonts w:cs="Arial"/>
                      <w:sz w:val="18"/>
                      <w:szCs w:val="18"/>
                    </w:rPr>
                  </w:pPr>
                  <w:r>
                    <w:rPr>
                      <w:rFonts w:cs="Arial"/>
                      <w:sz w:val="18"/>
                      <w:szCs w:val="18"/>
                    </w:rPr>
                    <w:t>59</w:t>
                  </w:r>
                </w:p>
              </w:tc>
              <w:tc>
                <w:tcPr>
                  <w:tcW w:w="1067" w:type="dxa"/>
                </w:tcPr>
                <w:p w14:paraId="5BB07B46" w14:textId="77777777" w:rsidR="00B44CCB" w:rsidRDefault="00B44CCB" w:rsidP="000F4624">
                  <w:pPr>
                    <w:jc w:val="right"/>
                    <w:rPr>
                      <w:rFonts w:cs="Arial"/>
                      <w:sz w:val="18"/>
                      <w:szCs w:val="18"/>
                    </w:rPr>
                  </w:pPr>
                  <w:r>
                    <w:rPr>
                      <w:rFonts w:cs="Arial"/>
                      <w:sz w:val="18"/>
                      <w:szCs w:val="18"/>
                    </w:rPr>
                    <w:t>2.95</w:t>
                  </w:r>
                </w:p>
              </w:tc>
            </w:tr>
            <w:tr w:rsidR="00B44CCB" w:rsidRPr="003F0D71" w14:paraId="7C4C7BB9" w14:textId="77777777" w:rsidTr="000F4624">
              <w:tc>
                <w:tcPr>
                  <w:tcW w:w="3904" w:type="dxa"/>
                </w:tcPr>
                <w:p w14:paraId="769939B6" w14:textId="77777777" w:rsidR="00B44CCB" w:rsidRDefault="00B44CCB" w:rsidP="000F4624">
                  <w:pPr>
                    <w:jc w:val="right"/>
                    <w:rPr>
                      <w:rFonts w:cs="Arial"/>
                      <w:sz w:val="18"/>
                      <w:szCs w:val="18"/>
                    </w:rPr>
                  </w:pPr>
                  <w:r>
                    <w:rPr>
                      <w:rFonts w:cs="Arial"/>
                      <w:sz w:val="18"/>
                      <w:szCs w:val="18"/>
                    </w:rPr>
                    <w:t>Educating consumers and raising awareness of gas safety</w:t>
                  </w:r>
                </w:p>
              </w:tc>
              <w:tc>
                <w:tcPr>
                  <w:tcW w:w="708" w:type="dxa"/>
                </w:tcPr>
                <w:p w14:paraId="6F47E690" w14:textId="77777777" w:rsidR="00B44CCB" w:rsidRDefault="00B44CCB" w:rsidP="000F4624">
                  <w:pPr>
                    <w:jc w:val="right"/>
                    <w:rPr>
                      <w:rFonts w:cs="Arial"/>
                      <w:sz w:val="18"/>
                      <w:szCs w:val="18"/>
                    </w:rPr>
                  </w:pPr>
                  <w:r>
                    <w:rPr>
                      <w:rFonts w:cs="Arial"/>
                      <w:sz w:val="18"/>
                      <w:szCs w:val="18"/>
                    </w:rPr>
                    <w:t>100</w:t>
                  </w:r>
                </w:p>
              </w:tc>
              <w:tc>
                <w:tcPr>
                  <w:tcW w:w="1134" w:type="dxa"/>
                </w:tcPr>
                <w:p w14:paraId="34650E6F" w14:textId="77777777" w:rsidR="00B44CCB" w:rsidRDefault="00B44CCB" w:rsidP="000F4624">
                  <w:pPr>
                    <w:jc w:val="right"/>
                    <w:rPr>
                      <w:rFonts w:cs="Arial"/>
                      <w:sz w:val="18"/>
                      <w:szCs w:val="18"/>
                    </w:rPr>
                  </w:pPr>
                  <w:r>
                    <w:rPr>
                      <w:rFonts w:cs="Arial"/>
                      <w:sz w:val="18"/>
                      <w:szCs w:val="18"/>
                    </w:rPr>
                    <w:t>5.00%</w:t>
                  </w:r>
                </w:p>
              </w:tc>
              <w:tc>
                <w:tcPr>
                  <w:tcW w:w="569" w:type="dxa"/>
                </w:tcPr>
                <w:p w14:paraId="23E7965C" w14:textId="77777777" w:rsidR="00B44CCB" w:rsidRDefault="00B44CCB" w:rsidP="000F4624">
                  <w:pPr>
                    <w:jc w:val="right"/>
                    <w:rPr>
                      <w:rFonts w:cs="Arial"/>
                      <w:sz w:val="18"/>
                      <w:szCs w:val="18"/>
                    </w:rPr>
                  </w:pPr>
                  <w:r>
                    <w:rPr>
                      <w:rFonts w:cs="Arial"/>
                      <w:sz w:val="18"/>
                      <w:szCs w:val="18"/>
                    </w:rPr>
                    <w:t>36</w:t>
                  </w:r>
                </w:p>
              </w:tc>
              <w:tc>
                <w:tcPr>
                  <w:tcW w:w="1067" w:type="dxa"/>
                </w:tcPr>
                <w:p w14:paraId="06801FB1" w14:textId="77777777" w:rsidR="00B44CCB" w:rsidRDefault="00B44CCB" w:rsidP="000F4624">
                  <w:pPr>
                    <w:jc w:val="right"/>
                    <w:rPr>
                      <w:rFonts w:cs="Arial"/>
                      <w:sz w:val="18"/>
                      <w:szCs w:val="18"/>
                    </w:rPr>
                  </w:pPr>
                  <w:r>
                    <w:rPr>
                      <w:rFonts w:cs="Arial"/>
                      <w:sz w:val="18"/>
                      <w:szCs w:val="18"/>
                    </w:rPr>
                    <w:t>1.80</w:t>
                  </w:r>
                </w:p>
              </w:tc>
            </w:tr>
            <w:tr w:rsidR="00B44CCB" w:rsidRPr="003F0D71" w14:paraId="20ED7C86" w14:textId="77777777" w:rsidTr="000F4624">
              <w:tc>
                <w:tcPr>
                  <w:tcW w:w="3904" w:type="dxa"/>
                </w:tcPr>
                <w:p w14:paraId="1D3371C7" w14:textId="77777777" w:rsidR="00B44CCB" w:rsidRDefault="00B44CCB" w:rsidP="000F4624">
                  <w:pPr>
                    <w:jc w:val="right"/>
                    <w:rPr>
                      <w:rFonts w:cs="Arial"/>
                      <w:sz w:val="18"/>
                      <w:szCs w:val="18"/>
                    </w:rPr>
                  </w:pPr>
                  <w:r>
                    <w:rPr>
                      <w:rFonts w:cs="Arial"/>
                      <w:sz w:val="18"/>
                      <w:szCs w:val="18"/>
                    </w:rPr>
                    <w:t>Investigating reports of unsafe gas work</w:t>
                  </w:r>
                </w:p>
              </w:tc>
              <w:tc>
                <w:tcPr>
                  <w:tcW w:w="708" w:type="dxa"/>
                </w:tcPr>
                <w:p w14:paraId="59A0A5A6" w14:textId="77777777" w:rsidR="00B44CCB" w:rsidRDefault="00B44CCB" w:rsidP="000F4624">
                  <w:pPr>
                    <w:jc w:val="right"/>
                    <w:rPr>
                      <w:rFonts w:cs="Arial"/>
                      <w:sz w:val="18"/>
                      <w:szCs w:val="18"/>
                    </w:rPr>
                  </w:pPr>
                  <w:r>
                    <w:rPr>
                      <w:rFonts w:cs="Arial"/>
                      <w:sz w:val="18"/>
                      <w:szCs w:val="18"/>
                    </w:rPr>
                    <w:t>100</w:t>
                  </w:r>
                </w:p>
              </w:tc>
              <w:tc>
                <w:tcPr>
                  <w:tcW w:w="1134" w:type="dxa"/>
                </w:tcPr>
                <w:p w14:paraId="02FFC0A7" w14:textId="77777777" w:rsidR="00B44CCB" w:rsidRDefault="00B44CCB" w:rsidP="000F4624">
                  <w:pPr>
                    <w:jc w:val="right"/>
                    <w:rPr>
                      <w:rFonts w:cs="Arial"/>
                      <w:sz w:val="18"/>
                      <w:szCs w:val="18"/>
                    </w:rPr>
                  </w:pPr>
                  <w:r>
                    <w:rPr>
                      <w:rFonts w:cs="Arial"/>
                      <w:sz w:val="18"/>
                      <w:szCs w:val="18"/>
                    </w:rPr>
                    <w:t>5.00%</w:t>
                  </w:r>
                </w:p>
              </w:tc>
              <w:tc>
                <w:tcPr>
                  <w:tcW w:w="569" w:type="dxa"/>
                </w:tcPr>
                <w:p w14:paraId="288E7700" w14:textId="77777777" w:rsidR="00B44CCB" w:rsidRDefault="00B44CCB" w:rsidP="000F4624">
                  <w:pPr>
                    <w:jc w:val="right"/>
                    <w:rPr>
                      <w:rFonts w:cs="Arial"/>
                      <w:sz w:val="18"/>
                      <w:szCs w:val="18"/>
                    </w:rPr>
                  </w:pPr>
                  <w:r>
                    <w:rPr>
                      <w:rFonts w:cs="Arial"/>
                      <w:sz w:val="18"/>
                      <w:szCs w:val="18"/>
                    </w:rPr>
                    <w:t>45</w:t>
                  </w:r>
                </w:p>
              </w:tc>
              <w:tc>
                <w:tcPr>
                  <w:tcW w:w="1067" w:type="dxa"/>
                </w:tcPr>
                <w:p w14:paraId="7C77F48B" w14:textId="77777777" w:rsidR="00B44CCB" w:rsidRDefault="00B44CCB" w:rsidP="000F4624">
                  <w:pPr>
                    <w:jc w:val="right"/>
                    <w:rPr>
                      <w:rFonts w:cs="Arial"/>
                      <w:sz w:val="18"/>
                      <w:szCs w:val="18"/>
                    </w:rPr>
                  </w:pPr>
                  <w:r>
                    <w:rPr>
                      <w:rFonts w:cs="Arial"/>
                      <w:sz w:val="18"/>
                      <w:szCs w:val="18"/>
                    </w:rPr>
                    <w:t>2.25</w:t>
                  </w:r>
                </w:p>
              </w:tc>
            </w:tr>
            <w:tr w:rsidR="00B44CCB" w:rsidRPr="003F0D71" w14:paraId="44030F6B" w14:textId="77777777" w:rsidTr="000F4624">
              <w:tc>
                <w:tcPr>
                  <w:tcW w:w="3904" w:type="dxa"/>
                </w:tcPr>
                <w:p w14:paraId="51CED641" w14:textId="77777777" w:rsidR="00B44CCB" w:rsidRPr="00B706FE" w:rsidRDefault="00B44CCB" w:rsidP="000F4624">
                  <w:pPr>
                    <w:jc w:val="left"/>
                    <w:rPr>
                      <w:rFonts w:cs="Arial"/>
                      <w:b/>
                      <w:sz w:val="18"/>
                      <w:szCs w:val="18"/>
                    </w:rPr>
                  </w:pPr>
                  <w:r w:rsidRPr="00B706FE">
                    <w:rPr>
                      <w:rFonts w:cs="Arial"/>
                      <w:b/>
                      <w:sz w:val="18"/>
                      <w:szCs w:val="18"/>
                    </w:rPr>
                    <w:t>Q16 How often SHOULD you get your gas appliances checked by a registered gas engineer?</w:t>
                  </w:r>
                </w:p>
              </w:tc>
              <w:tc>
                <w:tcPr>
                  <w:tcW w:w="708" w:type="dxa"/>
                </w:tcPr>
                <w:p w14:paraId="06FE5096" w14:textId="77777777" w:rsidR="00B44CCB" w:rsidRDefault="00B44CCB" w:rsidP="000F4624">
                  <w:pPr>
                    <w:jc w:val="right"/>
                    <w:rPr>
                      <w:rFonts w:cs="Arial"/>
                      <w:sz w:val="18"/>
                      <w:szCs w:val="18"/>
                    </w:rPr>
                  </w:pPr>
                </w:p>
              </w:tc>
              <w:tc>
                <w:tcPr>
                  <w:tcW w:w="1134" w:type="dxa"/>
                </w:tcPr>
                <w:p w14:paraId="65663D37" w14:textId="77777777" w:rsidR="00B44CCB" w:rsidRDefault="00B44CCB" w:rsidP="000F4624">
                  <w:pPr>
                    <w:jc w:val="right"/>
                    <w:rPr>
                      <w:rFonts w:cs="Arial"/>
                      <w:sz w:val="18"/>
                      <w:szCs w:val="18"/>
                    </w:rPr>
                  </w:pPr>
                </w:p>
              </w:tc>
              <w:tc>
                <w:tcPr>
                  <w:tcW w:w="569" w:type="dxa"/>
                </w:tcPr>
                <w:p w14:paraId="1E476610" w14:textId="77777777" w:rsidR="00B44CCB" w:rsidRDefault="00B44CCB" w:rsidP="000F4624">
                  <w:pPr>
                    <w:jc w:val="right"/>
                    <w:rPr>
                      <w:rFonts w:cs="Arial"/>
                      <w:sz w:val="18"/>
                      <w:szCs w:val="18"/>
                    </w:rPr>
                  </w:pPr>
                </w:p>
              </w:tc>
              <w:tc>
                <w:tcPr>
                  <w:tcW w:w="1067" w:type="dxa"/>
                </w:tcPr>
                <w:p w14:paraId="342329B0" w14:textId="77777777" w:rsidR="00B44CCB" w:rsidRDefault="00B44CCB" w:rsidP="000F4624">
                  <w:pPr>
                    <w:jc w:val="right"/>
                    <w:rPr>
                      <w:rFonts w:cs="Arial"/>
                      <w:sz w:val="18"/>
                      <w:szCs w:val="18"/>
                    </w:rPr>
                  </w:pPr>
                </w:p>
              </w:tc>
            </w:tr>
            <w:tr w:rsidR="00B44CCB" w:rsidRPr="003F0D71" w14:paraId="5AE7DA17" w14:textId="77777777" w:rsidTr="000F4624">
              <w:tc>
                <w:tcPr>
                  <w:tcW w:w="3904" w:type="dxa"/>
                </w:tcPr>
                <w:p w14:paraId="4473447A" w14:textId="77777777" w:rsidR="00B44CCB" w:rsidRDefault="00B44CCB" w:rsidP="000F4624">
                  <w:pPr>
                    <w:jc w:val="right"/>
                    <w:rPr>
                      <w:rFonts w:cs="Arial"/>
                      <w:sz w:val="18"/>
                      <w:szCs w:val="18"/>
                    </w:rPr>
                  </w:pPr>
                  <w:r>
                    <w:rPr>
                      <w:rFonts w:cs="Arial"/>
                      <w:sz w:val="18"/>
                      <w:szCs w:val="18"/>
                    </w:rPr>
                    <w:t>Once a year or more often</w:t>
                  </w:r>
                </w:p>
              </w:tc>
              <w:tc>
                <w:tcPr>
                  <w:tcW w:w="708" w:type="dxa"/>
                </w:tcPr>
                <w:p w14:paraId="1516D689" w14:textId="77777777" w:rsidR="00B44CCB" w:rsidRDefault="00B44CCB" w:rsidP="000F4624">
                  <w:pPr>
                    <w:jc w:val="right"/>
                    <w:rPr>
                      <w:rFonts w:cs="Arial"/>
                      <w:sz w:val="18"/>
                      <w:szCs w:val="18"/>
                    </w:rPr>
                  </w:pPr>
                  <w:r>
                    <w:rPr>
                      <w:rFonts w:cs="Arial"/>
                      <w:sz w:val="18"/>
                      <w:szCs w:val="18"/>
                    </w:rPr>
                    <w:t>100</w:t>
                  </w:r>
                </w:p>
              </w:tc>
              <w:tc>
                <w:tcPr>
                  <w:tcW w:w="1134" w:type="dxa"/>
                </w:tcPr>
                <w:p w14:paraId="283113EC" w14:textId="77777777" w:rsidR="00B44CCB" w:rsidRDefault="00B44CCB" w:rsidP="000F4624">
                  <w:pPr>
                    <w:jc w:val="right"/>
                    <w:rPr>
                      <w:rFonts w:cs="Arial"/>
                      <w:sz w:val="18"/>
                      <w:szCs w:val="18"/>
                    </w:rPr>
                  </w:pPr>
                  <w:r>
                    <w:rPr>
                      <w:rFonts w:cs="Arial"/>
                      <w:sz w:val="18"/>
                      <w:szCs w:val="18"/>
                    </w:rPr>
                    <w:t>11.67%</w:t>
                  </w:r>
                </w:p>
              </w:tc>
              <w:tc>
                <w:tcPr>
                  <w:tcW w:w="569" w:type="dxa"/>
                </w:tcPr>
                <w:p w14:paraId="7DD60984" w14:textId="77777777" w:rsidR="00B44CCB" w:rsidRDefault="00B44CCB" w:rsidP="000F4624">
                  <w:pPr>
                    <w:jc w:val="right"/>
                    <w:rPr>
                      <w:rFonts w:cs="Arial"/>
                      <w:sz w:val="18"/>
                      <w:szCs w:val="18"/>
                    </w:rPr>
                  </w:pPr>
                  <w:r>
                    <w:rPr>
                      <w:rFonts w:cs="Arial"/>
                      <w:sz w:val="18"/>
                      <w:szCs w:val="18"/>
                    </w:rPr>
                    <w:t>88</w:t>
                  </w:r>
                </w:p>
              </w:tc>
              <w:tc>
                <w:tcPr>
                  <w:tcW w:w="1067" w:type="dxa"/>
                </w:tcPr>
                <w:p w14:paraId="1738036B" w14:textId="77777777" w:rsidR="00B44CCB" w:rsidRDefault="00B44CCB" w:rsidP="000F4624">
                  <w:pPr>
                    <w:jc w:val="right"/>
                    <w:rPr>
                      <w:rFonts w:cs="Arial"/>
                      <w:sz w:val="18"/>
                      <w:szCs w:val="18"/>
                    </w:rPr>
                  </w:pPr>
                  <w:r>
                    <w:rPr>
                      <w:rFonts w:cs="Arial"/>
                      <w:sz w:val="18"/>
                      <w:szCs w:val="18"/>
                    </w:rPr>
                    <w:t>10.27</w:t>
                  </w:r>
                </w:p>
              </w:tc>
            </w:tr>
            <w:tr w:rsidR="00B44CCB" w:rsidRPr="003F0D71" w14:paraId="66B789D6" w14:textId="77777777" w:rsidTr="000F4624">
              <w:tc>
                <w:tcPr>
                  <w:tcW w:w="3904" w:type="dxa"/>
                </w:tcPr>
                <w:p w14:paraId="0BA6835E" w14:textId="77777777" w:rsidR="00B44CCB" w:rsidRDefault="00B44CCB" w:rsidP="000F4624">
                  <w:pPr>
                    <w:jc w:val="right"/>
                    <w:rPr>
                      <w:rFonts w:cs="Arial"/>
                      <w:sz w:val="18"/>
                      <w:szCs w:val="18"/>
                    </w:rPr>
                  </w:pPr>
                  <w:r>
                    <w:rPr>
                      <w:rFonts w:cs="Arial"/>
                      <w:sz w:val="18"/>
                      <w:szCs w:val="18"/>
                    </w:rPr>
                    <w:t>More than once a year</w:t>
                  </w:r>
                </w:p>
              </w:tc>
              <w:tc>
                <w:tcPr>
                  <w:tcW w:w="708" w:type="dxa"/>
                </w:tcPr>
                <w:p w14:paraId="0E0A6CEA" w14:textId="77777777" w:rsidR="00B44CCB" w:rsidRDefault="00B44CCB" w:rsidP="000F4624">
                  <w:pPr>
                    <w:jc w:val="right"/>
                    <w:rPr>
                      <w:rFonts w:cs="Arial"/>
                      <w:sz w:val="18"/>
                      <w:szCs w:val="18"/>
                    </w:rPr>
                  </w:pPr>
                </w:p>
              </w:tc>
              <w:tc>
                <w:tcPr>
                  <w:tcW w:w="1134" w:type="dxa"/>
                </w:tcPr>
                <w:p w14:paraId="41011696" w14:textId="77777777" w:rsidR="00B44CCB" w:rsidRDefault="00B44CCB" w:rsidP="000F4624">
                  <w:pPr>
                    <w:jc w:val="right"/>
                    <w:rPr>
                      <w:rFonts w:cs="Arial"/>
                      <w:sz w:val="18"/>
                      <w:szCs w:val="18"/>
                    </w:rPr>
                  </w:pPr>
                </w:p>
              </w:tc>
              <w:tc>
                <w:tcPr>
                  <w:tcW w:w="569" w:type="dxa"/>
                </w:tcPr>
                <w:p w14:paraId="61CC6091" w14:textId="77777777" w:rsidR="00B44CCB" w:rsidRDefault="00B44CCB" w:rsidP="000F4624">
                  <w:pPr>
                    <w:jc w:val="right"/>
                    <w:rPr>
                      <w:rFonts w:cs="Arial"/>
                      <w:sz w:val="18"/>
                      <w:szCs w:val="18"/>
                    </w:rPr>
                  </w:pPr>
                  <w:r>
                    <w:rPr>
                      <w:rFonts w:cs="Arial"/>
                      <w:sz w:val="18"/>
                      <w:szCs w:val="18"/>
                    </w:rPr>
                    <w:t>5</w:t>
                  </w:r>
                </w:p>
              </w:tc>
              <w:tc>
                <w:tcPr>
                  <w:tcW w:w="1067" w:type="dxa"/>
                </w:tcPr>
                <w:p w14:paraId="78A17FFA" w14:textId="77777777" w:rsidR="00B44CCB" w:rsidRDefault="00B44CCB" w:rsidP="000F4624">
                  <w:pPr>
                    <w:jc w:val="right"/>
                    <w:rPr>
                      <w:rFonts w:cs="Arial"/>
                      <w:sz w:val="18"/>
                      <w:szCs w:val="18"/>
                    </w:rPr>
                  </w:pPr>
                </w:p>
              </w:tc>
            </w:tr>
            <w:tr w:rsidR="00B44CCB" w:rsidRPr="003F0D71" w14:paraId="1CE81461" w14:textId="77777777" w:rsidTr="000F4624">
              <w:tc>
                <w:tcPr>
                  <w:tcW w:w="3904" w:type="dxa"/>
                </w:tcPr>
                <w:p w14:paraId="2A2FC5DD" w14:textId="77777777" w:rsidR="00B44CCB" w:rsidRDefault="00B44CCB" w:rsidP="000F4624">
                  <w:pPr>
                    <w:jc w:val="right"/>
                    <w:rPr>
                      <w:rFonts w:cs="Arial"/>
                      <w:sz w:val="18"/>
                      <w:szCs w:val="18"/>
                    </w:rPr>
                  </w:pPr>
                  <w:r>
                    <w:rPr>
                      <w:rFonts w:cs="Arial"/>
                      <w:sz w:val="18"/>
                      <w:szCs w:val="18"/>
                    </w:rPr>
                    <w:t>Once a year</w:t>
                  </w:r>
                </w:p>
              </w:tc>
              <w:tc>
                <w:tcPr>
                  <w:tcW w:w="708" w:type="dxa"/>
                </w:tcPr>
                <w:p w14:paraId="05C67113" w14:textId="77777777" w:rsidR="00B44CCB" w:rsidRDefault="00B44CCB" w:rsidP="000F4624">
                  <w:pPr>
                    <w:jc w:val="right"/>
                    <w:rPr>
                      <w:rFonts w:cs="Arial"/>
                      <w:sz w:val="18"/>
                      <w:szCs w:val="18"/>
                    </w:rPr>
                  </w:pPr>
                </w:p>
              </w:tc>
              <w:tc>
                <w:tcPr>
                  <w:tcW w:w="1134" w:type="dxa"/>
                </w:tcPr>
                <w:p w14:paraId="28ECABD0" w14:textId="77777777" w:rsidR="00B44CCB" w:rsidRDefault="00B44CCB" w:rsidP="000F4624">
                  <w:pPr>
                    <w:jc w:val="right"/>
                    <w:rPr>
                      <w:rFonts w:cs="Arial"/>
                      <w:sz w:val="18"/>
                      <w:szCs w:val="18"/>
                    </w:rPr>
                  </w:pPr>
                </w:p>
              </w:tc>
              <w:tc>
                <w:tcPr>
                  <w:tcW w:w="569" w:type="dxa"/>
                </w:tcPr>
                <w:p w14:paraId="1A881019" w14:textId="77777777" w:rsidR="00B44CCB" w:rsidRDefault="00B44CCB" w:rsidP="000F4624">
                  <w:pPr>
                    <w:jc w:val="right"/>
                    <w:rPr>
                      <w:rFonts w:cs="Arial"/>
                      <w:sz w:val="18"/>
                      <w:szCs w:val="18"/>
                    </w:rPr>
                  </w:pPr>
                  <w:r>
                    <w:rPr>
                      <w:rFonts w:cs="Arial"/>
                      <w:sz w:val="18"/>
                      <w:szCs w:val="18"/>
                    </w:rPr>
                    <w:t>83</w:t>
                  </w:r>
                </w:p>
              </w:tc>
              <w:tc>
                <w:tcPr>
                  <w:tcW w:w="1067" w:type="dxa"/>
                </w:tcPr>
                <w:p w14:paraId="70DE5822" w14:textId="77777777" w:rsidR="00B44CCB" w:rsidRDefault="00B44CCB" w:rsidP="000F4624">
                  <w:pPr>
                    <w:jc w:val="right"/>
                    <w:rPr>
                      <w:rFonts w:cs="Arial"/>
                      <w:sz w:val="18"/>
                      <w:szCs w:val="18"/>
                    </w:rPr>
                  </w:pPr>
                </w:p>
              </w:tc>
            </w:tr>
            <w:tr w:rsidR="00B44CCB" w:rsidRPr="003F0D71" w14:paraId="51EB3DB1" w14:textId="77777777" w:rsidTr="000F4624">
              <w:tc>
                <w:tcPr>
                  <w:tcW w:w="3904" w:type="dxa"/>
                </w:tcPr>
                <w:p w14:paraId="0E6282D1" w14:textId="77777777" w:rsidR="00B44CCB" w:rsidRPr="00B706FE" w:rsidRDefault="00B44CCB" w:rsidP="000F4624">
                  <w:pPr>
                    <w:jc w:val="left"/>
                    <w:rPr>
                      <w:rFonts w:cs="Arial"/>
                      <w:b/>
                      <w:sz w:val="18"/>
                      <w:szCs w:val="18"/>
                    </w:rPr>
                  </w:pPr>
                  <w:r w:rsidRPr="00B706FE">
                    <w:rPr>
                      <w:rFonts w:cs="Arial"/>
                      <w:b/>
                      <w:sz w:val="18"/>
                      <w:szCs w:val="18"/>
                    </w:rPr>
                    <w:t>Q20 If you were having gas work done in your home, how WOULD you check to see if the gas engineer you are using is registered?</w:t>
                  </w:r>
                </w:p>
              </w:tc>
              <w:tc>
                <w:tcPr>
                  <w:tcW w:w="708" w:type="dxa"/>
                </w:tcPr>
                <w:p w14:paraId="74413A87" w14:textId="77777777" w:rsidR="00B44CCB" w:rsidRDefault="00B44CCB" w:rsidP="000F4624">
                  <w:pPr>
                    <w:jc w:val="right"/>
                    <w:rPr>
                      <w:rFonts w:cs="Arial"/>
                      <w:sz w:val="18"/>
                      <w:szCs w:val="18"/>
                    </w:rPr>
                  </w:pPr>
                </w:p>
              </w:tc>
              <w:tc>
                <w:tcPr>
                  <w:tcW w:w="1134" w:type="dxa"/>
                </w:tcPr>
                <w:p w14:paraId="056F4C80" w14:textId="77777777" w:rsidR="00B44CCB" w:rsidRDefault="00B44CCB" w:rsidP="000F4624">
                  <w:pPr>
                    <w:jc w:val="right"/>
                    <w:rPr>
                      <w:rFonts w:cs="Arial"/>
                      <w:sz w:val="18"/>
                      <w:szCs w:val="18"/>
                    </w:rPr>
                  </w:pPr>
                </w:p>
              </w:tc>
              <w:tc>
                <w:tcPr>
                  <w:tcW w:w="569" w:type="dxa"/>
                </w:tcPr>
                <w:p w14:paraId="19D67CEE" w14:textId="77777777" w:rsidR="00B44CCB" w:rsidRDefault="00B44CCB" w:rsidP="000F4624">
                  <w:pPr>
                    <w:jc w:val="right"/>
                    <w:rPr>
                      <w:rFonts w:cs="Arial"/>
                      <w:sz w:val="18"/>
                      <w:szCs w:val="18"/>
                    </w:rPr>
                  </w:pPr>
                </w:p>
              </w:tc>
              <w:tc>
                <w:tcPr>
                  <w:tcW w:w="1067" w:type="dxa"/>
                </w:tcPr>
                <w:p w14:paraId="5483734D" w14:textId="77777777" w:rsidR="00B44CCB" w:rsidRDefault="00B44CCB" w:rsidP="000F4624">
                  <w:pPr>
                    <w:jc w:val="right"/>
                    <w:rPr>
                      <w:rFonts w:cs="Arial"/>
                      <w:sz w:val="18"/>
                      <w:szCs w:val="18"/>
                    </w:rPr>
                  </w:pPr>
                </w:p>
              </w:tc>
            </w:tr>
            <w:tr w:rsidR="00B44CCB" w:rsidRPr="003F0D71" w14:paraId="65133D5A" w14:textId="77777777" w:rsidTr="000F4624">
              <w:tc>
                <w:tcPr>
                  <w:tcW w:w="3904" w:type="dxa"/>
                </w:tcPr>
                <w:p w14:paraId="48AA9EA5" w14:textId="77777777" w:rsidR="00B44CCB" w:rsidRDefault="00B44CCB" w:rsidP="000F4624">
                  <w:pPr>
                    <w:jc w:val="right"/>
                    <w:rPr>
                      <w:rFonts w:cs="Arial"/>
                      <w:sz w:val="18"/>
                      <w:szCs w:val="18"/>
                    </w:rPr>
                  </w:pPr>
                  <w:r>
                    <w:rPr>
                      <w:rFonts w:cs="Arial"/>
                      <w:sz w:val="18"/>
                      <w:szCs w:val="18"/>
                    </w:rPr>
                    <w:t>Ask for an ID card</w:t>
                  </w:r>
                </w:p>
              </w:tc>
              <w:tc>
                <w:tcPr>
                  <w:tcW w:w="708" w:type="dxa"/>
                </w:tcPr>
                <w:p w14:paraId="5494F6A2" w14:textId="77777777" w:rsidR="00B44CCB" w:rsidRDefault="00B44CCB" w:rsidP="000F4624">
                  <w:pPr>
                    <w:jc w:val="right"/>
                    <w:rPr>
                      <w:rFonts w:cs="Arial"/>
                      <w:sz w:val="18"/>
                      <w:szCs w:val="18"/>
                    </w:rPr>
                  </w:pPr>
                  <w:r>
                    <w:rPr>
                      <w:rFonts w:cs="Arial"/>
                      <w:sz w:val="18"/>
                      <w:szCs w:val="18"/>
                    </w:rPr>
                    <w:t>100</w:t>
                  </w:r>
                </w:p>
              </w:tc>
              <w:tc>
                <w:tcPr>
                  <w:tcW w:w="1134" w:type="dxa"/>
                </w:tcPr>
                <w:p w14:paraId="71C684C2" w14:textId="77777777" w:rsidR="00B44CCB" w:rsidRDefault="00B44CCB" w:rsidP="000F4624">
                  <w:pPr>
                    <w:jc w:val="right"/>
                    <w:rPr>
                      <w:rFonts w:cs="Arial"/>
                      <w:sz w:val="18"/>
                      <w:szCs w:val="18"/>
                    </w:rPr>
                  </w:pPr>
                  <w:r>
                    <w:rPr>
                      <w:rFonts w:cs="Arial"/>
                      <w:sz w:val="18"/>
                      <w:szCs w:val="18"/>
                    </w:rPr>
                    <w:t>11.67%</w:t>
                  </w:r>
                </w:p>
              </w:tc>
              <w:tc>
                <w:tcPr>
                  <w:tcW w:w="569" w:type="dxa"/>
                </w:tcPr>
                <w:p w14:paraId="67DFF37F" w14:textId="77777777" w:rsidR="00B44CCB" w:rsidRDefault="00B44CCB" w:rsidP="000F4624">
                  <w:pPr>
                    <w:jc w:val="right"/>
                    <w:rPr>
                      <w:rFonts w:cs="Arial"/>
                      <w:sz w:val="18"/>
                      <w:szCs w:val="18"/>
                    </w:rPr>
                  </w:pPr>
                  <w:r>
                    <w:rPr>
                      <w:rFonts w:cs="Arial"/>
                      <w:sz w:val="18"/>
                      <w:szCs w:val="18"/>
                    </w:rPr>
                    <w:t>80</w:t>
                  </w:r>
                </w:p>
              </w:tc>
              <w:tc>
                <w:tcPr>
                  <w:tcW w:w="1067" w:type="dxa"/>
                </w:tcPr>
                <w:p w14:paraId="158D3411" w14:textId="77777777" w:rsidR="00B44CCB" w:rsidRDefault="00B44CCB" w:rsidP="000F4624">
                  <w:pPr>
                    <w:jc w:val="right"/>
                    <w:rPr>
                      <w:rFonts w:cs="Arial"/>
                      <w:sz w:val="18"/>
                      <w:szCs w:val="18"/>
                    </w:rPr>
                  </w:pPr>
                  <w:r>
                    <w:rPr>
                      <w:rFonts w:cs="Arial"/>
                      <w:sz w:val="18"/>
                      <w:szCs w:val="18"/>
                    </w:rPr>
                    <w:t>9.33</w:t>
                  </w:r>
                </w:p>
              </w:tc>
            </w:tr>
            <w:tr w:rsidR="00B44CCB" w:rsidRPr="003F0D71" w14:paraId="0880126D" w14:textId="77777777" w:rsidTr="000F4624">
              <w:tc>
                <w:tcPr>
                  <w:tcW w:w="3904" w:type="dxa"/>
                </w:tcPr>
                <w:p w14:paraId="2E2582FC" w14:textId="77777777" w:rsidR="00B44CCB" w:rsidRDefault="00B44CCB" w:rsidP="000F4624">
                  <w:pPr>
                    <w:jc w:val="right"/>
                    <w:rPr>
                      <w:rFonts w:cs="Arial"/>
                      <w:sz w:val="18"/>
                      <w:szCs w:val="18"/>
                    </w:rPr>
                  </w:pPr>
                  <w:r>
                    <w:rPr>
                      <w:rFonts w:cs="Arial"/>
                      <w:sz w:val="18"/>
                      <w:szCs w:val="18"/>
                    </w:rPr>
                    <w:t>Check on the Gas Safe Register website</w:t>
                  </w:r>
                </w:p>
              </w:tc>
              <w:tc>
                <w:tcPr>
                  <w:tcW w:w="708" w:type="dxa"/>
                </w:tcPr>
                <w:p w14:paraId="701EB67D" w14:textId="77777777" w:rsidR="00B44CCB" w:rsidRDefault="00B44CCB" w:rsidP="000F4624">
                  <w:pPr>
                    <w:jc w:val="right"/>
                    <w:rPr>
                      <w:rFonts w:cs="Arial"/>
                      <w:sz w:val="18"/>
                      <w:szCs w:val="18"/>
                    </w:rPr>
                  </w:pPr>
                  <w:r>
                    <w:rPr>
                      <w:rFonts w:cs="Arial"/>
                      <w:sz w:val="18"/>
                      <w:szCs w:val="18"/>
                    </w:rPr>
                    <w:t>100</w:t>
                  </w:r>
                </w:p>
              </w:tc>
              <w:tc>
                <w:tcPr>
                  <w:tcW w:w="1134" w:type="dxa"/>
                </w:tcPr>
                <w:p w14:paraId="654BDB69" w14:textId="77777777" w:rsidR="00B44CCB" w:rsidRDefault="00B44CCB" w:rsidP="000F4624">
                  <w:pPr>
                    <w:jc w:val="right"/>
                    <w:rPr>
                      <w:rFonts w:cs="Arial"/>
                      <w:sz w:val="18"/>
                      <w:szCs w:val="18"/>
                    </w:rPr>
                  </w:pPr>
                </w:p>
              </w:tc>
              <w:tc>
                <w:tcPr>
                  <w:tcW w:w="569" w:type="dxa"/>
                </w:tcPr>
                <w:p w14:paraId="2A2D2AAE" w14:textId="77777777" w:rsidR="00B44CCB" w:rsidRDefault="00B44CCB" w:rsidP="000F4624">
                  <w:pPr>
                    <w:jc w:val="right"/>
                    <w:rPr>
                      <w:rFonts w:cs="Arial"/>
                      <w:sz w:val="18"/>
                      <w:szCs w:val="18"/>
                    </w:rPr>
                  </w:pPr>
                </w:p>
              </w:tc>
              <w:tc>
                <w:tcPr>
                  <w:tcW w:w="1067" w:type="dxa"/>
                </w:tcPr>
                <w:p w14:paraId="21CB1F64" w14:textId="77777777" w:rsidR="00B44CCB" w:rsidRDefault="00B44CCB" w:rsidP="000F4624">
                  <w:pPr>
                    <w:jc w:val="right"/>
                    <w:rPr>
                      <w:rFonts w:cs="Arial"/>
                      <w:sz w:val="18"/>
                      <w:szCs w:val="18"/>
                    </w:rPr>
                  </w:pPr>
                </w:p>
              </w:tc>
            </w:tr>
            <w:tr w:rsidR="00B44CCB" w:rsidRPr="003F0D71" w14:paraId="0360B354" w14:textId="77777777" w:rsidTr="000F4624">
              <w:tc>
                <w:tcPr>
                  <w:tcW w:w="3904" w:type="dxa"/>
                </w:tcPr>
                <w:p w14:paraId="344FA3EF" w14:textId="77777777" w:rsidR="00B44CCB" w:rsidRDefault="00B44CCB" w:rsidP="000F4624">
                  <w:pPr>
                    <w:jc w:val="right"/>
                    <w:rPr>
                      <w:rFonts w:cs="Arial"/>
                      <w:sz w:val="18"/>
                      <w:szCs w:val="18"/>
                    </w:rPr>
                  </w:pPr>
                  <w:r>
                    <w:rPr>
                      <w:rFonts w:cs="Arial"/>
                      <w:sz w:val="18"/>
                      <w:szCs w:val="18"/>
                    </w:rPr>
                    <w:t>Phone the Gas Safe Register helpline</w:t>
                  </w:r>
                </w:p>
              </w:tc>
              <w:tc>
                <w:tcPr>
                  <w:tcW w:w="708" w:type="dxa"/>
                </w:tcPr>
                <w:p w14:paraId="6E50D479" w14:textId="77777777" w:rsidR="00B44CCB" w:rsidRDefault="00B44CCB" w:rsidP="000F4624">
                  <w:pPr>
                    <w:jc w:val="right"/>
                    <w:rPr>
                      <w:rFonts w:cs="Arial"/>
                      <w:sz w:val="18"/>
                      <w:szCs w:val="18"/>
                    </w:rPr>
                  </w:pPr>
                  <w:r>
                    <w:rPr>
                      <w:rFonts w:cs="Arial"/>
                      <w:sz w:val="18"/>
                      <w:szCs w:val="18"/>
                    </w:rPr>
                    <w:t>100</w:t>
                  </w:r>
                </w:p>
              </w:tc>
              <w:tc>
                <w:tcPr>
                  <w:tcW w:w="1134" w:type="dxa"/>
                </w:tcPr>
                <w:p w14:paraId="2DF41F31" w14:textId="77777777" w:rsidR="00B44CCB" w:rsidRDefault="00B44CCB" w:rsidP="000F4624">
                  <w:pPr>
                    <w:jc w:val="right"/>
                    <w:rPr>
                      <w:rFonts w:cs="Arial"/>
                      <w:sz w:val="18"/>
                      <w:szCs w:val="18"/>
                    </w:rPr>
                  </w:pPr>
                </w:p>
              </w:tc>
              <w:tc>
                <w:tcPr>
                  <w:tcW w:w="569" w:type="dxa"/>
                </w:tcPr>
                <w:p w14:paraId="095D70BF" w14:textId="77777777" w:rsidR="00B44CCB" w:rsidRDefault="00B44CCB" w:rsidP="000F4624">
                  <w:pPr>
                    <w:jc w:val="right"/>
                    <w:rPr>
                      <w:rFonts w:cs="Arial"/>
                      <w:sz w:val="18"/>
                      <w:szCs w:val="18"/>
                    </w:rPr>
                  </w:pPr>
                </w:p>
              </w:tc>
              <w:tc>
                <w:tcPr>
                  <w:tcW w:w="1067" w:type="dxa"/>
                </w:tcPr>
                <w:p w14:paraId="60BB0FF9" w14:textId="77777777" w:rsidR="00B44CCB" w:rsidRDefault="00B44CCB" w:rsidP="000F4624">
                  <w:pPr>
                    <w:jc w:val="right"/>
                    <w:rPr>
                      <w:rFonts w:cs="Arial"/>
                      <w:sz w:val="18"/>
                      <w:szCs w:val="18"/>
                    </w:rPr>
                  </w:pPr>
                </w:p>
              </w:tc>
            </w:tr>
            <w:tr w:rsidR="00B44CCB" w:rsidRPr="003F0D71" w14:paraId="2260D214" w14:textId="77777777" w:rsidTr="000F4624">
              <w:tc>
                <w:tcPr>
                  <w:tcW w:w="3904" w:type="dxa"/>
                </w:tcPr>
                <w:p w14:paraId="2FCC5843" w14:textId="77777777" w:rsidR="00B44CCB" w:rsidRPr="00B706FE" w:rsidRDefault="00B44CCB" w:rsidP="000F4624">
                  <w:pPr>
                    <w:jc w:val="left"/>
                    <w:rPr>
                      <w:rFonts w:cs="Arial"/>
                      <w:b/>
                      <w:sz w:val="18"/>
                      <w:szCs w:val="18"/>
                    </w:rPr>
                  </w:pPr>
                  <w:r w:rsidRPr="00B706FE">
                    <w:rPr>
                      <w:rFonts w:cs="Arial"/>
                      <w:b/>
                      <w:sz w:val="18"/>
                      <w:szCs w:val="18"/>
                    </w:rPr>
                    <w:t>Q26 Do you have a Carbon Monoxide alarm?</w:t>
                  </w:r>
                </w:p>
              </w:tc>
              <w:tc>
                <w:tcPr>
                  <w:tcW w:w="708" w:type="dxa"/>
                </w:tcPr>
                <w:p w14:paraId="4D62C566" w14:textId="77777777" w:rsidR="00B44CCB" w:rsidRDefault="00B44CCB" w:rsidP="000F4624">
                  <w:pPr>
                    <w:jc w:val="right"/>
                    <w:rPr>
                      <w:rFonts w:cs="Arial"/>
                      <w:sz w:val="18"/>
                      <w:szCs w:val="18"/>
                    </w:rPr>
                  </w:pPr>
                  <w:r>
                    <w:rPr>
                      <w:rFonts w:cs="Arial"/>
                      <w:sz w:val="18"/>
                      <w:szCs w:val="18"/>
                    </w:rPr>
                    <w:t>100</w:t>
                  </w:r>
                </w:p>
              </w:tc>
              <w:tc>
                <w:tcPr>
                  <w:tcW w:w="1134" w:type="dxa"/>
                </w:tcPr>
                <w:p w14:paraId="613BC9B2" w14:textId="77777777" w:rsidR="00B44CCB" w:rsidRDefault="00B44CCB" w:rsidP="000F4624">
                  <w:pPr>
                    <w:jc w:val="right"/>
                    <w:rPr>
                      <w:rFonts w:cs="Arial"/>
                      <w:sz w:val="18"/>
                      <w:szCs w:val="18"/>
                    </w:rPr>
                  </w:pPr>
                  <w:r>
                    <w:rPr>
                      <w:rFonts w:cs="Arial"/>
                      <w:sz w:val="18"/>
                      <w:szCs w:val="18"/>
                    </w:rPr>
                    <w:t>11.67%</w:t>
                  </w:r>
                </w:p>
              </w:tc>
              <w:tc>
                <w:tcPr>
                  <w:tcW w:w="569" w:type="dxa"/>
                </w:tcPr>
                <w:p w14:paraId="4DB5A43B" w14:textId="77777777" w:rsidR="00B44CCB" w:rsidRDefault="00B44CCB" w:rsidP="000F4624">
                  <w:pPr>
                    <w:jc w:val="right"/>
                    <w:rPr>
                      <w:rFonts w:cs="Arial"/>
                      <w:sz w:val="18"/>
                      <w:szCs w:val="18"/>
                    </w:rPr>
                  </w:pPr>
                  <w:r>
                    <w:rPr>
                      <w:rFonts w:cs="Arial"/>
                      <w:sz w:val="18"/>
                      <w:szCs w:val="18"/>
                    </w:rPr>
                    <w:t>71</w:t>
                  </w:r>
                </w:p>
              </w:tc>
              <w:tc>
                <w:tcPr>
                  <w:tcW w:w="1067" w:type="dxa"/>
                </w:tcPr>
                <w:p w14:paraId="4C6A3ADB" w14:textId="77777777" w:rsidR="00B44CCB" w:rsidRDefault="00B44CCB" w:rsidP="000F4624">
                  <w:pPr>
                    <w:jc w:val="right"/>
                    <w:rPr>
                      <w:rFonts w:cs="Arial"/>
                      <w:sz w:val="18"/>
                      <w:szCs w:val="18"/>
                    </w:rPr>
                  </w:pPr>
                  <w:r>
                    <w:rPr>
                      <w:rFonts w:cs="Arial"/>
                      <w:sz w:val="18"/>
                      <w:szCs w:val="18"/>
                    </w:rPr>
                    <w:t>8.28</w:t>
                  </w:r>
                </w:p>
              </w:tc>
            </w:tr>
            <w:tr w:rsidR="00B44CCB" w:rsidRPr="003F0D71" w14:paraId="73184BED" w14:textId="77777777" w:rsidTr="000F4624">
              <w:tc>
                <w:tcPr>
                  <w:tcW w:w="3904" w:type="dxa"/>
                </w:tcPr>
                <w:p w14:paraId="77682008" w14:textId="77777777" w:rsidR="00B44CCB" w:rsidRPr="00B706FE" w:rsidRDefault="00B44CCB" w:rsidP="000F4624">
                  <w:pPr>
                    <w:jc w:val="left"/>
                    <w:rPr>
                      <w:rFonts w:cs="Arial"/>
                      <w:b/>
                      <w:sz w:val="18"/>
                      <w:szCs w:val="18"/>
                    </w:rPr>
                  </w:pPr>
                  <w:r w:rsidRPr="00B706FE">
                    <w:rPr>
                      <w:rFonts w:cs="Arial"/>
                      <w:b/>
                      <w:sz w:val="18"/>
                      <w:szCs w:val="18"/>
                    </w:rPr>
                    <w:lastRenderedPageBreak/>
                    <w:t>Q24 Which of the following best describes the SMELL of Carbon Monoxide?</w:t>
                  </w:r>
                </w:p>
              </w:tc>
              <w:tc>
                <w:tcPr>
                  <w:tcW w:w="708" w:type="dxa"/>
                </w:tcPr>
                <w:p w14:paraId="70A1B9C8" w14:textId="77777777" w:rsidR="00B44CCB" w:rsidRDefault="00B44CCB" w:rsidP="000F4624">
                  <w:pPr>
                    <w:jc w:val="right"/>
                    <w:rPr>
                      <w:rFonts w:cs="Arial"/>
                      <w:sz w:val="18"/>
                      <w:szCs w:val="18"/>
                    </w:rPr>
                  </w:pPr>
                </w:p>
              </w:tc>
              <w:tc>
                <w:tcPr>
                  <w:tcW w:w="1134" w:type="dxa"/>
                </w:tcPr>
                <w:p w14:paraId="076116A2" w14:textId="77777777" w:rsidR="00B44CCB" w:rsidRDefault="00B44CCB" w:rsidP="000F4624">
                  <w:pPr>
                    <w:jc w:val="right"/>
                    <w:rPr>
                      <w:rFonts w:cs="Arial"/>
                      <w:sz w:val="18"/>
                      <w:szCs w:val="18"/>
                    </w:rPr>
                  </w:pPr>
                </w:p>
              </w:tc>
              <w:tc>
                <w:tcPr>
                  <w:tcW w:w="569" w:type="dxa"/>
                </w:tcPr>
                <w:p w14:paraId="32AE0AC3" w14:textId="77777777" w:rsidR="00B44CCB" w:rsidRDefault="00B44CCB" w:rsidP="000F4624">
                  <w:pPr>
                    <w:jc w:val="right"/>
                    <w:rPr>
                      <w:rFonts w:cs="Arial"/>
                      <w:sz w:val="18"/>
                      <w:szCs w:val="18"/>
                    </w:rPr>
                  </w:pPr>
                </w:p>
              </w:tc>
              <w:tc>
                <w:tcPr>
                  <w:tcW w:w="1067" w:type="dxa"/>
                </w:tcPr>
                <w:p w14:paraId="59DFA05F" w14:textId="77777777" w:rsidR="00B44CCB" w:rsidRDefault="00B44CCB" w:rsidP="000F4624">
                  <w:pPr>
                    <w:jc w:val="right"/>
                    <w:rPr>
                      <w:rFonts w:cs="Arial"/>
                      <w:sz w:val="18"/>
                      <w:szCs w:val="18"/>
                    </w:rPr>
                  </w:pPr>
                </w:p>
              </w:tc>
            </w:tr>
            <w:tr w:rsidR="00B44CCB" w:rsidRPr="003F0D71" w14:paraId="6B422609" w14:textId="77777777" w:rsidTr="000F4624">
              <w:tc>
                <w:tcPr>
                  <w:tcW w:w="3904" w:type="dxa"/>
                </w:tcPr>
                <w:p w14:paraId="0625C720" w14:textId="77777777" w:rsidR="00B44CCB" w:rsidRDefault="00B44CCB" w:rsidP="000F4624">
                  <w:pPr>
                    <w:jc w:val="right"/>
                    <w:rPr>
                      <w:rFonts w:cs="Arial"/>
                      <w:sz w:val="18"/>
                      <w:szCs w:val="18"/>
                    </w:rPr>
                  </w:pPr>
                  <w:r>
                    <w:rPr>
                      <w:rFonts w:cs="Arial"/>
                      <w:sz w:val="18"/>
                      <w:szCs w:val="18"/>
                    </w:rPr>
                    <w:t>It does not smell of anything</w:t>
                  </w:r>
                </w:p>
              </w:tc>
              <w:tc>
                <w:tcPr>
                  <w:tcW w:w="708" w:type="dxa"/>
                </w:tcPr>
                <w:p w14:paraId="7254CC32" w14:textId="77777777" w:rsidR="00B44CCB" w:rsidRDefault="00B44CCB" w:rsidP="000F4624">
                  <w:pPr>
                    <w:jc w:val="right"/>
                    <w:rPr>
                      <w:rFonts w:cs="Arial"/>
                      <w:sz w:val="18"/>
                      <w:szCs w:val="18"/>
                    </w:rPr>
                  </w:pPr>
                  <w:r>
                    <w:rPr>
                      <w:rFonts w:cs="Arial"/>
                      <w:sz w:val="18"/>
                      <w:szCs w:val="18"/>
                    </w:rPr>
                    <w:t>100</w:t>
                  </w:r>
                </w:p>
              </w:tc>
              <w:tc>
                <w:tcPr>
                  <w:tcW w:w="1134" w:type="dxa"/>
                </w:tcPr>
                <w:p w14:paraId="3A2A957F" w14:textId="77777777" w:rsidR="00B44CCB" w:rsidRDefault="00B44CCB" w:rsidP="000F4624">
                  <w:pPr>
                    <w:jc w:val="right"/>
                    <w:rPr>
                      <w:rFonts w:cs="Arial"/>
                      <w:sz w:val="18"/>
                      <w:szCs w:val="18"/>
                    </w:rPr>
                  </w:pPr>
                  <w:r>
                    <w:rPr>
                      <w:rFonts w:cs="Arial"/>
                      <w:sz w:val="18"/>
                      <w:szCs w:val="18"/>
                    </w:rPr>
                    <w:t>5.00%</w:t>
                  </w:r>
                </w:p>
              </w:tc>
              <w:tc>
                <w:tcPr>
                  <w:tcW w:w="569" w:type="dxa"/>
                </w:tcPr>
                <w:p w14:paraId="0EB60261" w14:textId="77777777" w:rsidR="00B44CCB" w:rsidRDefault="00B44CCB" w:rsidP="000F4624">
                  <w:pPr>
                    <w:jc w:val="right"/>
                    <w:rPr>
                      <w:rFonts w:cs="Arial"/>
                      <w:sz w:val="18"/>
                      <w:szCs w:val="18"/>
                    </w:rPr>
                  </w:pPr>
                  <w:r>
                    <w:rPr>
                      <w:rFonts w:cs="Arial"/>
                      <w:sz w:val="18"/>
                      <w:szCs w:val="18"/>
                    </w:rPr>
                    <w:t>77</w:t>
                  </w:r>
                </w:p>
              </w:tc>
              <w:tc>
                <w:tcPr>
                  <w:tcW w:w="1067" w:type="dxa"/>
                </w:tcPr>
                <w:p w14:paraId="77860386" w14:textId="77777777" w:rsidR="00B44CCB" w:rsidRDefault="00B44CCB" w:rsidP="000F4624">
                  <w:pPr>
                    <w:jc w:val="right"/>
                    <w:rPr>
                      <w:rFonts w:cs="Arial"/>
                      <w:sz w:val="18"/>
                      <w:szCs w:val="18"/>
                    </w:rPr>
                  </w:pPr>
                  <w:r>
                    <w:rPr>
                      <w:rFonts w:cs="Arial"/>
                      <w:sz w:val="18"/>
                      <w:szCs w:val="18"/>
                    </w:rPr>
                    <w:t>3.85</w:t>
                  </w:r>
                </w:p>
              </w:tc>
            </w:tr>
            <w:tr w:rsidR="00B44CCB" w:rsidRPr="003F0D71" w14:paraId="1C0F7F8C" w14:textId="77777777" w:rsidTr="000F4624">
              <w:tc>
                <w:tcPr>
                  <w:tcW w:w="3904" w:type="dxa"/>
                </w:tcPr>
                <w:p w14:paraId="63BA18EF" w14:textId="77777777" w:rsidR="00B44CCB" w:rsidRPr="00B706FE" w:rsidRDefault="00B44CCB" w:rsidP="000F4624">
                  <w:pPr>
                    <w:jc w:val="left"/>
                    <w:rPr>
                      <w:rFonts w:cs="Arial"/>
                      <w:b/>
                      <w:sz w:val="18"/>
                      <w:szCs w:val="18"/>
                    </w:rPr>
                  </w:pPr>
                  <w:r w:rsidRPr="00B706FE">
                    <w:rPr>
                      <w:rFonts w:cs="Arial"/>
                      <w:b/>
                      <w:sz w:val="18"/>
                      <w:szCs w:val="18"/>
                    </w:rPr>
                    <w:t>Q25 Below is a list of symptoms that may or may not relate to Carbon Monoxide poisoning. Please select the ones that you think are symptoms. You can select aa many or as few as you think are relevant</w:t>
                  </w:r>
                </w:p>
              </w:tc>
              <w:tc>
                <w:tcPr>
                  <w:tcW w:w="708" w:type="dxa"/>
                </w:tcPr>
                <w:p w14:paraId="755B77CA" w14:textId="77777777" w:rsidR="00B44CCB" w:rsidRDefault="00B44CCB" w:rsidP="000F4624">
                  <w:pPr>
                    <w:jc w:val="right"/>
                    <w:rPr>
                      <w:rFonts w:cs="Arial"/>
                      <w:sz w:val="18"/>
                      <w:szCs w:val="18"/>
                    </w:rPr>
                  </w:pPr>
                </w:p>
              </w:tc>
              <w:tc>
                <w:tcPr>
                  <w:tcW w:w="1134" w:type="dxa"/>
                </w:tcPr>
                <w:p w14:paraId="510F80F6" w14:textId="77777777" w:rsidR="00B44CCB" w:rsidRDefault="00B44CCB" w:rsidP="000F4624">
                  <w:pPr>
                    <w:jc w:val="right"/>
                    <w:rPr>
                      <w:rFonts w:cs="Arial"/>
                      <w:sz w:val="18"/>
                      <w:szCs w:val="18"/>
                    </w:rPr>
                  </w:pPr>
                  <w:r>
                    <w:rPr>
                      <w:rFonts w:cs="Arial"/>
                      <w:sz w:val="18"/>
                      <w:szCs w:val="18"/>
                    </w:rPr>
                    <w:t>5.00%</w:t>
                  </w:r>
                </w:p>
              </w:tc>
              <w:tc>
                <w:tcPr>
                  <w:tcW w:w="569" w:type="dxa"/>
                </w:tcPr>
                <w:p w14:paraId="5AD32B84" w14:textId="77777777" w:rsidR="00B44CCB" w:rsidRDefault="00B44CCB" w:rsidP="000F4624">
                  <w:pPr>
                    <w:jc w:val="right"/>
                    <w:rPr>
                      <w:rFonts w:cs="Arial"/>
                      <w:sz w:val="18"/>
                      <w:szCs w:val="18"/>
                    </w:rPr>
                  </w:pPr>
                </w:p>
              </w:tc>
              <w:tc>
                <w:tcPr>
                  <w:tcW w:w="1067" w:type="dxa"/>
                </w:tcPr>
                <w:p w14:paraId="72395219" w14:textId="77777777" w:rsidR="00B44CCB" w:rsidRDefault="00B44CCB" w:rsidP="000F4624">
                  <w:pPr>
                    <w:jc w:val="right"/>
                    <w:rPr>
                      <w:rFonts w:cs="Arial"/>
                      <w:sz w:val="18"/>
                      <w:szCs w:val="18"/>
                    </w:rPr>
                  </w:pPr>
                </w:p>
              </w:tc>
            </w:tr>
            <w:tr w:rsidR="00B44CCB" w:rsidRPr="003F0D71" w14:paraId="4FAC6F33" w14:textId="77777777" w:rsidTr="000F4624">
              <w:tc>
                <w:tcPr>
                  <w:tcW w:w="3904" w:type="dxa"/>
                </w:tcPr>
                <w:p w14:paraId="199CD815" w14:textId="77777777" w:rsidR="00B44CCB" w:rsidRDefault="00B44CCB" w:rsidP="000F4624">
                  <w:pPr>
                    <w:jc w:val="right"/>
                    <w:rPr>
                      <w:rFonts w:cs="Arial"/>
                      <w:sz w:val="18"/>
                      <w:szCs w:val="18"/>
                    </w:rPr>
                  </w:pPr>
                  <w:r>
                    <w:rPr>
                      <w:rFonts w:cs="Arial"/>
                      <w:sz w:val="18"/>
                      <w:szCs w:val="18"/>
                    </w:rPr>
                    <w:t>Headache</w:t>
                  </w:r>
                </w:p>
              </w:tc>
              <w:tc>
                <w:tcPr>
                  <w:tcW w:w="708" w:type="dxa"/>
                </w:tcPr>
                <w:p w14:paraId="311A5647" w14:textId="77777777" w:rsidR="00B44CCB" w:rsidRDefault="00B44CCB" w:rsidP="000F4624">
                  <w:pPr>
                    <w:jc w:val="right"/>
                    <w:rPr>
                      <w:rFonts w:cs="Arial"/>
                      <w:sz w:val="18"/>
                      <w:szCs w:val="18"/>
                    </w:rPr>
                  </w:pPr>
                  <w:r>
                    <w:rPr>
                      <w:rFonts w:cs="Arial"/>
                      <w:sz w:val="18"/>
                      <w:szCs w:val="18"/>
                    </w:rPr>
                    <w:t>100</w:t>
                  </w:r>
                </w:p>
              </w:tc>
              <w:tc>
                <w:tcPr>
                  <w:tcW w:w="1134" w:type="dxa"/>
                </w:tcPr>
                <w:p w14:paraId="5A6CA18E" w14:textId="77777777" w:rsidR="00B44CCB" w:rsidRDefault="00B44CCB" w:rsidP="000F4624">
                  <w:pPr>
                    <w:jc w:val="right"/>
                    <w:rPr>
                      <w:rFonts w:cs="Arial"/>
                      <w:sz w:val="18"/>
                      <w:szCs w:val="18"/>
                    </w:rPr>
                  </w:pPr>
                  <w:r>
                    <w:rPr>
                      <w:rFonts w:cs="Arial"/>
                      <w:sz w:val="18"/>
                      <w:szCs w:val="18"/>
                    </w:rPr>
                    <w:t>0.83%</w:t>
                  </w:r>
                </w:p>
              </w:tc>
              <w:tc>
                <w:tcPr>
                  <w:tcW w:w="569" w:type="dxa"/>
                </w:tcPr>
                <w:p w14:paraId="147EB488" w14:textId="77777777" w:rsidR="00B44CCB" w:rsidRDefault="00B44CCB" w:rsidP="000F4624">
                  <w:pPr>
                    <w:jc w:val="right"/>
                    <w:rPr>
                      <w:rFonts w:cs="Arial"/>
                      <w:sz w:val="18"/>
                      <w:szCs w:val="18"/>
                    </w:rPr>
                  </w:pPr>
                  <w:r>
                    <w:rPr>
                      <w:rFonts w:cs="Arial"/>
                      <w:sz w:val="18"/>
                      <w:szCs w:val="18"/>
                    </w:rPr>
                    <w:t>89</w:t>
                  </w:r>
                </w:p>
              </w:tc>
              <w:tc>
                <w:tcPr>
                  <w:tcW w:w="1067" w:type="dxa"/>
                </w:tcPr>
                <w:p w14:paraId="5BE0871E" w14:textId="77777777" w:rsidR="00B44CCB" w:rsidRDefault="00B44CCB" w:rsidP="000F4624">
                  <w:pPr>
                    <w:jc w:val="right"/>
                    <w:rPr>
                      <w:rFonts w:cs="Arial"/>
                      <w:sz w:val="18"/>
                      <w:szCs w:val="18"/>
                    </w:rPr>
                  </w:pPr>
                  <w:r>
                    <w:rPr>
                      <w:rFonts w:cs="Arial"/>
                      <w:sz w:val="18"/>
                      <w:szCs w:val="18"/>
                    </w:rPr>
                    <w:t>0.74</w:t>
                  </w:r>
                </w:p>
              </w:tc>
            </w:tr>
            <w:tr w:rsidR="00B44CCB" w:rsidRPr="003F0D71" w14:paraId="014A2D57" w14:textId="77777777" w:rsidTr="000F4624">
              <w:tc>
                <w:tcPr>
                  <w:tcW w:w="3904" w:type="dxa"/>
                </w:tcPr>
                <w:p w14:paraId="2532E78C" w14:textId="77777777" w:rsidR="00B44CCB" w:rsidRDefault="00B44CCB" w:rsidP="000F4624">
                  <w:pPr>
                    <w:jc w:val="right"/>
                    <w:rPr>
                      <w:rFonts w:cs="Arial"/>
                      <w:sz w:val="18"/>
                      <w:szCs w:val="18"/>
                    </w:rPr>
                  </w:pPr>
                  <w:r>
                    <w:rPr>
                      <w:rFonts w:cs="Arial"/>
                      <w:sz w:val="18"/>
                      <w:szCs w:val="18"/>
                    </w:rPr>
                    <w:t>Breathlessness</w:t>
                  </w:r>
                </w:p>
              </w:tc>
              <w:tc>
                <w:tcPr>
                  <w:tcW w:w="708" w:type="dxa"/>
                </w:tcPr>
                <w:p w14:paraId="2CE9AE8B" w14:textId="77777777" w:rsidR="00B44CCB" w:rsidRDefault="00B44CCB" w:rsidP="000F4624">
                  <w:pPr>
                    <w:jc w:val="right"/>
                    <w:rPr>
                      <w:rFonts w:cs="Arial"/>
                      <w:sz w:val="18"/>
                      <w:szCs w:val="18"/>
                    </w:rPr>
                  </w:pPr>
                  <w:r>
                    <w:rPr>
                      <w:rFonts w:cs="Arial"/>
                      <w:sz w:val="18"/>
                      <w:szCs w:val="18"/>
                    </w:rPr>
                    <w:t>100</w:t>
                  </w:r>
                </w:p>
              </w:tc>
              <w:tc>
                <w:tcPr>
                  <w:tcW w:w="1134" w:type="dxa"/>
                </w:tcPr>
                <w:p w14:paraId="1BD9C551" w14:textId="77777777" w:rsidR="00B44CCB" w:rsidRDefault="00B44CCB" w:rsidP="000F4624">
                  <w:pPr>
                    <w:jc w:val="right"/>
                    <w:rPr>
                      <w:rFonts w:cs="Arial"/>
                      <w:sz w:val="18"/>
                      <w:szCs w:val="18"/>
                    </w:rPr>
                  </w:pPr>
                  <w:r>
                    <w:rPr>
                      <w:rFonts w:cs="Arial"/>
                      <w:sz w:val="18"/>
                      <w:szCs w:val="18"/>
                    </w:rPr>
                    <w:t>0.83%</w:t>
                  </w:r>
                </w:p>
              </w:tc>
              <w:tc>
                <w:tcPr>
                  <w:tcW w:w="569" w:type="dxa"/>
                </w:tcPr>
                <w:p w14:paraId="0C737E75" w14:textId="77777777" w:rsidR="00B44CCB" w:rsidRDefault="00B44CCB" w:rsidP="000F4624">
                  <w:pPr>
                    <w:jc w:val="right"/>
                    <w:rPr>
                      <w:rFonts w:cs="Arial"/>
                      <w:sz w:val="18"/>
                      <w:szCs w:val="18"/>
                    </w:rPr>
                  </w:pPr>
                  <w:r>
                    <w:rPr>
                      <w:rFonts w:cs="Arial"/>
                      <w:sz w:val="18"/>
                      <w:szCs w:val="18"/>
                    </w:rPr>
                    <w:t>60</w:t>
                  </w:r>
                </w:p>
              </w:tc>
              <w:tc>
                <w:tcPr>
                  <w:tcW w:w="1067" w:type="dxa"/>
                </w:tcPr>
                <w:p w14:paraId="45C713AA" w14:textId="77777777" w:rsidR="00B44CCB" w:rsidRDefault="00B44CCB" w:rsidP="000F4624">
                  <w:pPr>
                    <w:jc w:val="right"/>
                    <w:rPr>
                      <w:rFonts w:cs="Arial"/>
                      <w:sz w:val="18"/>
                      <w:szCs w:val="18"/>
                    </w:rPr>
                  </w:pPr>
                  <w:r>
                    <w:rPr>
                      <w:rFonts w:cs="Arial"/>
                      <w:sz w:val="18"/>
                      <w:szCs w:val="18"/>
                    </w:rPr>
                    <w:t>0.50</w:t>
                  </w:r>
                </w:p>
              </w:tc>
            </w:tr>
            <w:tr w:rsidR="00B44CCB" w:rsidRPr="003F0D71" w14:paraId="1A154D16" w14:textId="77777777" w:rsidTr="000F4624">
              <w:tc>
                <w:tcPr>
                  <w:tcW w:w="3904" w:type="dxa"/>
                </w:tcPr>
                <w:p w14:paraId="15BA0826" w14:textId="77777777" w:rsidR="00B44CCB" w:rsidRDefault="00B44CCB" w:rsidP="000F4624">
                  <w:pPr>
                    <w:jc w:val="right"/>
                    <w:rPr>
                      <w:rFonts w:cs="Arial"/>
                      <w:sz w:val="18"/>
                      <w:szCs w:val="18"/>
                    </w:rPr>
                  </w:pPr>
                  <w:r>
                    <w:rPr>
                      <w:rFonts w:cs="Arial"/>
                      <w:sz w:val="18"/>
                      <w:szCs w:val="18"/>
                    </w:rPr>
                    <w:t>Dizziness</w:t>
                  </w:r>
                </w:p>
              </w:tc>
              <w:tc>
                <w:tcPr>
                  <w:tcW w:w="708" w:type="dxa"/>
                </w:tcPr>
                <w:p w14:paraId="1CD74D5C" w14:textId="77777777" w:rsidR="00B44CCB" w:rsidRDefault="00B44CCB" w:rsidP="000F4624">
                  <w:pPr>
                    <w:jc w:val="right"/>
                    <w:rPr>
                      <w:rFonts w:cs="Arial"/>
                      <w:sz w:val="18"/>
                      <w:szCs w:val="18"/>
                    </w:rPr>
                  </w:pPr>
                  <w:r>
                    <w:rPr>
                      <w:rFonts w:cs="Arial"/>
                      <w:sz w:val="18"/>
                      <w:szCs w:val="18"/>
                    </w:rPr>
                    <w:t>100</w:t>
                  </w:r>
                </w:p>
              </w:tc>
              <w:tc>
                <w:tcPr>
                  <w:tcW w:w="1134" w:type="dxa"/>
                </w:tcPr>
                <w:p w14:paraId="0ABF8034" w14:textId="77777777" w:rsidR="00B44CCB" w:rsidRDefault="00B44CCB" w:rsidP="000F4624">
                  <w:pPr>
                    <w:jc w:val="right"/>
                    <w:rPr>
                      <w:rFonts w:cs="Arial"/>
                      <w:sz w:val="18"/>
                      <w:szCs w:val="18"/>
                    </w:rPr>
                  </w:pPr>
                  <w:r>
                    <w:rPr>
                      <w:rFonts w:cs="Arial"/>
                      <w:sz w:val="18"/>
                      <w:szCs w:val="18"/>
                    </w:rPr>
                    <w:t>0.83%</w:t>
                  </w:r>
                </w:p>
              </w:tc>
              <w:tc>
                <w:tcPr>
                  <w:tcW w:w="569" w:type="dxa"/>
                </w:tcPr>
                <w:p w14:paraId="6FA60871" w14:textId="77777777" w:rsidR="00B44CCB" w:rsidRDefault="00B44CCB" w:rsidP="000F4624">
                  <w:pPr>
                    <w:jc w:val="right"/>
                    <w:rPr>
                      <w:rFonts w:cs="Arial"/>
                      <w:sz w:val="18"/>
                      <w:szCs w:val="18"/>
                    </w:rPr>
                  </w:pPr>
                  <w:r>
                    <w:rPr>
                      <w:rFonts w:cs="Arial"/>
                      <w:sz w:val="18"/>
                      <w:szCs w:val="18"/>
                    </w:rPr>
                    <w:t>84</w:t>
                  </w:r>
                </w:p>
              </w:tc>
              <w:tc>
                <w:tcPr>
                  <w:tcW w:w="1067" w:type="dxa"/>
                </w:tcPr>
                <w:p w14:paraId="4F9ECC6D" w14:textId="77777777" w:rsidR="00B44CCB" w:rsidRDefault="00B44CCB" w:rsidP="000F4624">
                  <w:pPr>
                    <w:jc w:val="right"/>
                    <w:rPr>
                      <w:rFonts w:cs="Arial"/>
                      <w:sz w:val="18"/>
                      <w:szCs w:val="18"/>
                    </w:rPr>
                  </w:pPr>
                  <w:r>
                    <w:rPr>
                      <w:rFonts w:cs="Arial"/>
                      <w:sz w:val="18"/>
                      <w:szCs w:val="18"/>
                    </w:rPr>
                    <w:t>0.70</w:t>
                  </w:r>
                </w:p>
              </w:tc>
            </w:tr>
            <w:tr w:rsidR="00B44CCB" w:rsidRPr="003F0D71" w14:paraId="66B7BD5C" w14:textId="77777777" w:rsidTr="000F4624">
              <w:tc>
                <w:tcPr>
                  <w:tcW w:w="3904" w:type="dxa"/>
                </w:tcPr>
                <w:p w14:paraId="3E3B1684" w14:textId="77777777" w:rsidR="00B44CCB" w:rsidRDefault="00B44CCB" w:rsidP="000F4624">
                  <w:pPr>
                    <w:jc w:val="right"/>
                    <w:rPr>
                      <w:rFonts w:cs="Arial"/>
                      <w:sz w:val="18"/>
                      <w:szCs w:val="18"/>
                    </w:rPr>
                  </w:pPr>
                  <w:r>
                    <w:rPr>
                      <w:rFonts w:cs="Arial"/>
                      <w:sz w:val="18"/>
                      <w:szCs w:val="18"/>
                    </w:rPr>
                    <w:t>Nausea</w:t>
                  </w:r>
                </w:p>
              </w:tc>
              <w:tc>
                <w:tcPr>
                  <w:tcW w:w="708" w:type="dxa"/>
                </w:tcPr>
                <w:p w14:paraId="7BDB9167" w14:textId="77777777" w:rsidR="00B44CCB" w:rsidRDefault="00B44CCB" w:rsidP="000F4624">
                  <w:pPr>
                    <w:jc w:val="right"/>
                    <w:rPr>
                      <w:rFonts w:cs="Arial"/>
                      <w:sz w:val="18"/>
                      <w:szCs w:val="18"/>
                    </w:rPr>
                  </w:pPr>
                  <w:r>
                    <w:rPr>
                      <w:rFonts w:cs="Arial"/>
                      <w:sz w:val="18"/>
                      <w:szCs w:val="18"/>
                    </w:rPr>
                    <w:t>100</w:t>
                  </w:r>
                </w:p>
              </w:tc>
              <w:tc>
                <w:tcPr>
                  <w:tcW w:w="1134" w:type="dxa"/>
                </w:tcPr>
                <w:p w14:paraId="31661940" w14:textId="77777777" w:rsidR="00B44CCB" w:rsidRDefault="00B44CCB" w:rsidP="000F4624">
                  <w:pPr>
                    <w:jc w:val="right"/>
                    <w:rPr>
                      <w:rFonts w:cs="Arial"/>
                      <w:sz w:val="18"/>
                      <w:szCs w:val="18"/>
                    </w:rPr>
                  </w:pPr>
                  <w:r>
                    <w:rPr>
                      <w:rFonts w:cs="Arial"/>
                      <w:sz w:val="18"/>
                      <w:szCs w:val="18"/>
                    </w:rPr>
                    <w:t>0.83%</w:t>
                  </w:r>
                </w:p>
              </w:tc>
              <w:tc>
                <w:tcPr>
                  <w:tcW w:w="569" w:type="dxa"/>
                </w:tcPr>
                <w:p w14:paraId="34E37767" w14:textId="77777777" w:rsidR="00B44CCB" w:rsidRDefault="00B44CCB" w:rsidP="000F4624">
                  <w:pPr>
                    <w:jc w:val="right"/>
                    <w:rPr>
                      <w:rFonts w:cs="Arial"/>
                      <w:sz w:val="18"/>
                      <w:szCs w:val="18"/>
                    </w:rPr>
                  </w:pPr>
                  <w:r>
                    <w:rPr>
                      <w:rFonts w:cs="Arial"/>
                      <w:sz w:val="18"/>
                      <w:szCs w:val="18"/>
                    </w:rPr>
                    <w:t>83</w:t>
                  </w:r>
                </w:p>
              </w:tc>
              <w:tc>
                <w:tcPr>
                  <w:tcW w:w="1067" w:type="dxa"/>
                </w:tcPr>
                <w:p w14:paraId="15688B61" w14:textId="77777777" w:rsidR="00B44CCB" w:rsidRDefault="00B44CCB" w:rsidP="000F4624">
                  <w:pPr>
                    <w:jc w:val="right"/>
                    <w:rPr>
                      <w:rFonts w:cs="Arial"/>
                      <w:sz w:val="18"/>
                      <w:szCs w:val="18"/>
                    </w:rPr>
                  </w:pPr>
                  <w:r>
                    <w:rPr>
                      <w:rFonts w:cs="Arial"/>
                      <w:sz w:val="18"/>
                      <w:szCs w:val="18"/>
                    </w:rPr>
                    <w:t>0.69</w:t>
                  </w:r>
                </w:p>
              </w:tc>
            </w:tr>
            <w:tr w:rsidR="00B44CCB" w:rsidRPr="003F0D71" w14:paraId="6A277075" w14:textId="77777777" w:rsidTr="000F4624">
              <w:tc>
                <w:tcPr>
                  <w:tcW w:w="3904" w:type="dxa"/>
                </w:tcPr>
                <w:p w14:paraId="31E86A4F" w14:textId="77777777" w:rsidR="00B44CCB" w:rsidRDefault="00B44CCB" w:rsidP="000F4624">
                  <w:pPr>
                    <w:jc w:val="right"/>
                    <w:rPr>
                      <w:rFonts w:cs="Arial"/>
                      <w:sz w:val="18"/>
                      <w:szCs w:val="18"/>
                    </w:rPr>
                  </w:pPr>
                  <w:r>
                    <w:rPr>
                      <w:rFonts w:cs="Arial"/>
                      <w:sz w:val="18"/>
                      <w:szCs w:val="18"/>
                    </w:rPr>
                    <w:t>Collapse</w:t>
                  </w:r>
                </w:p>
              </w:tc>
              <w:tc>
                <w:tcPr>
                  <w:tcW w:w="708" w:type="dxa"/>
                </w:tcPr>
                <w:p w14:paraId="3C432427" w14:textId="77777777" w:rsidR="00B44CCB" w:rsidRDefault="00B44CCB" w:rsidP="000F4624">
                  <w:pPr>
                    <w:jc w:val="right"/>
                    <w:rPr>
                      <w:rFonts w:cs="Arial"/>
                      <w:sz w:val="18"/>
                      <w:szCs w:val="18"/>
                    </w:rPr>
                  </w:pPr>
                  <w:r>
                    <w:rPr>
                      <w:rFonts w:cs="Arial"/>
                      <w:sz w:val="18"/>
                      <w:szCs w:val="18"/>
                    </w:rPr>
                    <w:t>100</w:t>
                  </w:r>
                </w:p>
              </w:tc>
              <w:tc>
                <w:tcPr>
                  <w:tcW w:w="1134" w:type="dxa"/>
                </w:tcPr>
                <w:p w14:paraId="76CEC2A2" w14:textId="77777777" w:rsidR="00B44CCB" w:rsidRDefault="00B44CCB" w:rsidP="000F4624">
                  <w:pPr>
                    <w:jc w:val="right"/>
                    <w:rPr>
                      <w:rFonts w:cs="Arial"/>
                      <w:sz w:val="18"/>
                      <w:szCs w:val="18"/>
                    </w:rPr>
                  </w:pPr>
                  <w:r>
                    <w:rPr>
                      <w:rFonts w:cs="Arial"/>
                      <w:sz w:val="18"/>
                      <w:szCs w:val="18"/>
                    </w:rPr>
                    <w:t>0.83%</w:t>
                  </w:r>
                </w:p>
              </w:tc>
              <w:tc>
                <w:tcPr>
                  <w:tcW w:w="569" w:type="dxa"/>
                </w:tcPr>
                <w:p w14:paraId="750DB237" w14:textId="77777777" w:rsidR="00B44CCB" w:rsidRDefault="00B44CCB" w:rsidP="000F4624">
                  <w:pPr>
                    <w:jc w:val="right"/>
                    <w:rPr>
                      <w:rFonts w:cs="Arial"/>
                      <w:sz w:val="18"/>
                      <w:szCs w:val="18"/>
                    </w:rPr>
                  </w:pPr>
                  <w:r>
                    <w:rPr>
                      <w:rFonts w:cs="Arial"/>
                      <w:sz w:val="18"/>
                      <w:szCs w:val="18"/>
                    </w:rPr>
                    <w:t>74</w:t>
                  </w:r>
                </w:p>
              </w:tc>
              <w:tc>
                <w:tcPr>
                  <w:tcW w:w="1067" w:type="dxa"/>
                </w:tcPr>
                <w:p w14:paraId="297AE171" w14:textId="77777777" w:rsidR="00B44CCB" w:rsidRDefault="00B44CCB" w:rsidP="000F4624">
                  <w:pPr>
                    <w:jc w:val="right"/>
                    <w:rPr>
                      <w:rFonts w:cs="Arial"/>
                      <w:sz w:val="18"/>
                      <w:szCs w:val="18"/>
                    </w:rPr>
                  </w:pPr>
                  <w:r>
                    <w:rPr>
                      <w:rFonts w:cs="Arial"/>
                      <w:sz w:val="18"/>
                      <w:szCs w:val="18"/>
                    </w:rPr>
                    <w:t>0.62</w:t>
                  </w:r>
                </w:p>
              </w:tc>
            </w:tr>
            <w:tr w:rsidR="00B44CCB" w:rsidRPr="003F0D71" w14:paraId="683027A2" w14:textId="77777777" w:rsidTr="000F4624">
              <w:tc>
                <w:tcPr>
                  <w:tcW w:w="3904" w:type="dxa"/>
                </w:tcPr>
                <w:p w14:paraId="0612327E" w14:textId="77777777" w:rsidR="00B44CCB" w:rsidRDefault="00B44CCB" w:rsidP="000F4624">
                  <w:pPr>
                    <w:jc w:val="right"/>
                    <w:rPr>
                      <w:rFonts w:cs="Arial"/>
                      <w:sz w:val="18"/>
                      <w:szCs w:val="18"/>
                    </w:rPr>
                  </w:pPr>
                  <w:r>
                    <w:rPr>
                      <w:rFonts w:cs="Arial"/>
                      <w:sz w:val="18"/>
                      <w:szCs w:val="18"/>
                    </w:rPr>
                    <w:t>Loss of consciousness</w:t>
                  </w:r>
                </w:p>
              </w:tc>
              <w:tc>
                <w:tcPr>
                  <w:tcW w:w="708" w:type="dxa"/>
                </w:tcPr>
                <w:p w14:paraId="0327B42A" w14:textId="77777777" w:rsidR="00B44CCB" w:rsidRDefault="00B44CCB" w:rsidP="000F4624">
                  <w:pPr>
                    <w:jc w:val="right"/>
                    <w:rPr>
                      <w:rFonts w:cs="Arial"/>
                      <w:sz w:val="18"/>
                      <w:szCs w:val="18"/>
                    </w:rPr>
                  </w:pPr>
                  <w:r>
                    <w:rPr>
                      <w:rFonts w:cs="Arial"/>
                      <w:sz w:val="18"/>
                      <w:szCs w:val="18"/>
                    </w:rPr>
                    <w:t>100</w:t>
                  </w:r>
                </w:p>
              </w:tc>
              <w:tc>
                <w:tcPr>
                  <w:tcW w:w="1134" w:type="dxa"/>
                </w:tcPr>
                <w:p w14:paraId="25375F10" w14:textId="77777777" w:rsidR="00B44CCB" w:rsidRDefault="00B44CCB" w:rsidP="000F4624">
                  <w:pPr>
                    <w:jc w:val="right"/>
                    <w:rPr>
                      <w:rFonts w:cs="Arial"/>
                      <w:sz w:val="18"/>
                      <w:szCs w:val="18"/>
                    </w:rPr>
                  </w:pPr>
                  <w:r>
                    <w:rPr>
                      <w:rFonts w:cs="Arial"/>
                      <w:sz w:val="18"/>
                      <w:szCs w:val="18"/>
                    </w:rPr>
                    <w:t>0.83%</w:t>
                  </w:r>
                </w:p>
              </w:tc>
              <w:tc>
                <w:tcPr>
                  <w:tcW w:w="569" w:type="dxa"/>
                </w:tcPr>
                <w:p w14:paraId="5846BE4F" w14:textId="77777777" w:rsidR="00B44CCB" w:rsidRDefault="00B44CCB" w:rsidP="000F4624">
                  <w:pPr>
                    <w:jc w:val="right"/>
                    <w:rPr>
                      <w:rFonts w:cs="Arial"/>
                      <w:sz w:val="18"/>
                      <w:szCs w:val="18"/>
                    </w:rPr>
                  </w:pPr>
                  <w:r>
                    <w:rPr>
                      <w:rFonts w:cs="Arial"/>
                      <w:sz w:val="18"/>
                      <w:szCs w:val="18"/>
                    </w:rPr>
                    <w:t>85</w:t>
                  </w:r>
                </w:p>
              </w:tc>
              <w:tc>
                <w:tcPr>
                  <w:tcW w:w="1067" w:type="dxa"/>
                </w:tcPr>
                <w:p w14:paraId="2CFFB0D8" w14:textId="77777777" w:rsidR="00B44CCB" w:rsidRDefault="00B44CCB" w:rsidP="000F4624">
                  <w:pPr>
                    <w:jc w:val="right"/>
                    <w:rPr>
                      <w:rFonts w:cs="Arial"/>
                      <w:sz w:val="18"/>
                      <w:szCs w:val="18"/>
                    </w:rPr>
                  </w:pPr>
                  <w:r>
                    <w:rPr>
                      <w:rFonts w:cs="Arial"/>
                      <w:sz w:val="18"/>
                      <w:szCs w:val="18"/>
                    </w:rPr>
                    <w:t>0.71</w:t>
                  </w:r>
                </w:p>
              </w:tc>
            </w:tr>
            <w:tr w:rsidR="00B44CCB" w:rsidRPr="003F0D71" w14:paraId="78DDD09C" w14:textId="77777777" w:rsidTr="000F4624">
              <w:tc>
                <w:tcPr>
                  <w:tcW w:w="3904" w:type="dxa"/>
                </w:tcPr>
                <w:p w14:paraId="1A6D518A" w14:textId="77777777" w:rsidR="00B44CCB" w:rsidRDefault="00B44CCB" w:rsidP="000F4624">
                  <w:pPr>
                    <w:jc w:val="left"/>
                    <w:rPr>
                      <w:rFonts w:cs="Arial"/>
                      <w:sz w:val="18"/>
                      <w:szCs w:val="18"/>
                    </w:rPr>
                  </w:pPr>
                </w:p>
              </w:tc>
              <w:tc>
                <w:tcPr>
                  <w:tcW w:w="708" w:type="dxa"/>
                </w:tcPr>
                <w:p w14:paraId="6EDDCCE2" w14:textId="77777777" w:rsidR="00B44CCB" w:rsidRDefault="00B44CCB" w:rsidP="000F4624">
                  <w:pPr>
                    <w:jc w:val="right"/>
                    <w:rPr>
                      <w:rFonts w:cs="Arial"/>
                      <w:sz w:val="18"/>
                      <w:szCs w:val="18"/>
                    </w:rPr>
                  </w:pPr>
                </w:p>
              </w:tc>
              <w:tc>
                <w:tcPr>
                  <w:tcW w:w="1134" w:type="dxa"/>
                </w:tcPr>
                <w:p w14:paraId="4E09EB51" w14:textId="77777777" w:rsidR="00B44CCB" w:rsidRDefault="00B44CCB" w:rsidP="000F4624">
                  <w:pPr>
                    <w:jc w:val="right"/>
                    <w:rPr>
                      <w:rFonts w:cs="Arial"/>
                      <w:sz w:val="18"/>
                      <w:szCs w:val="18"/>
                    </w:rPr>
                  </w:pPr>
                </w:p>
              </w:tc>
              <w:tc>
                <w:tcPr>
                  <w:tcW w:w="569" w:type="dxa"/>
                </w:tcPr>
                <w:p w14:paraId="6D956DF2" w14:textId="77777777" w:rsidR="00B44CCB" w:rsidRDefault="00B44CCB" w:rsidP="000F4624">
                  <w:pPr>
                    <w:jc w:val="right"/>
                    <w:rPr>
                      <w:rFonts w:cs="Arial"/>
                      <w:sz w:val="18"/>
                      <w:szCs w:val="18"/>
                    </w:rPr>
                  </w:pPr>
                </w:p>
              </w:tc>
              <w:tc>
                <w:tcPr>
                  <w:tcW w:w="1067" w:type="dxa"/>
                </w:tcPr>
                <w:p w14:paraId="18A7CFDB" w14:textId="77777777" w:rsidR="00B44CCB" w:rsidRDefault="00B44CCB" w:rsidP="000F4624">
                  <w:pPr>
                    <w:jc w:val="right"/>
                    <w:rPr>
                      <w:rFonts w:cs="Arial"/>
                      <w:sz w:val="18"/>
                      <w:szCs w:val="18"/>
                    </w:rPr>
                  </w:pPr>
                </w:p>
              </w:tc>
            </w:tr>
            <w:tr w:rsidR="00B44CCB" w:rsidRPr="00C50E00" w14:paraId="2AD282BB" w14:textId="77777777" w:rsidTr="000F4624">
              <w:tc>
                <w:tcPr>
                  <w:tcW w:w="3904" w:type="dxa"/>
                </w:tcPr>
                <w:p w14:paraId="7098D885" w14:textId="77777777" w:rsidR="00B44CCB" w:rsidRPr="00C50E00" w:rsidRDefault="00B44CCB" w:rsidP="000F4624">
                  <w:pPr>
                    <w:jc w:val="left"/>
                    <w:rPr>
                      <w:rFonts w:cs="Arial"/>
                      <w:b/>
                      <w:sz w:val="18"/>
                      <w:szCs w:val="18"/>
                    </w:rPr>
                  </w:pPr>
                  <w:r w:rsidRPr="00C50E00">
                    <w:rPr>
                      <w:rFonts w:cs="Arial"/>
                      <w:b/>
                      <w:sz w:val="18"/>
                      <w:szCs w:val="18"/>
                    </w:rPr>
                    <w:t>KPI score</w:t>
                  </w:r>
                </w:p>
              </w:tc>
              <w:tc>
                <w:tcPr>
                  <w:tcW w:w="708" w:type="dxa"/>
                </w:tcPr>
                <w:p w14:paraId="32B75D3B" w14:textId="77777777" w:rsidR="00B44CCB" w:rsidRPr="00C50E00" w:rsidRDefault="00B44CCB" w:rsidP="000F4624">
                  <w:pPr>
                    <w:jc w:val="right"/>
                    <w:rPr>
                      <w:rFonts w:cs="Arial"/>
                      <w:b/>
                      <w:sz w:val="18"/>
                      <w:szCs w:val="18"/>
                    </w:rPr>
                  </w:pPr>
                </w:p>
              </w:tc>
              <w:tc>
                <w:tcPr>
                  <w:tcW w:w="1134" w:type="dxa"/>
                </w:tcPr>
                <w:p w14:paraId="3F805E1A" w14:textId="77777777" w:rsidR="00B44CCB" w:rsidRPr="00C50E00" w:rsidRDefault="00B44CCB" w:rsidP="000F4624">
                  <w:pPr>
                    <w:jc w:val="right"/>
                    <w:rPr>
                      <w:rFonts w:cs="Arial"/>
                      <w:b/>
                      <w:sz w:val="18"/>
                      <w:szCs w:val="18"/>
                    </w:rPr>
                  </w:pPr>
                  <w:r w:rsidRPr="00C50E00">
                    <w:rPr>
                      <w:rFonts w:cs="Arial"/>
                      <w:b/>
                      <w:sz w:val="18"/>
                      <w:szCs w:val="18"/>
                    </w:rPr>
                    <w:t>100%</w:t>
                  </w:r>
                </w:p>
              </w:tc>
              <w:tc>
                <w:tcPr>
                  <w:tcW w:w="569" w:type="dxa"/>
                </w:tcPr>
                <w:p w14:paraId="3AA6D1BB" w14:textId="77777777" w:rsidR="00B44CCB" w:rsidRPr="00C50E00" w:rsidRDefault="00B44CCB" w:rsidP="000F4624">
                  <w:pPr>
                    <w:jc w:val="right"/>
                    <w:rPr>
                      <w:rFonts w:cs="Arial"/>
                      <w:b/>
                      <w:sz w:val="18"/>
                      <w:szCs w:val="18"/>
                    </w:rPr>
                  </w:pPr>
                </w:p>
              </w:tc>
              <w:tc>
                <w:tcPr>
                  <w:tcW w:w="1067" w:type="dxa"/>
                </w:tcPr>
                <w:p w14:paraId="2CC8B4F2" w14:textId="77777777" w:rsidR="00B44CCB" w:rsidRPr="00C50E00" w:rsidRDefault="00B44CCB" w:rsidP="000F4624">
                  <w:pPr>
                    <w:jc w:val="right"/>
                    <w:rPr>
                      <w:rFonts w:cs="Arial"/>
                      <w:b/>
                      <w:sz w:val="18"/>
                      <w:szCs w:val="18"/>
                    </w:rPr>
                  </w:pPr>
                  <w:r w:rsidRPr="00C50E00">
                    <w:rPr>
                      <w:rFonts w:cs="Arial"/>
                      <w:b/>
                      <w:sz w:val="18"/>
                      <w:szCs w:val="18"/>
                    </w:rPr>
                    <w:t>59.72</w:t>
                  </w:r>
                </w:p>
              </w:tc>
            </w:tr>
          </w:tbl>
          <w:p w14:paraId="68EDF91A" w14:textId="77777777" w:rsidR="00B44CCB" w:rsidRPr="00E874FA" w:rsidRDefault="00B44CCB" w:rsidP="000F4624">
            <w:pPr>
              <w:rPr>
                <w:rFonts w:cs="Arial"/>
                <w:szCs w:val="22"/>
              </w:rPr>
            </w:pPr>
          </w:p>
          <w:p w14:paraId="0C7A4AFE" w14:textId="77777777" w:rsidR="00B44CCB" w:rsidRPr="0094167D" w:rsidRDefault="00B44CCB" w:rsidP="000F4624">
            <w:pPr>
              <w:rPr>
                <w:rFonts w:cs="Arial"/>
                <w:szCs w:val="22"/>
              </w:rPr>
            </w:pPr>
          </w:p>
        </w:tc>
      </w:tr>
      <w:tr w:rsidR="00B44CCB" w:rsidRPr="001A1836" w14:paraId="6C8B2963" w14:textId="77777777" w:rsidTr="000F4624">
        <w:tc>
          <w:tcPr>
            <w:tcW w:w="1950" w:type="dxa"/>
            <w:tcBorders>
              <w:top w:val="single" w:sz="4" w:space="0" w:color="auto"/>
              <w:left w:val="single" w:sz="4" w:space="0" w:color="auto"/>
              <w:bottom w:val="single" w:sz="4" w:space="0" w:color="auto"/>
              <w:right w:val="single" w:sz="4" w:space="0" w:color="auto"/>
            </w:tcBorders>
            <w:hideMark/>
          </w:tcPr>
          <w:p w14:paraId="4F2FD410" w14:textId="77777777" w:rsidR="00B44CCB" w:rsidRPr="001A1836" w:rsidRDefault="00B44CCB" w:rsidP="000F4624">
            <w:pPr>
              <w:rPr>
                <w:rFonts w:cs="Arial"/>
                <w:szCs w:val="22"/>
              </w:rPr>
            </w:pPr>
            <w:r w:rsidRPr="001A1836">
              <w:rPr>
                <w:rFonts w:cs="Arial"/>
                <w:szCs w:val="22"/>
              </w:rPr>
              <w:lastRenderedPageBreak/>
              <w:t>Timing of calculation</w:t>
            </w:r>
          </w:p>
        </w:tc>
        <w:tc>
          <w:tcPr>
            <w:tcW w:w="6572" w:type="dxa"/>
            <w:gridSpan w:val="2"/>
            <w:tcBorders>
              <w:top w:val="single" w:sz="4" w:space="0" w:color="auto"/>
              <w:left w:val="single" w:sz="4" w:space="0" w:color="auto"/>
              <w:bottom w:val="single" w:sz="4" w:space="0" w:color="auto"/>
              <w:right w:val="single" w:sz="4" w:space="0" w:color="auto"/>
            </w:tcBorders>
            <w:hideMark/>
          </w:tcPr>
          <w:p w14:paraId="21DC84F8" w14:textId="5EFB7FBB" w:rsidR="00C10FC6" w:rsidRPr="00C10FC6" w:rsidRDefault="00C10FC6" w:rsidP="00C10FC6">
            <w:pPr>
              <w:rPr>
                <w:rFonts w:cs="Arial"/>
                <w:szCs w:val="22"/>
              </w:rPr>
            </w:pPr>
            <w:r w:rsidRPr="00C10FC6">
              <w:rPr>
                <w:rFonts w:cs="Arial"/>
                <w:szCs w:val="22"/>
              </w:rPr>
              <w:t>Results will be captured daily and reported quarterly.</w:t>
            </w:r>
          </w:p>
          <w:p w14:paraId="5921461A" w14:textId="1CFF88B5" w:rsidR="00B44CCB" w:rsidRPr="001A1836" w:rsidRDefault="00C10FC6" w:rsidP="000F4624">
            <w:pPr>
              <w:rPr>
                <w:rFonts w:cs="Arial"/>
                <w:szCs w:val="22"/>
              </w:rPr>
            </w:pPr>
            <w:r w:rsidRPr="00C10FC6">
              <w:rPr>
                <w:rFonts w:cs="Arial"/>
                <w:szCs w:val="22"/>
              </w:rPr>
              <w:t>Performance is calculated at the end of each Contract Year for the purposes of paragraphs 4 and 5 of Schedule 5 (Financial Model and Gain Share)"</w:t>
            </w:r>
          </w:p>
        </w:tc>
      </w:tr>
      <w:tr w:rsidR="00B44CCB" w:rsidRPr="001A1836" w14:paraId="2D401760" w14:textId="77777777" w:rsidTr="000F4624">
        <w:tc>
          <w:tcPr>
            <w:tcW w:w="1950" w:type="dxa"/>
            <w:tcBorders>
              <w:top w:val="single" w:sz="4" w:space="0" w:color="auto"/>
              <w:left w:val="single" w:sz="4" w:space="0" w:color="auto"/>
              <w:bottom w:val="single" w:sz="4" w:space="0" w:color="auto"/>
              <w:right w:val="single" w:sz="4" w:space="0" w:color="auto"/>
            </w:tcBorders>
            <w:hideMark/>
          </w:tcPr>
          <w:p w14:paraId="31BFA1EB" w14:textId="77777777" w:rsidR="00B44CCB" w:rsidRPr="001A1836" w:rsidRDefault="00B44CCB" w:rsidP="000F4624">
            <w:pPr>
              <w:rPr>
                <w:rFonts w:cs="Arial"/>
                <w:szCs w:val="22"/>
              </w:rPr>
            </w:pPr>
            <w:r w:rsidRPr="001A1836">
              <w:rPr>
                <w:rFonts w:cs="Arial"/>
                <w:szCs w:val="22"/>
              </w:rPr>
              <w:t>KPI Target</w:t>
            </w:r>
          </w:p>
        </w:tc>
        <w:tc>
          <w:tcPr>
            <w:tcW w:w="6572" w:type="dxa"/>
            <w:gridSpan w:val="2"/>
            <w:tcBorders>
              <w:top w:val="single" w:sz="4" w:space="0" w:color="auto"/>
              <w:left w:val="single" w:sz="4" w:space="0" w:color="auto"/>
              <w:bottom w:val="single" w:sz="4" w:space="0" w:color="auto"/>
              <w:right w:val="single" w:sz="4" w:space="0" w:color="auto"/>
            </w:tcBorders>
            <w:hideMark/>
          </w:tcPr>
          <w:p w14:paraId="1FB37E07" w14:textId="77777777" w:rsidR="00B44CCB" w:rsidRDefault="00B44CCB" w:rsidP="000F4624">
            <w:pPr>
              <w:rPr>
                <w:rFonts w:cs="Arial"/>
                <w:kern w:val="0"/>
                <w:szCs w:val="22"/>
              </w:rPr>
            </w:pPr>
            <w:r>
              <w:rPr>
                <w:rFonts w:cs="Arial"/>
                <w:kern w:val="0"/>
                <w:szCs w:val="22"/>
              </w:rPr>
              <w:t>The KPI 1 target has been developed using a seasonality formula which looks at the data from the previous year and checks whether the baseline data is seasonally high or low, enabling a clear understanding of the results and demonstrating that the agreed target is a realistic target.</w:t>
            </w:r>
          </w:p>
          <w:p w14:paraId="6021A34E" w14:textId="77777777" w:rsidR="00B44CCB" w:rsidRDefault="00B44CCB" w:rsidP="000F4624">
            <w:pPr>
              <w:rPr>
                <w:rFonts w:cs="Arial"/>
                <w:kern w:val="0"/>
                <w:szCs w:val="22"/>
              </w:rPr>
            </w:pPr>
          </w:p>
          <w:p w14:paraId="0582D64F" w14:textId="77777777" w:rsidR="00B44CCB" w:rsidRDefault="00B44CCB" w:rsidP="000F4624">
            <w:pPr>
              <w:rPr>
                <w:rFonts w:cs="Arial"/>
                <w:kern w:val="0"/>
                <w:szCs w:val="22"/>
              </w:rPr>
            </w:pPr>
          </w:p>
          <w:p w14:paraId="0764488E" w14:textId="77777777" w:rsidR="00B44CCB" w:rsidRPr="001A1836" w:rsidRDefault="00B44CCB" w:rsidP="000F4624">
            <w:pPr>
              <w:rPr>
                <w:rFonts w:cs="Arial"/>
                <w:i/>
                <w:szCs w:val="22"/>
              </w:rPr>
            </w:pPr>
          </w:p>
        </w:tc>
      </w:tr>
      <w:tr w:rsidR="00B44CCB" w:rsidRPr="001A1836" w14:paraId="77818B47" w14:textId="77777777" w:rsidTr="000F4624">
        <w:tc>
          <w:tcPr>
            <w:tcW w:w="1950" w:type="dxa"/>
            <w:tcBorders>
              <w:top w:val="single" w:sz="4" w:space="0" w:color="auto"/>
              <w:left w:val="single" w:sz="4" w:space="0" w:color="auto"/>
              <w:bottom w:val="single" w:sz="4" w:space="0" w:color="auto"/>
              <w:right w:val="single" w:sz="4" w:space="0" w:color="auto"/>
            </w:tcBorders>
          </w:tcPr>
          <w:p w14:paraId="0ECD82AA" w14:textId="77777777" w:rsidR="00B44CCB" w:rsidRPr="001A1836" w:rsidRDefault="00B44CCB" w:rsidP="000F4624">
            <w:pPr>
              <w:rPr>
                <w:rFonts w:cs="Arial"/>
                <w:szCs w:val="22"/>
              </w:rPr>
            </w:pPr>
            <w:r>
              <w:rPr>
                <w:rFonts w:cs="Arial"/>
                <w:szCs w:val="22"/>
              </w:rPr>
              <w:t>KPI target Year 1</w:t>
            </w:r>
          </w:p>
        </w:tc>
        <w:tc>
          <w:tcPr>
            <w:tcW w:w="6572" w:type="dxa"/>
            <w:gridSpan w:val="2"/>
            <w:tcBorders>
              <w:top w:val="single" w:sz="4" w:space="0" w:color="auto"/>
              <w:left w:val="single" w:sz="4" w:space="0" w:color="auto"/>
              <w:bottom w:val="single" w:sz="4" w:space="0" w:color="auto"/>
              <w:right w:val="single" w:sz="4" w:space="0" w:color="auto"/>
            </w:tcBorders>
          </w:tcPr>
          <w:p w14:paraId="7D1A5D7D" w14:textId="0C71F02A" w:rsidR="00B44CCB" w:rsidRPr="000A69BA" w:rsidDel="0051130D" w:rsidRDefault="00B44CCB" w:rsidP="000F4624">
            <w:pPr>
              <w:rPr>
                <w:rFonts w:cs="Arial"/>
                <w:b/>
                <w:bCs/>
                <w:iCs/>
                <w:szCs w:val="22"/>
              </w:rPr>
            </w:pPr>
            <w:r>
              <w:rPr>
                <w:rFonts w:cs="Arial"/>
                <w:iCs/>
                <w:szCs w:val="22"/>
              </w:rPr>
              <w:t xml:space="preserve">Year 1 target = </w:t>
            </w:r>
            <w:r w:rsidRPr="000A69BA">
              <w:rPr>
                <w:rFonts w:cs="Arial"/>
                <w:b/>
                <w:bCs/>
                <w:iCs/>
                <w:szCs w:val="22"/>
              </w:rPr>
              <w:t>6</w:t>
            </w:r>
            <w:r w:rsidR="00DE00C7">
              <w:rPr>
                <w:rFonts w:cs="Arial"/>
                <w:b/>
                <w:bCs/>
                <w:iCs/>
                <w:szCs w:val="22"/>
              </w:rPr>
              <w:t>0</w:t>
            </w:r>
          </w:p>
        </w:tc>
      </w:tr>
      <w:tr w:rsidR="00B44CCB" w:rsidRPr="001A1836" w14:paraId="23BE079B" w14:textId="77777777" w:rsidTr="000F4624">
        <w:tc>
          <w:tcPr>
            <w:tcW w:w="1950" w:type="dxa"/>
            <w:tcBorders>
              <w:top w:val="single" w:sz="4" w:space="0" w:color="auto"/>
              <w:left w:val="single" w:sz="4" w:space="0" w:color="auto"/>
              <w:bottom w:val="single" w:sz="4" w:space="0" w:color="auto"/>
              <w:right w:val="single" w:sz="4" w:space="0" w:color="auto"/>
            </w:tcBorders>
          </w:tcPr>
          <w:p w14:paraId="3FC92133" w14:textId="77777777" w:rsidR="00B44CCB" w:rsidRPr="001A1836" w:rsidRDefault="00B44CCB" w:rsidP="000F4624">
            <w:pPr>
              <w:rPr>
                <w:rFonts w:cs="Arial"/>
                <w:szCs w:val="22"/>
              </w:rPr>
            </w:pPr>
          </w:p>
        </w:tc>
        <w:tc>
          <w:tcPr>
            <w:tcW w:w="4674" w:type="dxa"/>
            <w:tcBorders>
              <w:top w:val="single" w:sz="4" w:space="0" w:color="auto"/>
              <w:left w:val="single" w:sz="4" w:space="0" w:color="auto"/>
              <w:bottom w:val="single" w:sz="4" w:space="0" w:color="auto"/>
              <w:right w:val="single" w:sz="4" w:space="0" w:color="auto"/>
            </w:tcBorders>
            <w:hideMark/>
          </w:tcPr>
          <w:p w14:paraId="220B657D" w14:textId="77777777" w:rsidR="00B44CCB" w:rsidRPr="001A1836" w:rsidRDefault="00B44CCB" w:rsidP="000F4624">
            <w:pPr>
              <w:rPr>
                <w:rFonts w:cs="Arial"/>
                <w:b/>
                <w:szCs w:val="22"/>
              </w:rPr>
            </w:pPr>
            <w:r w:rsidRPr="001A1836">
              <w:rPr>
                <w:rFonts w:cs="Arial"/>
                <w:b/>
                <w:szCs w:val="22"/>
              </w:rPr>
              <w:t>KPI outcome</w:t>
            </w:r>
          </w:p>
        </w:tc>
        <w:tc>
          <w:tcPr>
            <w:tcW w:w="1898" w:type="dxa"/>
            <w:tcBorders>
              <w:top w:val="single" w:sz="4" w:space="0" w:color="auto"/>
              <w:left w:val="single" w:sz="4" w:space="0" w:color="auto"/>
              <w:bottom w:val="single" w:sz="4" w:space="0" w:color="auto"/>
              <w:right w:val="single" w:sz="4" w:space="0" w:color="auto"/>
            </w:tcBorders>
            <w:hideMark/>
          </w:tcPr>
          <w:p w14:paraId="2A413C96" w14:textId="77777777" w:rsidR="00B44CCB" w:rsidRPr="001A1836" w:rsidRDefault="00B44CCB" w:rsidP="000F4624">
            <w:pPr>
              <w:rPr>
                <w:rFonts w:cs="Arial"/>
                <w:b/>
                <w:szCs w:val="22"/>
              </w:rPr>
            </w:pPr>
            <w:r w:rsidRPr="001A1836">
              <w:rPr>
                <w:rFonts w:cs="Arial"/>
                <w:b/>
                <w:szCs w:val="22"/>
              </w:rPr>
              <w:t>Reduction in Provisional Provider Gain Share Funds</w:t>
            </w:r>
          </w:p>
        </w:tc>
      </w:tr>
      <w:tr w:rsidR="00B44CCB" w:rsidRPr="001A1836" w14:paraId="6F594752" w14:textId="77777777" w:rsidTr="000F4624">
        <w:tc>
          <w:tcPr>
            <w:tcW w:w="1950" w:type="dxa"/>
            <w:tcBorders>
              <w:top w:val="single" w:sz="4" w:space="0" w:color="auto"/>
              <w:left w:val="single" w:sz="4" w:space="0" w:color="auto"/>
              <w:bottom w:val="single" w:sz="4" w:space="0" w:color="auto"/>
              <w:right w:val="single" w:sz="4" w:space="0" w:color="auto"/>
            </w:tcBorders>
            <w:hideMark/>
          </w:tcPr>
          <w:p w14:paraId="4C36993A" w14:textId="77777777" w:rsidR="00B44CCB" w:rsidRPr="001A1836" w:rsidRDefault="00B44CCB" w:rsidP="000F4624">
            <w:pPr>
              <w:rPr>
                <w:rFonts w:cs="Arial"/>
                <w:szCs w:val="22"/>
              </w:rPr>
            </w:pPr>
            <w:r w:rsidRPr="001A1836">
              <w:rPr>
                <w:rFonts w:cs="Arial"/>
                <w:szCs w:val="22"/>
              </w:rPr>
              <w:t>KPI target met</w:t>
            </w:r>
          </w:p>
        </w:tc>
        <w:tc>
          <w:tcPr>
            <w:tcW w:w="4674" w:type="dxa"/>
            <w:tcBorders>
              <w:top w:val="single" w:sz="4" w:space="0" w:color="auto"/>
              <w:left w:val="single" w:sz="4" w:space="0" w:color="auto"/>
              <w:bottom w:val="single" w:sz="4" w:space="0" w:color="auto"/>
              <w:right w:val="single" w:sz="4" w:space="0" w:color="auto"/>
            </w:tcBorders>
            <w:hideMark/>
          </w:tcPr>
          <w:p w14:paraId="65A130B1" w14:textId="77777777" w:rsidR="00B44CCB" w:rsidRPr="001A1836" w:rsidRDefault="00B44CCB" w:rsidP="000F4624">
            <w:pPr>
              <w:rPr>
                <w:rFonts w:cs="Arial"/>
                <w:i/>
                <w:szCs w:val="22"/>
              </w:rPr>
            </w:pPr>
            <w:r>
              <w:rPr>
                <w:rFonts w:cs="Arial"/>
                <w:szCs w:val="22"/>
              </w:rPr>
              <w:t>100% of agreed target</w:t>
            </w:r>
          </w:p>
        </w:tc>
        <w:tc>
          <w:tcPr>
            <w:tcW w:w="1898" w:type="dxa"/>
            <w:tcBorders>
              <w:top w:val="single" w:sz="4" w:space="0" w:color="auto"/>
              <w:left w:val="single" w:sz="4" w:space="0" w:color="auto"/>
              <w:bottom w:val="single" w:sz="4" w:space="0" w:color="auto"/>
              <w:right w:val="single" w:sz="4" w:space="0" w:color="auto"/>
            </w:tcBorders>
            <w:hideMark/>
          </w:tcPr>
          <w:p w14:paraId="73D5E258" w14:textId="77777777" w:rsidR="00B44CCB" w:rsidRPr="001A1836" w:rsidRDefault="00B44CCB" w:rsidP="000F4624">
            <w:pPr>
              <w:rPr>
                <w:rFonts w:cs="Arial"/>
                <w:szCs w:val="22"/>
              </w:rPr>
            </w:pPr>
            <w:r w:rsidRPr="001A1836">
              <w:rPr>
                <w:rFonts w:cs="Arial"/>
                <w:szCs w:val="22"/>
              </w:rPr>
              <w:t>0</w:t>
            </w:r>
          </w:p>
        </w:tc>
      </w:tr>
      <w:tr w:rsidR="00B44CCB" w:rsidRPr="001A1836" w14:paraId="664452B1" w14:textId="77777777" w:rsidTr="000F4624">
        <w:tc>
          <w:tcPr>
            <w:tcW w:w="1950" w:type="dxa"/>
            <w:tcBorders>
              <w:top w:val="single" w:sz="4" w:space="0" w:color="auto"/>
              <w:left w:val="single" w:sz="4" w:space="0" w:color="auto"/>
              <w:bottom w:val="single" w:sz="4" w:space="0" w:color="auto"/>
              <w:right w:val="single" w:sz="4" w:space="0" w:color="auto"/>
            </w:tcBorders>
            <w:hideMark/>
          </w:tcPr>
          <w:p w14:paraId="4F1210A5" w14:textId="77777777" w:rsidR="00B44CCB" w:rsidRPr="001A1836" w:rsidRDefault="00B44CCB" w:rsidP="000F4624">
            <w:pPr>
              <w:rPr>
                <w:rFonts w:cs="Arial"/>
                <w:szCs w:val="22"/>
              </w:rPr>
            </w:pPr>
            <w:r w:rsidRPr="001A1836">
              <w:rPr>
                <w:rFonts w:cs="Arial"/>
                <w:szCs w:val="22"/>
              </w:rPr>
              <w:t>Minor KPI Failure</w:t>
            </w:r>
          </w:p>
        </w:tc>
        <w:tc>
          <w:tcPr>
            <w:tcW w:w="4674" w:type="dxa"/>
            <w:tcBorders>
              <w:top w:val="single" w:sz="4" w:space="0" w:color="auto"/>
              <w:left w:val="single" w:sz="4" w:space="0" w:color="auto"/>
              <w:bottom w:val="single" w:sz="4" w:space="0" w:color="auto"/>
              <w:right w:val="single" w:sz="4" w:space="0" w:color="auto"/>
            </w:tcBorders>
            <w:hideMark/>
          </w:tcPr>
          <w:p w14:paraId="03156D86" w14:textId="77777777" w:rsidR="00B44CCB" w:rsidRPr="001A1836" w:rsidRDefault="00B44CCB" w:rsidP="000F4624">
            <w:pPr>
              <w:rPr>
                <w:rFonts w:cs="Arial"/>
                <w:i/>
                <w:szCs w:val="22"/>
              </w:rPr>
            </w:pPr>
            <w:r>
              <w:rPr>
                <w:rFonts w:cs="Arial"/>
                <w:szCs w:val="22"/>
              </w:rPr>
              <w:t>Between 98% and 99.9% of agreed target</w:t>
            </w:r>
          </w:p>
        </w:tc>
        <w:tc>
          <w:tcPr>
            <w:tcW w:w="1898" w:type="dxa"/>
            <w:tcBorders>
              <w:top w:val="single" w:sz="4" w:space="0" w:color="auto"/>
              <w:left w:val="single" w:sz="4" w:space="0" w:color="auto"/>
              <w:bottom w:val="single" w:sz="4" w:space="0" w:color="auto"/>
              <w:right w:val="single" w:sz="4" w:space="0" w:color="auto"/>
            </w:tcBorders>
            <w:hideMark/>
          </w:tcPr>
          <w:p w14:paraId="68177083" w14:textId="77777777" w:rsidR="00B44CCB" w:rsidRPr="001A1836" w:rsidRDefault="00B44CCB" w:rsidP="000F4624">
            <w:pPr>
              <w:rPr>
                <w:rFonts w:cs="Arial"/>
                <w:szCs w:val="22"/>
              </w:rPr>
            </w:pPr>
            <w:r w:rsidRPr="001A1836">
              <w:rPr>
                <w:rFonts w:cs="Arial"/>
                <w:szCs w:val="22"/>
              </w:rPr>
              <w:t>25%</w:t>
            </w:r>
          </w:p>
        </w:tc>
      </w:tr>
      <w:tr w:rsidR="00B44CCB" w:rsidRPr="001A1836" w14:paraId="05F2091C" w14:textId="77777777" w:rsidTr="000F4624">
        <w:tc>
          <w:tcPr>
            <w:tcW w:w="1950" w:type="dxa"/>
            <w:tcBorders>
              <w:top w:val="single" w:sz="4" w:space="0" w:color="auto"/>
              <w:left w:val="single" w:sz="4" w:space="0" w:color="auto"/>
              <w:bottom w:val="single" w:sz="4" w:space="0" w:color="auto"/>
              <w:right w:val="single" w:sz="4" w:space="0" w:color="auto"/>
            </w:tcBorders>
            <w:hideMark/>
          </w:tcPr>
          <w:p w14:paraId="66253FDE" w14:textId="77777777" w:rsidR="00B44CCB" w:rsidRPr="001A1836" w:rsidRDefault="00B44CCB" w:rsidP="000F4624">
            <w:pPr>
              <w:rPr>
                <w:rFonts w:cs="Arial"/>
                <w:szCs w:val="22"/>
              </w:rPr>
            </w:pPr>
            <w:r w:rsidRPr="001A1836">
              <w:rPr>
                <w:rFonts w:cs="Arial"/>
                <w:szCs w:val="22"/>
              </w:rPr>
              <w:t>Moderate KPI Failure</w:t>
            </w:r>
          </w:p>
        </w:tc>
        <w:tc>
          <w:tcPr>
            <w:tcW w:w="4674" w:type="dxa"/>
            <w:tcBorders>
              <w:top w:val="single" w:sz="4" w:space="0" w:color="auto"/>
              <w:left w:val="single" w:sz="4" w:space="0" w:color="auto"/>
              <w:bottom w:val="single" w:sz="4" w:space="0" w:color="auto"/>
              <w:right w:val="single" w:sz="4" w:space="0" w:color="auto"/>
            </w:tcBorders>
            <w:hideMark/>
          </w:tcPr>
          <w:p w14:paraId="3E10133F" w14:textId="77777777" w:rsidR="00B44CCB" w:rsidRPr="001A1836" w:rsidRDefault="00B44CCB" w:rsidP="000F4624">
            <w:pPr>
              <w:rPr>
                <w:rFonts w:cs="Arial"/>
                <w:i/>
                <w:szCs w:val="22"/>
              </w:rPr>
            </w:pPr>
            <w:r>
              <w:rPr>
                <w:rFonts w:cs="Arial"/>
                <w:szCs w:val="22"/>
              </w:rPr>
              <w:t>Between 95% and 97.9% of agreed target</w:t>
            </w:r>
          </w:p>
        </w:tc>
        <w:tc>
          <w:tcPr>
            <w:tcW w:w="1898" w:type="dxa"/>
            <w:tcBorders>
              <w:top w:val="single" w:sz="4" w:space="0" w:color="auto"/>
              <w:left w:val="single" w:sz="4" w:space="0" w:color="auto"/>
              <w:bottom w:val="single" w:sz="4" w:space="0" w:color="auto"/>
              <w:right w:val="single" w:sz="4" w:space="0" w:color="auto"/>
            </w:tcBorders>
            <w:hideMark/>
          </w:tcPr>
          <w:p w14:paraId="09BF2B6F" w14:textId="77777777" w:rsidR="00B44CCB" w:rsidRPr="001A1836" w:rsidRDefault="00B44CCB" w:rsidP="000F4624">
            <w:pPr>
              <w:rPr>
                <w:rFonts w:cs="Arial"/>
                <w:szCs w:val="22"/>
              </w:rPr>
            </w:pPr>
            <w:r w:rsidRPr="001A1836">
              <w:rPr>
                <w:rFonts w:cs="Arial"/>
                <w:szCs w:val="22"/>
              </w:rPr>
              <w:t>50%</w:t>
            </w:r>
          </w:p>
        </w:tc>
      </w:tr>
      <w:tr w:rsidR="00B44CCB" w:rsidRPr="001A1836" w14:paraId="10BFA210" w14:textId="77777777" w:rsidTr="000F4624">
        <w:tc>
          <w:tcPr>
            <w:tcW w:w="1950" w:type="dxa"/>
            <w:tcBorders>
              <w:top w:val="single" w:sz="4" w:space="0" w:color="auto"/>
              <w:left w:val="single" w:sz="4" w:space="0" w:color="auto"/>
              <w:bottom w:val="single" w:sz="4" w:space="0" w:color="auto"/>
              <w:right w:val="single" w:sz="4" w:space="0" w:color="auto"/>
            </w:tcBorders>
            <w:hideMark/>
          </w:tcPr>
          <w:p w14:paraId="31542B19" w14:textId="77777777" w:rsidR="00B44CCB" w:rsidRPr="001A1836" w:rsidRDefault="00B44CCB" w:rsidP="000F4624">
            <w:pPr>
              <w:rPr>
                <w:rFonts w:cs="Arial"/>
                <w:szCs w:val="22"/>
              </w:rPr>
            </w:pPr>
            <w:r w:rsidRPr="001A1836">
              <w:rPr>
                <w:rFonts w:cs="Arial"/>
                <w:szCs w:val="22"/>
              </w:rPr>
              <w:t>Major KPI Failure</w:t>
            </w:r>
          </w:p>
        </w:tc>
        <w:tc>
          <w:tcPr>
            <w:tcW w:w="4674" w:type="dxa"/>
            <w:tcBorders>
              <w:top w:val="single" w:sz="4" w:space="0" w:color="auto"/>
              <w:left w:val="single" w:sz="4" w:space="0" w:color="auto"/>
              <w:bottom w:val="single" w:sz="4" w:space="0" w:color="auto"/>
              <w:right w:val="single" w:sz="4" w:space="0" w:color="auto"/>
            </w:tcBorders>
            <w:hideMark/>
          </w:tcPr>
          <w:p w14:paraId="05063334" w14:textId="77777777" w:rsidR="00B44CCB" w:rsidRPr="001A1836" w:rsidRDefault="00B44CCB" w:rsidP="000F4624">
            <w:pPr>
              <w:rPr>
                <w:rFonts w:cs="Arial"/>
                <w:i/>
                <w:szCs w:val="22"/>
              </w:rPr>
            </w:pPr>
            <w:r>
              <w:rPr>
                <w:rFonts w:cs="Arial"/>
                <w:szCs w:val="22"/>
              </w:rPr>
              <w:t>Below 95% of agreed target</w:t>
            </w:r>
          </w:p>
        </w:tc>
        <w:tc>
          <w:tcPr>
            <w:tcW w:w="1898" w:type="dxa"/>
            <w:tcBorders>
              <w:top w:val="single" w:sz="4" w:space="0" w:color="auto"/>
              <w:left w:val="single" w:sz="4" w:space="0" w:color="auto"/>
              <w:bottom w:val="single" w:sz="4" w:space="0" w:color="auto"/>
              <w:right w:val="single" w:sz="4" w:space="0" w:color="auto"/>
            </w:tcBorders>
            <w:hideMark/>
          </w:tcPr>
          <w:p w14:paraId="59E7128D" w14:textId="77777777" w:rsidR="00B44CCB" w:rsidRPr="001A1836" w:rsidRDefault="00B44CCB" w:rsidP="000F4624">
            <w:pPr>
              <w:rPr>
                <w:rFonts w:cs="Arial"/>
                <w:szCs w:val="22"/>
              </w:rPr>
            </w:pPr>
            <w:r w:rsidRPr="001A1836">
              <w:rPr>
                <w:rFonts w:cs="Arial"/>
                <w:szCs w:val="22"/>
              </w:rPr>
              <w:t>100%</w:t>
            </w:r>
          </w:p>
        </w:tc>
      </w:tr>
    </w:tbl>
    <w:p w14:paraId="1594FCD0" w14:textId="6598B67B" w:rsidR="00B074CC" w:rsidRDefault="00B074CC" w:rsidP="00B44CCB">
      <w:pPr>
        <w:rPr>
          <w:rFonts w:cs="Arial"/>
          <w:b/>
        </w:rPr>
      </w:pPr>
    </w:p>
    <w:p w14:paraId="2E9D706A" w14:textId="5FBE3653" w:rsidR="00B44CCB" w:rsidRDefault="00B44CCB" w:rsidP="00B44CCB">
      <w:pPr>
        <w:rPr>
          <w:rFonts w:cs="Arial"/>
          <w:b/>
        </w:rPr>
      </w:pPr>
    </w:p>
    <w:p w14:paraId="1F36F9FA" w14:textId="49BB4393" w:rsidR="00B44CCB" w:rsidRDefault="00B44CCB" w:rsidP="00B44CCB">
      <w:pPr>
        <w:rPr>
          <w:rFonts w:cs="Arial"/>
          <w:b/>
        </w:rPr>
      </w:pPr>
    </w:p>
    <w:p w14:paraId="301C2E34" w14:textId="77777777" w:rsidR="00B44CCB" w:rsidRPr="001A1836" w:rsidRDefault="00B44CCB" w:rsidP="00B44CCB">
      <w:pPr>
        <w:rPr>
          <w:rFonts w:cs="Arial"/>
          <w:b/>
        </w:rPr>
      </w:pPr>
    </w:p>
    <w:p w14:paraId="03A8AB3B" w14:textId="77777777" w:rsidR="00B074CC" w:rsidRPr="001A1836" w:rsidRDefault="00B074CC" w:rsidP="00626054">
      <w:pPr>
        <w:spacing w:after="0"/>
        <w:rPr>
          <w:rFonts w:cs="Arial"/>
          <w:sz w:val="20"/>
          <w:szCs w:val="24"/>
        </w:rPr>
      </w:pPr>
    </w:p>
    <w:p w14:paraId="78BD96B9" w14:textId="77777777" w:rsidR="00B074CC" w:rsidRPr="001A1836" w:rsidRDefault="00B074CC" w:rsidP="00626054">
      <w:pPr>
        <w:spacing w:after="0"/>
        <w:rPr>
          <w:rFonts w:cs="Arial"/>
          <w:sz w:val="20"/>
          <w:szCs w:val="24"/>
        </w:rPr>
      </w:pPr>
      <w:r w:rsidRPr="001A1836">
        <w:rPr>
          <w:rFonts w:cs="Arial"/>
          <w:sz w:val="20"/>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4894"/>
        <w:gridCol w:w="1925"/>
      </w:tblGrid>
      <w:tr w:rsidR="008E18BD" w:rsidRPr="001A1836" w14:paraId="096020FD" w14:textId="77777777" w:rsidTr="00D279C3">
        <w:tc>
          <w:tcPr>
            <w:tcW w:w="1950" w:type="dxa"/>
            <w:tcBorders>
              <w:top w:val="single" w:sz="4" w:space="0" w:color="auto"/>
              <w:left w:val="single" w:sz="4" w:space="0" w:color="auto"/>
              <w:bottom w:val="single" w:sz="4" w:space="0" w:color="auto"/>
              <w:right w:val="single" w:sz="4" w:space="0" w:color="auto"/>
            </w:tcBorders>
            <w:hideMark/>
          </w:tcPr>
          <w:p w14:paraId="1C4C426D" w14:textId="77777777" w:rsidR="00B074CC" w:rsidRPr="001A1836" w:rsidRDefault="00B074CC" w:rsidP="00626054">
            <w:pPr>
              <w:rPr>
                <w:rFonts w:cs="Arial"/>
                <w:b/>
                <w:szCs w:val="22"/>
              </w:rPr>
            </w:pPr>
            <w:r w:rsidRPr="001A1836">
              <w:rPr>
                <w:rFonts w:cs="Arial"/>
                <w:b/>
                <w:szCs w:val="22"/>
              </w:rPr>
              <w:lastRenderedPageBreak/>
              <w:t xml:space="preserve">KPI 02 </w:t>
            </w:r>
          </w:p>
        </w:tc>
        <w:tc>
          <w:tcPr>
            <w:tcW w:w="6819" w:type="dxa"/>
            <w:gridSpan w:val="2"/>
            <w:tcBorders>
              <w:top w:val="single" w:sz="4" w:space="0" w:color="auto"/>
              <w:left w:val="single" w:sz="4" w:space="0" w:color="auto"/>
              <w:bottom w:val="single" w:sz="4" w:space="0" w:color="auto"/>
              <w:right w:val="single" w:sz="4" w:space="0" w:color="auto"/>
            </w:tcBorders>
            <w:hideMark/>
          </w:tcPr>
          <w:p w14:paraId="349D15F5" w14:textId="77777777" w:rsidR="00B074CC" w:rsidRPr="001A1836" w:rsidRDefault="00B074CC" w:rsidP="00626054">
            <w:pPr>
              <w:rPr>
                <w:rFonts w:cs="Arial"/>
                <w:b/>
                <w:szCs w:val="22"/>
              </w:rPr>
            </w:pPr>
            <w:r w:rsidRPr="001A1836">
              <w:rPr>
                <w:rFonts w:cs="Arial"/>
                <w:b/>
                <w:szCs w:val="22"/>
              </w:rPr>
              <w:t>Consumer Satisfaction with the Service</w:t>
            </w:r>
          </w:p>
        </w:tc>
      </w:tr>
      <w:tr w:rsidR="008E18BD" w:rsidRPr="001A1836" w14:paraId="0F8D9E05" w14:textId="77777777" w:rsidTr="00D279C3">
        <w:tc>
          <w:tcPr>
            <w:tcW w:w="1950" w:type="dxa"/>
            <w:tcBorders>
              <w:top w:val="single" w:sz="4" w:space="0" w:color="auto"/>
              <w:left w:val="single" w:sz="4" w:space="0" w:color="auto"/>
              <w:bottom w:val="single" w:sz="4" w:space="0" w:color="auto"/>
              <w:right w:val="single" w:sz="4" w:space="0" w:color="auto"/>
            </w:tcBorders>
            <w:hideMark/>
          </w:tcPr>
          <w:p w14:paraId="47DE3A3D" w14:textId="77777777" w:rsidR="00B074CC" w:rsidRPr="001A1836" w:rsidRDefault="00B074CC" w:rsidP="00626054">
            <w:pPr>
              <w:rPr>
                <w:rFonts w:cs="Arial"/>
                <w:szCs w:val="22"/>
              </w:rPr>
            </w:pPr>
            <w:r w:rsidRPr="001A1836">
              <w:rPr>
                <w:rFonts w:cs="Arial"/>
                <w:szCs w:val="22"/>
              </w:rPr>
              <w:t xml:space="preserve">KPI description </w:t>
            </w:r>
          </w:p>
        </w:tc>
        <w:tc>
          <w:tcPr>
            <w:tcW w:w="6819" w:type="dxa"/>
            <w:gridSpan w:val="2"/>
            <w:tcBorders>
              <w:top w:val="single" w:sz="4" w:space="0" w:color="auto"/>
              <w:left w:val="single" w:sz="4" w:space="0" w:color="auto"/>
              <w:bottom w:val="single" w:sz="4" w:space="0" w:color="auto"/>
              <w:right w:val="single" w:sz="4" w:space="0" w:color="auto"/>
            </w:tcBorders>
            <w:hideMark/>
          </w:tcPr>
          <w:p w14:paraId="7AF47731" w14:textId="2475B837" w:rsidR="00B074CC" w:rsidRPr="001A1836" w:rsidRDefault="00B767BB" w:rsidP="00B767BB">
            <w:pPr>
              <w:rPr>
                <w:rFonts w:cs="Arial"/>
                <w:i/>
                <w:szCs w:val="22"/>
              </w:rPr>
            </w:pPr>
            <w:r w:rsidRPr="001A1836">
              <w:rPr>
                <w:rFonts w:cs="Arial"/>
                <w:kern w:val="0"/>
                <w:szCs w:val="22"/>
              </w:rPr>
              <w:t>Measuring levels of consumer satisfaction with the GSR service to ensure consistently good levels of satisfaction are maintained across all consumer touchpoints.</w:t>
            </w:r>
            <w:r w:rsidRPr="001A1836" w:rsidDel="00B767BB">
              <w:rPr>
                <w:rFonts w:cs="Arial"/>
                <w:i/>
                <w:szCs w:val="22"/>
              </w:rPr>
              <w:t xml:space="preserve"> </w:t>
            </w:r>
          </w:p>
        </w:tc>
      </w:tr>
      <w:tr w:rsidR="008E18BD" w:rsidRPr="001A1836" w14:paraId="16A3052A" w14:textId="77777777" w:rsidTr="00D279C3">
        <w:tc>
          <w:tcPr>
            <w:tcW w:w="1950" w:type="dxa"/>
            <w:tcBorders>
              <w:top w:val="single" w:sz="4" w:space="0" w:color="auto"/>
              <w:left w:val="single" w:sz="4" w:space="0" w:color="auto"/>
              <w:bottom w:val="single" w:sz="4" w:space="0" w:color="auto"/>
              <w:right w:val="single" w:sz="4" w:space="0" w:color="auto"/>
            </w:tcBorders>
            <w:hideMark/>
          </w:tcPr>
          <w:p w14:paraId="46F3EC2D" w14:textId="77777777" w:rsidR="00B074CC" w:rsidRPr="001A1836" w:rsidRDefault="00B074CC" w:rsidP="00626054">
            <w:pPr>
              <w:rPr>
                <w:rFonts w:cs="Arial"/>
                <w:szCs w:val="22"/>
              </w:rPr>
            </w:pPr>
            <w:r w:rsidRPr="001A1836">
              <w:rPr>
                <w:rFonts w:cs="Arial"/>
                <w:szCs w:val="22"/>
              </w:rPr>
              <w:t xml:space="preserve">KPI methodology </w:t>
            </w:r>
          </w:p>
        </w:tc>
        <w:tc>
          <w:tcPr>
            <w:tcW w:w="6819" w:type="dxa"/>
            <w:gridSpan w:val="2"/>
            <w:tcBorders>
              <w:top w:val="single" w:sz="4" w:space="0" w:color="auto"/>
              <w:left w:val="single" w:sz="4" w:space="0" w:color="auto"/>
              <w:bottom w:val="single" w:sz="4" w:space="0" w:color="auto"/>
              <w:right w:val="single" w:sz="4" w:space="0" w:color="auto"/>
            </w:tcBorders>
          </w:tcPr>
          <w:p w14:paraId="380769E8" w14:textId="77777777" w:rsidR="00CF3D86" w:rsidRDefault="00CF3D86" w:rsidP="00CF3D86">
            <w:pPr>
              <w:rPr>
                <w:rFonts w:cs="Arial"/>
                <w:kern w:val="0"/>
                <w:szCs w:val="22"/>
              </w:rPr>
            </w:pPr>
            <w:r>
              <w:rPr>
                <w:rFonts w:cs="Arial"/>
                <w:kern w:val="0"/>
                <w:szCs w:val="22"/>
              </w:rPr>
              <w:t xml:space="preserve">Mixed method surveying consumers who interact with any of the following touchpoints: </w:t>
            </w:r>
          </w:p>
          <w:p w14:paraId="0F76C36C" w14:textId="77777777" w:rsidR="00CF3D86" w:rsidRDefault="00CF3D86" w:rsidP="00CF3D86">
            <w:pPr>
              <w:pStyle w:val="ListParagraph"/>
              <w:numPr>
                <w:ilvl w:val="0"/>
                <w:numId w:val="32"/>
              </w:numPr>
              <w:rPr>
                <w:rFonts w:cs="Arial"/>
              </w:rPr>
            </w:pPr>
            <w:r w:rsidRPr="00086AC8">
              <w:rPr>
                <w:rFonts w:cs="Arial"/>
              </w:rPr>
              <w:t>Correspondence</w:t>
            </w:r>
            <w:r>
              <w:rPr>
                <w:rFonts w:cs="Arial"/>
              </w:rPr>
              <w:t xml:space="preserve"> (email/letter)</w:t>
            </w:r>
          </w:p>
          <w:p w14:paraId="5A33CD6A" w14:textId="77777777" w:rsidR="00CF3D86" w:rsidRDefault="00CF3D86" w:rsidP="00CF3D86">
            <w:pPr>
              <w:pStyle w:val="ListParagraph"/>
              <w:numPr>
                <w:ilvl w:val="0"/>
                <w:numId w:val="32"/>
              </w:numPr>
              <w:rPr>
                <w:rFonts w:cs="Arial"/>
              </w:rPr>
            </w:pPr>
            <w:r>
              <w:rPr>
                <w:rFonts w:cs="Arial"/>
              </w:rPr>
              <w:t>Face-to-face (inspections) captured via inspection leaflets</w:t>
            </w:r>
          </w:p>
          <w:p w14:paraId="105C4AC8" w14:textId="77777777" w:rsidR="00CF3D86" w:rsidRDefault="00CF3D86" w:rsidP="00CF3D86">
            <w:pPr>
              <w:pStyle w:val="ListParagraph"/>
              <w:numPr>
                <w:ilvl w:val="0"/>
                <w:numId w:val="32"/>
              </w:numPr>
              <w:rPr>
                <w:rFonts w:cs="Arial"/>
              </w:rPr>
            </w:pPr>
            <w:r>
              <w:rPr>
                <w:rFonts w:cs="Arial"/>
              </w:rPr>
              <w:t>Telephone</w:t>
            </w:r>
          </w:p>
          <w:p w14:paraId="3FAD8404" w14:textId="77777777" w:rsidR="00CF3D86" w:rsidRPr="00086AC8" w:rsidRDefault="00CF3D86" w:rsidP="00CF3D86">
            <w:pPr>
              <w:pStyle w:val="ListParagraph"/>
              <w:numPr>
                <w:ilvl w:val="0"/>
                <w:numId w:val="32"/>
              </w:numPr>
              <w:rPr>
                <w:rFonts w:cs="Arial"/>
              </w:rPr>
            </w:pPr>
            <w:r>
              <w:rPr>
                <w:rFonts w:cs="Arial"/>
              </w:rPr>
              <w:t>Website</w:t>
            </w:r>
          </w:p>
          <w:p w14:paraId="35FBC435" w14:textId="4D7DFC0A" w:rsidR="00B074CC" w:rsidRPr="001A1836" w:rsidRDefault="00B767BB" w:rsidP="00B767BB">
            <w:pPr>
              <w:rPr>
                <w:rFonts w:cs="Arial"/>
                <w:i/>
                <w:szCs w:val="22"/>
              </w:rPr>
            </w:pPr>
            <w:r w:rsidRPr="001A1836" w:rsidDel="00B767BB">
              <w:rPr>
                <w:rFonts w:cs="Arial"/>
                <w:i/>
                <w:szCs w:val="22"/>
              </w:rPr>
              <w:t xml:space="preserve"> </w:t>
            </w:r>
          </w:p>
        </w:tc>
      </w:tr>
      <w:tr w:rsidR="008E18BD" w:rsidRPr="001A1836" w14:paraId="77ED5E2D" w14:textId="77777777" w:rsidTr="00D279C3">
        <w:tc>
          <w:tcPr>
            <w:tcW w:w="1950" w:type="dxa"/>
            <w:tcBorders>
              <w:top w:val="single" w:sz="4" w:space="0" w:color="auto"/>
              <w:left w:val="single" w:sz="4" w:space="0" w:color="auto"/>
              <w:bottom w:val="single" w:sz="4" w:space="0" w:color="auto"/>
              <w:right w:val="single" w:sz="4" w:space="0" w:color="auto"/>
            </w:tcBorders>
          </w:tcPr>
          <w:p w14:paraId="0709E2EB" w14:textId="77777777" w:rsidR="00B074CC" w:rsidRPr="001A1836" w:rsidRDefault="00B074CC" w:rsidP="00626054">
            <w:pPr>
              <w:rPr>
                <w:rFonts w:cs="Arial"/>
                <w:szCs w:val="22"/>
              </w:rPr>
            </w:pPr>
            <w:r w:rsidRPr="001A1836">
              <w:rPr>
                <w:rFonts w:cs="Arial"/>
                <w:szCs w:val="22"/>
              </w:rPr>
              <w:t>Data capture</w:t>
            </w:r>
          </w:p>
        </w:tc>
        <w:tc>
          <w:tcPr>
            <w:tcW w:w="6819" w:type="dxa"/>
            <w:gridSpan w:val="2"/>
            <w:tcBorders>
              <w:top w:val="single" w:sz="4" w:space="0" w:color="auto"/>
              <w:left w:val="single" w:sz="4" w:space="0" w:color="auto"/>
              <w:bottom w:val="single" w:sz="4" w:space="0" w:color="auto"/>
              <w:right w:val="single" w:sz="4" w:space="0" w:color="auto"/>
            </w:tcBorders>
          </w:tcPr>
          <w:p w14:paraId="1B3FD4C9" w14:textId="77777777" w:rsidR="00CF3D86" w:rsidRDefault="00CF3D86" w:rsidP="00CF3D86">
            <w:pPr>
              <w:rPr>
                <w:rFonts w:cs="Arial"/>
                <w:kern w:val="0"/>
                <w:szCs w:val="22"/>
              </w:rPr>
            </w:pPr>
            <w:r>
              <w:rPr>
                <w:rFonts w:cs="Arial"/>
                <w:kern w:val="0"/>
                <w:szCs w:val="22"/>
              </w:rPr>
              <w:t>For the KPI survey to be statistically robust there needs to be a minimum 1000 completed surveys per year.</w:t>
            </w:r>
          </w:p>
          <w:p w14:paraId="7AD2EA46" w14:textId="3E8ADEE0" w:rsidR="00CF3D86" w:rsidRDefault="00CF3D86" w:rsidP="00CF3D86">
            <w:pPr>
              <w:rPr>
                <w:rFonts w:cs="Arial"/>
                <w:kern w:val="0"/>
                <w:szCs w:val="22"/>
              </w:rPr>
            </w:pPr>
            <w:r>
              <w:rPr>
                <w:rFonts w:cs="Arial"/>
                <w:kern w:val="0"/>
                <w:szCs w:val="22"/>
              </w:rPr>
              <w:t xml:space="preserve">The quarterly volume target of interviews conducted by </w:t>
            </w:r>
            <w:r w:rsidR="00C10FC6">
              <w:rPr>
                <w:rFonts w:cs="Arial"/>
                <w:kern w:val="0"/>
                <w:szCs w:val="22"/>
              </w:rPr>
              <w:t xml:space="preserve">the Provider's appointed survey consultant </w:t>
            </w:r>
            <w:r>
              <w:rPr>
                <w:rFonts w:cs="Arial"/>
                <w:kern w:val="0"/>
                <w:szCs w:val="22"/>
              </w:rPr>
              <w:t>will be 900, inclusive of CATI. The Provider will reasonably endeavour to achieve 1800 completed surveys per year, split across all touchpoints and then weighted using the agreed weighting set out in the KPI calculation.</w:t>
            </w:r>
          </w:p>
          <w:p w14:paraId="087275AC" w14:textId="709516AE" w:rsidR="00CF3D86" w:rsidRDefault="00CF3D86" w:rsidP="00CF3D86">
            <w:pPr>
              <w:rPr>
                <w:rFonts w:cs="Arial"/>
                <w:kern w:val="0"/>
                <w:szCs w:val="22"/>
              </w:rPr>
            </w:pPr>
            <w:r>
              <w:rPr>
                <w:rFonts w:cs="Arial"/>
                <w:kern w:val="0"/>
                <w:szCs w:val="22"/>
              </w:rPr>
              <w:t xml:space="preserve">It is acknowledged by both Parties that the use of surveys has become more challenging due to GDPR constraints and the requirement for survey participants to have opted into being contacted by the Register and/or </w:t>
            </w:r>
            <w:r w:rsidR="00C10FC6">
              <w:rPr>
                <w:rFonts w:cs="Arial"/>
                <w:kern w:val="0"/>
                <w:szCs w:val="22"/>
              </w:rPr>
              <w:t>the Provider's appointed survey consultant</w:t>
            </w:r>
            <w:r>
              <w:rPr>
                <w:rFonts w:cs="Arial"/>
                <w:kern w:val="0"/>
                <w:szCs w:val="22"/>
              </w:rPr>
              <w:t xml:space="preserve"> may have an impact on the number of completed surveys per annum.</w:t>
            </w:r>
          </w:p>
          <w:p w14:paraId="4C64B769" w14:textId="5AB7E21C" w:rsidR="00B767BB" w:rsidRPr="001A1836" w:rsidRDefault="00CF3D86" w:rsidP="00CF3D86">
            <w:pPr>
              <w:rPr>
                <w:rFonts w:cs="Arial"/>
                <w:kern w:val="0"/>
                <w:szCs w:val="22"/>
              </w:rPr>
            </w:pPr>
            <w:r>
              <w:rPr>
                <w:rFonts w:cs="Arial"/>
                <w:kern w:val="0"/>
                <w:szCs w:val="22"/>
              </w:rPr>
              <w:t xml:space="preserve">Both Parties agree that should this metric become unsustainable due to the reliance on a minimum volume of responses, supporting evidence shall be provided and both Parties shall discuss and agree revisions to KPI 2 at the annual service review. </w:t>
            </w:r>
          </w:p>
          <w:p w14:paraId="0A94577F" w14:textId="4F0EDAB5" w:rsidR="00B074CC" w:rsidRPr="001A1836" w:rsidRDefault="00B767BB" w:rsidP="00B767BB">
            <w:pPr>
              <w:rPr>
                <w:rFonts w:cs="Arial"/>
                <w:i/>
                <w:szCs w:val="22"/>
              </w:rPr>
            </w:pPr>
            <w:r w:rsidRPr="001A1836" w:rsidDel="00B767BB">
              <w:rPr>
                <w:rFonts w:cs="Arial"/>
                <w:i/>
                <w:szCs w:val="22"/>
              </w:rPr>
              <w:t xml:space="preserve"> </w:t>
            </w:r>
          </w:p>
        </w:tc>
      </w:tr>
      <w:tr w:rsidR="008E18BD" w:rsidRPr="001A1836" w14:paraId="6CCC9208" w14:textId="77777777" w:rsidTr="00D279C3">
        <w:tc>
          <w:tcPr>
            <w:tcW w:w="1950" w:type="dxa"/>
            <w:tcBorders>
              <w:top w:val="single" w:sz="4" w:space="0" w:color="auto"/>
              <w:left w:val="single" w:sz="4" w:space="0" w:color="auto"/>
              <w:bottom w:val="single" w:sz="4" w:space="0" w:color="auto"/>
              <w:right w:val="single" w:sz="4" w:space="0" w:color="auto"/>
            </w:tcBorders>
          </w:tcPr>
          <w:p w14:paraId="6842E9A5" w14:textId="77777777" w:rsidR="00B074CC" w:rsidRPr="001A1836" w:rsidRDefault="00B074CC" w:rsidP="00626054">
            <w:pPr>
              <w:rPr>
                <w:rFonts w:cs="Arial"/>
                <w:szCs w:val="22"/>
              </w:rPr>
            </w:pPr>
            <w:r w:rsidRPr="001A1836">
              <w:rPr>
                <w:rFonts w:cs="Arial"/>
                <w:szCs w:val="22"/>
              </w:rPr>
              <w:t>KPI calculation</w:t>
            </w:r>
          </w:p>
        </w:tc>
        <w:tc>
          <w:tcPr>
            <w:tcW w:w="6819" w:type="dxa"/>
            <w:gridSpan w:val="2"/>
            <w:tcBorders>
              <w:top w:val="single" w:sz="4" w:space="0" w:color="auto"/>
              <w:left w:val="single" w:sz="4" w:space="0" w:color="auto"/>
              <w:bottom w:val="single" w:sz="4" w:space="0" w:color="auto"/>
              <w:right w:val="single" w:sz="4" w:space="0" w:color="auto"/>
            </w:tcBorders>
          </w:tcPr>
          <w:p w14:paraId="24962155" w14:textId="77777777" w:rsidR="00CF3D86" w:rsidRDefault="00CF3D86" w:rsidP="00CF3D86">
            <w:pPr>
              <w:rPr>
                <w:rFonts w:cs="Arial"/>
                <w:kern w:val="0"/>
                <w:szCs w:val="22"/>
              </w:rPr>
            </w:pPr>
            <w:r>
              <w:rPr>
                <w:rFonts w:cs="Arial"/>
                <w:kern w:val="0"/>
                <w:szCs w:val="22"/>
              </w:rPr>
              <w:t>The KPI 2 score will be derived from two areas:</w:t>
            </w:r>
          </w:p>
          <w:p w14:paraId="2E899239" w14:textId="77777777" w:rsidR="00CF3D86" w:rsidRDefault="00CF3D86" w:rsidP="00CF3D86">
            <w:pPr>
              <w:rPr>
                <w:rFonts w:cs="Arial"/>
                <w:kern w:val="0"/>
                <w:szCs w:val="22"/>
              </w:rPr>
            </w:pPr>
          </w:p>
          <w:p w14:paraId="6EBB4E19" w14:textId="22941337" w:rsidR="00CF3D86" w:rsidRDefault="00CF3D86" w:rsidP="00CF3D86">
            <w:pPr>
              <w:pStyle w:val="ListParagraph"/>
              <w:numPr>
                <w:ilvl w:val="1"/>
                <w:numId w:val="18"/>
              </w:numPr>
              <w:ind w:left="720"/>
              <w:rPr>
                <w:rFonts w:cs="Arial"/>
              </w:rPr>
            </w:pPr>
            <w:r w:rsidRPr="00E446F0">
              <w:rPr>
                <w:rFonts w:cs="Arial"/>
                <w:b/>
              </w:rPr>
              <w:t>80% of the overall KPI score</w:t>
            </w:r>
            <w:r>
              <w:rPr>
                <w:rFonts w:cs="Arial"/>
              </w:rPr>
              <w:t xml:space="preserve"> will be from results captured through a survey carried out by </w:t>
            </w:r>
            <w:r w:rsidR="00C10FC6">
              <w:rPr>
                <w:rFonts w:cs="Arial"/>
              </w:rPr>
              <w:t>the Provider's appointed survey consultant</w:t>
            </w:r>
            <w:r w:rsidR="00C10FC6" w:rsidDel="00C10FC6">
              <w:rPr>
                <w:rFonts w:cs="Arial"/>
              </w:rPr>
              <w:t xml:space="preserve"> </w:t>
            </w:r>
            <w:r>
              <w:rPr>
                <w:rFonts w:cs="Arial"/>
              </w:rPr>
              <w:t xml:space="preserve"> that will measure the overall satisfaction of each consumer touchpoint within the Register.</w:t>
            </w:r>
          </w:p>
          <w:p w14:paraId="22B01A88" w14:textId="77777777" w:rsidR="00CF3D86" w:rsidRDefault="00CF3D86" w:rsidP="00CF3D86">
            <w:pPr>
              <w:pStyle w:val="ListParagraph"/>
              <w:rPr>
                <w:rFonts w:cs="Arial"/>
              </w:rPr>
            </w:pPr>
          </w:p>
          <w:p w14:paraId="58F69A36" w14:textId="77777777" w:rsidR="00CF3D86" w:rsidRDefault="00CF3D86" w:rsidP="00CF3D86">
            <w:pPr>
              <w:pStyle w:val="ListParagraph"/>
              <w:rPr>
                <w:rFonts w:cs="Arial"/>
              </w:rPr>
            </w:pPr>
            <w:r>
              <w:rPr>
                <w:rFonts w:cs="Arial"/>
              </w:rPr>
              <w:t xml:space="preserve">KPI 2 is measured using one question: </w:t>
            </w:r>
            <w:r w:rsidRPr="000B6C92">
              <w:rPr>
                <w:rFonts w:cs="Arial"/>
                <w:b/>
              </w:rPr>
              <w:t>Overall, how satisfied are you with your most recent experience of Gas Safe Register?</w:t>
            </w:r>
          </w:p>
          <w:p w14:paraId="0786FC69" w14:textId="77777777" w:rsidR="00CF3D86" w:rsidRDefault="00CF3D86" w:rsidP="00CF3D86">
            <w:pPr>
              <w:pStyle w:val="ListParagraph"/>
              <w:rPr>
                <w:rFonts w:cs="Arial"/>
              </w:rPr>
            </w:pPr>
          </w:p>
          <w:p w14:paraId="608E061C" w14:textId="77777777" w:rsidR="00CF3D86" w:rsidRDefault="00CF3D86" w:rsidP="00CF3D86">
            <w:pPr>
              <w:pStyle w:val="ListParagraph"/>
              <w:rPr>
                <w:rFonts w:cs="Arial"/>
              </w:rPr>
            </w:pPr>
            <w:r>
              <w:rPr>
                <w:rFonts w:cs="Arial"/>
              </w:rPr>
              <w:t>Participants answer on a scale of 1 to 10 where 1 means ‘very dissatisfied’ and 10 means ‘very satisfied’.</w:t>
            </w:r>
          </w:p>
          <w:p w14:paraId="438D4254" w14:textId="77777777" w:rsidR="00CF3D86" w:rsidRDefault="00CF3D86" w:rsidP="00CF3D86">
            <w:pPr>
              <w:pStyle w:val="ListParagraph"/>
              <w:rPr>
                <w:rFonts w:cs="Arial"/>
              </w:rPr>
            </w:pPr>
          </w:p>
          <w:p w14:paraId="1D366869" w14:textId="77777777" w:rsidR="00CF3D86" w:rsidRDefault="00CF3D86" w:rsidP="00CF3D86">
            <w:pPr>
              <w:pStyle w:val="ListParagraph"/>
              <w:rPr>
                <w:rFonts w:cs="Arial"/>
              </w:rPr>
            </w:pPr>
            <w:r>
              <w:rPr>
                <w:rFonts w:cs="Arial"/>
              </w:rPr>
              <w:t>Overall score for this element will be calculated as:</w:t>
            </w:r>
          </w:p>
          <w:p w14:paraId="4B503A18" w14:textId="77777777" w:rsidR="00CF3D86" w:rsidRDefault="00CF3D86" w:rsidP="00CF3D86">
            <w:pPr>
              <w:pStyle w:val="ListParagraph"/>
              <w:rPr>
                <w:rFonts w:cs="Arial"/>
                <w:b/>
              </w:rPr>
            </w:pPr>
          </w:p>
          <w:p w14:paraId="5FD17C2A" w14:textId="77777777" w:rsidR="00CF3D86" w:rsidRPr="000B6C92" w:rsidRDefault="00CF3D86" w:rsidP="00CF3D86">
            <w:pPr>
              <w:pStyle w:val="ListParagraph"/>
              <w:rPr>
                <w:rFonts w:cs="Arial"/>
                <w:b/>
              </w:rPr>
            </w:pPr>
            <w:r w:rsidRPr="000B6C92">
              <w:rPr>
                <w:rFonts w:cs="Arial"/>
                <w:b/>
              </w:rPr>
              <w:t>Mean score x 10 = % satisfied</w:t>
            </w:r>
          </w:p>
          <w:p w14:paraId="0295421C" w14:textId="77777777" w:rsidR="00CF3D86" w:rsidRDefault="00CF3D86" w:rsidP="00CF3D86">
            <w:pPr>
              <w:pStyle w:val="ListParagraph"/>
              <w:rPr>
                <w:rFonts w:cs="Arial"/>
              </w:rPr>
            </w:pPr>
          </w:p>
          <w:p w14:paraId="3315E066" w14:textId="77777777" w:rsidR="00CF3D86" w:rsidRDefault="00CF3D86" w:rsidP="00CF3D86">
            <w:pPr>
              <w:pStyle w:val="ListParagraph"/>
              <w:rPr>
                <w:rFonts w:cs="Arial"/>
              </w:rPr>
            </w:pPr>
            <w:r>
              <w:rPr>
                <w:rFonts w:cs="Arial"/>
              </w:rPr>
              <w:lastRenderedPageBreak/>
              <w:t>Data comes from a variety of different channels – links within emails sent out by Gas Safe Register, pop up and other links on the website and telephone interviews with those who have already made contract by phone. In order to make sure that the result reflects the reality of ways in which consumers make contact, the data is weighted.</w:t>
            </w:r>
          </w:p>
          <w:p w14:paraId="694E73AF" w14:textId="77777777" w:rsidR="00CF3D86" w:rsidRDefault="00CF3D86" w:rsidP="00CF3D86">
            <w:pPr>
              <w:pStyle w:val="ListParagraph"/>
              <w:rPr>
                <w:rFonts w:cs="Arial"/>
              </w:rPr>
            </w:pPr>
          </w:p>
          <w:p w14:paraId="01B8EE20" w14:textId="77777777" w:rsidR="00CF3D86" w:rsidRDefault="00CF3D86" w:rsidP="00CF3D86">
            <w:pPr>
              <w:pStyle w:val="ListParagraph"/>
              <w:rPr>
                <w:rFonts w:cs="Arial"/>
              </w:rPr>
            </w:pPr>
            <w:r>
              <w:rPr>
                <w:rFonts w:cs="Arial"/>
              </w:rPr>
              <w:t>Results will be from the following channels and associated weightings:</w:t>
            </w:r>
          </w:p>
          <w:p w14:paraId="2E93E42B" w14:textId="77777777" w:rsidR="00CF3D86" w:rsidRDefault="00CF3D86" w:rsidP="00CF3D86">
            <w:pPr>
              <w:pStyle w:val="ListParagraph"/>
              <w:rPr>
                <w:rFonts w:cs="Arial"/>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4"/>
              <w:gridCol w:w="2839"/>
            </w:tblGrid>
            <w:tr w:rsidR="00CF3D86" w14:paraId="2D0EFFBB" w14:textId="77777777" w:rsidTr="00CF3D86">
              <w:tc>
                <w:tcPr>
                  <w:tcW w:w="3294" w:type="dxa"/>
                </w:tcPr>
                <w:p w14:paraId="7AA51558" w14:textId="77777777" w:rsidR="00CF3D86" w:rsidRDefault="00CF3D86" w:rsidP="00CF3D86">
                  <w:pPr>
                    <w:pStyle w:val="ListParagraph"/>
                    <w:ind w:left="0"/>
                    <w:rPr>
                      <w:rFonts w:cs="Arial"/>
                    </w:rPr>
                  </w:pPr>
                  <w:r>
                    <w:rPr>
                      <w:rFonts w:cs="Arial"/>
                    </w:rPr>
                    <w:t>Website</w:t>
                  </w:r>
                </w:p>
              </w:tc>
              <w:tc>
                <w:tcPr>
                  <w:tcW w:w="3294" w:type="dxa"/>
                </w:tcPr>
                <w:p w14:paraId="2A30CC01" w14:textId="77777777" w:rsidR="00CF3D86" w:rsidRDefault="00CF3D86" w:rsidP="00CF3D86">
                  <w:pPr>
                    <w:pStyle w:val="ListParagraph"/>
                    <w:ind w:left="0"/>
                    <w:jc w:val="right"/>
                    <w:rPr>
                      <w:rFonts w:cs="Arial"/>
                    </w:rPr>
                  </w:pPr>
                  <w:r>
                    <w:rPr>
                      <w:rFonts w:cs="Arial"/>
                    </w:rPr>
                    <w:t>77%</w:t>
                  </w:r>
                </w:p>
              </w:tc>
            </w:tr>
            <w:tr w:rsidR="00CF3D86" w14:paraId="4F165B90" w14:textId="77777777" w:rsidTr="00CF3D86">
              <w:tc>
                <w:tcPr>
                  <w:tcW w:w="3294" w:type="dxa"/>
                </w:tcPr>
                <w:p w14:paraId="337579B5" w14:textId="77777777" w:rsidR="00CF3D86" w:rsidRDefault="00CF3D86" w:rsidP="00CF3D86">
                  <w:pPr>
                    <w:pStyle w:val="ListParagraph"/>
                    <w:ind w:left="0"/>
                    <w:rPr>
                      <w:rFonts w:cs="Arial"/>
                    </w:rPr>
                  </w:pPr>
                  <w:r>
                    <w:rPr>
                      <w:rFonts w:cs="Arial"/>
                    </w:rPr>
                    <w:t>Inspection</w:t>
                  </w:r>
                </w:p>
              </w:tc>
              <w:tc>
                <w:tcPr>
                  <w:tcW w:w="3294" w:type="dxa"/>
                </w:tcPr>
                <w:p w14:paraId="3CCAE740" w14:textId="77777777" w:rsidR="00CF3D86" w:rsidRDefault="00CF3D86" w:rsidP="00CF3D86">
                  <w:pPr>
                    <w:pStyle w:val="ListParagraph"/>
                    <w:ind w:left="0"/>
                    <w:jc w:val="right"/>
                    <w:rPr>
                      <w:rFonts w:cs="Arial"/>
                    </w:rPr>
                  </w:pPr>
                  <w:r>
                    <w:rPr>
                      <w:rFonts w:cs="Arial"/>
                    </w:rPr>
                    <w:t>14%</w:t>
                  </w:r>
                </w:p>
              </w:tc>
            </w:tr>
            <w:tr w:rsidR="00CF3D86" w14:paraId="3D6DCEA1" w14:textId="77777777" w:rsidTr="00CF3D86">
              <w:tc>
                <w:tcPr>
                  <w:tcW w:w="3294" w:type="dxa"/>
                </w:tcPr>
                <w:p w14:paraId="27C390EF" w14:textId="77777777" w:rsidR="00CF3D86" w:rsidRDefault="00CF3D86" w:rsidP="00CF3D86">
                  <w:pPr>
                    <w:pStyle w:val="ListParagraph"/>
                    <w:ind w:left="0"/>
                    <w:rPr>
                      <w:rFonts w:cs="Arial"/>
                    </w:rPr>
                  </w:pPr>
                  <w:r>
                    <w:rPr>
                      <w:rFonts w:cs="Arial"/>
                    </w:rPr>
                    <w:t>Correspondence</w:t>
                  </w:r>
                </w:p>
              </w:tc>
              <w:tc>
                <w:tcPr>
                  <w:tcW w:w="3294" w:type="dxa"/>
                </w:tcPr>
                <w:p w14:paraId="149BF0B3" w14:textId="77777777" w:rsidR="00CF3D86" w:rsidRDefault="00CF3D86" w:rsidP="00CF3D86">
                  <w:pPr>
                    <w:pStyle w:val="ListParagraph"/>
                    <w:ind w:left="0"/>
                    <w:jc w:val="right"/>
                    <w:rPr>
                      <w:rFonts w:cs="Arial"/>
                    </w:rPr>
                  </w:pPr>
                  <w:r>
                    <w:rPr>
                      <w:rFonts w:cs="Arial"/>
                    </w:rPr>
                    <w:t>9%</w:t>
                  </w:r>
                </w:p>
              </w:tc>
            </w:tr>
          </w:tbl>
          <w:p w14:paraId="389CDAE5" w14:textId="77777777" w:rsidR="00CF3D86" w:rsidRPr="00EA5541" w:rsidRDefault="00CF3D86" w:rsidP="00CF3D86">
            <w:pPr>
              <w:rPr>
                <w:rFonts w:cs="Arial"/>
              </w:rPr>
            </w:pPr>
          </w:p>
          <w:p w14:paraId="748645F3" w14:textId="77777777" w:rsidR="00CF3D86" w:rsidRDefault="00CF3D86" w:rsidP="00CF3D86">
            <w:pPr>
              <w:pStyle w:val="ListParagraph"/>
              <w:numPr>
                <w:ilvl w:val="1"/>
                <w:numId w:val="18"/>
              </w:numPr>
              <w:ind w:left="720"/>
              <w:rPr>
                <w:rFonts w:cs="Arial"/>
              </w:rPr>
            </w:pPr>
            <w:r w:rsidRPr="00EA5541">
              <w:rPr>
                <w:rFonts w:cs="Arial"/>
                <w:b/>
              </w:rPr>
              <w:t>20% of the overall KPI score</w:t>
            </w:r>
            <w:r>
              <w:rPr>
                <w:rFonts w:cs="Arial"/>
              </w:rPr>
              <w:t xml:space="preserve"> will be derived from the Interactive Voice Response (IVR) polling results.</w:t>
            </w:r>
          </w:p>
          <w:p w14:paraId="5E367569" w14:textId="77777777" w:rsidR="00CF3D86" w:rsidRDefault="00CF3D86" w:rsidP="00CF3D86">
            <w:pPr>
              <w:pStyle w:val="ListParagraph"/>
              <w:rPr>
                <w:rFonts w:cs="Arial"/>
              </w:rPr>
            </w:pPr>
          </w:p>
          <w:p w14:paraId="6A4319FA" w14:textId="77777777" w:rsidR="00CF3D86" w:rsidRDefault="00CF3D86" w:rsidP="00CF3D86">
            <w:pPr>
              <w:pStyle w:val="ListParagraph"/>
              <w:rPr>
                <w:rFonts w:cs="Arial"/>
              </w:rPr>
            </w:pPr>
            <w:r>
              <w:rPr>
                <w:rFonts w:cs="Arial"/>
              </w:rPr>
              <w:t>Consumers will be asked to answer yes/no to the question ‘Were you satisfied with the service today?’</w:t>
            </w:r>
          </w:p>
          <w:p w14:paraId="2B488E0C" w14:textId="77777777" w:rsidR="00CF3D86" w:rsidRDefault="00CF3D86" w:rsidP="00CF3D86">
            <w:pPr>
              <w:pStyle w:val="ListParagraph"/>
              <w:rPr>
                <w:rFonts w:cs="Arial"/>
              </w:rPr>
            </w:pPr>
          </w:p>
          <w:p w14:paraId="197E305D" w14:textId="77777777" w:rsidR="00CF3D86" w:rsidRDefault="00CF3D86" w:rsidP="00CF3D86">
            <w:pPr>
              <w:pStyle w:val="ListParagraph"/>
              <w:rPr>
                <w:rFonts w:cs="Arial"/>
              </w:rPr>
            </w:pPr>
            <w:r>
              <w:rPr>
                <w:rFonts w:cs="Arial"/>
              </w:rPr>
              <w:t>Overall score for this element will be calculated as:</w:t>
            </w:r>
          </w:p>
          <w:p w14:paraId="191216A3" w14:textId="77777777" w:rsidR="00CF3D86" w:rsidRDefault="00CF3D86" w:rsidP="00CF3D86">
            <w:pPr>
              <w:pStyle w:val="ListParagraph"/>
              <w:rPr>
                <w:rFonts w:cs="Arial"/>
              </w:rPr>
            </w:pPr>
          </w:p>
          <w:tbl>
            <w:tblPr>
              <w:tblStyle w:val="TableGrid"/>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78"/>
              <w:gridCol w:w="3402"/>
              <w:gridCol w:w="893"/>
            </w:tblGrid>
            <w:tr w:rsidR="00CF3D86" w14:paraId="59FBD913" w14:textId="77777777" w:rsidTr="00CF3D86">
              <w:tc>
                <w:tcPr>
                  <w:tcW w:w="1578" w:type="dxa"/>
                  <w:vMerge w:val="restart"/>
                  <w:vAlign w:val="center"/>
                </w:tcPr>
                <w:p w14:paraId="65FB1D31" w14:textId="77777777" w:rsidR="00CF3D86" w:rsidRDefault="00CF3D86" w:rsidP="00CF3D86">
                  <w:pPr>
                    <w:pStyle w:val="ListParagraph"/>
                    <w:spacing w:after="60"/>
                    <w:ind w:left="0"/>
                    <w:rPr>
                      <w:rFonts w:cs="Arial"/>
                    </w:rPr>
                  </w:pPr>
                  <w:r>
                    <w:rPr>
                      <w:rFonts w:cs="Arial"/>
                    </w:rPr>
                    <w:t>% satisfied =</w:t>
                  </w:r>
                </w:p>
              </w:tc>
              <w:tc>
                <w:tcPr>
                  <w:tcW w:w="3402" w:type="dxa"/>
                  <w:vAlign w:val="center"/>
                </w:tcPr>
                <w:p w14:paraId="6D9BC08F" w14:textId="77777777" w:rsidR="00CF3D86" w:rsidRDefault="00CF3D86" w:rsidP="00CF3D86">
                  <w:pPr>
                    <w:pStyle w:val="ListParagraph"/>
                    <w:spacing w:after="60"/>
                    <w:ind w:left="0"/>
                    <w:jc w:val="center"/>
                    <w:rPr>
                      <w:rFonts w:cs="Arial"/>
                    </w:rPr>
                  </w:pPr>
                  <w:r>
                    <w:rPr>
                      <w:rFonts w:cs="Arial"/>
                    </w:rPr>
                    <w:t>Total number of consumers answering ‘yes’</w:t>
                  </w:r>
                </w:p>
              </w:tc>
              <w:tc>
                <w:tcPr>
                  <w:tcW w:w="893" w:type="dxa"/>
                  <w:vMerge w:val="restart"/>
                  <w:vAlign w:val="center"/>
                </w:tcPr>
                <w:p w14:paraId="0B370D09" w14:textId="77777777" w:rsidR="00CF3D86" w:rsidRDefault="00CF3D86" w:rsidP="00CF3D86">
                  <w:pPr>
                    <w:pStyle w:val="ListParagraph"/>
                    <w:spacing w:after="60"/>
                    <w:ind w:left="0"/>
                    <w:rPr>
                      <w:rFonts w:cs="Arial"/>
                    </w:rPr>
                  </w:pPr>
                  <w:r>
                    <w:rPr>
                      <w:rFonts w:cs="Arial"/>
                    </w:rPr>
                    <w:t>X 100</w:t>
                  </w:r>
                </w:p>
              </w:tc>
            </w:tr>
            <w:tr w:rsidR="00CF3D86" w14:paraId="10E9A5D6" w14:textId="77777777" w:rsidTr="00CF3D86">
              <w:tc>
                <w:tcPr>
                  <w:tcW w:w="1578" w:type="dxa"/>
                  <w:vMerge/>
                </w:tcPr>
                <w:p w14:paraId="2DC3A0B2" w14:textId="77777777" w:rsidR="00CF3D86" w:rsidRDefault="00CF3D86" w:rsidP="00CF3D86">
                  <w:pPr>
                    <w:pStyle w:val="ListParagraph"/>
                    <w:spacing w:after="60"/>
                    <w:ind w:left="0"/>
                    <w:rPr>
                      <w:rFonts w:cs="Arial"/>
                    </w:rPr>
                  </w:pPr>
                </w:p>
              </w:tc>
              <w:tc>
                <w:tcPr>
                  <w:tcW w:w="3402" w:type="dxa"/>
                </w:tcPr>
                <w:p w14:paraId="44F88AA1" w14:textId="77777777" w:rsidR="00CF3D86" w:rsidRDefault="00CF3D86" w:rsidP="00CF3D86">
                  <w:pPr>
                    <w:pStyle w:val="ListParagraph"/>
                    <w:spacing w:after="60"/>
                    <w:ind w:left="0"/>
                    <w:jc w:val="center"/>
                    <w:rPr>
                      <w:rFonts w:cs="Arial"/>
                    </w:rPr>
                  </w:pPr>
                  <w:r>
                    <w:rPr>
                      <w:rFonts w:cs="Arial"/>
                    </w:rPr>
                    <w:t>Total number of consumers surveyed</w:t>
                  </w:r>
                </w:p>
              </w:tc>
              <w:tc>
                <w:tcPr>
                  <w:tcW w:w="893" w:type="dxa"/>
                  <w:vMerge/>
                </w:tcPr>
                <w:p w14:paraId="0DEB24A6" w14:textId="77777777" w:rsidR="00CF3D86" w:rsidRDefault="00CF3D86" w:rsidP="00CF3D86">
                  <w:pPr>
                    <w:pStyle w:val="ListParagraph"/>
                    <w:spacing w:after="60"/>
                    <w:ind w:left="0"/>
                    <w:rPr>
                      <w:rFonts w:cs="Arial"/>
                    </w:rPr>
                  </w:pPr>
                </w:p>
              </w:tc>
            </w:tr>
          </w:tbl>
          <w:p w14:paraId="6E8BB8B0" w14:textId="77777777" w:rsidR="00CF3D86" w:rsidRDefault="00CF3D86" w:rsidP="00CF3D86">
            <w:pPr>
              <w:pStyle w:val="ListParagraph"/>
              <w:rPr>
                <w:rFonts w:cs="Arial"/>
              </w:rPr>
            </w:pPr>
          </w:p>
          <w:p w14:paraId="26001905" w14:textId="77777777" w:rsidR="00B074CC" w:rsidRPr="001A1836" w:rsidRDefault="00B074CC" w:rsidP="00CF3D86">
            <w:pPr>
              <w:rPr>
                <w:rFonts w:cs="Arial"/>
                <w:i/>
                <w:szCs w:val="22"/>
              </w:rPr>
            </w:pPr>
          </w:p>
        </w:tc>
      </w:tr>
      <w:tr w:rsidR="008E18BD" w:rsidRPr="001A1836" w14:paraId="52B5FEC5" w14:textId="77777777" w:rsidTr="00D279C3">
        <w:trPr>
          <w:trHeight w:val="639"/>
        </w:trPr>
        <w:tc>
          <w:tcPr>
            <w:tcW w:w="1950" w:type="dxa"/>
            <w:tcBorders>
              <w:top w:val="single" w:sz="4" w:space="0" w:color="auto"/>
              <w:left w:val="single" w:sz="4" w:space="0" w:color="auto"/>
              <w:bottom w:val="single" w:sz="4" w:space="0" w:color="auto"/>
              <w:right w:val="single" w:sz="4" w:space="0" w:color="auto"/>
            </w:tcBorders>
            <w:hideMark/>
          </w:tcPr>
          <w:p w14:paraId="7F0B261A" w14:textId="77777777" w:rsidR="00B074CC" w:rsidRPr="001A1836" w:rsidRDefault="00B074CC" w:rsidP="00626054">
            <w:pPr>
              <w:rPr>
                <w:rFonts w:cs="Arial"/>
                <w:szCs w:val="22"/>
              </w:rPr>
            </w:pPr>
            <w:r w:rsidRPr="001A1836">
              <w:rPr>
                <w:rFonts w:cs="Arial"/>
                <w:szCs w:val="22"/>
              </w:rPr>
              <w:lastRenderedPageBreak/>
              <w:t>Timing of calculation</w:t>
            </w:r>
          </w:p>
        </w:tc>
        <w:tc>
          <w:tcPr>
            <w:tcW w:w="6819" w:type="dxa"/>
            <w:gridSpan w:val="2"/>
            <w:tcBorders>
              <w:top w:val="single" w:sz="4" w:space="0" w:color="auto"/>
              <w:left w:val="single" w:sz="4" w:space="0" w:color="auto"/>
              <w:bottom w:val="single" w:sz="4" w:space="0" w:color="auto"/>
              <w:right w:val="single" w:sz="4" w:space="0" w:color="auto"/>
            </w:tcBorders>
            <w:hideMark/>
          </w:tcPr>
          <w:p w14:paraId="0099B14D" w14:textId="77777777" w:rsidR="00CF3D86" w:rsidRDefault="00CF3D86" w:rsidP="00CF3D86">
            <w:pPr>
              <w:rPr>
                <w:rFonts w:cs="Arial"/>
                <w:szCs w:val="22"/>
              </w:rPr>
            </w:pPr>
            <w:r>
              <w:rPr>
                <w:rFonts w:cs="Arial"/>
                <w:szCs w:val="22"/>
              </w:rPr>
              <w:t>Results will be captured daily and reported quarterly.</w:t>
            </w:r>
          </w:p>
          <w:p w14:paraId="47383780" w14:textId="6F66BB80" w:rsidR="00B074CC" w:rsidRPr="001A1836" w:rsidRDefault="00B074CC" w:rsidP="00626054">
            <w:pPr>
              <w:rPr>
                <w:rFonts w:cs="Arial"/>
                <w:szCs w:val="22"/>
              </w:rPr>
            </w:pPr>
            <w:r w:rsidRPr="001A1836">
              <w:rPr>
                <w:rFonts w:cs="Arial"/>
                <w:szCs w:val="22"/>
              </w:rPr>
              <w:t>Performance is calculated</w:t>
            </w:r>
            <w:r w:rsidR="0060095F">
              <w:rPr>
                <w:rFonts w:cs="Arial"/>
                <w:szCs w:val="22"/>
              </w:rPr>
              <w:t xml:space="preserve"> at the end of each Contract Year for the purposes of paragraphs 4 and 5 of Schedule 5 (Financial Model and Gain Share)</w:t>
            </w:r>
          </w:p>
        </w:tc>
      </w:tr>
      <w:tr w:rsidR="008E18BD" w:rsidRPr="001A1836" w14:paraId="31DD27EF" w14:textId="77777777" w:rsidTr="00D279C3">
        <w:tc>
          <w:tcPr>
            <w:tcW w:w="1950" w:type="dxa"/>
            <w:tcBorders>
              <w:top w:val="single" w:sz="4" w:space="0" w:color="auto"/>
              <w:left w:val="single" w:sz="4" w:space="0" w:color="auto"/>
              <w:bottom w:val="single" w:sz="4" w:space="0" w:color="auto"/>
              <w:right w:val="single" w:sz="4" w:space="0" w:color="auto"/>
            </w:tcBorders>
            <w:hideMark/>
          </w:tcPr>
          <w:p w14:paraId="2AFB9A2B" w14:textId="77777777" w:rsidR="00B074CC" w:rsidRPr="001A1836" w:rsidRDefault="00B074CC" w:rsidP="00626054">
            <w:pPr>
              <w:rPr>
                <w:rFonts w:cs="Arial"/>
                <w:szCs w:val="22"/>
              </w:rPr>
            </w:pPr>
            <w:r w:rsidRPr="001A1836">
              <w:rPr>
                <w:rFonts w:cs="Arial"/>
                <w:szCs w:val="22"/>
              </w:rPr>
              <w:t>KPI Target</w:t>
            </w:r>
          </w:p>
        </w:tc>
        <w:tc>
          <w:tcPr>
            <w:tcW w:w="6819" w:type="dxa"/>
            <w:gridSpan w:val="2"/>
            <w:tcBorders>
              <w:top w:val="single" w:sz="4" w:space="0" w:color="auto"/>
              <w:left w:val="single" w:sz="4" w:space="0" w:color="auto"/>
              <w:bottom w:val="single" w:sz="4" w:space="0" w:color="auto"/>
              <w:right w:val="single" w:sz="4" w:space="0" w:color="auto"/>
            </w:tcBorders>
            <w:hideMark/>
          </w:tcPr>
          <w:p w14:paraId="7930D18E" w14:textId="77777777" w:rsidR="00B074CC" w:rsidRDefault="00B767BB" w:rsidP="00626054">
            <w:pPr>
              <w:rPr>
                <w:rFonts w:cs="Arial"/>
                <w:i/>
                <w:szCs w:val="22"/>
              </w:rPr>
            </w:pPr>
            <w:r w:rsidRPr="001A1836" w:rsidDel="00B767BB">
              <w:rPr>
                <w:rFonts w:cs="Arial"/>
                <w:i/>
                <w:szCs w:val="22"/>
              </w:rPr>
              <w:t xml:space="preserve"> </w:t>
            </w:r>
          </w:p>
          <w:p w14:paraId="73BE0DA5" w14:textId="7D68E01B" w:rsidR="0040096E" w:rsidRDefault="0040096E" w:rsidP="00CF3D86">
            <w:pPr>
              <w:rPr>
                <w:rFonts w:cs="Arial"/>
                <w:szCs w:val="22"/>
              </w:rPr>
            </w:pPr>
            <w:r>
              <w:rPr>
                <w:rFonts w:cs="Arial"/>
                <w:szCs w:val="22"/>
              </w:rPr>
              <w:t>The KPI Target for Year 1 is 7</w:t>
            </w:r>
            <w:r w:rsidR="00DE00C7">
              <w:rPr>
                <w:rFonts w:cs="Arial"/>
                <w:szCs w:val="22"/>
              </w:rPr>
              <w:t>1</w:t>
            </w:r>
            <w:r>
              <w:rPr>
                <w:rFonts w:cs="Arial"/>
                <w:szCs w:val="22"/>
              </w:rPr>
              <w:t>%.</w:t>
            </w:r>
          </w:p>
          <w:p w14:paraId="6C193297" w14:textId="77777777" w:rsidR="00CF3D86" w:rsidRDefault="00CF3D86" w:rsidP="00626054">
            <w:pPr>
              <w:rPr>
                <w:rFonts w:cs="Arial"/>
                <w:i/>
                <w:szCs w:val="22"/>
              </w:rPr>
            </w:pPr>
          </w:p>
          <w:p w14:paraId="11562BDB" w14:textId="42F27FAF" w:rsidR="00CF3D86" w:rsidRPr="001A1836" w:rsidRDefault="00CF3D86" w:rsidP="00626054">
            <w:pPr>
              <w:rPr>
                <w:rFonts w:cs="Arial"/>
                <w:i/>
                <w:szCs w:val="22"/>
              </w:rPr>
            </w:pPr>
          </w:p>
        </w:tc>
      </w:tr>
      <w:tr w:rsidR="008E18BD" w:rsidRPr="001A1836" w14:paraId="05AA183D" w14:textId="77777777" w:rsidTr="00D279C3">
        <w:tc>
          <w:tcPr>
            <w:tcW w:w="1950" w:type="dxa"/>
            <w:tcBorders>
              <w:top w:val="single" w:sz="4" w:space="0" w:color="auto"/>
              <w:left w:val="single" w:sz="4" w:space="0" w:color="auto"/>
              <w:bottom w:val="single" w:sz="4" w:space="0" w:color="auto"/>
              <w:right w:val="single" w:sz="4" w:space="0" w:color="auto"/>
            </w:tcBorders>
          </w:tcPr>
          <w:p w14:paraId="0C51B838" w14:textId="77777777" w:rsidR="00B074CC" w:rsidRPr="001A1836" w:rsidRDefault="00B074CC" w:rsidP="00626054">
            <w:pPr>
              <w:rPr>
                <w:rFonts w:cs="Arial"/>
                <w:szCs w:val="22"/>
              </w:rPr>
            </w:pPr>
          </w:p>
        </w:tc>
        <w:tc>
          <w:tcPr>
            <w:tcW w:w="4894" w:type="dxa"/>
            <w:tcBorders>
              <w:top w:val="single" w:sz="4" w:space="0" w:color="auto"/>
              <w:left w:val="single" w:sz="4" w:space="0" w:color="auto"/>
              <w:bottom w:val="single" w:sz="4" w:space="0" w:color="auto"/>
              <w:right w:val="single" w:sz="4" w:space="0" w:color="auto"/>
            </w:tcBorders>
            <w:hideMark/>
          </w:tcPr>
          <w:p w14:paraId="3614FF41" w14:textId="77777777" w:rsidR="00B074CC" w:rsidRPr="001A1836" w:rsidRDefault="00B074CC" w:rsidP="00626054">
            <w:pPr>
              <w:rPr>
                <w:rFonts w:cs="Arial"/>
                <w:b/>
                <w:szCs w:val="22"/>
              </w:rPr>
            </w:pPr>
            <w:r w:rsidRPr="001A1836">
              <w:rPr>
                <w:rFonts w:cs="Arial"/>
                <w:b/>
                <w:szCs w:val="22"/>
              </w:rPr>
              <w:t>KPI outcome</w:t>
            </w:r>
          </w:p>
        </w:tc>
        <w:tc>
          <w:tcPr>
            <w:tcW w:w="1925" w:type="dxa"/>
            <w:tcBorders>
              <w:top w:val="single" w:sz="4" w:space="0" w:color="auto"/>
              <w:left w:val="single" w:sz="4" w:space="0" w:color="auto"/>
              <w:bottom w:val="single" w:sz="4" w:space="0" w:color="auto"/>
              <w:right w:val="single" w:sz="4" w:space="0" w:color="auto"/>
            </w:tcBorders>
            <w:hideMark/>
          </w:tcPr>
          <w:p w14:paraId="5E914251" w14:textId="029CE3A5" w:rsidR="00B074CC" w:rsidRPr="001A1836" w:rsidRDefault="00B074CC" w:rsidP="0060095F">
            <w:pPr>
              <w:rPr>
                <w:rFonts w:cs="Arial"/>
                <w:b/>
                <w:szCs w:val="22"/>
              </w:rPr>
            </w:pPr>
            <w:r w:rsidRPr="001A1836">
              <w:rPr>
                <w:rFonts w:cs="Arial"/>
                <w:b/>
                <w:szCs w:val="22"/>
              </w:rPr>
              <w:t xml:space="preserve">Reduction in </w:t>
            </w:r>
            <w:r w:rsidR="0060095F">
              <w:rPr>
                <w:rFonts w:cs="Arial"/>
                <w:b/>
                <w:szCs w:val="22"/>
              </w:rPr>
              <w:t xml:space="preserve">each of (i) </w:t>
            </w:r>
            <w:r w:rsidR="00946A1A" w:rsidRPr="00946A1A">
              <w:rPr>
                <w:b/>
              </w:rPr>
              <w:t>Provisional</w:t>
            </w:r>
            <w:r w:rsidR="0060095F">
              <w:rPr>
                <w:rFonts w:cs="Arial"/>
                <w:b/>
                <w:szCs w:val="22"/>
              </w:rPr>
              <w:t xml:space="preserve"> Provider Profit and (ii) </w:t>
            </w:r>
            <w:r w:rsidRPr="001A1836">
              <w:rPr>
                <w:rFonts w:cs="Arial"/>
                <w:b/>
                <w:szCs w:val="22"/>
              </w:rPr>
              <w:t>Provisional Provider Gain Share Funds</w:t>
            </w:r>
          </w:p>
        </w:tc>
      </w:tr>
      <w:tr w:rsidR="00D279C3" w:rsidRPr="001A1836" w14:paraId="7185B392" w14:textId="77777777" w:rsidTr="00D279C3">
        <w:tc>
          <w:tcPr>
            <w:tcW w:w="1950" w:type="dxa"/>
            <w:tcBorders>
              <w:top w:val="single" w:sz="4" w:space="0" w:color="auto"/>
              <w:left w:val="single" w:sz="4" w:space="0" w:color="auto"/>
              <w:bottom w:val="single" w:sz="4" w:space="0" w:color="auto"/>
              <w:right w:val="single" w:sz="4" w:space="0" w:color="auto"/>
            </w:tcBorders>
            <w:hideMark/>
          </w:tcPr>
          <w:p w14:paraId="69708478" w14:textId="77777777" w:rsidR="00D279C3" w:rsidRPr="001A1836" w:rsidRDefault="00D279C3" w:rsidP="00D279C3">
            <w:pPr>
              <w:rPr>
                <w:rFonts w:cs="Arial"/>
                <w:szCs w:val="22"/>
              </w:rPr>
            </w:pPr>
            <w:r w:rsidRPr="001A1836">
              <w:rPr>
                <w:rFonts w:cs="Arial"/>
                <w:szCs w:val="22"/>
              </w:rPr>
              <w:t>KPI target met</w:t>
            </w:r>
          </w:p>
        </w:tc>
        <w:tc>
          <w:tcPr>
            <w:tcW w:w="4894" w:type="dxa"/>
            <w:tcBorders>
              <w:top w:val="single" w:sz="4" w:space="0" w:color="auto"/>
              <w:left w:val="single" w:sz="4" w:space="0" w:color="auto"/>
              <w:bottom w:val="single" w:sz="4" w:space="0" w:color="auto"/>
              <w:right w:val="single" w:sz="4" w:space="0" w:color="auto"/>
            </w:tcBorders>
            <w:hideMark/>
          </w:tcPr>
          <w:p w14:paraId="1C96E529" w14:textId="1B5396CB" w:rsidR="00D279C3" w:rsidRPr="001A1836" w:rsidRDefault="00D279C3" w:rsidP="00D279C3">
            <w:pPr>
              <w:rPr>
                <w:rFonts w:cs="Arial"/>
                <w:i/>
                <w:szCs w:val="22"/>
              </w:rPr>
            </w:pPr>
            <w:r>
              <w:rPr>
                <w:rFonts w:cs="Arial"/>
                <w:i/>
                <w:szCs w:val="22"/>
              </w:rPr>
              <w:t>100% of agreed target</w:t>
            </w:r>
          </w:p>
        </w:tc>
        <w:tc>
          <w:tcPr>
            <w:tcW w:w="1925" w:type="dxa"/>
            <w:tcBorders>
              <w:top w:val="single" w:sz="4" w:space="0" w:color="auto"/>
              <w:left w:val="single" w:sz="4" w:space="0" w:color="auto"/>
              <w:bottom w:val="single" w:sz="4" w:space="0" w:color="auto"/>
              <w:right w:val="single" w:sz="4" w:space="0" w:color="auto"/>
            </w:tcBorders>
            <w:hideMark/>
          </w:tcPr>
          <w:p w14:paraId="63E20925" w14:textId="1EEDD33A" w:rsidR="00D279C3" w:rsidRPr="001A1836" w:rsidRDefault="00D279C3" w:rsidP="00D279C3">
            <w:pPr>
              <w:rPr>
                <w:rFonts w:cs="Arial"/>
                <w:szCs w:val="22"/>
              </w:rPr>
            </w:pPr>
            <w:r w:rsidRPr="001A1836">
              <w:rPr>
                <w:rFonts w:cs="Arial"/>
                <w:szCs w:val="22"/>
              </w:rPr>
              <w:t>0</w:t>
            </w:r>
          </w:p>
        </w:tc>
      </w:tr>
      <w:tr w:rsidR="00B51918" w:rsidRPr="001A1836" w14:paraId="556C7104" w14:textId="77777777" w:rsidTr="00D279C3">
        <w:tc>
          <w:tcPr>
            <w:tcW w:w="1950" w:type="dxa"/>
            <w:tcBorders>
              <w:top w:val="single" w:sz="4" w:space="0" w:color="auto"/>
              <w:left w:val="single" w:sz="4" w:space="0" w:color="auto"/>
              <w:bottom w:val="single" w:sz="4" w:space="0" w:color="auto"/>
              <w:right w:val="single" w:sz="4" w:space="0" w:color="auto"/>
            </w:tcBorders>
            <w:hideMark/>
          </w:tcPr>
          <w:p w14:paraId="3146CDCB" w14:textId="77777777" w:rsidR="00B51918" w:rsidRPr="001A1836" w:rsidRDefault="00B51918" w:rsidP="00B51918">
            <w:pPr>
              <w:rPr>
                <w:rFonts w:cs="Arial"/>
                <w:szCs w:val="22"/>
              </w:rPr>
            </w:pPr>
            <w:r w:rsidRPr="001A1836">
              <w:rPr>
                <w:rFonts w:cs="Arial"/>
                <w:szCs w:val="22"/>
              </w:rPr>
              <w:lastRenderedPageBreak/>
              <w:t>Minor KPI Failure</w:t>
            </w:r>
          </w:p>
        </w:tc>
        <w:tc>
          <w:tcPr>
            <w:tcW w:w="4894" w:type="dxa"/>
            <w:tcBorders>
              <w:top w:val="single" w:sz="4" w:space="0" w:color="auto"/>
              <w:left w:val="single" w:sz="4" w:space="0" w:color="auto"/>
              <w:bottom w:val="single" w:sz="4" w:space="0" w:color="auto"/>
              <w:right w:val="single" w:sz="4" w:space="0" w:color="auto"/>
            </w:tcBorders>
            <w:hideMark/>
          </w:tcPr>
          <w:p w14:paraId="0451B200" w14:textId="7BCDB312" w:rsidR="00B51918" w:rsidRPr="001A1836" w:rsidRDefault="00B51918" w:rsidP="00B51918">
            <w:pPr>
              <w:rPr>
                <w:rFonts w:cs="Arial"/>
                <w:i/>
                <w:szCs w:val="22"/>
              </w:rPr>
            </w:pPr>
            <w:r>
              <w:rPr>
                <w:rFonts w:cs="Arial"/>
                <w:i/>
                <w:szCs w:val="22"/>
              </w:rPr>
              <w:t>Between 98% and 99.9% of agreed target</w:t>
            </w:r>
          </w:p>
        </w:tc>
        <w:tc>
          <w:tcPr>
            <w:tcW w:w="1925" w:type="dxa"/>
            <w:tcBorders>
              <w:top w:val="single" w:sz="4" w:space="0" w:color="auto"/>
              <w:left w:val="single" w:sz="4" w:space="0" w:color="auto"/>
              <w:bottom w:val="single" w:sz="4" w:space="0" w:color="auto"/>
              <w:right w:val="single" w:sz="4" w:space="0" w:color="auto"/>
            </w:tcBorders>
            <w:hideMark/>
          </w:tcPr>
          <w:p w14:paraId="4D2667E4" w14:textId="24CD1AFC" w:rsidR="00B51918" w:rsidRPr="001A1836" w:rsidRDefault="00B51918" w:rsidP="00B51918">
            <w:pPr>
              <w:rPr>
                <w:rFonts w:cs="Arial"/>
                <w:szCs w:val="22"/>
              </w:rPr>
            </w:pPr>
            <w:r w:rsidRPr="001A1836">
              <w:rPr>
                <w:rFonts w:cs="Arial"/>
                <w:szCs w:val="22"/>
              </w:rPr>
              <w:t>25%</w:t>
            </w:r>
          </w:p>
        </w:tc>
      </w:tr>
      <w:tr w:rsidR="00B51918" w:rsidRPr="001A1836" w14:paraId="48F86AF2" w14:textId="77777777" w:rsidTr="00D279C3">
        <w:tc>
          <w:tcPr>
            <w:tcW w:w="1950" w:type="dxa"/>
            <w:tcBorders>
              <w:top w:val="single" w:sz="4" w:space="0" w:color="auto"/>
              <w:left w:val="single" w:sz="4" w:space="0" w:color="auto"/>
              <w:bottom w:val="single" w:sz="4" w:space="0" w:color="auto"/>
              <w:right w:val="single" w:sz="4" w:space="0" w:color="auto"/>
            </w:tcBorders>
            <w:hideMark/>
          </w:tcPr>
          <w:p w14:paraId="3C388277" w14:textId="77777777" w:rsidR="00B51918" w:rsidRPr="001A1836" w:rsidRDefault="00B51918" w:rsidP="00B51918">
            <w:pPr>
              <w:rPr>
                <w:rFonts w:cs="Arial"/>
                <w:szCs w:val="22"/>
              </w:rPr>
            </w:pPr>
            <w:r w:rsidRPr="001A1836">
              <w:rPr>
                <w:rFonts w:cs="Arial"/>
                <w:szCs w:val="22"/>
              </w:rPr>
              <w:t>Moderate KPI Failure</w:t>
            </w:r>
          </w:p>
        </w:tc>
        <w:tc>
          <w:tcPr>
            <w:tcW w:w="4894" w:type="dxa"/>
            <w:tcBorders>
              <w:top w:val="single" w:sz="4" w:space="0" w:color="auto"/>
              <w:left w:val="single" w:sz="4" w:space="0" w:color="auto"/>
              <w:bottom w:val="single" w:sz="4" w:space="0" w:color="auto"/>
              <w:right w:val="single" w:sz="4" w:space="0" w:color="auto"/>
            </w:tcBorders>
            <w:hideMark/>
          </w:tcPr>
          <w:p w14:paraId="5EF1EB2A" w14:textId="20230BA5" w:rsidR="00B51918" w:rsidRPr="001A1836" w:rsidRDefault="00B51918" w:rsidP="00B51918">
            <w:pPr>
              <w:rPr>
                <w:rFonts w:cs="Arial"/>
                <w:i/>
                <w:szCs w:val="22"/>
              </w:rPr>
            </w:pPr>
            <w:r>
              <w:rPr>
                <w:rFonts w:cs="Arial"/>
                <w:i/>
                <w:szCs w:val="22"/>
              </w:rPr>
              <w:t>Between 95% and 97.9% of agreed target</w:t>
            </w:r>
          </w:p>
        </w:tc>
        <w:tc>
          <w:tcPr>
            <w:tcW w:w="1925" w:type="dxa"/>
            <w:tcBorders>
              <w:top w:val="single" w:sz="4" w:space="0" w:color="auto"/>
              <w:left w:val="single" w:sz="4" w:space="0" w:color="auto"/>
              <w:bottom w:val="single" w:sz="4" w:space="0" w:color="auto"/>
              <w:right w:val="single" w:sz="4" w:space="0" w:color="auto"/>
            </w:tcBorders>
            <w:hideMark/>
          </w:tcPr>
          <w:p w14:paraId="01D7A598" w14:textId="6B90F0E3" w:rsidR="00B51918" w:rsidRPr="001A1836" w:rsidRDefault="00B51918" w:rsidP="00B51918">
            <w:pPr>
              <w:rPr>
                <w:rFonts w:cs="Arial"/>
                <w:szCs w:val="22"/>
              </w:rPr>
            </w:pPr>
            <w:r w:rsidRPr="001A1836">
              <w:rPr>
                <w:rFonts w:cs="Arial"/>
                <w:szCs w:val="22"/>
              </w:rPr>
              <w:t>50%</w:t>
            </w:r>
          </w:p>
        </w:tc>
      </w:tr>
      <w:tr w:rsidR="00B51918" w:rsidRPr="001A1836" w14:paraId="21E72B81" w14:textId="77777777" w:rsidTr="00D279C3">
        <w:tc>
          <w:tcPr>
            <w:tcW w:w="1950" w:type="dxa"/>
            <w:tcBorders>
              <w:top w:val="single" w:sz="4" w:space="0" w:color="auto"/>
              <w:left w:val="single" w:sz="4" w:space="0" w:color="auto"/>
              <w:bottom w:val="single" w:sz="4" w:space="0" w:color="auto"/>
              <w:right w:val="single" w:sz="4" w:space="0" w:color="auto"/>
            </w:tcBorders>
            <w:hideMark/>
          </w:tcPr>
          <w:p w14:paraId="7D2B9EA1" w14:textId="77777777" w:rsidR="00B51918" w:rsidRPr="001A1836" w:rsidRDefault="00B51918" w:rsidP="00B51918">
            <w:pPr>
              <w:rPr>
                <w:rFonts w:cs="Arial"/>
                <w:szCs w:val="22"/>
              </w:rPr>
            </w:pPr>
            <w:r w:rsidRPr="001A1836">
              <w:rPr>
                <w:rFonts w:cs="Arial"/>
                <w:szCs w:val="22"/>
              </w:rPr>
              <w:t>Major KPI Failure</w:t>
            </w:r>
          </w:p>
        </w:tc>
        <w:tc>
          <w:tcPr>
            <w:tcW w:w="4894" w:type="dxa"/>
            <w:tcBorders>
              <w:top w:val="single" w:sz="4" w:space="0" w:color="auto"/>
              <w:left w:val="single" w:sz="4" w:space="0" w:color="auto"/>
              <w:bottom w:val="single" w:sz="4" w:space="0" w:color="auto"/>
              <w:right w:val="single" w:sz="4" w:space="0" w:color="auto"/>
            </w:tcBorders>
            <w:hideMark/>
          </w:tcPr>
          <w:p w14:paraId="0D7179BB" w14:textId="5C07CFA8" w:rsidR="00B51918" w:rsidRPr="001A1836" w:rsidRDefault="00B51918" w:rsidP="00B51918">
            <w:pPr>
              <w:rPr>
                <w:rFonts w:cs="Arial"/>
                <w:i/>
                <w:szCs w:val="22"/>
              </w:rPr>
            </w:pPr>
            <w:r>
              <w:rPr>
                <w:rFonts w:cs="Arial"/>
                <w:i/>
                <w:szCs w:val="22"/>
              </w:rPr>
              <w:t>Below 95% of agreed target</w:t>
            </w:r>
          </w:p>
        </w:tc>
        <w:tc>
          <w:tcPr>
            <w:tcW w:w="1925" w:type="dxa"/>
            <w:tcBorders>
              <w:top w:val="single" w:sz="4" w:space="0" w:color="auto"/>
              <w:left w:val="single" w:sz="4" w:space="0" w:color="auto"/>
              <w:bottom w:val="single" w:sz="4" w:space="0" w:color="auto"/>
              <w:right w:val="single" w:sz="4" w:space="0" w:color="auto"/>
            </w:tcBorders>
            <w:hideMark/>
          </w:tcPr>
          <w:p w14:paraId="5557BC7F" w14:textId="32762F46" w:rsidR="00B51918" w:rsidRPr="001A1836" w:rsidRDefault="00B51918" w:rsidP="00B51918">
            <w:pPr>
              <w:rPr>
                <w:rFonts w:cs="Arial"/>
                <w:szCs w:val="22"/>
              </w:rPr>
            </w:pPr>
            <w:r w:rsidRPr="001A1836">
              <w:rPr>
                <w:rFonts w:cs="Arial"/>
                <w:szCs w:val="22"/>
              </w:rPr>
              <w:t>100%</w:t>
            </w:r>
          </w:p>
        </w:tc>
      </w:tr>
    </w:tbl>
    <w:p w14:paraId="3C7CC5C3" w14:textId="77777777" w:rsidR="00B074CC" w:rsidRPr="001A1836" w:rsidRDefault="00B074CC" w:rsidP="00626054">
      <w:pPr>
        <w:rPr>
          <w:rFonts w:cs="Arial"/>
        </w:rPr>
      </w:pPr>
    </w:p>
    <w:p w14:paraId="19BB91C6" w14:textId="77777777" w:rsidR="00B074CC" w:rsidRPr="001A1836" w:rsidRDefault="00B074CC" w:rsidP="00626054">
      <w:pPr>
        <w:rPr>
          <w:rFonts w:cs="Arial"/>
        </w:rPr>
      </w:pPr>
      <w:r w:rsidRPr="001A1836">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5182"/>
        <w:gridCol w:w="2123"/>
      </w:tblGrid>
      <w:tr w:rsidR="008E18BD" w:rsidRPr="001A1836" w14:paraId="6AE27D89" w14:textId="77777777" w:rsidTr="00D279C3">
        <w:tc>
          <w:tcPr>
            <w:tcW w:w="1705" w:type="dxa"/>
            <w:tcBorders>
              <w:top w:val="single" w:sz="4" w:space="0" w:color="auto"/>
              <w:left w:val="single" w:sz="4" w:space="0" w:color="auto"/>
              <w:bottom w:val="single" w:sz="4" w:space="0" w:color="auto"/>
              <w:right w:val="single" w:sz="4" w:space="0" w:color="auto"/>
            </w:tcBorders>
            <w:hideMark/>
          </w:tcPr>
          <w:p w14:paraId="4BD41ACB" w14:textId="77777777" w:rsidR="00B074CC" w:rsidRPr="001A1836" w:rsidRDefault="00B074CC" w:rsidP="00626054">
            <w:pPr>
              <w:rPr>
                <w:rFonts w:cs="Arial"/>
                <w:b/>
                <w:szCs w:val="22"/>
              </w:rPr>
            </w:pPr>
            <w:r w:rsidRPr="001A1836">
              <w:rPr>
                <w:rFonts w:cs="Arial"/>
                <w:b/>
                <w:szCs w:val="22"/>
              </w:rPr>
              <w:lastRenderedPageBreak/>
              <w:t xml:space="preserve">KPI 03 </w:t>
            </w:r>
          </w:p>
        </w:tc>
        <w:tc>
          <w:tcPr>
            <w:tcW w:w="7305" w:type="dxa"/>
            <w:gridSpan w:val="2"/>
            <w:tcBorders>
              <w:top w:val="single" w:sz="4" w:space="0" w:color="auto"/>
              <w:left w:val="single" w:sz="4" w:space="0" w:color="auto"/>
              <w:bottom w:val="single" w:sz="4" w:space="0" w:color="auto"/>
              <w:right w:val="single" w:sz="4" w:space="0" w:color="auto"/>
            </w:tcBorders>
            <w:hideMark/>
          </w:tcPr>
          <w:p w14:paraId="2314AAA0" w14:textId="77777777" w:rsidR="00B074CC" w:rsidRPr="001A1836" w:rsidRDefault="00B074CC" w:rsidP="00626054">
            <w:pPr>
              <w:rPr>
                <w:rFonts w:cs="Arial"/>
                <w:b/>
                <w:szCs w:val="22"/>
              </w:rPr>
            </w:pPr>
            <w:r w:rsidRPr="001A1836">
              <w:rPr>
                <w:rFonts w:cs="Arial"/>
                <w:b/>
                <w:szCs w:val="22"/>
              </w:rPr>
              <w:t>Engineer Satisfaction with the Service</w:t>
            </w:r>
          </w:p>
        </w:tc>
      </w:tr>
      <w:tr w:rsidR="008E18BD" w:rsidRPr="001A1836" w14:paraId="7F34DC0E" w14:textId="77777777" w:rsidTr="00D279C3">
        <w:tc>
          <w:tcPr>
            <w:tcW w:w="1705" w:type="dxa"/>
            <w:tcBorders>
              <w:top w:val="single" w:sz="4" w:space="0" w:color="auto"/>
              <w:left w:val="single" w:sz="4" w:space="0" w:color="auto"/>
              <w:bottom w:val="single" w:sz="4" w:space="0" w:color="auto"/>
              <w:right w:val="single" w:sz="4" w:space="0" w:color="auto"/>
            </w:tcBorders>
            <w:hideMark/>
          </w:tcPr>
          <w:p w14:paraId="0DF6E091" w14:textId="77777777" w:rsidR="00B074CC" w:rsidRPr="001A1836" w:rsidRDefault="00B074CC" w:rsidP="00626054">
            <w:pPr>
              <w:rPr>
                <w:rFonts w:cs="Arial"/>
                <w:szCs w:val="22"/>
              </w:rPr>
            </w:pPr>
            <w:r w:rsidRPr="001A1836">
              <w:rPr>
                <w:rFonts w:cs="Arial"/>
                <w:szCs w:val="22"/>
              </w:rPr>
              <w:t xml:space="preserve">KPI description </w:t>
            </w:r>
          </w:p>
        </w:tc>
        <w:tc>
          <w:tcPr>
            <w:tcW w:w="7305" w:type="dxa"/>
            <w:gridSpan w:val="2"/>
            <w:tcBorders>
              <w:top w:val="single" w:sz="4" w:space="0" w:color="auto"/>
              <w:left w:val="single" w:sz="4" w:space="0" w:color="auto"/>
              <w:bottom w:val="single" w:sz="4" w:space="0" w:color="auto"/>
              <w:right w:val="single" w:sz="4" w:space="0" w:color="auto"/>
            </w:tcBorders>
            <w:hideMark/>
          </w:tcPr>
          <w:p w14:paraId="6D29FF52" w14:textId="5BAC7D76" w:rsidR="00B074CC" w:rsidRPr="001A1836" w:rsidRDefault="00CF3D86" w:rsidP="00916DA7">
            <w:pPr>
              <w:rPr>
                <w:rFonts w:cs="Arial"/>
                <w:i/>
                <w:szCs w:val="22"/>
              </w:rPr>
            </w:pPr>
            <w:r w:rsidRPr="001A1836">
              <w:rPr>
                <w:rFonts w:cs="Arial"/>
                <w:kern w:val="0"/>
                <w:szCs w:val="22"/>
              </w:rPr>
              <w:t>Measur</w:t>
            </w:r>
            <w:r>
              <w:rPr>
                <w:rFonts w:cs="Arial"/>
                <w:kern w:val="0"/>
                <w:szCs w:val="22"/>
              </w:rPr>
              <w:t>ing levels of</w:t>
            </w:r>
            <w:r w:rsidRPr="001A1836">
              <w:rPr>
                <w:rFonts w:cs="Arial"/>
                <w:kern w:val="0"/>
                <w:szCs w:val="22"/>
              </w:rPr>
              <w:t xml:space="preserve"> engineer satisfaction with the</w:t>
            </w:r>
            <w:r>
              <w:rPr>
                <w:rFonts w:cs="Arial"/>
                <w:kern w:val="0"/>
                <w:szCs w:val="22"/>
              </w:rPr>
              <w:t xml:space="preserve"> GSR service to ensure consistently good levels of satisfaction are maintained across all engineer touchpoints</w:t>
            </w:r>
          </w:p>
        </w:tc>
      </w:tr>
      <w:tr w:rsidR="008E18BD" w:rsidRPr="001A1836" w14:paraId="4C3894C4" w14:textId="77777777" w:rsidTr="00D279C3">
        <w:tc>
          <w:tcPr>
            <w:tcW w:w="1705" w:type="dxa"/>
            <w:tcBorders>
              <w:top w:val="single" w:sz="4" w:space="0" w:color="auto"/>
              <w:left w:val="single" w:sz="4" w:space="0" w:color="auto"/>
              <w:bottom w:val="single" w:sz="4" w:space="0" w:color="auto"/>
              <w:right w:val="single" w:sz="4" w:space="0" w:color="auto"/>
            </w:tcBorders>
            <w:hideMark/>
          </w:tcPr>
          <w:p w14:paraId="29EAFB40" w14:textId="77777777" w:rsidR="00B074CC" w:rsidRPr="001A1836" w:rsidRDefault="00B074CC" w:rsidP="00626054">
            <w:pPr>
              <w:rPr>
                <w:rFonts w:cs="Arial"/>
                <w:szCs w:val="22"/>
              </w:rPr>
            </w:pPr>
            <w:r w:rsidRPr="001A1836">
              <w:rPr>
                <w:rFonts w:cs="Arial"/>
                <w:szCs w:val="22"/>
              </w:rPr>
              <w:t xml:space="preserve">KPI methodology </w:t>
            </w:r>
          </w:p>
        </w:tc>
        <w:tc>
          <w:tcPr>
            <w:tcW w:w="7305" w:type="dxa"/>
            <w:gridSpan w:val="2"/>
            <w:tcBorders>
              <w:top w:val="single" w:sz="4" w:space="0" w:color="auto"/>
              <w:left w:val="single" w:sz="4" w:space="0" w:color="auto"/>
              <w:bottom w:val="single" w:sz="4" w:space="0" w:color="auto"/>
              <w:right w:val="single" w:sz="4" w:space="0" w:color="auto"/>
            </w:tcBorders>
          </w:tcPr>
          <w:p w14:paraId="44A3AEF7" w14:textId="77777777" w:rsidR="00CF3D86" w:rsidRDefault="00CF3D86" w:rsidP="00CF3D86">
            <w:pPr>
              <w:pStyle w:val="TableText-Left"/>
              <w:rPr>
                <w:rFonts w:cs="Arial"/>
                <w:color w:val="auto"/>
                <w:sz w:val="22"/>
                <w:szCs w:val="22"/>
              </w:rPr>
            </w:pPr>
            <w:r>
              <w:rPr>
                <w:rFonts w:cs="Arial"/>
                <w:color w:val="auto"/>
                <w:sz w:val="22"/>
                <w:szCs w:val="22"/>
              </w:rPr>
              <w:t>Mixed method surveying engineers who interact with any of the following touchpoints:</w:t>
            </w:r>
          </w:p>
          <w:p w14:paraId="567C0329" w14:textId="77777777" w:rsidR="00CF3D86" w:rsidRDefault="00CF3D86" w:rsidP="004E2262">
            <w:pPr>
              <w:pStyle w:val="TableText-Left"/>
              <w:numPr>
                <w:ilvl w:val="0"/>
                <w:numId w:val="108"/>
              </w:numPr>
              <w:rPr>
                <w:rFonts w:cs="Arial"/>
                <w:color w:val="auto"/>
                <w:sz w:val="22"/>
                <w:szCs w:val="22"/>
              </w:rPr>
            </w:pPr>
            <w:r>
              <w:rPr>
                <w:rFonts w:cs="Arial"/>
                <w:color w:val="auto"/>
                <w:sz w:val="22"/>
                <w:szCs w:val="22"/>
              </w:rPr>
              <w:t>Correspondence (email/letter)</w:t>
            </w:r>
          </w:p>
          <w:p w14:paraId="6E921608" w14:textId="77777777" w:rsidR="00CF3D86" w:rsidRDefault="00CF3D86" w:rsidP="004E2262">
            <w:pPr>
              <w:pStyle w:val="TableText-Left"/>
              <w:numPr>
                <w:ilvl w:val="0"/>
                <w:numId w:val="108"/>
              </w:numPr>
              <w:rPr>
                <w:rFonts w:cs="Arial"/>
                <w:color w:val="auto"/>
                <w:sz w:val="22"/>
                <w:szCs w:val="22"/>
              </w:rPr>
            </w:pPr>
            <w:r>
              <w:rPr>
                <w:rFonts w:cs="Arial"/>
                <w:color w:val="auto"/>
                <w:sz w:val="22"/>
                <w:szCs w:val="22"/>
              </w:rPr>
              <w:t>Events</w:t>
            </w:r>
          </w:p>
          <w:p w14:paraId="75641E73" w14:textId="77777777" w:rsidR="00CF3D86" w:rsidRDefault="00CF3D86" w:rsidP="004E2262">
            <w:pPr>
              <w:pStyle w:val="TableText-Left"/>
              <w:numPr>
                <w:ilvl w:val="0"/>
                <w:numId w:val="108"/>
              </w:numPr>
              <w:rPr>
                <w:rFonts w:cs="Arial"/>
                <w:color w:val="auto"/>
                <w:sz w:val="22"/>
                <w:szCs w:val="22"/>
              </w:rPr>
            </w:pPr>
            <w:r>
              <w:rPr>
                <w:rFonts w:cs="Arial"/>
                <w:color w:val="auto"/>
                <w:sz w:val="22"/>
                <w:szCs w:val="22"/>
              </w:rPr>
              <w:t>Face-to-face (inspections) captured via inspection leaflets</w:t>
            </w:r>
          </w:p>
          <w:p w14:paraId="1CF11133" w14:textId="77777777" w:rsidR="00CF3D86" w:rsidRDefault="00CF3D86" w:rsidP="004E2262">
            <w:pPr>
              <w:pStyle w:val="TableText-Left"/>
              <w:numPr>
                <w:ilvl w:val="0"/>
                <w:numId w:val="108"/>
              </w:numPr>
              <w:rPr>
                <w:rFonts w:cs="Arial"/>
                <w:color w:val="auto"/>
                <w:sz w:val="22"/>
                <w:szCs w:val="22"/>
              </w:rPr>
            </w:pPr>
            <w:r>
              <w:rPr>
                <w:rFonts w:cs="Arial"/>
                <w:color w:val="auto"/>
                <w:sz w:val="22"/>
                <w:szCs w:val="22"/>
              </w:rPr>
              <w:t>Telephone</w:t>
            </w:r>
          </w:p>
          <w:p w14:paraId="672D88E6" w14:textId="77777777" w:rsidR="00CF3D86" w:rsidRDefault="00CF3D86" w:rsidP="004E2262">
            <w:pPr>
              <w:pStyle w:val="TableText-Left"/>
              <w:numPr>
                <w:ilvl w:val="0"/>
                <w:numId w:val="108"/>
              </w:numPr>
              <w:rPr>
                <w:rFonts w:cs="Arial"/>
                <w:color w:val="auto"/>
                <w:sz w:val="22"/>
                <w:szCs w:val="22"/>
              </w:rPr>
            </w:pPr>
            <w:r>
              <w:rPr>
                <w:rFonts w:cs="Arial"/>
                <w:color w:val="auto"/>
                <w:sz w:val="22"/>
                <w:szCs w:val="22"/>
              </w:rPr>
              <w:t>Website</w:t>
            </w:r>
          </w:p>
          <w:p w14:paraId="6DA0C87F" w14:textId="088E773C" w:rsidR="00B074CC" w:rsidRPr="001A1836" w:rsidRDefault="00916DA7" w:rsidP="00916DA7">
            <w:pPr>
              <w:rPr>
                <w:rFonts w:cs="Arial"/>
                <w:i/>
                <w:szCs w:val="22"/>
              </w:rPr>
            </w:pPr>
            <w:r w:rsidRPr="001A1836">
              <w:rPr>
                <w:rFonts w:eastAsia="MS Mincho" w:cs="Arial"/>
                <w:szCs w:val="22"/>
              </w:rPr>
              <w:t xml:space="preserve">. </w:t>
            </w:r>
          </w:p>
        </w:tc>
      </w:tr>
      <w:tr w:rsidR="008E18BD" w:rsidRPr="001A1836" w14:paraId="0405FF24" w14:textId="77777777" w:rsidTr="00D279C3">
        <w:tc>
          <w:tcPr>
            <w:tcW w:w="1705" w:type="dxa"/>
            <w:tcBorders>
              <w:top w:val="single" w:sz="4" w:space="0" w:color="auto"/>
              <w:left w:val="single" w:sz="4" w:space="0" w:color="auto"/>
              <w:bottom w:val="single" w:sz="4" w:space="0" w:color="auto"/>
              <w:right w:val="single" w:sz="4" w:space="0" w:color="auto"/>
            </w:tcBorders>
          </w:tcPr>
          <w:p w14:paraId="31AFFAF2" w14:textId="77777777" w:rsidR="00B074CC" w:rsidRPr="001A1836" w:rsidRDefault="00B074CC" w:rsidP="00626054">
            <w:pPr>
              <w:rPr>
                <w:rFonts w:cs="Arial"/>
                <w:szCs w:val="22"/>
              </w:rPr>
            </w:pPr>
            <w:r w:rsidRPr="001A1836">
              <w:rPr>
                <w:rFonts w:cs="Arial"/>
                <w:szCs w:val="22"/>
              </w:rPr>
              <w:t>Data Capture</w:t>
            </w:r>
          </w:p>
        </w:tc>
        <w:tc>
          <w:tcPr>
            <w:tcW w:w="7305" w:type="dxa"/>
            <w:gridSpan w:val="2"/>
            <w:tcBorders>
              <w:top w:val="single" w:sz="4" w:space="0" w:color="auto"/>
              <w:left w:val="single" w:sz="4" w:space="0" w:color="auto"/>
              <w:bottom w:val="single" w:sz="4" w:space="0" w:color="auto"/>
              <w:right w:val="single" w:sz="4" w:space="0" w:color="auto"/>
            </w:tcBorders>
          </w:tcPr>
          <w:p w14:paraId="665AE023" w14:textId="77777777" w:rsidR="00CF3D86" w:rsidRDefault="00CF3D86" w:rsidP="00CF3D86">
            <w:pPr>
              <w:rPr>
                <w:rFonts w:cs="Arial"/>
                <w:kern w:val="0"/>
                <w:szCs w:val="22"/>
              </w:rPr>
            </w:pPr>
            <w:r>
              <w:rPr>
                <w:rFonts w:cs="Arial"/>
                <w:kern w:val="0"/>
                <w:szCs w:val="22"/>
              </w:rPr>
              <w:t>1000 completed surveys per year as a minimum, this will generate a robust annual figure, split across all touchpoints and then weighted using the agreed weighting set out in the KPI calculation.</w:t>
            </w:r>
          </w:p>
          <w:p w14:paraId="475587D7" w14:textId="58C7D6A4" w:rsidR="00CF3D86" w:rsidRDefault="00CF3D86" w:rsidP="00CF3D86">
            <w:pPr>
              <w:rPr>
                <w:rFonts w:cs="Arial"/>
                <w:kern w:val="0"/>
                <w:szCs w:val="22"/>
              </w:rPr>
            </w:pPr>
            <w:r>
              <w:rPr>
                <w:rFonts w:cs="Arial"/>
                <w:kern w:val="0"/>
                <w:szCs w:val="22"/>
              </w:rPr>
              <w:t xml:space="preserve">The target quarterly volume of interviews conducted by </w:t>
            </w:r>
            <w:r w:rsidR="00A1637B">
              <w:rPr>
                <w:rFonts w:cs="Arial"/>
                <w:kern w:val="0"/>
                <w:szCs w:val="22"/>
              </w:rPr>
              <w:t>the Provider's appointed survey consultant</w:t>
            </w:r>
            <w:r w:rsidR="00A1637B" w:rsidDel="00A1637B">
              <w:rPr>
                <w:rFonts w:cs="Arial"/>
                <w:kern w:val="0"/>
                <w:szCs w:val="22"/>
              </w:rPr>
              <w:t xml:space="preserve"> </w:t>
            </w:r>
            <w:r>
              <w:rPr>
                <w:rFonts w:cs="Arial"/>
                <w:kern w:val="0"/>
                <w:szCs w:val="22"/>
              </w:rPr>
              <w:t>, will be 500 inclusive of CATI.</w:t>
            </w:r>
          </w:p>
          <w:p w14:paraId="3954C493" w14:textId="6CBBA22B" w:rsidR="00B074CC" w:rsidRPr="001A1836" w:rsidRDefault="00B074CC">
            <w:pPr>
              <w:pStyle w:val="ListParagraph"/>
              <w:numPr>
                <w:ilvl w:val="0"/>
                <w:numId w:val="32"/>
              </w:numPr>
              <w:rPr>
                <w:rFonts w:cs="Arial"/>
                <w:i/>
              </w:rPr>
            </w:pPr>
          </w:p>
        </w:tc>
      </w:tr>
      <w:tr w:rsidR="008E18BD" w:rsidRPr="001A1836" w14:paraId="4F452A47" w14:textId="77777777" w:rsidTr="00D279C3">
        <w:tc>
          <w:tcPr>
            <w:tcW w:w="1705" w:type="dxa"/>
            <w:tcBorders>
              <w:top w:val="single" w:sz="4" w:space="0" w:color="auto"/>
              <w:left w:val="single" w:sz="4" w:space="0" w:color="auto"/>
              <w:bottom w:val="single" w:sz="4" w:space="0" w:color="auto"/>
              <w:right w:val="single" w:sz="4" w:space="0" w:color="auto"/>
            </w:tcBorders>
          </w:tcPr>
          <w:p w14:paraId="7519C358" w14:textId="77777777" w:rsidR="00B074CC" w:rsidRPr="001A1836" w:rsidRDefault="00B074CC" w:rsidP="00626054">
            <w:pPr>
              <w:rPr>
                <w:rFonts w:cs="Arial"/>
                <w:szCs w:val="22"/>
              </w:rPr>
            </w:pPr>
            <w:r w:rsidRPr="001A1836">
              <w:rPr>
                <w:rFonts w:cs="Arial"/>
                <w:szCs w:val="22"/>
              </w:rPr>
              <w:t>KPI calculation</w:t>
            </w:r>
          </w:p>
        </w:tc>
        <w:tc>
          <w:tcPr>
            <w:tcW w:w="7305" w:type="dxa"/>
            <w:gridSpan w:val="2"/>
            <w:tcBorders>
              <w:top w:val="single" w:sz="4" w:space="0" w:color="auto"/>
              <w:left w:val="single" w:sz="4" w:space="0" w:color="auto"/>
              <w:bottom w:val="single" w:sz="4" w:space="0" w:color="auto"/>
              <w:right w:val="single" w:sz="4" w:space="0" w:color="auto"/>
            </w:tcBorders>
          </w:tcPr>
          <w:p w14:paraId="5EF9F21E" w14:textId="77777777" w:rsidR="00CF3D86" w:rsidRDefault="00CF3D86" w:rsidP="00CF3D86">
            <w:pPr>
              <w:rPr>
                <w:rFonts w:cs="Arial"/>
                <w:kern w:val="0"/>
                <w:szCs w:val="22"/>
              </w:rPr>
            </w:pPr>
            <w:r>
              <w:rPr>
                <w:rFonts w:cs="Arial"/>
                <w:kern w:val="0"/>
                <w:szCs w:val="22"/>
              </w:rPr>
              <w:t>KPI 3 is split into two areas. The first area will equate to 80% of the overall KPI score, the second area will contribute 20% to the overall score.</w:t>
            </w:r>
          </w:p>
          <w:p w14:paraId="35CA60EF" w14:textId="77777777" w:rsidR="00CF3D86" w:rsidRDefault="00CF3D86" w:rsidP="00CF3D86">
            <w:pPr>
              <w:rPr>
                <w:rFonts w:cs="Arial"/>
                <w:kern w:val="0"/>
                <w:szCs w:val="22"/>
              </w:rPr>
            </w:pPr>
          </w:p>
          <w:p w14:paraId="2FF58A37" w14:textId="058231F1" w:rsidR="00CF3D86" w:rsidRDefault="00CF3D86" w:rsidP="004E2262">
            <w:pPr>
              <w:pStyle w:val="ListParagraph"/>
              <w:numPr>
                <w:ilvl w:val="0"/>
                <w:numId w:val="109"/>
              </w:numPr>
              <w:rPr>
                <w:rFonts w:cs="Arial"/>
              </w:rPr>
            </w:pPr>
            <w:r w:rsidRPr="007334B1">
              <w:rPr>
                <w:rFonts w:cs="Arial"/>
              </w:rPr>
              <w:t>Results captured through a survey</w:t>
            </w:r>
            <w:r>
              <w:rPr>
                <w:rFonts w:cs="Arial"/>
              </w:rPr>
              <w:t xml:space="preserve"> carried out by </w:t>
            </w:r>
            <w:r w:rsidR="00A1637B">
              <w:rPr>
                <w:rFonts w:cs="Arial"/>
              </w:rPr>
              <w:t>the Provider's appointed survey consultant</w:t>
            </w:r>
            <w:r>
              <w:rPr>
                <w:rFonts w:cs="Arial"/>
              </w:rPr>
              <w:t xml:space="preserve"> that will measure the overall satisfaction of each engineer touchpoint within the Register.</w:t>
            </w:r>
          </w:p>
          <w:p w14:paraId="79C42E34" w14:textId="77777777" w:rsidR="00CF3D86" w:rsidRDefault="00CF3D86" w:rsidP="00CF3D86">
            <w:pPr>
              <w:pStyle w:val="ListParagraph"/>
              <w:rPr>
                <w:rFonts w:cs="Arial"/>
              </w:rPr>
            </w:pPr>
          </w:p>
          <w:p w14:paraId="762D7301" w14:textId="77777777" w:rsidR="00CF3D86" w:rsidRDefault="00CF3D86" w:rsidP="00CF3D86">
            <w:pPr>
              <w:pStyle w:val="ListParagraph"/>
              <w:rPr>
                <w:rFonts w:cs="Arial"/>
              </w:rPr>
            </w:pPr>
            <w:r>
              <w:rPr>
                <w:rFonts w:cs="Arial"/>
              </w:rPr>
              <w:t xml:space="preserve">The KPI is measured using one question: </w:t>
            </w:r>
            <w:r w:rsidRPr="001F001A">
              <w:rPr>
                <w:rFonts w:cs="Arial"/>
                <w:b/>
              </w:rPr>
              <w:t>Overall, how satisfied are you with the service you received from Gas Safe Register?</w:t>
            </w:r>
          </w:p>
          <w:p w14:paraId="48A1DFC7" w14:textId="77777777" w:rsidR="00CF3D86" w:rsidRDefault="00CF3D86" w:rsidP="00CF3D86">
            <w:pPr>
              <w:pStyle w:val="ListParagraph"/>
              <w:rPr>
                <w:rFonts w:cs="Arial"/>
              </w:rPr>
            </w:pPr>
          </w:p>
          <w:p w14:paraId="0512BD39" w14:textId="77777777" w:rsidR="00CF3D86" w:rsidRDefault="00CF3D86" w:rsidP="00CF3D86">
            <w:pPr>
              <w:pStyle w:val="ListParagraph"/>
              <w:rPr>
                <w:rFonts w:cs="Arial"/>
              </w:rPr>
            </w:pPr>
            <w:r>
              <w:rPr>
                <w:rFonts w:cs="Arial"/>
              </w:rPr>
              <w:t>Engineers answer on a scale of 1 to 10 where 1 means ‘very dissatisfied’ and 10 means ‘very satisfied’. The mean score is multiplied by 10 to give a score out of 100.</w:t>
            </w:r>
          </w:p>
          <w:p w14:paraId="3AF1E4B6" w14:textId="77777777" w:rsidR="00CF3D86" w:rsidRDefault="00CF3D86" w:rsidP="00CF3D86">
            <w:pPr>
              <w:pStyle w:val="ListParagraph"/>
              <w:rPr>
                <w:rFonts w:cs="Arial"/>
              </w:rPr>
            </w:pPr>
          </w:p>
          <w:p w14:paraId="6CDFEC03" w14:textId="77777777" w:rsidR="00CF3D86" w:rsidRDefault="00CF3D86" w:rsidP="00CF3D86">
            <w:pPr>
              <w:pStyle w:val="ListParagraph"/>
              <w:rPr>
                <w:rFonts w:cs="Arial"/>
              </w:rPr>
            </w:pPr>
            <w:r>
              <w:rPr>
                <w:rFonts w:cs="Arial"/>
              </w:rPr>
              <w:t>Overall score for this element will be calculated as:</w:t>
            </w:r>
          </w:p>
          <w:p w14:paraId="656E1D62" w14:textId="77777777" w:rsidR="00CF3D86" w:rsidRDefault="00CF3D86" w:rsidP="00CF3D86">
            <w:pPr>
              <w:pStyle w:val="ListParagraph"/>
              <w:rPr>
                <w:rFonts w:cs="Arial"/>
              </w:rPr>
            </w:pPr>
          </w:p>
          <w:p w14:paraId="4C6A20D4" w14:textId="77777777" w:rsidR="00CF3D86" w:rsidRPr="001F001A" w:rsidRDefault="00CF3D86" w:rsidP="00CF3D86">
            <w:pPr>
              <w:pStyle w:val="ListParagraph"/>
              <w:rPr>
                <w:rFonts w:cs="Arial"/>
                <w:b/>
              </w:rPr>
            </w:pPr>
            <w:r w:rsidRPr="001F001A">
              <w:rPr>
                <w:rFonts w:cs="Arial"/>
                <w:b/>
              </w:rPr>
              <w:t>Mean score x 10 = % satisfied</w:t>
            </w:r>
          </w:p>
          <w:p w14:paraId="1E7A31E5" w14:textId="77777777" w:rsidR="00CF3D86" w:rsidRDefault="00CF3D86" w:rsidP="00CF3D86">
            <w:pPr>
              <w:pStyle w:val="ListParagraph"/>
              <w:rPr>
                <w:rFonts w:cs="Arial"/>
              </w:rPr>
            </w:pPr>
          </w:p>
          <w:p w14:paraId="50D8DF9A" w14:textId="77777777" w:rsidR="00CF3D86" w:rsidRDefault="00CF3D86" w:rsidP="00CF3D86">
            <w:pPr>
              <w:pStyle w:val="ListParagraph"/>
              <w:rPr>
                <w:rFonts w:cs="Arial"/>
              </w:rPr>
            </w:pPr>
            <w:r>
              <w:rPr>
                <w:rFonts w:cs="Arial"/>
              </w:rPr>
              <w:t>Data comes from a variety of different channels – links within emails sent out by Gas Safe Register, pop up and other links on the website, telephone interviews with those who have made contact by phone and surveys completed at events. In order to make sure that the result reflects the reality of ways in which engineers make contact, the data is weighted.</w:t>
            </w:r>
          </w:p>
          <w:p w14:paraId="2B0706BD" w14:textId="77777777" w:rsidR="00CF3D86" w:rsidRDefault="00CF3D86" w:rsidP="00CF3D86">
            <w:pPr>
              <w:pStyle w:val="ListParagraph"/>
              <w:rPr>
                <w:rFonts w:cs="Arial"/>
              </w:rPr>
            </w:pPr>
          </w:p>
          <w:p w14:paraId="479A5ACC" w14:textId="77777777" w:rsidR="00CF3D86" w:rsidRDefault="00CF3D86" w:rsidP="00CF3D86">
            <w:pPr>
              <w:pStyle w:val="ListParagraph"/>
              <w:rPr>
                <w:rFonts w:cs="Arial"/>
              </w:rPr>
            </w:pPr>
            <w:r>
              <w:rPr>
                <w:rFonts w:cs="Arial"/>
              </w:rPr>
              <w:lastRenderedPageBreak/>
              <w:t>Results will derive from the following channels and associated weightings:</w:t>
            </w:r>
          </w:p>
          <w:p w14:paraId="079A31A9" w14:textId="77777777" w:rsidR="00CF3D86" w:rsidRDefault="00CF3D86" w:rsidP="00CF3D86">
            <w:pPr>
              <w:pStyle w:val="ListParagraph"/>
              <w:rPr>
                <w:rFonts w:cs="Arial"/>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0"/>
              <w:gridCol w:w="1369"/>
            </w:tblGrid>
            <w:tr w:rsidR="00CF3D86" w14:paraId="5A450EAC" w14:textId="77777777" w:rsidTr="00CF3D86">
              <w:tc>
                <w:tcPr>
                  <w:tcW w:w="5000" w:type="dxa"/>
                </w:tcPr>
                <w:p w14:paraId="416FC2F0" w14:textId="77777777" w:rsidR="00CF3D86" w:rsidRDefault="00CF3D86" w:rsidP="00CF3D86">
                  <w:pPr>
                    <w:pStyle w:val="ListParagraph"/>
                    <w:ind w:left="0"/>
                    <w:rPr>
                      <w:rFonts w:cs="Arial"/>
                    </w:rPr>
                  </w:pPr>
                  <w:r>
                    <w:rPr>
                      <w:rFonts w:cs="Arial"/>
                    </w:rPr>
                    <w:t>Website</w:t>
                  </w:r>
                </w:p>
              </w:tc>
              <w:tc>
                <w:tcPr>
                  <w:tcW w:w="1369" w:type="dxa"/>
                </w:tcPr>
                <w:p w14:paraId="779640E8" w14:textId="77777777" w:rsidR="00CF3D86" w:rsidRDefault="00CF3D86" w:rsidP="00CF3D86">
                  <w:pPr>
                    <w:pStyle w:val="ListParagraph"/>
                    <w:ind w:left="0"/>
                    <w:jc w:val="right"/>
                    <w:rPr>
                      <w:rFonts w:cs="Arial"/>
                    </w:rPr>
                  </w:pPr>
                  <w:r>
                    <w:rPr>
                      <w:rFonts w:cs="Arial"/>
                    </w:rPr>
                    <w:t>81%</w:t>
                  </w:r>
                </w:p>
              </w:tc>
            </w:tr>
            <w:tr w:rsidR="00CF3D86" w14:paraId="360C377D" w14:textId="77777777" w:rsidTr="00CF3D86">
              <w:tc>
                <w:tcPr>
                  <w:tcW w:w="5000" w:type="dxa"/>
                </w:tcPr>
                <w:p w14:paraId="2650C935" w14:textId="77777777" w:rsidR="00CF3D86" w:rsidRDefault="00CF3D86" w:rsidP="00CF3D86">
                  <w:pPr>
                    <w:pStyle w:val="ListParagraph"/>
                    <w:ind w:left="0"/>
                    <w:rPr>
                      <w:rFonts w:cs="Arial"/>
                    </w:rPr>
                  </w:pPr>
                  <w:r>
                    <w:rPr>
                      <w:rFonts w:cs="Arial"/>
                    </w:rPr>
                    <w:t>Correspondence (includes inspection leaflets)</w:t>
                  </w:r>
                </w:p>
              </w:tc>
              <w:tc>
                <w:tcPr>
                  <w:tcW w:w="1369" w:type="dxa"/>
                </w:tcPr>
                <w:p w14:paraId="0443BF3D" w14:textId="77777777" w:rsidR="00CF3D86" w:rsidRDefault="00CF3D86" w:rsidP="00CF3D86">
                  <w:pPr>
                    <w:pStyle w:val="ListParagraph"/>
                    <w:ind w:left="0"/>
                    <w:jc w:val="right"/>
                    <w:rPr>
                      <w:rFonts w:cs="Arial"/>
                    </w:rPr>
                  </w:pPr>
                  <w:r>
                    <w:rPr>
                      <w:rFonts w:cs="Arial"/>
                    </w:rPr>
                    <w:t>13%</w:t>
                  </w:r>
                </w:p>
              </w:tc>
            </w:tr>
            <w:tr w:rsidR="00CF3D86" w14:paraId="600D9044" w14:textId="77777777" w:rsidTr="00CF3D86">
              <w:tc>
                <w:tcPr>
                  <w:tcW w:w="5000" w:type="dxa"/>
                </w:tcPr>
                <w:p w14:paraId="0DB99652" w14:textId="77777777" w:rsidR="00CF3D86" w:rsidRDefault="00CF3D86" w:rsidP="00CF3D86">
                  <w:pPr>
                    <w:pStyle w:val="ListParagraph"/>
                    <w:ind w:left="0"/>
                    <w:rPr>
                      <w:rFonts w:cs="Arial"/>
                    </w:rPr>
                  </w:pPr>
                  <w:r>
                    <w:rPr>
                      <w:rFonts w:cs="Arial"/>
                    </w:rPr>
                    <w:t>Events</w:t>
                  </w:r>
                </w:p>
              </w:tc>
              <w:tc>
                <w:tcPr>
                  <w:tcW w:w="1369" w:type="dxa"/>
                </w:tcPr>
                <w:p w14:paraId="23C88E73" w14:textId="77777777" w:rsidR="00CF3D86" w:rsidRDefault="00CF3D86" w:rsidP="00CF3D86">
                  <w:pPr>
                    <w:pStyle w:val="ListParagraph"/>
                    <w:ind w:left="0"/>
                    <w:jc w:val="right"/>
                    <w:rPr>
                      <w:rFonts w:cs="Arial"/>
                    </w:rPr>
                  </w:pPr>
                  <w:r>
                    <w:rPr>
                      <w:rFonts w:cs="Arial"/>
                    </w:rPr>
                    <w:t>6%</w:t>
                  </w:r>
                </w:p>
              </w:tc>
            </w:tr>
          </w:tbl>
          <w:p w14:paraId="03646D47" w14:textId="77777777" w:rsidR="00CF3D86" w:rsidRDefault="00CF3D86" w:rsidP="00CF3D86">
            <w:pPr>
              <w:pStyle w:val="ListParagraph"/>
              <w:rPr>
                <w:rFonts w:cs="Arial"/>
              </w:rPr>
            </w:pPr>
          </w:p>
          <w:p w14:paraId="3EC0F7D6" w14:textId="77777777" w:rsidR="00CF3D86" w:rsidRDefault="00CF3D86" w:rsidP="004E2262">
            <w:pPr>
              <w:pStyle w:val="ListParagraph"/>
              <w:numPr>
                <w:ilvl w:val="0"/>
                <w:numId w:val="109"/>
              </w:numPr>
              <w:rPr>
                <w:rFonts w:cs="Arial"/>
              </w:rPr>
            </w:pPr>
            <w:r>
              <w:rPr>
                <w:rFonts w:cs="Arial"/>
              </w:rPr>
              <w:t>The second area will equate to 20% of the overall KPI score, with results captures via Interactive Voice Response (IVR) polling.</w:t>
            </w:r>
          </w:p>
          <w:p w14:paraId="0BF0ABAE" w14:textId="77777777" w:rsidR="00CF3D86" w:rsidRDefault="00CF3D86" w:rsidP="00CF3D86">
            <w:pPr>
              <w:pStyle w:val="ListParagraph"/>
              <w:rPr>
                <w:rFonts w:cs="Arial"/>
              </w:rPr>
            </w:pPr>
          </w:p>
          <w:p w14:paraId="2AF6EB02" w14:textId="77777777" w:rsidR="00CF3D86" w:rsidRDefault="00CF3D86" w:rsidP="00CF3D86">
            <w:pPr>
              <w:pStyle w:val="ListParagraph"/>
              <w:rPr>
                <w:rFonts w:cs="Arial"/>
              </w:rPr>
            </w:pPr>
            <w:r>
              <w:rPr>
                <w:rFonts w:cs="Arial"/>
              </w:rPr>
              <w:t xml:space="preserve">Engineers will be asked to answer yes/no to the question </w:t>
            </w:r>
            <w:r w:rsidRPr="005B40CB">
              <w:rPr>
                <w:rFonts w:cs="Arial"/>
                <w:b/>
              </w:rPr>
              <w:t>‘Were you satisfied with the service today?’</w:t>
            </w:r>
          </w:p>
          <w:p w14:paraId="5DA2796D" w14:textId="77777777" w:rsidR="00CF3D86" w:rsidRDefault="00CF3D86" w:rsidP="00CF3D86">
            <w:pPr>
              <w:pStyle w:val="ListParagraph"/>
              <w:rPr>
                <w:rFonts w:cs="Arial"/>
              </w:rPr>
            </w:pPr>
          </w:p>
          <w:p w14:paraId="3D19324D" w14:textId="77777777" w:rsidR="00CF3D86" w:rsidRDefault="00CF3D86" w:rsidP="00CF3D86">
            <w:pPr>
              <w:pStyle w:val="ListParagraph"/>
              <w:rPr>
                <w:rFonts w:cs="Arial"/>
              </w:rPr>
            </w:pPr>
            <w:r>
              <w:rPr>
                <w:rFonts w:cs="Arial"/>
              </w:rPr>
              <w:t>Overall score for this element will be calculated as:</w:t>
            </w:r>
          </w:p>
          <w:p w14:paraId="0AAB7670" w14:textId="77777777" w:rsidR="00CF3D86" w:rsidRDefault="00CF3D86" w:rsidP="00CF3D86">
            <w:pPr>
              <w:pStyle w:val="ListParagraph"/>
              <w:rPr>
                <w:rFonts w:cs="Arial"/>
              </w:rPr>
            </w:pPr>
          </w:p>
          <w:tbl>
            <w:tblPr>
              <w:tblStyle w:val="TableGrid"/>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78"/>
              <w:gridCol w:w="3402"/>
              <w:gridCol w:w="893"/>
            </w:tblGrid>
            <w:tr w:rsidR="00CF3D86" w14:paraId="6A6E2A41" w14:textId="77777777" w:rsidTr="00CF3D86">
              <w:tc>
                <w:tcPr>
                  <w:tcW w:w="1578" w:type="dxa"/>
                  <w:vMerge w:val="restart"/>
                  <w:vAlign w:val="center"/>
                </w:tcPr>
                <w:p w14:paraId="6EEB5E95" w14:textId="77777777" w:rsidR="00CF3D86" w:rsidRDefault="00CF3D86" w:rsidP="00CF3D86">
                  <w:pPr>
                    <w:pStyle w:val="ListParagraph"/>
                    <w:spacing w:after="60"/>
                    <w:ind w:left="0"/>
                    <w:rPr>
                      <w:rFonts w:cs="Arial"/>
                    </w:rPr>
                  </w:pPr>
                  <w:r>
                    <w:rPr>
                      <w:rFonts w:cs="Arial"/>
                    </w:rPr>
                    <w:t>% satisfied =</w:t>
                  </w:r>
                </w:p>
              </w:tc>
              <w:tc>
                <w:tcPr>
                  <w:tcW w:w="3402" w:type="dxa"/>
                  <w:vAlign w:val="center"/>
                </w:tcPr>
                <w:p w14:paraId="5698674C" w14:textId="77777777" w:rsidR="00CF3D86" w:rsidRDefault="00CF3D86" w:rsidP="00CF3D86">
                  <w:pPr>
                    <w:pStyle w:val="ListParagraph"/>
                    <w:spacing w:after="60"/>
                    <w:ind w:left="0"/>
                    <w:jc w:val="center"/>
                    <w:rPr>
                      <w:rFonts w:cs="Arial"/>
                    </w:rPr>
                  </w:pPr>
                  <w:r>
                    <w:rPr>
                      <w:rFonts w:cs="Arial"/>
                    </w:rPr>
                    <w:t>Total number of engineers answering ‘yes’</w:t>
                  </w:r>
                </w:p>
              </w:tc>
              <w:tc>
                <w:tcPr>
                  <w:tcW w:w="893" w:type="dxa"/>
                  <w:vMerge w:val="restart"/>
                  <w:vAlign w:val="center"/>
                </w:tcPr>
                <w:p w14:paraId="2FBFC17A" w14:textId="77777777" w:rsidR="00CF3D86" w:rsidRDefault="00CF3D86" w:rsidP="00CF3D86">
                  <w:pPr>
                    <w:pStyle w:val="ListParagraph"/>
                    <w:spacing w:after="60"/>
                    <w:ind w:left="0"/>
                    <w:rPr>
                      <w:rFonts w:cs="Arial"/>
                    </w:rPr>
                  </w:pPr>
                  <w:r>
                    <w:rPr>
                      <w:rFonts w:cs="Arial"/>
                    </w:rPr>
                    <w:t>X 100</w:t>
                  </w:r>
                </w:p>
              </w:tc>
            </w:tr>
            <w:tr w:rsidR="00CF3D86" w14:paraId="7814A638" w14:textId="77777777" w:rsidTr="00CF3D86">
              <w:tc>
                <w:tcPr>
                  <w:tcW w:w="1578" w:type="dxa"/>
                  <w:vMerge/>
                </w:tcPr>
                <w:p w14:paraId="1F57DDA7" w14:textId="77777777" w:rsidR="00CF3D86" w:rsidRDefault="00CF3D86" w:rsidP="00CF3D86">
                  <w:pPr>
                    <w:pStyle w:val="ListParagraph"/>
                    <w:spacing w:after="60"/>
                    <w:ind w:left="0"/>
                    <w:rPr>
                      <w:rFonts w:cs="Arial"/>
                    </w:rPr>
                  </w:pPr>
                </w:p>
              </w:tc>
              <w:tc>
                <w:tcPr>
                  <w:tcW w:w="3402" w:type="dxa"/>
                </w:tcPr>
                <w:p w14:paraId="08DF0193" w14:textId="77777777" w:rsidR="00CF3D86" w:rsidRDefault="00CF3D86" w:rsidP="00CF3D86">
                  <w:pPr>
                    <w:pStyle w:val="ListParagraph"/>
                    <w:spacing w:after="60"/>
                    <w:ind w:left="0"/>
                    <w:jc w:val="center"/>
                    <w:rPr>
                      <w:rFonts w:cs="Arial"/>
                    </w:rPr>
                  </w:pPr>
                  <w:r>
                    <w:rPr>
                      <w:rFonts w:cs="Arial"/>
                    </w:rPr>
                    <w:t>Total number of engineers surveyed</w:t>
                  </w:r>
                </w:p>
              </w:tc>
              <w:tc>
                <w:tcPr>
                  <w:tcW w:w="893" w:type="dxa"/>
                  <w:vMerge/>
                </w:tcPr>
                <w:p w14:paraId="6E4C16D4" w14:textId="77777777" w:rsidR="00CF3D86" w:rsidRDefault="00CF3D86" w:rsidP="00CF3D86">
                  <w:pPr>
                    <w:pStyle w:val="ListParagraph"/>
                    <w:spacing w:after="60"/>
                    <w:ind w:left="0"/>
                    <w:rPr>
                      <w:rFonts w:cs="Arial"/>
                    </w:rPr>
                  </w:pPr>
                </w:p>
              </w:tc>
            </w:tr>
          </w:tbl>
          <w:p w14:paraId="1B534CBE" w14:textId="6E592398" w:rsidR="00916DA7" w:rsidRPr="001A1836" w:rsidRDefault="00916DA7" w:rsidP="00916DA7">
            <w:pPr>
              <w:rPr>
                <w:rFonts w:cs="Arial"/>
                <w:kern w:val="0"/>
                <w:szCs w:val="22"/>
              </w:rPr>
            </w:pPr>
          </w:p>
          <w:p w14:paraId="480DAA25" w14:textId="5D686B94" w:rsidR="00B074CC" w:rsidRPr="001A1836" w:rsidRDefault="00916DA7" w:rsidP="00916DA7">
            <w:pPr>
              <w:rPr>
                <w:rFonts w:cs="Arial"/>
                <w:i/>
                <w:szCs w:val="22"/>
              </w:rPr>
            </w:pPr>
            <w:r w:rsidRPr="001A1836" w:rsidDel="00916DA7">
              <w:rPr>
                <w:rFonts w:cs="Arial"/>
                <w:i/>
                <w:szCs w:val="22"/>
              </w:rPr>
              <w:t xml:space="preserve"> </w:t>
            </w:r>
          </w:p>
        </w:tc>
      </w:tr>
      <w:tr w:rsidR="008E18BD" w:rsidRPr="001A1836" w14:paraId="00B8FF3E" w14:textId="77777777" w:rsidTr="00D279C3">
        <w:tc>
          <w:tcPr>
            <w:tcW w:w="1705" w:type="dxa"/>
            <w:tcBorders>
              <w:top w:val="single" w:sz="4" w:space="0" w:color="auto"/>
              <w:left w:val="single" w:sz="4" w:space="0" w:color="auto"/>
              <w:bottom w:val="single" w:sz="4" w:space="0" w:color="auto"/>
              <w:right w:val="single" w:sz="4" w:space="0" w:color="auto"/>
            </w:tcBorders>
            <w:hideMark/>
          </w:tcPr>
          <w:p w14:paraId="2B73C1A8" w14:textId="77777777" w:rsidR="00B074CC" w:rsidRPr="001A1836" w:rsidRDefault="00B074CC" w:rsidP="00626054">
            <w:pPr>
              <w:rPr>
                <w:rFonts w:cs="Arial"/>
                <w:szCs w:val="22"/>
              </w:rPr>
            </w:pPr>
            <w:r w:rsidRPr="001A1836">
              <w:rPr>
                <w:rFonts w:cs="Arial"/>
                <w:szCs w:val="22"/>
              </w:rPr>
              <w:lastRenderedPageBreak/>
              <w:t>Timing of calculation</w:t>
            </w:r>
          </w:p>
        </w:tc>
        <w:tc>
          <w:tcPr>
            <w:tcW w:w="7305" w:type="dxa"/>
            <w:gridSpan w:val="2"/>
            <w:tcBorders>
              <w:top w:val="single" w:sz="4" w:space="0" w:color="auto"/>
              <w:left w:val="single" w:sz="4" w:space="0" w:color="auto"/>
              <w:bottom w:val="single" w:sz="4" w:space="0" w:color="auto"/>
              <w:right w:val="single" w:sz="4" w:space="0" w:color="auto"/>
            </w:tcBorders>
            <w:hideMark/>
          </w:tcPr>
          <w:p w14:paraId="2D7BC81E" w14:textId="0F0204A1" w:rsidR="00B074CC" w:rsidRPr="001A1836" w:rsidRDefault="00CF3D86" w:rsidP="008C5710">
            <w:pPr>
              <w:rPr>
                <w:rFonts w:cs="Arial"/>
                <w:szCs w:val="22"/>
              </w:rPr>
            </w:pPr>
            <w:r>
              <w:rPr>
                <w:rFonts w:cs="Arial"/>
                <w:szCs w:val="22"/>
              </w:rPr>
              <w:t xml:space="preserve">Results will be captured daily and reported quarterly to HSE. </w:t>
            </w:r>
            <w:r w:rsidR="00B074CC" w:rsidRPr="001A1836">
              <w:rPr>
                <w:rFonts w:cs="Arial"/>
                <w:szCs w:val="22"/>
              </w:rPr>
              <w:t xml:space="preserve">Performance is calculated </w:t>
            </w:r>
            <w:r w:rsidR="0060095F">
              <w:rPr>
                <w:rFonts w:cs="Arial"/>
                <w:szCs w:val="22"/>
              </w:rPr>
              <w:t>at the end of each Contract Year for the purposes of paragraphs 4 and 5 of Schedule 5 (Financial Model and Gain Share)</w:t>
            </w:r>
            <w:r w:rsidR="00B074CC" w:rsidRPr="001A1836">
              <w:rPr>
                <w:rFonts w:cs="Arial"/>
                <w:szCs w:val="22"/>
              </w:rPr>
              <w:t>.</w:t>
            </w:r>
          </w:p>
        </w:tc>
      </w:tr>
      <w:tr w:rsidR="008E18BD" w:rsidRPr="001A1836" w14:paraId="182EAEB4" w14:textId="77777777" w:rsidTr="00D279C3">
        <w:tc>
          <w:tcPr>
            <w:tcW w:w="1705" w:type="dxa"/>
            <w:tcBorders>
              <w:top w:val="single" w:sz="4" w:space="0" w:color="auto"/>
              <w:left w:val="single" w:sz="4" w:space="0" w:color="auto"/>
              <w:bottom w:val="single" w:sz="4" w:space="0" w:color="auto"/>
              <w:right w:val="single" w:sz="4" w:space="0" w:color="auto"/>
            </w:tcBorders>
            <w:hideMark/>
          </w:tcPr>
          <w:p w14:paraId="5424A6EB" w14:textId="77777777" w:rsidR="00B074CC" w:rsidRPr="001A1836" w:rsidRDefault="00B074CC" w:rsidP="00626054">
            <w:pPr>
              <w:rPr>
                <w:rFonts w:cs="Arial"/>
                <w:szCs w:val="22"/>
              </w:rPr>
            </w:pPr>
            <w:r w:rsidRPr="001A1836">
              <w:rPr>
                <w:rFonts w:cs="Arial"/>
                <w:szCs w:val="22"/>
              </w:rPr>
              <w:t>KPI Target</w:t>
            </w:r>
          </w:p>
        </w:tc>
        <w:tc>
          <w:tcPr>
            <w:tcW w:w="7305" w:type="dxa"/>
            <w:gridSpan w:val="2"/>
            <w:tcBorders>
              <w:top w:val="single" w:sz="4" w:space="0" w:color="auto"/>
              <w:left w:val="single" w:sz="4" w:space="0" w:color="auto"/>
              <w:bottom w:val="single" w:sz="4" w:space="0" w:color="auto"/>
              <w:right w:val="single" w:sz="4" w:space="0" w:color="auto"/>
            </w:tcBorders>
            <w:hideMark/>
          </w:tcPr>
          <w:p w14:paraId="1963603E" w14:textId="323C1A53" w:rsidR="0040096E" w:rsidRDefault="0040096E" w:rsidP="00CF3D86">
            <w:pPr>
              <w:rPr>
                <w:rFonts w:cs="Arial"/>
                <w:kern w:val="0"/>
                <w:szCs w:val="22"/>
              </w:rPr>
            </w:pPr>
            <w:r>
              <w:rPr>
                <w:rFonts w:cs="Arial"/>
                <w:kern w:val="0"/>
                <w:szCs w:val="22"/>
              </w:rPr>
              <w:t>The Year 1 KPI Target is 7</w:t>
            </w:r>
            <w:r w:rsidR="005306AB">
              <w:rPr>
                <w:rFonts w:cs="Arial"/>
                <w:kern w:val="0"/>
                <w:szCs w:val="22"/>
              </w:rPr>
              <w:t>0</w:t>
            </w:r>
            <w:r>
              <w:rPr>
                <w:rFonts w:cs="Arial"/>
                <w:kern w:val="0"/>
                <w:szCs w:val="22"/>
              </w:rPr>
              <w:t>%.</w:t>
            </w:r>
          </w:p>
          <w:p w14:paraId="5A4EBBBB" w14:textId="77777777" w:rsidR="00CF3D86" w:rsidRDefault="00CF3D86" w:rsidP="00CF3D86">
            <w:pPr>
              <w:rPr>
                <w:rFonts w:cs="Arial"/>
                <w:kern w:val="0"/>
                <w:szCs w:val="22"/>
              </w:rPr>
            </w:pPr>
          </w:p>
          <w:p w14:paraId="1D246475" w14:textId="40FB04D1" w:rsidR="00B074CC" w:rsidRPr="001A1836" w:rsidRDefault="00B074CC" w:rsidP="00626054">
            <w:pPr>
              <w:rPr>
                <w:rFonts w:cs="Arial"/>
                <w:i/>
                <w:szCs w:val="22"/>
              </w:rPr>
            </w:pPr>
          </w:p>
        </w:tc>
      </w:tr>
      <w:tr w:rsidR="00B51918" w:rsidRPr="001A1836" w14:paraId="3CBEC4E8" w14:textId="77777777" w:rsidTr="00D279C3">
        <w:tc>
          <w:tcPr>
            <w:tcW w:w="1705" w:type="dxa"/>
            <w:tcBorders>
              <w:top w:val="single" w:sz="4" w:space="0" w:color="auto"/>
              <w:left w:val="single" w:sz="4" w:space="0" w:color="auto"/>
              <w:bottom w:val="single" w:sz="4" w:space="0" w:color="auto"/>
              <w:right w:val="single" w:sz="4" w:space="0" w:color="auto"/>
            </w:tcBorders>
          </w:tcPr>
          <w:p w14:paraId="51F0ECD5" w14:textId="77777777" w:rsidR="00B51918" w:rsidRPr="001A1836" w:rsidRDefault="00B51918" w:rsidP="00B51918">
            <w:pPr>
              <w:rPr>
                <w:rFonts w:cs="Arial"/>
                <w:szCs w:val="22"/>
              </w:rPr>
            </w:pPr>
          </w:p>
        </w:tc>
        <w:tc>
          <w:tcPr>
            <w:tcW w:w="5182" w:type="dxa"/>
            <w:tcBorders>
              <w:top w:val="single" w:sz="4" w:space="0" w:color="auto"/>
              <w:left w:val="single" w:sz="4" w:space="0" w:color="auto"/>
              <w:bottom w:val="single" w:sz="4" w:space="0" w:color="auto"/>
              <w:right w:val="single" w:sz="4" w:space="0" w:color="auto"/>
            </w:tcBorders>
            <w:hideMark/>
          </w:tcPr>
          <w:p w14:paraId="22BA7F1F" w14:textId="77777777" w:rsidR="00B51918" w:rsidRPr="001A1836" w:rsidRDefault="00B51918" w:rsidP="00B51918">
            <w:pPr>
              <w:rPr>
                <w:rFonts w:cs="Arial"/>
                <w:b/>
                <w:szCs w:val="22"/>
              </w:rPr>
            </w:pPr>
            <w:r w:rsidRPr="001A1836">
              <w:rPr>
                <w:rFonts w:cs="Arial"/>
                <w:b/>
                <w:szCs w:val="22"/>
              </w:rPr>
              <w:t>KPI outcome</w:t>
            </w:r>
          </w:p>
        </w:tc>
        <w:tc>
          <w:tcPr>
            <w:tcW w:w="2123" w:type="dxa"/>
            <w:tcBorders>
              <w:top w:val="single" w:sz="4" w:space="0" w:color="auto"/>
              <w:left w:val="single" w:sz="4" w:space="0" w:color="auto"/>
              <w:bottom w:val="single" w:sz="4" w:space="0" w:color="auto"/>
              <w:right w:val="single" w:sz="4" w:space="0" w:color="auto"/>
            </w:tcBorders>
            <w:hideMark/>
          </w:tcPr>
          <w:p w14:paraId="67AB96A2" w14:textId="23F21498" w:rsidR="00B51918" w:rsidRPr="001A1836" w:rsidRDefault="00B51918" w:rsidP="00946A1A">
            <w:pPr>
              <w:rPr>
                <w:rFonts w:cs="Arial"/>
                <w:b/>
                <w:szCs w:val="22"/>
              </w:rPr>
            </w:pPr>
            <w:r w:rsidRPr="001A1836">
              <w:rPr>
                <w:rFonts w:cs="Arial"/>
                <w:b/>
                <w:szCs w:val="22"/>
              </w:rPr>
              <w:t xml:space="preserve">Reduction in </w:t>
            </w:r>
            <w:r w:rsidR="0060095F">
              <w:rPr>
                <w:rFonts w:cs="Arial"/>
                <w:b/>
                <w:szCs w:val="22"/>
              </w:rPr>
              <w:t xml:space="preserve">each of (i) </w:t>
            </w:r>
            <w:r w:rsidR="00946A1A">
              <w:rPr>
                <w:rFonts w:cs="Arial"/>
                <w:b/>
                <w:szCs w:val="22"/>
              </w:rPr>
              <w:t>Provisional</w:t>
            </w:r>
            <w:r w:rsidR="0060095F">
              <w:rPr>
                <w:rFonts w:cs="Arial"/>
                <w:b/>
                <w:szCs w:val="22"/>
              </w:rPr>
              <w:t xml:space="preserve"> Provider Profit and (ii) </w:t>
            </w:r>
            <w:r w:rsidRPr="001A1836">
              <w:rPr>
                <w:rFonts w:cs="Arial"/>
                <w:b/>
                <w:szCs w:val="22"/>
              </w:rPr>
              <w:t>Provisional Provider Gain Share Funds</w:t>
            </w:r>
          </w:p>
        </w:tc>
      </w:tr>
      <w:tr w:rsidR="000D051E" w:rsidRPr="001A1836" w14:paraId="64DD0242" w14:textId="77777777" w:rsidTr="00D279C3">
        <w:tc>
          <w:tcPr>
            <w:tcW w:w="1705" w:type="dxa"/>
            <w:tcBorders>
              <w:top w:val="single" w:sz="4" w:space="0" w:color="auto"/>
              <w:left w:val="single" w:sz="4" w:space="0" w:color="auto"/>
              <w:bottom w:val="single" w:sz="4" w:space="0" w:color="auto"/>
              <w:right w:val="single" w:sz="4" w:space="0" w:color="auto"/>
            </w:tcBorders>
            <w:hideMark/>
          </w:tcPr>
          <w:p w14:paraId="7D94BC03" w14:textId="77777777" w:rsidR="000D051E" w:rsidRPr="001A1836" w:rsidRDefault="000D051E" w:rsidP="000D051E">
            <w:pPr>
              <w:rPr>
                <w:rFonts w:cs="Arial"/>
                <w:szCs w:val="22"/>
              </w:rPr>
            </w:pPr>
            <w:r w:rsidRPr="001A1836">
              <w:rPr>
                <w:rFonts w:cs="Arial"/>
                <w:szCs w:val="22"/>
              </w:rPr>
              <w:t>KPI target met</w:t>
            </w:r>
          </w:p>
        </w:tc>
        <w:tc>
          <w:tcPr>
            <w:tcW w:w="5182" w:type="dxa"/>
            <w:tcBorders>
              <w:top w:val="single" w:sz="4" w:space="0" w:color="auto"/>
              <w:left w:val="single" w:sz="4" w:space="0" w:color="auto"/>
              <w:bottom w:val="single" w:sz="4" w:space="0" w:color="auto"/>
              <w:right w:val="single" w:sz="4" w:space="0" w:color="auto"/>
            </w:tcBorders>
            <w:hideMark/>
          </w:tcPr>
          <w:p w14:paraId="6FCAB52D" w14:textId="77777777" w:rsidR="000D051E" w:rsidRDefault="000D051E" w:rsidP="000D051E">
            <w:pPr>
              <w:rPr>
                <w:rFonts w:cs="Arial"/>
                <w:i/>
                <w:szCs w:val="22"/>
              </w:rPr>
            </w:pPr>
            <w:r>
              <w:rPr>
                <w:rFonts w:cs="Arial"/>
                <w:i/>
                <w:szCs w:val="22"/>
              </w:rPr>
              <w:t>Year 1: 95% of agreed target</w:t>
            </w:r>
          </w:p>
          <w:p w14:paraId="4DFDC716" w14:textId="57A6AD44" w:rsidR="000D051E" w:rsidRPr="001A1836" w:rsidRDefault="000D051E" w:rsidP="000D051E">
            <w:pPr>
              <w:rPr>
                <w:rFonts w:cs="Arial"/>
                <w:i/>
                <w:szCs w:val="22"/>
              </w:rPr>
            </w:pPr>
            <w:r>
              <w:rPr>
                <w:rFonts w:cs="Arial"/>
                <w:i/>
                <w:szCs w:val="22"/>
              </w:rPr>
              <w:t>Years 2 to 5: 100% of agreed target</w:t>
            </w:r>
          </w:p>
        </w:tc>
        <w:tc>
          <w:tcPr>
            <w:tcW w:w="2123" w:type="dxa"/>
            <w:tcBorders>
              <w:top w:val="single" w:sz="4" w:space="0" w:color="auto"/>
              <w:left w:val="single" w:sz="4" w:space="0" w:color="auto"/>
              <w:bottom w:val="single" w:sz="4" w:space="0" w:color="auto"/>
              <w:right w:val="single" w:sz="4" w:space="0" w:color="auto"/>
            </w:tcBorders>
            <w:hideMark/>
          </w:tcPr>
          <w:p w14:paraId="1BCB648C" w14:textId="5BAFD6D0" w:rsidR="000D051E" w:rsidRPr="001A1836" w:rsidRDefault="000D051E" w:rsidP="000D051E">
            <w:pPr>
              <w:rPr>
                <w:rFonts w:cs="Arial"/>
                <w:szCs w:val="22"/>
              </w:rPr>
            </w:pPr>
            <w:r w:rsidRPr="001A1836">
              <w:rPr>
                <w:rFonts w:cs="Arial"/>
                <w:szCs w:val="22"/>
              </w:rPr>
              <w:t>0</w:t>
            </w:r>
          </w:p>
        </w:tc>
      </w:tr>
      <w:tr w:rsidR="000D051E" w:rsidRPr="001A1836" w14:paraId="63D2F98A" w14:textId="77777777" w:rsidTr="00D279C3">
        <w:tc>
          <w:tcPr>
            <w:tcW w:w="1705" w:type="dxa"/>
            <w:tcBorders>
              <w:top w:val="single" w:sz="4" w:space="0" w:color="auto"/>
              <w:left w:val="single" w:sz="4" w:space="0" w:color="auto"/>
              <w:bottom w:val="single" w:sz="4" w:space="0" w:color="auto"/>
              <w:right w:val="single" w:sz="4" w:space="0" w:color="auto"/>
            </w:tcBorders>
            <w:hideMark/>
          </w:tcPr>
          <w:p w14:paraId="0DAC8F0C" w14:textId="77777777" w:rsidR="000D051E" w:rsidRPr="001A1836" w:rsidRDefault="000D051E" w:rsidP="000D051E">
            <w:pPr>
              <w:rPr>
                <w:rFonts w:cs="Arial"/>
                <w:szCs w:val="22"/>
              </w:rPr>
            </w:pPr>
            <w:r w:rsidRPr="001A1836">
              <w:rPr>
                <w:rFonts w:cs="Arial"/>
                <w:szCs w:val="22"/>
              </w:rPr>
              <w:t>Minor KPI Failure</w:t>
            </w:r>
          </w:p>
        </w:tc>
        <w:tc>
          <w:tcPr>
            <w:tcW w:w="5182" w:type="dxa"/>
            <w:tcBorders>
              <w:top w:val="single" w:sz="4" w:space="0" w:color="auto"/>
              <w:left w:val="single" w:sz="4" w:space="0" w:color="auto"/>
              <w:bottom w:val="single" w:sz="4" w:space="0" w:color="auto"/>
              <w:right w:val="single" w:sz="4" w:space="0" w:color="auto"/>
            </w:tcBorders>
            <w:hideMark/>
          </w:tcPr>
          <w:p w14:paraId="38974232" w14:textId="68663D99" w:rsidR="000D051E" w:rsidRDefault="000D051E" w:rsidP="000D051E">
            <w:pPr>
              <w:rPr>
                <w:rFonts w:cs="Arial"/>
                <w:i/>
                <w:szCs w:val="22"/>
              </w:rPr>
            </w:pPr>
            <w:r>
              <w:rPr>
                <w:rFonts w:cs="Arial"/>
                <w:i/>
                <w:szCs w:val="22"/>
              </w:rPr>
              <w:t>Year 1: Between 9</w:t>
            </w:r>
            <w:r w:rsidR="00130AF6">
              <w:rPr>
                <w:rFonts w:cs="Arial"/>
                <w:i/>
                <w:szCs w:val="22"/>
              </w:rPr>
              <w:t>2.9</w:t>
            </w:r>
            <w:r>
              <w:rPr>
                <w:rFonts w:cs="Arial"/>
                <w:i/>
                <w:szCs w:val="22"/>
              </w:rPr>
              <w:t>% and 94.9% of agreed target</w:t>
            </w:r>
          </w:p>
          <w:p w14:paraId="2FF87682" w14:textId="004AB31F" w:rsidR="000D051E" w:rsidRPr="001A1836" w:rsidRDefault="000D051E" w:rsidP="000D051E">
            <w:pPr>
              <w:rPr>
                <w:rFonts w:cs="Arial"/>
                <w:i/>
                <w:szCs w:val="22"/>
              </w:rPr>
            </w:pPr>
            <w:r>
              <w:rPr>
                <w:rFonts w:cs="Arial"/>
                <w:i/>
                <w:szCs w:val="22"/>
              </w:rPr>
              <w:t>Years 2 to 5: Between 98% and 99.9% of agreed target</w:t>
            </w:r>
          </w:p>
        </w:tc>
        <w:tc>
          <w:tcPr>
            <w:tcW w:w="2123" w:type="dxa"/>
            <w:tcBorders>
              <w:top w:val="single" w:sz="4" w:space="0" w:color="auto"/>
              <w:left w:val="single" w:sz="4" w:space="0" w:color="auto"/>
              <w:bottom w:val="single" w:sz="4" w:space="0" w:color="auto"/>
              <w:right w:val="single" w:sz="4" w:space="0" w:color="auto"/>
            </w:tcBorders>
            <w:hideMark/>
          </w:tcPr>
          <w:p w14:paraId="69E72713" w14:textId="03D0C86D" w:rsidR="000D051E" w:rsidRPr="001A1836" w:rsidRDefault="000D051E" w:rsidP="000D051E">
            <w:pPr>
              <w:rPr>
                <w:rFonts w:cs="Arial"/>
                <w:szCs w:val="22"/>
              </w:rPr>
            </w:pPr>
            <w:r w:rsidRPr="001A1836">
              <w:rPr>
                <w:rFonts w:cs="Arial"/>
                <w:szCs w:val="22"/>
              </w:rPr>
              <w:t>25%</w:t>
            </w:r>
          </w:p>
        </w:tc>
      </w:tr>
      <w:tr w:rsidR="000D051E" w:rsidRPr="001A1836" w14:paraId="788AE6B6" w14:textId="77777777" w:rsidTr="00D279C3">
        <w:tc>
          <w:tcPr>
            <w:tcW w:w="1705" w:type="dxa"/>
            <w:tcBorders>
              <w:top w:val="single" w:sz="4" w:space="0" w:color="auto"/>
              <w:left w:val="single" w:sz="4" w:space="0" w:color="auto"/>
              <w:bottom w:val="single" w:sz="4" w:space="0" w:color="auto"/>
              <w:right w:val="single" w:sz="4" w:space="0" w:color="auto"/>
            </w:tcBorders>
            <w:hideMark/>
          </w:tcPr>
          <w:p w14:paraId="2FBC03B7" w14:textId="77777777" w:rsidR="000D051E" w:rsidRPr="001A1836" w:rsidRDefault="000D051E" w:rsidP="000D051E">
            <w:pPr>
              <w:rPr>
                <w:rFonts w:cs="Arial"/>
                <w:szCs w:val="22"/>
              </w:rPr>
            </w:pPr>
            <w:r w:rsidRPr="001A1836">
              <w:rPr>
                <w:rFonts w:cs="Arial"/>
                <w:szCs w:val="22"/>
              </w:rPr>
              <w:t>Moderate KPI Failure</w:t>
            </w:r>
          </w:p>
        </w:tc>
        <w:tc>
          <w:tcPr>
            <w:tcW w:w="5182" w:type="dxa"/>
            <w:tcBorders>
              <w:top w:val="single" w:sz="4" w:space="0" w:color="auto"/>
              <w:left w:val="single" w:sz="4" w:space="0" w:color="auto"/>
              <w:bottom w:val="single" w:sz="4" w:space="0" w:color="auto"/>
              <w:right w:val="single" w:sz="4" w:space="0" w:color="auto"/>
            </w:tcBorders>
            <w:hideMark/>
          </w:tcPr>
          <w:p w14:paraId="7C92236D" w14:textId="4E907509" w:rsidR="000D051E" w:rsidRDefault="000D051E" w:rsidP="000D051E">
            <w:pPr>
              <w:rPr>
                <w:rFonts w:cs="Arial"/>
                <w:i/>
                <w:szCs w:val="22"/>
              </w:rPr>
            </w:pPr>
            <w:r>
              <w:rPr>
                <w:rFonts w:cs="Arial"/>
                <w:i/>
                <w:szCs w:val="22"/>
              </w:rPr>
              <w:t>Year 1: Between 9</w:t>
            </w:r>
            <w:r w:rsidR="001B1752">
              <w:rPr>
                <w:rFonts w:cs="Arial"/>
                <w:i/>
                <w:szCs w:val="22"/>
              </w:rPr>
              <w:t>0</w:t>
            </w:r>
            <w:r>
              <w:rPr>
                <w:rFonts w:cs="Arial"/>
                <w:i/>
                <w:szCs w:val="22"/>
              </w:rPr>
              <w:t>% and 92.9% of agreed target</w:t>
            </w:r>
          </w:p>
          <w:p w14:paraId="5AE7627D" w14:textId="07862CF0" w:rsidR="000D051E" w:rsidRPr="001A1836" w:rsidRDefault="000D051E" w:rsidP="000D051E">
            <w:pPr>
              <w:rPr>
                <w:rFonts w:cs="Arial"/>
                <w:i/>
                <w:szCs w:val="22"/>
              </w:rPr>
            </w:pPr>
            <w:r>
              <w:rPr>
                <w:rFonts w:cs="Arial"/>
                <w:i/>
                <w:szCs w:val="22"/>
              </w:rPr>
              <w:t>Years 2 to 5: Between 95% and 97.9% of agreed target</w:t>
            </w:r>
          </w:p>
        </w:tc>
        <w:tc>
          <w:tcPr>
            <w:tcW w:w="2123" w:type="dxa"/>
            <w:tcBorders>
              <w:top w:val="single" w:sz="4" w:space="0" w:color="auto"/>
              <w:left w:val="single" w:sz="4" w:space="0" w:color="auto"/>
              <w:bottom w:val="single" w:sz="4" w:space="0" w:color="auto"/>
              <w:right w:val="single" w:sz="4" w:space="0" w:color="auto"/>
            </w:tcBorders>
            <w:hideMark/>
          </w:tcPr>
          <w:p w14:paraId="79BA3B89" w14:textId="7BA5AF6C" w:rsidR="000D051E" w:rsidRPr="001A1836" w:rsidRDefault="000D051E" w:rsidP="000D051E">
            <w:pPr>
              <w:rPr>
                <w:rFonts w:cs="Arial"/>
                <w:szCs w:val="22"/>
              </w:rPr>
            </w:pPr>
            <w:r w:rsidRPr="001A1836">
              <w:rPr>
                <w:rFonts w:cs="Arial"/>
                <w:szCs w:val="22"/>
              </w:rPr>
              <w:t>50%</w:t>
            </w:r>
          </w:p>
        </w:tc>
      </w:tr>
      <w:tr w:rsidR="00B51918" w:rsidRPr="001A1836" w14:paraId="7D4E9A34" w14:textId="77777777" w:rsidTr="00D279C3">
        <w:tc>
          <w:tcPr>
            <w:tcW w:w="1705" w:type="dxa"/>
            <w:tcBorders>
              <w:top w:val="single" w:sz="4" w:space="0" w:color="auto"/>
              <w:left w:val="single" w:sz="4" w:space="0" w:color="auto"/>
              <w:bottom w:val="single" w:sz="4" w:space="0" w:color="auto"/>
              <w:right w:val="single" w:sz="4" w:space="0" w:color="auto"/>
            </w:tcBorders>
            <w:hideMark/>
          </w:tcPr>
          <w:p w14:paraId="03C1BC59" w14:textId="77777777" w:rsidR="00B51918" w:rsidRPr="001A1836" w:rsidRDefault="00B51918" w:rsidP="00B51918">
            <w:pPr>
              <w:rPr>
                <w:rFonts w:cs="Arial"/>
                <w:szCs w:val="22"/>
              </w:rPr>
            </w:pPr>
            <w:r w:rsidRPr="001A1836">
              <w:rPr>
                <w:rFonts w:cs="Arial"/>
                <w:szCs w:val="22"/>
              </w:rPr>
              <w:lastRenderedPageBreak/>
              <w:t>Major KPI Failure</w:t>
            </w:r>
          </w:p>
        </w:tc>
        <w:tc>
          <w:tcPr>
            <w:tcW w:w="5182" w:type="dxa"/>
            <w:tcBorders>
              <w:top w:val="single" w:sz="4" w:space="0" w:color="auto"/>
              <w:left w:val="single" w:sz="4" w:space="0" w:color="auto"/>
              <w:bottom w:val="single" w:sz="4" w:space="0" w:color="auto"/>
              <w:right w:val="single" w:sz="4" w:space="0" w:color="auto"/>
            </w:tcBorders>
            <w:hideMark/>
          </w:tcPr>
          <w:p w14:paraId="3A0FCD6D" w14:textId="77777777" w:rsidR="0026727C" w:rsidRDefault="0026727C" w:rsidP="0026727C">
            <w:pPr>
              <w:rPr>
                <w:rFonts w:cs="Arial"/>
                <w:i/>
                <w:szCs w:val="22"/>
              </w:rPr>
            </w:pPr>
            <w:r>
              <w:rPr>
                <w:rFonts w:cs="Arial"/>
                <w:i/>
                <w:szCs w:val="22"/>
              </w:rPr>
              <w:t>Year 1: Below 90% of agreed target</w:t>
            </w:r>
          </w:p>
          <w:p w14:paraId="3A6348EC" w14:textId="3A8DE40F" w:rsidR="00B51918" w:rsidRPr="001A1836" w:rsidRDefault="0026727C" w:rsidP="0026727C">
            <w:pPr>
              <w:rPr>
                <w:rFonts w:cs="Arial"/>
                <w:i/>
                <w:szCs w:val="22"/>
              </w:rPr>
            </w:pPr>
            <w:r>
              <w:rPr>
                <w:rFonts w:cs="Arial"/>
                <w:i/>
                <w:szCs w:val="22"/>
              </w:rPr>
              <w:t>Years 2 to 5: Below 95% of agreed target</w:t>
            </w:r>
          </w:p>
        </w:tc>
        <w:tc>
          <w:tcPr>
            <w:tcW w:w="2123" w:type="dxa"/>
            <w:tcBorders>
              <w:top w:val="single" w:sz="4" w:space="0" w:color="auto"/>
              <w:left w:val="single" w:sz="4" w:space="0" w:color="auto"/>
              <w:bottom w:val="single" w:sz="4" w:space="0" w:color="auto"/>
              <w:right w:val="single" w:sz="4" w:space="0" w:color="auto"/>
            </w:tcBorders>
            <w:hideMark/>
          </w:tcPr>
          <w:p w14:paraId="0DF14E1E" w14:textId="1E47BA6C" w:rsidR="00B51918" w:rsidRPr="001A1836" w:rsidRDefault="00B51918" w:rsidP="00B51918">
            <w:pPr>
              <w:rPr>
                <w:rFonts w:cs="Arial"/>
                <w:szCs w:val="22"/>
              </w:rPr>
            </w:pPr>
            <w:r w:rsidRPr="001A1836">
              <w:rPr>
                <w:rFonts w:cs="Arial"/>
                <w:szCs w:val="22"/>
              </w:rPr>
              <w:t>100%</w:t>
            </w:r>
          </w:p>
        </w:tc>
      </w:tr>
    </w:tbl>
    <w:p w14:paraId="4B7EBDC4" w14:textId="77777777" w:rsidR="00B074CC" w:rsidRPr="001A1836" w:rsidRDefault="00B074CC" w:rsidP="00626054">
      <w:pPr>
        <w:rPr>
          <w:rFonts w:cs="Arial"/>
        </w:rPr>
      </w:pPr>
    </w:p>
    <w:p w14:paraId="5842F23A" w14:textId="77777777" w:rsidR="00B074CC" w:rsidRPr="001A1836" w:rsidRDefault="00B074CC" w:rsidP="00626054">
      <w:pPr>
        <w:rPr>
          <w:rFonts w:cs="Arial"/>
        </w:rPr>
      </w:pPr>
      <w:r w:rsidRPr="001A1836">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4661"/>
        <w:gridCol w:w="2425"/>
      </w:tblGrid>
      <w:tr w:rsidR="00B074CC" w:rsidRPr="001A1836" w14:paraId="6B88E99C" w14:textId="77777777" w:rsidTr="00B51918">
        <w:tc>
          <w:tcPr>
            <w:tcW w:w="1924" w:type="dxa"/>
            <w:tcBorders>
              <w:top w:val="single" w:sz="4" w:space="0" w:color="auto"/>
              <w:left w:val="single" w:sz="4" w:space="0" w:color="auto"/>
              <w:bottom w:val="single" w:sz="4" w:space="0" w:color="auto"/>
              <w:right w:val="single" w:sz="4" w:space="0" w:color="auto"/>
            </w:tcBorders>
            <w:hideMark/>
          </w:tcPr>
          <w:p w14:paraId="1B5375BC" w14:textId="77777777" w:rsidR="00B074CC" w:rsidRPr="001A1836" w:rsidRDefault="00B074CC" w:rsidP="00626054">
            <w:pPr>
              <w:rPr>
                <w:rFonts w:cs="Arial"/>
                <w:b/>
                <w:szCs w:val="22"/>
              </w:rPr>
            </w:pPr>
            <w:r w:rsidRPr="001A1836">
              <w:rPr>
                <w:rFonts w:cs="Arial"/>
                <w:b/>
                <w:szCs w:val="22"/>
              </w:rPr>
              <w:lastRenderedPageBreak/>
              <w:t>KPI 04</w:t>
            </w:r>
          </w:p>
        </w:tc>
        <w:tc>
          <w:tcPr>
            <w:tcW w:w="7086" w:type="dxa"/>
            <w:gridSpan w:val="2"/>
            <w:tcBorders>
              <w:top w:val="single" w:sz="4" w:space="0" w:color="auto"/>
              <w:left w:val="single" w:sz="4" w:space="0" w:color="auto"/>
              <w:bottom w:val="single" w:sz="4" w:space="0" w:color="auto"/>
              <w:right w:val="single" w:sz="4" w:space="0" w:color="auto"/>
            </w:tcBorders>
            <w:hideMark/>
          </w:tcPr>
          <w:p w14:paraId="6BD87EE4" w14:textId="77777777" w:rsidR="00B074CC" w:rsidRPr="001A1836" w:rsidRDefault="00B074CC" w:rsidP="00626054">
            <w:pPr>
              <w:rPr>
                <w:rFonts w:cs="Arial"/>
                <w:b/>
                <w:szCs w:val="22"/>
              </w:rPr>
            </w:pPr>
            <w:r w:rsidRPr="001A1836">
              <w:rPr>
                <w:rFonts w:cs="Arial"/>
                <w:b/>
                <w:szCs w:val="22"/>
              </w:rPr>
              <w:t>HSE Satisfaction with the Service</w:t>
            </w:r>
          </w:p>
        </w:tc>
      </w:tr>
      <w:tr w:rsidR="00B074CC" w:rsidRPr="001A1836" w14:paraId="499BD3C4" w14:textId="77777777" w:rsidTr="00B51918">
        <w:tc>
          <w:tcPr>
            <w:tcW w:w="1924" w:type="dxa"/>
            <w:tcBorders>
              <w:top w:val="single" w:sz="4" w:space="0" w:color="auto"/>
              <w:left w:val="single" w:sz="4" w:space="0" w:color="auto"/>
              <w:bottom w:val="single" w:sz="4" w:space="0" w:color="auto"/>
              <w:right w:val="single" w:sz="4" w:space="0" w:color="auto"/>
            </w:tcBorders>
            <w:hideMark/>
          </w:tcPr>
          <w:p w14:paraId="7E76FE61" w14:textId="77777777" w:rsidR="00B074CC" w:rsidRPr="001A1836" w:rsidRDefault="00B074CC" w:rsidP="00626054">
            <w:pPr>
              <w:rPr>
                <w:rFonts w:cs="Arial"/>
                <w:szCs w:val="22"/>
              </w:rPr>
            </w:pPr>
            <w:r w:rsidRPr="001A1836">
              <w:rPr>
                <w:rFonts w:cs="Arial"/>
                <w:szCs w:val="22"/>
              </w:rPr>
              <w:t xml:space="preserve">KPI description </w:t>
            </w:r>
          </w:p>
        </w:tc>
        <w:tc>
          <w:tcPr>
            <w:tcW w:w="7086" w:type="dxa"/>
            <w:gridSpan w:val="2"/>
            <w:tcBorders>
              <w:top w:val="single" w:sz="4" w:space="0" w:color="auto"/>
              <w:left w:val="single" w:sz="4" w:space="0" w:color="auto"/>
              <w:bottom w:val="single" w:sz="4" w:space="0" w:color="auto"/>
              <w:right w:val="single" w:sz="4" w:space="0" w:color="auto"/>
            </w:tcBorders>
            <w:hideMark/>
          </w:tcPr>
          <w:p w14:paraId="3609C10E" w14:textId="77777777" w:rsidR="00B074CC" w:rsidRPr="001A1836" w:rsidRDefault="00B074CC" w:rsidP="00626054">
            <w:pPr>
              <w:pStyle w:val="numberedpara"/>
              <w:numPr>
                <w:ilvl w:val="0"/>
                <w:numId w:val="0"/>
              </w:numPr>
              <w:spacing w:before="60" w:after="60"/>
              <w:rPr>
                <w:rFonts w:cs="Arial"/>
                <w:szCs w:val="22"/>
              </w:rPr>
            </w:pPr>
            <w:r w:rsidRPr="001A1836">
              <w:rPr>
                <w:rFonts w:cs="Arial"/>
                <w:kern w:val="0"/>
                <w:szCs w:val="22"/>
              </w:rPr>
              <w:t>This KPI will measure HSE satisfaction with the Provider’s behaviours in delivering the service via;</w:t>
            </w:r>
          </w:p>
          <w:p w14:paraId="2F400CA1" w14:textId="22647376" w:rsidR="00B074CC" w:rsidRPr="001A1836" w:rsidRDefault="00B074CC">
            <w:pPr>
              <w:pStyle w:val="numberedpara"/>
              <w:numPr>
                <w:ilvl w:val="0"/>
                <w:numId w:val="35"/>
              </w:numPr>
              <w:spacing w:before="60" w:after="60"/>
              <w:rPr>
                <w:rFonts w:cs="Arial"/>
                <w:szCs w:val="22"/>
              </w:rPr>
            </w:pPr>
            <w:r w:rsidRPr="001A1836">
              <w:rPr>
                <w:rFonts w:cs="Arial"/>
                <w:szCs w:val="22"/>
              </w:rPr>
              <w:t xml:space="preserve">An assessment of Provider’s behaviours in managing the </w:t>
            </w:r>
            <w:r w:rsidR="002602DA">
              <w:rPr>
                <w:rFonts w:cs="Arial"/>
                <w:szCs w:val="22"/>
              </w:rPr>
              <w:t>Agreement</w:t>
            </w:r>
          </w:p>
          <w:p w14:paraId="47314E76" w14:textId="37C2A1C0" w:rsidR="00B074CC" w:rsidRPr="001A1836" w:rsidRDefault="00B074CC" w:rsidP="008C4BC2">
            <w:pPr>
              <w:pStyle w:val="numberedpara"/>
              <w:numPr>
                <w:ilvl w:val="0"/>
                <w:numId w:val="35"/>
              </w:numPr>
              <w:spacing w:before="60" w:after="60"/>
              <w:rPr>
                <w:rFonts w:cs="Arial"/>
                <w:szCs w:val="22"/>
              </w:rPr>
            </w:pPr>
            <w:r w:rsidRPr="001A1836">
              <w:rPr>
                <w:rFonts w:cs="Arial"/>
                <w:szCs w:val="22"/>
              </w:rPr>
              <w:t>An assessment of the quality of the Provider’s reporting on Gas Safe Register</w:t>
            </w:r>
            <w:r w:rsidR="001F648E">
              <w:rPr>
                <w:rFonts w:cs="Arial"/>
                <w:szCs w:val="22"/>
              </w:rPr>
              <w:t xml:space="preserve"> Competency Checks</w:t>
            </w:r>
            <w:r w:rsidR="00A57DFA">
              <w:rPr>
                <w:rFonts w:cs="Arial"/>
                <w:szCs w:val="22"/>
              </w:rPr>
              <w:t xml:space="preserve"> and/or </w:t>
            </w:r>
            <w:r w:rsidR="008C4BC2">
              <w:rPr>
                <w:rFonts w:cs="Arial"/>
                <w:szCs w:val="22"/>
              </w:rPr>
              <w:t>Inspections</w:t>
            </w:r>
          </w:p>
        </w:tc>
      </w:tr>
      <w:tr w:rsidR="00B074CC" w:rsidRPr="001A1836" w14:paraId="7230671F" w14:textId="77777777" w:rsidTr="00B51918">
        <w:tc>
          <w:tcPr>
            <w:tcW w:w="1924" w:type="dxa"/>
            <w:tcBorders>
              <w:top w:val="single" w:sz="4" w:space="0" w:color="auto"/>
              <w:left w:val="single" w:sz="4" w:space="0" w:color="auto"/>
              <w:bottom w:val="single" w:sz="4" w:space="0" w:color="auto"/>
              <w:right w:val="single" w:sz="4" w:space="0" w:color="auto"/>
            </w:tcBorders>
          </w:tcPr>
          <w:p w14:paraId="7A17EA4E" w14:textId="77777777" w:rsidR="00B074CC" w:rsidRPr="001A1836" w:rsidRDefault="00B074CC" w:rsidP="00626054">
            <w:pPr>
              <w:rPr>
                <w:rFonts w:cs="Arial"/>
                <w:szCs w:val="22"/>
              </w:rPr>
            </w:pPr>
            <w:r w:rsidRPr="001A1836">
              <w:rPr>
                <w:rFonts w:cs="Arial"/>
                <w:szCs w:val="22"/>
              </w:rPr>
              <w:t>KPI methodology</w:t>
            </w:r>
          </w:p>
        </w:tc>
        <w:tc>
          <w:tcPr>
            <w:tcW w:w="7086" w:type="dxa"/>
            <w:gridSpan w:val="2"/>
            <w:tcBorders>
              <w:top w:val="single" w:sz="4" w:space="0" w:color="auto"/>
              <w:left w:val="single" w:sz="4" w:space="0" w:color="auto"/>
              <w:bottom w:val="single" w:sz="4" w:space="0" w:color="auto"/>
              <w:right w:val="single" w:sz="4" w:space="0" w:color="auto"/>
            </w:tcBorders>
          </w:tcPr>
          <w:p w14:paraId="0284A5F4" w14:textId="77777777" w:rsidR="00B074CC" w:rsidRPr="001A1836" w:rsidRDefault="00B074CC">
            <w:pPr>
              <w:pStyle w:val="numberedpara"/>
              <w:numPr>
                <w:ilvl w:val="0"/>
                <w:numId w:val="33"/>
              </w:numPr>
              <w:spacing w:before="60" w:after="60"/>
              <w:rPr>
                <w:rFonts w:cs="Arial"/>
                <w:szCs w:val="22"/>
              </w:rPr>
            </w:pPr>
            <w:r w:rsidRPr="001A1836">
              <w:rPr>
                <w:rFonts w:cs="Arial"/>
                <w:szCs w:val="22"/>
              </w:rPr>
              <w:t xml:space="preserve">Quarterly survey of HSE satisfaction with the Register, see Annex 2. </w:t>
            </w:r>
          </w:p>
          <w:p w14:paraId="35DF3F9B" w14:textId="77777777" w:rsidR="00B074CC" w:rsidRPr="001A1836" w:rsidRDefault="00B074CC" w:rsidP="00626054">
            <w:pPr>
              <w:pStyle w:val="numberedpara"/>
              <w:numPr>
                <w:ilvl w:val="0"/>
                <w:numId w:val="0"/>
              </w:numPr>
              <w:spacing w:before="60" w:after="60"/>
              <w:ind w:left="360"/>
              <w:rPr>
                <w:rFonts w:cs="Arial"/>
                <w:szCs w:val="22"/>
              </w:rPr>
            </w:pPr>
            <w:r w:rsidRPr="001A1836">
              <w:rPr>
                <w:rFonts w:cs="Arial"/>
                <w:kern w:val="0"/>
                <w:szCs w:val="22"/>
              </w:rPr>
              <w:t xml:space="preserve">The survey will be completed by HSE staff that work with the Register (eg contract management and service recipients). Both the sample size and who will complete the survey will be determined by HSE. </w:t>
            </w:r>
          </w:p>
          <w:p w14:paraId="576587AF" w14:textId="224221C4" w:rsidR="00AB39C2" w:rsidRPr="001A1836" w:rsidRDefault="00B074CC">
            <w:pPr>
              <w:pStyle w:val="numberedpara"/>
              <w:numPr>
                <w:ilvl w:val="0"/>
                <w:numId w:val="33"/>
              </w:numPr>
              <w:spacing w:before="60" w:after="60"/>
              <w:rPr>
                <w:rFonts w:cs="Arial"/>
                <w:szCs w:val="22"/>
              </w:rPr>
            </w:pPr>
            <w:r w:rsidRPr="001A1836">
              <w:rPr>
                <w:rFonts w:cs="Arial"/>
                <w:kern w:val="0"/>
                <w:szCs w:val="22"/>
              </w:rPr>
              <w:t>Quarterly audit of Gas Safe Register</w:t>
            </w:r>
            <w:r w:rsidR="00FE27CB">
              <w:rPr>
                <w:rFonts w:cs="Arial"/>
                <w:kern w:val="0"/>
                <w:szCs w:val="22"/>
              </w:rPr>
              <w:t xml:space="preserve"> </w:t>
            </w:r>
            <w:r w:rsidR="001F648E">
              <w:rPr>
                <w:rFonts w:cs="Arial"/>
                <w:kern w:val="0"/>
                <w:szCs w:val="22"/>
              </w:rPr>
              <w:t>Competency Check</w:t>
            </w:r>
            <w:r w:rsidR="00A57DFA">
              <w:rPr>
                <w:rFonts w:cs="Arial"/>
                <w:kern w:val="0"/>
                <w:szCs w:val="22"/>
              </w:rPr>
              <w:t xml:space="preserve"> and/or </w:t>
            </w:r>
            <w:r w:rsidR="008C4BC2">
              <w:rPr>
                <w:rFonts w:cs="Arial"/>
                <w:kern w:val="0"/>
                <w:szCs w:val="22"/>
              </w:rPr>
              <w:t>Inspection</w:t>
            </w:r>
            <w:r w:rsidR="001F648E">
              <w:rPr>
                <w:rFonts w:cs="Arial"/>
                <w:kern w:val="0"/>
                <w:szCs w:val="22"/>
              </w:rPr>
              <w:t xml:space="preserve"> </w:t>
            </w:r>
            <w:r w:rsidRPr="001A1836">
              <w:rPr>
                <w:rFonts w:cs="Arial"/>
                <w:kern w:val="0"/>
                <w:szCs w:val="22"/>
              </w:rPr>
              <w:t xml:space="preserve">reports to ensure they meet appropriate quality standards. Audit will be carried out by HSE, sample size to be advised. </w:t>
            </w:r>
          </w:p>
          <w:p w14:paraId="11297E31" w14:textId="3AE7AD3C" w:rsidR="00B074CC" w:rsidRPr="001A1836" w:rsidRDefault="00B074CC" w:rsidP="005B0F23">
            <w:pPr>
              <w:pStyle w:val="numberedpara"/>
              <w:numPr>
                <w:ilvl w:val="0"/>
                <w:numId w:val="0"/>
              </w:numPr>
              <w:spacing w:before="60" w:after="60"/>
              <w:ind w:left="360"/>
              <w:rPr>
                <w:rFonts w:cs="Arial"/>
                <w:i/>
                <w:kern w:val="0"/>
                <w:szCs w:val="22"/>
              </w:rPr>
            </w:pPr>
            <w:r w:rsidRPr="001A1836">
              <w:rPr>
                <w:rFonts w:cs="Arial"/>
                <w:i/>
                <w:kern w:val="0"/>
                <w:szCs w:val="22"/>
              </w:rPr>
              <w:t>[</w:t>
            </w:r>
            <w:r w:rsidR="0022563E" w:rsidRPr="001A1836">
              <w:rPr>
                <w:rFonts w:cs="Arial"/>
                <w:i/>
                <w:kern w:val="0"/>
                <w:szCs w:val="22"/>
              </w:rPr>
              <w:t xml:space="preserve">Provider </w:t>
            </w:r>
            <w:r w:rsidRPr="001A1836">
              <w:rPr>
                <w:rFonts w:cs="Arial"/>
                <w:i/>
                <w:kern w:val="0"/>
                <w:szCs w:val="22"/>
              </w:rPr>
              <w:t>to propose audit structure, to be agreed by HSE]</w:t>
            </w:r>
          </w:p>
          <w:p w14:paraId="7FDADD90" w14:textId="028BDA50" w:rsidR="00AB39C2" w:rsidRPr="001A1836" w:rsidRDefault="00AB39C2" w:rsidP="00AB39C2">
            <w:pPr>
              <w:rPr>
                <w:rFonts w:cs="Arial"/>
                <w:kern w:val="0"/>
                <w:szCs w:val="22"/>
              </w:rPr>
            </w:pPr>
            <w:r w:rsidRPr="001A1836">
              <w:rPr>
                <w:rFonts w:cs="Arial"/>
                <w:kern w:val="0"/>
                <w:szCs w:val="22"/>
              </w:rPr>
              <w:t xml:space="preserve">HSE colleagues </w:t>
            </w:r>
            <w:r w:rsidR="00B14D19" w:rsidRPr="001A1836">
              <w:rPr>
                <w:rFonts w:cs="Arial"/>
                <w:kern w:val="0"/>
                <w:szCs w:val="22"/>
              </w:rPr>
              <w:t>to</w:t>
            </w:r>
            <w:r w:rsidRPr="001A1836">
              <w:rPr>
                <w:rFonts w:cs="Arial"/>
                <w:kern w:val="0"/>
                <w:szCs w:val="22"/>
              </w:rPr>
              <w:t xml:space="preserve"> provide feedback on key aspects of GSR performance every quarter of the </w:t>
            </w:r>
            <w:r w:rsidR="00B14D19" w:rsidRPr="001A1836">
              <w:rPr>
                <w:rFonts w:cs="Arial"/>
                <w:kern w:val="0"/>
                <w:szCs w:val="22"/>
              </w:rPr>
              <w:t>Agreement</w:t>
            </w:r>
            <w:r w:rsidRPr="001A1836">
              <w:rPr>
                <w:rFonts w:cs="Arial"/>
                <w:kern w:val="0"/>
                <w:szCs w:val="22"/>
              </w:rPr>
              <w:t xml:space="preserve"> using the 5-point Likert scale set out below. Scores which indicate performance which is less than good would be supported by narrative feedback, with sufficient detail to inform and direct prompt remedial action by us. This form of constructive criticism would encourage our approach of open dialogue and help support our policy of continuous improvement. </w:t>
            </w:r>
          </w:p>
          <w:p w14:paraId="0A72CD42" w14:textId="77777777" w:rsidR="00AB39C2" w:rsidRPr="001A1836" w:rsidRDefault="00AB39C2" w:rsidP="00AB39C2">
            <w:pPr>
              <w:rPr>
                <w:rFonts w:cs="Arial"/>
                <w:kern w:val="0"/>
                <w:szCs w:val="22"/>
              </w:rPr>
            </w:pPr>
            <w:r w:rsidRPr="001A1836">
              <w:rPr>
                <w:rFonts w:cs="Arial"/>
                <w:kern w:val="0"/>
                <w:szCs w:val="22"/>
              </w:rPr>
              <w:t>1 - Poor – the relevant services or behaviours consistently failed to meet HSE expectations.</w:t>
            </w:r>
          </w:p>
          <w:p w14:paraId="71391ED6" w14:textId="77777777" w:rsidR="00AB39C2" w:rsidRPr="001A1836" w:rsidRDefault="00AB39C2" w:rsidP="00AB39C2">
            <w:pPr>
              <w:rPr>
                <w:rFonts w:cs="Arial"/>
                <w:kern w:val="0"/>
                <w:szCs w:val="22"/>
              </w:rPr>
            </w:pPr>
            <w:r w:rsidRPr="001A1836">
              <w:rPr>
                <w:rFonts w:cs="Arial"/>
                <w:kern w:val="0"/>
                <w:szCs w:val="22"/>
              </w:rPr>
              <w:t>2 - Unsatisfactory – the relevant service or behaviours were occasionally adequate, but regularly failed to meet expectations during this quarter.</w:t>
            </w:r>
          </w:p>
          <w:p w14:paraId="3760EAFC" w14:textId="77777777" w:rsidR="00AB39C2" w:rsidRPr="001A1836" w:rsidRDefault="00AB39C2" w:rsidP="00AB39C2">
            <w:pPr>
              <w:rPr>
                <w:rFonts w:cs="Arial"/>
                <w:kern w:val="0"/>
                <w:szCs w:val="22"/>
              </w:rPr>
            </w:pPr>
            <w:r w:rsidRPr="001A1836">
              <w:rPr>
                <w:rFonts w:cs="Arial"/>
                <w:kern w:val="0"/>
                <w:szCs w:val="22"/>
              </w:rPr>
              <w:t>3 - Adequate – the relevant service and behaviours consistently meets the minimum expected standard during this quarter.</w:t>
            </w:r>
          </w:p>
          <w:p w14:paraId="1C23871D" w14:textId="77777777" w:rsidR="00AB39C2" w:rsidRPr="001A1836" w:rsidRDefault="00AB39C2" w:rsidP="00AB39C2">
            <w:pPr>
              <w:rPr>
                <w:rFonts w:cs="Arial"/>
                <w:kern w:val="0"/>
                <w:szCs w:val="22"/>
              </w:rPr>
            </w:pPr>
            <w:r w:rsidRPr="001A1836">
              <w:rPr>
                <w:rFonts w:cs="Arial"/>
                <w:kern w:val="0"/>
                <w:szCs w:val="22"/>
              </w:rPr>
              <w:t>4 - Good - the relevant service and behaviours were consistently adequate and sometimes exceeded expectations during this quarter.</w:t>
            </w:r>
          </w:p>
          <w:p w14:paraId="5097FF77" w14:textId="1A03148A" w:rsidR="00AB39C2" w:rsidRPr="001A1836" w:rsidRDefault="00AB39C2" w:rsidP="005B0F23">
            <w:pPr>
              <w:rPr>
                <w:rFonts w:cs="Arial"/>
                <w:szCs w:val="22"/>
              </w:rPr>
            </w:pPr>
            <w:r w:rsidRPr="001A1836">
              <w:rPr>
                <w:rFonts w:cs="Arial"/>
                <w:kern w:val="0"/>
                <w:szCs w:val="22"/>
              </w:rPr>
              <w:t>5 - Excellent - the relevant service and behaviour consistently exceed expectations during this quarter.</w:t>
            </w:r>
          </w:p>
        </w:tc>
      </w:tr>
      <w:tr w:rsidR="00B074CC" w:rsidRPr="001A1836" w14:paraId="7ADF5DF8" w14:textId="77777777" w:rsidTr="00B51918">
        <w:tc>
          <w:tcPr>
            <w:tcW w:w="1924" w:type="dxa"/>
            <w:tcBorders>
              <w:top w:val="single" w:sz="4" w:space="0" w:color="auto"/>
              <w:left w:val="single" w:sz="4" w:space="0" w:color="auto"/>
              <w:bottom w:val="single" w:sz="4" w:space="0" w:color="auto"/>
              <w:right w:val="single" w:sz="4" w:space="0" w:color="auto"/>
            </w:tcBorders>
          </w:tcPr>
          <w:p w14:paraId="45F109DF" w14:textId="77777777" w:rsidR="00B074CC" w:rsidRPr="001A1836" w:rsidRDefault="00B074CC" w:rsidP="00626054">
            <w:pPr>
              <w:rPr>
                <w:rFonts w:cs="Arial"/>
                <w:szCs w:val="22"/>
              </w:rPr>
            </w:pPr>
            <w:r w:rsidRPr="001A1836">
              <w:rPr>
                <w:rFonts w:cs="Arial"/>
                <w:szCs w:val="22"/>
              </w:rPr>
              <w:t>Data Capture</w:t>
            </w:r>
          </w:p>
        </w:tc>
        <w:tc>
          <w:tcPr>
            <w:tcW w:w="7086" w:type="dxa"/>
            <w:gridSpan w:val="2"/>
            <w:tcBorders>
              <w:top w:val="single" w:sz="4" w:space="0" w:color="auto"/>
              <w:left w:val="single" w:sz="4" w:space="0" w:color="auto"/>
              <w:bottom w:val="single" w:sz="4" w:space="0" w:color="auto"/>
              <w:right w:val="single" w:sz="4" w:space="0" w:color="auto"/>
            </w:tcBorders>
          </w:tcPr>
          <w:p w14:paraId="4B14825C" w14:textId="77777777" w:rsidR="00B074CC" w:rsidRPr="001A1836" w:rsidRDefault="00B074CC">
            <w:pPr>
              <w:numPr>
                <w:ilvl w:val="0"/>
                <w:numId w:val="34"/>
              </w:numPr>
              <w:rPr>
                <w:rFonts w:cs="Arial"/>
                <w:szCs w:val="22"/>
              </w:rPr>
            </w:pPr>
            <w:r w:rsidRPr="001A1836">
              <w:rPr>
                <w:rFonts w:cs="Arial"/>
                <w:szCs w:val="22"/>
              </w:rPr>
              <w:t>Results of quarterly satisfaction surveys of HSE staff engaged with the Register</w:t>
            </w:r>
          </w:p>
          <w:p w14:paraId="2F161972" w14:textId="61CDD5F7" w:rsidR="00B074CC" w:rsidRPr="001A1836" w:rsidRDefault="00B074CC">
            <w:pPr>
              <w:numPr>
                <w:ilvl w:val="0"/>
                <w:numId w:val="34"/>
              </w:numPr>
              <w:rPr>
                <w:rFonts w:cs="Arial"/>
                <w:szCs w:val="22"/>
              </w:rPr>
            </w:pPr>
            <w:r w:rsidRPr="001A1836">
              <w:rPr>
                <w:rFonts w:cs="Arial"/>
                <w:szCs w:val="22"/>
              </w:rPr>
              <w:t xml:space="preserve">Results of the quarterly HSE quality audits of Gas Safe Register </w:t>
            </w:r>
            <w:r w:rsidR="001F648E">
              <w:rPr>
                <w:rFonts w:cs="Arial"/>
                <w:szCs w:val="22"/>
              </w:rPr>
              <w:t xml:space="preserve">Competency </w:t>
            </w:r>
            <w:r w:rsidR="00A57DFA">
              <w:rPr>
                <w:rFonts w:cs="Arial"/>
                <w:szCs w:val="22"/>
              </w:rPr>
              <w:t>C</w:t>
            </w:r>
            <w:r w:rsidR="001F648E">
              <w:rPr>
                <w:rFonts w:cs="Arial"/>
                <w:szCs w:val="22"/>
              </w:rPr>
              <w:t>heck</w:t>
            </w:r>
            <w:r w:rsidR="00413788">
              <w:rPr>
                <w:rFonts w:cs="Arial"/>
                <w:szCs w:val="22"/>
              </w:rPr>
              <w:t xml:space="preserve"> and/or </w:t>
            </w:r>
            <w:r w:rsidR="008C4BC2">
              <w:rPr>
                <w:rFonts w:cs="Arial"/>
                <w:szCs w:val="22"/>
              </w:rPr>
              <w:t>Inspection</w:t>
            </w:r>
            <w:r w:rsidR="001F648E">
              <w:rPr>
                <w:rFonts w:cs="Arial"/>
                <w:szCs w:val="22"/>
              </w:rPr>
              <w:t xml:space="preserve"> </w:t>
            </w:r>
            <w:r w:rsidRPr="001A1836">
              <w:rPr>
                <w:rFonts w:cs="Arial"/>
                <w:szCs w:val="22"/>
              </w:rPr>
              <w:t>reports</w:t>
            </w:r>
          </w:p>
          <w:p w14:paraId="5ED7A2AC" w14:textId="77777777" w:rsidR="00AB39C2" w:rsidRPr="001A1836" w:rsidRDefault="00AB39C2" w:rsidP="00AB39C2">
            <w:pPr>
              <w:rPr>
                <w:rFonts w:cs="Arial"/>
                <w:szCs w:val="22"/>
              </w:rPr>
            </w:pPr>
          </w:p>
          <w:p w14:paraId="10BA1DD6" w14:textId="11ED7CC1" w:rsidR="00AB39C2" w:rsidRPr="001A1836" w:rsidRDefault="00AB39C2" w:rsidP="00AB39C2">
            <w:pPr>
              <w:rPr>
                <w:rFonts w:cs="Arial"/>
                <w:kern w:val="0"/>
                <w:szCs w:val="22"/>
              </w:rPr>
            </w:pPr>
            <w:r w:rsidRPr="001A1836">
              <w:rPr>
                <w:rFonts w:cs="Arial"/>
                <w:kern w:val="0"/>
                <w:szCs w:val="22"/>
              </w:rPr>
              <w:t>HSE to measure GSR on the following 5 key organisational behaviours:</w:t>
            </w:r>
          </w:p>
          <w:tbl>
            <w:tblPr>
              <w:tblStyle w:val="TableGrid"/>
              <w:tblW w:w="0" w:type="auto"/>
              <w:tblLook w:val="04A0" w:firstRow="1" w:lastRow="0" w:firstColumn="1" w:lastColumn="0" w:noHBand="0" w:noVBand="1"/>
            </w:tblPr>
            <w:tblGrid>
              <w:gridCol w:w="5580"/>
              <w:gridCol w:w="1280"/>
            </w:tblGrid>
            <w:tr w:rsidR="008E18BD" w:rsidRPr="001A1836" w14:paraId="75DDCC79" w14:textId="77777777" w:rsidTr="00DF62C9">
              <w:tc>
                <w:tcPr>
                  <w:tcW w:w="8688" w:type="dxa"/>
                </w:tcPr>
                <w:p w14:paraId="4F175ACE" w14:textId="77777777" w:rsidR="00AB39C2" w:rsidRPr="001A1836" w:rsidRDefault="00AB39C2" w:rsidP="00AB39C2">
                  <w:pPr>
                    <w:spacing w:before="120" w:after="240"/>
                    <w:jc w:val="left"/>
                    <w:rPr>
                      <w:rFonts w:cs="Arial"/>
                      <w:b/>
                      <w:kern w:val="0"/>
                      <w:szCs w:val="22"/>
                    </w:rPr>
                  </w:pPr>
                  <w:r w:rsidRPr="001A1836">
                    <w:rPr>
                      <w:rFonts w:cs="Arial"/>
                      <w:b/>
                      <w:kern w:val="0"/>
                      <w:szCs w:val="22"/>
                    </w:rPr>
                    <w:t>Operational Service / Organisational Behaviour</w:t>
                  </w:r>
                </w:p>
              </w:tc>
              <w:tc>
                <w:tcPr>
                  <w:tcW w:w="1280" w:type="dxa"/>
                </w:tcPr>
                <w:p w14:paraId="4E03764A" w14:textId="77777777" w:rsidR="00AB39C2" w:rsidRPr="001A1836" w:rsidRDefault="00AB39C2" w:rsidP="008E18BD">
                  <w:pPr>
                    <w:spacing w:before="120" w:after="240"/>
                    <w:jc w:val="right"/>
                    <w:rPr>
                      <w:rFonts w:cs="Arial"/>
                      <w:b/>
                      <w:kern w:val="0"/>
                      <w:szCs w:val="22"/>
                    </w:rPr>
                  </w:pPr>
                  <w:r w:rsidRPr="001A1836">
                    <w:rPr>
                      <w:rFonts w:cs="Arial"/>
                      <w:b/>
                      <w:kern w:val="0"/>
                      <w:szCs w:val="22"/>
                    </w:rPr>
                    <w:t>Proposed Weighting</w:t>
                  </w:r>
                </w:p>
              </w:tc>
            </w:tr>
            <w:tr w:rsidR="008E18BD" w:rsidRPr="001A1836" w14:paraId="5D5D45A9" w14:textId="77777777" w:rsidTr="00DF62C9">
              <w:tc>
                <w:tcPr>
                  <w:tcW w:w="8688" w:type="dxa"/>
                </w:tcPr>
                <w:p w14:paraId="58FA24C2" w14:textId="77777777" w:rsidR="00AB39C2" w:rsidRPr="001A1836" w:rsidRDefault="00AB39C2" w:rsidP="00AB39C2">
                  <w:pPr>
                    <w:jc w:val="left"/>
                    <w:rPr>
                      <w:rFonts w:cs="Arial"/>
                      <w:kern w:val="0"/>
                      <w:szCs w:val="22"/>
                    </w:rPr>
                  </w:pPr>
                  <w:r w:rsidRPr="001A1836">
                    <w:rPr>
                      <w:rFonts w:cs="Arial"/>
                      <w:kern w:val="0"/>
                      <w:szCs w:val="22"/>
                    </w:rPr>
                    <w:lastRenderedPageBreak/>
                    <w:t>Behaviour 1 - Flexibility</w:t>
                  </w:r>
                </w:p>
                <w:p w14:paraId="0F610869" w14:textId="77777777" w:rsidR="00AB39C2" w:rsidRPr="001A1836" w:rsidRDefault="00AB39C2" w:rsidP="00AB39C2">
                  <w:pPr>
                    <w:jc w:val="left"/>
                    <w:rPr>
                      <w:rFonts w:cs="Arial"/>
                      <w:kern w:val="0"/>
                      <w:szCs w:val="22"/>
                    </w:rPr>
                  </w:pPr>
                  <w:r w:rsidRPr="001A1836">
                    <w:rPr>
                      <w:rFonts w:cs="Arial"/>
                      <w:kern w:val="0"/>
                      <w:szCs w:val="22"/>
                    </w:rPr>
                    <w:t>The Provider adapts to changing conditions, requirements and priorities, and makes changes to solutions and delivery to meet those challenges</w:t>
                  </w:r>
                </w:p>
              </w:tc>
              <w:tc>
                <w:tcPr>
                  <w:tcW w:w="1280" w:type="dxa"/>
                </w:tcPr>
                <w:p w14:paraId="188C6722" w14:textId="77777777" w:rsidR="00AB39C2" w:rsidRPr="001A1836" w:rsidRDefault="00AB39C2" w:rsidP="008E18BD">
                  <w:pPr>
                    <w:spacing w:before="120" w:after="240"/>
                    <w:jc w:val="right"/>
                    <w:rPr>
                      <w:rFonts w:cs="Arial"/>
                      <w:kern w:val="0"/>
                      <w:szCs w:val="22"/>
                    </w:rPr>
                  </w:pPr>
                  <w:r w:rsidRPr="001A1836">
                    <w:rPr>
                      <w:rFonts w:cs="Arial"/>
                      <w:kern w:val="0"/>
                      <w:szCs w:val="22"/>
                    </w:rPr>
                    <w:t>20%</w:t>
                  </w:r>
                </w:p>
              </w:tc>
            </w:tr>
            <w:tr w:rsidR="008E18BD" w:rsidRPr="001A1836" w14:paraId="1F63F0D7" w14:textId="77777777" w:rsidTr="00DF62C9">
              <w:tc>
                <w:tcPr>
                  <w:tcW w:w="8688" w:type="dxa"/>
                </w:tcPr>
                <w:p w14:paraId="5E465B14" w14:textId="77777777" w:rsidR="00AB39C2" w:rsidRPr="001A1836" w:rsidRDefault="00AB39C2" w:rsidP="00AB39C2">
                  <w:pPr>
                    <w:jc w:val="left"/>
                    <w:rPr>
                      <w:rFonts w:cs="Arial"/>
                      <w:kern w:val="0"/>
                      <w:szCs w:val="22"/>
                    </w:rPr>
                  </w:pPr>
                  <w:r w:rsidRPr="001A1836">
                    <w:rPr>
                      <w:rFonts w:cs="Arial"/>
                      <w:kern w:val="0"/>
                      <w:szCs w:val="22"/>
                    </w:rPr>
                    <w:t>Behaviour 2 - Supportive</w:t>
                  </w:r>
                </w:p>
                <w:p w14:paraId="4C2103AE" w14:textId="77777777" w:rsidR="00AB39C2" w:rsidRPr="001A1836" w:rsidRDefault="00AB39C2" w:rsidP="00AB39C2">
                  <w:pPr>
                    <w:jc w:val="left"/>
                    <w:rPr>
                      <w:rFonts w:cs="Arial"/>
                      <w:kern w:val="0"/>
                      <w:szCs w:val="22"/>
                    </w:rPr>
                  </w:pPr>
                  <w:r w:rsidRPr="001A1836">
                    <w:rPr>
                      <w:rFonts w:cs="Arial"/>
                      <w:kern w:val="0"/>
                      <w:szCs w:val="22"/>
                    </w:rPr>
                    <w:t>The provider understands and responds to the challenges, political drivers and parameters that HSE and the Gas Safe Register operate within</w:t>
                  </w:r>
                </w:p>
              </w:tc>
              <w:tc>
                <w:tcPr>
                  <w:tcW w:w="1280" w:type="dxa"/>
                </w:tcPr>
                <w:p w14:paraId="2996F5E4" w14:textId="77777777" w:rsidR="00AB39C2" w:rsidRPr="001A1836" w:rsidRDefault="00AB39C2" w:rsidP="008E18BD">
                  <w:pPr>
                    <w:spacing w:before="120" w:after="240"/>
                    <w:jc w:val="right"/>
                    <w:rPr>
                      <w:rFonts w:cs="Arial"/>
                      <w:kern w:val="0"/>
                      <w:szCs w:val="22"/>
                    </w:rPr>
                  </w:pPr>
                  <w:r w:rsidRPr="001A1836">
                    <w:rPr>
                      <w:rFonts w:cs="Arial"/>
                      <w:kern w:val="0"/>
                      <w:szCs w:val="22"/>
                    </w:rPr>
                    <w:t>20%</w:t>
                  </w:r>
                </w:p>
              </w:tc>
            </w:tr>
            <w:tr w:rsidR="008E18BD" w:rsidRPr="001A1836" w14:paraId="5F7ADBB9" w14:textId="77777777" w:rsidTr="00DF62C9">
              <w:tc>
                <w:tcPr>
                  <w:tcW w:w="8688" w:type="dxa"/>
                </w:tcPr>
                <w:p w14:paraId="581B26BF" w14:textId="77777777" w:rsidR="00AB39C2" w:rsidRPr="001A1836" w:rsidRDefault="00AB39C2" w:rsidP="00AB39C2">
                  <w:pPr>
                    <w:jc w:val="left"/>
                    <w:rPr>
                      <w:rFonts w:cs="Arial"/>
                      <w:kern w:val="0"/>
                      <w:szCs w:val="22"/>
                    </w:rPr>
                  </w:pPr>
                  <w:r w:rsidRPr="001A1836">
                    <w:rPr>
                      <w:rFonts w:cs="Arial"/>
                      <w:kern w:val="0"/>
                      <w:szCs w:val="22"/>
                    </w:rPr>
                    <w:t>Behaviour 3 - Technically expert partner</w:t>
                  </w:r>
                </w:p>
                <w:p w14:paraId="24AA4188" w14:textId="77777777" w:rsidR="00AB39C2" w:rsidRPr="001A1836" w:rsidRDefault="00AB39C2" w:rsidP="00AB39C2">
                  <w:pPr>
                    <w:jc w:val="left"/>
                    <w:rPr>
                      <w:rFonts w:cs="Arial"/>
                      <w:kern w:val="0"/>
                      <w:szCs w:val="22"/>
                    </w:rPr>
                  </w:pPr>
                  <w:r w:rsidRPr="001A1836">
                    <w:rPr>
                      <w:rFonts w:cs="Arial"/>
                      <w:kern w:val="0"/>
                      <w:szCs w:val="22"/>
                    </w:rPr>
                    <w:t>The Provider provides people and resources demonstrating expert, relevant and thorough knowledge of the Gas Safe Register and the wider downstream gas industry</w:t>
                  </w:r>
                </w:p>
              </w:tc>
              <w:tc>
                <w:tcPr>
                  <w:tcW w:w="1280" w:type="dxa"/>
                </w:tcPr>
                <w:p w14:paraId="32A0D792" w14:textId="77777777" w:rsidR="00AB39C2" w:rsidRPr="001A1836" w:rsidRDefault="00AB39C2" w:rsidP="008E18BD">
                  <w:pPr>
                    <w:spacing w:before="120" w:after="240"/>
                    <w:jc w:val="right"/>
                    <w:rPr>
                      <w:rFonts w:cs="Arial"/>
                      <w:kern w:val="0"/>
                      <w:szCs w:val="22"/>
                    </w:rPr>
                  </w:pPr>
                  <w:r w:rsidRPr="001A1836">
                    <w:rPr>
                      <w:rFonts w:cs="Arial"/>
                      <w:kern w:val="0"/>
                      <w:szCs w:val="22"/>
                    </w:rPr>
                    <w:t>20%</w:t>
                  </w:r>
                </w:p>
              </w:tc>
            </w:tr>
            <w:tr w:rsidR="008E18BD" w:rsidRPr="001A1836" w14:paraId="494C112C" w14:textId="77777777" w:rsidTr="00DF62C9">
              <w:tc>
                <w:tcPr>
                  <w:tcW w:w="8688" w:type="dxa"/>
                </w:tcPr>
                <w:p w14:paraId="074C2054" w14:textId="77777777" w:rsidR="00AB39C2" w:rsidRPr="001A1836" w:rsidRDefault="00AB39C2" w:rsidP="00AB39C2">
                  <w:pPr>
                    <w:jc w:val="left"/>
                    <w:rPr>
                      <w:rFonts w:cs="Arial"/>
                      <w:kern w:val="0"/>
                      <w:szCs w:val="22"/>
                    </w:rPr>
                  </w:pPr>
                  <w:r w:rsidRPr="001A1836">
                    <w:rPr>
                      <w:rFonts w:cs="Arial"/>
                      <w:kern w:val="0"/>
                      <w:szCs w:val="22"/>
                    </w:rPr>
                    <w:t>Behaviour 4 - Forward thinking</w:t>
                  </w:r>
                </w:p>
                <w:p w14:paraId="0E80DB02" w14:textId="77777777" w:rsidR="00AB39C2" w:rsidRPr="001A1836" w:rsidRDefault="00AB39C2" w:rsidP="00AB39C2">
                  <w:pPr>
                    <w:jc w:val="left"/>
                    <w:rPr>
                      <w:rFonts w:cs="Arial"/>
                      <w:kern w:val="0"/>
                      <w:szCs w:val="22"/>
                    </w:rPr>
                  </w:pPr>
                  <w:r w:rsidRPr="001A1836">
                    <w:rPr>
                      <w:rFonts w:cs="Arial"/>
                      <w:kern w:val="0"/>
                      <w:szCs w:val="22"/>
                    </w:rPr>
                    <w:t>The Provider considers future challenges, is progressive in planning or any future changes that may make a difference to the Register and presents analysis to HSE ahead of the challenge</w:t>
                  </w:r>
                </w:p>
              </w:tc>
              <w:tc>
                <w:tcPr>
                  <w:tcW w:w="1280" w:type="dxa"/>
                </w:tcPr>
                <w:p w14:paraId="005EA0D1" w14:textId="77777777" w:rsidR="00AB39C2" w:rsidRPr="001A1836" w:rsidRDefault="00AB39C2" w:rsidP="008E18BD">
                  <w:pPr>
                    <w:spacing w:before="120" w:after="240"/>
                    <w:jc w:val="right"/>
                    <w:rPr>
                      <w:rFonts w:cs="Arial"/>
                      <w:kern w:val="0"/>
                      <w:szCs w:val="22"/>
                    </w:rPr>
                  </w:pPr>
                  <w:r w:rsidRPr="001A1836">
                    <w:rPr>
                      <w:rFonts w:cs="Arial"/>
                      <w:kern w:val="0"/>
                      <w:szCs w:val="22"/>
                    </w:rPr>
                    <w:t>20%</w:t>
                  </w:r>
                </w:p>
              </w:tc>
            </w:tr>
            <w:tr w:rsidR="008E18BD" w:rsidRPr="001A1836" w14:paraId="5A178E2A" w14:textId="77777777" w:rsidTr="00DF62C9">
              <w:tc>
                <w:tcPr>
                  <w:tcW w:w="8688" w:type="dxa"/>
                </w:tcPr>
                <w:p w14:paraId="063B9503" w14:textId="77777777" w:rsidR="00AB39C2" w:rsidRPr="001A1836" w:rsidRDefault="00AB39C2" w:rsidP="00AB39C2">
                  <w:pPr>
                    <w:jc w:val="left"/>
                    <w:rPr>
                      <w:rFonts w:cs="Arial"/>
                      <w:kern w:val="0"/>
                      <w:szCs w:val="22"/>
                    </w:rPr>
                  </w:pPr>
                  <w:r w:rsidRPr="001A1836">
                    <w:rPr>
                      <w:rFonts w:cs="Arial"/>
                      <w:kern w:val="0"/>
                      <w:szCs w:val="22"/>
                    </w:rPr>
                    <w:t>Behaviour 5 - Client Relationship</w:t>
                  </w:r>
                </w:p>
                <w:p w14:paraId="36D055A7" w14:textId="77777777" w:rsidR="00AB39C2" w:rsidRPr="001A1836" w:rsidRDefault="00AB39C2" w:rsidP="00AB39C2">
                  <w:pPr>
                    <w:jc w:val="left"/>
                    <w:rPr>
                      <w:rFonts w:cs="Arial"/>
                      <w:kern w:val="0"/>
                      <w:szCs w:val="22"/>
                    </w:rPr>
                  </w:pPr>
                  <w:r w:rsidRPr="001A1836">
                    <w:rPr>
                      <w:rFonts w:cs="Arial"/>
                      <w:kern w:val="0"/>
                      <w:szCs w:val="22"/>
                    </w:rPr>
                    <w:t>The Provider continually improves by recognising the wider landscape and consulting with HSE to deliver effective, value for money services</w:t>
                  </w:r>
                </w:p>
              </w:tc>
              <w:tc>
                <w:tcPr>
                  <w:tcW w:w="1280" w:type="dxa"/>
                </w:tcPr>
                <w:p w14:paraId="7172BF08" w14:textId="77777777" w:rsidR="00AB39C2" w:rsidRPr="001A1836" w:rsidRDefault="00AB39C2" w:rsidP="008E18BD">
                  <w:pPr>
                    <w:spacing w:before="120" w:after="240"/>
                    <w:jc w:val="right"/>
                    <w:rPr>
                      <w:rFonts w:cs="Arial"/>
                      <w:kern w:val="0"/>
                      <w:szCs w:val="22"/>
                    </w:rPr>
                  </w:pPr>
                  <w:r w:rsidRPr="001A1836">
                    <w:rPr>
                      <w:rFonts w:cs="Arial"/>
                      <w:kern w:val="0"/>
                      <w:szCs w:val="22"/>
                    </w:rPr>
                    <w:t>20%</w:t>
                  </w:r>
                </w:p>
              </w:tc>
            </w:tr>
            <w:tr w:rsidR="008E18BD" w:rsidRPr="001A1836" w14:paraId="1FAA3E8C" w14:textId="77777777" w:rsidTr="00DF62C9">
              <w:tc>
                <w:tcPr>
                  <w:tcW w:w="8688" w:type="dxa"/>
                </w:tcPr>
                <w:p w14:paraId="54B5CFA0" w14:textId="77777777" w:rsidR="00AB39C2" w:rsidRPr="001A1836" w:rsidRDefault="00AB39C2" w:rsidP="00AB39C2">
                  <w:pPr>
                    <w:jc w:val="left"/>
                    <w:rPr>
                      <w:rFonts w:cs="Arial"/>
                      <w:kern w:val="0"/>
                      <w:szCs w:val="22"/>
                    </w:rPr>
                  </w:pPr>
                  <w:r w:rsidRPr="001A1836">
                    <w:rPr>
                      <w:rFonts w:cs="Arial"/>
                      <w:kern w:val="0"/>
                      <w:szCs w:val="22"/>
                    </w:rPr>
                    <w:t>Total</w:t>
                  </w:r>
                </w:p>
              </w:tc>
              <w:tc>
                <w:tcPr>
                  <w:tcW w:w="1280" w:type="dxa"/>
                </w:tcPr>
                <w:p w14:paraId="5DEB1C51" w14:textId="77777777" w:rsidR="00AB39C2" w:rsidRPr="001A1836" w:rsidRDefault="00AB39C2" w:rsidP="008E18BD">
                  <w:pPr>
                    <w:spacing w:before="120" w:after="240"/>
                    <w:jc w:val="right"/>
                    <w:rPr>
                      <w:rFonts w:cs="Arial"/>
                      <w:kern w:val="0"/>
                      <w:szCs w:val="22"/>
                    </w:rPr>
                  </w:pPr>
                  <w:r w:rsidRPr="001A1836">
                    <w:rPr>
                      <w:rFonts w:cs="Arial"/>
                      <w:kern w:val="0"/>
                      <w:szCs w:val="22"/>
                    </w:rPr>
                    <w:t>100%</w:t>
                  </w:r>
                </w:p>
              </w:tc>
            </w:tr>
          </w:tbl>
          <w:p w14:paraId="6CD9CECC" w14:textId="7DDAFBB5" w:rsidR="00AB39C2" w:rsidRPr="001A1836" w:rsidRDefault="00AB39C2" w:rsidP="005B0F23">
            <w:pPr>
              <w:ind w:left="360"/>
              <w:rPr>
                <w:rFonts w:cs="Arial"/>
                <w:szCs w:val="22"/>
              </w:rPr>
            </w:pPr>
          </w:p>
        </w:tc>
      </w:tr>
      <w:tr w:rsidR="00B074CC" w:rsidRPr="001A1836" w14:paraId="17CCBD05" w14:textId="77777777" w:rsidTr="00B51918">
        <w:tc>
          <w:tcPr>
            <w:tcW w:w="1924" w:type="dxa"/>
            <w:tcBorders>
              <w:top w:val="single" w:sz="4" w:space="0" w:color="auto"/>
              <w:left w:val="single" w:sz="4" w:space="0" w:color="auto"/>
              <w:bottom w:val="single" w:sz="4" w:space="0" w:color="auto"/>
              <w:right w:val="single" w:sz="4" w:space="0" w:color="auto"/>
            </w:tcBorders>
            <w:hideMark/>
          </w:tcPr>
          <w:p w14:paraId="6624E8A7" w14:textId="77777777" w:rsidR="00B074CC" w:rsidRPr="001A1836" w:rsidRDefault="00B074CC" w:rsidP="00626054">
            <w:pPr>
              <w:rPr>
                <w:rFonts w:cs="Arial"/>
                <w:szCs w:val="22"/>
              </w:rPr>
            </w:pPr>
            <w:r w:rsidRPr="001A1836">
              <w:rPr>
                <w:rFonts w:cs="Arial"/>
                <w:szCs w:val="22"/>
              </w:rPr>
              <w:lastRenderedPageBreak/>
              <w:t>KPI calculation</w:t>
            </w:r>
          </w:p>
        </w:tc>
        <w:tc>
          <w:tcPr>
            <w:tcW w:w="7086" w:type="dxa"/>
            <w:gridSpan w:val="2"/>
            <w:tcBorders>
              <w:top w:val="single" w:sz="4" w:space="0" w:color="auto"/>
              <w:left w:val="single" w:sz="4" w:space="0" w:color="auto"/>
              <w:bottom w:val="single" w:sz="4" w:space="0" w:color="auto"/>
              <w:right w:val="single" w:sz="4" w:space="0" w:color="auto"/>
            </w:tcBorders>
          </w:tcPr>
          <w:p w14:paraId="30FE4EB9" w14:textId="77777777" w:rsidR="00B074CC" w:rsidRPr="001A1836" w:rsidRDefault="00B074CC" w:rsidP="00626054">
            <w:pPr>
              <w:rPr>
                <w:rFonts w:cs="Arial"/>
                <w:szCs w:val="22"/>
              </w:rPr>
            </w:pPr>
            <w:r w:rsidRPr="001A1836">
              <w:rPr>
                <w:rFonts w:cs="Arial"/>
                <w:szCs w:val="22"/>
              </w:rPr>
              <w:t>50% of score derived from satisfaction surveys &amp; 50% of score derived from quality surveys</w:t>
            </w:r>
          </w:p>
          <w:p w14:paraId="271ED2F2" w14:textId="77777777" w:rsidR="00B074CC" w:rsidRPr="001A1836" w:rsidRDefault="00B074CC" w:rsidP="00626054">
            <w:pPr>
              <w:rPr>
                <w:rFonts w:cs="Arial"/>
                <w:szCs w:val="22"/>
              </w:rPr>
            </w:pPr>
            <w:r w:rsidRPr="001A1836">
              <w:rPr>
                <w:rFonts w:cs="Arial"/>
                <w:szCs w:val="22"/>
              </w:rPr>
              <w:t xml:space="preserve">(A + B)/2 = KPI score </w:t>
            </w:r>
          </w:p>
          <w:p w14:paraId="648F492E" w14:textId="77777777" w:rsidR="00B074CC" w:rsidRPr="001A1836" w:rsidRDefault="00B074CC" w:rsidP="00626054">
            <w:pPr>
              <w:rPr>
                <w:rFonts w:cs="Arial"/>
                <w:szCs w:val="22"/>
              </w:rPr>
            </w:pPr>
            <w:r w:rsidRPr="001A1836">
              <w:rPr>
                <w:rFonts w:cs="Arial"/>
                <w:szCs w:val="22"/>
              </w:rPr>
              <w:t>A = average client satisfaction survey score expressed as %</w:t>
            </w:r>
          </w:p>
          <w:p w14:paraId="48E6E878" w14:textId="77777777" w:rsidR="00B074CC" w:rsidRPr="001A1836" w:rsidRDefault="00B074CC" w:rsidP="00626054">
            <w:pPr>
              <w:rPr>
                <w:rFonts w:cs="Arial"/>
                <w:szCs w:val="22"/>
              </w:rPr>
            </w:pPr>
            <w:r w:rsidRPr="001A1836">
              <w:rPr>
                <w:rFonts w:cs="Arial"/>
                <w:szCs w:val="22"/>
              </w:rPr>
              <w:t>B = average quality audit score expressed as a %</w:t>
            </w:r>
          </w:p>
          <w:p w14:paraId="5A20BEDD" w14:textId="77777777" w:rsidR="00AB39C2" w:rsidRPr="001A1836" w:rsidRDefault="00AB39C2" w:rsidP="00626054">
            <w:pPr>
              <w:rPr>
                <w:rFonts w:cs="Arial"/>
                <w:szCs w:val="22"/>
              </w:rPr>
            </w:pPr>
          </w:p>
          <w:p w14:paraId="3546FC8D" w14:textId="6114C94A" w:rsidR="00AB39C2" w:rsidRPr="001A1836" w:rsidRDefault="00AB39C2" w:rsidP="00AB39C2">
            <w:pPr>
              <w:rPr>
                <w:rFonts w:cs="Arial"/>
                <w:kern w:val="0"/>
                <w:szCs w:val="22"/>
              </w:rPr>
            </w:pPr>
            <w:r w:rsidRPr="001A1836">
              <w:rPr>
                <w:rFonts w:cs="Arial"/>
                <w:kern w:val="0"/>
                <w:szCs w:val="22"/>
              </w:rPr>
              <w:t xml:space="preserve">Provider to ask at least 5 HSE colleagues to rate Provider performance against the 5 behaviours using the Likert scale set out above. </w:t>
            </w:r>
            <w:r w:rsidR="00B14D19" w:rsidRPr="001A1836">
              <w:rPr>
                <w:rFonts w:cs="Arial"/>
                <w:kern w:val="0"/>
                <w:szCs w:val="22"/>
              </w:rPr>
              <w:t>T</w:t>
            </w:r>
            <w:r w:rsidRPr="001A1836">
              <w:rPr>
                <w:rFonts w:cs="Arial"/>
                <w:kern w:val="0"/>
                <w:szCs w:val="22"/>
              </w:rPr>
              <w:t xml:space="preserve">he </w:t>
            </w:r>
            <w:r w:rsidR="00B14D19" w:rsidRPr="001A1836">
              <w:rPr>
                <w:rFonts w:cs="Arial"/>
                <w:kern w:val="0"/>
                <w:szCs w:val="22"/>
              </w:rPr>
              <w:t xml:space="preserve">total </w:t>
            </w:r>
            <w:r w:rsidRPr="001A1836">
              <w:rPr>
                <w:rFonts w:cs="Arial"/>
                <w:kern w:val="0"/>
                <w:szCs w:val="22"/>
              </w:rPr>
              <w:t xml:space="preserve">score for each behaviour </w:t>
            </w:r>
            <w:r w:rsidR="00B14D19" w:rsidRPr="001A1836">
              <w:rPr>
                <w:rFonts w:cs="Arial"/>
                <w:kern w:val="0"/>
                <w:szCs w:val="22"/>
              </w:rPr>
              <w:t>will be used to</w:t>
            </w:r>
            <w:r w:rsidRPr="001A1836">
              <w:rPr>
                <w:rFonts w:cs="Arial"/>
                <w:kern w:val="0"/>
                <w:szCs w:val="22"/>
              </w:rPr>
              <w:t xml:space="preserve"> calculate the percentage of a maximum score that was achieved for that behaviour.</w:t>
            </w:r>
          </w:p>
          <w:p w14:paraId="0D0BAEB2" w14:textId="77777777" w:rsidR="002D748D" w:rsidRPr="001A1836" w:rsidRDefault="00AB39C2" w:rsidP="002D748D">
            <w:pPr>
              <w:rPr>
                <w:rFonts w:cs="Arial"/>
                <w:kern w:val="0"/>
                <w:szCs w:val="22"/>
              </w:rPr>
            </w:pPr>
            <w:r w:rsidRPr="001A1836">
              <w:rPr>
                <w:rFonts w:cs="Arial"/>
                <w:kern w:val="0"/>
                <w:szCs w:val="22"/>
              </w:rPr>
              <w:t>For example:</w:t>
            </w:r>
          </w:p>
          <w:p w14:paraId="57355E89" w14:textId="77777777" w:rsidR="00341BC1" w:rsidRPr="001A1836" w:rsidRDefault="002D748D" w:rsidP="002D748D">
            <w:pPr>
              <w:rPr>
                <w:rFonts w:cs="Arial"/>
                <w:szCs w:val="22"/>
              </w:rPr>
            </w:pPr>
            <w:r w:rsidRPr="001A1836">
              <w:rPr>
                <w:rFonts w:cs="Arial"/>
                <w:szCs w:val="22"/>
              </w:rPr>
              <w:t xml:space="preserve"> </w:t>
            </w:r>
          </w:p>
          <w:tbl>
            <w:tblPr>
              <w:tblStyle w:val="TableGrid"/>
              <w:tblW w:w="5000" w:type="pct"/>
              <w:tblLook w:val="04A0" w:firstRow="1" w:lastRow="0" w:firstColumn="1" w:lastColumn="0" w:noHBand="0" w:noVBand="1"/>
            </w:tblPr>
            <w:tblGrid>
              <w:gridCol w:w="1207"/>
              <w:gridCol w:w="413"/>
              <w:gridCol w:w="413"/>
              <w:gridCol w:w="414"/>
              <w:gridCol w:w="414"/>
              <w:gridCol w:w="417"/>
              <w:gridCol w:w="828"/>
              <w:gridCol w:w="828"/>
              <w:gridCol w:w="1086"/>
              <w:gridCol w:w="840"/>
            </w:tblGrid>
            <w:tr w:rsidR="008E18BD" w:rsidRPr="001A1836" w14:paraId="30B2CE9B" w14:textId="77777777" w:rsidTr="00DF62C9">
              <w:tc>
                <w:tcPr>
                  <w:tcW w:w="762" w:type="pct"/>
                  <w:vMerge w:val="restart"/>
                </w:tcPr>
                <w:p w14:paraId="35789CBD" w14:textId="77777777" w:rsidR="00341BC1" w:rsidRPr="001A1836" w:rsidRDefault="00341BC1" w:rsidP="00341BC1">
                  <w:pPr>
                    <w:pStyle w:val="TableHeading"/>
                    <w:rPr>
                      <w:rFonts w:cs="Arial"/>
                      <w:color w:val="auto"/>
                      <w:szCs w:val="22"/>
                    </w:rPr>
                  </w:pPr>
                </w:p>
              </w:tc>
              <w:tc>
                <w:tcPr>
                  <w:tcW w:w="1806" w:type="pct"/>
                  <w:gridSpan w:val="5"/>
                </w:tcPr>
                <w:p w14:paraId="6F21D8DF" w14:textId="77777777" w:rsidR="00341BC1" w:rsidRPr="001A1836" w:rsidRDefault="00341BC1" w:rsidP="00341BC1">
                  <w:pPr>
                    <w:pStyle w:val="TableHeading"/>
                    <w:jc w:val="center"/>
                    <w:rPr>
                      <w:rFonts w:cs="Arial"/>
                      <w:b/>
                      <w:color w:val="auto"/>
                      <w:szCs w:val="22"/>
                    </w:rPr>
                  </w:pPr>
                  <w:r w:rsidRPr="001A1836">
                    <w:rPr>
                      <w:rFonts w:cs="Arial"/>
                      <w:b/>
                      <w:color w:val="auto"/>
                      <w:szCs w:val="22"/>
                    </w:rPr>
                    <w:t>Colleague Scores</w:t>
                  </w:r>
                </w:p>
              </w:tc>
              <w:tc>
                <w:tcPr>
                  <w:tcW w:w="625" w:type="pct"/>
                  <w:vMerge w:val="restart"/>
                </w:tcPr>
                <w:p w14:paraId="0089D788" w14:textId="77777777" w:rsidR="00341BC1" w:rsidRPr="001A1836" w:rsidRDefault="00341BC1" w:rsidP="008E18BD">
                  <w:pPr>
                    <w:pStyle w:val="TableHeading"/>
                    <w:jc w:val="right"/>
                    <w:rPr>
                      <w:rFonts w:cs="Arial"/>
                      <w:b/>
                      <w:color w:val="auto"/>
                      <w:szCs w:val="22"/>
                    </w:rPr>
                  </w:pPr>
                  <w:r w:rsidRPr="001A1836">
                    <w:rPr>
                      <w:rFonts w:cs="Arial"/>
                      <w:b/>
                      <w:color w:val="auto"/>
                      <w:szCs w:val="22"/>
                    </w:rPr>
                    <w:t>Total Score</w:t>
                  </w:r>
                </w:p>
              </w:tc>
              <w:tc>
                <w:tcPr>
                  <w:tcW w:w="556" w:type="pct"/>
                  <w:vMerge w:val="restart"/>
                </w:tcPr>
                <w:p w14:paraId="431E1AE7" w14:textId="77777777" w:rsidR="00341BC1" w:rsidRPr="001A1836" w:rsidRDefault="00341BC1" w:rsidP="008E18BD">
                  <w:pPr>
                    <w:pStyle w:val="TableHeading"/>
                    <w:jc w:val="right"/>
                    <w:rPr>
                      <w:rFonts w:cs="Arial"/>
                      <w:b/>
                      <w:color w:val="auto"/>
                      <w:szCs w:val="22"/>
                    </w:rPr>
                  </w:pPr>
                  <w:r w:rsidRPr="001A1836">
                    <w:rPr>
                      <w:rFonts w:cs="Arial"/>
                      <w:b/>
                      <w:color w:val="auto"/>
                      <w:szCs w:val="22"/>
                    </w:rPr>
                    <w:t>%</w:t>
                  </w:r>
                  <w:r w:rsidRPr="001A1836">
                    <w:rPr>
                      <w:rFonts w:cs="Arial"/>
                      <w:b/>
                      <w:color w:val="auto"/>
                      <w:szCs w:val="22"/>
                    </w:rPr>
                    <w:br/>
                    <w:t>Score</w:t>
                  </w:r>
                </w:p>
              </w:tc>
              <w:tc>
                <w:tcPr>
                  <w:tcW w:w="695" w:type="pct"/>
                  <w:vMerge w:val="restart"/>
                </w:tcPr>
                <w:p w14:paraId="74FAE6FC" w14:textId="02AE2F31" w:rsidR="00341BC1" w:rsidRPr="004C6F36" w:rsidRDefault="00341BC1" w:rsidP="004C6F36">
                  <w:pPr>
                    <w:pStyle w:val="TableHeading"/>
                    <w:jc w:val="center"/>
                    <w:rPr>
                      <w:rFonts w:cs="Arial"/>
                      <w:b/>
                      <w:color w:val="auto"/>
                      <w:sz w:val="18"/>
                      <w:szCs w:val="18"/>
                    </w:rPr>
                  </w:pPr>
                  <w:r w:rsidRPr="004C6F36">
                    <w:rPr>
                      <w:rFonts w:cs="Arial"/>
                      <w:b/>
                      <w:color w:val="auto"/>
                      <w:sz w:val="18"/>
                      <w:szCs w:val="18"/>
                    </w:rPr>
                    <w:t>Weightin</w:t>
                  </w:r>
                  <w:r w:rsidR="004C6F36">
                    <w:rPr>
                      <w:rFonts w:cs="Arial"/>
                      <w:b/>
                      <w:color w:val="auto"/>
                      <w:sz w:val="18"/>
                      <w:szCs w:val="18"/>
                    </w:rPr>
                    <w:t>g</w:t>
                  </w:r>
                </w:p>
              </w:tc>
              <w:tc>
                <w:tcPr>
                  <w:tcW w:w="556" w:type="pct"/>
                  <w:vMerge w:val="restart"/>
                </w:tcPr>
                <w:p w14:paraId="587C3965" w14:textId="77777777" w:rsidR="00341BC1" w:rsidRPr="004C6F36" w:rsidRDefault="00341BC1" w:rsidP="008E18BD">
                  <w:pPr>
                    <w:pStyle w:val="TableHeading"/>
                    <w:jc w:val="right"/>
                    <w:rPr>
                      <w:rFonts w:cs="Arial"/>
                      <w:b/>
                      <w:color w:val="auto"/>
                      <w:sz w:val="18"/>
                      <w:szCs w:val="18"/>
                    </w:rPr>
                  </w:pPr>
                  <w:r w:rsidRPr="004C6F36">
                    <w:rPr>
                      <w:rFonts w:cs="Arial"/>
                      <w:b/>
                      <w:color w:val="auto"/>
                      <w:sz w:val="18"/>
                      <w:szCs w:val="18"/>
                    </w:rPr>
                    <w:t>Score</w:t>
                  </w:r>
                </w:p>
              </w:tc>
            </w:tr>
            <w:tr w:rsidR="008E18BD" w:rsidRPr="001A1836" w14:paraId="01C912ED" w14:textId="77777777" w:rsidTr="00DF62C9">
              <w:tc>
                <w:tcPr>
                  <w:tcW w:w="762" w:type="pct"/>
                  <w:vMerge/>
                </w:tcPr>
                <w:p w14:paraId="56ACCDE6" w14:textId="77777777" w:rsidR="00341BC1" w:rsidRPr="001A1836" w:rsidRDefault="00341BC1" w:rsidP="00341BC1">
                  <w:pPr>
                    <w:rPr>
                      <w:rFonts w:cs="Arial"/>
                      <w:szCs w:val="22"/>
                    </w:rPr>
                  </w:pPr>
                </w:p>
              </w:tc>
              <w:tc>
                <w:tcPr>
                  <w:tcW w:w="361" w:type="pct"/>
                </w:tcPr>
                <w:p w14:paraId="3E63D63C" w14:textId="77777777" w:rsidR="00341BC1" w:rsidRPr="001A1836" w:rsidRDefault="00341BC1" w:rsidP="00341BC1">
                  <w:pPr>
                    <w:pStyle w:val="TableHeading"/>
                    <w:jc w:val="center"/>
                    <w:rPr>
                      <w:rFonts w:cs="Arial"/>
                      <w:color w:val="auto"/>
                      <w:szCs w:val="22"/>
                    </w:rPr>
                  </w:pPr>
                  <w:r w:rsidRPr="001A1836">
                    <w:rPr>
                      <w:rFonts w:cs="Arial"/>
                      <w:color w:val="auto"/>
                      <w:szCs w:val="22"/>
                    </w:rPr>
                    <w:t>A</w:t>
                  </w:r>
                </w:p>
              </w:tc>
              <w:tc>
                <w:tcPr>
                  <w:tcW w:w="361" w:type="pct"/>
                </w:tcPr>
                <w:p w14:paraId="171E81EF" w14:textId="77777777" w:rsidR="00341BC1" w:rsidRPr="001A1836" w:rsidRDefault="00341BC1" w:rsidP="00341BC1">
                  <w:pPr>
                    <w:pStyle w:val="TableHeading"/>
                    <w:jc w:val="center"/>
                    <w:rPr>
                      <w:rFonts w:cs="Arial"/>
                      <w:color w:val="auto"/>
                      <w:szCs w:val="22"/>
                    </w:rPr>
                  </w:pPr>
                  <w:r w:rsidRPr="001A1836">
                    <w:rPr>
                      <w:rFonts w:cs="Arial"/>
                      <w:color w:val="auto"/>
                      <w:szCs w:val="22"/>
                    </w:rPr>
                    <w:t>B</w:t>
                  </w:r>
                </w:p>
              </w:tc>
              <w:tc>
                <w:tcPr>
                  <w:tcW w:w="361" w:type="pct"/>
                </w:tcPr>
                <w:p w14:paraId="086B61E7" w14:textId="77777777" w:rsidR="00341BC1" w:rsidRPr="001A1836" w:rsidRDefault="00341BC1" w:rsidP="00341BC1">
                  <w:pPr>
                    <w:pStyle w:val="TableHeading"/>
                    <w:jc w:val="center"/>
                    <w:rPr>
                      <w:rFonts w:cs="Arial"/>
                      <w:color w:val="auto"/>
                      <w:szCs w:val="22"/>
                    </w:rPr>
                  </w:pPr>
                  <w:r w:rsidRPr="001A1836">
                    <w:rPr>
                      <w:rFonts w:cs="Arial"/>
                      <w:color w:val="auto"/>
                      <w:szCs w:val="22"/>
                    </w:rPr>
                    <w:t>C</w:t>
                  </w:r>
                </w:p>
              </w:tc>
              <w:tc>
                <w:tcPr>
                  <w:tcW w:w="361" w:type="pct"/>
                </w:tcPr>
                <w:p w14:paraId="1A97979D" w14:textId="77777777" w:rsidR="00341BC1" w:rsidRPr="001A1836" w:rsidRDefault="00341BC1" w:rsidP="00341BC1">
                  <w:pPr>
                    <w:pStyle w:val="TableHeading"/>
                    <w:jc w:val="center"/>
                    <w:rPr>
                      <w:rFonts w:cs="Arial"/>
                      <w:color w:val="auto"/>
                      <w:szCs w:val="22"/>
                    </w:rPr>
                  </w:pPr>
                  <w:r w:rsidRPr="001A1836">
                    <w:rPr>
                      <w:rFonts w:cs="Arial"/>
                      <w:color w:val="auto"/>
                      <w:szCs w:val="22"/>
                    </w:rPr>
                    <w:t>D</w:t>
                  </w:r>
                </w:p>
              </w:tc>
              <w:tc>
                <w:tcPr>
                  <w:tcW w:w="361" w:type="pct"/>
                </w:tcPr>
                <w:p w14:paraId="44A01A75" w14:textId="77777777" w:rsidR="00341BC1" w:rsidRPr="001A1836" w:rsidRDefault="00341BC1" w:rsidP="00341BC1">
                  <w:pPr>
                    <w:pStyle w:val="TableHeading"/>
                    <w:jc w:val="center"/>
                    <w:rPr>
                      <w:rFonts w:cs="Arial"/>
                      <w:color w:val="auto"/>
                      <w:szCs w:val="22"/>
                    </w:rPr>
                  </w:pPr>
                  <w:r w:rsidRPr="001A1836">
                    <w:rPr>
                      <w:rFonts w:cs="Arial"/>
                      <w:color w:val="auto"/>
                      <w:szCs w:val="22"/>
                    </w:rPr>
                    <w:t>E</w:t>
                  </w:r>
                </w:p>
              </w:tc>
              <w:tc>
                <w:tcPr>
                  <w:tcW w:w="625" w:type="pct"/>
                  <w:vMerge/>
                </w:tcPr>
                <w:p w14:paraId="4D23CBBA" w14:textId="77777777" w:rsidR="00341BC1" w:rsidRPr="001A1836" w:rsidRDefault="00341BC1" w:rsidP="008E18BD">
                  <w:pPr>
                    <w:jc w:val="right"/>
                    <w:rPr>
                      <w:rFonts w:cs="Arial"/>
                      <w:szCs w:val="22"/>
                    </w:rPr>
                  </w:pPr>
                </w:p>
              </w:tc>
              <w:tc>
                <w:tcPr>
                  <w:tcW w:w="556" w:type="pct"/>
                  <w:vMerge/>
                </w:tcPr>
                <w:p w14:paraId="714B7483" w14:textId="77777777" w:rsidR="00341BC1" w:rsidRPr="001A1836" w:rsidRDefault="00341BC1" w:rsidP="008E18BD">
                  <w:pPr>
                    <w:jc w:val="right"/>
                    <w:rPr>
                      <w:rFonts w:cs="Arial"/>
                      <w:szCs w:val="22"/>
                    </w:rPr>
                  </w:pPr>
                </w:p>
              </w:tc>
              <w:tc>
                <w:tcPr>
                  <w:tcW w:w="695" w:type="pct"/>
                  <w:vMerge/>
                </w:tcPr>
                <w:p w14:paraId="76C1AC8A" w14:textId="77777777" w:rsidR="00341BC1" w:rsidRPr="001A1836" w:rsidRDefault="00341BC1" w:rsidP="008E18BD">
                  <w:pPr>
                    <w:jc w:val="right"/>
                    <w:rPr>
                      <w:rFonts w:cs="Arial"/>
                      <w:szCs w:val="22"/>
                    </w:rPr>
                  </w:pPr>
                </w:p>
              </w:tc>
              <w:tc>
                <w:tcPr>
                  <w:tcW w:w="556" w:type="pct"/>
                  <w:vMerge/>
                </w:tcPr>
                <w:p w14:paraId="7F051A26" w14:textId="77777777" w:rsidR="00341BC1" w:rsidRPr="001A1836" w:rsidRDefault="00341BC1" w:rsidP="008E18BD">
                  <w:pPr>
                    <w:jc w:val="right"/>
                    <w:rPr>
                      <w:rFonts w:cs="Arial"/>
                      <w:szCs w:val="22"/>
                    </w:rPr>
                  </w:pPr>
                </w:p>
              </w:tc>
            </w:tr>
            <w:tr w:rsidR="008E18BD" w:rsidRPr="001A1836" w14:paraId="0327FEF0" w14:textId="77777777" w:rsidTr="00DF62C9">
              <w:tc>
                <w:tcPr>
                  <w:tcW w:w="762" w:type="pct"/>
                </w:tcPr>
                <w:p w14:paraId="19E7CFF6" w14:textId="77777777" w:rsidR="00341BC1" w:rsidRPr="001A1836" w:rsidRDefault="00341BC1" w:rsidP="00341BC1">
                  <w:pPr>
                    <w:pStyle w:val="TableText-Left"/>
                    <w:rPr>
                      <w:rFonts w:cs="Arial"/>
                      <w:color w:val="auto"/>
                      <w:sz w:val="22"/>
                      <w:szCs w:val="22"/>
                    </w:rPr>
                  </w:pPr>
                  <w:r w:rsidRPr="001A1836">
                    <w:rPr>
                      <w:rFonts w:cs="Arial"/>
                      <w:color w:val="auto"/>
                      <w:sz w:val="22"/>
                      <w:szCs w:val="22"/>
                    </w:rPr>
                    <w:t>Behaviour 1</w:t>
                  </w:r>
                </w:p>
              </w:tc>
              <w:tc>
                <w:tcPr>
                  <w:tcW w:w="361" w:type="pct"/>
                </w:tcPr>
                <w:p w14:paraId="6D21DD3E" w14:textId="77777777" w:rsidR="00341BC1" w:rsidRPr="001A1836" w:rsidRDefault="00341BC1" w:rsidP="00341BC1">
                  <w:pPr>
                    <w:pStyle w:val="TableText-Centre"/>
                    <w:rPr>
                      <w:rFonts w:cs="Arial"/>
                      <w:color w:val="auto"/>
                      <w:sz w:val="22"/>
                      <w:szCs w:val="22"/>
                    </w:rPr>
                  </w:pPr>
                  <w:r w:rsidRPr="001A1836">
                    <w:rPr>
                      <w:rFonts w:cs="Arial"/>
                      <w:color w:val="auto"/>
                      <w:sz w:val="22"/>
                      <w:szCs w:val="22"/>
                    </w:rPr>
                    <w:t>4</w:t>
                  </w:r>
                </w:p>
              </w:tc>
              <w:tc>
                <w:tcPr>
                  <w:tcW w:w="361" w:type="pct"/>
                </w:tcPr>
                <w:p w14:paraId="4731924D" w14:textId="77777777" w:rsidR="00341BC1" w:rsidRPr="001A1836" w:rsidRDefault="00341BC1" w:rsidP="00341BC1">
                  <w:pPr>
                    <w:pStyle w:val="TableText-Centre"/>
                    <w:rPr>
                      <w:rFonts w:cs="Arial"/>
                      <w:color w:val="auto"/>
                      <w:sz w:val="22"/>
                      <w:szCs w:val="22"/>
                    </w:rPr>
                  </w:pPr>
                  <w:r w:rsidRPr="001A1836">
                    <w:rPr>
                      <w:rFonts w:cs="Arial"/>
                      <w:color w:val="auto"/>
                      <w:sz w:val="22"/>
                      <w:szCs w:val="22"/>
                    </w:rPr>
                    <w:t>5</w:t>
                  </w:r>
                </w:p>
              </w:tc>
              <w:tc>
                <w:tcPr>
                  <w:tcW w:w="361" w:type="pct"/>
                </w:tcPr>
                <w:p w14:paraId="53C67AB3" w14:textId="77777777" w:rsidR="00341BC1" w:rsidRPr="001A1836" w:rsidRDefault="00341BC1" w:rsidP="00341BC1">
                  <w:pPr>
                    <w:pStyle w:val="TableText-Centre"/>
                    <w:rPr>
                      <w:rFonts w:cs="Arial"/>
                      <w:color w:val="auto"/>
                      <w:sz w:val="22"/>
                      <w:szCs w:val="22"/>
                    </w:rPr>
                  </w:pPr>
                  <w:r w:rsidRPr="001A1836">
                    <w:rPr>
                      <w:rFonts w:cs="Arial"/>
                      <w:color w:val="auto"/>
                      <w:sz w:val="22"/>
                      <w:szCs w:val="22"/>
                    </w:rPr>
                    <w:t>5</w:t>
                  </w:r>
                </w:p>
              </w:tc>
              <w:tc>
                <w:tcPr>
                  <w:tcW w:w="361" w:type="pct"/>
                </w:tcPr>
                <w:p w14:paraId="005DFFFF" w14:textId="77777777" w:rsidR="00341BC1" w:rsidRPr="001A1836" w:rsidRDefault="00341BC1" w:rsidP="00341BC1">
                  <w:pPr>
                    <w:pStyle w:val="TableText-Centre"/>
                    <w:rPr>
                      <w:rFonts w:cs="Arial"/>
                      <w:color w:val="auto"/>
                      <w:sz w:val="22"/>
                      <w:szCs w:val="22"/>
                    </w:rPr>
                  </w:pPr>
                  <w:r w:rsidRPr="001A1836">
                    <w:rPr>
                      <w:rFonts w:cs="Arial"/>
                      <w:color w:val="auto"/>
                      <w:sz w:val="22"/>
                      <w:szCs w:val="22"/>
                    </w:rPr>
                    <w:t>3</w:t>
                  </w:r>
                </w:p>
              </w:tc>
              <w:tc>
                <w:tcPr>
                  <w:tcW w:w="361" w:type="pct"/>
                </w:tcPr>
                <w:p w14:paraId="31327A62" w14:textId="77777777" w:rsidR="00341BC1" w:rsidRPr="001A1836" w:rsidRDefault="00341BC1" w:rsidP="00341BC1">
                  <w:pPr>
                    <w:pStyle w:val="TableText-Centre"/>
                    <w:rPr>
                      <w:rFonts w:cs="Arial"/>
                      <w:color w:val="auto"/>
                      <w:sz w:val="22"/>
                      <w:szCs w:val="22"/>
                    </w:rPr>
                  </w:pPr>
                  <w:r w:rsidRPr="001A1836">
                    <w:rPr>
                      <w:rFonts w:cs="Arial"/>
                      <w:color w:val="auto"/>
                      <w:sz w:val="22"/>
                      <w:szCs w:val="22"/>
                    </w:rPr>
                    <w:t>4</w:t>
                  </w:r>
                </w:p>
              </w:tc>
              <w:tc>
                <w:tcPr>
                  <w:tcW w:w="625" w:type="pct"/>
                </w:tcPr>
                <w:p w14:paraId="788DC389" w14:textId="77777777" w:rsidR="00341BC1" w:rsidRPr="001A1836" w:rsidRDefault="00341BC1" w:rsidP="008E18BD">
                  <w:pPr>
                    <w:pStyle w:val="TableText-Centre"/>
                    <w:jc w:val="right"/>
                    <w:rPr>
                      <w:rFonts w:cs="Arial"/>
                      <w:color w:val="auto"/>
                      <w:sz w:val="22"/>
                      <w:szCs w:val="22"/>
                    </w:rPr>
                  </w:pPr>
                  <w:r w:rsidRPr="001A1836">
                    <w:rPr>
                      <w:rFonts w:cs="Arial"/>
                      <w:color w:val="auto"/>
                      <w:sz w:val="22"/>
                      <w:szCs w:val="22"/>
                    </w:rPr>
                    <w:t>21</w:t>
                  </w:r>
                </w:p>
              </w:tc>
              <w:tc>
                <w:tcPr>
                  <w:tcW w:w="556" w:type="pct"/>
                </w:tcPr>
                <w:p w14:paraId="7193675C" w14:textId="77777777" w:rsidR="00341BC1" w:rsidRPr="001A1836" w:rsidRDefault="00341BC1" w:rsidP="008E18BD">
                  <w:pPr>
                    <w:pStyle w:val="TableText-Centre"/>
                    <w:jc w:val="right"/>
                    <w:rPr>
                      <w:rFonts w:cs="Arial"/>
                      <w:color w:val="auto"/>
                      <w:sz w:val="22"/>
                      <w:szCs w:val="22"/>
                    </w:rPr>
                  </w:pPr>
                  <w:r w:rsidRPr="001A1836">
                    <w:rPr>
                      <w:rFonts w:cs="Arial"/>
                      <w:color w:val="auto"/>
                      <w:sz w:val="22"/>
                      <w:szCs w:val="22"/>
                    </w:rPr>
                    <w:t>84%</w:t>
                  </w:r>
                </w:p>
              </w:tc>
              <w:tc>
                <w:tcPr>
                  <w:tcW w:w="695" w:type="pct"/>
                </w:tcPr>
                <w:p w14:paraId="3EF139B8" w14:textId="77777777" w:rsidR="00341BC1" w:rsidRPr="001A1836" w:rsidRDefault="00341BC1" w:rsidP="008E18BD">
                  <w:pPr>
                    <w:pStyle w:val="TableText-Centre"/>
                    <w:jc w:val="right"/>
                    <w:rPr>
                      <w:rFonts w:cs="Arial"/>
                      <w:color w:val="auto"/>
                      <w:sz w:val="22"/>
                      <w:szCs w:val="22"/>
                    </w:rPr>
                  </w:pPr>
                  <w:r w:rsidRPr="001A1836">
                    <w:rPr>
                      <w:rFonts w:cs="Arial"/>
                      <w:color w:val="auto"/>
                      <w:sz w:val="22"/>
                      <w:szCs w:val="22"/>
                    </w:rPr>
                    <w:t>20%</w:t>
                  </w:r>
                </w:p>
              </w:tc>
              <w:tc>
                <w:tcPr>
                  <w:tcW w:w="556" w:type="pct"/>
                </w:tcPr>
                <w:p w14:paraId="47402714" w14:textId="77777777" w:rsidR="00341BC1" w:rsidRPr="001A1836" w:rsidRDefault="00341BC1" w:rsidP="008E18BD">
                  <w:pPr>
                    <w:pStyle w:val="TableText-Centre"/>
                    <w:jc w:val="right"/>
                    <w:rPr>
                      <w:rFonts w:cs="Arial"/>
                      <w:color w:val="auto"/>
                      <w:sz w:val="22"/>
                      <w:szCs w:val="22"/>
                    </w:rPr>
                  </w:pPr>
                  <w:r w:rsidRPr="001A1836">
                    <w:rPr>
                      <w:rFonts w:cs="Arial"/>
                      <w:color w:val="auto"/>
                      <w:sz w:val="22"/>
                      <w:szCs w:val="22"/>
                    </w:rPr>
                    <w:t>16.8%</w:t>
                  </w:r>
                </w:p>
              </w:tc>
            </w:tr>
            <w:tr w:rsidR="008E18BD" w:rsidRPr="001A1836" w14:paraId="256C9F8B" w14:textId="77777777" w:rsidTr="00DF62C9">
              <w:tc>
                <w:tcPr>
                  <w:tcW w:w="762" w:type="pct"/>
                </w:tcPr>
                <w:p w14:paraId="306BFA68" w14:textId="77777777" w:rsidR="00341BC1" w:rsidRPr="001A1836" w:rsidRDefault="00341BC1" w:rsidP="00341BC1">
                  <w:pPr>
                    <w:pStyle w:val="TableText-Left"/>
                    <w:rPr>
                      <w:rFonts w:cs="Arial"/>
                      <w:color w:val="auto"/>
                      <w:sz w:val="22"/>
                      <w:szCs w:val="22"/>
                    </w:rPr>
                  </w:pPr>
                  <w:r w:rsidRPr="001A1836">
                    <w:rPr>
                      <w:rFonts w:cs="Arial"/>
                      <w:color w:val="auto"/>
                      <w:sz w:val="22"/>
                      <w:szCs w:val="22"/>
                    </w:rPr>
                    <w:t>Behaviour 2</w:t>
                  </w:r>
                </w:p>
              </w:tc>
              <w:tc>
                <w:tcPr>
                  <w:tcW w:w="361" w:type="pct"/>
                </w:tcPr>
                <w:p w14:paraId="39722A9F" w14:textId="77777777" w:rsidR="00341BC1" w:rsidRPr="001A1836" w:rsidRDefault="00341BC1" w:rsidP="00341BC1">
                  <w:pPr>
                    <w:pStyle w:val="TableText-Centre"/>
                    <w:rPr>
                      <w:rFonts w:cs="Arial"/>
                      <w:color w:val="auto"/>
                      <w:sz w:val="22"/>
                      <w:szCs w:val="22"/>
                    </w:rPr>
                  </w:pPr>
                  <w:r w:rsidRPr="001A1836">
                    <w:rPr>
                      <w:rFonts w:cs="Arial"/>
                      <w:color w:val="auto"/>
                      <w:sz w:val="22"/>
                      <w:szCs w:val="22"/>
                    </w:rPr>
                    <w:t>5</w:t>
                  </w:r>
                </w:p>
              </w:tc>
              <w:tc>
                <w:tcPr>
                  <w:tcW w:w="361" w:type="pct"/>
                </w:tcPr>
                <w:p w14:paraId="6BD9E123" w14:textId="77777777" w:rsidR="00341BC1" w:rsidRPr="001A1836" w:rsidRDefault="00341BC1" w:rsidP="00341BC1">
                  <w:pPr>
                    <w:pStyle w:val="TableText-Centre"/>
                    <w:rPr>
                      <w:rFonts w:cs="Arial"/>
                      <w:color w:val="auto"/>
                      <w:sz w:val="22"/>
                      <w:szCs w:val="22"/>
                    </w:rPr>
                  </w:pPr>
                  <w:r w:rsidRPr="001A1836">
                    <w:rPr>
                      <w:rFonts w:cs="Arial"/>
                      <w:color w:val="auto"/>
                      <w:sz w:val="22"/>
                      <w:szCs w:val="22"/>
                    </w:rPr>
                    <w:t>5</w:t>
                  </w:r>
                </w:p>
              </w:tc>
              <w:tc>
                <w:tcPr>
                  <w:tcW w:w="361" w:type="pct"/>
                </w:tcPr>
                <w:p w14:paraId="209EF194" w14:textId="77777777" w:rsidR="00341BC1" w:rsidRPr="001A1836" w:rsidRDefault="00341BC1" w:rsidP="00341BC1">
                  <w:pPr>
                    <w:pStyle w:val="TableText-Centre"/>
                    <w:rPr>
                      <w:rFonts w:cs="Arial"/>
                      <w:color w:val="auto"/>
                      <w:sz w:val="22"/>
                      <w:szCs w:val="22"/>
                    </w:rPr>
                  </w:pPr>
                  <w:r w:rsidRPr="001A1836">
                    <w:rPr>
                      <w:rFonts w:cs="Arial"/>
                      <w:color w:val="auto"/>
                      <w:sz w:val="22"/>
                      <w:szCs w:val="22"/>
                    </w:rPr>
                    <w:t>5</w:t>
                  </w:r>
                </w:p>
              </w:tc>
              <w:tc>
                <w:tcPr>
                  <w:tcW w:w="361" w:type="pct"/>
                </w:tcPr>
                <w:p w14:paraId="0CA689F8" w14:textId="77777777" w:rsidR="00341BC1" w:rsidRPr="001A1836" w:rsidRDefault="00341BC1" w:rsidP="00341BC1">
                  <w:pPr>
                    <w:pStyle w:val="TableText-Centre"/>
                    <w:rPr>
                      <w:rFonts w:cs="Arial"/>
                      <w:color w:val="auto"/>
                      <w:sz w:val="22"/>
                      <w:szCs w:val="22"/>
                    </w:rPr>
                  </w:pPr>
                  <w:r w:rsidRPr="001A1836">
                    <w:rPr>
                      <w:rFonts w:cs="Arial"/>
                      <w:color w:val="auto"/>
                      <w:sz w:val="22"/>
                      <w:szCs w:val="22"/>
                    </w:rPr>
                    <w:t>4</w:t>
                  </w:r>
                </w:p>
              </w:tc>
              <w:tc>
                <w:tcPr>
                  <w:tcW w:w="361" w:type="pct"/>
                </w:tcPr>
                <w:p w14:paraId="6C07A258" w14:textId="77777777" w:rsidR="00341BC1" w:rsidRPr="001A1836" w:rsidRDefault="00341BC1" w:rsidP="00341BC1">
                  <w:pPr>
                    <w:pStyle w:val="TableText-Centre"/>
                    <w:rPr>
                      <w:rFonts w:cs="Arial"/>
                      <w:color w:val="auto"/>
                      <w:sz w:val="22"/>
                      <w:szCs w:val="22"/>
                    </w:rPr>
                  </w:pPr>
                  <w:r w:rsidRPr="001A1836">
                    <w:rPr>
                      <w:rFonts w:cs="Arial"/>
                      <w:color w:val="auto"/>
                      <w:sz w:val="22"/>
                      <w:szCs w:val="22"/>
                    </w:rPr>
                    <w:t>3</w:t>
                  </w:r>
                </w:p>
              </w:tc>
              <w:tc>
                <w:tcPr>
                  <w:tcW w:w="625" w:type="pct"/>
                </w:tcPr>
                <w:p w14:paraId="7BEBED18" w14:textId="77777777" w:rsidR="00341BC1" w:rsidRPr="001A1836" w:rsidRDefault="00341BC1" w:rsidP="008E18BD">
                  <w:pPr>
                    <w:pStyle w:val="TableText-Centre"/>
                    <w:jc w:val="right"/>
                    <w:rPr>
                      <w:rFonts w:cs="Arial"/>
                      <w:color w:val="auto"/>
                      <w:sz w:val="22"/>
                      <w:szCs w:val="22"/>
                    </w:rPr>
                  </w:pPr>
                  <w:r w:rsidRPr="001A1836">
                    <w:rPr>
                      <w:rFonts w:cs="Arial"/>
                      <w:color w:val="auto"/>
                      <w:sz w:val="22"/>
                      <w:szCs w:val="22"/>
                    </w:rPr>
                    <w:t>22</w:t>
                  </w:r>
                </w:p>
              </w:tc>
              <w:tc>
                <w:tcPr>
                  <w:tcW w:w="556" w:type="pct"/>
                </w:tcPr>
                <w:p w14:paraId="24F3BDE9" w14:textId="77777777" w:rsidR="00341BC1" w:rsidRPr="001A1836" w:rsidRDefault="00341BC1" w:rsidP="008E18BD">
                  <w:pPr>
                    <w:pStyle w:val="TableText-Centre"/>
                    <w:jc w:val="right"/>
                    <w:rPr>
                      <w:rFonts w:cs="Arial"/>
                      <w:color w:val="auto"/>
                      <w:sz w:val="22"/>
                      <w:szCs w:val="22"/>
                    </w:rPr>
                  </w:pPr>
                  <w:r w:rsidRPr="001A1836">
                    <w:rPr>
                      <w:rFonts w:cs="Arial"/>
                      <w:color w:val="auto"/>
                      <w:sz w:val="22"/>
                      <w:szCs w:val="22"/>
                    </w:rPr>
                    <w:t>88%</w:t>
                  </w:r>
                </w:p>
              </w:tc>
              <w:tc>
                <w:tcPr>
                  <w:tcW w:w="695" w:type="pct"/>
                </w:tcPr>
                <w:p w14:paraId="35C967CA" w14:textId="77777777" w:rsidR="00341BC1" w:rsidRPr="001A1836" w:rsidRDefault="00341BC1" w:rsidP="008E18BD">
                  <w:pPr>
                    <w:pStyle w:val="TableText-Centre"/>
                    <w:jc w:val="right"/>
                    <w:rPr>
                      <w:rFonts w:cs="Arial"/>
                      <w:color w:val="auto"/>
                      <w:sz w:val="22"/>
                      <w:szCs w:val="22"/>
                    </w:rPr>
                  </w:pPr>
                  <w:r w:rsidRPr="001A1836">
                    <w:rPr>
                      <w:rFonts w:cs="Arial"/>
                      <w:color w:val="auto"/>
                      <w:sz w:val="22"/>
                      <w:szCs w:val="22"/>
                    </w:rPr>
                    <w:t>20%</w:t>
                  </w:r>
                </w:p>
              </w:tc>
              <w:tc>
                <w:tcPr>
                  <w:tcW w:w="556" w:type="pct"/>
                </w:tcPr>
                <w:p w14:paraId="0A9F898D" w14:textId="77777777" w:rsidR="00341BC1" w:rsidRPr="001A1836" w:rsidRDefault="00341BC1" w:rsidP="008E18BD">
                  <w:pPr>
                    <w:pStyle w:val="TableText-Centre"/>
                    <w:jc w:val="right"/>
                    <w:rPr>
                      <w:rFonts w:cs="Arial"/>
                      <w:color w:val="auto"/>
                      <w:sz w:val="22"/>
                      <w:szCs w:val="22"/>
                    </w:rPr>
                  </w:pPr>
                  <w:r w:rsidRPr="001A1836">
                    <w:rPr>
                      <w:rFonts w:cs="Arial"/>
                      <w:color w:val="auto"/>
                      <w:sz w:val="22"/>
                      <w:szCs w:val="22"/>
                    </w:rPr>
                    <w:t>17.6%</w:t>
                  </w:r>
                </w:p>
              </w:tc>
            </w:tr>
            <w:tr w:rsidR="008E18BD" w:rsidRPr="001A1836" w14:paraId="25072A20" w14:textId="77777777" w:rsidTr="00DF62C9">
              <w:tc>
                <w:tcPr>
                  <w:tcW w:w="762" w:type="pct"/>
                </w:tcPr>
                <w:p w14:paraId="53316F9C" w14:textId="77777777" w:rsidR="00341BC1" w:rsidRPr="001A1836" w:rsidRDefault="00341BC1" w:rsidP="00341BC1">
                  <w:pPr>
                    <w:pStyle w:val="TableText-Left"/>
                    <w:rPr>
                      <w:rFonts w:cs="Arial"/>
                      <w:color w:val="auto"/>
                      <w:sz w:val="22"/>
                      <w:szCs w:val="22"/>
                    </w:rPr>
                  </w:pPr>
                  <w:r w:rsidRPr="001A1836">
                    <w:rPr>
                      <w:rFonts w:cs="Arial"/>
                      <w:color w:val="auto"/>
                      <w:sz w:val="22"/>
                      <w:szCs w:val="22"/>
                    </w:rPr>
                    <w:lastRenderedPageBreak/>
                    <w:t>Behaviour 3</w:t>
                  </w:r>
                </w:p>
              </w:tc>
              <w:tc>
                <w:tcPr>
                  <w:tcW w:w="361" w:type="pct"/>
                </w:tcPr>
                <w:p w14:paraId="2A93A4E4" w14:textId="77777777" w:rsidR="00341BC1" w:rsidRPr="001A1836" w:rsidRDefault="00341BC1" w:rsidP="00341BC1">
                  <w:pPr>
                    <w:pStyle w:val="TableText-Centre"/>
                    <w:rPr>
                      <w:rFonts w:cs="Arial"/>
                      <w:color w:val="auto"/>
                      <w:sz w:val="22"/>
                      <w:szCs w:val="22"/>
                    </w:rPr>
                  </w:pPr>
                  <w:r w:rsidRPr="001A1836">
                    <w:rPr>
                      <w:rFonts w:cs="Arial"/>
                      <w:color w:val="auto"/>
                      <w:sz w:val="22"/>
                      <w:szCs w:val="22"/>
                    </w:rPr>
                    <w:t>2</w:t>
                  </w:r>
                </w:p>
              </w:tc>
              <w:tc>
                <w:tcPr>
                  <w:tcW w:w="361" w:type="pct"/>
                </w:tcPr>
                <w:p w14:paraId="7D2983E9" w14:textId="77777777" w:rsidR="00341BC1" w:rsidRPr="001A1836" w:rsidRDefault="00341BC1" w:rsidP="00341BC1">
                  <w:pPr>
                    <w:pStyle w:val="TableText-Centre"/>
                    <w:rPr>
                      <w:rFonts w:cs="Arial"/>
                      <w:color w:val="auto"/>
                      <w:sz w:val="22"/>
                      <w:szCs w:val="22"/>
                    </w:rPr>
                  </w:pPr>
                  <w:r w:rsidRPr="001A1836">
                    <w:rPr>
                      <w:rFonts w:cs="Arial"/>
                      <w:color w:val="auto"/>
                      <w:sz w:val="22"/>
                      <w:szCs w:val="22"/>
                    </w:rPr>
                    <w:t>3</w:t>
                  </w:r>
                </w:p>
              </w:tc>
              <w:tc>
                <w:tcPr>
                  <w:tcW w:w="361" w:type="pct"/>
                </w:tcPr>
                <w:p w14:paraId="3CB66D9E" w14:textId="77777777" w:rsidR="00341BC1" w:rsidRPr="001A1836" w:rsidRDefault="00341BC1" w:rsidP="00341BC1">
                  <w:pPr>
                    <w:pStyle w:val="TableText-Centre"/>
                    <w:rPr>
                      <w:rFonts w:cs="Arial"/>
                      <w:color w:val="auto"/>
                      <w:sz w:val="22"/>
                      <w:szCs w:val="22"/>
                    </w:rPr>
                  </w:pPr>
                  <w:r w:rsidRPr="001A1836">
                    <w:rPr>
                      <w:rFonts w:cs="Arial"/>
                      <w:color w:val="auto"/>
                      <w:sz w:val="22"/>
                      <w:szCs w:val="22"/>
                    </w:rPr>
                    <w:t>3</w:t>
                  </w:r>
                </w:p>
              </w:tc>
              <w:tc>
                <w:tcPr>
                  <w:tcW w:w="361" w:type="pct"/>
                </w:tcPr>
                <w:p w14:paraId="3D98167F" w14:textId="77777777" w:rsidR="00341BC1" w:rsidRPr="001A1836" w:rsidRDefault="00341BC1" w:rsidP="00341BC1">
                  <w:pPr>
                    <w:pStyle w:val="TableText-Centre"/>
                    <w:rPr>
                      <w:rFonts w:cs="Arial"/>
                      <w:color w:val="auto"/>
                      <w:sz w:val="22"/>
                      <w:szCs w:val="22"/>
                    </w:rPr>
                  </w:pPr>
                  <w:r w:rsidRPr="001A1836">
                    <w:rPr>
                      <w:rFonts w:cs="Arial"/>
                      <w:color w:val="auto"/>
                      <w:sz w:val="22"/>
                      <w:szCs w:val="22"/>
                    </w:rPr>
                    <w:t>3</w:t>
                  </w:r>
                </w:p>
              </w:tc>
              <w:tc>
                <w:tcPr>
                  <w:tcW w:w="361" w:type="pct"/>
                </w:tcPr>
                <w:p w14:paraId="0EA3E6A6" w14:textId="77777777" w:rsidR="00341BC1" w:rsidRPr="001A1836" w:rsidRDefault="00341BC1" w:rsidP="00341BC1">
                  <w:pPr>
                    <w:pStyle w:val="TableText-Centre"/>
                    <w:rPr>
                      <w:rFonts w:cs="Arial"/>
                      <w:color w:val="auto"/>
                      <w:sz w:val="22"/>
                      <w:szCs w:val="22"/>
                    </w:rPr>
                  </w:pPr>
                  <w:r w:rsidRPr="001A1836">
                    <w:rPr>
                      <w:rFonts w:cs="Arial"/>
                      <w:color w:val="auto"/>
                      <w:sz w:val="22"/>
                      <w:szCs w:val="22"/>
                    </w:rPr>
                    <w:t>3</w:t>
                  </w:r>
                </w:p>
              </w:tc>
              <w:tc>
                <w:tcPr>
                  <w:tcW w:w="625" w:type="pct"/>
                </w:tcPr>
                <w:p w14:paraId="40D41FFC" w14:textId="77777777" w:rsidR="00341BC1" w:rsidRPr="001A1836" w:rsidRDefault="00341BC1" w:rsidP="008E18BD">
                  <w:pPr>
                    <w:pStyle w:val="TableText-Centre"/>
                    <w:jc w:val="right"/>
                    <w:rPr>
                      <w:rFonts w:cs="Arial"/>
                      <w:color w:val="auto"/>
                      <w:sz w:val="22"/>
                      <w:szCs w:val="22"/>
                    </w:rPr>
                  </w:pPr>
                  <w:r w:rsidRPr="001A1836">
                    <w:rPr>
                      <w:rFonts w:cs="Arial"/>
                      <w:color w:val="auto"/>
                      <w:sz w:val="22"/>
                      <w:szCs w:val="22"/>
                    </w:rPr>
                    <w:t>14</w:t>
                  </w:r>
                </w:p>
              </w:tc>
              <w:tc>
                <w:tcPr>
                  <w:tcW w:w="556" w:type="pct"/>
                </w:tcPr>
                <w:p w14:paraId="24DBCA6F" w14:textId="77777777" w:rsidR="00341BC1" w:rsidRPr="001A1836" w:rsidRDefault="00341BC1" w:rsidP="008E18BD">
                  <w:pPr>
                    <w:pStyle w:val="TableText-Centre"/>
                    <w:jc w:val="right"/>
                    <w:rPr>
                      <w:rFonts w:cs="Arial"/>
                      <w:color w:val="auto"/>
                      <w:sz w:val="22"/>
                      <w:szCs w:val="22"/>
                    </w:rPr>
                  </w:pPr>
                  <w:r w:rsidRPr="001A1836">
                    <w:rPr>
                      <w:rFonts w:cs="Arial"/>
                      <w:color w:val="auto"/>
                      <w:sz w:val="22"/>
                      <w:szCs w:val="22"/>
                    </w:rPr>
                    <w:t>56%</w:t>
                  </w:r>
                </w:p>
              </w:tc>
              <w:tc>
                <w:tcPr>
                  <w:tcW w:w="695" w:type="pct"/>
                </w:tcPr>
                <w:p w14:paraId="1EF1CD88" w14:textId="77777777" w:rsidR="00341BC1" w:rsidRPr="001A1836" w:rsidRDefault="00341BC1" w:rsidP="008E18BD">
                  <w:pPr>
                    <w:pStyle w:val="TableText-Centre"/>
                    <w:jc w:val="right"/>
                    <w:rPr>
                      <w:rFonts w:cs="Arial"/>
                      <w:color w:val="auto"/>
                      <w:sz w:val="22"/>
                      <w:szCs w:val="22"/>
                    </w:rPr>
                  </w:pPr>
                  <w:r w:rsidRPr="001A1836">
                    <w:rPr>
                      <w:rFonts w:cs="Arial"/>
                      <w:color w:val="auto"/>
                      <w:sz w:val="22"/>
                      <w:szCs w:val="22"/>
                    </w:rPr>
                    <w:t>20%</w:t>
                  </w:r>
                </w:p>
              </w:tc>
              <w:tc>
                <w:tcPr>
                  <w:tcW w:w="556" w:type="pct"/>
                </w:tcPr>
                <w:p w14:paraId="3D669FA4" w14:textId="77777777" w:rsidR="00341BC1" w:rsidRPr="001A1836" w:rsidRDefault="00341BC1" w:rsidP="008E18BD">
                  <w:pPr>
                    <w:pStyle w:val="TableText-Centre"/>
                    <w:jc w:val="right"/>
                    <w:rPr>
                      <w:rFonts w:cs="Arial"/>
                      <w:color w:val="auto"/>
                      <w:sz w:val="22"/>
                      <w:szCs w:val="22"/>
                    </w:rPr>
                  </w:pPr>
                  <w:r w:rsidRPr="001A1836">
                    <w:rPr>
                      <w:rFonts w:cs="Arial"/>
                      <w:color w:val="auto"/>
                      <w:sz w:val="22"/>
                      <w:szCs w:val="22"/>
                    </w:rPr>
                    <w:t>11.2%</w:t>
                  </w:r>
                </w:p>
              </w:tc>
            </w:tr>
            <w:tr w:rsidR="008E18BD" w:rsidRPr="001A1836" w14:paraId="42C8653D" w14:textId="77777777" w:rsidTr="00DF62C9">
              <w:tc>
                <w:tcPr>
                  <w:tcW w:w="762" w:type="pct"/>
                </w:tcPr>
                <w:p w14:paraId="1EE7D569" w14:textId="77777777" w:rsidR="00341BC1" w:rsidRPr="001A1836" w:rsidRDefault="00341BC1" w:rsidP="00341BC1">
                  <w:pPr>
                    <w:pStyle w:val="TableText-Left"/>
                    <w:rPr>
                      <w:rFonts w:cs="Arial"/>
                      <w:color w:val="auto"/>
                      <w:sz w:val="22"/>
                      <w:szCs w:val="22"/>
                    </w:rPr>
                  </w:pPr>
                  <w:r w:rsidRPr="001A1836">
                    <w:rPr>
                      <w:rFonts w:cs="Arial"/>
                      <w:color w:val="auto"/>
                      <w:sz w:val="22"/>
                      <w:szCs w:val="22"/>
                    </w:rPr>
                    <w:t>Behaviour 4</w:t>
                  </w:r>
                </w:p>
              </w:tc>
              <w:tc>
                <w:tcPr>
                  <w:tcW w:w="361" w:type="pct"/>
                </w:tcPr>
                <w:p w14:paraId="3EF2D112" w14:textId="77777777" w:rsidR="00341BC1" w:rsidRPr="001A1836" w:rsidRDefault="00341BC1" w:rsidP="00341BC1">
                  <w:pPr>
                    <w:pStyle w:val="TableText-Centre"/>
                    <w:rPr>
                      <w:rFonts w:cs="Arial"/>
                      <w:color w:val="auto"/>
                      <w:sz w:val="22"/>
                      <w:szCs w:val="22"/>
                    </w:rPr>
                  </w:pPr>
                  <w:r w:rsidRPr="001A1836">
                    <w:rPr>
                      <w:rFonts w:cs="Arial"/>
                      <w:color w:val="auto"/>
                      <w:sz w:val="22"/>
                      <w:szCs w:val="22"/>
                    </w:rPr>
                    <w:t>4</w:t>
                  </w:r>
                </w:p>
              </w:tc>
              <w:tc>
                <w:tcPr>
                  <w:tcW w:w="361" w:type="pct"/>
                </w:tcPr>
                <w:p w14:paraId="044B74A9" w14:textId="77777777" w:rsidR="00341BC1" w:rsidRPr="001A1836" w:rsidRDefault="00341BC1" w:rsidP="00341BC1">
                  <w:pPr>
                    <w:pStyle w:val="TableText-Centre"/>
                    <w:rPr>
                      <w:rFonts w:cs="Arial"/>
                      <w:color w:val="auto"/>
                      <w:sz w:val="22"/>
                      <w:szCs w:val="22"/>
                    </w:rPr>
                  </w:pPr>
                  <w:r w:rsidRPr="001A1836">
                    <w:rPr>
                      <w:rFonts w:cs="Arial"/>
                      <w:color w:val="auto"/>
                      <w:sz w:val="22"/>
                      <w:szCs w:val="22"/>
                    </w:rPr>
                    <w:t>3</w:t>
                  </w:r>
                </w:p>
              </w:tc>
              <w:tc>
                <w:tcPr>
                  <w:tcW w:w="361" w:type="pct"/>
                </w:tcPr>
                <w:p w14:paraId="5DC7380E" w14:textId="77777777" w:rsidR="00341BC1" w:rsidRPr="001A1836" w:rsidRDefault="00341BC1" w:rsidP="00341BC1">
                  <w:pPr>
                    <w:pStyle w:val="TableText-Centre"/>
                    <w:rPr>
                      <w:rFonts w:cs="Arial"/>
                      <w:color w:val="auto"/>
                      <w:sz w:val="22"/>
                      <w:szCs w:val="22"/>
                    </w:rPr>
                  </w:pPr>
                  <w:r w:rsidRPr="001A1836">
                    <w:rPr>
                      <w:rFonts w:cs="Arial"/>
                      <w:color w:val="auto"/>
                      <w:sz w:val="22"/>
                      <w:szCs w:val="22"/>
                    </w:rPr>
                    <w:t>4</w:t>
                  </w:r>
                </w:p>
              </w:tc>
              <w:tc>
                <w:tcPr>
                  <w:tcW w:w="361" w:type="pct"/>
                </w:tcPr>
                <w:p w14:paraId="3EBE67EC" w14:textId="77777777" w:rsidR="00341BC1" w:rsidRPr="001A1836" w:rsidRDefault="00341BC1" w:rsidP="00341BC1">
                  <w:pPr>
                    <w:pStyle w:val="TableText-Centre"/>
                    <w:rPr>
                      <w:rFonts w:cs="Arial"/>
                      <w:color w:val="auto"/>
                      <w:sz w:val="22"/>
                      <w:szCs w:val="22"/>
                    </w:rPr>
                  </w:pPr>
                  <w:r w:rsidRPr="001A1836">
                    <w:rPr>
                      <w:rFonts w:cs="Arial"/>
                      <w:color w:val="auto"/>
                      <w:sz w:val="22"/>
                      <w:szCs w:val="22"/>
                    </w:rPr>
                    <w:t>5</w:t>
                  </w:r>
                </w:p>
              </w:tc>
              <w:tc>
                <w:tcPr>
                  <w:tcW w:w="361" w:type="pct"/>
                </w:tcPr>
                <w:p w14:paraId="29A5A5B9" w14:textId="77777777" w:rsidR="00341BC1" w:rsidRPr="001A1836" w:rsidRDefault="00341BC1" w:rsidP="00341BC1">
                  <w:pPr>
                    <w:pStyle w:val="TableText-Centre"/>
                    <w:rPr>
                      <w:rFonts w:cs="Arial"/>
                      <w:color w:val="auto"/>
                      <w:sz w:val="22"/>
                      <w:szCs w:val="22"/>
                    </w:rPr>
                  </w:pPr>
                  <w:r w:rsidRPr="001A1836">
                    <w:rPr>
                      <w:rFonts w:cs="Arial"/>
                      <w:color w:val="auto"/>
                      <w:sz w:val="22"/>
                      <w:szCs w:val="22"/>
                    </w:rPr>
                    <w:t>4</w:t>
                  </w:r>
                </w:p>
              </w:tc>
              <w:tc>
                <w:tcPr>
                  <w:tcW w:w="625" w:type="pct"/>
                </w:tcPr>
                <w:p w14:paraId="52D36DA4" w14:textId="77777777" w:rsidR="00341BC1" w:rsidRPr="001A1836" w:rsidRDefault="00341BC1" w:rsidP="008E18BD">
                  <w:pPr>
                    <w:pStyle w:val="TableText-Centre"/>
                    <w:jc w:val="right"/>
                    <w:rPr>
                      <w:rFonts w:cs="Arial"/>
                      <w:color w:val="auto"/>
                      <w:sz w:val="22"/>
                      <w:szCs w:val="22"/>
                    </w:rPr>
                  </w:pPr>
                  <w:r w:rsidRPr="001A1836">
                    <w:rPr>
                      <w:rFonts w:cs="Arial"/>
                      <w:color w:val="auto"/>
                      <w:sz w:val="22"/>
                      <w:szCs w:val="22"/>
                    </w:rPr>
                    <w:t>20</w:t>
                  </w:r>
                </w:p>
              </w:tc>
              <w:tc>
                <w:tcPr>
                  <w:tcW w:w="556" w:type="pct"/>
                </w:tcPr>
                <w:p w14:paraId="142218B4" w14:textId="77777777" w:rsidR="00341BC1" w:rsidRPr="001A1836" w:rsidRDefault="00341BC1" w:rsidP="008E18BD">
                  <w:pPr>
                    <w:pStyle w:val="TableText-Centre"/>
                    <w:jc w:val="right"/>
                    <w:rPr>
                      <w:rFonts w:cs="Arial"/>
                      <w:color w:val="auto"/>
                      <w:sz w:val="22"/>
                      <w:szCs w:val="22"/>
                    </w:rPr>
                  </w:pPr>
                  <w:r w:rsidRPr="001A1836">
                    <w:rPr>
                      <w:rFonts w:cs="Arial"/>
                      <w:color w:val="auto"/>
                      <w:sz w:val="22"/>
                      <w:szCs w:val="22"/>
                    </w:rPr>
                    <w:t>80%</w:t>
                  </w:r>
                </w:p>
              </w:tc>
              <w:tc>
                <w:tcPr>
                  <w:tcW w:w="695" w:type="pct"/>
                </w:tcPr>
                <w:p w14:paraId="7B1A68FC" w14:textId="77777777" w:rsidR="00341BC1" w:rsidRPr="001A1836" w:rsidRDefault="00341BC1" w:rsidP="008E18BD">
                  <w:pPr>
                    <w:pStyle w:val="TableText-Centre"/>
                    <w:jc w:val="right"/>
                    <w:rPr>
                      <w:rFonts w:cs="Arial"/>
                      <w:color w:val="auto"/>
                      <w:sz w:val="22"/>
                      <w:szCs w:val="22"/>
                    </w:rPr>
                  </w:pPr>
                  <w:r w:rsidRPr="001A1836">
                    <w:rPr>
                      <w:rFonts w:cs="Arial"/>
                      <w:color w:val="auto"/>
                      <w:sz w:val="22"/>
                      <w:szCs w:val="22"/>
                    </w:rPr>
                    <w:t>20%</w:t>
                  </w:r>
                </w:p>
              </w:tc>
              <w:tc>
                <w:tcPr>
                  <w:tcW w:w="556" w:type="pct"/>
                </w:tcPr>
                <w:p w14:paraId="3F3A8335" w14:textId="77777777" w:rsidR="00341BC1" w:rsidRPr="001A1836" w:rsidRDefault="00341BC1" w:rsidP="008E18BD">
                  <w:pPr>
                    <w:pStyle w:val="TableText-Centre"/>
                    <w:jc w:val="right"/>
                    <w:rPr>
                      <w:rFonts w:cs="Arial"/>
                      <w:color w:val="auto"/>
                      <w:sz w:val="22"/>
                      <w:szCs w:val="22"/>
                    </w:rPr>
                  </w:pPr>
                  <w:r w:rsidRPr="001A1836">
                    <w:rPr>
                      <w:rFonts w:cs="Arial"/>
                      <w:color w:val="auto"/>
                      <w:sz w:val="22"/>
                      <w:szCs w:val="22"/>
                    </w:rPr>
                    <w:t>16.0%</w:t>
                  </w:r>
                </w:p>
              </w:tc>
            </w:tr>
            <w:tr w:rsidR="008E18BD" w:rsidRPr="001A1836" w14:paraId="2E30B70B" w14:textId="77777777" w:rsidTr="00DF62C9">
              <w:tc>
                <w:tcPr>
                  <w:tcW w:w="762" w:type="pct"/>
                </w:tcPr>
                <w:p w14:paraId="1CE0BEF6" w14:textId="77777777" w:rsidR="00341BC1" w:rsidRPr="001A1836" w:rsidRDefault="00341BC1" w:rsidP="00341BC1">
                  <w:pPr>
                    <w:pStyle w:val="TableText-Left"/>
                    <w:rPr>
                      <w:rFonts w:cs="Arial"/>
                      <w:color w:val="auto"/>
                      <w:sz w:val="22"/>
                      <w:szCs w:val="22"/>
                    </w:rPr>
                  </w:pPr>
                  <w:r w:rsidRPr="001A1836">
                    <w:rPr>
                      <w:rFonts w:cs="Arial"/>
                      <w:color w:val="auto"/>
                      <w:sz w:val="22"/>
                      <w:szCs w:val="22"/>
                    </w:rPr>
                    <w:t>Behaviour 5</w:t>
                  </w:r>
                </w:p>
              </w:tc>
              <w:tc>
                <w:tcPr>
                  <w:tcW w:w="361" w:type="pct"/>
                </w:tcPr>
                <w:p w14:paraId="750AA91F" w14:textId="77777777" w:rsidR="00341BC1" w:rsidRPr="001A1836" w:rsidRDefault="00341BC1" w:rsidP="00341BC1">
                  <w:pPr>
                    <w:pStyle w:val="TableText-Centre"/>
                    <w:rPr>
                      <w:rFonts w:cs="Arial"/>
                      <w:color w:val="auto"/>
                      <w:sz w:val="22"/>
                      <w:szCs w:val="22"/>
                    </w:rPr>
                  </w:pPr>
                  <w:r w:rsidRPr="001A1836">
                    <w:rPr>
                      <w:rFonts w:cs="Arial"/>
                      <w:color w:val="auto"/>
                      <w:sz w:val="22"/>
                      <w:szCs w:val="22"/>
                    </w:rPr>
                    <w:t>2</w:t>
                  </w:r>
                </w:p>
              </w:tc>
              <w:tc>
                <w:tcPr>
                  <w:tcW w:w="361" w:type="pct"/>
                </w:tcPr>
                <w:p w14:paraId="35070E96" w14:textId="77777777" w:rsidR="00341BC1" w:rsidRPr="001A1836" w:rsidRDefault="00341BC1" w:rsidP="00341BC1">
                  <w:pPr>
                    <w:pStyle w:val="TableText-Centre"/>
                    <w:rPr>
                      <w:rFonts w:cs="Arial"/>
                      <w:color w:val="auto"/>
                      <w:sz w:val="22"/>
                      <w:szCs w:val="22"/>
                    </w:rPr>
                  </w:pPr>
                  <w:r w:rsidRPr="001A1836">
                    <w:rPr>
                      <w:rFonts w:cs="Arial"/>
                      <w:color w:val="auto"/>
                      <w:sz w:val="22"/>
                      <w:szCs w:val="22"/>
                    </w:rPr>
                    <w:t>4</w:t>
                  </w:r>
                </w:p>
              </w:tc>
              <w:tc>
                <w:tcPr>
                  <w:tcW w:w="361" w:type="pct"/>
                </w:tcPr>
                <w:p w14:paraId="6AC761F0" w14:textId="77777777" w:rsidR="00341BC1" w:rsidRPr="001A1836" w:rsidRDefault="00341BC1" w:rsidP="00341BC1">
                  <w:pPr>
                    <w:pStyle w:val="TableText-Centre"/>
                    <w:rPr>
                      <w:rFonts w:cs="Arial"/>
                      <w:color w:val="auto"/>
                      <w:sz w:val="22"/>
                      <w:szCs w:val="22"/>
                    </w:rPr>
                  </w:pPr>
                  <w:r w:rsidRPr="001A1836">
                    <w:rPr>
                      <w:rFonts w:cs="Arial"/>
                      <w:color w:val="auto"/>
                      <w:sz w:val="22"/>
                      <w:szCs w:val="22"/>
                    </w:rPr>
                    <w:t>3</w:t>
                  </w:r>
                </w:p>
              </w:tc>
              <w:tc>
                <w:tcPr>
                  <w:tcW w:w="361" w:type="pct"/>
                </w:tcPr>
                <w:p w14:paraId="7E051F08" w14:textId="77777777" w:rsidR="00341BC1" w:rsidRPr="001A1836" w:rsidRDefault="00341BC1" w:rsidP="00341BC1">
                  <w:pPr>
                    <w:pStyle w:val="TableText-Centre"/>
                    <w:rPr>
                      <w:rFonts w:cs="Arial"/>
                      <w:color w:val="auto"/>
                      <w:sz w:val="22"/>
                      <w:szCs w:val="22"/>
                    </w:rPr>
                  </w:pPr>
                  <w:r w:rsidRPr="001A1836">
                    <w:rPr>
                      <w:rFonts w:cs="Arial"/>
                      <w:color w:val="auto"/>
                      <w:sz w:val="22"/>
                      <w:szCs w:val="22"/>
                    </w:rPr>
                    <w:t>4</w:t>
                  </w:r>
                </w:p>
              </w:tc>
              <w:tc>
                <w:tcPr>
                  <w:tcW w:w="361" w:type="pct"/>
                </w:tcPr>
                <w:p w14:paraId="25847702" w14:textId="77777777" w:rsidR="00341BC1" w:rsidRPr="001A1836" w:rsidRDefault="00341BC1" w:rsidP="00341BC1">
                  <w:pPr>
                    <w:pStyle w:val="TableText-Centre"/>
                    <w:rPr>
                      <w:rFonts w:cs="Arial"/>
                      <w:color w:val="auto"/>
                      <w:sz w:val="22"/>
                      <w:szCs w:val="22"/>
                    </w:rPr>
                  </w:pPr>
                  <w:r w:rsidRPr="001A1836">
                    <w:rPr>
                      <w:rFonts w:cs="Arial"/>
                      <w:color w:val="auto"/>
                      <w:sz w:val="22"/>
                      <w:szCs w:val="22"/>
                    </w:rPr>
                    <w:t>5</w:t>
                  </w:r>
                </w:p>
              </w:tc>
              <w:tc>
                <w:tcPr>
                  <w:tcW w:w="625" w:type="pct"/>
                </w:tcPr>
                <w:p w14:paraId="65D6605D" w14:textId="77777777" w:rsidR="00341BC1" w:rsidRPr="001A1836" w:rsidRDefault="00341BC1" w:rsidP="008E18BD">
                  <w:pPr>
                    <w:pStyle w:val="TableText-Centre"/>
                    <w:jc w:val="right"/>
                    <w:rPr>
                      <w:rFonts w:cs="Arial"/>
                      <w:color w:val="auto"/>
                      <w:sz w:val="22"/>
                      <w:szCs w:val="22"/>
                    </w:rPr>
                  </w:pPr>
                  <w:r w:rsidRPr="001A1836">
                    <w:rPr>
                      <w:rFonts w:cs="Arial"/>
                      <w:color w:val="auto"/>
                      <w:sz w:val="22"/>
                      <w:szCs w:val="22"/>
                    </w:rPr>
                    <w:t>18</w:t>
                  </w:r>
                </w:p>
              </w:tc>
              <w:tc>
                <w:tcPr>
                  <w:tcW w:w="556" w:type="pct"/>
                </w:tcPr>
                <w:p w14:paraId="6C3BCB6A" w14:textId="77777777" w:rsidR="00341BC1" w:rsidRPr="001A1836" w:rsidRDefault="00341BC1" w:rsidP="008E18BD">
                  <w:pPr>
                    <w:pStyle w:val="TableText-Centre"/>
                    <w:jc w:val="right"/>
                    <w:rPr>
                      <w:rFonts w:cs="Arial"/>
                      <w:color w:val="auto"/>
                      <w:sz w:val="22"/>
                      <w:szCs w:val="22"/>
                    </w:rPr>
                  </w:pPr>
                  <w:r w:rsidRPr="001A1836">
                    <w:rPr>
                      <w:rFonts w:cs="Arial"/>
                      <w:color w:val="auto"/>
                      <w:sz w:val="22"/>
                      <w:szCs w:val="22"/>
                    </w:rPr>
                    <w:t>72%</w:t>
                  </w:r>
                </w:p>
              </w:tc>
              <w:tc>
                <w:tcPr>
                  <w:tcW w:w="695" w:type="pct"/>
                </w:tcPr>
                <w:p w14:paraId="4CF79678" w14:textId="77777777" w:rsidR="00341BC1" w:rsidRPr="001A1836" w:rsidRDefault="00341BC1" w:rsidP="008E18BD">
                  <w:pPr>
                    <w:pStyle w:val="TableText-Centre"/>
                    <w:jc w:val="right"/>
                    <w:rPr>
                      <w:rFonts w:cs="Arial"/>
                      <w:color w:val="auto"/>
                      <w:sz w:val="22"/>
                      <w:szCs w:val="22"/>
                    </w:rPr>
                  </w:pPr>
                  <w:r w:rsidRPr="001A1836">
                    <w:rPr>
                      <w:rFonts w:cs="Arial"/>
                      <w:color w:val="auto"/>
                      <w:sz w:val="22"/>
                      <w:szCs w:val="22"/>
                    </w:rPr>
                    <w:t>20%</w:t>
                  </w:r>
                </w:p>
              </w:tc>
              <w:tc>
                <w:tcPr>
                  <w:tcW w:w="556" w:type="pct"/>
                </w:tcPr>
                <w:p w14:paraId="51546843" w14:textId="77777777" w:rsidR="00341BC1" w:rsidRPr="001A1836" w:rsidRDefault="00341BC1" w:rsidP="008E18BD">
                  <w:pPr>
                    <w:pStyle w:val="TableText-Centre"/>
                    <w:jc w:val="right"/>
                    <w:rPr>
                      <w:rFonts w:cs="Arial"/>
                      <w:color w:val="auto"/>
                      <w:sz w:val="22"/>
                      <w:szCs w:val="22"/>
                    </w:rPr>
                  </w:pPr>
                  <w:r w:rsidRPr="001A1836">
                    <w:rPr>
                      <w:rFonts w:cs="Arial"/>
                      <w:color w:val="auto"/>
                      <w:sz w:val="22"/>
                      <w:szCs w:val="22"/>
                    </w:rPr>
                    <w:t>14.4%</w:t>
                  </w:r>
                </w:p>
              </w:tc>
            </w:tr>
            <w:tr w:rsidR="008E18BD" w:rsidRPr="001A1836" w14:paraId="33C7F5E7" w14:textId="77777777" w:rsidTr="00DF62C9">
              <w:tc>
                <w:tcPr>
                  <w:tcW w:w="4444" w:type="pct"/>
                  <w:gridSpan w:val="9"/>
                </w:tcPr>
                <w:p w14:paraId="1DEAFFA2" w14:textId="77777777" w:rsidR="00341BC1" w:rsidRPr="001A1836" w:rsidRDefault="00341BC1" w:rsidP="008E18BD">
                  <w:pPr>
                    <w:pStyle w:val="TableText-Left"/>
                    <w:jc w:val="right"/>
                    <w:rPr>
                      <w:rStyle w:val="Bold"/>
                      <w:rFonts w:cs="Arial"/>
                      <w:color w:val="auto"/>
                      <w:szCs w:val="22"/>
                    </w:rPr>
                  </w:pPr>
                  <w:r w:rsidRPr="001A1836">
                    <w:rPr>
                      <w:rStyle w:val="Bold"/>
                      <w:rFonts w:cs="Arial"/>
                      <w:color w:val="auto"/>
                      <w:szCs w:val="22"/>
                    </w:rPr>
                    <w:t>Total</w:t>
                  </w:r>
                </w:p>
              </w:tc>
              <w:tc>
                <w:tcPr>
                  <w:tcW w:w="556" w:type="pct"/>
                </w:tcPr>
                <w:p w14:paraId="5B5DAD23" w14:textId="77777777" w:rsidR="00341BC1" w:rsidRPr="001A1836" w:rsidRDefault="00341BC1" w:rsidP="008E18BD">
                  <w:pPr>
                    <w:pStyle w:val="TableText-Centre"/>
                    <w:jc w:val="right"/>
                    <w:rPr>
                      <w:rStyle w:val="Bold"/>
                      <w:rFonts w:cs="Arial"/>
                      <w:color w:val="auto"/>
                      <w:szCs w:val="22"/>
                    </w:rPr>
                  </w:pPr>
                  <w:r w:rsidRPr="001A1836">
                    <w:rPr>
                      <w:rStyle w:val="Bold"/>
                      <w:rFonts w:cs="Arial"/>
                      <w:color w:val="auto"/>
                      <w:szCs w:val="22"/>
                    </w:rPr>
                    <w:t>76.0%</w:t>
                  </w:r>
                </w:p>
              </w:tc>
            </w:tr>
          </w:tbl>
          <w:p w14:paraId="67F75D8C" w14:textId="75ABB46B" w:rsidR="00AB39C2" w:rsidRPr="001A1836" w:rsidRDefault="00AB39C2" w:rsidP="002D748D">
            <w:pPr>
              <w:rPr>
                <w:rFonts w:cs="Arial"/>
                <w:szCs w:val="22"/>
              </w:rPr>
            </w:pPr>
          </w:p>
        </w:tc>
      </w:tr>
      <w:tr w:rsidR="00B074CC" w:rsidRPr="001A1836" w14:paraId="033CA69E" w14:textId="77777777" w:rsidTr="00B51918">
        <w:tc>
          <w:tcPr>
            <w:tcW w:w="1924" w:type="dxa"/>
            <w:tcBorders>
              <w:top w:val="single" w:sz="4" w:space="0" w:color="auto"/>
              <w:left w:val="single" w:sz="4" w:space="0" w:color="auto"/>
              <w:bottom w:val="single" w:sz="4" w:space="0" w:color="auto"/>
              <w:right w:val="single" w:sz="4" w:space="0" w:color="auto"/>
            </w:tcBorders>
            <w:hideMark/>
          </w:tcPr>
          <w:p w14:paraId="247C37A5" w14:textId="77777777" w:rsidR="00B074CC" w:rsidRPr="001A1836" w:rsidRDefault="00B074CC" w:rsidP="00626054">
            <w:pPr>
              <w:rPr>
                <w:rFonts w:cs="Arial"/>
                <w:szCs w:val="22"/>
              </w:rPr>
            </w:pPr>
            <w:r w:rsidRPr="001A1836">
              <w:rPr>
                <w:rFonts w:cs="Arial"/>
                <w:szCs w:val="22"/>
              </w:rPr>
              <w:lastRenderedPageBreak/>
              <w:t>Timing of calculation</w:t>
            </w:r>
          </w:p>
        </w:tc>
        <w:tc>
          <w:tcPr>
            <w:tcW w:w="7086" w:type="dxa"/>
            <w:gridSpan w:val="2"/>
            <w:tcBorders>
              <w:top w:val="single" w:sz="4" w:space="0" w:color="auto"/>
              <w:left w:val="single" w:sz="4" w:space="0" w:color="auto"/>
              <w:bottom w:val="single" w:sz="4" w:space="0" w:color="auto"/>
              <w:right w:val="single" w:sz="4" w:space="0" w:color="auto"/>
            </w:tcBorders>
            <w:hideMark/>
          </w:tcPr>
          <w:p w14:paraId="4C6F6BB7" w14:textId="77777777" w:rsidR="00B074CC" w:rsidRPr="001A1836" w:rsidRDefault="00B074CC" w:rsidP="00626054">
            <w:pPr>
              <w:rPr>
                <w:rFonts w:cs="Arial"/>
                <w:szCs w:val="22"/>
              </w:rPr>
            </w:pPr>
            <w:r w:rsidRPr="001A1836">
              <w:rPr>
                <w:rFonts w:cs="Arial"/>
                <w:szCs w:val="22"/>
              </w:rPr>
              <w:t>First quarter performance to be used to set baseline and KPI target.</w:t>
            </w:r>
          </w:p>
          <w:p w14:paraId="69841CDA" w14:textId="77777777" w:rsidR="00B074CC" w:rsidRPr="001A1836" w:rsidRDefault="00B074CC" w:rsidP="00626054">
            <w:pPr>
              <w:rPr>
                <w:rFonts w:cs="Arial"/>
                <w:szCs w:val="22"/>
              </w:rPr>
            </w:pPr>
            <w:r w:rsidRPr="001A1836">
              <w:rPr>
                <w:rFonts w:cs="Arial"/>
                <w:szCs w:val="22"/>
              </w:rPr>
              <w:t>Performance is reported quarterly thereafter.</w:t>
            </w:r>
          </w:p>
          <w:p w14:paraId="0C53BB14" w14:textId="77777777" w:rsidR="00B074CC" w:rsidRPr="001A1836" w:rsidRDefault="00B074CC" w:rsidP="00626054">
            <w:pPr>
              <w:rPr>
                <w:rFonts w:cs="Arial"/>
                <w:szCs w:val="22"/>
              </w:rPr>
            </w:pPr>
            <w:r w:rsidRPr="001A1836">
              <w:rPr>
                <w:rFonts w:cs="Arial"/>
                <w:szCs w:val="22"/>
              </w:rPr>
              <w:t>Performance is calculated annually.</w:t>
            </w:r>
          </w:p>
        </w:tc>
      </w:tr>
      <w:tr w:rsidR="00B074CC" w:rsidRPr="001A1836" w14:paraId="52B3487E" w14:textId="77777777" w:rsidTr="00B51918">
        <w:tc>
          <w:tcPr>
            <w:tcW w:w="1924" w:type="dxa"/>
            <w:tcBorders>
              <w:top w:val="single" w:sz="4" w:space="0" w:color="auto"/>
              <w:left w:val="single" w:sz="4" w:space="0" w:color="auto"/>
              <w:bottom w:val="single" w:sz="4" w:space="0" w:color="auto"/>
              <w:right w:val="single" w:sz="4" w:space="0" w:color="auto"/>
            </w:tcBorders>
            <w:hideMark/>
          </w:tcPr>
          <w:p w14:paraId="48D09F4A" w14:textId="77777777" w:rsidR="00B074CC" w:rsidRPr="001A1836" w:rsidRDefault="00B074CC" w:rsidP="00626054">
            <w:pPr>
              <w:rPr>
                <w:rFonts w:cs="Arial"/>
                <w:szCs w:val="22"/>
              </w:rPr>
            </w:pPr>
            <w:r w:rsidRPr="001A1836">
              <w:rPr>
                <w:rFonts w:cs="Arial"/>
                <w:szCs w:val="22"/>
              </w:rPr>
              <w:t>KPI Target</w:t>
            </w:r>
          </w:p>
        </w:tc>
        <w:tc>
          <w:tcPr>
            <w:tcW w:w="7086" w:type="dxa"/>
            <w:gridSpan w:val="2"/>
            <w:tcBorders>
              <w:top w:val="single" w:sz="4" w:space="0" w:color="auto"/>
              <w:left w:val="single" w:sz="4" w:space="0" w:color="auto"/>
              <w:bottom w:val="single" w:sz="4" w:space="0" w:color="auto"/>
              <w:right w:val="single" w:sz="4" w:space="0" w:color="auto"/>
            </w:tcBorders>
            <w:hideMark/>
          </w:tcPr>
          <w:p w14:paraId="067BB3F4" w14:textId="77777777" w:rsidR="00B074CC" w:rsidRPr="001A1836" w:rsidRDefault="00B074CC" w:rsidP="00626054">
            <w:pPr>
              <w:rPr>
                <w:rFonts w:cs="Arial"/>
                <w:i/>
                <w:szCs w:val="22"/>
              </w:rPr>
            </w:pPr>
            <w:r w:rsidRPr="001A1836">
              <w:rPr>
                <w:rFonts w:cs="Arial"/>
                <w:i/>
                <w:szCs w:val="22"/>
              </w:rPr>
              <w:t>[to be agreed following benchmarking exercise in first quarter of contract]</w:t>
            </w:r>
          </w:p>
        </w:tc>
      </w:tr>
      <w:tr w:rsidR="00B51918" w:rsidRPr="001A1836" w14:paraId="22B04247" w14:textId="77777777" w:rsidTr="00B51918">
        <w:tc>
          <w:tcPr>
            <w:tcW w:w="1924" w:type="dxa"/>
            <w:tcBorders>
              <w:top w:val="single" w:sz="4" w:space="0" w:color="auto"/>
              <w:left w:val="single" w:sz="4" w:space="0" w:color="auto"/>
              <w:bottom w:val="single" w:sz="4" w:space="0" w:color="auto"/>
              <w:right w:val="single" w:sz="4" w:space="0" w:color="auto"/>
            </w:tcBorders>
          </w:tcPr>
          <w:p w14:paraId="42F0F419" w14:textId="77777777" w:rsidR="00B51918" w:rsidRPr="001A1836" w:rsidRDefault="00B51918" w:rsidP="00B51918">
            <w:pPr>
              <w:rPr>
                <w:rFonts w:cs="Arial"/>
                <w:szCs w:val="22"/>
              </w:rPr>
            </w:pPr>
          </w:p>
        </w:tc>
        <w:tc>
          <w:tcPr>
            <w:tcW w:w="4661" w:type="dxa"/>
            <w:tcBorders>
              <w:top w:val="single" w:sz="4" w:space="0" w:color="auto"/>
              <w:left w:val="single" w:sz="4" w:space="0" w:color="auto"/>
              <w:bottom w:val="single" w:sz="4" w:space="0" w:color="auto"/>
              <w:right w:val="single" w:sz="4" w:space="0" w:color="auto"/>
            </w:tcBorders>
            <w:hideMark/>
          </w:tcPr>
          <w:p w14:paraId="30D13342" w14:textId="77777777" w:rsidR="00B51918" w:rsidRPr="001A1836" w:rsidRDefault="00B51918" w:rsidP="00B51918">
            <w:pPr>
              <w:rPr>
                <w:rFonts w:cs="Arial"/>
                <w:b/>
                <w:szCs w:val="22"/>
              </w:rPr>
            </w:pPr>
            <w:r w:rsidRPr="001A1836">
              <w:rPr>
                <w:rFonts w:cs="Arial"/>
                <w:b/>
                <w:szCs w:val="22"/>
              </w:rPr>
              <w:t>KPI outcome</w:t>
            </w:r>
          </w:p>
        </w:tc>
        <w:tc>
          <w:tcPr>
            <w:tcW w:w="2425" w:type="dxa"/>
            <w:tcBorders>
              <w:top w:val="single" w:sz="4" w:space="0" w:color="auto"/>
              <w:left w:val="single" w:sz="4" w:space="0" w:color="auto"/>
              <w:bottom w:val="single" w:sz="4" w:space="0" w:color="auto"/>
              <w:right w:val="single" w:sz="4" w:space="0" w:color="auto"/>
            </w:tcBorders>
            <w:hideMark/>
          </w:tcPr>
          <w:p w14:paraId="64A82C16" w14:textId="19008D49" w:rsidR="00B51918" w:rsidRPr="001A1836" w:rsidRDefault="00C10FC6" w:rsidP="00B51918">
            <w:pPr>
              <w:rPr>
                <w:rFonts w:cs="Arial"/>
                <w:b/>
                <w:szCs w:val="22"/>
              </w:rPr>
            </w:pPr>
            <w:r w:rsidRPr="001A1836">
              <w:rPr>
                <w:rFonts w:cs="Arial"/>
                <w:b/>
                <w:szCs w:val="22"/>
              </w:rPr>
              <w:t xml:space="preserve">Reduction in </w:t>
            </w:r>
            <w:r>
              <w:rPr>
                <w:rFonts w:cs="Arial"/>
                <w:b/>
                <w:szCs w:val="22"/>
              </w:rPr>
              <w:t xml:space="preserve">each of (i) </w:t>
            </w:r>
            <w:r w:rsidRPr="00946A1A">
              <w:rPr>
                <w:b/>
              </w:rPr>
              <w:t>Provisional</w:t>
            </w:r>
            <w:r>
              <w:rPr>
                <w:rFonts w:cs="Arial"/>
                <w:b/>
                <w:szCs w:val="22"/>
              </w:rPr>
              <w:t xml:space="preserve"> Provider Profit and (ii) </w:t>
            </w:r>
            <w:r w:rsidRPr="001A1836">
              <w:rPr>
                <w:rFonts w:cs="Arial"/>
                <w:b/>
                <w:szCs w:val="22"/>
              </w:rPr>
              <w:t>Provisional Provider Gain Share Funds</w:t>
            </w:r>
          </w:p>
        </w:tc>
      </w:tr>
      <w:tr w:rsidR="006110D6" w:rsidRPr="001A1836" w14:paraId="22E8E75F" w14:textId="77777777" w:rsidTr="00B51918">
        <w:tc>
          <w:tcPr>
            <w:tcW w:w="1924" w:type="dxa"/>
            <w:tcBorders>
              <w:top w:val="single" w:sz="4" w:space="0" w:color="auto"/>
              <w:left w:val="single" w:sz="4" w:space="0" w:color="auto"/>
              <w:bottom w:val="single" w:sz="4" w:space="0" w:color="auto"/>
              <w:right w:val="single" w:sz="4" w:space="0" w:color="auto"/>
            </w:tcBorders>
            <w:hideMark/>
          </w:tcPr>
          <w:p w14:paraId="5EEB620D" w14:textId="77777777" w:rsidR="006110D6" w:rsidRPr="001A1836" w:rsidRDefault="006110D6" w:rsidP="006110D6">
            <w:pPr>
              <w:rPr>
                <w:rFonts w:cs="Arial"/>
                <w:szCs w:val="22"/>
              </w:rPr>
            </w:pPr>
            <w:r w:rsidRPr="001A1836">
              <w:rPr>
                <w:rFonts w:cs="Arial"/>
                <w:szCs w:val="22"/>
              </w:rPr>
              <w:t>KPI target met</w:t>
            </w:r>
          </w:p>
        </w:tc>
        <w:tc>
          <w:tcPr>
            <w:tcW w:w="4661" w:type="dxa"/>
            <w:tcBorders>
              <w:top w:val="single" w:sz="4" w:space="0" w:color="auto"/>
              <w:left w:val="single" w:sz="4" w:space="0" w:color="auto"/>
              <w:bottom w:val="single" w:sz="4" w:space="0" w:color="auto"/>
              <w:right w:val="single" w:sz="4" w:space="0" w:color="auto"/>
            </w:tcBorders>
            <w:hideMark/>
          </w:tcPr>
          <w:p w14:paraId="071D78C6" w14:textId="17A9B5B8" w:rsidR="006110D6" w:rsidRPr="00C10FC6" w:rsidRDefault="006110D6" w:rsidP="006110D6">
            <w:pPr>
              <w:rPr>
                <w:rFonts w:cs="Arial"/>
                <w:color w:val="000000" w:themeColor="text1"/>
                <w:szCs w:val="22"/>
              </w:rPr>
            </w:pPr>
            <w:r w:rsidRPr="00C10FC6">
              <w:rPr>
                <w:color w:val="000000" w:themeColor="text1"/>
              </w:rPr>
              <w:t>100% of agreed target</w:t>
            </w:r>
          </w:p>
        </w:tc>
        <w:tc>
          <w:tcPr>
            <w:tcW w:w="2425" w:type="dxa"/>
            <w:tcBorders>
              <w:top w:val="single" w:sz="4" w:space="0" w:color="auto"/>
              <w:left w:val="single" w:sz="4" w:space="0" w:color="auto"/>
              <w:bottom w:val="single" w:sz="4" w:space="0" w:color="auto"/>
              <w:right w:val="single" w:sz="4" w:space="0" w:color="auto"/>
            </w:tcBorders>
            <w:hideMark/>
          </w:tcPr>
          <w:p w14:paraId="10AEF490" w14:textId="4D8EB5C8" w:rsidR="006110D6" w:rsidRPr="001A1836" w:rsidRDefault="006110D6" w:rsidP="006110D6">
            <w:pPr>
              <w:rPr>
                <w:rFonts w:cs="Arial"/>
                <w:szCs w:val="22"/>
              </w:rPr>
            </w:pPr>
            <w:r w:rsidRPr="001A1836">
              <w:rPr>
                <w:rFonts w:cs="Arial"/>
                <w:szCs w:val="22"/>
              </w:rPr>
              <w:t>N/A</w:t>
            </w:r>
          </w:p>
        </w:tc>
      </w:tr>
      <w:tr w:rsidR="006110D6" w:rsidRPr="001A1836" w14:paraId="1E8971D8" w14:textId="77777777" w:rsidTr="00B51918">
        <w:tc>
          <w:tcPr>
            <w:tcW w:w="1924" w:type="dxa"/>
            <w:tcBorders>
              <w:top w:val="single" w:sz="4" w:space="0" w:color="auto"/>
              <w:left w:val="single" w:sz="4" w:space="0" w:color="auto"/>
              <w:bottom w:val="single" w:sz="4" w:space="0" w:color="auto"/>
              <w:right w:val="single" w:sz="4" w:space="0" w:color="auto"/>
            </w:tcBorders>
            <w:hideMark/>
          </w:tcPr>
          <w:p w14:paraId="5C00DDAF" w14:textId="77777777" w:rsidR="006110D6" w:rsidRPr="001A1836" w:rsidRDefault="006110D6" w:rsidP="006110D6">
            <w:pPr>
              <w:rPr>
                <w:rFonts w:cs="Arial"/>
                <w:szCs w:val="22"/>
              </w:rPr>
            </w:pPr>
            <w:r w:rsidRPr="001A1836">
              <w:rPr>
                <w:rFonts w:cs="Arial"/>
                <w:szCs w:val="22"/>
              </w:rPr>
              <w:t>Minor KPI Failure</w:t>
            </w:r>
          </w:p>
        </w:tc>
        <w:tc>
          <w:tcPr>
            <w:tcW w:w="4661" w:type="dxa"/>
            <w:tcBorders>
              <w:top w:val="single" w:sz="4" w:space="0" w:color="auto"/>
              <w:left w:val="single" w:sz="4" w:space="0" w:color="auto"/>
              <w:bottom w:val="single" w:sz="4" w:space="0" w:color="auto"/>
              <w:right w:val="single" w:sz="4" w:space="0" w:color="auto"/>
            </w:tcBorders>
            <w:hideMark/>
          </w:tcPr>
          <w:p w14:paraId="284568EE" w14:textId="554691E8" w:rsidR="006110D6" w:rsidRPr="00C10FC6" w:rsidRDefault="006110D6" w:rsidP="006110D6">
            <w:pPr>
              <w:rPr>
                <w:rFonts w:cs="Arial"/>
                <w:color w:val="000000" w:themeColor="text1"/>
                <w:szCs w:val="22"/>
              </w:rPr>
            </w:pPr>
            <w:r w:rsidRPr="00C10FC6">
              <w:rPr>
                <w:iCs/>
                <w:color w:val="000000" w:themeColor="text1"/>
              </w:rPr>
              <w:t>Between 98% and 99.9% of agreed target</w:t>
            </w:r>
          </w:p>
        </w:tc>
        <w:tc>
          <w:tcPr>
            <w:tcW w:w="2425" w:type="dxa"/>
            <w:tcBorders>
              <w:top w:val="single" w:sz="4" w:space="0" w:color="auto"/>
              <w:left w:val="single" w:sz="4" w:space="0" w:color="auto"/>
              <w:bottom w:val="single" w:sz="4" w:space="0" w:color="auto"/>
              <w:right w:val="single" w:sz="4" w:space="0" w:color="auto"/>
            </w:tcBorders>
            <w:hideMark/>
          </w:tcPr>
          <w:p w14:paraId="09D72A96" w14:textId="5640EAAB" w:rsidR="006110D6" w:rsidRPr="001A1836" w:rsidRDefault="006110D6" w:rsidP="006110D6">
            <w:pPr>
              <w:rPr>
                <w:rFonts w:cs="Arial"/>
                <w:szCs w:val="22"/>
              </w:rPr>
            </w:pPr>
            <w:r w:rsidRPr="001A1836">
              <w:rPr>
                <w:rFonts w:cs="Arial"/>
                <w:szCs w:val="22"/>
              </w:rPr>
              <w:t>N/A</w:t>
            </w:r>
          </w:p>
        </w:tc>
      </w:tr>
      <w:tr w:rsidR="006110D6" w:rsidRPr="001A1836" w14:paraId="3B4A8878" w14:textId="77777777" w:rsidTr="00B51918">
        <w:tc>
          <w:tcPr>
            <w:tcW w:w="1924" w:type="dxa"/>
            <w:tcBorders>
              <w:top w:val="single" w:sz="4" w:space="0" w:color="auto"/>
              <w:left w:val="single" w:sz="4" w:space="0" w:color="auto"/>
              <w:bottom w:val="single" w:sz="4" w:space="0" w:color="auto"/>
              <w:right w:val="single" w:sz="4" w:space="0" w:color="auto"/>
            </w:tcBorders>
            <w:hideMark/>
          </w:tcPr>
          <w:p w14:paraId="19E12B89" w14:textId="77777777" w:rsidR="006110D6" w:rsidRPr="001A1836" w:rsidRDefault="006110D6" w:rsidP="006110D6">
            <w:pPr>
              <w:rPr>
                <w:rFonts w:cs="Arial"/>
                <w:szCs w:val="22"/>
              </w:rPr>
            </w:pPr>
            <w:r w:rsidRPr="001A1836">
              <w:rPr>
                <w:rFonts w:cs="Arial"/>
                <w:szCs w:val="22"/>
              </w:rPr>
              <w:t>Moderate KPI Failure</w:t>
            </w:r>
          </w:p>
        </w:tc>
        <w:tc>
          <w:tcPr>
            <w:tcW w:w="4661" w:type="dxa"/>
            <w:tcBorders>
              <w:top w:val="single" w:sz="4" w:space="0" w:color="auto"/>
              <w:left w:val="single" w:sz="4" w:space="0" w:color="auto"/>
              <w:bottom w:val="single" w:sz="4" w:space="0" w:color="auto"/>
              <w:right w:val="single" w:sz="4" w:space="0" w:color="auto"/>
            </w:tcBorders>
            <w:hideMark/>
          </w:tcPr>
          <w:p w14:paraId="6E4FE5DB" w14:textId="5F8EA79A" w:rsidR="006110D6" w:rsidRPr="00C10FC6" w:rsidRDefault="006110D6" w:rsidP="006110D6">
            <w:pPr>
              <w:rPr>
                <w:rFonts w:cs="Arial"/>
                <w:color w:val="000000" w:themeColor="text1"/>
                <w:szCs w:val="22"/>
              </w:rPr>
            </w:pPr>
            <w:r w:rsidRPr="00C10FC6">
              <w:rPr>
                <w:iCs/>
                <w:color w:val="000000" w:themeColor="text1"/>
              </w:rPr>
              <w:t>Between 95% and 97.9%</w:t>
            </w:r>
          </w:p>
        </w:tc>
        <w:tc>
          <w:tcPr>
            <w:tcW w:w="2425" w:type="dxa"/>
            <w:tcBorders>
              <w:top w:val="single" w:sz="4" w:space="0" w:color="auto"/>
              <w:left w:val="single" w:sz="4" w:space="0" w:color="auto"/>
              <w:bottom w:val="single" w:sz="4" w:space="0" w:color="auto"/>
              <w:right w:val="single" w:sz="4" w:space="0" w:color="auto"/>
            </w:tcBorders>
            <w:hideMark/>
          </w:tcPr>
          <w:p w14:paraId="0A320084" w14:textId="1704DC63" w:rsidR="006110D6" w:rsidRPr="001A1836" w:rsidRDefault="006110D6" w:rsidP="006110D6">
            <w:pPr>
              <w:rPr>
                <w:rFonts w:cs="Arial"/>
                <w:szCs w:val="22"/>
              </w:rPr>
            </w:pPr>
            <w:r w:rsidRPr="001A1836">
              <w:rPr>
                <w:rFonts w:cs="Arial"/>
                <w:szCs w:val="22"/>
              </w:rPr>
              <w:t>N/A</w:t>
            </w:r>
          </w:p>
        </w:tc>
      </w:tr>
      <w:tr w:rsidR="006110D6" w:rsidRPr="001A1836" w14:paraId="75DEB7B4" w14:textId="77777777" w:rsidTr="00B51918">
        <w:tc>
          <w:tcPr>
            <w:tcW w:w="1924" w:type="dxa"/>
            <w:tcBorders>
              <w:top w:val="single" w:sz="4" w:space="0" w:color="auto"/>
              <w:left w:val="single" w:sz="4" w:space="0" w:color="auto"/>
              <w:bottom w:val="single" w:sz="4" w:space="0" w:color="auto"/>
              <w:right w:val="single" w:sz="4" w:space="0" w:color="auto"/>
            </w:tcBorders>
            <w:hideMark/>
          </w:tcPr>
          <w:p w14:paraId="35622622" w14:textId="77777777" w:rsidR="006110D6" w:rsidRPr="001A1836" w:rsidRDefault="006110D6" w:rsidP="006110D6">
            <w:pPr>
              <w:rPr>
                <w:rFonts w:cs="Arial"/>
                <w:szCs w:val="22"/>
              </w:rPr>
            </w:pPr>
            <w:r w:rsidRPr="001A1836">
              <w:rPr>
                <w:rFonts w:cs="Arial"/>
                <w:szCs w:val="22"/>
              </w:rPr>
              <w:t>Major KPI Failure</w:t>
            </w:r>
          </w:p>
        </w:tc>
        <w:tc>
          <w:tcPr>
            <w:tcW w:w="4661" w:type="dxa"/>
            <w:tcBorders>
              <w:top w:val="single" w:sz="4" w:space="0" w:color="auto"/>
              <w:left w:val="single" w:sz="4" w:space="0" w:color="auto"/>
              <w:bottom w:val="single" w:sz="4" w:space="0" w:color="auto"/>
              <w:right w:val="single" w:sz="4" w:space="0" w:color="auto"/>
            </w:tcBorders>
            <w:hideMark/>
          </w:tcPr>
          <w:p w14:paraId="115DA538" w14:textId="5BF38184" w:rsidR="006110D6" w:rsidRPr="00C10FC6" w:rsidRDefault="006110D6" w:rsidP="006110D6">
            <w:pPr>
              <w:rPr>
                <w:rFonts w:cs="Arial"/>
                <w:color w:val="000000" w:themeColor="text1"/>
                <w:szCs w:val="22"/>
              </w:rPr>
            </w:pPr>
            <w:r w:rsidRPr="00C10FC6">
              <w:rPr>
                <w:iCs/>
                <w:color w:val="000000" w:themeColor="text1"/>
              </w:rPr>
              <w:t>Below 95% of agreed target</w:t>
            </w:r>
          </w:p>
        </w:tc>
        <w:tc>
          <w:tcPr>
            <w:tcW w:w="2425" w:type="dxa"/>
            <w:tcBorders>
              <w:top w:val="single" w:sz="4" w:space="0" w:color="auto"/>
              <w:left w:val="single" w:sz="4" w:space="0" w:color="auto"/>
              <w:bottom w:val="single" w:sz="4" w:space="0" w:color="auto"/>
              <w:right w:val="single" w:sz="4" w:space="0" w:color="auto"/>
            </w:tcBorders>
            <w:hideMark/>
          </w:tcPr>
          <w:p w14:paraId="50981807" w14:textId="4218F570" w:rsidR="006110D6" w:rsidRPr="001A1836" w:rsidRDefault="006110D6" w:rsidP="006110D6">
            <w:pPr>
              <w:rPr>
                <w:rFonts w:cs="Arial"/>
                <w:szCs w:val="22"/>
              </w:rPr>
            </w:pPr>
            <w:r w:rsidRPr="001A1836">
              <w:rPr>
                <w:rFonts w:cs="Arial"/>
                <w:szCs w:val="22"/>
              </w:rPr>
              <w:t>N/A</w:t>
            </w:r>
          </w:p>
        </w:tc>
      </w:tr>
    </w:tbl>
    <w:p w14:paraId="7C3A7B8F" w14:textId="2AF82E7E" w:rsidR="00B074CC" w:rsidRPr="001A1836" w:rsidRDefault="00B074CC" w:rsidP="002B3867">
      <w:pPr>
        <w:pStyle w:val="GSRL2Sectionheading"/>
      </w:pPr>
      <w:r w:rsidRPr="001A1836">
        <w:br w:type="page"/>
      </w:r>
      <w:bookmarkStart w:id="1625" w:name="_Toc508781319"/>
      <w:bookmarkStart w:id="1626" w:name="_Toc521327049"/>
      <w:bookmarkStart w:id="1627" w:name="_Toc521333282"/>
      <w:bookmarkStart w:id="1628" w:name="_Toc521496843"/>
      <w:bookmarkStart w:id="1629" w:name="_Toc521498285"/>
      <w:bookmarkStart w:id="1630" w:name="_Toc529346016"/>
      <w:bookmarkStart w:id="1631" w:name="_Toc129038223"/>
      <w:bookmarkStart w:id="1632" w:name="_Toc129038509"/>
      <w:bookmarkStart w:id="1633" w:name="_Toc132268079"/>
      <w:bookmarkStart w:id="1634" w:name="_Toc132268385"/>
      <w:bookmarkStart w:id="1635" w:name="_Toc136198636"/>
      <w:bookmarkStart w:id="1636" w:name="_Toc136198917"/>
      <w:r w:rsidRPr="001A1836">
        <w:lastRenderedPageBreak/>
        <w:t>A</w:t>
      </w:r>
      <w:r w:rsidR="004C2FF4" w:rsidRPr="001A1836">
        <w:t>nnex</w:t>
      </w:r>
      <w:r w:rsidRPr="001A1836">
        <w:t xml:space="preserve"> 2 – Quarterly Client satisfaction survey</w:t>
      </w:r>
      <w:bookmarkEnd w:id="1625"/>
      <w:bookmarkEnd w:id="1626"/>
      <w:bookmarkEnd w:id="1627"/>
      <w:bookmarkEnd w:id="1628"/>
      <w:bookmarkEnd w:id="1629"/>
      <w:bookmarkEnd w:id="1630"/>
      <w:bookmarkEnd w:id="1631"/>
      <w:bookmarkEnd w:id="1632"/>
      <w:bookmarkEnd w:id="1633"/>
      <w:bookmarkEnd w:id="1634"/>
      <w:bookmarkEnd w:id="1635"/>
      <w:bookmarkEnd w:id="1636"/>
    </w:p>
    <w:p w14:paraId="6AA310DC" w14:textId="77777777" w:rsidR="00B074CC" w:rsidRPr="001A1836" w:rsidRDefault="00B074CC" w:rsidP="00626054">
      <w:pPr>
        <w:jc w:val="center"/>
        <w:rPr>
          <w:rFonts w:cs="Arial"/>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1"/>
        <w:gridCol w:w="980"/>
        <w:gridCol w:w="850"/>
        <w:gridCol w:w="859"/>
        <w:gridCol w:w="762"/>
      </w:tblGrid>
      <w:tr w:rsidR="00B074CC" w:rsidRPr="001A1836" w14:paraId="26DD733E" w14:textId="77777777" w:rsidTr="00626054">
        <w:trPr>
          <w:trHeight w:val="848"/>
        </w:trPr>
        <w:tc>
          <w:tcPr>
            <w:tcW w:w="579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CAC821" w14:textId="77777777" w:rsidR="00B074CC" w:rsidRPr="001A1836" w:rsidRDefault="00B074CC" w:rsidP="00626054">
            <w:pPr>
              <w:rPr>
                <w:rFonts w:cs="Arial"/>
                <w:b/>
              </w:rPr>
            </w:pPr>
            <w:r w:rsidRPr="001A1836">
              <w:rPr>
                <w:rFonts w:cs="Arial"/>
                <w:b/>
              </w:rPr>
              <w:t>Flexibility</w:t>
            </w:r>
          </w:p>
          <w:p w14:paraId="5A6C454C" w14:textId="77777777" w:rsidR="00B074CC" w:rsidRPr="001A1836" w:rsidRDefault="00B074CC" w:rsidP="00626054">
            <w:pPr>
              <w:rPr>
                <w:rFonts w:cs="Arial"/>
              </w:rPr>
            </w:pPr>
            <w:r w:rsidRPr="001A1836">
              <w:rPr>
                <w:rFonts w:cs="Arial"/>
              </w:rPr>
              <w:t>The Provider adapts to changing conditions, requirements and priorities, and makes changes to solutions and delivery to meet those challenges</w:t>
            </w:r>
          </w:p>
        </w:tc>
        <w:tc>
          <w:tcPr>
            <w:tcW w:w="980" w:type="dxa"/>
            <w:tcBorders>
              <w:top w:val="single" w:sz="4" w:space="0" w:color="auto"/>
              <w:left w:val="single" w:sz="4" w:space="0" w:color="auto"/>
              <w:bottom w:val="single" w:sz="4" w:space="0" w:color="auto"/>
              <w:right w:val="single" w:sz="4" w:space="0" w:color="auto"/>
            </w:tcBorders>
            <w:shd w:val="clear" w:color="auto" w:fill="auto"/>
            <w:hideMark/>
          </w:tcPr>
          <w:p w14:paraId="06AB4E01" w14:textId="77777777" w:rsidR="00B074CC" w:rsidRPr="001A1836" w:rsidRDefault="00B074CC" w:rsidP="00626054">
            <w:pPr>
              <w:rPr>
                <w:rFonts w:cs="Arial"/>
              </w:rPr>
            </w:pPr>
            <w:r w:rsidRPr="001A1836">
              <w:rPr>
                <w:rFonts w:cs="Arial"/>
              </w:rPr>
              <w:t xml:space="preserve">Oct to Dec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74DC2439" w14:textId="77777777" w:rsidR="00B074CC" w:rsidRPr="001A1836" w:rsidRDefault="00B074CC" w:rsidP="00626054">
            <w:pPr>
              <w:rPr>
                <w:rFonts w:cs="Arial"/>
              </w:rPr>
            </w:pPr>
            <w:r w:rsidRPr="001A1836">
              <w:rPr>
                <w:rFonts w:cs="Arial"/>
              </w:rPr>
              <w:t xml:space="preserve">Jan to March </w:t>
            </w: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14:paraId="3C6690D3" w14:textId="77777777" w:rsidR="00B074CC" w:rsidRPr="001A1836" w:rsidRDefault="00B074CC" w:rsidP="00626054">
            <w:pPr>
              <w:rPr>
                <w:rFonts w:cs="Arial"/>
              </w:rPr>
            </w:pPr>
            <w:r w:rsidRPr="001A1836">
              <w:rPr>
                <w:rFonts w:cs="Arial"/>
              </w:rPr>
              <w:t xml:space="preserve">April to June </w:t>
            </w:r>
          </w:p>
        </w:tc>
        <w:tc>
          <w:tcPr>
            <w:tcW w:w="762" w:type="dxa"/>
            <w:tcBorders>
              <w:top w:val="single" w:sz="4" w:space="0" w:color="auto"/>
              <w:left w:val="single" w:sz="4" w:space="0" w:color="auto"/>
              <w:bottom w:val="single" w:sz="4" w:space="0" w:color="auto"/>
              <w:right w:val="single" w:sz="4" w:space="0" w:color="auto"/>
            </w:tcBorders>
            <w:shd w:val="clear" w:color="auto" w:fill="auto"/>
            <w:hideMark/>
          </w:tcPr>
          <w:p w14:paraId="45CEBAB4" w14:textId="77777777" w:rsidR="00B074CC" w:rsidRPr="001A1836" w:rsidRDefault="00B074CC" w:rsidP="00626054">
            <w:pPr>
              <w:rPr>
                <w:rFonts w:cs="Arial"/>
              </w:rPr>
            </w:pPr>
            <w:r w:rsidRPr="001A1836">
              <w:rPr>
                <w:rFonts w:cs="Arial"/>
              </w:rPr>
              <w:t xml:space="preserve">July to Sept </w:t>
            </w:r>
          </w:p>
        </w:tc>
      </w:tr>
      <w:tr w:rsidR="00B074CC" w:rsidRPr="001A1836" w14:paraId="5D8137E4" w14:textId="77777777" w:rsidTr="00626054">
        <w:trPr>
          <w:trHeight w:val="493"/>
        </w:trPr>
        <w:tc>
          <w:tcPr>
            <w:tcW w:w="57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9AE1ED" w14:textId="77777777" w:rsidR="00B074CC" w:rsidRPr="001A1836" w:rsidRDefault="00B074CC" w:rsidP="00626054">
            <w:pPr>
              <w:rPr>
                <w:rFonts w:cs="Arial"/>
                <w:b/>
              </w:rPr>
            </w:pPr>
          </w:p>
        </w:tc>
        <w:tc>
          <w:tcPr>
            <w:tcW w:w="980" w:type="dxa"/>
            <w:tcBorders>
              <w:top w:val="single" w:sz="4" w:space="0" w:color="auto"/>
              <w:left w:val="single" w:sz="4" w:space="0" w:color="auto"/>
              <w:bottom w:val="single" w:sz="4" w:space="0" w:color="auto"/>
              <w:right w:val="single" w:sz="4" w:space="0" w:color="auto"/>
            </w:tcBorders>
            <w:shd w:val="clear" w:color="auto" w:fill="auto"/>
            <w:hideMark/>
          </w:tcPr>
          <w:p w14:paraId="08D9F0C1" w14:textId="77777777" w:rsidR="00B074CC" w:rsidRPr="001A1836" w:rsidRDefault="00B074CC" w:rsidP="00626054">
            <w:pPr>
              <w:jc w:val="right"/>
              <w:rPr>
                <w:rFonts w:cs="Arial"/>
              </w:rPr>
            </w:pPr>
            <w:r w:rsidRPr="001A1836">
              <w:rPr>
                <w:rFonts w:cs="Arial"/>
              </w:rPr>
              <w:t>/5</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2BF5E3AC" w14:textId="77777777" w:rsidR="00B074CC" w:rsidRPr="001A1836" w:rsidRDefault="00B074CC" w:rsidP="00626054">
            <w:pPr>
              <w:jc w:val="right"/>
              <w:rPr>
                <w:rFonts w:cs="Arial"/>
              </w:rPr>
            </w:pPr>
            <w:r w:rsidRPr="001A1836">
              <w:rPr>
                <w:rFonts w:cs="Arial"/>
              </w:rPr>
              <w:t>/5</w:t>
            </w: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14:paraId="132C02DF" w14:textId="77777777" w:rsidR="00B074CC" w:rsidRPr="001A1836" w:rsidRDefault="00B074CC" w:rsidP="00626054">
            <w:pPr>
              <w:jc w:val="right"/>
              <w:rPr>
                <w:rFonts w:cs="Arial"/>
              </w:rPr>
            </w:pPr>
            <w:r w:rsidRPr="001A1836">
              <w:rPr>
                <w:rFonts w:cs="Arial"/>
              </w:rPr>
              <w:t>/5</w:t>
            </w:r>
          </w:p>
        </w:tc>
        <w:tc>
          <w:tcPr>
            <w:tcW w:w="762" w:type="dxa"/>
            <w:tcBorders>
              <w:top w:val="single" w:sz="4" w:space="0" w:color="auto"/>
              <w:left w:val="single" w:sz="4" w:space="0" w:color="auto"/>
              <w:bottom w:val="single" w:sz="4" w:space="0" w:color="auto"/>
              <w:right w:val="single" w:sz="4" w:space="0" w:color="auto"/>
            </w:tcBorders>
            <w:shd w:val="clear" w:color="auto" w:fill="auto"/>
            <w:hideMark/>
          </w:tcPr>
          <w:p w14:paraId="1A76E022" w14:textId="77777777" w:rsidR="00B074CC" w:rsidRPr="001A1836" w:rsidRDefault="00B074CC" w:rsidP="00626054">
            <w:pPr>
              <w:jc w:val="right"/>
              <w:rPr>
                <w:rFonts w:cs="Arial"/>
              </w:rPr>
            </w:pPr>
            <w:r w:rsidRPr="001A1836">
              <w:rPr>
                <w:rFonts w:cs="Arial"/>
              </w:rPr>
              <w:t>/5</w:t>
            </w:r>
          </w:p>
        </w:tc>
      </w:tr>
      <w:tr w:rsidR="00B074CC" w:rsidRPr="001A1836" w14:paraId="746879F1" w14:textId="77777777" w:rsidTr="00626054">
        <w:trPr>
          <w:trHeight w:val="783"/>
        </w:trPr>
        <w:tc>
          <w:tcPr>
            <w:tcW w:w="579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4A00DE" w14:textId="77777777" w:rsidR="00B074CC" w:rsidRPr="001A1836" w:rsidRDefault="00B074CC" w:rsidP="00626054">
            <w:pPr>
              <w:rPr>
                <w:rFonts w:cs="Arial"/>
                <w:b/>
              </w:rPr>
            </w:pPr>
            <w:r w:rsidRPr="001A1836">
              <w:rPr>
                <w:rFonts w:cs="Arial"/>
                <w:b/>
              </w:rPr>
              <w:t>Supportive</w:t>
            </w:r>
          </w:p>
          <w:p w14:paraId="4F1012B9" w14:textId="77777777" w:rsidR="00B074CC" w:rsidRPr="001A1836" w:rsidRDefault="00B074CC" w:rsidP="00626054">
            <w:pPr>
              <w:rPr>
                <w:rFonts w:cs="Arial"/>
                <w:b/>
              </w:rPr>
            </w:pPr>
            <w:r w:rsidRPr="001A1836">
              <w:rPr>
                <w:rFonts w:cs="Arial"/>
              </w:rPr>
              <w:t>The Provider understands and responds to the challenges, political drivers and parameters that HSE and the Gas Safe Register operate within</w:t>
            </w:r>
          </w:p>
        </w:tc>
        <w:tc>
          <w:tcPr>
            <w:tcW w:w="980" w:type="dxa"/>
            <w:tcBorders>
              <w:top w:val="single" w:sz="4" w:space="0" w:color="auto"/>
              <w:left w:val="single" w:sz="4" w:space="0" w:color="auto"/>
              <w:bottom w:val="single" w:sz="4" w:space="0" w:color="auto"/>
              <w:right w:val="single" w:sz="4" w:space="0" w:color="auto"/>
            </w:tcBorders>
            <w:shd w:val="clear" w:color="auto" w:fill="auto"/>
            <w:hideMark/>
          </w:tcPr>
          <w:p w14:paraId="36AB2763" w14:textId="77777777" w:rsidR="00B074CC" w:rsidRPr="001A1836" w:rsidRDefault="00B074CC" w:rsidP="00626054">
            <w:pPr>
              <w:rPr>
                <w:rFonts w:cs="Arial"/>
              </w:rPr>
            </w:pPr>
            <w:r w:rsidRPr="001A1836">
              <w:rPr>
                <w:rFonts w:cs="Arial"/>
              </w:rPr>
              <w:t xml:space="preserve">Oct to </w:t>
            </w:r>
          </w:p>
          <w:p w14:paraId="5F12D52F" w14:textId="77777777" w:rsidR="00B074CC" w:rsidRPr="001A1836" w:rsidRDefault="00B074CC" w:rsidP="00626054">
            <w:pPr>
              <w:rPr>
                <w:rFonts w:cs="Arial"/>
                <w:b/>
              </w:rPr>
            </w:pPr>
            <w:r w:rsidRPr="001A1836">
              <w:rPr>
                <w:rFonts w:cs="Arial"/>
              </w:rPr>
              <w:t>Dec</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70894C34" w14:textId="77777777" w:rsidR="00B074CC" w:rsidRPr="001A1836" w:rsidRDefault="00B074CC" w:rsidP="00626054">
            <w:pPr>
              <w:rPr>
                <w:rFonts w:cs="Arial"/>
              </w:rPr>
            </w:pPr>
            <w:r w:rsidRPr="001A1836">
              <w:rPr>
                <w:rFonts w:cs="Arial"/>
              </w:rPr>
              <w:t xml:space="preserve">Jan to March </w:t>
            </w: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14:paraId="5E3D68D1" w14:textId="77777777" w:rsidR="00B074CC" w:rsidRPr="001A1836" w:rsidRDefault="00B074CC" w:rsidP="00626054">
            <w:pPr>
              <w:rPr>
                <w:rFonts w:cs="Arial"/>
              </w:rPr>
            </w:pPr>
            <w:r w:rsidRPr="001A1836">
              <w:rPr>
                <w:rFonts w:cs="Arial"/>
              </w:rPr>
              <w:t xml:space="preserve">April to June </w:t>
            </w:r>
          </w:p>
        </w:tc>
        <w:tc>
          <w:tcPr>
            <w:tcW w:w="762" w:type="dxa"/>
            <w:tcBorders>
              <w:top w:val="single" w:sz="4" w:space="0" w:color="auto"/>
              <w:left w:val="single" w:sz="4" w:space="0" w:color="auto"/>
              <w:bottom w:val="single" w:sz="4" w:space="0" w:color="auto"/>
              <w:right w:val="single" w:sz="4" w:space="0" w:color="auto"/>
            </w:tcBorders>
            <w:shd w:val="clear" w:color="auto" w:fill="auto"/>
            <w:hideMark/>
          </w:tcPr>
          <w:p w14:paraId="74EAF290" w14:textId="77777777" w:rsidR="00B074CC" w:rsidRPr="001A1836" w:rsidRDefault="00B074CC" w:rsidP="00626054">
            <w:pPr>
              <w:rPr>
                <w:rFonts w:cs="Arial"/>
              </w:rPr>
            </w:pPr>
            <w:r w:rsidRPr="001A1836">
              <w:rPr>
                <w:rFonts w:cs="Arial"/>
              </w:rPr>
              <w:t xml:space="preserve">July to Sept </w:t>
            </w:r>
          </w:p>
        </w:tc>
      </w:tr>
      <w:tr w:rsidR="00B074CC" w:rsidRPr="001A1836" w14:paraId="1EE236E6" w14:textId="77777777" w:rsidTr="00626054">
        <w:trPr>
          <w:trHeight w:val="479"/>
        </w:trPr>
        <w:tc>
          <w:tcPr>
            <w:tcW w:w="57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1B07A9" w14:textId="77777777" w:rsidR="00B074CC" w:rsidRPr="001A1836" w:rsidRDefault="00B074CC" w:rsidP="00626054">
            <w:pPr>
              <w:rPr>
                <w:rFonts w:cs="Arial"/>
                <w:b/>
              </w:rPr>
            </w:pPr>
          </w:p>
        </w:tc>
        <w:tc>
          <w:tcPr>
            <w:tcW w:w="980" w:type="dxa"/>
            <w:tcBorders>
              <w:top w:val="single" w:sz="4" w:space="0" w:color="auto"/>
              <w:left w:val="single" w:sz="4" w:space="0" w:color="auto"/>
              <w:bottom w:val="single" w:sz="4" w:space="0" w:color="auto"/>
              <w:right w:val="single" w:sz="4" w:space="0" w:color="auto"/>
            </w:tcBorders>
            <w:shd w:val="clear" w:color="auto" w:fill="auto"/>
            <w:hideMark/>
          </w:tcPr>
          <w:p w14:paraId="1301DB01" w14:textId="77777777" w:rsidR="00B074CC" w:rsidRPr="001A1836" w:rsidRDefault="00B074CC" w:rsidP="00626054">
            <w:pPr>
              <w:jc w:val="right"/>
              <w:rPr>
                <w:rFonts w:cs="Arial"/>
              </w:rPr>
            </w:pPr>
            <w:r w:rsidRPr="001A1836">
              <w:rPr>
                <w:rFonts w:cs="Arial"/>
              </w:rPr>
              <w:t>/5</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493B6B76" w14:textId="77777777" w:rsidR="00B074CC" w:rsidRPr="001A1836" w:rsidRDefault="00B074CC" w:rsidP="00626054">
            <w:pPr>
              <w:jc w:val="right"/>
              <w:rPr>
                <w:rFonts w:cs="Arial"/>
              </w:rPr>
            </w:pPr>
            <w:r w:rsidRPr="001A1836">
              <w:rPr>
                <w:rFonts w:cs="Arial"/>
              </w:rPr>
              <w:t>/5</w:t>
            </w: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14:paraId="07966D41" w14:textId="77777777" w:rsidR="00B074CC" w:rsidRPr="001A1836" w:rsidRDefault="00B074CC" w:rsidP="00626054">
            <w:pPr>
              <w:jc w:val="right"/>
              <w:rPr>
                <w:rFonts w:cs="Arial"/>
              </w:rPr>
            </w:pPr>
            <w:r w:rsidRPr="001A1836">
              <w:rPr>
                <w:rFonts w:cs="Arial"/>
              </w:rPr>
              <w:t>/5</w:t>
            </w:r>
          </w:p>
        </w:tc>
        <w:tc>
          <w:tcPr>
            <w:tcW w:w="762" w:type="dxa"/>
            <w:tcBorders>
              <w:top w:val="single" w:sz="4" w:space="0" w:color="auto"/>
              <w:left w:val="single" w:sz="4" w:space="0" w:color="auto"/>
              <w:bottom w:val="single" w:sz="4" w:space="0" w:color="auto"/>
              <w:right w:val="single" w:sz="4" w:space="0" w:color="auto"/>
            </w:tcBorders>
            <w:shd w:val="clear" w:color="auto" w:fill="auto"/>
            <w:hideMark/>
          </w:tcPr>
          <w:p w14:paraId="30EA12DB" w14:textId="77777777" w:rsidR="00B074CC" w:rsidRPr="001A1836" w:rsidRDefault="00B074CC" w:rsidP="00626054">
            <w:pPr>
              <w:jc w:val="right"/>
              <w:rPr>
                <w:rFonts w:cs="Arial"/>
              </w:rPr>
            </w:pPr>
            <w:r w:rsidRPr="001A1836">
              <w:rPr>
                <w:rFonts w:cs="Arial"/>
              </w:rPr>
              <w:t>/5</w:t>
            </w:r>
          </w:p>
        </w:tc>
      </w:tr>
      <w:tr w:rsidR="00B074CC" w:rsidRPr="001A1836" w14:paraId="17328B50" w14:textId="77777777" w:rsidTr="00626054">
        <w:trPr>
          <w:trHeight w:val="773"/>
        </w:trPr>
        <w:tc>
          <w:tcPr>
            <w:tcW w:w="579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60D923" w14:textId="77777777" w:rsidR="00B074CC" w:rsidRPr="001A1836" w:rsidRDefault="00B074CC" w:rsidP="00626054">
            <w:pPr>
              <w:rPr>
                <w:rFonts w:cs="Arial"/>
              </w:rPr>
            </w:pPr>
            <w:r w:rsidRPr="001A1836">
              <w:rPr>
                <w:rFonts w:cs="Arial"/>
                <w:b/>
              </w:rPr>
              <w:t>Technically expert partner</w:t>
            </w:r>
            <w:r w:rsidRPr="001A1836">
              <w:rPr>
                <w:rFonts w:cs="Arial"/>
              </w:rPr>
              <w:t xml:space="preserve"> </w:t>
            </w:r>
          </w:p>
          <w:p w14:paraId="09770DC7" w14:textId="77777777" w:rsidR="00B074CC" w:rsidRPr="001A1836" w:rsidRDefault="00B074CC" w:rsidP="00626054">
            <w:pPr>
              <w:rPr>
                <w:rFonts w:cs="Arial"/>
              </w:rPr>
            </w:pPr>
            <w:r w:rsidRPr="001A1836">
              <w:rPr>
                <w:rFonts w:cs="Arial"/>
              </w:rPr>
              <w:t>The Provider provides people and resources demonstrating expert, relevant and thorough knowledge of the Gas Safe Register and the wider downstream gas industry</w:t>
            </w:r>
          </w:p>
        </w:tc>
        <w:tc>
          <w:tcPr>
            <w:tcW w:w="980" w:type="dxa"/>
            <w:tcBorders>
              <w:top w:val="single" w:sz="4" w:space="0" w:color="auto"/>
              <w:left w:val="single" w:sz="4" w:space="0" w:color="auto"/>
              <w:bottom w:val="single" w:sz="4" w:space="0" w:color="auto"/>
              <w:right w:val="single" w:sz="4" w:space="0" w:color="auto"/>
            </w:tcBorders>
            <w:shd w:val="clear" w:color="auto" w:fill="auto"/>
            <w:hideMark/>
          </w:tcPr>
          <w:p w14:paraId="37583AA6" w14:textId="77777777" w:rsidR="00B074CC" w:rsidRPr="001A1836" w:rsidRDefault="00B074CC" w:rsidP="00626054">
            <w:pPr>
              <w:rPr>
                <w:rFonts w:cs="Arial"/>
                <w:b/>
              </w:rPr>
            </w:pPr>
            <w:r w:rsidRPr="001A1836">
              <w:rPr>
                <w:rFonts w:cs="Arial"/>
              </w:rPr>
              <w:t>Oct to Dec</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4ECEC45A" w14:textId="77777777" w:rsidR="00B074CC" w:rsidRPr="001A1836" w:rsidRDefault="00B074CC" w:rsidP="00626054">
            <w:pPr>
              <w:rPr>
                <w:rFonts w:cs="Arial"/>
              </w:rPr>
            </w:pPr>
            <w:r w:rsidRPr="001A1836">
              <w:rPr>
                <w:rFonts w:cs="Arial"/>
              </w:rPr>
              <w:t>Jan to March</w:t>
            </w: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14:paraId="6D4F8690" w14:textId="77777777" w:rsidR="00B074CC" w:rsidRPr="001A1836" w:rsidRDefault="00B074CC" w:rsidP="00626054">
            <w:pPr>
              <w:rPr>
                <w:rFonts w:cs="Arial"/>
              </w:rPr>
            </w:pPr>
            <w:r w:rsidRPr="001A1836">
              <w:rPr>
                <w:rFonts w:cs="Arial"/>
              </w:rPr>
              <w:t xml:space="preserve">April to June </w:t>
            </w:r>
          </w:p>
        </w:tc>
        <w:tc>
          <w:tcPr>
            <w:tcW w:w="762" w:type="dxa"/>
            <w:tcBorders>
              <w:top w:val="single" w:sz="4" w:space="0" w:color="auto"/>
              <w:left w:val="single" w:sz="4" w:space="0" w:color="auto"/>
              <w:bottom w:val="single" w:sz="4" w:space="0" w:color="auto"/>
              <w:right w:val="single" w:sz="4" w:space="0" w:color="auto"/>
            </w:tcBorders>
            <w:shd w:val="clear" w:color="auto" w:fill="auto"/>
            <w:hideMark/>
          </w:tcPr>
          <w:p w14:paraId="1EEA224C" w14:textId="77777777" w:rsidR="00B074CC" w:rsidRPr="001A1836" w:rsidRDefault="00B074CC" w:rsidP="00626054">
            <w:pPr>
              <w:rPr>
                <w:rFonts w:cs="Arial"/>
              </w:rPr>
            </w:pPr>
            <w:r w:rsidRPr="001A1836">
              <w:rPr>
                <w:rFonts w:cs="Arial"/>
              </w:rPr>
              <w:t>July to Sept</w:t>
            </w:r>
          </w:p>
        </w:tc>
      </w:tr>
      <w:tr w:rsidR="00B074CC" w:rsidRPr="001A1836" w14:paraId="7A718952" w14:textId="77777777" w:rsidTr="00626054">
        <w:trPr>
          <w:trHeight w:val="545"/>
        </w:trPr>
        <w:tc>
          <w:tcPr>
            <w:tcW w:w="57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173D67" w14:textId="77777777" w:rsidR="00B074CC" w:rsidRPr="001A1836" w:rsidRDefault="00B074CC" w:rsidP="00626054">
            <w:pPr>
              <w:rPr>
                <w:rFonts w:cs="Arial"/>
                <w:b/>
              </w:rPr>
            </w:pPr>
          </w:p>
        </w:tc>
        <w:tc>
          <w:tcPr>
            <w:tcW w:w="980" w:type="dxa"/>
            <w:tcBorders>
              <w:top w:val="single" w:sz="4" w:space="0" w:color="auto"/>
              <w:left w:val="single" w:sz="4" w:space="0" w:color="auto"/>
              <w:bottom w:val="single" w:sz="4" w:space="0" w:color="auto"/>
              <w:right w:val="single" w:sz="4" w:space="0" w:color="auto"/>
            </w:tcBorders>
            <w:shd w:val="clear" w:color="auto" w:fill="auto"/>
            <w:hideMark/>
          </w:tcPr>
          <w:p w14:paraId="5B9B5AE1" w14:textId="77777777" w:rsidR="00B074CC" w:rsidRPr="001A1836" w:rsidRDefault="00B074CC" w:rsidP="00626054">
            <w:pPr>
              <w:jc w:val="right"/>
              <w:rPr>
                <w:rFonts w:cs="Arial"/>
              </w:rPr>
            </w:pPr>
            <w:r w:rsidRPr="001A1836">
              <w:rPr>
                <w:rFonts w:cs="Arial"/>
              </w:rPr>
              <w:t>/5</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71FA47FF" w14:textId="77777777" w:rsidR="00B074CC" w:rsidRPr="001A1836" w:rsidRDefault="00B074CC" w:rsidP="00626054">
            <w:pPr>
              <w:jc w:val="right"/>
              <w:rPr>
                <w:rFonts w:cs="Arial"/>
              </w:rPr>
            </w:pPr>
            <w:r w:rsidRPr="001A1836">
              <w:rPr>
                <w:rFonts w:cs="Arial"/>
              </w:rPr>
              <w:t>/5</w:t>
            </w: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14:paraId="29A8EECF" w14:textId="77777777" w:rsidR="00B074CC" w:rsidRPr="001A1836" w:rsidRDefault="00B074CC" w:rsidP="00626054">
            <w:pPr>
              <w:jc w:val="right"/>
              <w:rPr>
                <w:rFonts w:cs="Arial"/>
              </w:rPr>
            </w:pPr>
            <w:r w:rsidRPr="001A1836">
              <w:rPr>
                <w:rFonts w:cs="Arial"/>
              </w:rPr>
              <w:t>/5</w:t>
            </w:r>
          </w:p>
        </w:tc>
        <w:tc>
          <w:tcPr>
            <w:tcW w:w="762" w:type="dxa"/>
            <w:tcBorders>
              <w:top w:val="single" w:sz="4" w:space="0" w:color="auto"/>
              <w:left w:val="single" w:sz="4" w:space="0" w:color="auto"/>
              <w:bottom w:val="single" w:sz="4" w:space="0" w:color="auto"/>
              <w:right w:val="single" w:sz="4" w:space="0" w:color="auto"/>
            </w:tcBorders>
            <w:shd w:val="clear" w:color="auto" w:fill="auto"/>
            <w:hideMark/>
          </w:tcPr>
          <w:p w14:paraId="50DE47B3" w14:textId="77777777" w:rsidR="00B074CC" w:rsidRPr="001A1836" w:rsidRDefault="00B074CC" w:rsidP="00626054">
            <w:pPr>
              <w:jc w:val="right"/>
              <w:rPr>
                <w:rFonts w:cs="Arial"/>
              </w:rPr>
            </w:pPr>
            <w:r w:rsidRPr="001A1836">
              <w:rPr>
                <w:rFonts w:cs="Arial"/>
              </w:rPr>
              <w:t>/5</w:t>
            </w:r>
          </w:p>
        </w:tc>
      </w:tr>
      <w:tr w:rsidR="00B074CC" w:rsidRPr="001A1836" w14:paraId="068AE1DA" w14:textId="77777777" w:rsidTr="00626054">
        <w:trPr>
          <w:trHeight w:val="793"/>
        </w:trPr>
        <w:tc>
          <w:tcPr>
            <w:tcW w:w="579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AE132F" w14:textId="77777777" w:rsidR="00B074CC" w:rsidRPr="001A1836" w:rsidRDefault="00B074CC" w:rsidP="00626054">
            <w:pPr>
              <w:rPr>
                <w:rFonts w:cs="Arial"/>
                <w:b/>
              </w:rPr>
            </w:pPr>
            <w:r w:rsidRPr="001A1836">
              <w:rPr>
                <w:rFonts w:cs="Arial"/>
                <w:b/>
              </w:rPr>
              <w:t>Forward thinking</w:t>
            </w:r>
          </w:p>
          <w:p w14:paraId="6122F0C7" w14:textId="77777777" w:rsidR="00B074CC" w:rsidRPr="001A1836" w:rsidRDefault="00B074CC" w:rsidP="00626054">
            <w:pPr>
              <w:rPr>
                <w:rFonts w:cs="Arial"/>
              </w:rPr>
            </w:pPr>
            <w:r w:rsidRPr="001A1836">
              <w:rPr>
                <w:rFonts w:cs="Arial"/>
              </w:rPr>
              <w:t>The Provider considers future challenges, is progressive in planning for any future changes that may make a difference to the Register and presents analysis to HSE ahead of the challenge</w:t>
            </w:r>
          </w:p>
        </w:tc>
        <w:tc>
          <w:tcPr>
            <w:tcW w:w="980" w:type="dxa"/>
            <w:tcBorders>
              <w:top w:val="single" w:sz="4" w:space="0" w:color="auto"/>
              <w:left w:val="single" w:sz="4" w:space="0" w:color="auto"/>
              <w:bottom w:val="single" w:sz="4" w:space="0" w:color="auto"/>
              <w:right w:val="single" w:sz="4" w:space="0" w:color="auto"/>
            </w:tcBorders>
            <w:shd w:val="clear" w:color="auto" w:fill="auto"/>
            <w:hideMark/>
          </w:tcPr>
          <w:p w14:paraId="147BE221" w14:textId="77777777" w:rsidR="00B074CC" w:rsidRPr="001A1836" w:rsidRDefault="00B074CC" w:rsidP="00626054">
            <w:pPr>
              <w:rPr>
                <w:rFonts w:cs="Arial"/>
                <w:b/>
              </w:rPr>
            </w:pPr>
            <w:r w:rsidRPr="001A1836">
              <w:rPr>
                <w:rFonts w:cs="Arial"/>
              </w:rPr>
              <w:t>Oct to Dec</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6F9ECBAD" w14:textId="77777777" w:rsidR="00B074CC" w:rsidRPr="001A1836" w:rsidRDefault="00B074CC" w:rsidP="00626054">
            <w:pPr>
              <w:rPr>
                <w:rFonts w:cs="Arial"/>
              </w:rPr>
            </w:pPr>
            <w:r w:rsidRPr="001A1836">
              <w:rPr>
                <w:rFonts w:cs="Arial"/>
              </w:rPr>
              <w:t>Jan to March</w:t>
            </w: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14:paraId="39F894D3" w14:textId="77777777" w:rsidR="00B074CC" w:rsidRPr="001A1836" w:rsidRDefault="00B074CC" w:rsidP="00626054">
            <w:pPr>
              <w:rPr>
                <w:rFonts w:cs="Arial"/>
              </w:rPr>
            </w:pPr>
            <w:r w:rsidRPr="001A1836">
              <w:rPr>
                <w:rFonts w:cs="Arial"/>
              </w:rPr>
              <w:t xml:space="preserve">April to June </w:t>
            </w:r>
          </w:p>
        </w:tc>
        <w:tc>
          <w:tcPr>
            <w:tcW w:w="762" w:type="dxa"/>
            <w:tcBorders>
              <w:top w:val="single" w:sz="4" w:space="0" w:color="auto"/>
              <w:left w:val="single" w:sz="4" w:space="0" w:color="auto"/>
              <w:bottom w:val="single" w:sz="4" w:space="0" w:color="auto"/>
              <w:right w:val="single" w:sz="4" w:space="0" w:color="auto"/>
            </w:tcBorders>
            <w:shd w:val="clear" w:color="auto" w:fill="auto"/>
            <w:hideMark/>
          </w:tcPr>
          <w:p w14:paraId="10722890" w14:textId="77777777" w:rsidR="00B074CC" w:rsidRPr="001A1836" w:rsidRDefault="00B074CC" w:rsidP="00626054">
            <w:pPr>
              <w:rPr>
                <w:rFonts w:cs="Arial"/>
              </w:rPr>
            </w:pPr>
            <w:r w:rsidRPr="001A1836">
              <w:rPr>
                <w:rFonts w:cs="Arial"/>
              </w:rPr>
              <w:t>July to Sept</w:t>
            </w:r>
          </w:p>
        </w:tc>
      </w:tr>
      <w:tr w:rsidR="00B074CC" w:rsidRPr="001A1836" w14:paraId="62B05832" w14:textId="77777777" w:rsidTr="00626054">
        <w:trPr>
          <w:trHeight w:val="542"/>
        </w:trPr>
        <w:tc>
          <w:tcPr>
            <w:tcW w:w="57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070AE4" w14:textId="77777777" w:rsidR="00B074CC" w:rsidRPr="001A1836" w:rsidRDefault="00B074CC" w:rsidP="00626054">
            <w:pPr>
              <w:rPr>
                <w:rFonts w:cs="Arial"/>
                <w:b/>
              </w:rPr>
            </w:pPr>
          </w:p>
        </w:tc>
        <w:tc>
          <w:tcPr>
            <w:tcW w:w="980" w:type="dxa"/>
            <w:tcBorders>
              <w:top w:val="single" w:sz="4" w:space="0" w:color="auto"/>
              <w:left w:val="single" w:sz="4" w:space="0" w:color="auto"/>
              <w:bottom w:val="single" w:sz="4" w:space="0" w:color="auto"/>
              <w:right w:val="single" w:sz="4" w:space="0" w:color="auto"/>
            </w:tcBorders>
            <w:shd w:val="clear" w:color="auto" w:fill="auto"/>
            <w:hideMark/>
          </w:tcPr>
          <w:p w14:paraId="3E398420" w14:textId="77777777" w:rsidR="00B074CC" w:rsidRPr="001A1836" w:rsidRDefault="00B074CC" w:rsidP="00626054">
            <w:pPr>
              <w:jc w:val="right"/>
              <w:rPr>
                <w:rFonts w:cs="Arial"/>
              </w:rPr>
            </w:pPr>
            <w:r w:rsidRPr="001A1836">
              <w:rPr>
                <w:rFonts w:cs="Arial"/>
              </w:rPr>
              <w:t>/5</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3F8E9B6A" w14:textId="77777777" w:rsidR="00B074CC" w:rsidRPr="001A1836" w:rsidRDefault="00B074CC" w:rsidP="00626054">
            <w:pPr>
              <w:jc w:val="right"/>
              <w:rPr>
                <w:rFonts w:cs="Arial"/>
              </w:rPr>
            </w:pPr>
            <w:r w:rsidRPr="001A1836">
              <w:rPr>
                <w:rFonts w:cs="Arial"/>
              </w:rPr>
              <w:t>/5</w:t>
            </w: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14:paraId="5CECF88A" w14:textId="77777777" w:rsidR="00B074CC" w:rsidRPr="001A1836" w:rsidRDefault="00B074CC" w:rsidP="00626054">
            <w:pPr>
              <w:jc w:val="right"/>
              <w:rPr>
                <w:rFonts w:cs="Arial"/>
              </w:rPr>
            </w:pPr>
            <w:r w:rsidRPr="001A1836">
              <w:rPr>
                <w:rFonts w:cs="Arial"/>
              </w:rPr>
              <w:t>/5</w:t>
            </w:r>
          </w:p>
        </w:tc>
        <w:tc>
          <w:tcPr>
            <w:tcW w:w="762" w:type="dxa"/>
            <w:tcBorders>
              <w:top w:val="single" w:sz="4" w:space="0" w:color="auto"/>
              <w:left w:val="single" w:sz="4" w:space="0" w:color="auto"/>
              <w:bottom w:val="single" w:sz="4" w:space="0" w:color="auto"/>
              <w:right w:val="single" w:sz="4" w:space="0" w:color="auto"/>
            </w:tcBorders>
            <w:shd w:val="clear" w:color="auto" w:fill="auto"/>
            <w:hideMark/>
          </w:tcPr>
          <w:p w14:paraId="0A07A778" w14:textId="77777777" w:rsidR="00B074CC" w:rsidRPr="001A1836" w:rsidRDefault="00B074CC" w:rsidP="00626054">
            <w:pPr>
              <w:jc w:val="right"/>
              <w:rPr>
                <w:rFonts w:cs="Arial"/>
              </w:rPr>
            </w:pPr>
            <w:r w:rsidRPr="001A1836">
              <w:rPr>
                <w:rFonts w:cs="Arial"/>
              </w:rPr>
              <w:t>/5</w:t>
            </w:r>
          </w:p>
        </w:tc>
      </w:tr>
      <w:tr w:rsidR="00B074CC" w:rsidRPr="001A1836" w14:paraId="74AE1BBF" w14:textId="77777777" w:rsidTr="00626054">
        <w:trPr>
          <w:trHeight w:val="769"/>
        </w:trPr>
        <w:tc>
          <w:tcPr>
            <w:tcW w:w="5791" w:type="dxa"/>
            <w:vMerge w:val="restart"/>
            <w:tcBorders>
              <w:top w:val="single" w:sz="4" w:space="0" w:color="auto"/>
              <w:left w:val="single" w:sz="4" w:space="0" w:color="auto"/>
              <w:right w:val="single" w:sz="4" w:space="0" w:color="auto"/>
            </w:tcBorders>
            <w:shd w:val="clear" w:color="auto" w:fill="auto"/>
          </w:tcPr>
          <w:p w14:paraId="22345972" w14:textId="77777777" w:rsidR="00B074CC" w:rsidRPr="001A1836" w:rsidRDefault="00B074CC" w:rsidP="00626054">
            <w:pPr>
              <w:rPr>
                <w:rFonts w:cs="Arial"/>
              </w:rPr>
            </w:pPr>
            <w:r w:rsidRPr="001A1836">
              <w:rPr>
                <w:rFonts w:cs="Arial"/>
                <w:b/>
              </w:rPr>
              <w:t>Client Relationship</w:t>
            </w:r>
            <w:r w:rsidRPr="001A1836">
              <w:rPr>
                <w:rFonts w:cs="Arial"/>
              </w:rPr>
              <w:t xml:space="preserve"> </w:t>
            </w:r>
          </w:p>
          <w:p w14:paraId="4D5837BD" w14:textId="77777777" w:rsidR="00B074CC" w:rsidRPr="001A1836" w:rsidRDefault="00B074CC" w:rsidP="00626054">
            <w:pPr>
              <w:rPr>
                <w:rFonts w:cs="Arial"/>
              </w:rPr>
            </w:pPr>
            <w:r w:rsidRPr="001A1836">
              <w:rPr>
                <w:rFonts w:cs="Arial"/>
              </w:rPr>
              <w:t>The Provider continually improves by recognising the wider landscape and consulting with HSE to deliver effective, value for money services</w:t>
            </w:r>
          </w:p>
        </w:tc>
        <w:tc>
          <w:tcPr>
            <w:tcW w:w="980" w:type="dxa"/>
            <w:tcBorders>
              <w:top w:val="single" w:sz="4" w:space="0" w:color="auto"/>
              <w:left w:val="single" w:sz="4" w:space="0" w:color="auto"/>
              <w:bottom w:val="single" w:sz="4" w:space="0" w:color="auto"/>
              <w:right w:val="single" w:sz="4" w:space="0" w:color="auto"/>
            </w:tcBorders>
            <w:shd w:val="clear" w:color="auto" w:fill="auto"/>
            <w:hideMark/>
          </w:tcPr>
          <w:p w14:paraId="4C5F38E2" w14:textId="77777777" w:rsidR="00B074CC" w:rsidRPr="001A1836" w:rsidRDefault="00B074CC" w:rsidP="00626054">
            <w:pPr>
              <w:rPr>
                <w:rFonts w:cs="Arial"/>
                <w:b/>
              </w:rPr>
            </w:pPr>
            <w:r w:rsidRPr="001A1836">
              <w:rPr>
                <w:rFonts w:cs="Arial"/>
              </w:rPr>
              <w:t>Oct to Dec</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7C160D2A" w14:textId="77777777" w:rsidR="00B074CC" w:rsidRPr="001A1836" w:rsidRDefault="00B074CC" w:rsidP="00626054">
            <w:pPr>
              <w:rPr>
                <w:rFonts w:cs="Arial"/>
              </w:rPr>
            </w:pPr>
            <w:r w:rsidRPr="001A1836">
              <w:rPr>
                <w:rFonts w:cs="Arial"/>
              </w:rPr>
              <w:t xml:space="preserve">Jan to March </w:t>
            </w: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14:paraId="75040701" w14:textId="77777777" w:rsidR="00B074CC" w:rsidRPr="001A1836" w:rsidRDefault="00B074CC" w:rsidP="00626054">
            <w:pPr>
              <w:rPr>
                <w:rFonts w:cs="Arial"/>
              </w:rPr>
            </w:pPr>
            <w:r w:rsidRPr="001A1836">
              <w:rPr>
                <w:rFonts w:cs="Arial"/>
              </w:rPr>
              <w:t xml:space="preserve">April to June </w:t>
            </w:r>
          </w:p>
        </w:tc>
        <w:tc>
          <w:tcPr>
            <w:tcW w:w="762" w:type="dxa"/>
            <w:tcBorders>
              <w:top w:val="single" w:sz="4" w:space="0" w:color="auto"/>
              <w:left w:val="single" w:sz="4" w:space="0" w:color="auto"/>
              <w:bottom w:val="single" w:sz="4" w:space="0" w:color="auto"/>
              <w:right w:val="single" w:sz="4" w:space="0" w:color="auto"/>
            </w:tcBorders>
            <w:shd w:val="clear" w:color="auto" w:fill="auto"/>
            <w:hideMark/>
          </w:tcPr>
          <w:p w14:paraId="368DB038" w14:textId="77777777" w:rsidR="00B074CC" w:rsidRPr="001A1836" w:rsidRDefault="00B074CC" w:rsidP="00626054">
            <w:pPr>
              <w:rPr>
                <w:rFonts w:cs="Arial"/>
              </w:rPr>
            </w:pPr>
            <w:r w:rsidRPr="001A1836">
              <w:rPr>
                <w:rFonts w:cs="Arial"/>
              </w:rPr>
              <w:t xml:space="preserve">July to Sept </w:t>
            </w:r>
          </w:p>
        </w:tc>
      </w:tr>
      <w:tr w:rsidR="00B074CC" w:rsidRPr="001A1836" w14:paraId="1F62E89F" w14:textId="77777777" w:rsidTr="00626054">
        <w:trPr>
          <w:trHeight w:val="471"/>
        </w:trPr>
        <w:tc>
          <w:tcPr>
            <w:tcW w:w="5791" w:type="dxa"/>
            <w:vMerge/>
            <w:tcBorders>
              <w:left w:val="single" w:sz="4" w:space="0" w:color="auto"/>
              <w:bottom w:val="single" w:sz="4" w:space="0" w:color="auto"/>
              <w:right w:val="single" w:sz="4" w:space="0" w:color="auto"/>
            </w:tcBorders>
            <w:shd w:val="clear" w:color="auto" w:fill="auto"/>
            <w:vAlign w:val="center"/>
            <w:hideMark/>
          </w:tcPr>
          <w:p w14:paraId="566B728F" w14:textId="77777777" w:rsidR="00B074CC" w:rsidRPr="001A1836" w:rsidRDefault="00B074CC" w:rsidP="00626054">
            <w:pPr>
              <w:rPr>
                <w:rFonts w:cs="Arial"/>
                <w:b/>
              </w:rPr>
            </w:pPr>
          </w:p>
        </w:tc>
        <w:tc>
          <w:tcPr>
            <w:tcW w:w="980" w:type="dxa"/>
            <w:tcBorders>
              <w:top w:val="single" w:sz="4" w:space="0" w:color="auto"/>
              <w:left w:val="single" w:sz="4" w:space="0" w:color="auto"/>
              <w:bottom w:val="single" w:sz="4" w:space="0" w:color="auto"/>
              <w:right w:val="single" w:sz="4" w:space="0" w:color="auto"/>
            </w:tcBorders>
            <w:shd w:val="clear" w:color="auto" w:fill="auto"/>
            <w:hideMark/>
          </w:tcPr>
          <w:p w14:paraId="7316C1AC" w14:textId="77777777" w:rsidR="00B074CC" w:rsidRPr="001A1836" w:rsidRDefault="00B074CC" w:rsidP="00626054">
            <w:pPr>
              <w:jc w:val="right"/>
              <w:rPr>
                <w:rFonts w:cs="Arial"/>
              </w:rPr>
            </w:pPr>
            <w:r w:rsidRPr="001A1836">
              <w:rPr>
                <w:rFonts w:cs="Arial"/>
              </w:rPr>
              <w:t>/5</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4B10C8A3" w14:textId="77777777" w:rsidR="00B074CC" w:rsidRPr="001A1836" w:rsidRDefault="00B074CC" w:rsidP="00626054">
            <w:pPr>
              <w:jc w:val="right"/>
              <w:rPr>
                <w:rFonts w:cs="Arial"/>
              </w:rPr>
            </w:pPr>
            <w:r w:rsidRPr="001A1836">
              <w:rPr>
                <w:rFonts w:cs="Arial"/>
              </w:rPr>
              <w:t>/5</w:t>
            </w: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14:paraId="5DEDF772" w14:textId="77777777" w:rsidR="00B074CC" w:rsidRPr="001A1836" w:rsidRDefault="00B074CC" w:rsidP="00626054">
            <w:pPr>
              <w:jc w:val="right"/>
              <w:rPr>
                <w:rFonts w:cs="Arial"/>
              </w:rPr>
            </w:pPr>
            <w:r w:rsidRPr="001A1836">
              <w:rPr>
                <w:rFonts w:cs="Arial"/>
              </w:rPr>
              <w:t>/5</w:t>
            </w:r>
          </w:p>
        </w:tc>
        <w:tc>
          <w:tcPr>
            <w:tcW w:w="762" w:type="dxa"/>
            <w:tcBorders>
              <w:top w:val="single" w:sz="4" w:space="0" w:color="auto"/>
              <w:left w:val="single" w:sz="4" w:space="0" w:color="auto"/>
              <w:bottom w:val="single" w:sz="4" w:space="0" w:color="auto"/>
              <w:right w:val="single" w:sz="4" w:space="0" w:color="auto"/>
            </w:tcBorders>
            <w:shd w:val="clear" w:color="auto" w:fill="auto"/>
            <w:hideMark/>
          </w:tcPr>
          <w:p w14:paraId="0D3AAF47" w14:textId="77777777" w:rsidR="00B074CC" w:rsidRPr="001A1836" w:rsidRDefault="00B074CC" w:rsidP="00626054">
            <w:pPr>
              <w:jc w:val="right"/>
              <w:rPr>
                <w:rFonts w:cs="Arial"/>
              </w:rPr>
            </w:pPr>
            <w:r w:rsidRPr="001A1836">
              <w:rPr>
                <w:rFonts w:cs="Arial"/>
              </w:rPr>
              <w:t>/5</w:t>
            </w:r>
          </w:p>
        </w:tc>
      </w:tr>
      <w:tr w:rsidR="00B074CC" w:rsidRPr="001A1836" w14:paraId="38E47596" w14:textId="77777777" w:rsidTr="00626054">
        <w:trPr>
          <w:trHeight w:val="630"/>
        </w:trPr>
        <w:tc>
          <w:tcPr>
            <w:tcW w:w="57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2ED96" w14:textId="77777777" w:rsidR="00B074CC" w:rsidRPr="001A1836" w:rsidRDefault="00B074CC" w:rsidP="00626054">
            <w:pPr>
              <w:rPr>
                <w:rFonts w:cs="Arial"/>
                <w:b/>
              </w:rPr>
            </w:pPr>
            <w:r w:rsidRPr="001A1836">
              <w:rPr>
                <w:rFonts w:cs="Arial"/>
                <w:b/>
              </w:rPr>
              <w:t>Total</w:t>
            </w:r>
          </w:p>
        </w:tc>
        <w:tc>
          <w:tcPr>
            <w:tcW w:w="980" w:type="dxa"/>
            <w:tcBorders>
              <w:top w:val="single" w:sz="4" w:space="0" w:color="auto"/>
              <w:left w:val="single" w:sz="4" w:space="0" w:color="auto"/>
              <w:bottom w:val="single" w:sz="4" w:space="0" w:color="auto"/>
              <w:right w:val="single" w:sz="4" w:space="0" w:color="auto"/>
            </w:tcBorders>
            <w:shd w:val="clear" w:color="auto" w:fill="auto"/>
            <w:hideMark/>
          </w:tcPr>
          <w:p w14:paraId="29E15475" w14:textId="77777777" w:rsidR="00B074CC" w:rsidRPr="001A1836" w:rsidRDefault="00B074CC" w:rsidP="00626054">
            <w:pPr>
              <w:jc w:val="right"/>
              <w:rPr>
                <w:rFonts w:cs="Arial"/>
                <w:b/>
              </w:rPr>
            </w:pPr>
            <w:r w:rsidRPr="001A1836">
              <w:rPr>
                <w:rFonts w:cs="Arial"/>
                <w:b/>
              </w:rPr>
              <w:t>/25</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4471D27D" w14:textId="77777777" w:rsidR="00B074CC" w:rsidRPr="001A1836" w:rsidRDefault="00B074CC" w:rsidP="00626054">
            <w:pPr>
              <w:jc w:val="right"/>
              <w:rPr>
                <w:rFonts w:cs="Arial"/>
                <w:b/>
              </w:rPr>
            </w:pPr>
            <w:r w:rsidRPr="001A1836">
              <w:rPr>
                <w:rFonts w:cs="Arial"/>
                <w:b/>
              </w:rPr>
              <w:t>/25</w:t>
            </w: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14:paraId="5DA4D1E9" w14:textId="77777777" w:rsidR="00B074CC" w:rsidRPr="001A1836" w:rsidRDefault="00B074CC" w:rsidP="00626054">
            <w:pPr>
              <w:jc w:val="right"/>
              <w:rPr>
                <w:rFonts w:cs="Arial"/>
                <w:b/>
              </w:rPr>
            </w:pPr>
            <w:r w:rsidRPr="001A1836">
              <w:rPr>
                <w:rFonts w:cs="Arial"/>
                <w:b/>
              </w:rPr>
              <w:t>/25</w:t>
            </w:r>
          </w:p>
        </w:tc>
        <w:tc>
          <w:tcPr>
            <w:tcW w:w="762" w:type="dxa"/>
            <w:tcBorders>
              <w:top w:val="single" w:sz="4" w:space="0" w:color="auto"/>
              <w:left w:val="single" w:sz="4" w:space="0" w:color="auto"/>
              <w:bottom w:val="single" w:sz="4" w:space="0" w:color="auto"/>
              <w:right w:val="single" w:sz="4" w:space="0" w:color="auto"/>
            </w:tcBorders>
            <w:shd w:val="clear" w:color="auto" w:fill="auto"/>
            <w:hideMark/>
          </w:tcPr>
          <w:p w14:paraId="1715C2F2" w14:textId="77777777" w:rsidR="00B074CC" w:rsidRPr="001A1836" w:rsidRDefault="00B074CC" w:rsidP="00626054">
            <w:pPr>
              <w:jc w:val="right"/>
              <w:rPr>
                <w:rFonts w:cs="Arial"/>
                <w:b/>
              </w:rPr>
            </w:pPr>
            <w:r w:rsidRPr="001A1836">
              <w:rPr>
                <w:rFonts w:cs="Arial"/>
                <w:b/>
              </w:rPr>
              <w:t>/25</w:t>
            </w:r>
          </w:p>
        </w:tc>
      </w:tr>
    </w:tbl>
    <w:p w14:paraId="2F7FD3C2" w14:textId="77777777" w:rsidR="00B074CC" w:rsidRPr="001A1836" w:rsidRDefault="00B074CC" w:rsidP="00626054">
      <w:pPr>
        <w:rPr>
          <w:rFonts w:cs="Arial"/>
        </w:rPr>
      </w:pPr>
    </w:p>
    <w:p w14:paraId="55EB9244" w14:textId="77777777" w:rsidR="00B074CC" w:rsidRPr="001A1836" w:rsidRDefault="00B074CC" w:rsidP="00626054">
      <w:pPr>
        <w:rPr>
          <w:rFonts w:cs="Arial"/>
        </w:rPr>
      </w:pPr>
      <w:r w:rsidRPr="001A1836">
        <w:rPr>
          <w:rFonts w:cs="Arial"/>
        </w:rPr>
        <w:t>The five behaviours will be rated from 1 to 5, on the following basis:</w:t>
      </w:r>
    </w:p>
    <w:p w14:paraId="49571DE8" w14:textId="77777777" w:rsidR="00B074CC" w:rsidRPr="001A1836" w:rsidRDefault="00B074CC" w:rsidP="00626054">
      <w:pPr>
        <w:rPr>
          <w:rFonts w:cs="Arial"/>
        </w:rPr>
      </w:pPr>
      <w:r w:rsidRPr="001A1836">
        <w:rPr>
          <w:rFonts w:cs="Arial"/>
          <w:b/>
        </w:rPr>
        <w:t>1 = Poor</w:t>
      </w:r>
      <w:r w:rsidRPr="001A1836">
        <w:rPr>
          <w:rFonts w:cs="Arial"/>
        </w:rPr>
        <w:t xml:space="preserve"> – the relevant Service or behaviours consistently failed to meet expectations during the quarter.</w:t>
      </w:r>
    </w:p>
    <w:p w14:paraId="2E233A01" w14:textId="77777777" w:rsidR="00B074CC" w:rsidRPr="001A1836" w:rsidRDefault="00B074CC" w:rsidP="00626054">
      <w:pPr>
        <w:rPr>
          <w:rFonts w:cs="Arial"/>
        </w:rPr>
      </w:pPr>
      <w:r w:rsidRPr="001A1836">
        <w:rPr>
          <w:rFonts w:cs="Arial"/>
          <w:b/>
        </w:rPr>
        <w:t>2 = Unsatisfactory</w:t>
      </w:r>
      <w:r w:rsidRPr="001A1836">
        <w:rPr>
          <w:rFonts w:cs="Arial"/>
        </w:rPr>
        <w:t xml:space="preserve"> – the relevant Service or behaviours were occasionally adequate but regularly failed to meet expectations during this quarter.</w:t>
      </w:r>
    </w:p>
    <w:p w14:paraId="18750159" w14:textId="77777777" w:rsidR="00B074CC" w:rsidRPr="001A1836" w:rsidRDefault="00B074CC" w:rsidP="00626054">
      <w:pPr>
        <w:rPr>
          <w:rFonts w:cs="Arial"/>
        </w:rPr>
      </w:pPr>
      <w:r w:rsidRPr="001A1836">
        <w:rPr>
          <w:rFonts w:cs="Arial"/>
          <w:b/>
        </w:rPr>
        <w:t>3 = Adequate</w:t>
      </w:r>
      <w:r w:rsidRPr="001A1836">
        <w:rPr>
          <w:rFonts w:cs="Arial"/>
        </w:rPr>
        <w:t xml:space="preserve"> – the relevant Service and behaviours consistently met the minimum expected standard during this quarter.</w:t>
      </w:r>
    </w:p>
    <w:p w14:paraId="5BC163A9" w14:textId="77777777" w:rsidR="00B074CC" w:rsidRPr="001A1836" w:rsidRDefault="00B074CC" w:rsidP="00626054">
      <w:pPr>
        <w:rPr>
          <w:rFonts w:cs="Arial"/>
        </w:rPr>
      </w:pPr>
      <w:r w:rsidRPr="001A1836">
        <w:rPr>
          <w:rFonts w:cs="Arial"/>
          <w:b/>
        </w:rPr>
        <w:t>4 = Good</w:t>
      </w:r>
      <w:r w:rsidRPr="001A1836">
        <w:rPr>
          <w:rFonts w:cs="Arial"/>
        </w:rPr>
        <w:t xml:space="preserve"> - the relevant Service and behaviours were consistently adequate and regularly exceeded expectations during this quarter.</w:t>
      </w:r>
    </w:p>
    <w:p w14:paraId="25192A4E" w14:textId="77777777" w:rsidR="00B074CC" w:rsidRPr="001A1836" w:rsidRDefault="00B074CC" w:rsidP="00626054">
      <w:pPr>
        <w:rPr>
          <w:rFonts w:cs="Arial"/>
        </w:rPr>
      </w:pPr>
      <w:r w:rsidRPr="001A1836">
        <w:rPr>
          <w:rFonts w:cs="Arial"/>
          <w:b/>
        </w:rPr>
        <w:t>5 = Excellent</w:t>
      </w:r>
      <w:r w:rsidRPr="001A1836">
        <w:rPr>
          <w:rFonts w:cs="Arial"/>
        </w:rPr>
        <w:t xml:space="preserve"> - the relevant Service and behaviours consistently exceeded expectations during this quarter.</w:t>
      </w:r>
    </w:p>
    <w:bookmarkEnd w:id="1527"/>
    <w:p w14:paraId="5178B8FE" w14:textId="77777777" w:rsidR="00B074CC" w:rsidRPr="001A1836" w:rsidRDefault="00B074CC" w:rsidP="00626054">
      <w:pPr>
        <w:jc w:val="center"/>
        <w:rPr>
          <w:rFonts w:cs="Arial"/>
          <w:b/>
          <w:caps/>
        </w:rPr>
      </w:pPr>
    </w:p>
    <w:p w14:paraId="5DF74C84" w14:textId="6AB75A43" w:rsidR="00B074CC" w:rsidRPr="001A1836" w:rsidRDefault="00B074CC" w:rsidP="009064B4"/>
    <w:p w14:paraId="733F5E29" w14:textId="77777777" w:rsidR="00B074CC" w:rsidRPr="001A1836" w:rsidRDefault="00B074CC" w:rsidP="009064B4"/>
    <w:p w14:paraId="24079F47" w14:textId="77777777" w:rsidR="00394111" w:rsidRPr="001A1836" w:rsidRDefault="00394111" w:rsidP="009064B4">
      <w:pPr>
        <w:pStyle w:val="GSRL1Scheduleheader"/>
        <w:sectPr w:rsidR="00394111" w:rsidRPr="001A1836" w:rsidSect="00F87B8D">
          <w:footerReference w:type="default" r:id="rId23"/>
          <w:pgSz w:w="11900" w:h="16840"/>
          <w:pgMar w:top="1134" w:right="1440" w:bottom="1440" w:left="1440" w:header="1077" w:footer="833" w:gutter="0"/>
          <w:cols w:space="708"/>
        </w:sectPr>
      </w:pPr>
    </w:p>
    <w:p w14:paraId="610C2E8C" w14:textId="22A80D01" w:rsidR="00B074CC" w:rsidRPr="001A1836" w:rsidRDefault="00B074CC" w:rsidP="009064B4">
      <w:pPr>
        <w:pStyle w:val="GSRL1Scheduleheader"/>
      </w:pPr>
      <w:bookmarkStart w:id="1637" w:name="_Toc129038224"/>
      <w:bookmarkStart w:id="1638" w:name="_Toc129038510"/>
      <w:bookmarkStart w:id="1639" w:name="_Toc132268080"/>
      <w:bookmarkStart w:id="1640" w:name="_Toc132268386"/>
      <w:bookmarkStart w:id="1641" w:name="_Toc136198637"/>
      <w:bookmarkStart w:id="1642" w:name="_Toc136198918"/>
      <w:bookmarkStart w:id="1643" w:name="_Toc188885255"/>
      <w:r w:rsidRPr="001A1836">
        <w:lastRenderedPageBreak/>
        <w:t xml:space="preserve">SCHEDULE 9: </w:t>
      </w:r>
      <w:r w:rsidR="004C2FF4" w:rsidRPr="001A1836">
        <w:t>Staff Transfer</w:t>
      </w:r>
      <w:bookmarkEnd w:id="1637"/>
      <w:bookmarkEnd w:id="1638"/>
      <w:bookmarkEnd w:id="1639"/>
      <w:bookmarkEnd w:id="1640"/>
      <w:bookmarkEnd w:id="1641"/>
      <w:bookmarkEnd w:id="1642"/>
      <w:bookmarkEnd w:id="1643"/>
    </w:p>
    <w:p w14:paraId="2B62A12E" w14:textId="77777777" w:rsidR="00B074CC" w:rsidRPr="001A1836" w:rsidRDefault="00B074CC" w:rsidP="009064B4"/>
    <w:p w14:paraId="5819C30B" w14:textId="79CCC224" w:rsidR="00B074CC" w:rsidRPr="001A1836" w:rsidRDefault="00B074CC"/>
    <w:p w14:paraId="6F5C5EB3" w14:textId="77777777" w:rsidR="00B074CC" w:rsidRPr="001A1836" w:rsidRDefault="00B074CC">
      <w:pPr>
        <w:spacing w:after="0"/>
      </w:pPr>
      <w:r w:rsidRPr="001A1836">
        <w:br w:type="page"/>
      </w:r>
    </w:p>
    <w:p w14:paraId="45A9F3D6" w14:textId="77777777" w:rsidR="00B074CC" w:rsidRPr="001A1836" w:rsidRDefault="00B074CC" w:rsidP="00626054"/>
    <w:p w14:paraId="23FC277E" w14:textId="77777777" w:rsidR="00B074CC" w:rsidRPr="001A1836" w:rsidRDefault="00B074CC" w:rsidP="00100EBA">
      <w:pPr>
        <w:pStyle w:val="GSRL2Sectionheading"/>
      </w:pPr>
      <w:bookmarkStart w:id="1644" w:name="_Toc508794555"/>
      <w:bookmarkStart w:id="1645" w:name="_Toc521327051"/>
      <w:bookmarkStart w:id="1646" w:name="_Toc521333284"/>
      <w:bookmarkStart w:id="1647" w:name="_Toc521484015"/>
      <w:bookmarkStart w:id="1648" w:name="_Toc521484778"/>
      <w:bookmarkStart w:id="1649" w:name="_Toc521485109"/>
      <w:bookmarkStart w:id="1650" w:name="_Toc521496845"/>
      <w:bookmarkStart w:id="1651" w:name="_Toc521498287"/>
      <w:bookmarkStart w:id="1652" w:name="_Toc529346017"/>
      <w:bookmarkStart w:id="1653" w:name="_Toc129038226"/>
      <w:bookmarkStart w:id="1654" w:name="_Toc129038512"/>
      <w:bookmarkStart w:id="1655" w:name="_Toc132268082"/>
      <w:bookmarkStart w:id="1656" w:name="_Toc132268388"/>
      <w:bookmarkStart w:id="1657" w:name="_Toc136198639"/>
      <w:bookmarkStart w:id="1658" w:name="_Toc136198920"/>
      <w:bookmarkStart w:id="1659" w:name="Schedule9"/>
      <w:r w:rsidRPr="001A1836">
        <w:t>Purpose</w:t>
      </w:r>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p>
    <w:p w14:paraId="0C38454B" w14:textId="77777777" w:rsidR="002D6458" w:rsidRPr="001A1836" w:rsidRDefault="00B074CC" w:rsidP="004E2262">
      <w:pPr>
        <w:pStyle w:val="GSRL3heading"/>
        <w:numPr>
          <w:ilvl w:val="0"/>
          <w:numId w:val="65"/>
        </w:numPr>
      </w:pPr>
      <w:bookmarkStart w:id="1660" w:name="_Toc508794556"/>
      <w:bookmarkStart w:id="1661" w:name="_Toc521327052"/>
      <w:bookmarkStart w:id="1662" w:name="_Toc521333285"/>
      <w:bookmarkStart w:id="1663" w:name="_Toc521484016"/>
      <w:bookmarkStart w:id="1664" w:name="_Toc521484779"/>
      <w:bookmarkStart w:id="1665" w:name="_Toc521485110"/>
      <w:bookmarkStart w:id="1666" w:name="_Toc521496846"/>
      <w:bookmarkStart w:id="1667" w:name="_Toc521498288"/>
      <w:bookmarkStart w:id="1668" w:name="_Toc529346018"/>
      <w:bookmarkStart w:id="1669" w:name="_Toc129038227"/>
      <w:bookmarkStart w:id="1670" w:name="_Toc129038513"/>
      <w:bookmarkStart w:id="1671" w:name="_Toc132268083"/>
      <w:bookmarkStart w:id="1672" w:name="_Toc132268389"/>
      <w:bookmarkStart w:id="1673" w:name="_Toc136198640"/>
      <w:bookmarkStart w:id="1674" w:name="_Toc136198921"/>
      <w:r w:rsidRPr="001A1836">
        <w:t>Definitions</w:t>
      </w:r>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p>
    <w:p w14:paraId="12DFC80A" w14:textId="35BE4B91" w:rsidR="002D6458" w:rsidRPr="001A1836" w:rsidRDefault="00B074CC">
      <w:pPr>
        <w:pStyle w:val="GSRL4numberedclause"/>
      </w:pPr>
      <w:bookmarkStart w:id="1675" w:name="_Toc521327053"/>
      <w:bookmarkStart w:id="1676" w:name="_Toc521333286"/>
      <w:bookmarkStart w:id="1677" w:name="_Toc521484017"/>
      <w:bookmarkStart w:id="1678" w:name="_Toc521484780"/>
      <w:bookmarkStart w:id="1679" w:name="_Toc521485111"/>
      <w:r w:rsidRPr="001A1836">
        <w:rPr>
          <w:lang w:val="en-US"/>
        </w:rPr>
        <w:t>This Schedule shall be interpreted in accordance with Schedule 0 (Glossary).</w:t>
      </w:r>
      <w:bookmarkStart w:id="1680" w:name="_Toc508794557"/>
      <w:bookmarkEnd w:id="1675"/>
      <w:bookmarkEnd w:id="1676"/>
      <w:bookmarkEnd w:id="1677"/>
      <w:bookmarkEnd w:id="1678"/>
      <w:bookmarkEnd w:id="1679"/>
    </w:p>
    <w:p w14:paraId="564F4280" w14:textId="718B94FE" w:rsidR="00B074CC" w:rsidRPr="001A1836" w:rsidRDefault="00B074CC">
      <w:pPr>
        <w:pStyle w:val="GSRL3heading"/>
      </w:pPr>
      <w:bookmarkStart w:id="1681" w:name="_Toc521327054"/>
      <w:bookmarkStart w:id="1682" w:name="_Toc521333287"/>
      <w:bookmarkStart w:id="1683" w:name="_Toc521484018"/>
      <w:bookmarkStart w:id="1684" w:name="_Toc521484781"/>
      <w:bookmarkStart w:id="1685" w:name="_Toc521485112"/>
      <w:bookmarkStart w:id="1686" w:name="_Toc521496847"/>
      <w:bookmarkStart w:id="1687" w:name="_Toc521498289"/>
      <w:bookmarkStart w:id="1688" w:name="_Toc529346019"/>
      <w:bookmarkStart w:id="1689" w:name="_Toc129038228"/>
      <w:bookmarkStart w:id="1690" w:name="_Toc129038514"/>
      <w:bookmarkStart w:id="1691" w:name="_Toc132268084"/>
      <w:bookmarkStart w:id="1692" w:name="_Toc132268390"/>
      <w:bookmarkStart w:id="1693" w:name="_Toc136198641"/>
      <w:bookmarkStart w:id="1694" w:name="_Toc136198922"/>
      <w:r w:rsidRPr="001A1836">
        <w:t>Interpretation</w:t>
      </w:r>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p>
    <w:p w14:paraId="0E89ACA3" w14:textId="77777777" w:rsidR="002D6458" w:rsidRPr="001A1836" w:rsidRDefault="00B074CC">
      <w:pPr>
        <w:pStyle w:val="GSRL4numberedclause"/>
        <w:rPr>
          <w:lang w:val="en-US"/>
        </w:rPr>
      </w:pPr>
      <w:r w:rsidRPr="001A1836">
        <w:rPr>
          <w:lang w:val="en-US"/>
        </w:rPr>
        <w:t>Where a provision in this Schedule imposes any obligation on the Provider including (without limit) to comply with a requirement or provide an indemnity, undertaking or warranty, the Provider shall procure that each of its Sub-Contractors shall comply with such obligation and provide such indemnity, undertaking or warranty to HSE, Previous Provider, Replacement Provider or Replacement Sub-Contractor, as the case may be and where the Sub-Contractor fails to satisfy any claims under such indemnities the Provider will be liable for satisfying any such claim as if it had provided the indemnity itself.</w:t>
      </w:r>
      <w:bookmarkStart w:id="1695" w:name="_Toc508794558"/>
    </w:p>
    <w:p w14:paraId="3E2386CB" w14:textId="23D070F2" w:rsidR="00B074CC" w:rsidRPr="001A1836" w:rsidRDefault="00B074CC">
      <w:pPr>
        <w:pStyle w:val="GSRL3heading"/>
        <w:rPr>
          <w:lang w:val="en-US"/>
        </w:rPr>
      </w:pPr>
      <w:bookmarkStart w:id="1696" w:name="_Toc521496848"/>
      <w:bookmarkStart w:id="1697" w:name="_Toc521498290"/>
      <w:bookmarkStart w:id="1698" w:name="_Toc529346020"/>
      <w:bookmarkStart w:id="1699" w:name="_Toc129038229"/>
      <w:bookmarkStart w:id="1700" w:name="_Toc129038515"/>
      <w:bookmarkStart w:id="1701" w:name="_Toc132268085"/>
      <w:bookmarkStart w:id="1702" w:name="_Toc132268391"/>
      <w:bookmarkStart w:id="1703" w:name="_Toc136198642"/>
      <w:bookmarkStart w:id="1704" w:name="_Toc136198923"/>
      <w:r w:rsidRPr="001A1836">
        <w:t>Application of this Schedule</w:t>
      </w:r>
      <w:bookmarkEnd w:id="1695"/>
      <w:bookmarkEnd w:id="1696"/>
      <w:bookmarkEnd w:id="1697"/>
      <w:bookmarkEnd w:id="1698"/>
      <w:bookmarkEnd w:id="1699"/>
      <w:bookmarkEnd w:id="1700"/>
      <w:bookmarkEnd w:id="1701"/>
      <w:bookmarkEnd w:id="1702"/>
      <w:bookmarkEnd w:id="1703"/>
      <w:bookmarkEnd w:id="1704"/>
    </w:p>
    <w:p w14:paraId="73F6F1EF" w14:textId="0C2B5F5B" w:rsidR="00B074CC" w:rsidRDefault="00B074CC">
      <w:pPr>
        <w:pStyle w:val="GSRL4numberedclause"/>
      </w:pPr>
      <w:r w:rsidRPr="001A1836">
        <w:t>The Parts of this Schedule which shall apply to the Agreement shall be so specified to the Provider at the Effective Date.</w:t>
      </w:r>
      <w:r w:rsidR="003D446B">
        <w:t xml:space="preserve"> Only the following parts of this Schedule shall apply to this Agreement:</w:t>
      </w:r>
    </w:p>
    <w:p w14:paraId="79598A87" w14:textId="0BF11C56" w:rsidR="00DA609E" w:rsidRDefault="00DA609E">
      <w:pPr>
        <w:pStyle w:val="GSRL5numberedclause"/>
      </w:pPr>
      <w:r>
        <w:t>Part A – [Not used]</w:t>
      </w:r>
    </w:p>
    <w:p w14:paraId="3BD8C44B" w14:textId="429CE4ED" w:rsidR="00DA609E" w:rsidRDefault="00DA609E">
      <w:pPr>
        <w:pStyle w:val="GSRL5numberedclause"/>
      </w:pPr>
      <w:r>
        <w:t>Part B – [Not used]</w:t>
      </w:r>
    </w:p>
    <w:p w14:paraId="70DC935E" w14:textId="598C605C" w:rsidR="003D446B" w:rsidRDefault="003D446B">
      <w:pPr>
        <w:pStyle w:val="GSRL5numberedclause"/>
      </w:pPr>
      <w:r w:rsidRPr="005F6696">
        <w:t>Part</w:t>
      </w:r>
      <w:r>
        <w:t xml:space="preserve"> C (No Staff Transfer On Start Date)</w:t>
      </w:r>
    </w:p>
    <w:p w14:paraId="590E8059" w14:textId="73DCD2EE" w:rsidR="003D446B" w:rsidRDefault="007152A4">
      <w:pPr>
        <w:pStyle w:val="GSRL5numberedclause"/>
      </w:pPr>
      <w:r>
        <w:t>Part D (Pensions)</w:t>
      </w:r>
    </w:p>
    <w:p w14:paraId="1C5EB246" w14:textId="681957BE" w:rsidR="003D446B" w:rsidRDefault="003D446B">
      <w:pPr>
        <w:pStyle w:val="GSRL6numberedclause"/>
      </w:pPr>
      <w:r>
        <w:t>[</w:t>
      </w:r>
      <w:r w:rsidR="00100601">
        <w:t>Not Used</w:t>
      </w:r>
      <w:r>
        <w:t>]</w:t>
      </w:r>
    </w:p>
    <w:p w14:paraId="1AA4021F" w14:textId="77777777" w:rsidR="00100601" w:rsidRDefault="00100601" w:rsidP="00100601">
      <w:pPr>
        <w:pStyle w:val="GSRL6numberedclause"/>
      </w:pPr>
      <w:r>
        <w:t>[Not Used]</w:t>
      </w:r>
    </w:p>
    <w:p w14:paraId="09609A8C" w14:textId="77777777" w:rsidR="00100601" w:rsidRDefault="00100601" w:rsidP="00100601">
      <w:pPr>
        <w:pStyle w:val="GSRL6numberedclause"/>
      </w:pPr>
      <w:r>
        <w:t>[Not Used]</w:t>
      </w:r>
    </w:p>
    <w:p w14:paraId="579E44D2" w14:textId="77777777" w:rsidR="003D446B" w:rsidRDefault="003D446B">
      <w:pPr>
        <w:pStyle w:val="GSRL5numberedclause"/>
      </w:pPr>
      <w:r>
        <w:t>Part E (Staff Transfer on Exit)</w:t>
      </w:r>
    </w:p>
    <w:p w14:paraId="6DC31902" w14:textId="7FC89B4A" w:rsidR="003D446B" w:rsidRDefault="003D446B">
      <w:pPr>
        <w:pStyle w:val="GSRL6numberedclause"/>
      </w:pPr>
      <w:r>
        <w:t xml:space="preserve">Annex E1 </w:t>
      </w:r>
      <w:r w:rsidR="00CE5159">
        <w:t>[Not used]</w:t>
      </w:r>
    </w:p>
    <w:p w14:paraId="70A35111" w14:textId="28BAED53" w:rsidR="003D446B" w:rsidRDefault="003D446B">
      <w:pPr>
        <w:pStyle w:val="GSRL6numberedclause"/>
      </w:pPr>
      <w:r>
        <w:t>Annex E2 (Staffing Information)</w:t>
      </w:r>
    </w:p>
    <w:p w14:paraId="2E47ED83" w14:textId="77777777" w:rsidR="003D446B" w:rsidRPr="001A1836" w:rsidRDefault="003D446B" w:rsidP="007152A4">
      <w:pPr>
        <w:pStyle w:val="GSRL5numberedclause"/>
        <w:numPr>
          <w:ilvl w:val="0"/>
          <w:numId w:val="0"/>
        </w:numPr>
        <w:ind w:left="1582"/>
      </w:pPr>
    </w:p>
    <w:p w14:paraId="63AC5602" w14:textId="3117EFCA" w:rsidR="00B074CC" w:rsidRPr="001A1836" w:rsidRDefault="00B074CC" w:rsidP="00100EBA">
      <w:pPr>
        <w:pStyle w:val="GSRL2Sectionheading"/>
      </w:pPr>
      <w:r w:rsidRPr="001A1836">
        <w:br w:type="page"/>
      </w:r>
      <w:bookmarkStart w:id="1705" w:name="_Toc508794559"/>
      <w:bookmarkStart w:id="1706" w:name="_Toc521327055"/>
      <w:bookmarkStart w:id="1707" w:name="_Toc521333288"/>
      <w:bookmarkStart w:id="1708" w:name="_Toc521484019"/>
      <w:bookmarkStart w:id="1709" w:name="_Toc521484782"/>
      <w:bookmarkStart w:id="1710" w:name="_Toc521485113"/>
      <w:bookmarkStart w:id="1711" w:name="_Toc521496849"/>
      <w:bookmarkStart w:id="1712" w:name="_Toc521498291"/>
      <w:bookmarkStart w:id="1713" w:name="_Toc529346021"/>
      <w:bookmarkStart w:id="1714" w:name="_Toc129038230"/>
      <w:bookmarkStart w:id="1715" w:name="_Toc129038516"/>
      <w:bookmarkStart w:id="1716" w:name="_Toc132268086"/>
      <w:bookmarkStart w:id="1717" w:name="_Toc132268392"/>
      <w:bookmarkStart w:id="1718" w:name="_Toc136198643"/>
      <w:bookmarkStart w:id="1719" w:name="_Toc136198924"/>
      <w:r w:rsidRPr="001A1836">
        <w:lastRenderedPageBreak/>
        <w:t>P</w:t>
      </w:r>
      <w:r w:rsidR="004C2FF4" w:rsidRPr="001A1836">
        <w:t>art</w:t>
      </w:r>
      <w:r w:rsidRPr="001A1836">
        <w:t xml:space="preserve"> A: </w:t>
      </w:r>
      <w:bookmarkEnd w:id="1705"/>
      <w:bookmarkEnd w:id="1706"/>
      <w:bookmarkEnd w:id="1707"/>
      <w:bookmarkEnd w:id="1708"/>
      <w:bookmarkEnd w:id="1709"/>
      <w:bookmarkEnd w:id="1710"/>
      <w:bookmarkEnd w:id="1711"/>
      <w:bookmarkEnd w:id="1712"/>
      <w:r w:rsidR="00F56144" w:rsidRPr="001A1836">
        <w:t>[not used]</w:t>
      </w:r>
      <w:bookmarkEnd w:id="1713"/>
      <w:bookmarkEnd w:id="1714"/>
      <w:bookmarkEnd w:id="1715"/>
      <w:bookmarkEnd w:id="1716"/>
      <w:bookmarkEnd w:id="1717"/>
      <w:bookmarkEnd w:id="1718"/>
      <w:bookmarkEnd w:id="1719"/>
    </w:p>
    <w:p w14:paraId="62DF4004" w14:textId="76A1104A" w:rsidR="00B074CC" w:rsidRPr="001A1836" w:rsidRDefault="00B074CC" w:rsidP="008C7722">
      <w:pPr>
        <w:pStyle w:val="GSRL2Sectionheading"/>
      </w:pPr>
      <w:bookmarkStart w:id="1720" w:name="_Ref450746708"/>
      <w:bookmarkStart w:id="1721" w:name="_Ref311726534"/>
      <w:r w:rsidRPr="001A1836">
        <w:br w:type="page"/>
      </w:r>
      <w:bookmarkStart w:id="1722" w:name="_Toc508794566"/>
      <w:bookmarkStart w:id="1723" w:name="_Toc521327062"/>
      <w:bookmarkStart w:id="1724" w:name="_Toc521333295"/>
      <w:bookmarkStart w:id="1725" w:name="_Toc521484026"/>
      <w:bookmarkStart w:id="1726" w:name="_Toc521484789"/>
      <w:bookmarkStart w:id="1727" w:name="_Toc521485120"/>
      <w:bookmarkStart w:id="1728" w:name="_Toc521496856"/>
      <w:bookmarkStart w:id="1729" w:name="_Toc521498298"/>
      <w:bookmarkStart w:id="1730" w:name="_Toc132268087"/>
      <w:bookmarkStart w:id="1731" w:name="_Toc132268393"/>
      <w:bookmarkStart w:id="1732" w:name="_Toc529346022"/>
      <w:bookmarkStart w:id="1733" w:name="_Toc129038231"/>
      <w:bookmarkStart w:id="1734" w:name="_Toc129038517"/>
      <w:bookmarkStart w:id="1735" w:name="_Toc136198644"/>
      <w:bookmarkStart w:id="1736" w:name="_Toc136198925"/>
      <w:r w:rsidRPr="001A1836">
        <w:lastRenderedPageBreak/>
        <w:t>P</w:t>
      </w:r>
      <w:r w:rsidR="004C2FF4" w:rsidRPr="001A1836">
        <w:t>art</w:t>
      </w:r>
      <w:r w:rsidRPr="001A1836">
        <w:t xml:space="preserve"> B: </w:t>
      </w:r>
      <w:bookmarkEnd w:id="1720"/>
      <w:bookmarkEnd w:id="1722"/>
      <w:bookmarkEnd w:id="1723"/>
      <w:bookmarkEnd w:id="1724"/>
      <w:bookmarkEnd w:id="1725"/>
      <w:bookmarkEnd w:id="1726"/>
      <w:bookmarkEnd w:id="1727"/>
      <w:bookmarkEnd w:id="1728"/>
      <w:bookmarkEnd w:id="1729"/>
      <w:r w:rsidR="00616490">
        <w:t>[Not used]</w:t>
      </w:r>
      <w:r w:rsidR="00616490" w:rsidDel="00616490">
        <w:t xml:space="preserve"> </w:t>
      </w:r>
      <w:bookmarkEnd w:id="1730"/>
      <w:bookmarkEnd w:id="1731"/>
      <w:bookmarkEnd w:id="1732"/>
      <w:bookmarkEnd w:id="1733"/>
      <w:bookmarkEnd w:id="1734"/>
      <w:bookmarkEnd w:id="1735"/>
      <w:bookmarkEnd w:id="1736"/>
    </w:p>
    <w:p w14:paraId="34F7E9E7" w14:textId="77777777" w:rsidR="00B074CC" w:rsidRPr="001A1836" w:rsidRDefault="00B074CC" w:rsidP="00626054">
      <w:pPr>
        <w:ind w:left="706"/>
        <w:rPr>
          <w:rFonts w:cs="Arial"/>
        </w:rPr>
      </w:pPr>
      <w:bookmarkStart w:id="1737" w:name="_9kMIH5YVt4DEFJIeGp9U"/>
      <w:bookmarkEnd w:id="1721"/>
      <w:bookmarkEnd w:id="1737"/>
    </w:p>
    <w:p w14:paraId="79C8DF9C" w14:textId="77777777" w:rsidR="00792A0C" w:rsidRPr="001A1836" w:rsidRDefault="00792A0C">
      <w:pPr>
        <w:spacing w:before="0" w:after="0"/>
        <w:rPr>
          <w:b/>
          <w:kern w:val="0"/>
          <w:sz w:val="36"/>
          <w:szCs w:val="22"/>
        </w:rPr>
      </w:pPr>
      <w:bookmarkStart w:id="1738" w:name="_Toc508794574"/>
      <w:bookmarkStart w:id="1739" w:name="_Toc521327070"/>
      <w:bookmarkStart w:id="1740" w:name="_Toc521333303"/>
      <w:bookmarkStart w:id="1741" w:name="_Toc521484034"/>
      <w:bookmarkStart w:id="1742" w:name="_Toc521484797"/>
      <w:bookmarkStart w:id="1743" w:name="_Toc521485128"/>
      <w:r w:rsidRPr="001A1836">
        <w:rPr>
          <w:b/>
          <w:szCs w:val="22"/>
        </w:rPr>
        <w:br w:type="page"/>
      </w:r>
    </w:p>
    <w:p w14:paraId="792ACDC3" w14:textId="0BD54A6C" w:rsidR="00B074CC" w:rsidRPr="001A1836" w:rsidRDefault="00B074CC" w:rsidP="00792A0C">
      <w:pPr>
        <w:pStyle w:val="GSRL2Sectionheading"/>
      </w:pPr>
      <w:bookmarkStart w:id="1744" w:name="_Toc132268088"/>
      <w:bookmarkStart w:id="1745" w:name="_Toc132268394"/>
      <w:bookmarkStart w:id="1746" w:name="_Toc136198645"/>
      <w:bookmarkStart w:id="1747" w:name="_Toc136198926"/>
      <w:bookmarkStart w:id="1748" w:name="_Toc521496864"/>
      <w:bookmarkStart w:id="1749" w:name="_Toc521498306"/>
      <w:bookmarkStart w:id="1750" w:name="_Toc529346023"/>
      <w:bookmarkStart w:id="1751" w:name="_Toc129038232"/>
      <w:bookmarkStart w:id="1752" w:name="_Toc129038518"/>
      <w:r w:rsidRPr="001A1836">
        <w:lastRenderedPageBreak/>
        <w:t>P</w:t>
      </w:r>
      <w:r w:rsidR="004C2FF4" w:rsidRPr="001A1836">
        <w:t>art</w:t>
      </w:r>
      <w:r w:rsidRPr="001A1836">
        <w:t xml:space="preserve"> C: No Staff Transfer on Start Date</w:t>
      </w:r>
      <w:bookmarkEnd w:id="1744"/>
      <w:bookmarkEnd w:id="1745"/>
      <w:bookmarkEnd w:id="1746"/>
      <w:bookmarkEnd w:id="1747"/>
      <w:r w:rsidRPr="001A1836">
        <w:t xml:space="preserve"> </w:t>
      </w:r>
      <w:bookmarkEnd w:id="1738"/>
      <w:bookmarkEnd w:id="1739"/>
      <w:bookmarkEnd w:id="1740"/>
      <w:bookmarkEnd w:id="1741"/>
      <w:bookmarkEnd w:id="1742"/>
      <w:bookmarkEnd w:id="1743"/>
      <w:bookmarkEnd w:id="1748"/>
      <w:bookmarkEnd w:id="1749"/>
      <w:bookmarkEnd w:id="1750"/>
      <w:bookmarkEnd w:id="1751"/>
      <w:bookmarkEnd w:id="1752"/>
    </w:p>
    <w:p w14:paraId="7A24A23B" w14:textId="14069196" w:rsidR="00B074CC" w:rsidRPr="001A1836" w:rsidRDefault="00B074CC" w:rsidP="004E2262">
      <w:pPr>
        <w:pStyle w:val="GSRL3heading"/>
        <w:numPr>
          <w:ilvl w:val="0"/>
          <w:numId w:val="66"/>
        </w:numPr>
      </w:pPr>
      <w:bookmarkStart w:id="1753" w:name="_Toc132268089"/>
      <w:bookmarkStart w:id="1754" w:name="_Toc132268395"/>
      <w:bookmarkStart w:id="1755" w:name="_Toc136198646"/>
      <w:bookmarkStart w:id="1756" w:name="_Toc136198927"/>
      <w:r w:rsidRPr="001A1836">
        <w:t>Procedure in the event of T</w:t>
      </w:r>
      <w:bookmarkStart w:id="1757" w:name="_Toc508794575"/>
      <w:bookmarkStart w:id="1758" w:name="_Toc521327071"/>
      <w:bookmarkStart w:id="1759" w:name="_Toc521333304"/>
      <w:bookmarkStart w:id="1760" w:name="_Toc521484035"/>
      <w:bookmarkStart w:id="1761" w:name="_Toc521484798"/>
      <w:bookmarkStart w:id="1762" w:name="_Toc521485129"/>
      <w:bookmarkStart w:id="1763" w:name="_Toc521496865"/>
      <w:bookmarkStart w:id="1764" w:name="_Toc521498307"/>
      <w:bookmarkStart w:id="1765" w:name="_Toc529346024"/>
      <w:bookmarkStart w:id="1766" w:name="_Toc129038233"/>
      <w:bookmarkStart w:id="1767" w:name="_Toc129038519"/>
      <w:r w:rsidRPr="001A1836">
        <w:t>ransfer</w:t>
      </w:r>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p>
    <w:p w14:paraId="6A709CF4" w14:textId="2C312B7D" w:rsidR="00B074CC" w:rsidRPr="001A1836" w:rsidRDefault="00B074CC">
      <w:pPr>
        <w:pStyle w:val="GSRL4numberedclause"/>
      </w:pPr>
      <w:r w:rsidRPr="001A1836">
        <w:t>HSE and the Provider agree that the commencement of the provision of the Services or of any part of the Services will not be a Relevant Transfer in relation to a</w:t>
      </w:r>
      <w:bookmarkStart w:id="1768" w:name="_Ref311726687"/>
      <w:r w:rsidRPr="001A1836">
        <w:t xml:space="preserve">ny employees of HSE and/or any </w:t>
      </w:r>
      <w:r w:rsidR="00376237">
        <w:t>Former</w:t>
      </w:r>
      <w:r w:rsidR="00376237" w:rsidRPr="001A1836">
        <w:t xml:space="preserve"> </w:t>
      </w:r>
      <w:r w:rsidRPr="001A1836">
        <w:t xml:space="preserve">Provider.  </w:t>
      </w:r>
      <w:bookmarkStart w:id="1769" w:name="_Ref339619543"/>
      <w:bookmarkStart w:id="1770" w:name="_Ref490491607"/>
    </w:p>
    <w:p w14:paraId="7D422FA7" w14:textId="4CFF91E6" w:rsidR="00B074CC" w:rsidRPr="001A1836" w:rsidRDefault="00376237">
      <w:pPr>
        <w:pStyle w:val="GSRL4numberedclause"/>
      </w:pPr>
      <w:r>
        <w:t>I</w:t>
      </w:r>
      <w:r w:rsidR="00B074CC" w:rsidRPr="001A1836">
        <w:t xml:space="preserve">f any employee of HSE and/or a </w:t>
      </w:r>
      <w:r>
        <w:t>Former</w:t>
      </w:r>
      <w:r w:rsidRPr="001A1836">
        <w:t xml:space="preserve"> </w:t>
      </w:r>
      <w:r w:rsidR="00B074CC" w:rsidRPr="001A1836">
        <w:t xml:space="preserve">Provider claims, or it is determined in relation to any employee of HSE and/or a </w:t>
      </w:r>
      <w:r>
        <w:t>Former</w:t>
      </w:r>
      <w:r w:rsidRPr="001A1836">
        <w:t xml:space="preserve"> </w:t>
      </w:r>
      <w:r w:rsidR="00B074CC" w:rsidRPr="001A1836">
        <w:t xml:space="preserve">Provider, that </w:t>
      </w:r>
      <w:r>
        <w:t>their</w:t>
      </w:r>
      <w:r w:rsidR="00B074CC" w:rsidRPr="001A1836">
        <w:t xml:space="preserve"> contract of employment has been transferred from HSE and/or the </w:t>
      </w:r>
      <w:r>
        <w:t>Former</w:t>
      </w:r>
      <w:r w:rsidRPr="001A1836">
        <w:t xml:space="preserve"> </w:t>
      </w:r>
      <w:r w:rsidR="00B074CC" w:rsidRPr="001A1836">
        <w:t>Provider to the Provider and/or any Sub-Contractor pursuant to the Employment Regulations then</w:t>
      </w:r>
      <w:bookmarkStart w:id="1771" w:name="_Ref311726702"/>
      <w:bookmarkStart w:id="1772" w:name="_Ref339619716"/>
      <w:bookmarkEnd w:id="1768"/>
      <w:bookmarkEnd w:id="1769"/>
      <w:r w:rsidR="00B074CC" w:rsidRPr="001A1836">
        <w:t>:</w:t>
      </w:r>
      <w:bookmarkStart w:id="1773" w:name="_Ref490491284"/>
      <w:bookmarkEnd w:id="1770"/>
    </w:p>
    <w:p w14:paraId="6F2B12E6" w14:textId="533C5D1B" w:rsidR="00B074CC" w:rsidRPr="001A1836" w:rsidRDefault="00B074CC">
      <w:pPr>
        <w:pStyle w:val="GSRL5numberedclause"/>
      </w:pPr>
      <w:r w:rsidRPr="001A1836">
        <w:t xml:space="preserve">the </w:t>
      </w:r>
      <w:r w:rsidRPr="002602DA">
        <w:t>Provider will</w:t>
      </w:r>
      <w:r w:rsidR="00376237" w:rsidRPr="002602DA">
        <w:t xml:space="preserve">, </w:t>
      </w:r>
      <w:r w:rsidR="00376237" w:rsidRPr="002602DA">
        <w:rPr>
          <w:u w:color="0000FF"/>
        </w:rPr>
        <w:t>and will procure that the relevant Sub-contractor will</w:t>
      </w:r>
      <w:r w:rsidRPr="002602DA">
        <w:t xml:space="preserve">, within </w:t>
      </w:r>
      <w:r w:rsidR="00DD1E9F" w:rsidRPr="002602DA">
        <w:t>five (</w:t>
      </w:r>
      <w:r w:rsidRPr="002602DA">
        <w:t>5</w:t>
      </w:r>
      <w:r w:rsidR="00DD1E9F" w:rsidRPr="002602DA">
        <w:t>)</w:t>
      </w:r>
      <w:r w:rsidRPr="002602DA">
        <w:t xml:space="preserve"> Working Days of becoming aware of that fact, notify HSE in writing</w:t>
      </w:r>
      <w:r w:rsidR="00376237" w:rsidRPr="002602DA">
        <w:rPr>
          <w:u w:color="0000FF"/>
        </w:rPr>
        <w:t xml:space="preserve"> and, where required by HSE, give notice to the Former Provider</w:t>
      </w:r>
      <w:r w:rsidRPr="002602DA">
        <w:t>;</w:t>
      </w:r>
      <w:bookmarkStart w:id="1774" w:name="_Ref490491215"/>
      <w:bookmarkEnd w:id="1773"/>
    </w:p>
    <w:p w14:paraId="6280FDDC" w14:textId="54B1A739" w:rsidR="00B074CC" w:rsidRPr="001A1836" w:rsidRDefault="00B074CC">
      <w:pPr>
        <w:pStyle w:val="GSRL5numberedclause"/>
      </w:pPr>
      <w:r w:rsidRPr="001A1836">
        <w:t xml:space="preserve">HSE </w:t>
      </w:r>
      <w:r w:rsidR="00376237">
        <w:t xml:space="preserve">and/or the Former </w:t>
      </w:r>
      <w:r w:rsidR="00010038">
        <w:t>Provider</w:t>
      </w:r>
      <w:r w:rsidR="00376237">
        <w:t xml:space="preserve"> </w:t>
      </w:r>
      <w:r w:rsidRPr="001A1836">
        <w:t xml:space="preserve">may offer </w:t>
      </w:r>
      <w:r w:rsidR="00376237" w:rsidRPr="00376237">
        <w:t xml:space="preserve">(or may procure that a third party may offer) </w:t>
      </w:r>
      <w:r w:rsidRPr="001A1836">
        <w:t xml:space="preserve">employment to such person, or take such other steps as it considered appropriate to resolve the matter, within </w:t>
      </w:r>
      <w:r w:rsidR="00376237">
        <w:t>fifteen</w:t>
      </w:r>
      <w:r w:rsidR="00376237" w:rsidRPr="001A1836">
        <w:t xml:space="preserve"> </w:t>
      </w:r>
      <w:r w:rsidR="00DD1E9F" w:rsidRPr="001A1836">
        <w:t>(</w:t>
      </w:r>
      <w:r w:rsidRPr="001A1836">
        <w:t>1</w:t>
      </w:r>
      <w:r w:rsidR="00376237">
        <w:t>5</w:t>
      </w:r>
      <w:r w:rsidR="00DD1E9F" w:rsidRPr="001A1836">
        <w:t>)</w:t>
      </w:r>
      <w:r w:rsidRPr="001A1836">
        <w:t xml:space="preserve"> Working Days of receipt of notice from the Provider;</w:t>
      </w:r>
      <w:bookmarkEnd w:id="1774"/>
    </w:p>
    <w:p w14:paraId="0997C7F4" w14:textId="3E6912FE" w:rsidR="00B074CC" w:rsidRPr="001A1836" w:rsidRDefault="00B074CC">
      <w:pPr>
        <w:pStyle w:val="GSRL5numberedclause"/>
      </w:pPr>
      <w:r w:rsidRPr="001A1836">
        <w:t>if such offer of employment is accepted</w:t>
      </w:r>
      <w:r w:rsidR="00376237">
        <w:t xml:space="preserve"> </w:t>
      </w:r>
      <w:r w:rsidR="00376237" w:rsidRPr="00376237">
        <w:t xml:space="preserve">(or if the situation has otherwise been resolved by </w:t>
      </w:r>
      <w:r w:rsidR="00376237">
        <w:t>HSE</w:t>
      </w:r>
      <w:r w:rsidR="00376237" w:rsidRPr="00376237">
        <w:t xml:space="preserve"> and/or the Former </w:t>
      </w:r>
      <w:r w:rsidR="00376237">
        <w:t>Provider</w:t>
      </w:r>
      <w:r w:rsidR="00376237" w:rsidRPr="00376237">
        <w:t>)</w:t>
      </w:r>
      <w:r w:rsidRPr="001A1836">
        <w:t>, the Provider shall</w:t>
      </w:r>
      <w:r w:rsidR="00376237">
        <w:t>,</w:t>
      </w:r>
      <w:r w:rsidRPr="001A1836">
        <w:t xml:space="preserve"> </w:t>
      </w:r>
      <w:r w:rsidR="00376237">
        <w:t>or shall procure that the Sub-C</w:t>
      </w:r>
      <w:r w:rsidR="00376237" w:rsidRPr="00376237">
        <w:t>ontractor shall</w:t>
      </w:r>
      <w:r w:rsidR="00376237">
        <w:t>,</w:t>
      </w:r>
      <w:r w:rsidR="00376237" w:rsidRPr="00376237">
        <w:t xml:space="preserve"> </w:t>
      </w:r>
      <w:r w:rsidRPr="001A1836">
        <w:t xml:space="preserve">immediately release the person from </w:t>
      </w:r>
      <w:r w:rsidR="00376237">
        <w:t>their</w:t>
      </w:r>
      <w:r w:rsidR="00376237" w:rsidRPr="001A1836">
        <w:t xml:space="preserve"> </w:t>
      </w:r>
      <w:r w:rsidRPr="001A1836">
        <w:t>employment</w:t>
      </w:r>
      <w:r w:rsidR="00376237">
        <w:t xml:space="preserve"> or alleged employment</w:t>
      </w:r>
      <w:r w:rsidRPr="001A1836">
        <w:t>;</w:t>
      </w:r>
      <w:bookmarkStart w:id="1775" w:name="_Ref490491291"/>
    </w:p>
    <w:p w14:paraId="1EDE85C1" w14:textId="600A7995" w:rsidR="00B074CC" w:rsidRPr="001A1836" w:rsidRDefault="00B074CC">
      <w:pPr>
        <w:pStyle w:val="GSRL5numberedclause"/>
      </w:pPr>
      <w:r w:rsidRPr="001A1836">
        <w:t xml:space="preserve">if after the </w:t>
      </w:r>
      <w:r w:rsidR="008774D5">
        <w:t xml:space="preserve">15 Working Day </w:t>
      </w:r>
      <w:r w:rsidRPr="001A1836">
        <w:t xml:space="preserve">period referred to in paragraph </w:t>
      </w:r>
      <w:r w:rsidR="00B50358">
        <w:t>1.2.</w:t>
      </w:r>
      <w:r w:rsidR="008774D5">
        <w:t>2</w:t>
      </w:r>
      <w:r w:rsidRPr="001A1836">
        <w:t xml:space="preserve"> no such offer has been made, or such offer has been made but not accepted, </w:t>
      </w:r>
      <w:r w:rsidR="008774D5">
        <w:t xml:space="preserve">or the situation has not otherwise been resolved, </w:t>
      </w:r>
      <w:r w:rsidRPr="001A1836">
        <w:t xml:space="preserve">the Provider </w:t>
      </w:r>
      <w:r w:rsidR="008774D5">
        <w:t xml:space="preserve">and/or the Sub-Contractor </w:t>
      </w:r>
      <w:r w:rsidRPr="001A1836">
        <w:t xml:space="preserve">may within </w:t>
      </w:r>
      <w:r w:rsidR="00DD1E9F" w:rsidRPr="001A1836">
        <w:t>five (</w:t>
      </w:r>
      <w:r w:rsidRPr="001A1836">
        <w:t>5</w:t>
      </w:r>
      <w:r w:rsidR="00DD1E9F" w:rsidRPr="001A1836">
        <w:t>)</w:t>
      </w:r>
      <w:r w:rsidRPr="001A1836">
        <w:t xml:space="preserve"> Working Days give notice to terminate the employment </w:t>
      </w:r>
      <w:r w:rsidR="008774D5">
        <w:t xml:space="preserve">or alleged employment </w:t>
      </w:r>
      <w:r w:rsidRPr="001A1836">
        <w:t>of such person;</w:t>
      </w:r>
      <w:bookmarkEnd w:id="1775"/>
    </w:p>
    <w:p w14:paraId="0F7A07AE" w14:textId="1A654536" w:rsidR="008774D5" w:rsidRDefault="008774D5">
      <w:pPr>
        <w:pStyle w:val="GSRL3heading"/>
      </w:pPr>
      <w:bookmarkStart w:id="1776" w:name="_Toc132268090"/>
      <w:bookmarkStart w:id="1777" w:name="_Toc132268396"/>
      <w:bookmarkStart w:id="1778" w:name="_Toc136198647"/>
      <w:bookmarkStart w:id="1779" w:name="_Toc136198928"/>
      <w:r>
        <w:t>Indemnities</w:t>
      </w:r>
      <w:bookmarkEnd w:id="1776"/>
      <w:bookmarkEnd w:id="1777"/>
      <w:bookmarkEnd w:id="1778"/>
      <w:bookmarkEnd w:id="1779"/>
    </w:p>
    <w:p w14:paraId="59BDF3BC" w14:textId="4A94E14E" w:rsidR="00B074CC" w:rsidRPr="001A1836" w:rsidRDefault="008774D5">
      <w:pPr>
        <w:pStyle w:val="GSRL4numberedclause"/>
      </w:pPr>
      <w:r>
        <w:t>S</w:t>
      </w:r>
      <w:r w:rsidR="00B074CC" w:rsidRPr="001A1836">
        <w:t>ubject to the Provider's</w:t>
      </w:r>
      <w:r>
        <w:t xml:space="preserve"> and/or the relevant Sub-Contractor acting in accordance with the provisions of </w:t>
      </w:r>
      <w:r w:rsidR="00B074CC" w:rsidRPr="001A1836">
        <w:t xml:space="preserve">paragraph </w:t>
      </w:r>
      <w:r w:rsidR="00B074CC" w:rsidRPr="001A1836">
        <w:fldChar w:fldCharType="begin"/>
      </w:r>
      <w:r w:rsidR="00B074CC" w:rsidRPr="001A1836">
        <w:instrText xml:space="preserve"> REF _Ref490491284 \r \h  \* MERGEFORMAT </w:instrText>
      </w:r>
      <w:r w:rsidR="00B074CC" w:rsidRPr="001A1836">
        <w:fldChar w:fldCharType="separate"/>
      </w:r>
      <w:r w:rsidR="00C87D85">
        <w:t>1.2</w:t>
      </w:r>
      <w:r w:rsidR="00B074CC" w:rsidRPr="001A1836">
        <w:fldChar w:fldCharType="end"/>
      </w:r>
      <w:r>
        <w:t xml:space="preserve"> and in accordance with all applicable employment procedures set out in applicable Law and subject also to paragraph 2.4, HSE shall</w:t>
      </w:r>
      <w:r w:rsidR="00B074CC" w:rsidRPr="001A1836">
        <w:t>:</w:t>
      </w:r>
    </w:p>
    <w:p w14:paraId="673C5D18" w14:textId="6D73126D" w:rsidR="00B074CC" w:rsidRPr="001A1836" w:rsidRDefault="00B074CC">
      <w:pPr>
        <w:pStyle w:val="GSRL5numberedclause"/>
      </w:pPr>
      <w:r w:rsidRPr="001A1836">
        <w:t xml:space="preserve">indemnify the Provider and/or the relevant Sub-Contractor against all Employee Liabilities arising out of the termination </w:t>
      </w:r>
      <w:bookmarkEnd w:id="1771"/>
      <w:r w:rsidRPr="001A1836">
        <w:t>of the employment of any of HSE's employees referred to in paragraph </w:t>
      </w:r>
      <w:r w:rsidRPr="001A1836">
        <w:fldChar w:fldCharType="begin"/>
      </w:r>
      <w:r w:rsidRPr="001A1836">
        <w:instrText xml:space="preserve"> REF _Ref339619543 \r \h  \* MERGEFORMAT </w:instrText>
      </w:r>
      <w:r w:rsidRPr="001A1836">
        <w:fldChar w:fldCharType="separate"/>
      </w:r>
      <w:r w:rsidR="00C87D85">
        <w:t>1.1</w:t>
      </w:r>
      <w:r w:rsidRPr="001A1836">
        <w:fldChar w:fldCharType="end"/>
      </w:r>
      <w:r w:rsidR="009D1902">
        <w:t xml:space="preserve"> </w:t>
      </w:r>
      <w:r w:rsidR="008774D5" w:rsidRPr="008774D5">
        <w:t>made pursuant to the provisions of paragraph 1.2</w:t>
      </w:r>
      <w:r w:rsidR="008774D5">
        <w:t>,</w:t>
      </w:r>
      <w:r w:rsidR="008774D5" w:rsidRPr="008774D5">
        <w:t xml:space="preserve"> provided that the </w:t>
      </w:r>
      <w:r w:rsidR="008774D5">
        <w:t>Provider</w:t>
      </w:r>
      <w:r w:rsidR="008774D5" w:rsidRPr="008774D5">
        <w:t xml:space="preserve"> takes, or shall procure that the </w:t>
      </w:r>
      <w:r w:rsidR="008774D5">
        <w:t>relevant</w:t>
      </w:r>
      <w:r w:rsidR="008774D5" w:rsidRPr="008774D5">
        <w:t xml:space="preserve"> Sub-contractor takes, all reasonable steps to minimise any such Employee Liabilities</w:t>
      </w:r>
      <w:r w:rsidRPr="001A1836">
        <w:t xml:space="preserve">; and </w:t>
      </w:r>
    </w:p>
    <w:p w14:paraId="11CC4DD8" w14:textId="686F33CB" w:rsidR="00B074CC" w:rsidRDefault="00B074CC">
      <w:pPr>
        <w:pStyle w:val="GSRL5numberedclause"/>
      </w:pPr>
      <w:r w:rsidRPr="001A1836">
        <w:t xml:space="preserve">procure that the Previous Provider indemnifies the Provider and/or any Sub-Contractor against all Employee Liabilities arising out of termination of the employment of the employees of the Previous Provider referred to in paragraph </w:t>
      </w:r>
      <w:r w:rsidR="008774D5">
        <w:t xml:space="preserve">1.2 </w:t>
      </w:r>
      <w:r w:rsidR="008774D5" w:rsidRPr="008774D5">
        <w:t>made</w:t>
      </w:r>
      <w:r w:rsidR="008774D5">
        <w:t xml:space="preserve"> pursuant to the provisions of p</w:t>
      </w:r>
      <w:r w:rsidR="008774D5" w:rsidRPr="008774D5">
        <w:t>aragraph 1.4</w:t>
      </w:r>
      <w:r w:rsidR="008774D5">
        <w:t>,</w:t>
      </w:r>
      <w:r w:rsidR="008774D5" w:rsidRPr="008774D5">
        <w:t xml:space="preserve"> provided that the </w:t>
      </w:r>
      <w:r w:rsidR="008774D5">
        <w:t>Provider</w:t>
      </w:r>
      <w:r w:rsidR="008774D5" w:rsidRPr="008774D5">
        <w:t xml:space="preserve"> takes, or shall</w:t>
      </w:r>
      <w:r w:rsidR="008774D5">
        <w:t xml:space="preserve"> procure that the relevant Sub-C</w:t>
      </w:r>
      <w:r w:rsidR="008774D5" w:rsidRPr="008774D5">
        <w:t>ontractor takes, all reasonable steps to minimise any such Employee Liabilities</w:t>
      </w:r>
      <w:r w:rsidRPr="001A1836">
        <w:t>.</w:t>
      </w:r>
      <w:bookmarkStart w:id="1780" w:name="_Ref492895907"/>
      <w:bookmarkStart w:id="1781" w:name="_Ref311726659"/>
      <w:bookmarkEnd w:id="1772"/>
    </w:p>
    <w:p w14:paraId="1FF4B340" w14:textId="3F042A67" w:rsidR="008774D5" w:rsidRDefault="008774D5">
      <w:pPr>
        <w:pStyle w:val="GSRL4numberedclause"/>
      </w:pPr>
      <w:r w:rsidRPr="008774D5">
        <w:t xml:space="preserve">If any </w:t>
      </w:r>
      <w:r>
        <w:t>such person as is described in p</w:t>
      </w:r>
      <w:r w:rsidRPr="008774D5">
        <w:t xml:space="preserve">aragraph 1.2 is neither re employed by </w:t>
      </w:r>
      <w:r>
        <w:t>HSE</w:t>
      </w:r>
      <w:r w:rsidRPr="008774D5">
        <w:t xml:space="preserve"> and/or the Former </w:t>
      </w:r>
      <w:r>
        <w:t>Provider</w:t>
      </w:r>
      <w:r w:rsidRPr="008774D5">
        <w:t xml:space="preserve"> as appropriate nor dismissed by the </w:t>
      </w:r>
      <w:r>
        <w:t>Provider and/or any Sub-C</w:t>
      </w:r>
      <w:r w:rsidRPr="008774D5">
        <w:t>ontractor within the 15 Wor</w:t>
      </w:r>
      <w:r>
        <w:t>king Day period referred to in p</w:t>
      </w:r>
      <w:r w:rsidRPr="008774D5">
        <w:t xml:space="preserve">aragraph </w:t>
      </w:r>
      <w:r>
        <w:t xml:space="preserve">1.2.2 </w:t>
      </w:r>
      <w:r w:rsidRPr="008774D5">
        <w:t xml:space="preserve">such person shall be treated as having transferred to the </w:t>
      </w:r>
      <w:r>
        <w:t>Provider and/or the Sub-C</w:t>
      </w:r>
      <w:r w:rsidRPr="008774D5">
        <w:t xml:space="preserve">ontractor (as appropriate) and the </w:t>
      </w:r>
      <w:r>
        <w:t>Provider</w:t>
      </w:r>
      <w:r w:rsidRPr="008774D5">
        <w:t xml:space="preserve"> shall,</w:t>
      </w:r>
      <w:r>
        <w:t xml:space="preserve"> or shall procure that the Sub-C</w:t>
      </w:r>
      <w:r w:rsidRPr="008774D5">
        <w:t xml:space="preserve">ontractor shall, </w:t>
      </w:r>
      <w:r w:rsidR="006A75B3">
        <w:lastRenderedPageBreak/>
        <w:t xml:space="preserve">(a) </w:t>
      </w:r>
      <w:r w:rsidRPr="008774D5">
        <w:t>comply with such obligations as may be imposed upon it under Law</w:t>
      </w:r>
      <w:r w:rsidR="006A75B3">
        <w:t xml:space="preserve"> and (b) comply with the provisions of Part D (Pensions) and its Annexes</w:t>
      </w:r>
      <w:r w:rsidRPr="008774D5">
        <w:t>.</w:t>
      </w:r>
    </w:p>
    <w:p w14:paraId="74A16EAA" w14:textId="747AAA96" w:rsidR="008774D5" w:rsidRPr="008774D5" w:rsidRDefault="008774D5">
      <w:pPr>
        <w:pStyle w:val="GSRL4numberedclause"/>
      </w:pPr>
      <w:r w:rsidRPr="008774D5">
        <w:t xml:space="preserve">Where any person remains employed by the </w:t>
      </w:r>
      <w:r>
        <w:t>Provider and/or any Sub-Contractor pursuant to p</w:t>
      </w:r>
      <w:r w:rsidRPr="008774D5">
        <w:t xml:space="preserve">aragraph 2.2, all Employee Liabilities in relation to such employee shall remain with the </w:t>
      </w:r>
      <w:r>
        <w:t>Provider and/or the Sub-C</w:t>
      </w:r>
      <w:r w:rsidRPr="008774D5">
        <w:t xml:space="preserve">ontractor and the </w:t>
      </w:r>
      <w:r>
        <w:t>Provider</w:t>
      </w:r>
      <w:r w:rsidRPr="008774D5">
        <w:t xml:space="preserve"> shall indemnify </w:t>
      </w:r>
      <w:r>
        <w:t>HSE</w:t>
      </w:r>
      <w:r w:rsidRPr="008774D5">
        <w:t xml:space="preserve"> and any Former </w:t>
      </w:r>
      <w:r>
        <w:t>Provider</w:t>
      </w:r>
      <w:r w:rsidRPr="008774D5">
        <w:t xml:space="preserve">, </w:t>
      </w:r>
      <w:r>
        <w:t>and shall procure that the Sub-C</w:t>
      </w:r>
      <w:r w:rsidRPr="008774D5">
        <w:t xml:space="preserve">ontractor shall indemnify </w:t>
      </w:r>
      <w:r>
        <w:t>HSE</w:t>
      </w:r>
      <w:r w:rsidRPr="008774D5">
        <w:t xml:space="preserve"> and any Former </w:t>
      </w:r>
      <w:r>
        <w:t>Provider</w:t>
      </w:r>
      <w:r w:rsidRPr="008774D5">
        <w:t xml:space="preserve">, against any Employee Liabilities that either of them may incur in respect of any such employees of the </w:t>
      </w:r>
      <w:r>
        <w:t>Provider and/or employees of the Sub-C</w:t>
      </w:r>
      <w:r w:rsidRPr="008774D5">
        <w:t>ontractor.</w:t>
      </w:r>
    </w:p>
    <w:p w14:paraId="5357C95D" w14:textId="0D22DDBF" w:rsidR="009D1902" w:rsidRDefault="00B074CC">
      <w:pPr>
        <w:pStyle w:val="GSRL4numberedclause"/>
      </w:pPr>
      <w:r w:rsidRPr="001A1836">
        <w:t>The indemnities in paragraph </w:t>
      </w:r>
      <w:r w:rsidR="009D1902">
        <w:t>2.1</w:t>
      </w:r>
      <w:r w:rsidRPr="001A1836">
        <w:t xml:space="preserve"> shall not apply to</w:t>
      </w:r>
      <w:r w:rsidR="009D1902">
        <w:t>:</w:t>
      </w:r>
      <w:r w:rsidRPr="001A1836">
        <w:t xml:space="preserve"> </w:t>
      </w:r>
    </w:p>
    <w:p w14:paraId="65D30F10" w14:textId="0DA1AA8D" w:rsidR="00B074CC" w:rsidRPr="001A1836" w:rsidRDefault="00B074CC">
      <w:pPr>
        <w:pStyle w:val="GSRL5numberedclause"/>
      </w:pPr>
      <w:r w:rsidRPr="001A1836">
        <w:t>any claim</w:t>
      </w:r>
      <w:bookmarkEnd w:id="1780"/>
      <w:r w:rsidR="009D1902" w:rsidRPr="009D1902">
        <w:t xml:space="preserve"> </w:t>
      </w:r>
      <w:r w:rsidR="009D1902" w:rsidRPr="001A1836">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Provider and/or Sub-Contractor; or</w:t>
      </w:r>
    </w:p>
    <w:p w14:paraId="03E67657" w14:textId="53116A0D" w:rsidR="009D1902" w:rsidRDefault="00B074CC">
      <w:pPr>
        <w:pStyle w:val="GSRL5numberedclause"/>
      </w:pPr>
      <w:r w:rsidRPr="001A1836">
        <w:t>any claim that the termination of employment was unfair because the Provider and/or any Sub-Contractor neglected to follow a fair dismissal procedure</w:t>
      </w:r>
      <w:bookmarkStart w:id="1782" w:name="_Ref492895913"/>
      <w:r w:rsidR="009D1902">
        <w:t>; or</w:t>
      </w:r>
    </w:p>
    <w:p w14:paraId="46B4BD7B" w14:textId="1DD012C8" w:rsidR="00B074CC" w:rsidRPr="001A1836" w:rsidRDefault="00B074CC">
      <w:pPr>
        <w:pStyle w:val="GSRL5numberedclause"/>
      </w:pPr>
      <w:r w:rsidRPr="001A1836">
        <w:t xml:space="preserve">any termination of </w:t>
      </w:r>
      <w:r w:rsidR="009D1902">
        <w:t xml:space="preserve">the </w:t>
      </w:r>
      <w:r w:rsidRPr="001A1836">
        <w:t xml:space="preserve">employment </w:t>
      </w:r>
      <w:r w:rsidR="009D1902">
        <w:t xml:space="preserve">of any person </w:t>
      </w:r>
      <w:r w:rsidR="009D1902" w:rsidRPr="001A1836">
        <w:t>referred to in paragraph </w:t>
      </w:r>
      <w:r w:rsidR="009D1902" w:rsidRPr="001A1836">
        <w:fldChar w:fldCharType="begin"/>
      </w:r>
      <w:r w:rsidR="009D1902" w:rsidRPr="001A1836">
        <w:instrText xml:space="preserve"> REF _Ref339619543 \r \h  \* MERGEFORMAT </w:instrText>
      </w:r>
      <w:r w:rsidR="009D1902" w:rsidRPr="001A1836">
        <w:fldChar w:fldCharType="separate"/>
      </w:r>
      <w:r w:rsidR="00C87D85">
        <w:t>1.1</w:t>
      </w:r>
      <w:r w:rsidR="009D1902" w:rsidRPr="001A1836">
        <w:fldChar w:fldCharType="end"/>
      </w:r>
      <w:r w:rsidR="009D1902">
        <w:t xml:space="preserve"> that is </w:t>
      </w:r>
      <w:r w:rsidR="009D1902" w:rsidRPr="008774D5">
        <w:t>made pursuant to the provisions of paragraph 1.2</w:t>
      </w:r>
      <w:r w:rsidR="009D1902">
        <w:t xml:space="preserve"> more</w:t>
      </w:r>
      <w:r w:rsidRPr="001A1836">
        <w:t xml:space="preserve"> than 3 Months </w:t>
      </w:r>
      <w:r w:rsidR="009D1902">
        <w:t>after</w:t>
      </w:r>
      <w:r w:rsidR="009D1902" w:rsidRPr="001A1836">
        <w:t xml:space="preserve"> </w:t>
      </w:r>
      <w:r w:rsidRPr="001A1836">
        <w:t>the Effective Date.</w:t>
      </w:r>
      <w:bookmarkStart w:id="1783" w:name="_Ref492895922"/>
      <w:bookmarkEnd w:id="1782"/>
    </w:p>
    <w:p w14:paraId="0E3B2EE7" w14:textId="73170DD1" w:rsidR="00B074CC" w:rsidRPr="001A1836" w:rsidRDefault="00B074CC">
      <w:pPr>
        <w:pStyle w:val="GSRL3heading"/>
      </w:pPr>
      <w:bookmarkStart w:id="1784" w:name="_Toc508794576"/>
      <w:bookmarkStart w:id="1785" w:name="_Toc521327072"/>
      <w:bookmarkStart w:id="1786" w:name="_Toc521333305"/>
      <w:bookmarkStart w:id="1787" w:name="_Toc521484036"/>
      <w:bookmarkStart w:id="1788" w:name="_Toc521484799"/>
      <w:bookmarkStart w:id="1789" w:name="_Toc521485130"/>
      <w:bookmarkStart w:id="1790" w:name="_Toc521496866"/>
      <w:bookmarkStart w:id="1791" w:name="_Toc521498308"/>
      <w:bookmarkStart w:id="1792" w:name="_Toc529346025"/>
      <w:bookmarkStart w:id="1793" w:name="_Toc129038234"/>
      <w:bookmarkStart w:id="1794" w:name="_Toc129038520"/>
      <w:bookmarkStart w:id="1795" w:name="_Toc132268092"/>
      <w:bookmarkStart w:id="1796" w:name="_Toc132268398"/>
      <w:bookmarkStart w:id="1797" w:name="_Toc136198648"/>
      <w:bookmarkStart w:id="1798" w:name="_Toc136198929"/>
      <w:bookmarkEnd w:id="1781"/>
      <w:bookmarkEnd w:id="1783"/>
      <w:r w:rsidRPr="001A1836">
        <w:t>Procurement obligations</w:t>
      </w:r>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p>
    <w:p w14:paraId="0F830260" w14:textId="056E0F1B" w:rsidR="00B074CC" w:rsidRPr="001A1836" w:rsidRDefault="00B074CC">
      <w:pPr>
        <w:pStyle w:val="GSRL4numberedclause"/>
      </w:pPr>
      <w:r w:rsidRPr="001A1836">
        <w:t xml:space="preserve">Where in this Part C HSE accepts an obligation to procure that a </w:t>
      </w:r>
      <w:r w:rsidR="009D1902">
        <w:t>Former</w:t>
      </w:r>
      <w:r w:rsidR="009D1902" w:rsidRPr="001A1836">
        <w:t xml:space="preserve"> </w:t>
      </w:r>
      <w:r w:rsidRPr="001A1836">
        <w:t xml:space="preserve">Provider does or does not do something, such obligation shall be limited so that it extends only to the extent that HSE's contract with the </w:t>
      </w:r>
      <w:r w:rsidR="009D1902">
        <w:t>Former</w:t>
      </w:r>
      <w:r w:rsidR="009D1902" w:rsidRPr="001A1836">
        <w:t xml:space="preserve"> </w:t>
      </w:r>
      <w:r w:rsidRPr="001A1836">
        <w:t xml:space="preserve">Provider contains a contractual right in that regard which HSE may enforce, or otherwise so that it requires only that HSE must use reasonable endeavours to procure that the </w:t>
      </w:r>
      <w:r w:rsidR="009D1902">
        <w:t>Former</w:t>
      </w:r>
      <w:r w:rsidR="009D1902" w:rsidRPr="001A1836">
        <w:t xml:space="preserve"> </w:t>
      </w:r>
      <w:r w:rsidRPr="001A1836">
        <w:t>Provider does or does not act accordingly.</w:t>
      </w:r>
    </w:p>
    <w:p w14:paraId="2FFEE808" w14:textId="52041A70" w:rsidR="00B074CC" w:rsidRPr="001A1836" w:rsidRDefault="00B074CC" w:rsidP="00792A0C">
      <w:pPr>
        <w:pStyle w:val="GSRL2Sectionheading"/>
      </w:pPr>
      <w:r w:rsidRPr="001A1836">
        <w:br w:type="page"/>
      </w:r>
      <w:bookmarkStart w:id="1799" w:name="_Toc508794577"/>
      <w:bookmarkStart w:id="1800" w:name="_Toc521327073"/>
      <w:bookmarkStart w:id="1801" w:name="_Toc521333306"/>
      <w:bookmarkStart w:id="1802" w:name="_Toc521484037"/>
      <w:bookmarkStart w:id="1803" w:name="_Toc521484800"/>
      <w:bookmarkStart w:id="1804" w:name="_Toc521485131"/>
      <w:bookmarkStart w:id="1805" w:name="_Toc521496867"/>
      <w:bookmarkStart w:id="1806" w:name="_Toc521498309"/>
      <w:bookmarkStart w:id="1807" w:name="_Toc529346026"/>
      <w:bookmarkStart w:id="1808" w:name="_Toc129038235"/>
      <w:bookmarkStart w:id="1809" w:name="_Toc129038521"/>
      <w:bookmarkStart w:id="1810" w:name="_Toc132268093"/>
      <w:bookmarkStart w:id="1811" w:name="_Toc132268399"/>
      <w:bookmarkStart w:id="1812" w:name="_Toc136198649"/>
      <w:bookmarkStart w:id="1813" w:name="_Toc136198930"/>
      <w:r w:rsidRPr="001A1836">
        <w:lastRenderedPageBreak/>
        <w:t>P</w:t>
      </w:r>
      <w:r w:rsidR="004C2FF4" w:rsidRPr="001A1836">
        <w:t>art</w:t>
      </w:r>
      <w:r w:rsidRPr="001A1836">
        <w:t xml:space="preserve"> D: Pensions</w:t>
      </w:r>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p>
    <w:p w14:paraId="61183580" w14:textId="77777777" w:rsidR="00B074CC" w:rsidRPr="001A1836" w:rsidRDefault="00B074CC" w:rsidP="004E2262">
      <w:pPr>
        <w:pStyle w:val="GSRL3heading"/>
        <w:numPr>
          <w:ilvl w:val="0"/>
          <w:numId w:val="67"/>
        </w:numPr>
      </w:pPr>
      <w:bookmarkStart w:id="1814" w:name="_Toc508794578"/>
      <w:bookmarkStart w:id="1815" w:name="_Toc521327074"/>
      <w:bookmarkStart w:id="1816" w:name="_Toc521333307"/>
      <w:bookmarkStart w:id="1817" w:name="_Toc521484038"/>
      <w:bookmarkStart w:id="1818" w:name="_Toc521484801"/>
      <w:bookmarkStart w:id="1819" w:name="_Toc521485132"/>
      <w:bookmarkStart w:id="1820" w:name="_Toc521496868"/>
      <w:bookmarkStart w:id="1821" w:name="_Toc521498310"/>
      <w:bookmarkStart w:id="1822" w:name="_Toc529346027"/>
      <w:bookmarkStart w:id="1823" w:name="_Toc129038236"/>
      <w:bookmarkStart w:id="1824" w:name="_Toc129038522"/>
      <w:bookmarkStart w:id="1825" w:name="_Toc132268094"/>
      <w:bookmarkStart w:id="1826" w:name="_Toc132268400"/>
      <w:bookmarkStart w:id="1827" w:name="_Toc136198650"/>
      <w:bookmarkStart w:id="1828" w:name="_Toc136198931"/>
      <w:r w:rsidRPr="001A1836">
        <w:t>Definitions</w:t>
      </w:r>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14:paraId="78C94AFC" w14:textId="0ED5A9F7" w:rsidR="00B074CC" w:rsidRPr="001A1836" w:rsidRDefault="00B074CC" w:rsidP="00626054">
      <w:pPr>
        <w:rPr>
          <w:bCs/>
          <w:iCs/>
          <w:lang w:val="en-US"/>
        </w:rPr>
      </w:pPr>
      <w:r w:rsidRPr="001A1836">
        <w:rPr>
          <w:bCs/>
          <w:iCs/>
          <w:lang w:val="en-US"/>
        </w:rPr>
        <w:t>In this Part D</w:t>
      </w:r>
      <w:r w:rsidR="00D173C6">
        <w:rPr>
          <w:bCs/>
          <w:iCs/>
          <w:lang w:val="en-US"/>
        </w:rPr>
        <w:t xml:space="preserve"> and Part E</w:t>
      </w:r>
      <w:r w:rsidRPr="001A1836">
        <w:rPr>
          <w:bCs/>
          <w:iCs/>
          <w:lang w:val="en-US"/>
        </w:rPr>
        <w:t xml:space="preserve">, the following </w:t>
      </w:r>
      <w:r w:rsidRPr="001A1836">
        <w:rPr>
          <w:lang w:val="en-US"/>
        </w:rPr>
        <w:t>words have the following meanings and they shall supplement Schedule 0 (Glossary)</w:t>
      </w:r>
      <w:r w:rsidRPr="001A1836">
        <w:rPr>
          <w:bCs/>
          <w:iCs/>
          <w:lang w:val="en-US"/>
        </w:rPr>
        <w:t>:</w:t>
      </w:r>
    </w:p>
    <w:tbl>
      <w:tblPr>
        <w:tblW w:w="0" w:type="auto"/>
        <w:tblInd w:w="738" w:type="dxa"/>
        <w:tblLook w:val="04A0" w:firstRow="1" w:lastRow="0" w:firstColumn="1" w:lastColumn="0" w:noHBand="0" w:noVBand="1"/>
      </w:tblPr>
      <w:tblGrid>
        <w:gridCol w:w="2317"/>
        <w:gridCol w:w="6018"/>
      </w:tblGrid>
      <w:tr w:rsidR="00B074CC" w:rsidRPr="001A1836" w14:paraId="42AB86C3" w14:textId="77777777" w:rsidTr="00626054">
        <w:tc>
          <w:tcPr>
            <w:tcW w:w="2347" w:type="dxa"/>
            <w:shd w:val="clear" w:color="auto" w:fill="auto"/>
          </w:tcPr>
          <w:p w14:paraId="5D4E9D6E" w14:textId="77777777" w:rsidR="00B074CC" w:rsidRPr="001A1836" w:rsidRDefault="00B074CC" w:rsidP="00626054">
            <w:pPr>
              <w:overflowPunct w:val="0"/>
              <w:autoSpaceDE w:val="0"/>
              <w:autoSpaceDN w:val="0"/>
              <w:adjustRightInd w:val="0"/>
              <w:spacing w:after="120"/>
              <w:textAlignment w:val="baseline"/>
              <w:rPr>
                <w:rFonts w:cs="Arial"/>
              </w:rPr>
            </w:pPr>
            <w:r w:rsidRPr="001A1836">
              <w:rPr>
                <w:rFonts w:cs="Arial"/>
              </w:rPr>
              <w:t>"Actuary"</w:t>
            </w:r>
          </w:p>
        </w:tc>
        <w:tc>
          <w:tcPr>
            <w:tcW w:w="6157" w:type="dxa"/>
            <w:shd w:val="clear" w:color="auto" w:fill="auto"/>
          </w:tcPr>
          <w:p w14:paraId="2BFA76C7" w14:textId="77777777" w:rsidR="00B074CC" w:rsidRPr="001A1836" w:rsidRDefault="00B074CC" w:rsidP="00626054">
            <w:pPr>
              <w:tabs>
                <w:tab w:val="left" w:pos="235"/>
              </w:tabs>
              <w:spacing w:after="240"/>
              <w:rPr>
                <w:rFonts w:eastAsia="STZhongsong" w:cs="Arial"/>
                <w:bCs/>
                <w:color w:val="000000"/>
                <w:lang w:eastAsia="zh-CN"/>
              </w:rPr>
            </w:pPr>
            <w:r w:rsidRPr="001A1836">
              <w:rPr>
                <w:rFonts w:eastAsia="STZhongsong" w:cs="Arial"/>
                <w:bCs/>
                <w:color w:val="000000"/>
                <w:lang w:eastAsia="zh-CN"/>
              </w:rPr>
              <w:t>a Fellow of the Institute and Faculty of Actuaries;</w:t>
            </w:r>
          </w:p>
        </w:tc>
      </w:tr>
      <w:tr w:rsidR="00B074CC" w:rsidRPr="001A1836" w14:paraId="5ABE0BB1" w14:textId="77777777" w:rsidTr="00626054">
        <w:tc>
          <w:tcPr>
            <w:tcW w:w="2347" w:type="dxa"/>
            <w:shd w:val="clear" w:color="auto" w:fill="auto"/>
          </w:tcPr>
          <w:p w14:paraId="495DB1D8" w14:textId="77777777" w:rsidR="00B074CC" w:rsidRPr="001A1836" w:rsidRDefault="00B074CC" w:rsidP="00626054">
            <w:pPr>
              <w:widowControl w:val="0"/>
              <w:rPr>
                <w:rFonts w:cs="Arial"/>
              </w:rPr>
            </w:pPr>
            <w:r w:rsidRPr="001A1836">
              <w:rPr>
                <w:rFonts w:cs="Arial"/>
              </w:rPr>
              <w:t>"Broadly Comparable"</w:t>
            </w:r>
          </w:p>
        </w:tc>
        <w:tc>
          <w:tcPr>
            <w:tcW w:w="6157" w:type="dxa"/>
            <w:shd w:val="clear" w:color="auto" w:fill="auto"/>
          </w:tcPr>
          <w:p w14:paraId="2A7C7E7E" w14:textId="77777777" w:rsidR="00B074CC" w:rsidRPr="001A1836" w:rsidRDefault="00B074CC">
            <w:pPr>
              <w:widowControl w:val="0"/>
              <w:numPr>
                <w:ilvl w:val="0"/>
                <w:numId w:val="39"/>
              </w:numPr>
              <w:tabs>
                <w:tab w:val="clear" w:pos="1587"/>
                <w:tab w:val="left" w:pos="695"/>
              </w:tabs>
              <w:spacing w:before="0" w:after="0"/>
              <w:ind w:left="691" w:hanging="648"/>
              <w:jc w:val="both"/>
              <w:rPr>
                <w:rFonts w:cs="Arial"/>
              </w:rPr>
            </w:pPr>
            <w:r w:rsidRPr="001A1836">
              <w:rPr>
                <w:rFonts w:cs="Arial"/>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p>
          <w:p w14:paraId="050D6525" w14:textId="77777777" w:rsidR="00B074CC" w:rsidRPr="001A1836" w:rsidRDefault="00B074CC">
            <w:pPr>
              <w:widowControl w:val="0"/>
              <w:numPr>
                <w:ilvl w:val="0"/>
                <w:numId w:val="39"/>
              </w:numPr>
              <w:tabs>
                <w:tab w:val="clear" w:pos="1587"/>
                <w:tab w:val="left" w:pos="695"/>
              </w:tabs>
              <w:spacing w:before="240" w:after="240"/>
              <w:ind w:left="695" w:hanging="646"/>
              <w:jc w:val="both"/>
              <w:rPr>
                <w:rFonts w:cs="Arial"/>
              </w:rPr>
            </w:pPr>
            <w:r w:rsidRPr="001A1836">
              <w:rPr>
                <w:rFonts w:cs="Arial"/>
              </w:rPr>
              <w:t>in respect of benefits provided for or in respect of a member under a pension scheme, benefits that are consistent with that pension scheme’s certificate of broad comparability issued by the Government Actuary’s Department,</w:t>
            </w:r>
          </w:p>
          <w:p w14:paraId="6DEDE6D9" w14:textId="77777777" w:rsidR="00B074CC" w:rsidRPr="001A1836" w:rsidRDefault="00B074CC" w:rsidP="00626054">
            <w:pPr>
              <w:widowControl w:val="0"/>
              <w:rPr>
                <w:rFonts w:cs="Arial"/>
              </w:rPr>
            </w:pPr>
            <w:r w:rsidRPr="001A1836">
              <w:rPr>
                <w:rFonts w:cs="Arial"/>
              </w:rPr>
              <w:t>and "Broad Comparability" shall be construed accordingly;</w:t>
            </w:r>
          </w:p>
        </w:tc>
      </w:tr>
      <w:tr w:rsidR="00B074CC" w:rsidRPr="001A1836" w14:paraId="623D58CB" w14:textId="77777777" w:rsidTr="00626054">
        <w:tc>
          <w:tcPr>
            <w:tcW w:w="2347" w:type="dxa"/>
            <w:shd w:val="clear" w:color="auto" w:fill="auto"/>
          </w:tcPr>
          <w:p w14:paraId="47D35EB1" w14:textId="77777777" w:rsidR="00B074CC" w:rsidRPr="001A1836" w:rsidRDefault="00B074CC" w:rsidP="00626054">
            <w:pPr>
              <w:widowControl w:val="0"/>
              <w:rPr>
                <w:rFonts w:cs="Arial"/>
              </w:rPr>
            </w:pPr>
            <w:r w:rsidRPr="001A1836">
              <w:rPr>
                <w:rFonts w:cs="Arial"/>
              </w:rPr>
              <w:t>"CSPS"</w:t>
            </w:r>
          </w:p>
        </w:tc>
        <w:tc>
          <w:tcPr>
            <w:tcW w:w="6157" w:type="dxa"/>
            <w:shd w:val="clear" w:color="auto" w:fill="auto"/>
          </w:tcPr>
          <w:p w14:paraId="12E47A87" w14:textId="77777777" w:rsidR="00B074CC" w:rsidRPr="001A1836" w:rsidRDefault="00B074CC" w:rsidP="00626054">
            <w:pPr>
              <w:widowControl w:val="0"/>
              <w:rPr>
                <w:rFonts w:cs="Arial"/>
              </w:rPr>
            </w:pPr>
            <w:r w:rsidRPr="001A1836">
              <w:rPr>
                <w:rFonts w:cs="Arial"/>
              </w:rPr>
              <w:t xml:space="preserve">the schemes as defined in Annex 1 to this Part D; </w:t>
            </w:r>
          </w:p>
        </w:tc>
      </w:tr>
      <w:tr w:rsidR="00B074CC" w:rsidRPr="001A1836" w14:paraId="4F969747" w14:textId="77777777" w:rsidTr="00626054">
        <w:tc>
          <w:tcPr>
            <w:tcW w:w="2347" w:type="dxa"/>
            <w:shd w:val="clear" w:color="auto" w:fill="auto"/>
          </w:tcPr>
          <w:p w14:paraId="66845616" w14:textId="77777777" w:rsidR="00B074CC" w:rsidRPr="001A1836" w:rsidRDefault="00B074CC" w:rsidP="00626054">
            <w:pPr>
              <w:widowControl w:val="0"/>
              <w:rPr>
                <w:rFonts w:cs="Arial"/>
              </w:rPr>
            </w:pPr>
            <w:r w:rsidRPr="001A1836">
              <w:rPr>
                <w:rFonts w:cs="Arial"/>
              </w:rPr>
              <w:t>"Fair Deal Employees"</w:t>
            </w:r>
          </w:p>
        </w:tc>
        <w:tc>
          <w:tcPr>
            <w:tcW w:w="6157" w:type="dxa"/>
            <w:shd w:val="clear" w:color="auto" w:fill="auto"/>
          </w:tcPr>
          <w:p w14:paraId="7DE76ADF" w14:textId="77777777" w:rsidR="00B074CC" w:rsidRPr="001A1836" w:rsidRDefault="00B074CC" w:rsidP="00626054">
            <w:pPr>
              <w:widowControl w:val="0"/>
              <w:rPr>
                <w:rFonts w:cs="Arial"/>
              </w:rPr>
            </w:pPr>
            <w:r w:rsidRPr="001A1836">
              <w:rPr>
                <w:rFonts w:cs="Arial"/>
              </w:rPr>
              <w:t>those:</w:t>
            </w:r>
          </w:p>
          <w:p w14:paraId="31FBE7E5" w14:textId="77777777" w:rsidR="00B074CC" w:rsidRPr="001A1836" w:rsidRDefault="00B074CC" w:rsidP="00626054">
            <w:pPr>
              <w:widowControl w:val="0"/>
              <w:rPr>
                <w:rFonts w:cs="Arial"/>
              </w:rPr>
            </w:pPr>
            <w:r w:rsidRPr="001A1836">
              <w:rPr>
                <w:rFonts w:cs="Arial"/>
              </w:rPr>
              <w:t xml:space="preserve">(i) Transferring HSE Employees who at the date of a Relevant Transfer are or become entitled to New Fair Deal protection in respect of any of the Statutory Schemes as notified by HSE; and/or </w:t>
            </w:r>
          </w:p>
          <w:p w14:paraId="27FC11D6" w14:textId="77777777" w:rsidR="00B074CC" w:rsidRPr="001A1836" w:rsidRDefault="00B074CC" w:rsidP="00626054">
            <w:pPr>
              <w:widowControl w:val="0"/>
              <w:rPr>
                <w:rFonts w:cs="Arial"/>
              </w:rPr>
            </w:pPr>
            <w:r w:rsidRPr="001A1836">
              <w:rPr>
                <w:rFonts w:cs="Arial"/>
              </w:rPr>
              <w:t>(ii) Transferring Previous Provider Employees to include any employee who transfers and is offered employment under Part C above who at the date of a Relevant Transfer are or become entitled to New Fair Deal protection in respect of any of the Statutory Schemes as notified by HSE; and/or</w:t>
            </w:r>
          </w:p>
          <w:p w14:paraId="0C4509D3" w14:textId="437D61AE" w:rsidR="00B074CC" w:rsidRPr="001A1836" w:rsidRDefault="00B074CC" w:rsidP="00626054">
            <w:pPr>
              <w:widowControl w:val="0"/>
              <w:rPr>
                <w:rFonts w:cs="Arial"/>
              </w:rPr>
            </w:pPr>
            <w:r w:rsidRPr="001A1836">
              <w:rPr>
                <w:rFonts w:cs="Arial"/>
              </w:rPr>
              <w:t>(iii) where the Previous Provider becomes the Provider those employees</w:t>
            </w:r>
            <w:r w:rsidRPr="001A1836">
              <w:rPr>
                <w:rFonts w:cs="Arial"/>
                <w:color w:val="1F497D"/>
              </w:rPr>
              <w:t xml:space="preserve"> </w:t>
            </w:r>
            <w:r w:rsidRPr="001A1836">
              <w:rPr>
                <w:rFonts w:cs="Arial"/>
              </w:rPr>
              <w:t xml:space="preserve">who at the </w:t>
            </w:r>
            <w:r w:rsidR="002C0DCB">
              <w:rPr>
                <w:rFonts w:cs="Arial"/>
              </w:rPr>
              <w:t>Services Start</w:t>
            </w:r>
            <w:r w:rsidRPr="001A1836">
              <w:rPr>
                <w:rFonts w:cs="Arial"/>
              </w:rPr>
              <w:t xml:space="preserve"> Date are or become entitled to New Fair Deal protection in respect of any of the Statutory Schemes as notified by HSE; </w:t>
            </w:r>
          </w:p>
        </w:tc>
      </w:tr>
      <w:tr w:rsidR="00B074CC" w:rsidRPr="001A1836" w14:paraId="2CFB97A7" w14:textId="77777777" w:rsidTr="00626054">
        <w:tc>
          <w:tcPr>
            <w:tcW w:w="2347" w:type="dxa"/>
            <w:shd w:val="clear" w:color="auto" w:fill="auto"/>
          </w:tcPr>
          <w:p w14:paraId="5F365E66" w14:textId="77777777" w:rsidR="00B074CC" w:rsidRPr="001A1836" w:rsidRDefault="00B074CC" w:rsidP="00626054">
            <w:pPr>
              <w:widowControl w:val="0"/>
              <w:rPr>
                <w:rFonts w:cs="Arial"/>
              </w:rPr>
            </w:pPr>
            <w:r w:rsidRPr="001A1836">
              <w:rPr>
                <w:rFonts w:cs="Arial"/>
              </w:rPr>
              <w:t>"Fair Deal Schemes"</w:t>
            </w:r>
          </w:p>
        </w:tc>
        <w:tc>
          <w:tcPr>
            <w:tcW w:w="6157" w:type="dxa"/>
            <w:shd w:val="clear" w:color="auto" w:fill="auto"/>
          </w:tcPr>
          <w:p w14:paraId="43D06691" w14:textId="77777777" w:rsidR="00B074CC" w:rsidRPr="001A1836" w:rsidRDefault="00B074CC" w:rsidP="00626054">
            <w:pPr>
              <w:widowControl w:val="0"/>
              <w:rPr>
                <w:rFonts w:cs="Arial"/>
              </w:rPr>
            </w:pPr>
            <w:r w:rsidRPr="001A1836">
              <w:rPr>
                <w:rFonts w:cs="Arial"/>
              </w:rPr>
              <w:t>means the relevant Statutory Scheme or a Broadly Comparable pension scheme;</w:t>
            </w:r>
          </w:p>
        </w:tc>
      </w:tr>
      <w:tr w:rsidR="00B074CC" w:rsidRPr="001A1836" w14:paraId="12A11AC8" w14:textId="77777777" w:rsidTr="00626054">
        <w:tc>
          <w:tcPr>
            <w:tcW w:w="2347" w:type="dxa"/>
            <w:shd w:val="clear" w:color="auto" w:fill="auto"/>
          </w:tcPr>
          <w:p w14:paraId="4AF5A660" w14:textId="77777777" w:rsidR="00B074CC" w:rsidRPr="001A1836" w:rsidRDefault="00B074CC" w:rsidP="00626054">
            <w:pPr>
              <w:widowControl w:val="0"/>
              <w:rPr>
                <w:rFonts w:cs="Arial"/>
              </w:rPr>
            </w:pPr>
            <w:r w:rsidRPr="001A1836">
              <w:rPr>
                <w:rFonts w:cs="Arial"/>
              </w:rPr>
              <w:t>"Fund Actuary"</w:t>
            </w:r>
          </w:p>
        </w:tc>
        <w:tc>
          <w:tcPr>
            <w:tcW w:w="6157" w:type="dxa"/>
            <w:shd w:val="clear" w:color="auto" w:fill="auto"/>
          </w:tcPr>
          <w:p w14:paraId="4CFCA05E" w14:textId="77777777" w:rsidR="00B074CC" w:rsidRPr="001A1836" w:rsidRDefault="00B074CC" w:rsidP="00626054">
            <w:pPr>
              <w:widowControl w:val="0"/>
              <w:rPr>
                <w:rFonts w:cs="Arial"/>
              </w:rPr>
            </w:pPr>
            <w:r w:rsidRPr="001A1836">
              <w:rPr>
                <w:rFonts w:cs="Arial"/>
              </w:rPr>
              <w:t>means Fund Actuary as defined in Annex 3 to this Part D;</w:t>
            </w:r>
          </w:p>
        </w:tc>
      </w:tr>
      <w:tr w:rsidR="00B074CC" w:rsidRPr="001A1836" w14:paraId="6C4450BD" w14:textId="77777777" w:rsidTr="00626054">
        <w:tc>
          <w:tcPr>
            <w:tcW w:w="2347" w:type="dxa"/>
            <w:shd w:val="clear" w:color="auto" w:fill="auto"/>
          </w:tcPr>
          <w:p w14:paraId="498D1BF5" w14:textId="77777777" w:rsidR="00B074CC" w:rsidRPr="001A1836" w:rsidRDefault="00B074CC" w:rsidP="00626054">
            <w:pPr>
              <w:widowControl w:val="0"/>
              <w:rPr>
                <w:rFonts w:cs="Arial"/>
              </w:rPr>
            </w:pPr>
            <w:r w:rsidRPr="001A1836">
              <w:rPr>
                <w:rFonts w:cs="Arial"/>
              </w:rPr>
              <w:t>"LGPS"</w:t>
            </w:r>
          </w:p>
        </w:tc>
        <w:tc>
          <w:tcPr>
            <w:tcW w:w="6157" w:type="dxa"/>
            <w:shd w:val="clear" w:color="auto" w:fill="auto"/>
          </w:tcPr>
          <w:p w14:paraId="457673C6" w14:textId="77777777" w:rsidR="00B074CC" w:rsidRPr="001A1836" w:rsidRDefault="00B074CC" w:rsidP="00626054">
            <w:pPr>
              <w:widowControl w:val="0"/>
              <w:rPr>
                <w:rFonts w:cs="Arial"/>
              </w:rPr>
            </w:pPr>
            <w:r w:rsidRPr="001A1836">
              <w:rPr>
                <w:rFonts w:cs="Arial"/>
              </w:rPr>
              <w:t>the schemes as defined in Annex 3 to this Part D;</w:t>
            </w:r>
          </w:p>
        </w:tc>
      </w:tr>
      <w:tr w:rsidR="00B074CC" w:rsidRPr="001A1836" w14:paraId="00AB1E12" w14:textId="77777777" w:rsidTr="00626054">
        <w:tc>
          <w:tcPr>
            <w:tcW w:w="2347" w:type="dxa"/>
            <w:shd w:val="clear" w:color="auto" w:fill="auto"/>
          </w:tcPr>
          <w:p w14:paraId="13DA4C63" w14:textId="77777777" w:rsidR="00B074CC" w:rsidRPr="001A1836" w:rsidRDefault="00B074CC" w:rsidP="00626054">
            <w:pPr>
              <w:keepNext/>
              <w:widowControl w:val="0"/>
              <w:rPr>
                <w:rFonts w:cs="Arial"/>
              </w:rPr>
            </w:pPr>
            <w:r w:rsidRPr="001A1836">
              <w:rPr>
                <w:rFonts w:cs="Arial"/>
              </w:rPr>
              <w:t>"NHSPS"</w:t>
            </w:r>
          </w:p>
        </w:tc>
        <w:tc>
          <w:tcPr>
            <w:tcW w:w="6157" w:type="dxa"/>
            <w:shd w:val="clear" w:color="auto" w:fill="auto"/>
          </w:tcPr>
          <w:p w14:paraId="38B130D5" w14:textId="3AFD513F" w:rsidR="00B074CC" w:rsidRPr="001A1836" w:rsidRDefault="00B074CC" w:rsidP="00626054">
            <w:pPr>
              <w:keepNext/>
              <w:widowControl w:val="0"/>
              <w:rPr>
                <w:rFonts w:cs="Arial"/>
              </w:rPr>
            </w:pPr>
            <w:r w:rsidRPr="001A1836">
              <w:rPr>
                <w:rFonts w:cs="Arial"/>
              </w:rPr>
              <w:t>the schemes as defined in Annex 2 to this Part D;</w:t>
            </w:r>
          </w:p>
        </w:tc>
      </w:tr>
      <w:tr w:rsidR="00B074CC" w:rsidRPr="001A1836" w14:paraId="1FA7E108" w14:textId="77777777" w:rsidTr="00626054">
        <w:tc>
          <w:tcPr>
            <w:tcW w:w="2347" w:type="dxa"/>
            <w:shd w:val="clear" w:color="auto" w:fill="auto"/>
          </w:tcPr>
          <w:p w14:paraId="3FAD3EFA" w14:textId="77777777" w:rsidR="00B074CC" w:rsidRPr="001A1836" w:rsidRDefault="00B074CC" w:rsidP="00626054">
            <w:pPr>
              <w:widowControl w:val="0"/>
              <w:spacing w:after="240"/>
              <w:rPr>
                <w:rFonts w:cs="Arial"/>
              </w:rPr>
            </w:pPr>
            <w:r w:rsidRPr="001A1836">
              <w:rPr>
                <w:rFonts w:cs="Arial"/>
              </w:rPr>
              <w:t>"New Fair Deal"</w:t>
            </w:r>
          </w:p>
        </w:tc>
        <w:tc>
          <w:tcPr>
            <w:tcW w:w="6157" w:type="dxa"/>
            <w:shd w:val="clear" w:color="auto" w:fill="auto"/>
          </w:tcPr>
          <w:p w14:paraId="7455DDA0" w14:textId="77777777" w:rsidR="00B074CC" w:rsidRPr="001A1836" w:rsidRDefault="00B074CC" w:rsidP="00626054">
            <w:pPr>
              <w:spacing w:after="240"/>
              <w:rPr>
                <w:rFonts w:cs="Arial"/>
              </w:rPr>
            </w:pPr>
            <w:r w:rsidRPr="001A1836">
              <w:rPr>
                <w:rFonts w:cs="Arial"/>
              </w:rPr>
              <w:t>the revised Fair Deal position set out in the HM Treasury guidance:  "</w:t>
            </w:r>
            <w:r w:rsidRPr="001A1836">
              <w:rPr>
                <w:rFonts w:cs="Arial"/>
                <w:i/>
              </w:rPr>
              <w:t>Fair Deal for Staff Pensions: Staff Transfer from Central Government</w:t>
            </w:r>
            <w:r w:rsidRPr="001A1836">
              <w:rPr>
                <w:rFonts w:cs="Arial"/>
              </w:rPr>
              <w:t>" issued in October 2013 including:</w:t>
            </w:r>
          </w:p>
          <w:p w14:paraId="1D244281" w14:textId="77777777" w:rsidR="00B074CC" w:rsidRPr="001A1836" w:rsidRDefault="00B074CC" w:rsidP="00626054">
            <w:pPr>
              <w:spacing w:after="240"/>
              <w:rPr>
                <w:rFonts w:cs="Arial"/>
              </w:rPr>
            </w:pPr>
            <w:r w:rsidRPr="001A1836">
              <w:rPr>
                <w:rFonts w:cs="Arial"/>
              </w:rPr>
              <w:lastRenderedPageBreak/>
              <w:t>(i) any amendments to that document immediately prior to the Relevant Transfer Date; and</w:t>
            </w:r>
          </w:p>
          <w:p w14:paraId="1318209D" w14:textId="7FFB4C23" w:rsidR="00B074CC" w:rsidRPr="001A1836" w:rsidRDefault="00B074CC" w:rsidP="002602DA">
            <w:pPr>
              <w:spacing w:after="240"/>
              <w:rPr>
                <w:rFonts w:cs="Arial"/>
              </w:rPr>
            </w:pPr>
            <w:r w:rsidRPr="001A1836">
              <w:rPr>
                <w:rFonts w:cs="Arial"/>
              </w:rPr>
              <w:t xml:space="preserve">(ii) any similar pension protection in accordance with the subsequent Annex 1-3 inclusive as notified to the Provider by </w:t>
            </w:r>
            <w:r w:rsidR="002602DA">
              <w:rPr>
                <w:rFonts w:cs="Arial"/>
              </w:rPr>
              <w:t>HSE</w:t>
            </w:r>
            <w:r w:rsidRPr="001A1836">
              <w:rPr>
                <w:rFonts w:cs="Arial"/>
              </w:rPr>
              <w:t>; and</w:t>
            </w:r>
          </w:p>
        </w:tc>
      </w:tr>
      <w:tr w:rsidR="00B074CC" w:rsidRPr="001A1836" w14:paraId="741319CC" w14:textId="77777777" w:rsidTr="00626054">
        <w:tc>
          <w:tcPr>
            <w:tcW w:w="2347" w:type="dxa"/>
            <w:shd w:val="clear" w:color="auto" w:fill="auto"/>
          </w:tcPr>
          <w:p w14:paraId="0670BA04" w14:textId="77777777" w:rsidR="00B074CC" w:rsidRPr="001A1836" w:rsidRDefault="00B074CC" w:rsidP="00626054">
            <w:pPr>
              <w:widowControl w:val="0"/>
              <w:spacing w:after="240"/>
              <w:rPr>
                <w:rFonts w:cs="Arial"/>
              </w:rPr>
            </w:pPr>
            <w:r w:rsidRPr="001A1836">
              <w:rPr>
                <w:rFonts w:cs="Arial"/>
              </w:rPr>
              <w:lastRenderedPageBreak/>
              <w:t>"Statutory Schemes"</w:t>
            </w:r>
          </w:p>
        </w:tc>
        <w:tc>
          <w:tcPr>
            <w:tcW w:w="6157" w:type="dxa"/>
            <w:shd w:val="clear" w:color="auto" w:fill="auto"/>
          </w:tcPr>
          <w:p w14:paraId="2D9CD138" w14:textId="77777777" w:rsidR="00B074CC" w:rsidRPr="001A1836" w:rsidRDefault="00B074CC" w:rsidP="00626054">
            <w:pPr>
              <w:spacing w:after="240"/>
              <w:rPr>
                <w:rFonts w:cs="Arial"/>
              </w:rPr>
            </w:pPr>
            <w:r w:rsidRPr="001A1836">
              <w:rPr>
                <w:rFonts w:cs="Arial"/>
              </w:rPr>
              <w:t>means the CSPS, NHSPS or LGPS.</w:t>
            </w:r>
          </w:p>
        </w:tc>
      </w:tr>
    </w:tbl>
    <w:p w14:paraId="1BD199C1" w14:textId="77777777" w:rsidR="00B074CC" w:rsidRPr="001A1836" w:rsidRDefault="00B074CC">
      <w:pPr>
        <w:pStyle w:val="GSRL3heading"/>
      </w:pPr>
      <w:bookmarkStart w:id="1829" w:name="_Toc508794579"/>
      <w:bookmarkStart w:id="1830" w:name="_Toc521327075"/>
      <w:bookmarkStart w:id="1831" w:name="_Toc521333308"/>
      <w:bookmarkStart w:id="1832" w:name="_Toc521484039"/>
      <w:bookmarkStart w:id="1833" w:name="_Toc521484802"/>
      <w:bookmarkStart w:id="1834" w:name="_Toc521485133"/>
      <w:bookmarkStart w:id="1835" w:name="_Toc521496869"/>
      <w:bookmarkStart w:id="1836" w:name="_Toc521498311"/>
      <w:bookmarkStart w:id="1837" w:name="_Toc529346028"/>
      <w:bookmarkStart w:id="1838" w:name="_Toc129038237"/>
      <w:bookmarkStart w:id="1839" w:name="_Toc129038523"/>
      <w:bookmarkStart w:id="1840" w:name="_Toc132268095"/>
      <w:bookmarkStart w:id="1841" w:name="_Toc132268401"/>
      <w:bookmarkStart w:id="1842" w:name="_Toc136198651"/>
      <w:bookmarkStart w:id="1843" w:name="_Toc136198932"/>
      <w:r w:rsidRPr="001A1836">
        <w:t>Participations</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p>
    <w:p w14:paraId="5304314B" w14:textId="77777777" w:rsidR="00B074CC" w:rsidRPr="001A1836" w:rsidRDefault="00B074CC">
      <w:pPr>
        <w:pStyle w:val="GSRL4numberedclause"/>
      </w:pPr>
      <w:r w:rsidRPr="001A1836">
        <w:t>In respect of all or any Fair Deal Employees each of Annex 1: CSPS, Annex 2: NHSPS and/or Annex 3: LGPS shall apply, as appropriate.</w:t>
      </w:r>
    </w:p>
    <w:p w14:paraId="62E3DC37" w14:textId="77777777" w:rsidR="00B074CC" w:rsidRPr="001A1836" w:rsidRDefault="00B074CC">
      <w:pPr>
        <w:pStyle w:val="GSRL4numberedclause"/>
      </w:pPr>
      <w:r w:rsidRPr="001A1836">
        <w:t>The Provider undertakes to do all such things and execute any documents (including any relevant Admission Agreement) as may be required to enable the Provider to participate in the appropriate Statutory Scheme in respect of the Fair Deal Employees and shall bear its own costs in such regard.</w:t>
      </w:r>
    </w:p>
    <w:p w14:paraId="5A841F3E" w14:textId="77777777" w:rsidR="00B074CC" w:rsidRPr="001A1836" w:rsidRDefault="00B074CC">
      <w:pPr>
        <w:pStyle w:val="GSRL3heading"/>
      </w:pPr>
      <w:bookmarkStart w:id="1844" w:name="_Toc508794580"/>
      <w:bookmarkStart w:id="1845" w:name="_Toc521327076"/>
      <w:bookmarkStart w:id="1846" w:name="_Toc521333309"/>
      <w:bookmarkStart w:id="1847" w:name="_Toc521484040"/>
      <w:bookmarkStart w:id="1848" w:name="_Toc521484803"/>
      <w:bookmarkStart w:id="1849" w:name="_Toc521485134"/>
      <w:bookmarkStart w:id="1850" w:name="_Toc521496870"/>
      <w:bookmarkStart w:id="1851" w:name="_Toc521498312"/>
      <w:bookmarkStart w:id="1852" w:name="_Toc529346029"/>
      <w:bookmarkStart w:id="1853" w:name="_Toc129038238"/>
      <w:bookmarkStart w:id="1854" w:name="_Toc129038524"/>
      <w:bookmarkStart w:id="1855" w:name="_Toc132268096"/>
      <w:bookmarkStart w:id="1856" w:name="_Toc132268402"/>
      <w:bookmarkStart w:id="1857" w:name="_Toc136198652"/>
      <w:bookmarkStart w:id="1858" w:name="_Toc136198933"/>
      <w:r w:rsidRPr="001A1836">
        <w:t>Provision of information</w:t>
      </w:r>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p>
    <w:p w14:paraId="19AF71A1" w14:textId="77777777" w:rsidR="00B074CC" w:rsidRPr="001A1836" w:rsidRDefault="00B074CC">
      <w:pPr>
        <w:pStyle w:val="GSRL4numberedclause"/>
      </w:pPr>
      <w:r w:rsidRPr="001A1836">
        <w:t>The Provider undertakes to HSE:</w:t>
      </w:r>
      <w:bookmarkStart w:id="1859" w:name="_Ref492896157"/>
    </w:p>
    <w:p w14:paraId="7AA6FABC" w14:textId="77777777" w:rsidR="00B074CC" w:rsidRPr="001A1836" w:rsidRDefault="00B074CC">
      <w:pPr>
        <w:pStyle w:val="GSRL5numberedclause"/>
      </w:pPr>
      <w:r w:rsidRPr="001A1836">
        <w:t>to provide all information which HSE may reasonably request concerning matters referred to in this Part D as expeditiously as possible; and</w:t>
      </w:r>
      <w:bookmarkEnd w:id="1859"/>
    </w:p>
    <w:p w14:paraId="72EE08E9" w14:textId="77777777" w:rsidR="00B074CC" w:rsidRPr="001A1836" w:rsidRDefault="00B074CC">
      <w:pPr>
        <w:pStyle w:val="GSRL5numberedclause"/>
      </w:pPr>
      <w:r w:rsidRPr="001A1836">
        <w:t>not to issue any announcements to any Fair Deal Employee prior to the Relevant Transfer Date concerning the matters stated in this Part D without the consent in writing of HSE (such consent not to be unreasonably withheld or delayed).</w:t>
      </w:r>
    </w:p>
    <w:p w14:paraId="30D8D459" w14:textId="77777777" w:rsidR="00B074CC" w:rsidRPr="001A1836" w:rsidRDefault="00B074CC">
      <w:pPr>
        <w:pStyle w:val="GSRL3heading"/>
      </w:pPr>
      <w:bookmarkStart w:id="1860" w:name="_Toc508794581"/>
      <w:bookmarkStart w:id="1861" w:name="_Toc521327077"/>
      <w:bookmarkStart w:id="1862" w:name="_Toc521333310"/>
      <w:bookmarkStart w:id="1863" w:name="_Toc521484041"/>
      <w:bookmarkStart w:id="1864" w:name="_Toc521484804"/>
      <w:bookmarkStart w:id="1865" w:name="_Toc521485135"/>
      <w:bookmarkStart w:id="1866" w:name="_Toc521496871"/>
      <w:bookmarkStart w:id="1867" w:name="_Toc521498313"/>
      <w:bookmarkStart w:id="1868" w:name="_Toc529346030"/>
      <w:bookmarkStart w:id="1869" w:name="_Toc129038239"/>
      <w:bookmarkStart w:id="1870" w:name="_Toc129038525"/>
      <w:bookmarkStart w:id="1871" w:name="_Toc132268097"/>
      <w:bookmarkStart w:id="1872" w:name="_Toc132268403"/>
      <w:bookmarkStart w:id="1873" w:name="_Toc136198653"/>
      <w:bookmarkStart w:id="1874" w:name="_Toc136198934"/>
      <w:r w:rsidRPr="001A1836">
        <w:t>Indemnities</w:t>
      </w:r>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p>
    <w:p w14:paraId="09571DFF" w14:textId="77777777" w:rsidR="00B074CC" w:rsidRPr="001A1836" w:rsidRDefault="00B074CC">
      <w:pPr>
        <w:pStyle w:val="GSRL4numberedclause"/>
      </w:pPr>
      <w:r w:rsidRPr="001A1836">
        <w:t xml:space="preserve">The Provider undertakes to HSE  to indemnify and keep indemnified NHS Pensions, HSE and/or any Replacement Provider and/or any Replacement Sub-Contractor on demand from and against all and any Losses whatsoever arising out of or in connection with any liability towards all and any Fair Deal Employees arising in respect of service on or after the Relevant Transfer Date which arise from any breach by the Provider of this Part D, and/or the CSPS Admission Agreement and/or the Direction Letter and/or the LGPS Admission Agreement  or relates to the payment of benefits under and/or participation in an occupational pension scheme (within the meaning provided for in section 1 of the Pension Schemes Act 1993) or the Fair Deal Schemes. </w:t>
      </w:r>
      <w:bookmarkStart w:id="1875" w:name="_Ref321833613"/>
    </w:p>
    <w:p w14:paraId="6E2673EF" w14:textId="77777777" w:rsidR="00B074CC" w:rsidRPr="001A1836" w:rsidRDefault="00B074CC">
      <w:pPr>
        <w:pStyle w:val="GSRL4numberedclause"/>
      </w:pPr>
      <w:r w:rsidRPr="001A1836">
        <w:t>The Provider hereby indemnifies, NHS Pensions, HSE and/or any Replacement Provider and/or Replacement Sub-Contractor from and against all Losses suffered or incurred by it or them which arise from claims by Fair Deal Employees of the Provider and/or of any Sub-Contractor or by any trade unions, elected employee representatives or staff associations in respect of all or any such Fair Deal Employees which Losses:</w:t>
      </w:r>
      <w:bookmarkStart w:id="1876" w:name="_DV_M1069"/>
      <w:bookmarkStart w:id="1877" w:name="_Ref321833614"/>
      <w:bookmarkEnd w:id="1875"/>
      <w:bookmarkEnd w:id="1876"/>
    </w:p>
    <w:p w14:paraId="543A8FC9" w14:textId="77777777" w:rsidR="00B074CC" w:rsidRPr="001A1836" w:rsidRDefault="00B074CC">
      <w:pPr>
        <w:pStyle w:val="GSRL5numberedclause"/>
      </w:pPr>
      <w:r w:rsidRPr="001A1836">
        <w:t>relate to pension rights in respect of periods of employment on and after the Relevant Transfer Date until the date of termination or expiry of this Agreement; or</w:t>
      </w:r>
      <w:bookmarkStart w:id="1878" w:name="_DV_M1070"/>
      <w:bookmarkStart w:id="1879" w:name="_Ref321833615"/>
      <w:bookmarkEnd w:id="1877"/>
      <w:bookmarkEnd w:id="1878"/>
    </w:p>
    <w:p w14:paraId="65AAE483" w14:textId="77777777" w:rsidR="00B074CC" w:rsidRPr="001A1836" w:rsidRDefault="00B074CC">
      <w:pPr>
        <w:pStyle w:val="GSRL5numberedclause"/>
      </w:pPr>
      <w:r w:rsidRPr="001A1836">
        <w:t>arise out of the failure of the Provider and/or any relevant Sub-Contractor to comply with the provisions of this Part D before the date of termination or expiry of this Agreement.</w:t>
      </w:r>
      <w:bookmarkEnd w:id="1879"/>
      <w:r w:rsidRPr="001A1836">
        <w:t xml:space="preserve"> </w:t>
      </w:r>
    </w:p>
    <w:p w14:paraId="680D7544" w14:textId="77777777" w:rsidR="00B074CC" w:rsidRPr="001A1836" w:rsidRDefault="00B074CC">
      <w:pPr>
        <w:pStyle w:val="GSRL4numberedclause"/>
      </w:pPr>
      <w:r w:rsidRPr="001A1836">
        <w:lastRenderedPageBreak/>
        <w:t>The indemnities in this Part D and its Annexes:</w:t>
      </w:r>
    </w:p>
    <w:p w14:paraId="67589F52" w14:textId="77777777" w:rsidR="00B074CC" w:rsidRPr="001A1836" w:rsidRDefault="00B074CC">
      <w:pPr>
        <w:pStyle w:val="GSRL5numberedclause"/>
      </w:pPr>
      <w:r w:rsidRPr="001A1836">
        <w:t>shall survive termination of this Agreement; and</w:t>
      </w:r>
    </w:p>
    <w:p w14:paraId="4DE50306" w14:textId="77777777" w:rsidR="00B074CC" w:rsidRPr="001A1836" w:rsidRDefault="00B074CC">
      <w:pPr>
        <w:pStyle w:val="GSRL5numberedclause"/>
      </w:pPr>
      <w:r w:rsidRPr="001A1836">
        <w:t>shall not be affected by the caps on liability contained in Clause 35 of this agreement (Liability).</w:t>
      </w:r>
    </w:p>
    <w:p w14:paraId="65B1EF25" w14:textId="77777777" w:rsidR="00B074CC" w:rsidRPr="001A1836" w:rsidRDefault="00B074CC">
      <w:pPr>
        <w:pStyle w:val="GSRL3heading"/>
      </w:pPr>
      <w:bookmarkStart w:id="1880" w:name="_Toc508794582"/>
      <w:bookmarkStart w:id="1881" w:name="_Toc521327078"/>
      <w:bookmarkStart w:id="1882" w:name="_Toc521333311"/>
      <w:bookmarkStart w:id="1883" w:name="_Toc521484042"/>
      <w:bookmarkStart w:id="1884" w:name="_Toc521484805"/>
      <w:bookmarkStart w:id="1885" w:name="_Toc521485136"/>
      <w:bookmarkStart w:id="1886" w:name="_Toc521496872"/>
      <w:bookmarkStart w:id="1887" w:name="_Toc521498314"/>
      <w:bookmarkStart w:id="1888" w:name="_Toc529346031"/>
      <w:bookmarkStart w:id="1889" w:name="_Toc129038240"/>
      <w:bookmarkStart w:id="1890" w:name="_Toc129038526"/>
      <w:bookmarkStart w:id="1891" w:name="_Toc132268098"/>
      <w:bookmarkStart w:id="1892" w:name="_Toc132268404"/>
      <w:bookmarkStart w:id="1893" w:name="_Toc136198654"/>
      <w:bookmarkStart w:id="1894" w:name="_Toc136198935"/>
      <w:r w:rsidRPr="001A1836">
        <w:t>Disputes</w:t>
      </w:r>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p>
    <w:p w14:paraId="763042D8" w14:textId="2322C2F8" w:rsidR="00B074CC" w:rsidRPr="001A1836" w:rsidRDefault="00B074CC">
      <w:pPr>
        <w:pStyle w:val="GSRL4numberedclause"/>
      </w:pPr>
      <w:r w:rsidRPr="001A1836">
        <w:t xml:space="preserve">The Dispute Resolution Procedure will not apply to this Part D and any dispute between and/or HSE and/or the Provider or between their respective actuaries or the Fund Actuary about any of the actuarial matters referred to in this Part D and its Annexes shall in the absence of agreement between  and/or HSE and/or the Provider be referred to an independent Actuary: </w:t>
      </w:r>
    </w:p>
    <w:p w14:paraId="34814198" w14:textId="77777777" w:rsidR="00B074CC" w:rsidRPr="001A1836" w:rsidRDefault="00B074CC">
      <w:pPr>
        <w:pStyle w:val="GSRL5numberedclause"/>
      </w:pPr>
      <w:r w:rsidRPr="001A1836">
        <w:t xml:space="preserve">who will act as an expert and not as an arbitrator; </w:t>
      </w:r>
    </w:p>
    <w:p w14:paraId="5DBE3810" w14:textId="079E58D9" w:rsidR="00B074CC" w:rsidRPr="001A1836" w:rsidRDefault="00B074CC">
      <w:pPr>
        <w:pStyle w:val="GSRL5numberedclause"/>
      </w:pPr>
      <w:r w:rsidRPr="001A1836">
        <w:t xml:space="preserve">whose decision will be final and binding on and/or HSE and/or the Provider; and </w:t>
      </w:r>
    </w:p>
    <w:p w14:paraId="6579A177" w14:textId="60C32B83" w:rsidR="00B074CC" w:rsidRPr="001A1836" w:rsidRDefault="00B074CC">
      <w:pPr>
        <w:pStyle w:val="GSRL5numberedclause"/>
      </w:pPr>
      <w:r w:rsidRPr="001A1836">
        <w:t>whose expenses shall be borne equally by and/or HSE and/or the Provider unless the independent Actuary shall otherwise direct.</w:t>
      </w:r>
    </w:p>
    <w:p w14:paraId="06344267" w14:textId="77777777" w:rsidR="00B074CC" w:rsidRPr="001A1836" w:rsidRDefault="00B074CC">
      <w:pPr>
        <w:pStyle w:val="GSRL3heading"/>
      </w:pPr>
      <w:bookmarkStart w:id="1895" w:name="_Toc508794583"/>
      <w:bookmarkStart w:id="1896" w:name="_Toc521327079"/>
      <w:bookmarkStart w:id="1897" w:name="_Toc521333312"/>
      <w:bookmarkStart w:id="1898" w:name="_Toc521484043"/>
      <w:bookmarkStart w:id="1899" w:name="_Toc521484806"/>
      <w:bookmarkStart w:id="1900" w:name="_Toc521485137"/>
      <w:bookmarkStart w:id="1901" w:name="_Toc521496873"/>
      <w:bookmarkStart w:id="1902" w:name="_Toc521498315"/>
      <w:bookmarkStart w:id="1903" w:name="_Toc529346032"/>
      <w:bookmarkStart w:id="1904" w:name="_Toc129038241"/>
      <w:bookmarkStart w:id="1905" w:name="_Toc129038527"/>
      <w:bookmarkStart w:id="1906" w:name="_Toc132268099"/>
      <w:bookmarkStart w:id="1907" w:name="_Toc132268405"/>
      <w:bookmarkStart w:id="1908" w:name="_Toc136198655"/>
      <w:bookmarkStart w:id="1909" w:name="_Toc136198936"/>
      <w:r w:rsidRPr="001A1836">
        <w:t>Third Party rights</w:t>
      </w:r>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p>
    <w:p w14:paraId="1DE419AD" w14:textId="77777777" w:rsidR="00B074CC" w:rsidRPr="001A1836" w:rsidRDefault="00B074CC">
      <w:pPr>
        <w:pStyle w:val="GSRL4numberedclause"/>
      </w:pPr>
      <w:r w:rsidRPr="001A1836">
        <w:t xml:space="preserve">The Parties agree that the CRTPA applies to this Part D to the extent necessary to ensure that any Fair Deal Employee will have the right to enforce any obligation owed to him or her or it by the Provider under this Part D, in his or her or its own right under section 1(1) of the CRTPA. </w:t>
      </w:r>
    </w:p>
    <w:p w14:paraId="52B9B46C" w14:textId="77777777" w:rsidR="00B074CC" w:rsidRPr="001A1836" w:rsidRDefault="00B074CC">
      <w:pPr>
        <w:pStyle w:val="GSRL4numberedclause"/>
      </w:pPr>
      <w:r w:rsidRPr="001A1836">
        <w:t>Further, the Provider must ensure that the CRTPA will apply to any Sub-Agreement to the extent necessary to ensure that any Fair Deal Employee will have the right to enforce any obligation owed to them by the Sub-Contractor in his or her or its own right under section 1(1) of the CRTPA.</w:t>
      </w:r>
    </w:p>
    <w:p w14:paraId="394B8460" w14:textId="77777777" w:rsidR="00B074CC" w:rsidRPr="001A1836" w:rsidRDefault="00B074CC">
      <w:pPr>
        <w:pStyle w:val="GSRL3heading"/>
      </w:pPr>
      <w:bookmarkStart w:id="1910" w:name="_Toc508794584"/>
      <w:bookmarkStart w:id="1911" w:name="_Toc521327080"/>
      <w:bookmarkStart w:id="1912" w:name="_Toc521333313"/>
      <w:bookmarkStart w:id="1913" w:name="_Toc521484044"/>
      <w:bookmarkStart w:id="1914" w:name="_Toc521484807"/>
      <w:bookmarkStart w:id="1915" w:name="_Toc521485138"/>
      <w:bookmarkStart w:id="1916" w:name="_Toc521496874"/>
      <w:bookmarkStart w:id="1917" w:name="_Toc521498316"/>
      <w:bookmarkStart w:id="1918" w:name="_Toc529346033"/>
      <w:bookmarkStart w:id="1919" w:name="_Toc129038242"/>
      <w:bookmarkStart w:id="1920" w:name="_Toc129038528"/>
      <w:bookmarkStart w:id="1921" w:name="_Toc132268100"/>
      <w:bookmarkStart w:id="1922" w:name="_Toc132268406"/>
      <w:bookmarkStart w:id="1923" w:name="_Toc136198656"/>
      <w:bookmarkStart w:id="1924" w:name="_Toc136198937"/>
      <w:r w:rsidRPr="001A1836">
        <w:t>Breach</w:t>
      </w:r>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p>
    <w:p w14:paraId="21223B5B" w14:textId="77777777" w:rsidR="00B074CC" w:rsidRPr="001A1836" w:rsidRDefault="00B074CC">
      <w:pPr>
        <w:pStyle w:val="GSRL4numberedclause"/>
      </w:pPr>
      <w:r w:rsidRPr="001A1836">
        <w:t>The Provider agrees to notify HSE should it breach any obligations it has under this Part D and agrees that HSE shall be entitled to terminate its Agreement for material Default in the event that the Provider:</w:t>
      </w:r>
    </w:p>
    <w:p w14:paraId="394BDBCA" w14:textId="77777777" w:rsidR="00B074CC" w:rsidRPr="001A1836" w:rsidRDefault="00B074CC">
      <w:pPr>
        <w:pStyle w:val="GSRL5numberedclause"/>
      </w:pPr>
      <w:r w:rsidRPr="001A1836">
        <w:t>commits an irremediable breach of any provision or obligation it has under this Part D; or</w:t>
      </w:r>
    </w:p>
    <w:p w14:paraId="2E3BA408" w14:textId="77777777" w:rsidR="00B074CC" w:rsidRPr="001A1836" w:rsidRDefault="00B074CC">
      <w:pPr>
        <w:pStyle w:val="GSRL5numberedclause"/>
      </w:pPr>
      <w:r w:rsidRPr="001A1836">
        <w:t>commits a breach of any provision or obligation it has under this Part D which, where capable of remedy, it fails to remedy within a reasonable time and in any event within 28 days of the date of a notice from HSE giving particulars of the breach and requiring the Provider to remedy it.</w:t>
      </w:r>
      <w:bookmarkStart w:id="1925" w:name="_Toc341793180"/>
      <w:bookmarkStart w:id="1926" w:name="_Toc341873863"/>
      <w:bookmarkStart w:id="1927" w:name="_Toc345937115"/>
      <w:bookmarkStart w:id="1928" w:name="_Toc346800982"/>
      <w:bookmarkStart w:id="1929" w:name="_Toc346876065"/>
      <w:bookmarkStart w:id="1930" w:name="_Toc348531754"/>
      <w:bookmarkStart w:id="1931" w:name="_Toc348628253"/>
      <w:bookmarkStart w:id="1932" w:name="_Toc348700058"/>
      <w:bookmarkStart w:id="1933" w:name="_Toc349634339"/>
      <w:bookmarkStart w:id="1934" w:name="_Toc351125675"/>
      <w:bookmarkStart w:id="1935" w:name="_Toc351644055"/>
      <w:bookmarkStart w:id="1936" w:name="_Toc356853517"/>
      <w:bookmarkStart w:id="1937" w:name="_Toc357169176"/>
      <w:bookmarkStart w:id="1938" w:name="_Toc357654748"/>
      <w:bookmarkStart w:id="1939" w:name="_Toc357738149"/>
    </w:p>
    <w:p w14:paraId="4110A3F8" w14:textId="77777777" w:rsidR="00B074CC" w:rsidRPr="001A1836" w:rsidRDefault="00B074CC">
      <w:pPr>
        <w:pStyle w:val="GSRL3heading"/>
      </w:pPr>
      <w:bookmarkStart w:id="1940" w:name="_Toc508794585"/>
      <w:bookmarkStart w:id="1941" w:name="_Toc521327081"/>
      <w:bookmarkStart w:id="1942" w:name="_Toc521333314"/>
      <w:bookmarkStart w:id="1943" w:name="_Toc521484045"/>
      <w:bookmarkStart w:id="1944" w:name="_Toc521484808"/>
      <w:bookmarkStart w:id="1945" w:name="_Toc521485139"/>
      <w:bookmarkStart w:id="1946" w:name="_Toc521496875"/>
      <w:bookmarkStart w:id="1947" w:name="_Toc521498317"/>
      <w:bookmarkStart w:id="1948" w:name="_Toc529346034"/>
      <w:bookmarkStart w:id="1949" w:name="_Toc129038243"/>
      <w:bookmarkStart w:id="1950" w:name="_Toc129038529"/>
      <w:bookmarkStart w:id="1951" w:name="_Toc132268101"/>
      <w:bookmarkStart w:id="1952" w:name="_Toc132268407"/>
      <w:bookmarkStart w:id="1953" w:name="_Toc136198657"/>
      <w:bookmarkStart w:id="1954" w:name="_Toc136198938"/>
      <w:r w:rsidRPr="001A1836">
        <w:t>Transfer to another employer/Sub-contractor</w:t>
      </w:r>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r w:rsidRPr="001A1836">
        <w:t xml:space="preserve"> </w:t>
      </w:r>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p>
    <w:p w14:paraId="366F2B80" w14:textId="77777777" w:rsidR="00B074CC" w:rsidRPr="001A1836" w:rsidRDefault="00B074CC">
      <w:pPr>
        <w:pStyle w:val="GSRL4numberedclause"/>
      </w:pPr>
      <w:r w:rsidRPr="001A1836">
        <w:t>Save on expiry or termination of this Agreement, if the employment of any Fair Deal Employee transfers to another employer (by way of a transfer under the Employment Regulations) the Provider shall and shall procure that any relevant Sub-Contractor shall:</w:t>
      </w:r>
    </w:p>
    <w:p w14:paraId="61E48F23" w14:textId="77777777" w:rsidR="00B074CC" w:rsidRPr="001A1836" w:rsidRDefault="00B074CC">
      <w:pPr>
        <w:pStyle w:val="GSRL5numberedclause"/>
      </w:pPr>
      <w:r w:rsidRPr="001A1836">
        <w:t>consult with and inform those Fair Deal Employees of the pension provisions relating to that transfer; and</w:t>
      </w:r>
    </w:p>
    <w:p w14:paraId="1854100D" w14:textId="77777777" w:rsidR="00B074CC" w:rsidRPr="001A1836" w:rsidRDefault="00B074CC">
      <w:pPr>
        <w:pStyle w:val="GSRL5numberedclause"/>
      </w:pPr>
      <w:r w:rsidRPr="001A1836">
        <w:lastRenderedPageBreak/>
        <w:t>procure that the employer to which the Fair Deal Employees are transferred (the "New Employer") complies with the provisions of this Part D and its Annexes provided that references to the "Provider" will become references to the New Employer, references to "Relevant Transfer Date" will become references to the date of the transfer to the New Employer and references to "Fair Deal Employees" will become references to the Fair Deal Employees so transferred to the New Employer.</w:t>
      </w:r>
    </w:p>
    <w:p w14:paraId="6BF8907F" w14:textId="77777777" w:rsidR="00B074CC" w:rsidRPr="001A1836" w:rsidRDefault="00B074CC">
      <w:pPr>
        <w:pStyle w:val="GSRL3heading"/>
      </w:pPr>
      <w:bookmarkStart w:id="1955" w:name="_Toc508794586"/>
      <w:bookmarkStart w:id="1956" w:name="_Toc521327082"/>
      <w:bookmarkStart w:id="1957" w:name="_Toc521333315"/>
      <w:bookmarkStart w:id="1958" w:name="_Toc521484046"/>
      <w:bookmarkStart w:id="1959" w:name="_Toc521484809"/>
      <w:bookmarkStart w:id="1960" w:name="_Toc521485140"/>
      <w:bookmarkStart w:id="1961" w:name="_Toc521496876"/>
      <w:bookmarkStart w:id="1962" w:name="_Toc521498318"/>
      <w:bookmarkStart w:id="1963" w:name="_Toc529346035"/>
      <w:bookmarkStart w:id="1964" w:name="_Toc129038244"/>
      <w:bookmarkStart w:id="1965" w:name="_Toc129038530"/>
      <w:bookmarkStart w:id="1966" w:name="_Toc132268102"/>
      <w:bookmarkStart w:id="1967" w:name="_Toc132268408"/>
      <w:bookmarkStart w:id="1968" w:name="_Toc136198658"/>
      <w:bookmarkStart w:id="1969" w:name="_Toc136198939"/>
      <w:bookmarkStart w:id="1970" w:name="_Toc341793181"/>
      <w:bookmarkStart w:id="1971" w:name="_Toc341873864"/>
      <w:bookmarkStart w:id="1972" w:name="_Toc345937116"/>
      <w:bookmarkStart w:id="1973" w:name="_Toc346800983"/>
      <w:bookmarkStart w:id="1974" w:name="_Toc346876066"/>
      <w:bookmarkStart w:id="1975" w:name="_Toc348531755"/>
      <w:bookmarkStart w:id="1976" w:name="_Toc348628254"/>
      <w:bookmarkStart w:id="1977" w:name="_Toc348700059"/>
      <w:bookmarkStart w:id="1978" w:name="_Toc349634340"/>
      <w:bookmarkStart w:id="1979" w:name="_Toc351125676"/>
      <w:bookmarkStart w:id="1980" w:name="_Toc351644056"/>
      <w:bookmarkStart w:id="1981" w:name="_Toc356853518"/>
      <w:bookmarkStart w:id="1982" w:name="_Toc357169177"/>
      <w:bookmarkStart w:id="1983" w:name="_Toc357654749"/>
      <w:bookmarkStart w:id="1984" w:name="_Toc357738150"/>
      <w:r w:rsidRPr="001A1836">
        <w:t>Pension issues on expiry or termination</w:t>
      </w:r>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r w:rsidRPr="001A1836">
        <w:t xml:space="preserve"> </w:t>
      </w:r>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p>
    <w:p w14:paraId="39CC46CE" w14:textId="77777777" w:rsidR="00B074CC" w:rsidRPr="001A1836" w:rsidRDefault="00B074CC">
      <w:pPr>
        <w:pStyle w:val="GSRL4numberedclause"/>
      </w:pPr>
      <w:r w:rsidRPr="001A1836">
        <w:t>The provisions of Part E: Staff Transfer On Exit (Mandatory) apply in relation to pension issues on expiry or termination of this Agreement.</w:t>
      </w:r>
    </w:p>
    <w:p w14:paraId="6CC5319D" w14:textId="77777777" w:rsidR="00B074CC" w:rsidRPr="001A1836" w:rsidRDefault="00B074CC">
      <w:pPr>
        <w:pStyle w:val="GSRL3heading"/>
      </w:pPr>
      <w:bookmarkStart w:id="1985" w:name="_Toc508794587"/>
      <w:bookmarkStart w:id="1986" w:name="_Toc521327083"/>
      <w:bookmarkStart w:id="1987" w:name="_Toc521333316"/>
      <w:bookmarkStart w:id="1988" w:name="_Toc521484047"/>
      <w:bookmarkStart w:id="1989" w:name="_Toc521484810"/>
      <w:bookmarkStart w:id="1990" w:name="_Toc521485141"/>
      <w:bookmarkStart w:id="1991" w:name="_Toc521496877"/>
      <w:bookmarkStart w:id="1992" w:name="_Toc521498319"/>
      <w:bookmarkStart w:id="1993" w:name="_Toc529346036"/>
      <w:bookmarkStart w:id="1994" w:name="_Toc129038245"/>
      <w:bookmarkStart w:id="1995" w:name="_Toc129038531"/>
      <w:bookmarkStart w:id="1996" w:name="_Toc132268103"/>
      <w:bookmarkStart w:id="1997" w:name="_Toc132268409"/>
      <w:bookmarkStart w:id="1998" w:name="_Toc136198659"/>
      <w:bookmarkStart w:id="1999" w:name="_Toc136198940"/>
      <w:r w:rsidRPr="001A1836">
        <w:t>Broadly comparable pension schemes</w:t>
      </w:r>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r w:rsidRPr="001A1836">
        <w:t xml:space="preserve"> </w:t>
      </w:r>
    </w:p>
    <w:p w14:paraId="640D39A3" w14:textId="77777777" w:rsidR="00B074CC" w:rsidRPr="001A1836" w:rsidRDefault="00B074CC">
      <w:pPr>
        <w:pStyle w:val="GSRL4numberedclause"/>
      </w:pPr>
      <w:r w:rsidRPr="001A1836">
        <w:t>If HSE in its sole discretion (having considered the exceptional cases provided for in New Fair Deal) agrees that the Provider (and/or its Sub-Contractors, if any) need not provide the Fair Deal Employees with access to the appropriate Statutory Scheme, the Provider must (and must, where relevant, procure that each of its Sub-Contractors will) ensure that, with effect from the Relevant Transfer Date until the day before the Service Transfer Date, the Fair Deal Employees will be eligible for membership of a Retirement Benefits Scheme under which the Pension Benefits are Broadly Comparable to those provided under the relevant Statutory Scheme, and then on such terms as may be decided by HSE.</w:t>
      </w:r>
    </w:p>
    <w:p w14:paraId="6A6907BE" w14:textId="77777777" w:rsidR="00B074CC" w:rsidRPr="001A1836" w:rsidRDefault="00B074CC">
      <w:pPr>
        <w:pStyle w:val="GSRL4numberedclause"/>
      </w:pPr>
      <w:r w:rsidRPr="001A1836">
        <w:t>Where the Provider has set up a Broadly Comparable pension scheme or schemes pursuant to the provisions of paragraph 10.1, the Provider shall (and shall procure that any of its Sub-Contractors shall):</w:t>
      </w:r>
    </w:p>
    <w:p w14:paraId="5A5AE295" w14:textId="3A6920A6" w:rsidR="00B074CC" w:rsidRPr="001A1836" w:rsidRDefault="00B074CC">
      <w:pPr>
        <w:pStyle w:val="GSRL5numberedclause"/>
      </w:pPr>
      <w:r w:rsidRPr="001A1836">
        <w:rPr>
          <w:rFonts w:eastAsia="Arial"/>
        </w:rPr>
        <w:t xml:space="preserve">supply to HSE </w:t>
      </w:r>
      <w:r w:rsidRPr="001A1836">
        <w:t>details of its (or its Sub-Contractor’s) Broadly Comparable pension scheme and provide a full copy of the valid certificate of broad comparability covering all relevant Fair Deal Employees, as soon as it is able to do so and in any event no later than twenty eight (28) days before the Relevant Transfer Date</w:t>
      </w:r>
      <w:r w:rsidRPr="001A1836">
        <w:rPr>
          <w:rFonts w:eastAsia="Arial"/>
        </w:rPr>
        <w:t>;</w:t>
      </w:r>
    </w:p>
    <w:p w14:paraId="6BB350CF" w14:textId="77777777" w:rsidR="00B074CC" w:rsidRPr="001A1836" w:rsidRDefault="00B074CC">
      <w:pPr>
        <w:pStyle w:val="GSRL5numberedclause"/>
      </w:pPr>
      <w:r w:rsidRPr="001A1836">
        <w:t xml:space="preserve">fully fund any such Broadly Comparable pension scheme in accordance with the funding requirements set by that Broadly Comparable pension scheme’s Actuary or by </w:t>
      </w:r>
      <w:r w:rsidRPr="001A1836">
        <w:rPr>
          <w:rFonts w:eastAsia="Arial"/>
        </w:rPr>
        <w:t>the Government Actuary’s Department for the period ending on the Service Transfer Date;</w:t>
      </w:r>
    </w:p>
    <w:p w14:paraId="592FF781" w14:textId="77777777" w:rsidR="00B074CC" w:rsidRPr="001A1836" w:rsidRDefault="00B074CC">
      <w:pPr>
        <w:pStyle w:val="GSRL5numberedclause"/>
      </w:pPr>
      <w:r w:rsidRPr="001A1836">
        <w:rPr>
          <w:rFonts w:eastAsia="Arial"/>
        </w:rPr>
        <w:t>instruct any such Broadly Comparable pension scheme’s Actuary to, and to provide all such co-operation and assistance in respect of any such Broadly Comparable pension scheme as the Replacement Provider and/or NHS Pension and/or HSE may reasonably require, to enable the Replacement Provider to participate in the appropriate Statutory Scheme in respect of any Fair Deal Employee that remain eligible for New Fair Deal protection following a Service Transfer;</w:t>
      </w:r>
    </w:p>
    <w:p w14:paraId="2036F5B1" w14:textId="77777777" w:rsidR="00B074CC" w:rsidRPr="001A1836" w:rsidRDefault="00B074CC">
      <w:pPr>
        <w:pStyle w:val="GSRL5numberedclause"/>
      </w:pPr>
      <w:r w:rsidRPr="001A1836">
        <w:t xml:space="preserve">provide a replacement Broadly Comparable pension scheme with immediate effect for those Fair Deal Employees who are still employed by the Provider and/or relevant Sub-Contractor and are still eligible for New Fair Deal protection in the event that the Provider and/or Sub-Contractor's Broadly Comparable pension scheme is terminated; </w:t>
      </w:r>
    </w:p>
    <w:p w14:paraId="777C5B5E" w14:textId="77777777" w:rsidR="00B074CC" w:rsidRPr="001A1836" w:rsidRDefault="00B074CC">
      <w:pPr>
        <w:pStyle w:val="GSRL5numberedclause"/>
      </w:pPr>
      <w:r w:rsidRPr="001A1836">
        <w:rPr>
          <w:rFonts w:eastAsia="Arial"/>
        </w:rPr>
        <w:t xml:space="preserve">allow and make all necessary arrangements to effect, in respect of any Fair Deal Employee that remains eligible for New Fair Deal protection, following a Service Transfer, the bulk transfer of past service from any such Broadly </w:t>
      </w:r>
      <w:r w:rsidRPr="001A1836">
        <w:rPr>
          <w:rFonts w:eastAsia="Arial"/>
        </w:rPr>
        <w:lastRenderedPageBreak/>
        <w:t>Comparable pension scheme into the relevant Statutory Scheme and as is relevant on a day for day service basis and to give effect to any transfer of accrued rights required as part of participation under New Fair Deal. For the avoidance of doubt, should the amount offered by the Broadly Comparable pension scheme be less than the amount required by the appropriate Statutory Scheme to fund day for day service ("Shortfall"), the Provider or the Sub-Contractor (as agreed between them) must pay the Statutory Scheme, as required, provided that in the absence of any agreement between the Provider and any Sub-Contractor, the Shortfall shall be paid by the Provider; and</w:t>
      </w:r>
    </w:p>
    <w:p w14:paraId="78CA1DB4" w14:textId="575188F7" w:rsidR="00B074CC" w:rsidRPr="001A1836" w:rsidRDefault="00B074CC">
      <w:pPr>
        <w:pStyle w:val="GSRL5numberedclause"/>
      </w:pPr>
      <w:r w:rsidRPr="001A1836">
        <w:rPr>
          <w:rFonts w:eastAsia="Arial"/>
        </w:rPr>
        <w:t>indemnify HSE on demand for any failure to pay the Shortfall as required u</w:t>
      </w:r>
      <w:r w:rsidRPr="001A1836">
        <w:t xml:space="preserve">nder paragraph </w:t>
      </w:r>
      <w:r w:rsidR="00A46936">
        <w:t>10.2.5</w:t>
      </w:r>
      <w:r w:rsidRPr="001A1836">
        <w:t xml:space="preserve"> above.</w:t>
      </w:r>
    </w:p>
    <w:p w14:paraId="7CE28CA1" w14:textId="77777777" w:rsidR="00B074CC" w:rsidRPr="001A1836" w:rsidRDefault="00B074CC" w:rsidP="00125ED7">
      <w:pPr>
        <w:pStyle w:val="GSRL4numberedclause"/>
        <w:numPr>
          <w:ilvl w:val="0"/>
          <w:numId w:val="0"/>
        </w:numPr>
        <w:ind w:left="720"/>
      </w:pPr>
    </w:p>
    <w:p w14:paraId="1A3A01A3" w14:textId="77777777" w:rsidR="00B074CC" w:rsidRPr="001A1836" w:rsidRDefault="00B074CC" w:rsidP="00626054">
      <w:pPr>
        <w:ind w:left="720"/>
        <w:rPr>
          <w:rFonts w:cs="Arial"/>
        </w:rPr>
      </w:pPr>
    </w:p>
    <w:p w14:paraId="3E5D9B83" w14:textId="0CEA8B44" w:rsidR="00B074CC" w:rsidRPr="001A1836" w:rsidRDefault="00B074CC" w:rsidP="00125ED7">
      <w:pPr>
        <w:pStyle w:val="GSRL2Sectionheading"/>
        <w:rPr>
          <w:iCs/>
          <w:lang w:val="en-US"/>
        </w:rPr>
      </w:pPr>
      <w:r w:rsidRPr="001A1836">
        <w:br w:type="page"/>
      </w:r>
      <w:bookmarkStart w:id="2000" w:name="_Toc508794588"/>
      <w:bookmarkStart w:id="2001" w:name="_Toc521327084"/>
      <w:bookmarkStart w:id="2002" w:name="_Toc521333317"/>
      <w:bookmarkStart w:id="2003" w:name="_Toc521484048"/>
      <w:bookmarkStart w:id="2004" w:name="_Toc521484811"/>
      <w:bookmarkStart w:id="2005" w:name="_Toc521485142"/>
      <w:bookmarkStart w:id="2006" w:name="_Toc521496878"/>
      <w:bookmarkStart w:id="2007" w:name="_Toc521498320"/>
      <w:bookmarkStart w:id="2008" w:name="_Toc529346037"/>
      <w:bookmarkStart w:id="2009" w:name="_Toc129038246"/>
      <w:bookmarkStart w:id="2010" w:name="_Toc129038532"/>
      <w:bookmarkStart w:id="2011" w:name="_Toc132268104"/>
      <w:bookmarkStart w:id="2012" w:name="_Toc132268410"/>
      <w:bookmarkStart w:id="2013" w:name="_Toc136198660"/>
      <w:bookmarkStart w:id="2014" w:name="_Toc136198941"/>
      <w:r w:rsidR="004C2FF4" w:rsidRPr="001A1836">
        <w:lastRenderedPageBreak/>
        <w:t>Annex 1 –</w:t>
      </w:r>
      <w:r w:rsidRPr="001A1836">
        <w:t xml:space="preserve"> CSPS</w:t>
      </w:r>
      <w:bookmarkEnd w:id="2000"/>
      <w:bookmarkEnd w:id="2001"/>
      <w:bookmarkEnd w:id="2002"/>
      <w:bookmarkEnd w:id="2003"/>
      <w:bookmarkEnd w:id="2004"/>
      <w:bookmarkEnd w:id="2005"/>
      <w:bookmarkEnd w:id="2006"/>
      <w:bookmarkEnd w:id="2007"/>
      <w:r w:rsidRPr="001A1836">
        <w:t xml:space="preserve"> </w:t>
      </w:r>
      <w:r w:rsidR="00F56144" w:rsidRPr="001A1836">
        <w:t>[not used]</w:t>
      </w:r>
      <w:bookmarkEnd w:id="2008"/>
      <w:bookmarkEnd w:id="2009"/>
      <w:bookmarkEnd w:id="2010"/>
      <w:bookmarkEnd w:id="2011"/>
      <w:bookmarkEnd w:id="2012"/>
      <w:bookmarkEnd w:id="2013"/>
      <w:bookmarkEnd w:id="2014"/>
    </w:p>
    <w:p w14:paraId="3CB981EC" w14:textId="77777777" w:rsidR="00B074CC" w:rsidRPr="001A1836" w:rsidRDefault="00B074CC" w:rsidP="00626054">
      <w:pPr>
        <w:rPr>
          <w:rFonts w:cs="Arial"/>
        </w:rPr>
      </w:pPr>
    </w:p>
    <w:p w14:paraId="33BA225C" w14:textId="0402DCDB" w:rsidR="00B074CC" w:rsidRPr="001A1836" w:rsidRDefault="00B074CC" w:rsidP="00125ED7">
      <w:pPr>
        <w:pStyle w:val="GSRL2Sectionheading"/>
        <w:rPr>
          <w:iCs/>
          <w:lang w:val="en-US"/>
        </w:rPr>
      </w:pPr>
      <w:r w:rsidRPr="001A1836">
        <w:br w:type="page"/>
      </w:r>
      <w:bookmarkStart w:id="2015" w:name="_Toc508794592"/>
      <w:bookmarkStart w:id="2016" w:name="_Toc521327088"/>
      <w:bookmarkStart w:id="2017" w:name="_Toc521333321"/>
      <w:bookmarkStart w:id="2018" w:name="_Toc521484052"/>
      <w:bookmarkStart w:id="2019" w:name="_Toc521484815"/>
      <w:bookmarkStart w:id="2020" w:name="_Toc521485146"/>
      <w:bookmarkStart w:id="2021" w:name="_Toc521496882"/>
      <w:bookmarkStart w:id="2022" w:name="_Toc521498324"/>
      <w:bookmarkStart w:id="2023" w:name="_Toc529346038"/>
      <w:bookmarkStart w:id="2024" w:name="_Toc129038247"/>
      <w:bookmarkStart w:id="2025" w:name="_Toc129038533"/>
      <w:bookmarkStart w:id="2026" w:name="_Toc132268105"/>
      <w:bookmarkStart w:id="2027" w:name="_Toc132268411"/>
      <w:bookmarkStart w:id="2028" w:name="_Toc136198661"/>
      <w:bookmarkStart w:id="2029" w:name="_Toc136198942"/>
      <w:r w:rsidR="004C2FF4" w:rsidRPr="001A1836">
        <w:lastRenderedPageBreak/>
        <w:t>Annex 2 –</w:t>
      </w:r>
      <w:r w:rsidRPr="001A1836">
        <w:t xml:space="preserve"> NHSPS</w:t>
      </w:r>
      <w:bookmarkEnd w:id="2015"/>
      <w:bookmarkEnd w:id="2016"/>
      <w:bookmarkEnd w:id="2017"/>
      <w:bookmarkEnd w:id="2018"/>
      <w:bookmarkEnd w:id="2019"/>
      <w:bookmarkEnd w:id="2020"/>
      <w:bookmarkEnd w:id="2021"/>
      <w:bookmarkEnd w:id="2022"/>
      <w:r w:rsidR="00A32014" w:rsidRPr="001A1836">
        <w:t xml:space="preserve"> [not used]</w:t>
      </w:r>
      <w:bookmarkEnd w:id="2023"/>
      <w:bookmarkEnd w:id="2024"/>
      <w:bookmarkEnd w:id="2025"/>
      <w:bookmarkEnd w:id="2026"/>
      <w:bookmarkEnd w:id="2027"/>
      <w:bookmarkEnd w:id="2028"/>
      <w:bookmarkEnd w:id="2029"/>
    </w:p>
    <w:p w14:paraId="25A14230" w14:textId="54D81C64" w:rsidR="00B074CC" w:rsidRPr="001A1836" w:rsidRDefault="00B074CC" w:rsidP="002124CE">
      <w:pPr>
        <w:pStyle w:val="GSRL2Sectionheading"/>
        <w:rPr>
          <w:iCs/>
          <w:lang w:val="en-US"/>
        </w:rPr>
      </w:pPr>
      <w:r w:rsidRPr="001A1836">
        <w:rPr>
          <w:u w:val="single"/>
        </w:rPr>
        <w:br w:type="page"/>
      </w:r>
      <w:bookmarkStart w:id="2030" w:name="_Toc508794601"/>
      <w:bookmarkStart w:id="2031" w:name="_Toc521327097"/>
      <w:bookmarkStart w:id="2032" w:name="_Toc521333330"/>
      <w:bookmarkStart w:id="2033" w:name="_Toc521484061"/>
      <w:bookmarkStart w:id="2034" w:name="_Toc521484824"/>
      <w:bookmarkStart w:id="2035" w:name="_Toc521485155"/>
      <w:bookmarkStart w:id="2036" w:name="_Toc521496891"/>
      <w:bookmarkStart w:id="2037" w:name="_Toc521498333"/>
      <w:bookmarkStart w:id="2038" w:name="_Toc529346039"/>
      <w:bookmarkStart w:id="2039" w:name="_Toc129038248"/>
      <w:bookmarkStart w:id="2040" w:name="_Toc129038534"/>
      <w:bookmarkStart w:id="2041" w:name="_Toc132268106"/>
      <w:bookmarkStart w:id="2042" w:name="_Toc132268412"/>
      <w:bookmarkStart w:id="2043" w:name="_Toc136198662"/>
      <w:bookmarkStart w:id="2044" w:name="_Toc136198943"/>
      <w:r w:rsidR="004C2FF4" w:rsidRPr="001A1836">
        <w:lastRenderedPageBreak/>
        <w:t>Annex 3 –</w:t>
      </w:r>
      <w:r w:rsidRPr="001A1836">
        <w:t xml:space="preserve"> LGPS</w:t>
      </w:r>
      <w:bookmarkEnd w:id="2030"/>
      <w:bookmarkEnd w:id="2031"/>
      <w:bookmarkEnd w:id="2032"/>
      <w:bookmarkEnd w:id="2033"/>
      <w:bookmarkEnd w:id="2034"/>
      <w:bookmarkEnd w:id="2035"/>
      <w:bookmarkEnd w:id="2036"/>
      <w:bookmarkEnd w:id="2037"/>
      <w:r w:rsidR="00A32014" w:rsidRPr="001A1836">
        <w:t xml:space="preserve"> [not used]</w:t>
      </w:r>
      <w:bookmarkEnd w:id="2038"/>
      <w:bookmarkEnd w:id="2039"/>
      <w:bookmarkEnd w:id="2040"/>
      <w:bookmarkEnd w:id="2041"/>
      <w:bookmarkEnd w:id="2042"/>
      <w:bookmarkEnd w:id="2043"/>
      <w:bookmarkEnd w:id="2044"/>
    </w:p>
    <w:p w14:paraId="613996DB" w14:textId="77777777" w:rsidR="00B074CC" w:rsidRPr="001A1836" w:rsidRDefault="00B074CC" w:rsidP="009064B4">
      <w:bookmarkStart w:id="2045" w:name="_DV_M1013"/>
      <w:bookmarkStart w:id="2046" w:name="_DV_M1015"/>
      <w:bookmarkStart w:id="2047" w:name="_DV_M1016"/>
      <w:bookmarkStart w:id="2048" w:name="_DV_M1018"/>
      <w:bookmarkStart w:id="2049" w:name="_DV_M1022"/>
      <w:bookmarkStart w:id="2050" w:name="_DV_M1030"/>
      <w:bookmarkStart w:id="2051" w:name="_DV_M1045"/>
      <w:bookmarkStart w:id="2052" w:name="_DV_M1049"/>
      <w:bookmarkStart w:id="2053" w:name="_DV_M1051"/>
      <w:bookmarkStart w:id="2054" w:name="_DV_M1053"/>
      <w:bookmarkStart w:id="2055" w:name="_DV_M1057"/>
      <w:bookmarkStart w:id="2056" w:name="_DV_M1058"/>
      <w:bookmarkEnd w:id="2045"/>
      <w:bookmarkEnd w:id="2046"/>
      <w:bookmarkEnd w:id="2047"/>
      <w:bookmarkEnd w:id="2048"/>
      <w:bookmarkEnd w:id="2049"/>
      <w:bookmarkEnd w:id="2050"/>
      <w:bookmarkEnd w:id="2051"/>
      <w:bookmarkEnd w:id="2052"/>
      <w:bookmarkEnd w:id="2053"/>
      <w:bookmarkEnd w:id="2054"/>
      <w:bookmarkEnd w:id="2055"/>
      <w:bookmarkEnd w:id="2056"/>
    </w:p>
    <w:p w14:paraId="795D2FFD" w14:textId="0C219A9D" w:rsidR="00B074CC" w:rsidRPr="001A1836" w:rsidRDefault="00B074CC" w:rsidP="002124CE">
      <w:pPr>
        <w:pStyle w:val="GSRL2Sectionheading"/>
        <w:rPr>
          <w:lang w:val="en-US"/>
        </w:rPr>
      </w:pPr>
      <w:r w:rsidRPr="001A1836">
        <w:br w:type="page"/>
      </w:r>
      <w:bookmarkStart w:id="2057" w:name="_Toc508794607"/>
      <w:bookmarkStart w:id="2058" w:name="_Toc521327103"/>
      <w:bookmarkStart w:id="2059" w:name="_Toc521333336"/>
      <w:bookmarkStart w:id="2060" w:name="_Toc521484067"/>
      <w:bookmarkStart w:id="2061" w:name="_Toc521484830"/>
      <w:bookmarkStart w:id="2062" w:name="_Toc521485161"/>
      <w:bookmarkStart w:id="2063" w:name="_Toc521496897"/>
      <w:bookmarkStart w:id="2064" w:name="_Toc521498339"/>
      <w:bookmarkStart w:id="2065" w:name="_Toc529346040"/>
      <w:bookmarkStart w:id="2066" w:name="_Toc129038249"/>
      <w:bookmarkStart w:id="2067" w:name="_Toc129038535"/>
      <w:bookmarkStart w:id="2068" w:name="_Toc132268107"/>
      <w:bookmarkStart w:id="2069" w:name="_Toc132268413"/>
      <w:bookmarkStart w:id="2070" w:name="_Toc136198663"/>
      <w:bookmarkStart w:id="2071" w:name="_Toc136198944"/>
      <w:r w:rsidRPr="001A1836">
        <w:lastRenderedPageBreak/>
        <w:t>P</w:t>
      </w:r>
      <w:r w:rsidR="004C2FF4" w:rsidRPr="001A1836">
        <w:t>art</w:t>
      </w:r>
      <w:r w:rsidRPr="001A1836">
        <w:t xml:space="preserve"> E: </w:t>
      </w:r>
      <w:r w:rsidRPr="001A1836">
        <w:rPr>
          <w:lang w:val="en-US"/>
        </w:rPr>
        <w:t>Staff Transfer on Exit (Mandatory)</w:t>
      </w:r>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p>
    <w:p w14:paraId="0706F45A" w14:textId="77777777" w:rsidR="00B074CC" w:rsidRPr="001A1836" w:rsidRDefault="00B074CC" w:rsidP="004E2262">
      <w:pPr>
        <w:pStyle w:val="GSRL3heading"/>
        <w:numPr>
          <w:ilvl w:val="0"/>
          <w:numId w:val="68"/>
        </w:numPr>
      </w:pPr>
      <w:bookmarkStart w:id="2072" w:name="_Toc508794608"/>
      <w:bookmarkStart w:id="2073" w:name="_Toc521327104"/>
      <w:bookmarkStart w:id="2074" w:name="_Toc521333337"/>
      <w:bookmarkStart w:id="2075" w:name="_Toc521484068"/>
      <w:bookmarkStart w:id="2076" w:name="_Toc521484831"/>
      <w:bookmarkStart w:id="2077" w:name="_Toc521485162"/>
      <w:bookmarkStart w:id="2078" w:name="_Toc521496898"/>
      <w:bookmarkStart w:id="2079" w:name="_Toc521498340"/>
      <w:bookmarkStart w:id="2080" w:name="_Toc529346041"/>
      <w:bookmarkStart w:id="2081" w:name="_Toc129038250"/>
      <w:bookmarkStart w:id="2082" w:name="_Toc129038536"/>
      <w:bookmarkStart w:id="2083" w:name="_Toc132268108"/>
      <w:bookmarkStart w:id="2084" w:name="_Toc132268414"/>
      <w:bookmarkStart w:id="2085" w:name="_Toc136198664"/>
      <w:bookmarkStart w:id="2086" w:name="_Toc136198945"/>
      <w:r w:rsidRPr="001A1836">
        <w:t>Pre-service transfer obligations</w:t>
      </w:r>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r w:rsidRPr="001A1836">
        <w:t xml:space="preserve"> </w:t>
      </w:r>
      <w:bookmarkStart w:id="2087" w:name="_Ref492896638"/>
    </w:p>
    <w:p w14:paraId="30D8C27D" w14:textId="48DCFA02" w:rsidR="00B074CC" w:rsidRPr="001A1836" w:rsidRDefault="00B074CC">
      <w:pPr>
        <w:pStyle w:val="GSRL4numberedclause"/>
      </w:pPr>
      <w:r w:rsidRPr="001A1836">
        <w:t xml:space="preserve">The Provider agrees that within </w:t>
      </w:r>
      <w:r w:rsidR="00DD1E9F" w:rsidRPr="001A1836">
        <w:t>twenty (</w:t>
      </w:r>
      <w:r w:rsidRPr="001A1836">
        <w:t>20</w:t>
      </w:r>
      <w:r w:rsidR="00DD1E9F" w:rsidRPr="001A1836">
        <w:t>)</w:t>
      </w:r>
      <w:r w:rsidRPr="001A1836">
        <w:t> Working Days of the earliest of:</w:t>
      </w:r>
      <w:bookmarkStart w:id="2088" w:name="_Ref492896666"/>
      <w:bookmarkEnd w:id="2087"/>
    </w:p>
    <w:p w14:paraId="06AA0C2E" w14:textId="77777777" w:rsidR="00B074CC" w:rsidRPr="001A1836" w:rsidRDefault="00B074CC">
      <w:pPr>
        <w:pStyle w:val="GSRL5numberedclause"/>
      </w:pPr>
      <w:r w:rsidRPr="001A1836">
        <w:t>receipt of a notification from HSE of a Service Transfer or intended Service Transfer;</w:t>
      </w:r>
      <w:bookmarkEnd w:id="2088"/>
      <w:r w:rsidRPr="001A1836">
        <w:t xml:space="preserve"> </w:t>
      </w:r>
      <w:bookmarkStart w:id="2089" w:name="_Ref492896672"/>
    </w:p>
    <w:p w14:paraId="44A20139" w14:textId="77777777" w:rsidR="00B074CC" w:rsidRPr="001A1836" w:rsidRDefault="00B074CC">
      <w:pPr>
        <w:pStyle w:val="GSRL5numberedclause"/>
      </w:pPr>
      <w:r w:rsidRPr="001A1836">
        <w:t>receipt of the giving of notice of early termination or any Partial Termination of the relevant Agreement;</w:t>
      </w:r>
      <w:bookmarkEnd w:id="2089"/>
      <w:r w:rsidRPr="001A1836">
        <w:t xml:space="preserve"> </w:t>
      </w:r>
      <w:bookmarkStart w:id="2090" w:name="_Ref492896681"/>
    </w:p>
    <w:p w14:paraId="1615D09C" w14:textId="77777777" w:rsidR="00B074CC" w:rsidRPr="001A1836" w:rsidRDefault="00B074CC">
      <w:pPr>
        <w:pStyle w:val="GSRL5numberedclause"/>
      </w:pPr>
      <w:r w:rsidRPr="001A1836">
        <w:t>the date which is 12 Months before the end of the Term; and</w:t>
      </w:r>
      <w:bookmarkEnd w:id="2090"/>
    </w:p>
    <w:p w14:paraId="5DF0AF89" w14:textId="77777777" w:rsidR="00B074CC" w:rsidRPr="001A1836" w:rsidRDefault="00B074CC">
      <w:pPr>
        <w:pStyle w:val="GSRL5numberedclause"/>
      </w:pPr>
      <w:r w:rsidRPr="001A1836">
        <w:t>receipt of a written request of HSE at any time (provided that HSE shall only be entitled to make one such request in any 6 Month period),</w:t>
      </w:r>
    </w:p>
    <w:p w14:paraId="758B03D1" w14:textId="5AF19291" w:rsidR="00B074CC" w:rsidRPr="001A1836" w:rsidRDefault="00B074CC" w:rsidP="002124CE">
      <w:pPr>
        <w:pStyle w:val="GSRL4numberedclause"/>
        <w:numPr>
          <w:ilvl w:val="0"/>
          <w:numId w:val="0"/>
        </w:numPr>
        <w:ind w:left="720"/>
      </w:pPr>
      <w:r w:rsidRPr="001A1836">
        <w:t xml:space="preserve">it shall provide in a suitably anonymised format so as to comply with the Data Protection Laws, the Provider's Provisional Provider Personnel List, together with the Staffing Information in relation to the Provider's Provisional Provider Personnel List and it shall provide an updated Provider's Provisional Provider Personnel List at such intervals as are reasonably requested by HSE. </w:t>
      </w:r>
      <w:bookmarkStart w:id="2091" w:name="_Ref492896645"/>
    </w:p>
    <w:p w14:paraId="711E5C17" w14:textId="45DE861E" w:rsidR="00B074CC" w:rsidRPr="001A1836" w:rsidRDefault="00B074CC">
      <w:pPr>
        <w:pStyle w:val="GSRL4numberedclause"/>
      </w:pPr>
      <w:r w:rsidRPr="001A1836">
        <w:t xml:space="preserve">At least </w:t>
      </w:r>
      <w:r w:rsidR="00DD1E9F" w:rsidRPr="001A1836">
        <w:t>twenty (</w:t>
      </w:r>
      <w:r w:rsidRPr="001A1836">
        <w:t>20</w:t>
      </w:r>
      <w:r w:rsidR="00DD1E9F" w:rsidRPr="001A1836">
        <w:t>)</w:t>
      </w:r>
      <w:r w:rsidRPr="001A1836">
        <w:t xml:space="preserve"> Working Days prior to the Service Transfer Date, the Provider shall provide to HSE or at the direction of HSE to any Replacement Provider and/or any Replacement Sub-Contractor (i) the Provider's Final Provider Personnel List, which shall identify </w:t>
      </w:r>
      <w:r w:rsidR="000B4D9F">
        <w:t xml:space="preserve">which of the </w:t>
      </w:r>
      <w:r w:rsidR="00010038">
        <w:t>Provider</w:t>
      </w:r>
      <w:r w:rsidR="000B4D9F">
        <w:t xml:space="preserve"> Personnel are </w:t>
      </w:r>
      <w:r w:rsidR="000B4D9F" w:rsidRPr="001A1836">
        <w:t xml:space="preserve">Transferring Provider Employees </w:t>
      </w:r>
      <w:r w:rsidR="000B4D9F">
        <w:t xml:space="preserve">and </w:t>
      </w:r>
      <w:r w:rsidRPr="001A1836">
        <w:t>the basis upon which they are Transferring Provider Employees and (ii) the Staffing Information in relation to the Provider’s Final Provider Personnel List (insofar as such information has not previously been provided).</w:t>
      </w:r>
      <w:bookmarkEnd w:id="2091"/>
    </w:p>
    <w:p w14:paraId="34BFBF3D" w14:textId="44327778" w:rsidR="00B074CC" w:rsidRPr="001A1836" w:rsidRDefault="00B074CC">
      <w:pPr>
        <w:pStyle w:val="GSRL4numberedclause"/>
      </w:pPr>
      <w:r w:rsidRPr="001A1836">
        <w:t>HSE shall be permitted to use and disclose information provided by the Provider under paragraphs </w:t>
      </w:r>
      <w:r w:rsidRPr="001A1836">
        <w:fldChar w:fldCharType="begin"/>
      </w:r>
      <w:r w:rsidRPr="001A1836">
        <w:instrText xml:space="preserve"> REF _Ref492896638 \w \h  \* MERGEFORMAT </w:instrText>
      </w:r>
      <w:r w:rsidRPr="001A1836">
        <w:fldChar w:fldCharType="separate"/>
      </w:r>
      <w:r w:rsidR="00C87D85">
        <w:t>1</w:t>
      </w:r>
      <w:r w:rsidRPr="001A1836">
        <w:fldChar w:fldCharType="end"/>
      </w:r>
      <w:r w:rsidR="00CF3D86">
        <w:t>.1</w:t>
      </w:r>
      <w:r w:rsidRPr="001A1836">
        <w:t xml:space="preserve"> and </w:t>
      </w:r>
      <w:r w:rsidR="00CF3D86">
        <w:t>1.</w:t>
      </w:r>
      <w:r w:rsidR="006944A1">
        <w:t>2</w:t>
      </w:r>
      <w:r w:rsidRPr="001A1836">
        <w:t xml:space="preserve"> for the purpose of informing any prospective Replacement Provider and/or Replacement Sub-Contractor. </w:t>
      </w:r>
    </w:p>
    <w:p w14:paraId="3B185BC1" w14:textId="20C7F438" w:rsidR="00B074CC" w:rsidRPr="001A1836" w:rsidRDefault="00B074CC">
      <w:pPr>
        <w:pStyle w:val="GSRL4numberedclause"/>
      </w:pPr>
      <w:r w:rsidRPr="001A1836">
        <w:t>The Provider warrants, for the benefit of HSE, any Replacement Provider, and any Replacement Sub-Contractor that all information provided pursuant to paragraphs </w:t>
      </w:r>
      <w:r w:rsidRPr="001A1836">
        <w:fldChar w:fldCharType="begin"/>
      </w:r>
      <w:r w:rsidRPr="001A1836">
        <w:instrText xml:space="preserve"> REF _Ref492896638 \w \h  \* MERGEFORMAT </w:instrText>
      </w:r>
      <w:r w:rsidRPr="001A1836">
        <w:fldChar w:fldCharType="separate"/>
      </w:r>
      <w:r w:rsidR="00C87D85">
        <w:t>1</w:t>
      </w:r>
      <w:r w:rsidRPr="001A1836">
        <w:fldChar w:fldCharType="end"/>
      </w:r>
      <w:r w:rsidR="00CF3D86">
        <w:t>.1</w:t>
      </w:r>
      <w:r w:rsidRPr="001A1836">
        <w:t xml:space="preserve"> and </w:t>
      </w:r>
      <w:r w:rsidR="00CF3D86">
        <w:t>1.</w:t>
      </w:r>
      <w:r w:rsidR="006944A1">
        <w:t>2</w:t>
      </w:r>
      <w:r w:rsidRPr="001A1836">
        <w:t xml:space="preserve"> shall be true and accurate in all material respects at the time of providing the information.</w:t>
      </w:r>
    </w:p>
    <w:p w14:paraId="3084D7BA" w14:textId="5B70925A" w:rsidR="00B074CC" w:rsidRPr="001A1836" w:rsidRDefault="00B074CC">
      <w:pPr>
        <w:pStyle w:val="GSRL4numberedclause"/>
      </w:pPr>
      <w:r w:rsidRPr="007609A7">
        <w:rPr>
          <w:color w:val="000000" w:themeColor="text1"/>
        </w:rPr>
        <w:t>From the date of the earliest event referred to in paragraph </w:t>
      </w:r>
      <w:r w:rsidRPr="007609A7">
        <w:rPr>
          <w:color w:val="000000" w:themeColor="text1"/>
        </w:rPr>
        <w:fldChar w:fldCharType="begin"/>
      </w:r>
      <w:r w:rsidRPr="007609A7">
        <w:rPr>
          <w:color w:val="000000" w:themeColor="text1"/>
        </w:rPr>
        <w:instrText xml:space="preserve"> REF _Ref492896672 \w \h  \* MERGEFORMAT </w:instrText>
      </w:r>
      <w:r w:rsidRPr="007609A7">
        <w:rPr>
          <w:color w:val="000000" w:themeColor="text1"/>
        </w:rPr>
      </w:r>
      <w:r w:rsidRPr="007609A7">
        <w:rPr>
          <w:color w:val="000000" w:themeColor="text1"/>
        </w:rPr>
        <w:fldChar w:fldCharType="separate"/>
      </w:r>
      <w:r w:rsidR="00C87D85">
        <w:rPr>
          <w:color w:val="000000" w:themeColor="text1"/>
        </w:rPr>
        <w:t>1.1.1</w:t>
      </w:r>
      <w:r w:rsidRPr="007609A7">
        <w:rPr>
          <w:color w:val="000000" w:themeColor="text1"/>
        </w:rPr>
        <w:fldChar w:fldCharType="end"/>
      </w:r>
      <w:r w:rsidR="000B4D9F" w:rsidRPr="007609A7">
        <w:rPr>
          <w:color w:val="000000" w:themeColor="text1"/>
        </w:rPr>
        <w:t>.</w:t>
      </w:r>
      <w:r w:rsidRPr="007609A7">
        <w:rPr>
          <w:color w:val="000000" w:themeColor="text1"/>
        </w:rPr>
        <w:t xml:space="preserve"> </w:t>
      </w:r>
      <w:r w:rsidRPr="007609A7">
        <w:rPr>
          <w:color w:val="000000" w:themeColor="text1"/>
        </w:rPr>
        <w:fldChar w:fldCharType="begin"/>
      </w:r>
      <w:r w:rsidRPr="007609A7">
        <w:rPr>
          <w:color w:val="000000" w:themeColor="text1"/>
        </w:rPr>
        <w:instrText xml:space="preserve"> REF _Ref492896681 \w \h  \* MERGEFORMAT </w:instrText>
      </w:r>
      <w:r w:rsidRPr="007609A7">
        <w:rPr>
          <w:color w:val="000000" w:themeColor="text1"/>
        </w:rPr>
      </w:r>
      <w:r w:rsidRPr="007609A7">
        <w:rPr>
          <w:color w:val="000000" w:themeColor="text1"/>
        </w:rPr>
        <w:fldChar w:fldCharType="separate"/>
      </w:r>
      <w:r w:rsidR="00C87D85">
        <w:rPr>
          <w:color w:val="000000" w:themeColor="text1"/>
        </w:rPr>
        <w:t>1.1.2</w:t>
      </w:r>
      <w:r w:rsidRPr="007609A7">
        <w:rPr>
          <w:color w:val="000000" w:themeColor="text1"/>
        </w:rPr>
        <w:fldChar w:fldCharType="end"/>
      </w:r>
      <w:r w:rsidR="000B4D9F" w:rsidRPr="007609A7">
        <w:rPr>
          <w:color w:val="000000" w:themeColor="text1"/>
        </w:rPr>
        <w:t xml:space="preserve"> and 1.1.3</w:t>
      </w:r>
      <w:r w:rsidRPr="007609A7">
        <w:rPr>
          <w:color w:val="000000" w:themeColor="text1"/>
        </w:rPr>
        <w:t>, the Provider agrees that it shall not</w:t>
      </w:r>
      <w:r w:rsidR="000B4D9F" w:rsidRPr="007609A7">
        <w:rPr>
          <w:color w:val="000000" w:themeColor="text1"/>
        </w:rPr>
        <w:t xml:space="preserve">, </w:t>
      </w:r>
      <w:r w:rsidR="000B4D9F" w:rsidRPr="007609A7">
        <w:rPr>
          <w:color w:val="000000" w:themeColor="text1"/>
          <w:u w:color="0000FF"/>
        </w:rPr>
        <w:t>and agrees to procure that each Sub-Contractor shall not,</w:t>
      </w:r>
      <w:r w:rsidRPr="007609A7">
        <w:rPr>
          <w:color w:val="000000" w:themeColor="text1"/>
        </w:rPr>
        <w:t xml:space="preserve"> </w:t>
      </w:r>
      <w:r w:rsidRPr="001A1836">
        <w:t>assign any person to the provision of the Services who is not listed on the Provider’s Provisional Provider Personnel List and shall, unless otherwise instructed by HSE (acting reasonably):</w:t>
      </w:r>
    </w:p>
    <w:p w14:paraId="7354C186" w14:textId="5C5BAD97" w:rsidR="00B074CC" w:rsidRPr="001A1836" w:rsidRDefault="00B074CC">
      <w:pPr>
        <w:pStyle w:val="GSRL5numberedclause"/>
      </w:pPr>
      <w:r w:rsidRPr="001A1836">
        <w:t xml:space="preserve">not replace or re-deploy any Provider </w:t>
      </w:r>
      <w:r w:rsidR="000B4D9F">
        <w:t>Personnel</w:t>
      </w:r>
      <w:r w:rsidR="000B4D9F" w:rsidRPr="001A1836">
        <w:t xml:space="preserve"> </w:t>
      </w:r>
      <w:r w:rsidRPr="001A1836">
        <w:t xml:space="preserve">listed on the Provider Provisional Provider Personnel List other than where any replacement is of equivalent grade, skills, experience and expertise and is employed on the same terms and conditions of employment as the person </w:t>
      </w:r>
      <w:r w:rsidR="004079A7">
        <w:t>they</w:t>
      </w:r>
      <w:r w:rsidRPr="001A1836">
        <w:t xml:space="preserve"> replace;</w:t>
      </w:r>
    </w:p>
    <w:p w14:paraId="15913269" w14:textId="0C9A4F04" w:rsidR="00B074CC" w:rsidRPr="001A1836" w:rsidRDefault="00B074CC">
      <w:pPr>
        <w:pStyle w:val="GSRL5numberedclause"/>
      </w:pPr>
      <w:r w:rsidRPr="001A1836">
        <w:t xml:space="preserve">not make, promise, propose, permit or implement any material changes to the terms and conditions of (i) employment and/or (ii) pensions, retirement and death benefits (including not to make pensionable any category of earnings which were not previously pensionable or reduce the pension contributions payable) of the Provider </w:t>
      </w:r>
      <w:r w:rsidR="000B4D9F">
        <w:t>Personnel</w:t>
      </w:r>
      <w:r w:rsidR="000B4D9F" w:rsidRPr="001A1836">
        <w:t xml:space="preserve"> </w:t>
      </w:r>
      <w:r w:rsidRPr="001A1836">
        <w:t xml:space="preserve">(including any payments connected with the termination of employment); </w:t>
      </w:r>
    </w:p>
    <w:p w14:paraId="7E479C04" w14:textId="0DBE6C5D" w:rsidR="00B074CC" w:rsidRPr="001A1836" w:rsidRDefault="00B074CC">
      <w:pPr>
        <w:pStyle w:val="GSRL5numberedclause"/>
      </w:pPr>
      <w:r w:rsidRPr="001A1836">
        <w:t xml:space="preserve">not increase the proportion of working time spent on the Services (or the relevant part of the Services) by any of the Provider </w:t>
      </w:r>
      <w:r w:rsidR="000B4D9F">
        <w:t>Personnel</w:t>
      </w:r>
      <w:r w:rsidR="000B4D9F" w:rsidRPr="001A1836">
        <w:t xml:space="preserve"> </w:t>
      </w:r>
      <w:r w:rsidRPr="001A1836">
        <w:t>save for fulfilling assignments and projects previously scheduled and agreed;</w:t>
      </w:r>
    </w:p>
    <w:p w14:paraId="1C39364C" w14:textId="77777777" w:rsidR="00B074CC" w:rsidRPr="001A1836" w:rsidRDefault="00B074CC">
      <w:pPr>
        <w:pStyle w:val="GSRL5numberedclause"/>
      </w:pPr>
      <w:r w:rsidRPr="001A1836">
        <w:lastRenderedPageBreak/>
        <w:t>not introduce any new contractual or customary practice concerning the making of any lump sum payment on the termination of employment of any employees listed on the Provider's Provisional Provider Personnel List;</w:t>
      </w:r>
    </w:p>
    <w:p w14:paraId="59E4CA5D" w14:textId="5D58A1D8" w:rsidR="00B074CC" w:rsidRPr="001A1836" w:rsidRDefault="00B074CC">
      <w:pPr>
        <w:pStyle w:val="GSRL5numberedclause"/>
      </w:pPr>
      <w:r w:rsidRPr="001A1836">
        <w:t>not increase or reduce the total number of employees so engaged, or deploy any other person to perform the Services (or the relevant part of the Services);</w:t>
      </w:r>
    </w:p>
    <w:p w14:paraId="393439F0" w14:textId="77777777" w:rsidR="00B074CC" w:rsidRPr="001A1836" w:rsidRDefault="00B074CC">
      <w:pPr>
        <w:pStyle w:val="GSRL5numberedclause"/>
      </w:pPr>
      <w:r w:rsidRPr="001A1836">
        <w:t>not terminate or give notice to terminate the employment or contracts of any persons on the Provider's Provisional Provider Personnel List save by due disciplinary process;</w:t>
      </w:r>
    </w:p>
    <w:p w14:paraId="239F7219" w14:textId="77777777" w:rsidR="00B074CC" w:rsidRPr="001A1836" w:rsidRDefault="00B074CC">
      <w:pPr>
        <w:pStyle w:val="GSRL5numberedclause"/>
      </w:pPr>
      <w:r w:rsidRPr="001A1836">
        <w:t>not dissuade or discourage any employees engaged in the provision of the Services from transferring their employment to HSE and/or the Replacement Provider and/or Replacement Sub-Contractor;</w:t>
      </w:r>
    </w:p>
    <w:p w14:paraId="36E8EE9E" w14:textId="21A49CBE" w:rsidR="00B074CC" w:rsidRPr="001A1836" w:rsidRDefault="00B074CC">
      <w:pPr>
        <w:pStyle w:val="GSRL5numberedclause"/>
      </w:pPr>
      <w:r w:rsidRPr="001A1836">
        <w:t xml:space="preserve">give HSE and/or the Replacement Provider and/or Replacement Sub-Contractor reasonable access to Provider </w:t>
      </w:r>
      <w:r w:rsidR="000B4D9F">
        <w:t>Personnel</w:t>
      </w:r>
      <w:r w:rsidR="000B4D9F" w:rsidRPr="001A1836">
        <w:t xml:space="preserve"> </w:t>
      </w:r>
      <w:r w:rsidRPr="001A1836">
        <w:t>and/or their consultation representatives to inform them of the intended transfer and consult any measures envisaged by HSE, Replacement Provider and/or Replacement Sub-Contractor in respect of persons expected to be Transferring Provider Employees;</w:t>
      </w:r>
    </w:p>
    <w:p w14:paraId="2116EC75" w14:textId="77777777" w:rsidR="00B074CC" w:rsidRPr="001A1836" w:rsidRDefault="00B074CC">
      <w:pPr>
        <w:pStyle w:val="GSRL5numberedclause"/>
      </w:pPr>
      <w:r w:rsidRPr="001A1836">
        <w:t>co-operate with HSE and the Replacement Provider to ensure an effective consultation process and smooth transfer in respect of Transferring Provider Employees in line with good employee relations and the effective continuity of the Services, and to allow for participation in any pension arrangements to be put in place to comply with New Fair Deal;</w:t>
      </w:r>
    </w:p>
    <w:p w14:paraId="0779FBCE" w14:textId="5A729D84" w:rsidR="00B074CC" w:rsidRPr="001A1836" w:rsidRDefault="00B074CC">
      <w:pPr>
        <w:pStyle w:val="GSRL5numberedclause"/>
      </w:pPr>
      <w:r w:rsidRPr="001A1836">
        <w:t xml:space="preserve">promptly notify </w:t>
      </w:r>
      <w:r w:rsidR="002602DA">
        <w:t>HSE</w:t>
      </w:r>
      <w:r w:rsidRPr="001A1836">
        <w:t xml:space="preserve"> or, at the direction of HSE, any Replacement Provider and any Replacement Sub-Contractor of any notice to terminate employment given by the Provider or received from any persons listed on the Provider's Provisional Provider Personnel List regardless of when such notice takes effect;</w:t>
      </w:r>
    </w:p>
    <w:p w14:paraId="6DBDC342" w14:textId="7F94ECDB" w:rsidR="00B074CC" w:rsidRPr="001A1836" w:rsidRDefault="00B074CC">
      <w:pPr>
        <w:pStyle w:val="GSRL5numberedclause"/>
      </w:pPr>
      <w:r w:rsidRPr="001A1836">
        <w:t xml:space="preserve">not for a period of 12 Months from the Service Transfer Date re-employ or re-engage or entice any employees, </w:t>
      </w:r>
      <w:r w:rsidR="00C62FD2" w:rsidRPr="001A1836">
        <w:t xml:space="preserve">suppliers </w:t>
      </w:r>
      <w:r w:rsidRPr="001A1836">
        <w:t>or Sub-Contractors whose employment or engagement is transferred to HSE and/or the Replacement Provider (unless otherwise instructed by HSE</w:t>
      </w:r>
      <w:r w:rsidR="00660D47" w:rsidRPr="001A1836">
        <w:t xml:space="preserve"> </w:t>
      </w:r>
      <w:r w:rsidRPr="001A1836">
        <w:t>(acting reasonably)</w:t>
      </w:r>
      <w:r w:rsidR="00ED203D" w:rsidRPr="001A1836">
        <w:t xml:space="preserve"> </w:t>
      </w:r>
      <w:bookmarkStart w:id="2092" w:name="_Hlk527972291"/>
      <w:r w:rsidR="00ED203D" w:rsidRPr="001A1836">
        <w:t>or where the employee applies in response to a public advertisement of a vacancy to suppliers or Sub-contractors for purposes other than the Register</w:t>
      </w:r>
      <w:bookmarkEnd w:id="2092"/>
      <w:r w:rsidRPr="001A1836">
        <w:t>);</w:t>
      </w:r>
    </w:p>
    <w:p w14:paraId="23F8A860" w14:textId="77777777" w:rsidR="00B074CC" w:rsidRPr="001A1836" w:rsidRDefault="00B074CC">
      <w:pPr>
        <w:pStyle w:val="GSRL5numberedclause"/>
      </w:pPr>
      <w:r w:rsidRPr="001A1836">
        <w:t xml:space="preserve">not to adversely affect pension rights accrued by all and any Fair Deal Employees in the period ending on the Service Transfer Date; </w:t>
      </w:r>
    </w:p>
    <w:p w14:paraId="156025D9" w14:textId="77777777" w:rsidR="00B074CC" w:rsidRPr="001A1836" w:rsidRDefault="00B074CC">
      <w:pPr>
        <w:pStyle w:val="GSRL5numberedclause"/>
      </w:pPr>
      <w:r w:rsidRPr="001A1836">
        <w:t>fully fund any Broadly Comparable pension schemes set up by the Provider;</w:t>
      </w:r>
    </w:p>
    <w:p w14:paraId="2498A770" w14:textId="77777777" w:rsidR="00B074CC" w:rsidRPr="001A1836" w:rsidRDefault="00B074CC">
      <w:pPr>
        <w:pStyle w:val="GSRL5numberedclause"/>
      </w:pPr>
      <w:r w:rsidRPr="001A1836">
        <w:t>maintain such documents and information as will be reasonably required to manage the pension aspects of any onward transfer of any person engaged or employed by the Provider or any Sub-Contractor in the provision of the Services on the expiry or termination of this Agreement (including without limitation identification of the Fair Deal Employees);</w:t>
      </w:r>
    </w:p>
    <w:p w14:paraId="0F5C309C" w14:textId="3429FC58" w:rsidR="00B074CC" w:rsidRPr="001A1836" w:rsidRDefault="00B074CC">
      <w:pPr>
        <w:pStyle w:val="GSRL5numberedclause"/>
      </w:pPr>
      <w:r w:rsidRPr="001A1836">
        <w:t xml:space="preserve">promptly provide to HSE such documents and information mentioned in paragraph </w:t>
      </w:r>
      <w:r w:rsidRPr="001A1836">
        <w:fldChar w:fldCharType="begin"/>
      </w:r>
      <w:r w:rsidRPr="001A1836">
        <w:instrText xml:space="preserve"> REF _Ref492896157 \w \h  \* MERGEFORMAT </w:instrText>
      </w:r>
      <w:r w:rsidRPr="001A1836">
        <w:fldChar w:fldCharType="separate"/>
      </w:r>
      <w:r w:rsidR="00C87D85">
        <w:t>3.1</w:t>
      </w:r>
      <w:r w:rsidRPr="001A1836">
        <w:fldChar w:fldCharType="end"/>
      </w:r>
      <w:r w:rsidRPr="001A1836">
        <w:t xml:space="preserve"> of Part D: Pensions which HSE may reasonably request in advance of the expiry or termination of this Agreement; and</w:t>
      </w:r>
    </w:p>
    <w:p w14:paraId="5EC177A2" w14:textId="77777777" w:rsidR="00B074CC" w:rsidRPr="001A1836" w:rsidRDefault="00B074CC">
      <w:pPr>
        <w:pStyle w:val="GSRL5numberedclause"/>
      </w:pPr>
      <w:r w:rsidRPr="001A1836">
        <w:t xml:space="preserve">fully co-operate (and procure that the trustees of any Broadly Comparable pension scheme shall fully co-operate) with the reasonable requests of the Provider relating to any administrative tasks necessary to deal with the pension aspects of any onward transfer of any person engaged or employed </w:t>
      </w:r>
      <w:r w:rsidRPr="001A1836">
        <w:lastRenderedPageBreak/>
        <w:t>by the Provider or any Sub-Contractor in the provision of the Services on the expiry or termination of this Agreement.</w:t>
      </w:r>
    </w:p>
    <w:p w14:paraId="3F176D13" w14:textId="7B5F505B" w:rsidR="00B074CC" w:rsidRPr="001A1836" w:rsidRDefault="000B4D9F">
      <w:pPr>
        <w:pStyle w:val="GSRL4numberedclause"/>
      </w:pPr>
      <w:r>
        <w:t>At any time during the Term</w:t>
      </w:r>
      <w:r w:rsidR="00B074CC" w:rsidRPr="001A1836">
        <w:t xml:space="preserve">, HSE may make written requests to the Provider for information relating to the manner in which the Services are organised.  Within </w:t>
      </w:r>
      <w:r w:rsidR="00DD1E9F" w:rsidRPr="001A1836">
        <w:t>twenty (</w:t>
      </w:r>
      <w:r w:rsidR="00B074CC" w:rsidRPr="001A1836">
        <w:t>20</w:t>
      </w:r>
      <w:r w:rsidR="00DD1E9F" w:rsidRPr="001A1836">
        <w:t>)</w:t>
      </w:r>
      <w:r w:rsidR="00B074CC" w:rsidRPr="001A1836">
        <w:t xml:space="preserve"> Working Days of receipt of a written request the Provider shall provide such information as HSE may reasonably require which shall include:</w:t>
      </w:r>
    </w:p>
    <w:p w14:paraId="00C048F9" w14:textId="77777777" w:rsidR="00B074CC" w:rsidRPr="001A1836" w:rsidRDefault="00B074CC">
      <w:pPr>
        <w:pStyle w:val="GSRL5numberedclause"/>
      </w:pPr>
      <w:r w:rsidRPr="001A1836">
        <w:t>the numbers of employees engaged in providing the Services;</w:t>
      </w:r>
    </w:p>
    <w:p w14:paraId="6BBC2E7A" w14:textId="77777777" w:rsidR="00B074CC" w:rsidRPr="001A1836" w:rsidRDefault="00B074CC">
      <w:pPr>
        <w:pStyle w:val="GSRL5numberedclause"/>
      </w:pPr>
      <w:r w:rsidRPr="001A1836">
        <w:t>the percentage of time spent by each employee engaged in providing the Services;</w:t>
      </w:r>
    </w:p>
    <w:p w14:paraId="2D4FFD1A" w14:textId="77777777" w:rsidR="00B074CC" w:rsidRPr="001A1836" w:rsidRDefault="00B074CC">
      <w:pPr>
        <w:pStyle w:val="GSRL5numberedclause"/>
      </w:pPr>
      <w:r w:rsidRPr="001A1836">
        <w:t>the extent to which each employee qualifies for membership of any of the Fair Deal Schemes (as defined in Part D: Pensions); and</w:t>
      </w:r>
    </w:p>
    <w:p w14:paraId="70AD9A58" w14:textId="77777777" w:rsidR="00B074CC" w:rsidRPr="001A1836" w:rsidRDefault="00B074CC">
      <w:pPr>
        <w:pStyle w:val="GSRL5numberedclause"/>
      </w:pPr>
      <w:r w:rsidRPr="001A1836">
        <w:t>a description of the nature of the work undertaken by each employee by location.</w:t>
      </w:r>
    </w:p>
    <w:p w14:paraId="4F07223F" w14:textId="4084AFA1" w:rsidR="00B074CC" w:rsidRPr="001A1836" w:rsidRDefault="00B074CC">
      <w:pPr>
        <w:pStyle w:val="GSRL4numberedclause"/>
      </w:pPr>
      <w:r w:rsidRPr="001A1836">
        <w:t>The Provider shall provide</w:t>
      </w:r>
      <w:r w:rsidR="000B4D9F">
        <w:t xml:space="preserve">, </w:t>
      </w:r>
      <w:r w:rsidR="000B4D9F" w:rsidRPr="000B4D9F">
        <w:t>and shall procure that each Sub-contractor shall provide</w:t>
      </w:r>
      <w:r w:rsidR="000B4D9F">
        <w:t>,</w:t>
      </w:r>
      <w:r w:rsidRPr="001A1836">
        <w:t xml:space="preserve"> all reasonable cooperation and assistance to HSE, any Replacement Provider and/or any Replacement Sub-Contractor to ensure the smooth transfer of the Transferring Provider Employees on the Service Transfer Date including providing sufficient information in advance of the Service Transfer Date to ensure that all necessary payroll arrangements can be made to enable the Transferring Provider Employees to be paid as appropriate.  Without prejudice to the generality of the foregoing, within </w:t>
      </w:r>
      <w:r w:rsidR="00DD1E9F" w:rsidRPr="001A1836">
        <w:t>five (</w:t>
      </w:r>
      <w:r w:rsidRPr="001A1836">
        <w:t>5</w:t>
      </w:r>
      <w:r w:rsidR="00DD1E9F" w:rsidRPr="001A1836">
        <w:t>)</w:t>
      </w:r>
      <w:r w:rsidRPr="001A1836">
        <w:t> Working Days following the Service Transfer Date, the Provider shall provide</w:t>
      </w:r>
      <w:r w:rsidR="000B4D9F">
        <w:t xml:space="preserve"> (</w:t>
      </w:r>
      <w:r w:rsidR="000B4D9F" w:rsidRPr="000B4D9F">
        <w:t>and shall procure that each Sub-contractor shall provide</w:t>
      </w:r>
      <w:r w:rsidR="000B4D9F">
        <w:t>)</w:t>
      </w:r>
      <w:r w:rsidRPr="001A1836">
        <w:t xml:space="preserve"> to HSE or, at the direction of HSE, to any Replacement Provider and/or any Replacement Sub-Contractor (as appropriate), in respect of each person on the Provider's Final Provider Personnel List who is a Transferring Provider Employee:</w:t>
      </w:r>
    </w:p>
    <w:p w14:paraId="5FB9A386" w14:textId="77777777" w:rsidR="00B074CC" w:rsidRPr="001A1836" w:rsidRDefault="00B074CC">
      <w:pPr>
        <w:pStyle w:val="GSRL5numberedclause"/>
      </w:pPr>
      <w:r w:rsidRPr="001A1836">
        <w:t>the most recent month's copy pay slip data;</w:t>
      </w:r>
    </w:p>
    <w:p w14:paraId="6FC3474F" w14:textId="77777777" w:rsidR="00B074CC" w:rsidRPr="001A1836" w:rsidRDefault="00B074CC">
      <w:pPr>
        <w:pStyle w:val="GSRL5numberedclause"/>
      </w:pPr>
      <w:r w:rsidRPr="001A1836">
        <w:t>details of cumulative pay for tax and pension purposes;</w:t>
      </w:r>
    </w:p>
    <w:p w14:paraId="319396AA" w14:textId="77777777" w:rsidR="00B074CC" w:rsidRPr="001A1836" w:rsidRDefault="00B074CC">
      <w:pPr>
        <w:pStyle w:val="GSRL5numberedclause"/>
      </w:pPr>
      <w:r w:rsidRPr="001A1836">
        <w:t>details of cumulative tax paid;</w:t>
      </w:r>
    </w:p>
    <w:p w14:paraId="0607C011" w14:textId="77777777" w:rsidR="00B074CC" w:rsidRPr="001A1836" w:rsidRDefault="00B074CC">
      <w:pPr>
        <w:pStyle w:val="GSRL5numberedclause"/>
      </w:pPr>
      <w:r w:rsidRPr="001A1836">
        <w:t>tax code;</w:t>
      </w:r>
    </w:p>
    <w:p w14:paraId="51A838C1" w14:textId="77777777" w:rsidR="004079A7" w:rsidRDefault="00B074CC">
      <w:pPr>
        <w:pStyle w:val="GSRL5numberedclause"/>
      </w:pPr>
      <w:r w:rsidRPr="001A1836">
        <w:t xml:space="preserve">details of any voluntary deductions from pay; </w:t>
      </w:r>
    </w:p>
    <w:p w14:paraId="541D9F72" w14:textId="58204C70" w:rsidR="004079A7" w:rsidRDefault="004079A7" w:rsidP="004079A7">
      <w:pPr>
        <w:pStyle w:val="GSRL5numberedclause"/>
      </w:pPr>
      <w:r>
        <w:t>a copy of any personnel file and/or any other records regarding the service of the Transferring Provider Employee;</w:t>
      </w:r>
    </w:p>
    <w:p w14:paraId="72600A83" w14:textId="27DF1F07" w:rsidR="00B074CC" w:rsidRPr="001A1836" w:rsidRDefault="004079A7" w:rsidP="004079A7">
      <w:pPr>
        <w:pStyle w:val="GSRL5numberedclause"/>
      </w:pPr>
      <w:r>
        <w:t xml:space="preserve">a complete copy of the information required to meet the minimum recording keeping requirements under the Working Time Regulations 1998 and the National Minimum Wage Regulations 1998; </w:t>
      </w:r>
      <w:r w:rsidR="00B074CC" w:rsidRPr="001A1836">
        <w:t>and</w:t>
      </w:r>
    </w:p>
    <w:p w14:paraId="69804896" w14:textId="79668240" w:rsidR="00B074CC" w:rsidRDefault="00B074CC">
      <w:pPr>
        <w:pStyle w:val="GSRL5numberedclause"/>
      </w:pPr>
      <w:r w:rsidRPr="001A1836">
        <w:t>bank/building society account details for payroll purposes.</w:t>
      </w:r>
    </w:p>
    <w:p w14:paraId="63E60378" w14:textId="6CA210EA" w:rsidR="004079A7" w:rsidRDefault="004079A7" w:rsidP="004079A7">
      <w:pPr>
        <w:pStyle w:val="GSRL4numberedclause"/>
      </w:pPr>
      <w:r>
        <w:t>From the date of the earliest event referred to in Paragraph 1.1.1, 1.1.2 and 1.1.3, the Provider agrees that following within 20 Working Days of a request from HSE it shall and shall procure that each Sub-contractor shall use reasonable endeavours to comply with any reasonable request to align and assign Provider Personnel to any future delivery model proposed by HSE for Replacement Services within 30 Working Days or such longer timescale as may be agreed.</w:t>
      </w:r>
    </w:p>
    <w:p w14:paraId="6C9FCF94" w14:textId="2926C1F1" w:rsidR="004079A7" w:rsidRPr="001A1836" w:rsidRDefault="004079A7" w:rsidP="004079A7">
      <w:pPr>
        <w:pStyle w:val="GSRL4numberedclause"/>
      </w:pPr>
      <w:r>
        <w:t>Any changes necessary to this Agreement as a result of alignment referred to in Paragraph 1.8 shall be agreed in accordance with the Change Control Procedure.</w:t>
      </w:r>
    </w:p>
    <w:p w14:paraId="796D8C36" w14:textId="77777777" w:rsidR="00B074CC" w:rsidRPr="001A1836" w:rsidRDefault="00B074CC">
      <w:pPr>
        <w:pStyle w:val="GSRL3heading"/>
      </w:pPr>
      <w:bookmarkStart w:id="2093" w:name="_Toc508794609"/>
      <w:bookmarkStart w:id="2094" w:name="_Toc521327105"/>
      <w:bookmarkStart w:id="2095" w:name="_Toc521333338"/>
      <w:bookmarkStart w:id="2096" w:name="_Toc521484069"/>
      <w:bookmarkStart w:id="2097" w:name="_Toc521484832"/>
      <w:bookmarkStart w:id="2098" w:name="_Toc521485163"/>
      <w:bookmarkStart w:id="2099" w:name="_Toc521496899"/>
      <w:bookmarkStart w:id="2100" w:name="_Toc521498341"/>
      <w:bookmarkStart w:id="2101" w:name="_Toc529346042"/>
      <w:bookmarkStart w:id="2102" w:name="_Toc129038251"/>
      <w:bookmarkStart w:id="2103" w:name="_Toc129038537"/>
      <w:bookmarkStart w:id="2104" w:name="_Toc132268109"/>
      <w:bookmarkStart w:id="2105" w:name="_Toc132268415"/>
      <w:bookmarkStart w:id="2106" w:name="_Toc136198665"/>
      <w:bookmarkStart w:id="2107" w:name="_Toc136198946"/>
      <w:r w:rsidRPr="001A1836">
        <w:t>Employment Regulations exit provisions</w:t>
      </w:r>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r w:rsidRPr="001A1836">
        <w:t xml:space="preserve"> </w:t>
      </w:r>
    </w:p>
    <w:p w14:paraId="7AA8FF21" w14:textId="70753CF6" w:rsidR="00B074CC" w:rsidRPr="001A1836" w:rsidRDefault="000B4D9F">
      <w:pPr>
        <w:pStyle w:val="GSRL4numberedclause"/>
      </w:pPr>
      <w:r>
        <w:lastRenderedPageBreak/>
        <w:t>HSE</w:t>
      </w:r>
      <w:r w:rsidRPr="000B4D9F">
        <w:t xml:space="preserve"> and the </w:t>
      </w:r>
      <w:r>
        <w:t>Provider</w:t>
      </w:r>
      <w:r w:rsidRPr="000B4D9F">
        <w:t xml:space="preserve"> acknowledge that subsequent to the commencement of the provision of the Services, the identity of the provider of the Services (or any part of the Services) may change (whether as a result of termination or Partial Termination of this </w:t>
      </w:r>
      <w:r w:rsidR="00AF6AAB">
        <w:t>Agreement</w:t>
      </w:r>
      <w:r w:rsidRPr="000B4D9F">
        <w:t xml:space="preserve"> or otherwise) resulting in the Services being undertaken by a Replacement </w:t>
      </w:r>
      <w:r w:rsidR="00010038">
        <w:t>Provider</w:t>
      </w:r>
      <w:r w:rsidR="00AF6AAB">
        <w:t xml:space="preserve"> and/or a Replacement Sub-C</w:t>
      </w:r>
      <w:r w:rsidRPr="000B4D9F">
        <w:t>ontractor.</w:t>
      </w:r>
      <w:r w:rsidR="00AF6AAB">
        <w:t xml:space="preserve"> Such a</w:t>
      </w:r>
      <w:r w:rsidR="00B074CC" w:rsidRPr="001A1836">
        <w:t xml:space="preserve"> change in the identity of the </w:t>
      </w:r>
      <w:r w:rsidR="00AF6AAB">
        <w:t>p</w:t>
      </w:r>
      <w:r w:rsidR="00B074CC" w:rsidRPr="001A1836">
        <w:t xml:space="preserve">rovider of </w:t>
      </w:r>
      <w:r w:rsidR="00AF6AAB">
        <w:t>such services</w:t>
      </w:r>
      <w:r w:rsidR="00B074CC" w:rsidRPr="001A1836">
        <w:t xml:space="preserve"> may constitute a Relevant Transfer to which the Employment Regulations will apply.  HSE and the Provider agree that</w:t>
      </w:r>
      <w:r w:rsidR="00AF6AAB">
        <w:t>, as a result of the operation of the Employment Regulations.</w:t>
      </w:r>
      <w:r w:rsidR="00B074CC" w:rsidRPr="001A1836">
        <w:t xml:space="preserve"> where a Relevant Transfer occurs, the contracts of employment between the Provider and the Transferring Provider Employees (except in relation to any contract terms disapplied through operation of regulation 10(2) of the Employment Regulations) will have effect on and from the Service Transfer Date as if originally made between the Replacement Provider and/or a Replacement Sub-Contractor (as the case may be) and each such Transferring Provider Employee.</w:t>
      </w:r>
    </w:p>
    <w:p w14:paraId="40509D95" w14:textId="747FE9B8" w:rsidR="00B074CC" w:rsidRPr="001A1836" w:rsidRDefault="00B074CC" w:rsidP="00B25C93">
      <w:pPr>
        <w:pStyle w:val="GSRL4numberedclause"/>
      </w:pPr>
      <w:r w:rsidRPr="001A1836">
        <w:t>The Provider shall</w:t>
      </w:r>
      <w:r w:rsidR="00AF6AAB">
        <w:t xml:space="preserve">, </w:t>
      </w:r>
      <w:r w:rsidR="00AF6AAB" w:rsidRPr="00AF6AAB">
        <w:t>and shall procure that each Sub-contractor shall</w:t>
      </w:r>
      <w:r w:rsidR="00AF6AAB">
        <w:t>,</w:t>
      </w:r>
      <w:r w:rsidRPr="001A1836">
        <w:t xml:space="preserve"> comply with all its obligations</w:t>
      </w:r>
      <w:r w:rsidR="00B25C93">
        <w:t xml:space="preserve"> </w:t>
      </w:r>
      <w:r w:rsidR="00B25C93" w:rsidRPr="00B25C93">
        <w:t>under the Employment Regulations and in particular obligations</w:t>
      </w:r>
      <w:r w:rsidRPr="001A1836">
        <w:t xml:space="preserve"> in respect of the Transferring Provider Employees arising under the Employment Regulations in respect of the period up to (</w:t>
      </w:r>
      <w:r w:rsidR="00B25C93">
        <w:t>but excluding</w:t>
      </w:r>
      <w:r w:rsidRPr="001A1836">
        <w:t xml:space="preserve">) the Service Transfer Date </w:t>
      </w:r>
      <w:r w:rsidR="00AF6AAB" w:rsidRPr="00AF6AAB">
        <w:t xml:space="preserve">and shall perform and discharge, and procure that each Sub-contractor shall perform and discharge, all its obligations in respect of </w:t>
      </w:r>
      <w:r w:rsidR="00B25C93">
        <w:t>a</w:t>
      </w:r>
      <w:r w:rsidR="00B25C93" w:rsidRPr="00B25C93">
        <w:t xml:space="preserve">ny person identified in the </w:t>
      </w:r>
      <w:r w:rsidR="00A47727">
        <w:t>Provider</w:t>
      </w:r>
      <w:r w:rsidR="00B25C93" w:rsidRPr="00B25C93">
        <w:t>’s Final Supplier Personnel List</w:t>
      </w:r>
      <w:r w:rsidR="00B25C93">
        <w:t xml:space="preserve"> and </w:t>
      </w:r>
      <w:r w:rsidR="00AF6AAB" w:rsidRPr="00AF6AAB">
        <w:t xml:space="preserve">all the Transferring </w:t>
      </w:r>
      <w:r w:rsidR="00AF6AAB">
        <w:t>Provider</w:t>
      </w:r>
      <w:r w:rsidR="00AF6AAB" w:rsidRPr="00AF6AAB">
        <w:t xml:space="preserve"> Employees arising in respect of the period up to (</w:t>
      </w:r>
      <w:r w:rsidR="00B25C93">
        <w:t>but excluding</w:t>
      </w:r>
      <w:r w:rsidR="00AF6AAB" w:rsidRPr="00AF6AAB">
        <w:t>) the Service Transfer Date (</w:t>
      </w:r>
      <w:r w:rsidRPr="001A1836">
        <w:t xml:space="preserve">including (without limit) the payment of all remuneration, benefits, entitlements </w:t>
      </w:r>
      <w:r w:rsidR="00AF6AAB" w:rsidRPr="00AF6AAB">
        <w:t xml:space="preserve">and outgoings, all wages, accrued but untaken holiday pay, bonuses, commissions, payments of </w:t>
      </w:r>
      <w:r w:rsidRPr="001A1836">
        <w:t xml:space="preserve">PAYE, national insurance contributions and pension contributions and all such sums due as a result of any Fair Deal Employees' participation in the </w:t>
      </w:r>
      <w:r w:rsidR="00B25C93">
        <w:t>Statutory</w:t>
      </w:r>
      <w:r w:rsidRPr="001A1836">
        <w:t xml:space="preserve"> Schemes (as defined in Part D: Pensions)</w:t>
      </w:r>
      <w:r w:rsidR="00AF6AAB">
        <w:t xml:space="preserve"> </w:t>
      </w:r>
      <w:r w:rsidR="00B25C93" w:rsidRPr="00B25C93">
        <w:t xml:space="preserve">and any requirement to set up a broadly comparable pension scheme </w:t>
      </w:r>
      <w:r w:rsidR="00AF6AAB" w:rsidRPr="00AF6AAB">
        <w:t>which in any case are attributable in whole or in part to the period ending on (</w:t>
      </w:r>
      <w:r w:rsidR="00B25C93">
        <w:t>but excluding</w:t>
      </w:r>
      <w:r w:rsidR="00AF6AAB" w:rsidRPr="00AF6AAB">
        <w:t xml:space="preserve">) the Service Transfer Date) and any necessary apportionments in respect of any periodic payments shall be made between: (i) the </w:t>
      </w:r>
      <w:r w:rsidR="00AF6AAB">
        <w:t>Provider and/or the Sub-C</w:t>
      </w:r>
      <w:r w:rsidR="00AF6AAB" w:rsidRPr="00AF6AAB">
        <w:t xml:space="preserve">ontractor (as appropriate); and (ii) the Replacement </w:t>
      </w:r>
      <w:r w:rsidR="00AF6AAB">
        <w:t>Provider and/or Replacement Sub-C</w:t>
      </w:r>
      <w:r w:rsidR="00AF6AAB" w:rsidRPr="00AF6AAB">
        <w:t>ontractor</w:t>
      </w:r>
      <w:r w:rsidRPr="001A1836">
        <w:t xml:space="preserve">.  </w:t>
      </w:r>
      <w:bookmarkStart w:id="2108" w:name="_Ref492896697"/>
    </w:p>
    <w:p w14:paraId="4BBACCF6" w14:textId="77777777" w:rsidR="00AF6AAB" w:rsidRDefault="00B074CC">
      <w:pPr>
        <w:pStyle w:val="GSRL4numberedclause"/>
      </w:pPr>
      <w:r w:rsidRPr="001A1836">
        <w:t>Subject to paragraph </w:t>
      </w:r>
      <w:r w:rsidR="001F6043">
        <w:t>2.4</w:t>
      </w:r>
      <w:r w:rsidRPr="001A1836">
        <w:t>, the Provider shall indemnify HSE and/or the Replacement Provider and/or any Replacement Sub-Contractor against any Employee Liabilities arising from or as a result of</w:t>
      </w:r>
      <w:r w:rsidR="00AF6AAB">
        <w:t>:</w:t>
      </w:r>
      <w:r w:rsidRPr="001A1836">
        <w:t xml:space="preserve"> </w:t>
      </w:r>
    </w:p>
    <w:p w14:paraId="4898D370" w14:textId="77777777" w:rsidR="00AF6AAB" w:rsidRDefault="00B074CC">
      <w:pPr>
        <w:pStyle w:val="GSRL5numberedclause"/>
      </w:pPr>
      <w:r w:rsidRPr="001A1836">
        <w:t>any act or omission of the Provider or any Sub-Contractor in respect of any Transferring Provider Employee or any appropriate employee representative (as defined in the Employment Regulations) of any Transferring Provider Employee whether occurring before, on or after the Service Transfer Date</w:t>
      </w:r>
      <w:r w:rsidR="00AF6AAB">
        <w:t>;</w:t>
      </w:r>
    </w:p>
    <w:p w14:paraId="481754E3" w14:textId="71FE0D48" w:rsidR="00AF6AAB" w:rsidRDefault="00AF6AAB">
      <w:pPr>
        <w:pStyle w:val="GSRL5numberedclause"/>
      </w:pPr>
      <w:r>
        <w:t xml:space="preserve">the breach or non-observance by the Provider or any Sub-Contractor occurring before </w:t>
      </w:r>
      <w:r w:rsidR="00B25C93">
        <w:t xml:space="preserve">but excluding </w:t>
      </w:r>
      <w:r>
        <w:t xml:space="preserve">the Service Transfer Date of: </w:t>
      </w:r>
    </w:p>
    <w:p w14:paraId="42206141" w14:textId="2791C0ED" w:rsidR="00AF6AAB" w:rsidRDefault="00AF6AAB">
      <w:pPr>
        <w:pStyle w:val="GSRL6numberedclause"/>
      </w:pPr>
      <w:r>
        <w:t>any collective agreement applicable to the Transferring Provider Employees; and/or</w:t>
      </w:r>
    </w:p>
    <w:p w14:paraId="6F3FDDD1" w14:textId="7151683D" w:rsidR="00AF6AAB" w:rsidRDefault="00AF6AAB">
      <w:pPr>
        <w:pStyle w:val="GSRL6numberedclause"/>
      </w:pPr>
      <w:r>
        <w:t>any other custom or practice with a trade union or staff association in respect of any Transferring Provider Employees which the Provider or any Sub-Contractor is contractually bound to honour;</w:t>
      </w:r>
    </w:p>
    <w:p w14:paraId="002D87A7" w14:textId="627FD656" w:rsidR="00AF6AAB" w:rsidRDefault="00AF6AAB">
      <w:pPr>
        <w:pStyle w:val="GSRL5numberedclause"/>
      </w:pPr>
      <w:r>
        <w:t xml:space="preserve">any claim by any trade union or other body or person representing any Transferring Provider Employees arising from or connected with any failure by the Provider or a Sub-Contractor to comply with any legal obligation to such trade union, body or person arising before </w:t>
      </w:r>
      <w:r w:rsidR="00B25C93">
        <w:t xml:space="preserve">but excluding </w:t>
      </w:r>
      <w:r>
        <w:t>the Service Transfer Date;</w:t>
      </w:r>
    </w:p>
    <w:p w14:paraId="6DB9B45B" w14:textId="77777777" w:rsidR="00AF6AAB" w:rsidRDefault="00AF6AAB">
      <w:pPr>
        <w:pStyle w:val="GSRL5numberedclause"/>
      </w:pPr>
      <w:r>
        <w:lastRenderedPageBreak/>
        <w:t>any proceeding, claim or demand by HMRC or other statutory authority in respect of any financial obligation including, but not limited to, PAYE and primary and secondary national insurance contributions:</w:t>
      </w:r>
    </w:p>
    <w:p w14:paraId="08490B16" w14:textId="5D4E7CCE" w:rsidR="00AF6AAB" w:rsidRDefault="00AF6AAB" w:rsidP="00B25C93">
      <w:pPr>
        <w:pStyle w:val="GSRL6numberedclause"/>
      </w:pPr>
      <w:r>
        <w:t xml:space="preserve">in relation to any Transferring Provider Employee, to the extent that the proceeding, claim or demand by HMRC or other statutory authority relates to financial obligations arising before </w:t>
      </w:r>
      <w:r w:rsidR="00B25C93">
        <w:t xml:space="preserve">but excluding </w:t>
      </w:r>
      <w:r>
        <w:t>the Service Transfer Date; and</w:t>
      </w:r>
    </w:p>
    <w:p w14:paraId="753B0ECD" w14:textId="73C3615D" w:rsidR="00AF6AAB" w:rsidRDefault="00AF6AAB" w:rsidP="00B25C93">
      <w:pPr>
        <w:pStyle w:val="GSRL6numberedclause"/>
      </w:pPr>
      <w:r>
        <w:t xml:space="preserve">in relation to any employee who is not identified in the Provider's Final Provider Personnel List, and in respect of whom it is later alleged or determined that the Employment Regulations applied so as to transfer their employment from the Provider to HSE and/or Replacement Provider and/or any Replacement Sub-Contractor, to the extent that the proceeding, claim or demand by HMRC or other statutory authority relates to financial obligations arising before </w:t>
      </w:r>
      <w:r w:rsidR="00B25C93">
        <w:t xml:space="preserve">but excluding </w:t>
      </w:r>
      <w:r>
        <w:t>the Service Transfer Date;</w:t>
      </w:r>
    </w:p>
    <w:p w14:paraId="75B3B712" w14:textId="480F0C5D" w:rsidR="00AF6AAB" w:rsidRDefault="00AF6AAB" w:rsidP="0DAA85EB">
      <w:pPr>
        <w:pStyle w:val="GSRL5numberedclause"/>
      </w:pPr>
      <w:r>
        <w:t>a failure of the Provider or any Sub-Contractor to discharge or procure the discharge of all wages, salaries and all other benefits and all PAYE tax deductions and national insurance contributions relating to the Transferring Provider Employees in respect of the period up to (</w:t>
      </w:r>
      <w:r w:rsidR="00B25C93">
        <w:t>but excluding</w:t>
      </w:r>
      <w:r>
        <w:t>) the Service Transfer Date);</w:t>
      </w:r>
    </w:p>
    <w:p w14:paraId="0A831D43" w14:textId="00FC6ACF" w:rsidR="00AF6AAB" w:rsidRDefault="00AF6AAB">
      <w:pPr>
        <w:pStyle w:val="GSRL5numberedclause"/>
      </w:pPr>
      <w:r>
        <w:t>any claim made by or in respect of any person employed or formerly employed by the Provider or any Sub-Contractor other than a Transferring Provider Employee identified in the Provider's Final Provider Personnel List for whom it is alleged HSE and/or the Replacement Provider and/or any Replacement Sub-Contractor may be liable by virtue of this Agreement and/or the Employment Regulations; and</w:t>
      </w:r>
    </w:p>
    <w:p w14:paraId="6FBA3C0F" w14:textId="12E72C6E" w:rsidR="00B074CC" w:rsidRPr="001A1836" w:rsidRDefault="00AF6AAB">
      <w:pPr>
        <w:pStyle w:val="GSRL5numberedclause"/>
      </w:pPr>
      <w:r>
        <w:t>any claim made by or in respect of a Transferring Provider Employee or any appropriate employee representative (as defined in the Employment Regulations) of any Transferring Provider Employee relating to any act or omission of the Provider or any Sub-Contractor in relation to its obligations under regulation 13 of the Employment Regulations, except to the extent that the liability arises from the failure by HSE and/or Replacement Provider to comply with regulation 13(4) of the Employment Regulations</w:t>
      </w:r>
      <w:r w:rsidR="00B074CC" w:rsidRPr="001A1836">
        <w:t>.</w:t>
      </w:r>
      <w:bookmarkStart w:id="2109" w:name="_Ref492896694"/>
      <w:bookmarkEnd w:id="2108"/>
    </w:p>
    <w:p w14:paraId="44F10CB7" w14:textId="396EB332" w:rsidR="00AF6AAB" w:rsidRDefault="00B074CC">
      <w:pPr>
        <w:pStyle w:val="GSRL4numberedclause"/>
      </w:pPr>
      <w:r w:rsidRPr="001A1836">
        <w:t>The indemnit</w:t>
      </w:r>
      <w:r w:rsidR="00AF6AAB">
        <w:t>ies</w:t>
      </w:r>
      <w:r w:rsidRPr="001A1836">
        <w:t xml:space="preserve"> in paragraph </w:t>
      </w:r>
      <w:r w:rsidR="009577FF">
        <w:t>2.3</w:t>
      </w:r>
      <w:r w:rsidRPr="001A1836">
        <w:t xml:space="preserve"> shall not apply to the extent that the Employee Liabilities arise or are attributable to an act or omission of the Replacement Provider and/or any Replacement Sub-Contractor whether occurring or having its origin before, on or after the Service Transfer Date</w:t>
      </w:r>
      <w:r w:rsidR="00AF6AAB">
        <w:t>, including any Employee Liabilities:</w:t>
      </w:r>
    </w:p>
    <w:p w14:paraId="4AC9CDF9" w14:textId="625F77EB" w:rsidR="00AF6AAB" w:rsidRDefault="00AF6AAB">
      <w:pPr>
        <w:pStyle w:val="GSRL5numberedclause"/>
      </w:pPr>
      <w:r>
        <w:t>arising out of the resignation of any Transferring Provider Employee before the Service Transfer Date on account of substantial detrimental changes to their working conditions proposed by the Replacement Provider and/or any Replacement Sub-Contractor to occur in the period on or after the Service Transfer Date); or</w:t>
      </w:r>
    </w:p>
    <w:p w14:paraId="569F10F8" w14:textId="0FDF2913" w:rsidR="00B074CC" w:rsidRPr="001A1836" w:rsidRDefault="00AF6AAB">
      <w:pPr>
        <w:pStyle w:val="GSRL5numberedclause"/>
      </w:pPr>
      <w:r>
        <w:t>arising from the Replacement Provider's failure, and/or Replacement Sub-Contractor's failure, to comply with its obligations under the Employment Regulations</w:t>
      </w:r>
      <w:r w:rsidR="00B074CC" w:rsidRPr="001A1836">
        <w:t>.</w:t>
      </w:r>
      <w:bookmarkEnd w:id="2109"/>
      <w:r w:rsidR="00B074CC" w:rsidRPr="001A1836">
        <w:t xml:space="preserve"> </w:t>
      </w:r>
      <w:bookmarkStart w:id="2110" w:name="_Ref492896737"/>
    </w:p>
    <w:p w14:paraId="2F5AEE4F" w14:textId="261C123E" w:rsidR="00B074CC" w:rsidRPr="001A1836" w:rsidRDefault="00625950">
      <w:pPr>
        <w:pStyle w:val="GSRL4numberedclause"/>
      </w:pPr>
      <w:r>
        <w:t>Subject to paragraphs</w:t>
      </w:r>
      <w:r w:rsidR="00B074CC" w:rsidRPr="001A1836">
        <w:t xml:space="preserve"> </w:t>
      </w:r>
      <w:r w:rsidR="001F6043">
        <w:t>2.6</w:t>
      </w:r>
      <w:r w:rsidR="00B074CC" w:rsidRPr="001A1836">
        <w:t xml:space="preserve">, if any employee of the Provider who is not identified in the Provider's Final Transferring Provider Employee List claims, or it is determined in relation to any employees of the Provider, that </w:t>
      </w:r>
      <w:r w:rsidR="0021283B">
        <w:t>their</w:t>
      </w:r>
      <w:r w:rsidR="00B074CC" w:rsidRPr="001A1836">
        <w:t xml:space="preserve"> contract of employment has been transferred from the Provider to the Replacement Provider and/or Replacement Sub-Contractor pursuant to the Employment Regulations</w:t>
      </w:r>
      <w:r w:rsidR="0021283B">
        <w:t>,</w:t>
      </w:r>
      <w:r w:rsidR="00B074CC" w:rsidRPr="001A1836">
        <w:t xml:space="preserve"> then</w:t>
      </w:r>
      <w:r w:rsidR="0021283B">
        <w:t>:</w:t>
      </w:r>
      <w:bookmarkStart w:id="2111" w:name="_Ref492896726"/>
      <w:bookmarkEnd w:id="2110"/>
    </w:p>
    <w:p w14:paraId="4E751BF9" w14:textId="61C54C26" w:rsidR="00B074CC" w:rsidRPr="001A1836" w:rsidRDefault="0021283B">
      <w:pPr>
        <w:pStyle w:val="GSRL5numberedclause"/>
      </w:pPr>
      <w:r>
        <w:lastRenderedPageBreak/>
        <w:t xml:space="preserve">HSE will procure that </w:t>
      </w:r>
      <w:r w:rsidR="00B074CC" w:rsidRPr="001A1836">
        <w:t xml:space="preserve">the Replacement Provider and/or Replacement Sub-Contractor will, within </w:t>
      </w:r>
      <w:r w:rsidR="00DD1E9F" w:rsidRPr="001A1836">
        <w:t>five (</w:t>
      </w:r>
      <w:r w:rsidR="00B074CC" w:rsidRPr="001A1836">
        <w:t>5</w:t>
      </w:r>
      <w:r w:rsidR="00DD1E9F" w:rsidRPr="001A1836">
        <w:t>)</w:t>
      </w:r>
      <w:r w:rsidR="00B074CC" w:rsidRPr="001A1836">
        <w:t xml:space="preserve"> Working Days of becoming aware of that fact, notify HSE and the Provider in writing;</w:t>
      </w:r>
      <w:bookmarkStart w:id="2112" w:name="_Ref492896721"/>
      <w:bookmarkEnd w:id="2111"/>
    </w:p>
    <w:p w14:paraId="7DBF0009" w14:textId="739CA0E6" w:rsidR="00B074CC" w:rsidRPr="001A1836" w:rsidRDefault="00B074CC">
      <w:pPr>
        <w:pStyle w:val="GSRL5numberedclause"/>
      </w:pPr>
      <w:r w:rsidRPr="001A1836">
        <w:t xml:space="preserve">the Provider may offer </w:t>
      </w:r>
      <w:r w:rsidR="0021283B">
        <w:t>(</w:t>
      </w:r>
      <w:r w:rsidR="0021283B" w:rsidRPr="0021283B">
        <w:t>or may procure that a Sub-contractor may offer)</w:t>
      </w:r>
      <w:r w:rsidR="0021283B">
        <w:t xml:space="preserve"> </w:t>
      </w:r>
      <w:r w:rsidRPr="001A1836">
        <w:t>employment to such person, or take such other steps as it considered appropriate to resolve the matter</w:t>
      </w:r>
      <w:r w:rsidR="0021283B">
        <w:t xml:space="preserve"> (</w:t>
      </w:r>
      <w:r w:rsidR="0021283B" w:rsidRPr="0021283B">
        <w:t>provided always that such steps are in compliance with Law</w:t>
      </w:r>
      <w:r w:rsidR="0021283B">
        <w:t>)</w:t>
      </w:r>
      <w:r w:rsidRPr="001A1836">
        <w:t xml:space="preserve">, within </w:t>
      </w:r>
      <w:r w:rsidR="00DD1E9F" w:rsidRPr="001A1836">
        <w:t>ten (</w:t>
      </w:r>
      <w:r w:rsidRPr="001A1836">
        <w:t>10</w:t>
      </w:r>
      <w:r w:rsidR="00DD1E9F" w:rsidRPr="001A1836">
        <w:t>)</w:t>
      </w:r>
      <w:r w:rsidRPr="001A1836">
        <w:t xml:space="preserve"> Working Days of receipt of notice from the Replacement Provider and/or Replacement Sub-Contractor;</w:t>
      </w:r>
      <w:bookmarkEnd w:id="2112"/>
    </w:p>
    <w:p w14:paraId="23715EA5" w14:textId="6D403DB3" w:rsidR="00B074CC" w:rsidRPr="001A1836" w:rsidRDefault="00B074CC">
      <w:pPr>
        <w:pStyle w:val="GSRL5numberedclause"/>
      </w:pPr>
      <w:r w:rsidRPr="001A1836">
        <w:t xml:space="preserve">if such offer of employment is accepted, </w:t>
      </w:r>
      <w:r w:rsidR="0021283B" w:rsidRPr="0021283B">
        <w:t xml:space="preserve">or if the situation has otherwise been resolved by the </w:t>
      </w:r>
      <w:r w:rsidR="0021283B">
        <w:t>Provider</w:t>
      </w:r>
      <w:r w:rsidR="0021283B" w:rsidRPr="0021283B">
        <w:t xml:space="preserve"> or a Sub-contractor</w:t>
      </w:r>
      <w:r w:rsidR="0021283B">
        <w:t xml:space="preserve">, HSE shall procure that </w:t>
      </w:r>
      <w:r w:rsidRPr="001A1836">
        <w:t xml:space="preserve">the Replacement Provider and/or Replacement Sub-Contractor shall immediately release </w:t>
      </w:r>
      <w:r w:rsidR="0021283B">
        <w:t xml:space="preserve">or procure the release of </w:t>
      </w:r>
      <w:r w:rsidRPr="001A1836">
        <w:t xml:space="preserve">the person from </w:t>
      </w:r>
      <w:r w:rsidR="0021283B">
        <w:t>their</w:t>
      </w:r>
      <w:r w:rsidR="0021283B" w:rsidRPr="001A1836">
        <w:t xml:space="preserve"> </w:t>
      </w:r>
      <w:r w:rsidRPr="001A1836">
        <w:t>employment</w:t>
      </w:r>
      <w:r w:rsidR="0021283B">
        <w:t xml:space="preserve"> or alleged employment</w:t>
      </w:r>
      <w:r w:rsidRPr="001A1836">
        <w:t>;</w:t>
      </w:r>
      <w:bookmarkStart w:id="2113" w:name="_Ref492896730"/>
    </w:p>
    <w:p w14:paraId="47517A7E" w14:textId="081C7B54" w:rsidR="0021283B" w:rsidRDefault="00B074CC">
      <w:pPr>
        <w:pStyle w:val="GSRL5numberedclause"/>
      </w:pPr>
      <w:r w:rsidRPr="001A1836">
        <w:t xml:space="preserve">if after the </w:t>
      </w:r>
      <w:r w:rsidR="001F6043">
        <w:t>period referred to in paragraph 2.5.2</w:t>
      </w:r>
      <w:r w:rsidRPr="001A1836">
        <w:t xml:space="preserve"> no such offer has been made, or such offer has been made but not accepted,</w:t>
      </w:r>
      <w:r w:rsidR="0021283B">
        <w:t xml:space="preserve"> or </w:t>
      </w:r>
      <w:r w:rsidR="0021283B" w:rsidRPr="0021283B">
        <w:t>the situation has not otherwise been resolved</w:t>
      </w:r>
      <w:r w:rsidR="0021283B">
        <w:t>.</w:t>
      </w:r>
      <w:r w:rsidR="0021283B" w:rsidRPr="001A1836">
        <w:t xml:space="preserve"> </w:t>
      </w:r>
      <w:r w:rsidR="0021283B">
        <w:t>HSE</w:t>
      </w:r>
      <w:r w:rsidR="0021283B" w:rsidRPr="0021283B">
        <w:t xml:space="preserve"> shall advise the Replacement </w:t>
      </w:r>
      <w:r w:rsidR="0021283B">
        <w:t>Provider and/or Replacement Sub-C</w:t>
      </w:r>
      <w:r w:rsidR="0021283B" w:rsidRPr="0021283B">
        <w:t>ontractor, as appropriate</w:t>
      </w:r>
      <w:r w:rsidR="0021283B">
        <w:t>,</w:t>
      </w:r>
      <w:r w:rsidR="0021283B" w:rsidRPr="0021283B">
        <w:t xml:space="preserve"> </w:t>
      </w:r>
      <w:r w:rsidR="0021283B">
        <w:t>that it</w:t>
      </w:r>
      <w:r w:rsidR="0021283B" w:rsidRPr="001A1836">
        <w:t xml:space="preserve"> may within five (5) Working Days give notice to terminate the employment of such person;</w:t>
      </w:r>
      <w:r w:rsidR="00BE18FE">
        <w:t xml:space="preserve"> and</w:t>
      </w:r>
    </w:p>
    <w:bookmarkEnd w:id="2113"/>
    <w:p w14:paraId="3023AC56" w14:textId="092A929F" w:rsidR="00B074CC" w:rsidRPr="001A1836" w:rsidRDefault="00B074CC">
      <w:pPr>
        <w:pStyle w:val="GSRL5numberedclause"/>
      </w:pPr>
      <w:r w:rsidRPr="001A1836">
        <w:t xml:space="preserve">subject to the Replacement Provider's and/or Replacement Sub-Contractor's compliance with paragraphs </w:t>
      </w:r>
      <w:r w:rsidR="001F6043">
        <w:t>2.5.1 to 2.5.4</w:t>
      </w:r>
      <w:r w:rsidRPr="001A1836">
        <w:t xml:space="preserve"> the Provider will indemnify the Replacement Provider and/or Replacement Sub-Contractor against all Employee Liabilities arising out of the termination of the employment of any of the Provider's  employees referred to in</w:t>
      </w:r>
      <w:r w:rsidR="001F6043">
        <w:t xml:space="preserve"> this</w:t>
      </w:r>
      <w:r w:rsidRPr="001A1836">
        <w:t xml:space="preserve"> paragraph</w:t>
      </w:r>
      <w:r w:rsidR="001F6043">
        <w:t xml:space="preserve"> 2.5</w:t>
      </w:r>
      <w:r w:rsidRPr="001A1836">
        <w:t xml:space="preserve">. </w:t>
      </w:r>
      <w:bookmarkStart w:id="2114" w:name="_Ref492896705"/>
    </w:p>
    <w:p w14:paraId="639720F4" w14:textId="464FD2AD" w:rsidR="00B074CC" w:rsidRPr="001A1836" w:rsidRDefault="00B074CC">
      <w:pPr>
        <w:pStyle w:val="GSRL4numberedclause"/>
      </w:pPr>
      <w:r w:rsidRPr="001A1836">
        <w:t>The indemnity in paragraph </w:t>
      </w:r>
      <w:r w:rsidR="001F6043">
        <w:t>2.5</w:t>
      </w:r>
      <w:r w:rsidRPr="001A1836">
        <w:t xml:space="preserve"> shall not apply to:</w:t>
      </w:r>
      <w:bookmarkEnd w:id="2114"/>
    </w:p>
    <w:p w14:paraId="37D815F2" w14:textId="528127F3" w:rsidR="00B074CC" w:rsidRPr="001A1836" w:rsidRDefault="00B074CC">
      <w:pPr>
        <w:pStyle w:val="GSRL5numberedclause"/>
      </w:pPr>
      <w:r w:rsidRPr="001A1836">
        <w:t>any claim 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Replacement Provider and/or Replacement Sub-Contractor</w:t>
      </w:r>
      <w:r w:rsidR="00BE18FE">
        <w:t>;</w:t>
      </w:r>
      <w:r w:rsidRPr="001A1836">
        <w:t xml:space="preserve"> or</w:t>
      </w:r>
    </w:p>
    <w:p w14:paraId="1033361A" w14:textId="77777777" w:rsidR="00BE18FE" w:rsidRDefault="00B074CC">
      <w:pPr>
        <w:pStyle w:val="GSRL5numberedclause"/>
      </w:pPr>
      <w:r w:rsidRPr="001A1836">
        <w:t>any claim that the termination of employment was unfair because the Replacement Provider and/or Replacement Sub-Contractor neglected to follow a fair dismissal procedure</w:t>
      </w:r>
      <w:r w:rsidR="00BE18FE">
        <w:t>; or</w:t>
      </w:r>
    </w:p>
    <w:p w14:paraId="77CEAE91" w14:textId="7B2EADB6" w:rsidR="00B074CC" w:rsidRPr="001A1836" w:rsidRDefault="00BE18FE">
      <w:pPr>
        <w:pStyle w:val="GSRL5numberedclause"/>
      </w:pPr>
      <w:r w:rsidRPr="001A1836">
        <w:t xml:space="preserve">any termination of </w:t>
      </w:r>
      <w:r>
        <w:t xml:space="preserve">the </w:t>
      </w:r>
      <w:r w:rsidRPr="001A1836">
        <w:t xml:space="preserve">employment </w:t>
      </w:r>
      <w:r>
        <w:t xml:space="preserve">of any person </w:t>
      </w:r>
      <w:r w:rsidRPr="001A1836">
        <w:t>referred to in paragraph </w:t>
      </w:r>
      <w:r>
        <w:t xml:space="preserve">2.5.1 that is </w:t>
      </w:r>
      <w:r w:rsidRPr="008774D5">
        <w:t xml:space="preserve">made pursuant to the provisions of paragraph </w:t>
      </w:r>
      <w:r>
        <w:t>2.5.4 more</w:t>
      </w:r>
      <w:r w:rsidRPr="001A1836">
        <w:t xml:space="preserve"> than 3 Months </w:t>
      </w:r>
      <w:r>
        <w:t>after</w:t>
      </w:r>
      <w:r w:rsidRPr="001A1836">
        <w:t xml:space="preserve"> the </w:t>
      </w:r>
      <w:r>
        <w:t>Service Transfer</w:t>
      </w:r>
      <w:r w:rsidRPr="001A1836">
        <w:t xml:space="preserve"> Date</w:t>
      </w:r>
      <w:r w:rsidR="00B074CC" w:rsidRPr="001A1836">
        <w:t>.</w:t>
      </w:r>
      <w:bookmarkStart w:id="2115" w:name="_Ref492896709"/>
    </w:p>
    <w:p w14:paraId="797867D6" w14:textId="62F9EF38" w:rsidR="00BE18FE" w:rsidRDefault="00BE18FE">
      <w:pPr>
        <w:pStyle w:val="GSRL4numberedclause"/>
      </w:pPr>
      <w:bookmarkStart w:id="2116" w:name="_Ref492896770"/>
      <w:bookmarkEnd w:id="2115"/>
      <w:r>
        <w:t>If any such person as is described in paragraph 2.5 is neither re-employed by the Provider or any Sub-Contractor nor dismissed by the Replacement Provider and/or Replacement Sub-Contractor wit</w:t>
      </w:r>
      <w:r w:rsidR="004A68CA">
        <w:t>hin the time</w:t>
      </w:r>
      <w:r>
        <w:t>scales set out in p</w:t>
      </w:r>
      <w:r w:rsidR="003D49CB">
        <w:t>aragraphs 2.5</w:t>
      </w:r>
      <w:r>
        <w:t xml:space="preserve">, such person shall be treated as a Transferring </w:t>
      </w:r>
      <w:r w:rsidR="003D49CB">
        <w:t>Provider</w:t>
      </w:r>
      <w:r>
        <w:t xml:space="preserve"> Employee.</w:t>
      </w:r>
    </w:p>
    <w:p w14:paraId="1B347095" w14:textId="5D274AB5" w:rsidR="00BE18FE" w:rsidRDefault="00BE18FE">
      <w:pPr>
        <w:pStyle w:val="GSRL4numberedclause"/>
      </w:pPr>
      <w:r>
        <w:t xml:space="preserve">The </w:t>
      </w:r>
      <w:r w:rsidR="004A68CA">
        <w:t>Provider</w:t>
      </w:r>
      <w:r>
        <w:t xml:space="preserve"> shall comply, a</w:t>
      </w:r>
      <w:r w:rsidR="004A68CA">
        <w:t>nd shall procure that each Sub-C</w:t>
      </w:r>
      <w:r>
        <w:t>ontractor shall comply, with all its obligations under the Employment Regulations and shall perform and discharge, a</w:t>
      </w:r>
      <w:r w:rsidR="004A68CA">
        <w:t>nd shall procure that each Sub-C</w:t>
      </w:r>
      <w:r>
        <w:t xml:space="preserve">ontractor shall perform and discharge, all its obligations in respect of any person identified in the </w:t>
      </w:r>
      <w:r w:rsidR="004A68CA">
        <w:t>Provider</w:t>
      </w:r>
      <w:r>
        <w:t xml:space="preserve">'s Final </w:t>
      </w:r>
      <w:r w:rsidR="004A68CA">
        <w:t>Provider</w:t>
      </w:r>
      <w:r>
        <w:t xml:space="preserve">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w:t>
      </w:r>
      <w:r w:rsidR="004A68CA">
        <w:t>Fair Deal Schemes</w:t>
      </w:r>
      <w:r>
        <w:t xml:space="preserve"> and any requirement to set up a broadly comparable pension scheme which in any case are attributable in whole or in </w:t>
      </w:r>
      <w:r>
        <w:lastRenderedPageBreak/>
        <w:t xml:space="preserve">part in respect of the period up to (and including) the Service Transfer Date) and any necessary apportionments in respect of any periodic payments shall be made between: </w:t>
      </w:r>
    </w:p>
    <w:p w14:paraId="45CFD713" w14:textId="7256BF9A" w:rsidR="00BE18FE" w:rsidRDefault="00BE18FE">
      <w:pPr>
        <w:pStyle w:val="GSRL5numberedclause"/>
      </w:pPr>
      <w:r>
        <w:t xml:space="preserve">the </w:t>
      </w:r>
      <w:r w:rsidR="004A68CA">
        <w:t>Provider and/or any Sub-C</w:t>
      </w:r>
      <w:r>
        <w:t>ontractor; and</w:t>
      </w:r>
    </w:p>
    <w:p w14:paraId="517AD0AA" w14:textId="6F094F8A" w:rsidR="00BE18FE" w:rsidRDefault="00BE18FE">
      <w:pPr>
        <w:pStyle w:val="GSRL5numberedclause"/>
      </w:pPr>
      <w:r>
        <w:t xml:space="preserve">the Replacement </w:t>
      </w:r>
      <w:r w:rsidR="004A68CA">
        <w:t>Provider and/or the Replacement Sub-C</w:t>
      </w:r>
      <w:r>
        <w:t>ontractor.</w:t>
      </w:r>
    </w:p>
    <w:p w14:paraId="2EF2D151" w14:textId="0665C3FE" w:rsidR="00B074CC" w:rsidRPr="001A1836" w:rsidRDefault="00B074CC">
      <w:pPr>
        <w:pStyle w:val="GSRL4numberedclause"/>
      </w:pPr>
      <w:r w:rsidRPr="001A1836">
        <w:t>The Provider shall</w:t>
      </w:r>
      <w:r w:rsidR="004A68CA">
        <w:t xml:space="preserve">, </w:t>
      </w:r>
      <w:r w:rsidR="004A68CA" w:rsidRPr="004A68CA">
        <w:t>and shall procure that each Sub-contractor shall</w:t>
      </w:r>
      <w:r w:rsidR="004A68CA">
        <w:t>,</w:t>
      </w:r>
      <w:r w:rsidRPr="001A1836">
        <w:t xml:space="preserve"> promptly provide HSE and any Replacement Provider and/or Replacement Sub-Contractor, in writing such information as is necessary to enable HSE, the Replacement Provider and/or Replacement Sub-Contractor to carry out their respective duties under regulation 13 of the Employment Regulations. HSE shall procure that the Replacement Provider and/or Replacement Sub-Contractor, shall promptly provide to the Provider and each Sub-Contractor in writing such information as is necessary to enable the Provider and each Sub-Contractor to carry out their respective duties under regulation 13 of the Employment Regulations.</w:t>
      </w:r>
      <w:bookmarkStart w:id="2117" w:name="_Ref492896779"/>
      <w:bookmarkEnd w:id="2116"/>
    </w:p>
    <w:p w14:paraId="66CCCF93" w14:textId="77777777" w:rsidR="007A2345" w:rsidRDefault="00B074CC">
      <w:pPr>
        <w:pStyle w:val="GSRL4numberedclause"/>
      </w:pPr>
      <w:r w:rsidRPr="001A1836">
        <w:t>Subject to paragraph</w:t>
      </w:r>
      <w:r w:rsidR="001F6043">
        <w:t xml:space="preserve"> 2.</w:t>
      </w:r>
      <w:r w:rsidR="004A68CA">
        <w:t>11</w:t>
      </w:r>
      <w:r w:rsidRPr="001A1836">
        <w:t xml:space="preserve">, HSE shall procure that the Replacement Provider indemnifies the Provider on its own behalf and on behalf of any Replacement Sub-Contractor and its </w:t>
      </w:r>
      <w:r w:rsidR="004A68CA">
        <w:t>s</w:t>
      </w:r>
      <w:r w:rsidRPr="001A1836">
        <w:t>ub-</w:t>
      </w:r>
      <w:r w:rsidR="004A68CA">
        <w:t>c</w:t>
      </w:r>
      <w:r w:rsidRPr="001A1836">
        <w:t>ontractors against any Employee Liabilities arising from or as a result of</w:t>
      </w:r>
      <w:r w:rsidR="007A2345">
        <w:t>:</w:t>
      </w:r>
    </w:p>
    <w:p w14:paraId="6444D5EF" w14:textId="41D33D18" w:rsidR="009C2518" w:rsidRDefault="00B074CC" w:rsidP="007A2345">
      <w:pPr>
        <w:pStyle w:val="GSRL5numberedclause"/>
      </w:pPr>
      <w:r w:rsidRPr="001A1836">
        <w:t xml:space="preserve"> any act or omission</w:t>
      </w:r>
      <w:r w:rsidR="00A50CC1">
        <w:t xml:space="preserve"> </w:t>
      </w:r>
      <w:r w:rsidRPr="001A1836">
        <w:t xml:space="preserve">of the Replacement Provider and/or Replacement Sub-Contractor in respect of any Transferring Provider Employee </w:t>
      </w:r>
      <w:r w:rsidR="001D1F70">
        <w:t xml:space="preserve">identified in the Provider’s Final Provider Personnel List </w:t>
      </w:r>
      <w:r w:rsidRPr="001A1836">
        <w:t>or any appropriate employee representative (as defined in the Employment Regulations) of any such Transferring Provider Employee</w:t>
      </w:r>
      <w:r w:rsidR="009C2518">
        <w:t>;</w:t>
      </w:r>
    </w:p>
    <w:p w14:paraId="27B8632D" w14:textId="3AA4AE79" w:rsidR="009C2518" w:rsidRDefault="00A23D10" w:rsidP="007A2345">
      <w:pPr>
        <w:pStyle w:val="GSRL5numberedclause"/>
      </w:pPr>
      <w:r>
        <w:t>t</w:t>
      </w:r>
      <w:r w:rsidR="009C2518">
        <w:t>he breach or non-observance by the Replacement Provider and/or Replacement Sub-Contractor on or after the Service Transfer Date of:</w:t>
      </w:r>
    </w:p>
    <w:p w14:paraId="4CC369FE" w14:textId="57966E32" w:rsidR="009C2518" w:rsidRDefault="00A23D10" w:rsidP="009C2518">
      <w:pPr>
        <w:pStyle w:val="GSRL6numberedclause"/>
      </w:pPr>
      <w:r>
        <w:t>a</w:t>
      </w:r>
      <w:r w:rsidR="009C2518">
        <w:t>ny collective agreement applicable to the Transferring Provider Employees identified in the Provider’s Final Provider Personnel List; and/or</w:t>
      </w:r>
    </w:p>
    <w:p w14:paraId="05172EC4" w14:textId="762BB8EA" w:rsidR="00EE5B01" w:rsidRDefault="00A23D10" w:rsidP="009C2518">
      <w:pPr>
        <w:pStyle w:val="GSRL6numberedclause"/>
      </w:pPr>
      <w:r>
        <w:t>a</w:t>
      </w:r>
      <w:r w:rsidR="009C2518">
        <w:t xml:space="preserve">ny custom or practice in respect of any Transferring Provider Employees identified in the Provider’s Final Provider Personnel List which the Replacement Provider and/or </w:t>
      </w:r>
      <w:r w:rsidR="00EE5B01">
        <w:t>Replacement Sub-Contractor is contractually bound to honour;</w:t>
      </w:r>
    </w:p>
    <w:p w14:paraId="12E77E47" w14:textId="77777777" w:rsidR="00BA6FC4" w:rsidRPr="00BA6FC4" w:rsidRDefault="00804AD0" w:rsidP="00EE5B01">
      <w:pPr>
        <w:pStyle w:val="GSRL5numberedclause"/>
      </w:pPr>
      <w:r>
        <w:t xml:space="preserve">any claim by any trade union or other body or person representing any Transferring Provider Employees identified in the </w:t>
      </w:r>
      <w:r w:rsidR="0023419F" w:rsidRPr="007D273A">
        <w:rPr>
          <w:color w:val="000000" w:themeColor="text1"/>
        </w:rPr>
        <w:t>Provider’s Final Provider Personnel List arising from or connected with any failure by the Replacement Provider and/or Replacement Sub-contractor to comply with any legal obligation to such trade union</w:t>
      </w:r>
      <w:r w:rsidR="00BA6FC4">
        <w:rPr>
          <w:color w:val="000000" w:themeColor="text1"/>
        </w:rPr>
        <w:t>, body or person arising on or after the Service Transfer Date;</w:t>
      </w:r>
    </w:p>
    <w:p w14:paraId="634A4B78" w14:textId="77777777" w:rsidR="002A1907" w:rsidRPr="002A1907" w:rsidRDefault="00BA6FC4" w:rsidP="00EE5B01">
      <w:pPr>
        <w:pStyle w:val="GSRL5numberedclause"/>
      </w:pPr>
      <w:r>
        <w:rPr>
          <w:color w:val="000000" w:themeColor="text1"/>
        </w:rPr>
        <w:t xml:space="preserve">any proposal </w:t>
      </w:r>
      <w:r w:rsidR="00E63CD3" w:rsidRPr="007D273A">
        <w:rPr>
          <w:color w:val="000000" w:themeColor="text1"/>
        </w:rPr>
        <w:t>by the Replacement Provider and/or Replacement Sub-Contractor to change the terms and conditions of employment or working conditions of any Transferring Provider Employees identified in the Provider’s Final Provider Personnel List on or after their transfer to the Replacement Provider or Replacement Sub-Contractor (as the case may be) on the Service Transfer Date, or to change the terms and conditions of employment or working conditions of any person identified in the Provider’s Final Provider Personnel List who would have been a Transferring Provider Employee but for their resignation (or decision to treat their employment as terminated under regulation 4(9) of the Employment Regulations) before the Service Transfer Date as a result of or for a reason connected to such proposed changes</w:t>
      </w:r>
      <w:r w:rsidR="002A1907">
        <w:rPr>
          <w:color w:val="000000" w:themeColor="text1"/>
        </w:rPr>
        <w:t>;</w:t>
      </w:r>
    </w:p>
    <w:p w14:paraId="01644F93" w14:textId="77777777" w:rsidR="00291F16" w:rsidRPr="00291F16" w:rsidRDefault="00291F16" w:rsidP="00EE5B01">
      <w:pPr>
        <w:pStyle w:val="GSRL5numberedclause"/>
      </w:pPr>
      <w:r w:rsidRPr="007D273A">
        <w:rPr>
          <w:color w:val="000000" w:themeColor="text1"/>
        </w:rPr>
        <w:t xml:space="preserve">any statement communicated to or action undertaken by the Replacement Provider or Replacement Sub-Contractor to, or in respect of, any Transferring </w:t>
      </w:r>
      <w:r w:rsidRPr="007D273A">
        <w:rPr>
          <w:color w:val="000000" w:themeColor="text1"/>
        </w:rPr>
        <w:lastRenderedPageBreak/>
        <w:t>Provider Employee identified in the Provider’s Final Provider Personnel List on or before the Service Transfer Date regarding the Relevant Transfer which has not been agreed in advance with the Provider in writing</w:t>
      </w:r>
      <w:r>
        <w:rPr>
          <w:color w:val="000000" w:themeColor="text1"/>
        </w:rPr>
        <w:t>;</w:t>
      </w:r>
    </w:p>
    <w:p w14:paraId="37A1817B" w14:textId="77777777" w:rsidR="00736548" w:rsidRPr="00736548" w:rsidRDefault="00736548" w:rsidP="00EE5B01">
      <w:pPr>
        <w:pStyle w:val="GSRL5numberedclause"/>
      </w:pPr>
      <w:r w:rsidRPr="007D273A">
        <w:rPr>
          <w:color w:val="000000" w:themeColor="text1"/>
        </w:rPr>
        <w:t>any proceeding, claim or demand by HMRC or other statutory authority in respect of any financial obligation including, but not limited to, PAYE and primary and secondary national insurance contributions</w:t>
      </w:r>
      <w:r>
        <w:rPr>
          <w:color w:val="000000" w:themeColor="text1"/>
        </w:rPr>
        <w:t>:</w:t>
      </w:r>
    </w:p>
    <w:p w14:paraId="20EFC15E" w14:textId="77777777" w:rsidR="0093508B" w:rsidRPr="0093508B" w:rsidRDefault="0093508B" w:rsidP="00736548">
      <w:pPr>
        <w:pStyle w:val="GSRL6numberedclause"/>
      </w:pPr>
      <w:r w:rsidRPr="007D273A">
        <w:rPr>
          <w:color w:val="000000" w:themeColor="text1"/>
        </w:rPr>
        <w:t>in relation to any Transferring Provider Employee identified in the Provider’s Final Provider Personnel List, to the extent that the proceeding, claim or demand by HMRC or other statutory authority relates to financial obligations arising on and after the Service Transfer Date; and</w:t>
      </w:r>
    </w:p>
    <w:p w14:paraId="20EECE1B" w14:textId="77777777" w:rsidR="002201FF" w:rsidRPr="002201FF" w:rsidRDefault="002201FF" w:rsidP="00736548">
      <w:pPr>
        <w:pStyle w:val="GSRL6numberedclause"/>
      </w:pPr>
      <w:r w:rsidRPr="007D273A">
        <w:rPr>
          <w:color w:val="000000" w:themeColor="text1"/>
        </w:rPr>
        <w:t>in relation to any employee who is not a Transferring Provider Employee identified in the Provider’s Final Provider Personnel List, and in respect of whom it is later alleged or determined that the Employment Regulations applied so as to transfer his/her employment from the Provider or Sub-Contractor, to the Replacement Provider or Replacement Sub-Contractor to the extent that the proceeding, claim or demand by HMRC or other statutory authority relates to financial obligations arising on and after the Service Transfer Date</w:t>
      </w:r>
      <w:r>
        <w:rPr>
          <w:color w:val="000000" w:themeColor="text1"/>
        </w:rPr>
        <w:t>;</w:t>
      </w:r>
    </w:p>
    <w:p w14:paraId="4E4E58DF" w14:textId="77777777" w:rsidR="00781D61" w:rsidRPr="00781D61" w:rsidRDefault="00781D61" w:rsidP="002201FF">
      <w:pPr>
        <w:pStyle w:val="GSRL5numberedclause"/>
      </w:pPr>
      <w:r w:rsidRPr="007D273A">
        <w:rPr>
          <w:color w:val="000000" w:themeColor="text1"/>
        </w:rPr>
        <w:t>a failure of the Replacement Provider or Replacement Sub-Contractor to discharge or procure the discharge of all wages, salaries and all other benefits and all PAYE tax deductions and national insurance contributions relating to the Transferring Provider Employees identified in the Provider’s Final Provider Personnel List in respect of the period from (and including) the Service Transfer Date; and</w:t>
      </w:r>
    </w:p>
    <w:p w14:paraId="3454CD58" w14:textId="4069797F" w:rsidR="00B074CC" w:rsidRPr="001A1836" w:rsidRDefault="004853A9" w:rsidP="002201FF">
      <w:pPr>
        <w:pStyle w:val="GSRL5numberedclause"/>
      </w:pPr>
      <w:r w:rsidRPr="007D273A">
        <w:rPr>
          <w:color w:val="000000" w:themeColor="text1"/>
        </w:rPr>
        <w:t>any claim made by or in respect of a Transferring Provider Employee identified in the Provider’s Final Provider Personnel List or any appropriate employee representative (as defined in the Employment Regulations) of any such Transferring Provider Employee relating to any act or omission of the Replacement Provider or Replacement Sub-contractor in relation to obligations under regulation 13 of the Employment Regulations</w:t>
      </w:r>
      <w:r w:rsidR="00B074CC" w:rsidRPr="001A1836">
        <w:t>.</w:t>
      </w:r>
      <w:bookmarkEnd w:id="2117"/>
    </w:p>
    <w:p w14:paraId="3456764C" w14:textId="4EAC9849" w:rsidR="00B074CC" w:rsidRPr="001A1836" w:rsidRDefault="00B074CC">
      <w:pPr>
        <w:pStyle w:val="GSRL4numberedclause"/>
      </w:pPr>
      <w:r w:rsidRPr="001A1836">
        <w:t>The indemnity in paragraph </w:t>
      </w:r>
      <w:r w:rsidR="001F6043">
        <w:t>2.10</w:t>
      </w:r>
      <w:r w:rsidRPr="001A1836">
        <w:t xml:space="preserve"> shall not apply to the extent that the Employee Liabilities arise or are attributable to an act or omission of the Provider and/or any Sub-Contractor (as applicable) whether occurring or having its origin before, on or after the Service Transfer Date, including any Employee Liabilities arising from the failure by the Provider and/or any Sub-Contractor (as applicable) to comply with its obligations under the Employment Regulations, or to the extent the Employee Liabilities arise out of the termination of employment of any person who is not identified in the Provider’s Final Provider Personnel List in accordance with paragraph </w:t>
      </w:r>
      <w:r w:rsidR="009D3B50">
        <w:t>2.5</w:t>
      </w:r>
      <w:r w:rsidRPr="001A1836">
        <w:t xml:space="preserve"> (and subject to the limitations set out in paragraph </w:t>
      </w:r>
      <w:r w:rsidR="001F6043">
        <w:t>2.6</w:t>
      </w:r>
      <w:r w:rsidRPr="001A1836">
        <w:t xml:space="preserve"> above).</w:t>
      </w:r>
    </w:p>
    <w:bookmarkEnd w:id="1659"/>
    <w:p w14:paraId="74050677" w14:textId="7FD4096A" w:rsidR="009D3B50" w:rsidRDefault="009D3B50">
      <w:pPr>
        <w:spacing w:before="0" w:after="0"/>
        <w:rPr>
          <w:rFonts w:cs="Arial"/>
        </w:rPr>
      </w:pPr>
      <w:r>
        <w:rPr>
          <w:rFonts w:cs="Arial"/>
        </w:rPr>
        <w:br w:type="page"/>
      </w:r>
    </w:p>
    <w:p w14:paraId="48C7A334" w14:textId="06E9AC8F" w:rsidR="009D3B50" w:rsidRPr="00A42FE2" w:rsidRDefault="009D3B50" w:rsidP="04DC3F4B">
      <w:pPr>
        <w:pStyle w:val="Heading3"/>
        <w:jc w:val="center"/>
        <w:rPr>
          <w:rFonts w:cs="Arial"/>
          <w:i w:val="0"/>
        </w:rPr>
      </w:pPr>
      <w:bookmarkStart w:id="2118" w:name="_Ref41919802"/>
      <w:bookmarkStart w:id="2119" w:name="_Toc132268110"/>
      <w:bookmarkStart w:id="2120" w:name="_Toc132268416"/>
      <w:bookmarkStart w:id="2121" w:name="_Toc136198666"/>
      <w:bookmarkStart w:id="2122" w:name="_Toc136198947"/>
      <w:r w:rsidRPr="04DC3F4B">
        <w:rPr>
          <w:rFonts w:cs="Arial"/>
          <w:i w:val="0"/>
        </w:rPr>
        <w:lastRenderedPageBreak/>
        <w:t xml:space="preserve">ANNEX </w:t>
      </w:r>
      <w:bookmarkStart w:id="2123" w:name="ANNEXE1_SCHEDULE28"/>
      <w:r w:rsidRPr="04DC3F4B">
        <w:rPr>
          <w:rFonts w:cs="Arial"/>
          <w:i w:val="0"/>
        </w:rPr>
        <w:t>E1</w:t>
      </w:r>
      <w:bookmarkEnd w:id="2118"/>
      <w:bookmarkEnd w:id="2119"/>
      <w:bookmarkEnd w:id="2120"/>
      <w:bookmarkEnd w:id="2121"/>
      <w:bookmarkEnd w:id="2122"/>
      <w:bookmarkEnd w:id="2123"/>
      <w:r w:rsidRPr="04DC3F4B">
        <w:rPr>
          <w:rFonts w:cs="Arial"/>
          <w:i w:val="0"/>
        </w:rPr>
        <w:t>:</w:t>
      </w:r>
      <w:r w:rsidR="008A603A">
        <w:rPr>
          <w:rFonts w:cs="Arial"/>
          <w:i w:val="0"/>
        </w:rPr>
        <w:t xml:space="preserve"> </w:t>
      </w:r>
      <w:r w:rsidR="00D44364">
        <w:rPr>
          <w:rFonts w:cs="Arial"/>
          <w:i w:val="0"/>
        </w:rPr>
        <w:t>[NOT USED]</w:t>
      </w:r>
    </w:p>
    <w:p w14:paraId="7CE77A2A" w14:textId="2B8530F0" w:rsidR="00A42FE2" w:rsidRPr="009D3B50" w:rsidRDefault="00A42FE2" w:rsidP="009D3B50">
      <w:pPr>
        <w:rPr>
          <w:rFonts w:cs="Arial"/>
          <w:b/>
          <w:szCs w:val="22"/>
          <w:lang w:eastAsia="en-GB"/>
        </w:rPr>
        <w:sectPr w:rsidR="00A42FE2" w:rsidRPr="009D3B50" w:rsidSect="002931FD">
          <w:footerReference w:type="default" r:id="rId24"/>
          <w:pgSz w:w="11909" w:h="16834"/>
          <w:pgMar w:top="1418" w:right="1418" w:bottom="1418" w:left="1418" w:header="709" w:footer="709" w:gutter="0"/>
          <w:paperSrc w:first="265" w:other="265"/>
          <w:cols w:space="720"/>
          <w:docGrid w:linePitch="326"/>
        </w:sectPr>
      </w:pPr>
    </w:p>
    <w:p w14:paraId="26FC87C5" w14:textId="6AF76EA0" w:rsidR="009D3B50" w:rsidRPr="00A42FE2" w:rsidRDefault="009D3B50" w:rsidP="009D3B50">
      <w:pPr>
        <w:pStyle w:val="Heading3"/>
        <w:jc w:val="center"/>
        <w:rPr>
          <w:rFonts w:cs="Arial"/>
          <w:i w:val="0"/>
          <w:szCs w:val="22"/>
        </w:rPr>
      </w:pPr>
      <w:bookmarkStart w:id="2124" w:name="_Ref_ContractCompanion_9kb9Ur476"/>
      <w:bookmarkStart w:id="2125" w:name="_9kR3WTrAG88BCLCwozOhGzmsw540868LK4CLHN"/>
      <w:bookmarkStart w:id="2126" w:name="_Ref_ContractCompanion_9kb9Us7A6"/>
      <w:bookmarkStart w:id="2127" w:name="_Toc132268111"/>
      <w:bookmarkStart w:id="2128" w:name="_Toc132268417"/>
      <w:bookmarkStart w:id="2129" w:name="_Toc136198667"/>
      <w:bookmarkStart w:id="2130" w:name="_Toc136198948"/>
      <w:r w:rsidRPr="00A42FE2">
        <w:rPr>
          <w:rFonts w:cs="Arial"/>
          <w:i w:val="0"/>
          <w:szCs w:val="22"/>
        </w:rPr>
        <w:lastRenderedPageBreak/>
        <w:t xml:space="preserve">ANNEX </w:t>
      </w:r>
      <w:bookmarkStart w:id="2131" w:name="ANNEXE2_SCHEDULE28"/>
      <w:r w:rsidRPr="00A42FE2">
        <w:rPr>
          <w:rFonts w:cs="Arial"/>
          <w:i w:val="0"/>
          <w:szCs w:val="22"/>
        </w:rPr>
        <w:t>E2</w:t>
      </w:r>
      <w:bookmarkEnd w:id="2131"/>
      <w:r w:rsidRPr="00A42FE2">
        <w:rPr>
          <w:rFonts w:cs="Arial"/>
          <w:i w:val="0"/>
          <w:szCs w:val="22"/>
        </w:rPr>
        <w:t xml:space="preserve">: </w:t>
      </w:r>
      <w:bookmarkStart w:id="2132" w:name="ANNEXE2HEADING_SCHEDULE28"/>
      <w:r w:rsidRPr="00A42FE2">
        <w:rPr>
          <w:rFonts w:cs="Arial"/>
          <w:i w:val="0"/>
          <w:szCs w:val="22"/>
        </w:rPr>
        <w:t>STAFFING INFORMATION</w:t>
      </w:r>
      <w:bookmarkEnd w:id="2124"/>
      <w:bookmarkEnd w:id="2125"/>
      <w:bookmarkEnd w:id="2126"/>
      <w:bookmarkEnd w:id="2127"/>
      <w:bookmarkEnd w:id="2128"/>
      <w:bookmarkEnd w:id="2129"/>
      <w:bookmarkEnd w:id="2130"/>
      <w:bookmarkEnd w:id="2132"/>
    </w:p>
    <w:p w14:paraId="40F168AF" w14:textId="77777777" w:rsidR="009D3B50" w:rsidRPr="009D3B50" w:rsidRDefault="009D3B50" w:rsidP="009D3B50">
      <w:pPr>
        <w:pStyle w:val="StdBodyText"/>
        <w:rPr>
          <w:rFonts w:cs="Arial"/>
          <w:sz w:val="22"/>
          <w:szCs w:val="22"/>
        </w:rPr>
      </w:pPr>
    </w:p>
    <w:p w14:paraId="0849CC6E" w14:textId="77777777" w:rsidR="009D3B50" w:rsidRPr="009D3B50" w:rsidRDefault="009D3B50" w:rsidP="009D3B50">
      <w:pPr>
        <w:pStyle w:val="StdBodyText"/>
        <w:rPr>
          <w:rFonts w:cs="Arial"/>
          <w:sz w:val="22"/>
          <w:szCs w:val="22"/>
        </w:rPr>
        <w:sectPr w:rsidR="009D3B50" w:rsidRPr="009D3B50" w:rsidSect="002931FD">
          <w:pgSz w:w="11909" w:h="16834"/>
          <w:pgMar w:top="1418" w:right="1418" w:bottom="1418" w:left="1418" w:header="709" w:footer="709" w:gutter="0"/>
          <w:paperSrc w:first="265" w:other="265"/>
          <w:cols w:space="720"/>
          <w:docGrid w:linePitch="326"/>
        </w:sectPr>
      </w:pPr>
    </w:p>
    <w:p w14:paraId="12345D0C" w14:textId="77777777" w:rsidR="009D3B50" w:rsidRPr="009D3B50" w:rsidRDefault="009D3B50" w:rsidP="009D3B50">
      <w:pPr>
        <w:pStyle w:val="StdBodyTextBold"/>
        <w:rPr>
          <w:rFonts w:cs="Arial"/>
          <w:sz w:val="22"/>
          <w:szCs w:val="22"/>
        </w:rPr>
      </w:pPr>
      <w:r w:rsidRPr="009D3B50">
        <w:rPr>
          <w:rFonts w:cs="Arial"/>
          <w:sz w:val="22"/>
          <w:szCs w:val="22"/>
        </w:rPr>
        <w:lastRenderedPageBreak/>
        <w:t>EMPLOYEE INFORMATION (ANONYMISED)</w:t>
      </w:r>
    </w:p>
    <w:p w14:paraId="7DE25AF7" w14:textId="77777777" w:rsidR="009D3B50" w:rsidRPr="009D3B50" w:rsidRDefault="009D3B50" w:rsidP="009D3B50">
      <w:pPr>
        <w:pStyle w:val="StdBodyText"/>
        <w:rPr>
          <w:rFonts w:cs="Arial"/>
          <w:sz w:val="22"/>
          <w:szCs w:val="22"/>
        </w:rPr>
      </w:pPr>
      <w:r w:rsidRPr="009D3B50">
        <w:rPr>
          <w:rFonts w:cs="Arial"/>
          <w:sz w:val="22"/>
          <w:szCs w:val="22"/>
        </w:rPr>
        <w:t>Name of Transferor:</w:t>
      </w:r>
    </w:p>
    <w:p w14:paraId="6FC8AC1D" w14:textId="77777777" w:rsidR="009D3B50" w:rsidRPr="009D3B50" w:rsidRDefault="009D3B50" w:rsidP="009D3B50">
      <w:pPr>
        <w:pStyle w:val="StdBodyText"/>
        <w:rPr>
          <w:rFonts w:cs="Arial"/>
          <w:sz w:val="22"/>
          <w:szCs w:val="22"/>
        </w:rPr>
      </w:pPr>
      <w:r w:rsidRPr="009D3B50">
        <w:rPr>
          <w:rFonts w:cs="Arial"/>
          <w:sz w:val="22"/>
          <w:szCs w:val="22"/>
        </w:rPr>
        <w:t>Number of Employees in-scope to transfer:</w:t>
      </w:r>
    </w:p>
    <w:p w14:paraId="007FD471" w14:textId="77777777" w:rsidR="009D3B50" w:rsidRPr="009D3B50" w:rsidRDefault="009D3B50" w:rsidP="009D3B50">
      <w:pPr>
        <w:pStyle w:val="StdBodyText"/>
        <w:rPr>
          <w:rFonts w:cs="Arial"/>
          <w:sz w:val="22"/>
          <w:szCs w:val="22"/>
        </w:rPr>
      </w:pPr>
      <w:r w:rsidRPr="009D3B50">
        <w:rPr>
          <w:rFonts w:cs="Arial"/>
          <w:sz w:val="22"/>
          <w:szCs w:val="22"/>
        </w:rPr>
        <w:t>Completion notes</w:t>
      </w:r>
    </w:p>
    <w:p w14:paraId="4305A8ED" w14:textId="77777777" w:rsidR="009D3B50" w:rsidRPr="009D3B50" w:rsidRDefault="009D3B50" w:rsidP="004E2262">
      <w:pPr>
        <w:pStyle w:val="AppendixText1"/>
        <w:numPr>
          <w:ilvl w:val="0"/>
          <w:numId w:val="85"/>
        </w:numPr>
        <w:rPr>
          <w:rFonts w:cs="Arial"/>
          <w:b w:val="0"/>
          <w:i/>
          <w:sz w:val="22"/>
          <w:szCs w:val="22"/>
        </w:rPr>
      </w:pPr>
      <w:r w:rsidRPr="009D3B50">
        <w:rPr>
          <w:rFonts w:cs="Arial"/>
          <w:b w:val="0"/>
          <w:i/>
          <w:sz w:val="22"/>
          <w:szCs w:val="22"/>
        </w:rPr>
        <w:t>If you have any Key Sub-contractors, please complete all the above information for any staff employed by such Key Sub-contractor(s) in a separate spreadsheet.</w:t>
      </w:r>
    </w:p>
    <w:p w14:paraId="4B2E5694" w14:textId="77777777" w:rsidR="009D3B50" w:rsidRPr="009D3B50" w:rsidRDefault="009D3B50">
      <w:pPr>
        <w:pStyle w:val="AppendixText1"/>
        <w:rPr>
          <w:rFonts w:cs="Arial"/>
          <w:b w:val="0"/>
          <w:i/>
          <w:sz w:val="22"/>
          <w:szCs w:val="22"/>
        </w:rPr>
      </w:pPr>
      <w:r w:rsidRPr="009D3B50">
        <w:rPr>
          <w:rFonts w:cs="Arial"/>
          <w:b w:val="0"/>
          <w:i/>
          <w:sz w:val="22"/>
          <w:szCs w:val="22"/>
        </w:rPr>
        <w:t>This spreadsheet is used to collect information from the current employer (transferor) about employees performing the relevant services to help plan for a potential TUPE transfer. Some or all of this information may be disclosed to bidders as part of a procurement process. The information should not reveal the employees' identities.</w:t>
      </w:r>
    </w:p>
    <w:p w14:paraId="4BBC3FD6" w14:textId="77777777" w:rsidR="009D3B50" w:rsidRPr="009D3B50" w:rsidRDefault="009D3B50">
      <w:pPr>
        <w:pStyle w:val="AppendixText1"/>
        <w:rPr>
          <w:rFonts w:cs="Arial"/>
          <w:b w:val="0"/>
          <w:i/>
          <w:sz w:val="22"/>
          <w:szCs w:val="22"/>
        </w:rPr>
      </w:pPr>
      <w:r w:rsidRPr="009D3B50">
        <w:rPr>
          <w:rFonts w:cs="Arial"/>
          <w:b w:val="0"/>
          <w:i/>
          <w:sz w:val="22"/>
          <w:szCs w:val="22"/>
        </w:rPr>
        <w:t>If the information cannot be included on this form, attach the additional information, such as relevant policies, and cross reference to the item number and employee number where appropriate.</w:t>
      </w:r>
    </w:p>
    <w:p w14:paraId="0FE9C6F1" w14:textId="77777777" w:rsidR="009D3B50" w:rsidRPr="009D3B50" w:rsidRDefault="009D3B50" w:rsidP="009D3B50">
      <w:pPr>
        <w:rPr>
          <w:rFonts w:cs="Arial"/>
          <w:b/>
          <w:szCs w:val="22"/>
          <w:lang w:eastAsia="en-GB"/>
        </w:rPr>
      </w:pPr>
      <w:r w:rsidRPr="009D3B50">
        <w:rPr>
          <w:rFonts w:cs="Arial"/>
          <w:b/>
          <w:szCs w:val="22"/>
        </w:rPr>
        <w:br w:type="page"/>
      </w:r>
    </w:p>
    <w:tbl>
      <w:tblPr>
        <w:tblStyle w:val="TableGrid"/>
        <w:tblW w:w="0" w:type="auto"/>
        <w:tblLook w:val="04A0" w:firstRow="1" w:lastRow="0" w:firstColumn="1" w:lastColumn="0" w:noHBand="0" w:noVBand="1"/>
      </w:tblPr>
      <w:tblGrid>
        <w:gridCol w:w="956"/>
        <w:gridCol w:w="687"/>
        <w:gridCol w:w="867"/>
        <w:gridCol w:w="1150"/>
        <w:gridCol w:w="737"/>
        <w:gridCol w:w="1611"/>
        <w:gridCol w:w="1448"/>
        <w:gridCol w:w="1554"/>
      </w:tblGrid>
      <w:tr w:rsidR="009D3B50" w:rsidRPr="009D3B50" w14:paraId="0C089005" w14:textId="77777777" w:rsidTr="002931FD">
        <w:tc>
          <w:tcPr>
            <w:tcW w:w="13988" w:type="dxa"/>
            <w:gridSpan w:val="8"/>
            <w:shd w:val="solid" w:color="FFFF99" w:fill="auto"/>
          </w:tcPr>
          <w:p w14:paraId="1681C8FF" w14:textId="77777777" w:rsidR="009D3B50" w:rsidRPr="009D3B50" w:rsidRDefault="009D3B50" w:rsidP="002931FD">
            <w:pPr>
              <w:pStyle w:val="StdBodyTextBold"/>
              <w:rPr>
                <w:rFonts w:cs="Arial"/>
                <w:sz w:val="22"/>
                <w:szCs w:val="22"/>
              </w:rPr>
            </w:pPr>
            <w:r w:rsidRPr="009D3B50">
              <w:rPr>
                <w:rFonts w:cs="Arial"/>
                <w:sz w:val="22"/>
                <w:szCs w:val="22"/>
              </w:rPr>
              <w:lastRenderedPageBreak/>
              <w:t>EMPLOYEE DETAILS &amp; KEY TERMS</w:t>
            </w:r>
          </w:p>
        </w:tc>
      </w:tr>
      <w:tr w:rsidR="009D3B50" w:rsidRPr="009D3B50" w14:paraId="0B03879A" w14:textId="77777777" w:rsidTr="002931FD">
        <w:tc>
          <w:tcPr>
            <w:tcW w:w="1413" w:type="dxa"/>
            <w:shd w:val="solid" w:color="CCECFF" w:fill="auto"/>
            <w:vAlign w:val="center"/>
          </w:tcPr>
          <w:p w14:paraId="3F89B7D4" w14:textId="77777777" w:rsidR="009D3B50" w:rsidRPr="009D3B50" w:rsidRDefault="009D3B50" w:rsidP="002931FD">
            <w:pPr>
              <w:pStyle w:val="StdBodyTextBold"/>
              <w:rPr>
                <w:rFonts w:cs="Arial"/>
                <w:sz w:val="22"/>
                <w:szCs w:val="22"/>
              </w:rPr>
            </w:pPr>
            <w:r w:rsidRPr="009D3B50">
              <w:rPr>
                <w:rFonts w:cs="Arial"/>
                <w:sz w:val="22"/>
                <w:szCs w:val="22"/>
              </w:rPr>
              <w:t>Details</w:t>
            </w:r>
          </w:p>
        </w:tc>
        <w:tc>
          <w:tcPr>
            <w:tcW w:w="1134" w:type="dxa"/>
            <w:shd w:val="solid" w:color="FFFF99" w:fill="auto"/>
            <w:vAlign w:val="center"/>
          </w:tcPr>
          <w:p w14:paraId="215E19B5" w14:textId="77777777" w:rsidR="009D3B50" w:rsidRPr="009D3B50" w:rsidRDefault="009D3B50" w:rsidP="002931FD">
            <w:pPr>
              <w:pStyle w:val="StdBodyTextBold"/>
              <w:rPr>
                <w:rFonts w:cs="Arial"/>
                <w:sz w:val="22"/>
                <w:szCs w:val="22"/>
              </w:rPr>
            </w:pPr>
            <w:r w:rsidRPr="009D3B50">
              <w:rPr>
                <w:rFonts w:cs="Arial"/>
                <w:sz w:val="22"/>
                <w:szCs w:val="22"/>
              </w:rPr>
              <w:t>Job Title</w:t>
            </w:r>
          </w:p>
        </w:tc>
        <w:tc>
          <w:tcPr>
            <w:tcW w:w="1250" w:type="dxa"/>
            <w:shd w:val="solid" w:color="FFFF99" w:fill="auto"/>
            <w:vAlign w:val="center"/>
          </w:tcPr>
          <w:p w14:paraId="320CF87E" w14:textId="77777777" w:rsidR="009D3B50" w:rsidRPr="009D3B50" w:rsidRDefault="009D3B50" w:rsidP="002931FD">
            <w:pPr>
              <w:pStyle w:val="StdBodyTextBold"/>
              <w:rPr>
                <w:rFonts w:cs="Arial"/>
                <w:sz w:val="22"/>
                <w:szCs w:val="22"/>
              </w:rPr>
            </w:pPr>
            <w:r w:rsidRPr="009D3B50">
              <w:rPr>
                <w:rFonts w:cs="Arial"/>
                <w:sz w:val="22"/>
                <w:szCs w:val="22"/>
              </w:rPr>
              <w:t>Grade / band</w:t>
            </w:r>
          </w:p>
        </w:tc>
        <w:tc>
          <w:tcPr>
            <w:tcW w:w="1563" w:type="dxa"/>
            <w:shd w:val="solid" w:color="FFFF99" w:fill="auto"/>
            <w:vAlign w:val="center"/>
          </w:tcPr>
          <w:p w14:paraId="36A5B50B" w14:textId="77777777" w:rsidR="009D3B50" w:rsidRPr="009D3B50" w:rsidRDefault="009D3B50" w:rsidP="002931FD">
            <w:pPr>
              <w:pStyle w:val="StdBodyTextBold"/>
              <w:rPr>
                <w:rFonts w:cs="Arial"/>
                <w:sz w:val="22"/>
                <w:szCs w:val="22"/>
              </w:rPr>
            </w:pPr>
            <w:r w:rsidRPr="009D3B50">
              <w:rPr>
                <w:rFonts w:cs="Arial"/>
                <w:sz w:val="22"/>
                <w:szCs w:val="22"/>
              </w:rPr>
              <w:t xml:space="preserve">Work Location </w:t>
            </w:r>
          </w:p>
        </w:tc>
        <w:tc>
          <w:tcPr>
            <w:tcW w:w="905" w:type="dxa"/>
            <w:shd w:val="solid" w:color="FFFF99" w:fill="auto"/>
            <w:vAlign w:val="center"/>
          </w:tcPr>
          <w:p w14:paraId="0E1F347A" w14:textId="2EF30BD2" w:rsidR="009D3B50" w:rsidRPr="009D3B50" w:rsidRDefault="00C0540F" w:rsidP="002931FD">
            <w:pPr>
              <w:pStyle w:val="StdBodyTextBold"/>
              <w:rPr>
                <w:rFonts w:cs="Arial"/>
                <w:sz w:val="22"/>
                <w:szCs w:val="22"/>
              </w:rPr>
            </w:pPr>
            <w:r>
              <w:rPr>
                <w:rFonts w:cs="Arial"/>
                <w:sz w:val="22"/>
                <w:szCs w:val="22"/>
              </w:rPr>
              <w:t>Date of Birth</w:t>
            </w:r>
          </w:p>
        </w:tc>
        <w:tc>
          <w:tcPr>
            <w:tcW w:w="3441" w:type="dxa"/>
            <w:shd w:val="solid" w:color="FFFF99" w:fill="auto"/>
            <w:vAlign w:val="center"/>
          </w:tcPr>
          <w:p w14:paraId="5E2CD8C0" w14:textId="77777777" w:rsidR="009D3B50" w:rsidRPr="009D3B50" w:rsidRDefault="009D3B50" w:rsidP="002931FD">
            <w:pPr>
              <w:pStyle w:val="StdBodyTextBold"/>
              <w:rPr>
                <w:rFonts w:cs="Arial"/>
                <w:sz w:val="22"/>
                <w:szCs w:val="22"/>
              </w:rPr>
            </w:pPr>
            <w:r w:rsidRPr="009D3B50">
              <w:rPr>
                <w:rFonts w:cs="Arial"/>
                <w:sz w:val="22"/>
                <w:szCs w:val="22"/>
              </w:rPr>
              <w:t>Employment status (for example, employee, fixed-term employee, self-employed, agency worker)?</w:t>
            </w:r>
          </w:p>
        </w:tc>
        <w:tc>
          <w:tcPr>
            <w:tcW w:w="1699" w:type="dxa"/>
            <w:shd w:val="solid" w:color="FFFF99" w:fill="auto"/>
            <w:vAlign w:val="center"/>
          </w:tcPr>
          <w:p w14:paraId="798432EF" w14:textId="77777777" w:rsidR="009D3B50" w:rsidRPr="006D5557" w:rsidRDefault="009D3B50" w:rsidP="002931FD">
            <w:pPr>
              <w:pStyle w:val="StdBodyTextBold"/>
              <w:rPr>
                <w:rFonts w:cs="Arial"/>
                <w:sz w:val="22"/>
                <w:szCs w:val="22"/>
                <w:lang w:val="fr-FR"/>
              </w:rPr>
            </w:pPr>
            <w:r w:rsidRPr="006D5557">
              <w:rPr>
                <w:rFonts w:cs="Arial"/>
                <w:sz w:val="22"/>
                <w:szCs w:val="22"/>
                <w:lang w:val="fr-FR"/>
              </w:rPr>
              <w:t>Continuous service date (dd/mm/</w:t>
            </w:r>
            <w:bookmarkStart w:id="2133" w:name="_9kR3WTr2CC7EKDH"/>
            <w:r w:rsidRPr="006D5557">
              <w:rPr>
                <w:rFonts w:cs="Arial"/>
                <w:sz w:val="22"/>
                <w:szCs w:val="22"/>
                <w:lang w:val="fr-FR"/>
              </w:rPr>
              <w:t>yy</w:t>
            </w:r>
            <w:bookmarkEnd w:id="2133"/>
            <w:r w:rsidRPr="006D5557">
              <w:rPr>
                <w:rFonts w:cs="Arial"/>
                <w:sz w:val="22"/>
                <w:szCs w:val="22"/>
                <w:lang w:val="fr-FR"/>
              </w:rPr>
              <w:t>)</w:t>
            </w:r>
          </w:p>
        </w:tc>
        <w:tc>
          <w:tcPr>
            <w:tcW w:w="2583" w:type="dxa"/>
            <w:shd w:val="solid" w:color="FFFF99" w:fill="auto"/>
            <w:vAlign w:val="center"/>
          </w:tcPr>
          <w:p w14:paraId="5FA2FE52" w14:textId="77777777" w:rsidR="009D3B50" w:rsidRPr="009D3B50" w:rsidRDefault="009D3B50" w:rsidP="002931FD">
            <w:pPr>
              <w:pStyle w:val="StdBodyTextBold"/>
              <w:rPr>
                <w:rFonts w:cs="Arial"/>
                <w:sz w:val="22"/>
                <w:szCs w:val="22"/>
              </w:rPr>
            </w:pPr>
            <w:r w:rsidRPr="009D3B50">
              <w:rPr>
                <w:rFonts w:cs="Arial"/>
                <w:sz w:val="22"/>
                <w:szCs w:val="22"/>
              </w:rPr>
              <w:t>Date employment started with existing employer</w:t>
            </w:r>
          </w:p>
        </w:tc>
      </w:tr>
      <w:tr w:rsidR="009D3B50" w:rsidRPr="009D3B50" w14:paraId="42883D07" w14:textId="77777777" w:rsidTr="002931FD">
        <w:tc>
          <w:tcPr>
            <w:tcW w:w="1413" w:type="dxa"/>
            <w:shd w:val="solid" w:color="CCECFF" w:fill="auto"/>
          </w:tcPr>
          <w:p w14:paraId="2175E36F" w14:textId="77777777" w:rsidR="009D3B50" w:rsidRPr="009D3B50" w:rsidRDefault="009D3B50" w:rsidP="002931FD">
            <w:pPr>
              <w:pStyle w:val="StdBodyTextBold"/>
              <w:rPr>
                <w:rFonts w:cs="Arial"/>
                <w:sz w:val="22"/>
                <w:szCs w:val="22"/>
              </w:rPr>
            </w:pPr>
            <w:r w:rsidRPr="009D3B50">
              <w:rPr>
                <w:rFonts w:cs="Arial"/>
                <w:sz w:val="22"/>
                <w:szCs w:val="22"/>
              </w:rPr>
              <w:t>Emp No 1</w:t>
            </w:r>
          </w:p>
        </w:tc>
        <w:tc>
          <w:tcPr>
            <w:tcW w:w="1134" w:type="dxa"/>
          </w:tcPr>
          <w:p w14:paraId="42A2CD8D" w14:textId="77777777" w:rsidR="009D3B50" w:rsidRPr="009D3B50" w:rsidRDefault="009D3B50" w:rsidP="002931FD">
            <w:pPr>
              <w:pStyle w:val="StdBodyText"/>
              <w:rPr>
                <w:rFonts w:cs="Arial"/>
                <w:sz w:val="22"/>
                <w:szCs w:val="22"/>
              </w:rPr>
            </w:pPr>
            <w:r w:rsidRPr="009D3B50">
              <w:rPr>
                <w:rFonts w:cs="Arial"/>
                <w:sz w:val="22"/>
                <w:szCs w:val="22"/>
              </w:rPr>
              <w:t xml:space="preserve"> </w:t>
            </w:r>
          </w:p>
        </w:tc>
        <w:tc>
          <w:tcPr>
            <w:tcW w:w="1250" w:type="dxa"/>
          </w:tcPr>
          <w:p w14:paraId="7AB464D9" w14:textId="77777777" w:rsidR="009D3B50" w:rsidRPr="009D3B50" w:rsidRDefault="009D3B50" w:rsidP="002931FD">
            <w:pPr>
              <w:pStyle w:val="StdBodyText"/>
              <w:rPr>
                <w:rFonts w:cs="Arial"/>
                <w:sz w:val="22"/>
                <w:szCs w:val="22"/>
              </w:rPr>
            </w:pPr>
            <w:r w:rsidRPr="009D3B50">
              <w:rPr>
                <w:rFonts w:cs="Arial"/>
                <w:sz w:val="22"/>
                <w:szCs w:val="22"/>
              </w:rPr>
              <w:t xml:space="preserve"> </w:t>
            </w:r>
          </w:p>
        </w:tc>
        <w:tc>
          <w:tcPr>
            <w:tcW w:w="1563" w:type="dxa"/>
          </w:tcPr>
          <w:p w14:paraId="758DD5BC" w14:textId="77777777" w:rsidR="009D3B50" w:rsidRPr="009D3B50" w:rsidRDefault="009D3B50" w:rsidP="002931FD">
            <w:pPr>
              <w:pStyle w:val="StdBodyText"/>
              <w:rPr>
                <w:rFonts w:cs="Arial"/>
                <w:sz w:val="22"/>
                <w:szCs w:val="22"/>
              </w:rPr>
            </w:pPr>
            <w:r w:rsidRPr="009D3B50">
              <w:rPr>
                <w:rFonts w:cs="Arial"/>
                <w:sz w:val="22"/>
                <w:szCs w:val="22"/>
              </w:rPr>
              <w:t xml:space="preserve"> </w:t>
            </w:r>
          </w:p>
        </w:tc>
        <w:tc>
          <w:tcPr>
            <w:tcW w:w="905" w:type="dxa"/>
          </w:tcPr>
          <w:p w14:paraId="5D4D85B5" w14:textId="77777777" w:rsidR="009D3B50" w:rsidRPr="009D3B50" w:rsidRDefault="009D3B50" w:rsidP="002931FD">
            <w:pPr>
              <w:pStyle w:val="StdBodyText"/>
              <w:rPr>
                <w:rFonts w:cs="Arial"/>
                <w:sz w:val="22"/>
                <w:szCs w:val="22"/>
              </w:rPr>
            </w:pPr>
            <w:r w:rsidRPr="009D3B50">
              <w:rPr>
                <w:rFonts w:cs="Arial"/>
                <w:sz w:val="22"/>
                <w:szCs w:val="22"/>
              </w:rPr>
              <w:t xml:space="preserve"> </w:t>
            </w:r>
          </w:p>
        </w:tc>
        <w:tc>
          <w:tcPr>
            <w:tcW w:w="3441" w:type="dxa"/>
          </w:tcPr>
          <w:p w14:paraId="020F46B3" w14:textId="77777777" w:rsidR="009D3B50" w:rsidRPr="009D3B50" w:rsidRDefault="009D3B50" w:rsidP="002931FD">
            <w:pPr>
              <w:pStyle w:val="StdBodyText"/>
              <w:rPr>
                <w:rFonts w:cs="Arial"/>
                <w:sz w:val="22"/>
                <w:szCs w:val="22"/>
              </w:rPr>
            </w:pPr>
            <w:r w:rsidRPr="009D3B50">
              <w:rPr>
                <w:rFonts w:cs="Arial"/>
                <w:sz w:val="22"/>
                <w:szCs w:val="22"/>
              </w:rPr>
              <w:t xml:space="preserve"> </w:t>
            </w:r>
          </w:p>
        </w:tc>
        <w:tc>
          <w:tcPr>
            <w:tcW w:w="1699" w:type="dxa"/>
          </w:tcPr>
          <w:p w14:paraId="1F18019E" w14:textId="77777777" w:rsidR="009D3B50" w:rsidRPr="009D3B50" w:rsidRDefault="009D3B50" w:rsidP="002931FD">
            <w:pPr>
              <w:pStyle w:val="StdBodyText"/>
              <w:rPr>
                <w:rFonts w:cs="Arial"/>
                <w:sz w:val="22"/>
                <w:szCs w:val="22"/>
              </w:rPr>
            </w:pPr>
            <w:r w:rsidRPr="009D3B50">
              <w:rPr>
                <w:rFonts w:cs="Arial"/>
                <w:sz w:val="22"/>
                <w:szCs w:val="22"/>
              </w:rPr>
              <w:t xml:space="preserve"> </w:t>
            </w:r>
          </w:p>
        </w:tc>
        <w:tc>
          <w:tcPr>
            <w:tcW w:w="2583" w:type="dxa"/>
          </w:tcPr>
          <w:p w14:paraId="7702D3E7" w14:textId="77777777" w:rsidR="009D3B50" w:rsidRPr="009D3B50" w:rsidRDefault="009D3B50" w:rsidP="002931FD">
            <w:pPr>
              <w:pStyle w:val="StdBodyText"/>
              <w:rPr>
                <w:rFonts w:cs="Arial"/>
                <w:sz w:val="22"/>
                <w:szCs w:val="22"/>
              </w:rPr>
            </w:pPr>
            <w:r w:rsidRPr="009D3B50">
              <w:rPr>
                <w:rFonts w:cs="Arial"/>
                <w:sz w:val="22"/>
                <w:szCs w:val="22"/>
              </w:rPr>
              <w:t xml:space="preserve"> </w:t>
            </w:r>
          </w:p>
        </w:tc>
      </w:tr>
      <w:tr w:rsidR="009D3B50" w:rsidRPr="009D3B50" w14:paraId="38139F93" w14:textId="77777777" w:rsidTr="002931FD">
        <w:tc>
          <w:tcPr>
            <w:tcW w:w="1413" w:type="dxa"/>
            <w:shd w:val="solid" w:color="CCECFF" w:fill="auto"/>
          </w:tcPr>
          <w:p w14:paraId="7F9A15F9" w14:textId="77777777" w:rsidR="009D3B50" w:rsidRPr="009D3B50" w:rsidRDefault="009D3B50" w:rsidP="002931FD">
            <w:pPr>
              <w:pStyle w:val="StdBodyTextBold"/>
              <w:rPr>
                <w:rFonts w:cs="Arial"/>
                <w:sz w:val="22"/>
                <w:szCs w:val="22"/>
              </w:rPr>
            </w:pPr>
            <w:r w:rsidRPr="009D3B50">
              <w:rPr>
                <w:rFonts w:cs="Arial"/>
                <w:sz w:val="22"/>
                <w:szCs w:val="22"/>
              </w:rPr>
              <w:t>Emp No 2</w:t>
            </w:r>
          </w:p>
        </w:tc>
        <w:tc>
          <w:tcPr>
            <w:tcW w:w="1134" w:type="dxa"/>
          </w:tcPr>
          <w:p w14:paraId="5549E8E4" w14:textId="77777777" w:rsidR="009D3B50" w:rsidRPr="009D3B50" w:rsidRDefault="009D3B50" w:rsidP="002931FD">
            <w:pPr>
              <w:pStyle w:val="StdBodyText"/>
              <w:rPr>
                <w:rFonts w:cs="Arial"/>
                <w:sz w:val="22"/>
                <w:szCs w:val="22"/>
              </w:rPr>
            </w:pPr>
          </w:p>
        </w:tc>
        <w:tc>
          <w:tcPr>
            <w:tcW w:w="1250" w:type="dxa"/>
          </w:tcPr>
          <w:p w14:paraId="0F78615A" w14:textId="77777777" w:rsidR="009D3B50" w:rsidRPr="009D3B50" w:rsidRDefault="009D3B50" w:rsidP="002931FD">
            <w:pPr>
              <w:pStyle w:val="StdBodyText"/>
              <w:rPr>
                <w:rFonts w:cs="Arial"/>
                <w:sz w:val="22"/>
                <w:szCs w:val="22"/>
              </w:rPr>
            </w:pPr>
          </w:p>
        </w:tc>
        <w:tc>
          <w:tcPr>
            <w:tcW w:w="1563" w:type="dxa"/>
          </w:tcPr>
          <w:p w14:paraId="183B6A1A" w14:textId="77777777" w:rsidR="009D3B50" w:rsidRPr="009D3B50" w:rsidRDefault="009D3B50" w:rsidP="002931FD">
            <w:pPr>
              <w:pStyle w:val="StdBodyText"/>
              <w:rPr>
                <w:rFonts w:cs="Arial"/>
                <w:sz w:val="22"/>
                <w:szCs w:val="22"/>
              </w:rPr>
            </w:pPr>
          </w:p>
        </w:tc>
        <w:tc>
          <w:tcPr>
            <w:tcW w:w="905" w:type="dxa"/>
          </w:tcPr>
          <w:p w14:paraId="3A6227F6" w14:textId="77777777" w:rsidR="009D3B50" w:rsidRPr="009D3B50" w:rsidRDefault="009D3B50" w:rsidP="002931FD">
            <w:pPr>
              <w:pStyle w:val="StdBodyText"/>
              <w:rPr>
                <w:rFonts w:cs="Arial"/>
                <w:sz w:val="22"/>
                <w:szCs w:val="22"/>
              </w:rPr>
            </w:pPr>
          </w:p>
        </w:tc>
        <w:tc>
          <w:tcPr>
            <w:tcW w:w="3441" w:type="dxa"/>
          </w:tcPr>
          <w:p w14:paraId="62A3CAE7" w14:textId="77777777" w:rsidR="009D3B50" w:rsidRPr="009D3B50" w:rsidRDefault="009D3B50" w:rsidP="002931FD">
            <w:pPr>
              <w:pStyle w:val="StdBodyText"/>
              <w:rPr>
                <w:rFonts w:cs="Arial"/>
                <w:sz w:val="22"/>
                <w:szCs w:val="22"/>
              </w:rPr>
            </w:pPr>
          </w:p>
        </w:tc>
        <w:tc>
          <w:tcPr>
            <w:tcW w:w="1699" w:type="dxa"/>
          </w:tcPr>
          <w:p w14:paraId="40ABE525" w14:textId="77777777" w:rsidR="009D3B50" w:rsidRPr="009D3B50" w:rsidRDefault="009D3B50" w:rsidP="002931FD">
            <w:pPr>
              <w:pStyle w:val="StdBodyText"/>
              <w:rPr>
                <w:rFonts w:cs="Arial"/>
                <w:sz w:val="22"/>
                <w:szCs w:val="22"/>
              </w:rPr>
            </w:pPr>
          </w:p>
        </w:tc>
        <w:tc>
          <w:tcPr>
            <w:tcW w:w="2583" w:type="dxa"/>
          </w:tcPr>
          <w:p w14:paraId="1D82A57E" w14:textId="77777777" w:rsidR="009D3B50" w:rsidRPr="009D3B50" w:rsidRDefault="009D3B50" w:rsidP="002931FD">
            <w:pPr>
              <w:pStyle w:val="StdBodyText"/>
              <w:rPr>
                <w:rFonts w:cs="Arial"/>
                <w:sz w:val="22"/>
                <w:szCs w:val="22"/>
              </w:rPr>
            </w:pPr>
          </w:p>
        </w:tc>
      </w:tr>
      <w:tr w:rsidR="009D3B50" w:rsidRPr="009D3B50" w14:paraId="3450DAB1" w14:textId="77777777" w:rsidTr="002931FD">
        <w:tc>
          <w:tcPr>
            <w:tcW w:w="1413" w:type="dxa"/>
            <w:shd w:val="solid" w:color="CCECFF" w:fill="auto"/>
          </w:tcPr>
          <w:p w14:paraId="63DDAB35" w14:textId="77777777" w:rsidR="009D3B50" w:rsidRPr="009D3B50" w:rsidRDefault="009D3B50" w:rsidP="002931FD">
            <w:pPr>
              <w:pStyle w:val="StdBodyTextBold"/>
              <w:rPr>
                <w:rFonts w:cs="Arial"/>
                <w:sz w:val="22"/>
                <w:szCs w:val="22"/>
              </w:rPr>
            </w:pPr>
            <w:r w:rsidRPr="009D3B50">
              <w:rPr>
                <w:rFonts w:cs="Arial"/>
                <w:sz w:val="22"/>
                <w:szCs w:val="22"/>
              </w:rPr>
              <w:t>Emp No</w:t>
            </w:r>
          </w:p>
        </w:tc>
        <w:tc>
          <w:tcPr>
            <w:tcW w:w="1134" w:type="dxa"/>
          </w:tcPr>
          <w:p w14:paraId="49FE042B" w14:textId="77777777" w:rsidR="009D3B50" w:rsidRPr="009D3B50" w:rsidRDefault="009D3B50" w:rsidP="002931FD">
            <w:pPr>
              <w:pStyle w:val="StdBodyText"/>
              <w:rPr>
                <w:rFonts w:cs="Arial"/>
                <w:sz w:val="22"/>
                <w:szCs w:val="22"/>
              </w:rPr>
            </w:pPr>
          </w:p>
        </w:tc>
        <w:tc>
          <w:tcPr>
            <w:tcW w:w="1250" w:type="dxa"/>
          </w:tcPr>
          <w:p w14:paraId="30F2BF63" w14:textId="77777777" w:rsidR="009D3B50" w:rsidRPr="009D3B50" w:rsidRDefault="009D3B50" w:rsidP="002931FD">
            <w:pPr>
              <w:pStyle w:val="StdBodyText"/>
              <w:rPr>
                <w:rFonts w:cs="Arial"/>
                <w:sz w:val="22"/>
                <w:szCs w:val="22"/>
              </w:rPr>
            </w:pPr>
          </w:p>
        </w:tc>
        <w:tc>
          <w:tcPr>
            <w:tcW w:w="1563" w:type="dxa"/>
          </w:tcPr>
          <w:p w14:paraId="6BA503AA" w14:textId="77777777" w:rsidR="009D3B50" w:rsidRPr="009D3B50" w:rsidRDefault="009D3B50" w:rsidP="002931FD">
            <w:pPr>
              <w:pStyle w:val="StdBodyText"/>
              <w:rPr>
                <w:rFonts w:cs="Arial"/>
                <w:sz w:val="22"/>
                <w:szCs w:val="22"/>
              </w:rPr>
            </w:pPr>
          </w:p>
        </w:tc>
        <w:tc>
          <w:tcPr>
            <w:tcW w:w="905" w:type="dxa"/>
          </w:tcPr>
          <w:p w14:paraId="348A94A2" w14:textId="77777777" w:rsidR="009D3B50" w:rsidRPr="009D3B50" w:rsidRDefault="009D3B50" w:rsidP="002931FD">
            <w:pPr>
              <w:pStyle w:val="StdBodyText"/>
              <w:rPr>
                <w:rFonts w:cs="Arial"/>
                <w:sz w:val="22"/>
                <w:szCs w:val="22"/>
              </w:rPr>
            </w:pPr>
          </w:p>
        </w:tc>
        <w:tc>
          <w:tcPr>
            <w:tcW w:w="3441" w:type="dxa"/>
          </w:tcPr>
          <w:p w14:paraId="4374D8B4" w14:textId="77777777" w:rsidR="009D3B50" w:rsidRPr="009D3B50" w:rsidRDefault="009D3B50" w:rsidP="002931FD">
            <w:pPr>
              <w:pStyle w:val="StdBodyText"/>
              <w:rPr>
                <w:rFonts w:cs="Arial"/>
                <w:sz w:val="22"/>
                <w:szCs w:val="22"/>
              </w:rPr>
            </w:pPr>
          </w:p>
        </w:tc>
        <w:tc>
          <w:tcPr>
            <w:tcW w:w="1699" w:type="dxa"/>
          </w:tcPr>
          <w:p w14:paraId="74AA40A9" w14:textId="77777777" w:rsidR="009D3B50" w:rsidRPr="009D3B50" w:rsidRDefault="009D3B50" w:rsidP="002931FD">
            <w:pPr>
              <w:pStyle w:val="StdBodyText"/>
              <w:rPr>
                <w:rFonts w:cs="Arial"/>
                <w:sz w:val="22"/>
                <w:szCs w:val="22"/>
              </w:rPr>
            </w:pPr>
          </w:p>
        </w:tc>
        <w:tc>
          <w:tcPr>
            <w:tcW w:w="2583" w:type="dxa"/>
          </w:tcPr>
          <w:p w14:paraId="427F9A57" w14:textId="77777777" w:rsidR="009D3B50" w:rsidRPr="009D3B50" w:rsidRDefault="009D3B50" w:rsidP="002931FD">
            <w:pPr>
              <w:pStyle w:val="StdBodyText"/>
              <w:rPr>
                <w:rFonts w:cs="Arial"/>
                <w:sz w:val="22"/>
                <w:szCs w:val="22"/>
              </w:rPr>
            </w:pPr>
          </w:p>
        </w:tc>
      </w:tr>
      <w:tr w:rsidR="009D3B50" w:rsidRPr="009D3B50" w14:paraId="18189083" w14:textId="77777777" w:rsidTr="002931FD">
        <w:tc>
          <w:tcPr>
            <w:tcW w:w="1413" w:type="dxa"/>
            <w:shd w:val="solid" w:color="CCECFF" w:fill="auto"/>
          </w:tcPr>
          <w:p w14:paraId="1CE27F09" w14:textId="77777777" w:rsidR="009D3B50" w:rsidRPr="009D3B50" w:rsidRDefault="009D3B50" w:rsidP="002931FD">
            <w:pPr>
              <w:pStyle w:val="StdBodyTextBold"/>
              <w:rPr>
                <w:rFonts w:cs="Arial"/>
                <w:sz w:val="22"/>
                <w:szCs w:val="22"/>
              </w:rPr>
            </w:pPr>
            <w:r w:rsidRPr="009D3B50">
              <w:rPr>
                <w:rFonts w:cs="Arial"/>
                <w:sz w:val="22"/>
                <w:szCs w:val="22"/>
              </w:rPr>
              <w:t>Emp No</w:t>
            </w:r>
          </w:p>
        </w:tc>
        <w:tc>
          <w:tcPr>
            <w:tcW w:w="1134" w:type="dxa"/>
          </w:tcPr>
          <w:p w14:paraId="383041BB" w14:textId="77777777" w:rsidR="009D3B50" w:rsidRPr="009D3B50" w:rsidRDefault="009D3B50" w:rsidP="002931FD">
            <w:pPr>
              <w:pStyle w:val="StdBodyText"/>
              <w:rPr>
                <w:rFonts w:cs="Arial"/>
                <w:sz w:val="22"/>
                <w:szCs w:val="22"/>
              </w:rPr>
            </w:pPr>
          </w:p>
        </w:tc>
        <w:tc>
          <w:tcPr>
            <w:tcW w:w="1250" w:type="dxa"/>
          </w:tcPr>
          <w:p w14:paraId="2E566506" w14:textId="77777777" w:rsidR="009D3B50" w:rsidRPr="009D3B50" w:rsidRDefault="009D3B50" w:rsidP="002931FD">
            <w:pPr>
              <w:pStyle w:val="StdBodyText"/>
              <w:rPr>
                <w:rFonts w:cs="Arial"/>
                <w:sz w:val="22"/>
                <w:szCs w:val="22"/>
              </w:rPr>
            </w:pPr>
          </w:p>
        </w:tc>
        <w:tc>
          <w:tcPr>
            <w:tcW w:w="1563" w:type="dxa"/>
          </w:tcPr>
          <w:p w14:paraId="436E5299" w14:textId="77777777" w:rsidR="009D3B50" w:rsidRPr="009D3B50" w:rsidRDefault="009D3B50" w:rsidP="002931FD">
            <w:pPr>
              <w:pStyle w:val="StdBodyText"/>
              <w:rPr>
                <w:rFonts w:cs="Arial"/>
                <w:sz w:val="22"/>
                <w:szCs w:val="22"/>
              </w:rPr>
            </w:pPr>
          </w:p>
        </w:tc>
        <w:tc>
          <w:tcPr>
            <w:tcW w:w="905" w:type="dxa"/>
          </w:tcPr>
          <w:p w14:paraId="7A6392FE" w14:textId="77777777" w:rsidR="009D3B50" w:rsidRPr="009D3B50" w:rsidRDefault="009D3B50" w:rsidP="002931FD">
            <w:pPr>
              <w:pStyle w:val="StdBodyText"/>
              <w:rPr>
                <w:rFonts w:cs="Arial"/>
                <w:sz w:val="22"/>
                <w:szCs w:val="22"/>
              </w:rPr>
            </w:pPr>
          </w:p>
        </w:tc>
        <w:tc>
          <w:tcPr>
            <w:tcW w:w="3441" w:type="dxa"/>
          </w:tcPr>
          <w:p w14:paraId="590B0B30" w14:textId="77777777" w:rsidR="009D3B50" w:rsidRPr="009D3B50" w:rsidRDefault="009D3B50" w:rsidP="002931FD">
            <w:pPr>
              <w:pStyle w:val="StdBodyText"/>
              <w:rPr>
                <w:rFonts w:cs="Arial"/>
                <w:sz w:val="22"/>
                <w:szCs w:val="22"/>
              </w:rPr>
            </w:pPr>
          </w:p>
        </w:tc>
        <w:tc>
          <w:tcPr>
            <w:tcW w:w="1699" w:type="dxa"/>
          </w:tcPr>
          <w:p w14:paraId="17B92674" w14:textId="77777777" w:rsidR="009D3B50" w:rsidRPr="009D3B50" w:rsidRDefault="009D3B50" w:rsidP="002931FD">
            <w:pPr>
              <w:pStyle w:val="StdBodyText"/>
              <w:rPr>
                <w:rFonts w:cs="Arial"/>
                <w:sz w:val="22"/>
                <w:szCs w:val="22"/>
              </w:rPr>
            </w:pPr>
          </w:p>
        </w:tc>
        <w:tc>
          <w:tcPr>
            <w:tcW w:w="2583" w:type="dxa"/>
          </w:tcPr>
          <w:p w14:paraId="3504E6D7" w14:textId="77777777" w:rsidR="009D3B50" w:rsidRPr="009D3B50" w:rsidRDefault="009D3B50" w:rsidP="002931FD">
            <w:pPr>
              <w:pStyle w:val="StdBodyText"/>
              <w:rPr>
                <w:rFonts w:cs="Arial"/>
                <w:sz w:val="22"/>
                <w:szCs w:val="22"/>
              </w:rPr>
            </w:pPr>
          </w:p>
        </w:tc>
      </w:tr>
      <w:tr w:rsidR="009D3B50" w:rsidRPr="009D3B50" w14:paraId="32419098" w14:textId="77777777" w:rsidTr="002931FD">
        <w:tc>
          <w:tcPr>
            <w:tcW w:w="1413" w:type="dxa"/>
            <w:shd w:val="solid" w:color="CCECFF" w:fill="auto"/>
          </w:tcPr>
          <w:p w14:paraId="016CB33B" w14:textId="77777777" w:rsidR="009D3B50" w:rsidRPr="009D3B50" w:rsidRDefault="009D3B50" w:rsidP="002931FD">
            <w:pPr>
              <w:pStyle w:val="StdBodyTextBold"/>
              <w:rPr>
                <w:rFonts w:cs="Arial"/>
                <w:sz w:val="22"/>
                <w:szCs w:val="22"/>
              </w:rPr>
            </w:pPr>
            <w:r w:rsidRPr="009D3B50">
              <w:rPr>
                <w:rFonts w:cs="Arial"/>
                <w:sz w:val="22"/>
                <w:szCs w:val="22"/>
              </w:rPr>
              <w:t>Emp No</w:t>
            </w:r>
          </w:p>
        </w:tc>
        <w:tc>
          <w:tcPr>
            <w:tcW w:w="1134" w:type="dxa"/>
          </w:tcPr>
          <w:p w14:paraId="42249668" w14:textId="77777777" w:rsidR="009D3B50" w:rsidRPr="009D3B50" w:rsidRDefault="009D3B50" w:rsidP="002931FD">
            <w:pPr>
              <w:pStyle w:val="StdBodyText"/>
              <w:rPr>
                <w:rFonts w:cs="Arial"/>
                <w:sz w:val="22"/>
                <w:szCs w:val="22"/>
              </w:rPr>
            </w:pPr>
          </w:p>
        </w:tc>
        <w:tc>
          <w:tcPr>
            <w:tcW w:w="1250" w:type="dxa"/>
          </w:tcPr>
          <w:p w14:paraId="10AAE190" w14:textId="77777777" w:rsidR="009D3B50" w:rsidRPr="009D3B50" w:rsidRDefault="009D3B50" w:rsidP="002931FD">
            <w:pPr>
              <w:pStyle w:val="StdBodyText"/>
              <w:rPr>
                <w:rFonts w:cs="Arial"/>
                <w:sz w:val="22"/>
                <w:szCs w:val="22"/>
              </w:rPr>
            </w:pPr>
          </w:p>
        </w:tc>
        <w:tc>
          <w:tcPr>
            <w:tcW w:w="1563" w:type="dxa"/>
          </w:tcPr>
          <w:p w14:paraId="069BFEB9" w14:textId="77777777" w:rsidR="009D3B50" w:rsidRPr="009D3B50" w:rsidRDefault="009D3B50" w:rsidP="002931FD">
            <w:pPr>
              <w:pStyle w:val="StdBodyText"/>
              <w:rPr>
                <w:rFonts w:cs="Arial"/>
                <w:sz w:val="22"/>
                <w:szCs w:val="22"/>
              </w:rPr>
            </w:pPr>
          </w:p>
        </w:tc>
        <w:tc>
          <w:tcPr>
            <w:tcW w:w="905" w:type="dxa"/>
          </w:tcPr>
          <w:p w14:paraId="2987B588" w14:textId="77777777" w:rsidR="009D3B50" w:rsidRPr="009D3B50" w:rsidRDefault="009D3B50" w:rsidP="002931FD">
            <w:pPr>
              <w:pStyle w:val="StdBodyText"/>
              <w:rPr>
                <w:rFonts w:cs="Arial"/>
                <w:sz w:val="22"/>
                <w:szCs w:val="22"/>
              </w:rPr>
            </w:pPr>
          </w:p>
        </w:tc>
        <w:tc>
          <w:tcPr>
            <w:tcW w:w="3441" w:type="dxa"/>
          </w:tcPr>
          <w:p w14:paraId="564BF055" w14:textId="77777777" w:rsidR="009D3B50" w:rsidRPr="009D3B50" w:rsidRDefault="009D3B50" w:rsidP="002931FD">
            <w:pPr>
              <w:pStyle w:val="StdBodyText"/>
              <w:rPr>
                <w:rFonts w:cs="Arial"/>
                <w:sz w:val="22"/>
                <w:szCs w:val="22"/>
              </w:rPr>
            </w:pPr>
          </w:p>
        </w:tc>
        <w:tc>
          <w:tcPr>
            <w:tcW w:w="1699" w:type="dxa"/>
          </w:tcPr>
          <w:p w14:paraId="3A4FC31F" w14:textId="77777777" w:rsidR="009D3B50" w:rsidRPr="009D3B50" w:rsidRDefault="009D3B50" w:rsidP="002931FD">
            <w:pPr>
              <w:pStyle w:val="StdBodyText"/>
              <w:rPr>
                <w:rFonts w:cs="Arial"/>
                <w:sz w:val="22"/>
                <w:szCs w:val="22"/>
              </w:rPr>
            </w:pPr>
          </w:p>
        </w:tc>
        <w:tc>
          <w:tcPr>
            <w:tcW w:w="2583" w:type="dxa"/>
          </w:tcPr>
          <w:p w14:paraId="20FD58BA" w14:textId="77777777" w:rsidR="009D3B50" w:rsidRPr="009D3B50" w:rsidRDefault="009D3B50" w:rsidP="002931FD">
            <w:pPr>
              <w:pStyle w:val="StdBodyText"/>
              <w:rPr>
                <w:rFonts w:cs="Arial"/>
                <w:sz w:val="22"/>
                <w:szCs w:val="22"/>
              </w:rPr>
            </w:pPr>
          </w:p>
        </w:tc>
      </w:tr>
      <w:tr w:rsidR="009D3B50" w:rsidRPr="009D3B50" w14:paraId="722DED03" w14:textId="77777777" w:rsidTr="002931FD">
        <w:tc>
          <w:tcPr>
            <w:tcW w:w="1413" w:type="dxa"/>
            <w:shd w:val="solid" w:color="CCECFF" w:fill="auto"/>
          </w:tcPr>
          <w:p w14:paraId="1854D377" w14:textId="77777777" w:rsidR="009D3B50" w:rsidRPr="009D3B50" w:rsidRDefault="009D3B50" w:rsidP="002931FD">
            <w:pPr>
              <w:pStyle w:val="StdBodyTextBold"/>
              <w:rPr>
                <w:rFonts w:cs="Arial"/>
                <w:sz w:val="22"/>
                <w:szCs w:val="22"/>
              </w:rPr>
            </w:pPr>
            <w:r w:rsidRPr="009D3B50">
              <w:rPr>
                <w:rFonts w:cs="Arial"/>
                <w:sz w:val="22"/>
                <w:szCs w:val="22"/>
              </w:rPr>
              <w:t>Emp No</w:t>
            </w:r>
          </w:p>
        </w:tc>
        <w:tc>
          <w:tcPr>
            <w:tcW w:w="1134" w:type="dxa"/>
          </w:tcPr>
          <w:p w14:paraId="09413135" w14:textId="77777777" w:rsidR="009D3B50" w:rsidRPr="009D3B50" w:rsidRDefault="009D3B50" w:rsidP="002931FD">
            <w:pPr>
              <w:pStyle w:val="StdBodyText"/>
              <w:rPr>
                <w:rFonts w:cs="Arial"/>
                <w:sz w:val="22"/>
                <w:szCs w:val="22"/>
              </w:rPr>
            </w:pPr>
          </w:p>
        </w:tc>
        <w:tc>
          <w:tcPr>
            <w:tcW w:w="1250" w:type="dxa"/>
          </w:tcPr>
          <w:p w14:paraId="250981D7" w14:textId="77777777" w:rsidR="009D3B50" w:rsidRPr="009D3B50" w:rsidRDefault="009D3B50" w:rsidP="002931FD">
            <w:pPr>
              <w:pStyle w:val="StdBodyText"/>
              <w:rPr>
                <w:rFonts w:cs="Arial"/>
                <w:sz w:val="22"/>
                <w:szCs w:val="22"/>
              </w:rPr>
            </w:pPr>
          </w:p>
        </w:tc>
        <w:tc>
          <w:tcPr>
            <w:tcW w:w="1563" w:type="dxa"/>
          </w:tcPr>
          <w:p w14:paraId="78C6E8CC" w14:textId="77777777" w:rsidR="009D3B50" w:rsidRPr="009D3B50" w:rsidRDefault="009D3B50" w:rsidP="002931FD">
            <w:pPr>
              <w:pStyle w:val="StdBodyText"/>
              <w:rPr>
                <w:rFonts w:cs="Arial"/>
                <w:sz w:val="22"/>
                <w:szCs w:val="22"/>
              </w:rPr>
            </w:pPr>
          </w:p>
        </w:tc>
        <w:tc>
          <w:tcPr>
            <w:tcW w:w="905" w:type="dxa"/>
          </w:tcPr>
          <w:p w14:paraId="01DDD632" w14:textId="77777777" w:rsidR="009D3B50" w:rsidRPr="009D3B50" w:rsidRDefault="009D3B50" w:rsidP="002931FD">
            <w:pPr>
              <w:pStyle w:val="StdBodyText"/>
              <w:rPr>
                <w:rFonts w:cs="Arial"/>
                <w:sz w:val="22"/>
                <w:szCs w:val="22"/>
              </w:rPr>
            </w:pPr>
          </w:p>
        </w:tc>
        <w:tc>
          <w:tcPr>
            <w:tcW w:w="3441" w:type="dxa"/>
          </w:tcPr>
          <w:p w14:paraId="366EE7D9" w14:textId="77777777" w:rsidR="009D3B50" w:rsidRPr="009D3B50" w:rsidRDefault="009D3B50" w:rsidP="002931FD">
            <w:pPr>
              <w:pStyle w:val="StdBodyText"/>
              <w:rPr>
                <w:rFonts w:cs="Arial"/>
                <w:sz w:val="22"/>
                <w:szCs w:val="22"/>
              </w:rPr>
            </w:pPr>
          </w:p>
        </w:tc>
        <w:tc>
          <w:tcPr>
            <w:tcW w:w="1699" w:type="dxa"/>
          </w:tcPr>
          <w:p w14:paraId="57C145B3" w14:textId="77777777" w:rsidR="009D3B50" w:rsidRPr="009D3B50" w:rsidRDefault="009D3B50" w:rsidP="002931FD">
            <w:pPr>
              <w:pStyle w:val="StdBodyText"/>
              <w:rPr>
                <w:rFonts w:cs="Arial"/>
                <w:sz w:val="22"/>
                <w:szCs w:val="22"/>
              </w:rPr>
            </w:pPr>
          </w:p>
        </w:tc>
        <w:tc>
          <w:tcPr>
            <w:tcW w:w="2583" w:type="dxa"/>
          </w:tcPr>
          <w:p w14:paraId="2C9BDB04" w14:textId="77777777" w:rsidR="009D3B50" w:rsidRPr="009D3B50" w:rsidRDefault="009D3B50" w:rsidP="002931FD">
            <w:pPr>
              <w:pStyle w:val="StdBodyText"/>
              <w:rPr>
                <w:rFonts w:cs="Arial"/>
                <w:sz w:val="22"/>
                <w:szCs w:val="22"/>
              </w:rPr>
            </w:pPr>
          </w:p>
        </w:tc>
      </w:tr>
      <w:tr w:rsidR="009D3B50" w:rsidRPr="009D3B50" w14:paraId="12B37E21" w14:textId="77777777" w:rsidTr="002931FD">
        <w:tc>
          <w:tcPr>
            <w:tcW w:w="1413" w:type="dxa"/>
            <w:shd w:val="solid" w:color="CCECFF" w:fill="auto"/>
          </w:tcPr>
          <w:p w14:paraId="66EA6DA5" w14:textId="77777777" w:rsidR="009D3B50" w:rsidRPr="009D3B50" w:rsidRDefault="009D3B50" w:rsidP="002931FD">
            <w:pPr>
              <w:pStyle w:val="StdBodyTextBold"/>
              <w:rPr>
                <w:rFonts w:cs="Arial"/>
                <w:sz w:val="22"/>
                <w:szCs w:val="22"/>
              </w:rPr>
            </w:pPr>
            <w:r w:rsidRPr="009D3B50">
              <w:rPr>
                <w:rFonts w:cs="Arial"/>
                <w:sz w:val="22"/>
                <w:szCs w:val="22"/>
              </w:rPr>
              <w:t>Emp No</w:t>
            </w:r>
          </w:p>
        </w:tc>
        <w:tc>
          <w:tcPr>
            <w:tcW w:w="1134" w:type="dxa"/>
          </w:tcPr>
          <w:p w14:paraId="4A7D3FF6" w14:textId="77777777" w:rsidR="009D3B50" w:rsidRPr="009D3B50" w:rsidRDefault="009D3B50" w:rsidP="002931FD">
            <w:pPr>
              <w:pStyle w:val="StdBodyText"/>
              <w:rPr>
                <w:rFonts w:cs="Arial"/>
                <w:sz w:val="22"/>
                <w:szCs w:val="22"/>
              </w:rPr>
            </w:pPr>
          </w:p>
        </w:tc>
        <w:tc>
          <w:tcPr>
            <w:tcW w:w="1250" w:type="dxa"/>
          </w:tcPr>
          <w:p w14:paraId="420BA539" w14:textId="77777777" w:rsidR="009D3B50" w:rsidRPr="009D3B50" w:rsidRDefault="009D3B50" w:rsidP="002931FD">
            <w:pPr>
              <w:pStyle w:val="StdBodyText"/>
              <w:rPr>
                <w:rFonts w:cs="Arial"/>
                <w:sz w:val="22"/>
                <w:szCs w:val="22"/>
              </w:rPr>
            </w:pPr>
          </w:p>
        </w:tc>
        <w:tc>
          <w:tcPr>
            <w:tcW w:w="1563" w:type="dxa"/>
          </w:tcPr>
          <w:p w14:paraId="53CE41EA" w14:textId="77777777" w:rsidR="009D3B50" w:rsidRPr="009D3B50" w:rsidRDefault="009D3B50" w:rsidP="002931FD">
            <w:pPr>
              <w:pStyle w:val="StdBodyText"/>
              <w:rPr>
                <w:rFonts w:cs="Arial"/>
                <w:sz w:val="22"/>
                <w:szCs w:val="22"/>
              </w:rPr>
            </w:pPr>
          </w:p>
        </w:tc>
        <w:tc>
          <w:tcPr>
            <w:tcW w:w="905" w:type="dxa"/>
          </w:tcPr>
          <w:p w14:paraId="2AC38F6B" w14:textId="77777777" w:rsidR="009D3B50" w:rsidRPr="009D3B50" w:rsidRDefault="009D3B50" w:rsidP="002931FD">
            <w:pPr>
              <w:pStyle w:val="StdBodyText"/>
              <w:rPr>
                <w:rFonts w:cs="Arial"/>
                <w:sz w:val="22"/>
                <w:szCs w:val="22"/>
              </w:rPr>
            </w:pPr>
          </w:p>
        </w:tc>
        <w:tc>
          <w:tcPr>
            <w:tcW w:w="3441" w:type="dxa"/>
          </w:tcPr>
          <w:p w14:paraId="2B61B472" w14:textId="77777777" w:rsidR="009D3B50" w:rsidRPr="009D3B50" w:rsidRDefault="009D3B50" w:rsidP="002931FD">
            <w:pPr>
              <w:pStyle w:val="StdBodyText"/>
              <w:rPr>
                <w:rFonts w:cs="Arial"/>
                <w:sz w:val="22"/>
                <w:szCs w:val="22"/>
              </w:rPr>
            </w:pPr>
          </w:p>
        </w:tc>
        <w:tc>
          <w:tcPr>
            <w:tcW w:w="1699" w:type="dxa"/>
          </w:tcPr>
          <w:p w14:paraId="5E543235" w14:textId="77777777" w:rsidR="009D3B50" w:rsidRPr="009D3B50" w:rsidRDefault="009D3B50" w:rsidP="002931FD">
            <w:pPr>
              <w:pStyle w:val="StdBodyText"/>
              <w:rPr>
                <w:rFonts w:cs="Arial"/>
                <w:sz w:val="22"/>
                <w:szCs w:val="22"/>
              </w:rPr>
            </w:pPr>
          </w:p>
        </w:tc>
        <w:tc>
          <w:tcPr>
            <w:tcW w:w="2583" w:type="dxa"/>
          </w:tcPr>
          <w:p w14:paraId="5F170F51" w14:textId="77777777" w:rsidR="009D3B50" w:rsidRPr="009D3B50" w:rsidRDefault="009D3B50" w:rsidP="002931FD">
            <w:pPr>
              <w:pStyle w:val="StdBodyText"/>
              <w:rPr>
                <w:rFonts w:cs="Arial"/>
                <w:sz w:val="22"/>
                <w:szCs w:val="22"/>
              </w:rPr>
            </w:pPr>
          </w:p>
        </w:tc>
      </w:tr>
      <w:tr w:rsidR="009D3B50" w:rsidRPr="009D3B50" w14:paraId="71739A08" w14:textId="77777777" w:rsidTr="002931FD">
        <w:tc>
          <w:tcPr>
            <w:tcW w:w="1413" w:type="dxa"/>
            <w:shd w:val="solid" w:color="CCECFF" w:fill="auto"/>
          </w:tcPr>
          <w:p w14:paraId="0AFA7A74" w14:textId="77777777" w:rsidR="009D3B50" w:rsidRPr="009D3B50" w:rsidRDefault="009D3B50" w:rsidP="002931FD">
            <w:pPr>
              <w:pStyle w:val="StdBodyTextBold"/>
              <w:rPr>
                <w:rFonts w:cs="Arial"/>
                <w:sz w:val="22"/>
                <w:szCs w:val="22"/>
              </w:rPr>
            </w:pPr>
            <w:r w:rsidRPr="009D3B50">
              <w:rPr>
                <w:rFonts w:cs="Arial"/>
                <w:sz w:val="22"/>
                <w:szCs w:val="22"/>
              </w:rPr>
              <w:t>Emp No</w:t>
            </w:r>
          </w:p>
        </w:tc>
        <w:tc>
          <w:tcPr>
            <w:tcW w:w="1134" w:type="dxa"/>
            <w:tcBorders>
              <w:bottom w:val="single" w:sz="4" w:space="0" w:color="auto"/>
            </w:tcBorders>
          </w:tcPr>
          <w:p w14:paraId="46386C09" w14:textId="77777777" w:rsidR="009D3B50" w:rsidRPr="009D3B50" w:rsidRDefault="009D3B50" w:rsidP="002931FD">
            <w:pPr>
              <w:pStyle w:val="StdBodyText"/>
              <w:rPr>
                <w:rFonts w:cs="Arial"/>
                <w:sz w:val="22"/>
                <w:szCs w:val="22"/>
              </w:rPr>
            </w:pPr>
          </w:p>
        </w:tc>
        <w:tc>
          <w:tcPr>
            <w:tcW w:w="1250" w:type="dxa"/>
            <w:tcBorders>
              <w:bottom w:val="single" w:sz="4" w:space="0" w:color="auto"/>
            </w:tcBorders>
          </w:tcPr>
          <w:p w14:paraId="7D958270" w14:textId="77777777" w:rsidR="009D3B50" w:rsidRPr="009D3B50" w:rsidRDefault="009D3B50" w:rsidP="002931FD">
            <w:pPr>
              <w:pStyle w:val="StdBodyText"/>
              <w:rPr>
                <w:rFonts w:cs="Arial"/>
                <w:sz w:val="22"/>
                <w:szCs w:val="22"/>
              </w:rPr>
            </w:pPr>
          </w:p>
        </w:tc>
        <w:tc>
          <w:tcPr>
            <w:tcW w:w="1563" w:type="dxa"/>
            <w:tcBorders>
              <w:bottom w:val="single" w:sz="4" w:space="0" w:color="auto"/>
            </w:tcBorders>
          </w:tcPr>
          <w:p w14:paraId="6BB9F57A" w14:textId="77777777" w:rsidR="009D3B50" w:rsidRPr="009D3B50" w:rsidRDefault="009D3B50" w:rsidP="002931FD">
            <w:pPr>
              <w:pStyle w:val="StdBodyText"/>
              <w:rPr>
                <w:rFonts w:cs="Arial"/>
                <w:sz w:val="22"/>
                <w:szCs w:val="22"/>
              </w:rPr>
            </w:pPr>
          </w:p>
        </w:tc>
        <w:tc>
          <w:tcPr>
            <w:tcW w:w="905" w:type="dxa"/>
            <w:tcBorders>
              <w:bottom w:val="single" w:sz="4" w:space="0" w:color="auto"/>
            </w:tcBorders>
          </w:tcPr>
          <w:p w14:paraId="580B2DA6" w14:textId="77777777" w:rsidR="009D3B50" w:rsidRPr="009D3B50" w:rsidRDefault="009D3B50" w:rsidP="002931FD">
            <w:pPr>
              <w:pStyle w:val="StdBodyText"/>
              <w:rPr>
                <w:rFonts w:cs="Arial"/>
                <w:sz w:val="22"/>
                <w:szCs w:val="22"/>
              </w:rPr>
            </w:pPr>
          </w:p>
        </w:tc>
        <w:tc>
          <w:tcPr>
            <w:tcW w:w="3441" w:type="dxa"/>
            <w:tcBorders>
              <w:bottom w:val="single" w:sz="4" w:space="0" w:color="auto"/>
            </w:tcBorders>
          </w:tcPr>
          <w:p w14:paraId="3FE31B89" w14:textId="77777777" w:rsidR="009D3B50" w:rsidRPr="009D3B50" w:rsidRDefault="009D3B50" w:rsidP="002931FD">
            <w:pPr>
              <w:pStyle w:val="StdBodyText"/>
              <w:rPr>
                <w:rFonts w:cs="Arial"/>
                <w:sz w:val="22"/>
                <w:szCs w:val="22"/>
              </w:rPr>
            </w:pPr>
          </w:p>
        </w:tc>
        <w:tc>
          <w:tcPr>
            <w:tcW w:w="1699" w:type="dxa"/>
            <w:tcBorders>
              <w:bottom w:val="single" w:sz="4" w:space="0" w:color="auto"/>
            </w:tcBorders>
          </w:tcPr>
          <w:p w14:paraId="06A435A2" w14:textId="77777777" w:rsidR="009D3B50" w:rsidRPr="009D3B50" w:rsidRDefault="009D3B50" w:rsidP="002931FD">
            <w:pPr>
              <w:pStyle w:val="StdBodyText"/>
              <w:rPr>
                <w:rFonts w:cs="Arial"/>
                <w:sz w:val="22"/>
                <w:szCs w:val="22"/>
              </w:rPr>
            </w:pPr>
          </w:p>
        </w:tc>
        <w:tc>
          <w:tcPr>
            <w:tcW w:w="2583" w:type="dxa"/>
            <w:tcBorders>
              <w:bottom w:val="single" w:sz="4" w:space="0" w:color="auto"/>
            </w:tcBorders>
          </w:tcPr>
          <w:p w14:paraId="64AA39AD" w14:textId="77777777" w:rsidR="009D3B50" w:rsidRPr="009D3B50" w:rsidRDefault="009D3B50" w:rsidP="002931FD">
            <w:pPr>
              <w:pStyle w:val="StdBodyText"/>
              <w:rPr>
                <w:rFonts w:cs="Arial"/>
                <w:sz w:val="22"/>
                <w:szCs w:val="22"/>
              </w:rPr>
            </w:pPr>
          </w:p>
        </w:tc>
      </w:tr>
    </w:tbl>
    <w:p w14:paraId="7AE90C3B" w14:textId="77777777" w:rsidR="009D3B50" w:rsidRPr="009D3B50" w:rsidRDefault="009D3B50" w:rsidP="009D3B50">
      <w:pPr>
        <w:pStyle w:val="StdBodyText"/>
        <w:rPr>
          <w:rFonts w:cs="Arial"/>
          <w:sz w:val="22"/>
          <w:szCs w:val="22"/>
        </w:rPr>
      </w:pPr>
      <w:r w:rsidRPr="009D3B50">
        <w:rPr>
          <w:rFonts w:cs="Arial"/>
          <w:sz w:val="22"/>
          <w:szCs w:val="22"/>
        </w:rPr>
        <w:br w:type="page"/>
      </w:r>
    </w:p>
    <w:tbl>
      <w:tblPr>
        <w:tblStyle w:val="TableGrid"/>
        <w:tblW w:w="0" w:type="auto"/>
        <w:tblInd w:w="5" w:type="dxa"/>
        <w:tblLook w:val="04A0" w:firstRow="1" w:lastRow="0" w:firstColumn="1" w:lastColumn="0" w:noHBand="0" w:noVBand="1"/>
      </w:tblPr>
      <w:tblGrid>
        <w:gridCol w:w="800"/>
        <w:gridCol w:w="1087"/>
        <w:gridCol w:w="1207"/>
        <w:gridCol w:w="1207"/>
        <w:gridCol w:w="960"/>
        <w:gridCol w:w="1028"/>
        <w:gridCol w:w="1395"/>
        <w:gridCol w:w="1326"/>
      </w:tblGrid>
      <w:tr w:rsidR="009D3B50" w:rsidRPr="009D3B50" w14:paraId="6F1E1B96" w14:textId="77777777" w:rsidTr="002931FD">
        <w:tc>
          <w:tcPr>
            <w:tcW w:w="1413" w:type="dxa"/>
            <w:tcBorders>
              <w:top w:val="nil"/>
              <w:left w:val="nil"/>
              <w:bottom w:val="single" w:sz="4" w:space="0" w:color="auto"/>
            </w:tcBorders>
          </w:tcPr>
          <w:p w14:paraId="59871FDB" w14:textId="77777777" w:rsidR="009D3B50" w:rsidRPr="009D3B50" w:rsidRDefault="009D3B50" w:rsidP="002931FD">
            <w:pPr>
              <w:pStyle w:val="StdBodyText"/>
              <w:rPr>
                <w:rFonts w:cs="Arial"/>
                <w:sz w:val="22"/>
                <w:szCs w:val="22"/>
              </w:rPr>
            </w:pPr>
          </w:p>
        </w:tc>
        <w:tc>
          <w:tcPr>
            <w:tcW w:w="12575" w:type="dxa"/>
            <w:gridSpan w:val="7"/>
            <w:shd w:val="solid" w:color="FFFF99" w:fill="auto"/>
          </w:tcPr>
          <w:p w14:paraId="2FDDE81B" w14:textId="77777777" w:rsidR="009D3B50" w:rsidRPr="009D3B50" w:rsidRDefault="009D3B50" w:rsidP="002931FD">
            <w:pPr>
              <w:pStyle w:val="StdBodyTextBold"/>
              <w:rPr>
                <w:rFonts w:cs="Arial"/>
                <w:sz w:val="22"/>
                <w:szCs w:val="22"/>
              </w:rPr>
            </w:pPr>
            <w:r w:rsidRPr="009D3B50">
              <w:rPr>
                <w:rFonts w:cs="Arial"/>
                <w:sz w:val="22"/>
                <w:szCs w:val="22"/>
              </w:rPr>
              <w:t>EMPLOYEE DETAILS &amp; KEY TERMS</w:t>
            </w:r>
          </w:p>
        </w:tc>
      </w:tr>
      <w:tr w:rsidR="009D3B50" w:rsidRPr="009D3B50" w14:paraId="07D01D3D" w14:textId="77777777" w:rsidTr="002931FD">
        <w:tc>
          <w:tcPr>
            <w:tcW w:w="1413" w:type="dxa"/>
            <w:shd w:val="solid" w:color="CCECFF" w:fill="auto"/>
            <w:vAlign w:val="center"/>
          </w:tcPr>
          <w:p w14:paraId="71154A24" w14:textId="77777777" w:rsidR="009D3B50" w:rsidRPr="009D3B50" w:rsidRDefault="009D3B50" w:rsidP="002931FD">
            <w:pPr>
              <w:pStyle w:val="StdBodyTextBold"/>
              <w:rPr>
                <w:rFonts w:cs="Arial"/>
                <w:sz w:val="22"/>
                <w:szCs w:val="22"/>
              </w:rPr>
            </w:pPr>
            <w:r w:rsidRPr="009D3B50">
              <w:rPr>
                <w:rFonts w:cs="Arial"/>
                <w:sz w:val="22"/>
                <w:szCs w:val="22"/>
              </w:rPr>
              <w:t>Details</w:t>
            </w:r>
          </w:p>
        </w:tc>
        <w:tc>
          <w:tcPr>
            <w:tcW w:w="1492" w:type="dxa"/>
            <w:shd w:val="solid" w:color="FFFF99" w:fill="auto"/>
            <w:vAlign w:val="center"/>
          </w:tcPr>
          <w:p w14:paraId="58CA42A2" w14:textId="77777777" w:rsidR="009D3B50" w:rsidRPr="009D3B50" w:rsidRDefault="009D3B50" w:rsidP="002931FD">
            <w:pPr>
              <w:pStyle w:val="StdBodyTextBold"/>
              <w:rPr>
                <w:rFonts w:cs="Arial"/>
                <w:sz w:val="22"/>
                <w:szCs w:val="22"/>
              </w:rPr>
            </w:pPr>
            <w:r w:rsidRPr="009D3B50">
              <w:rPr>
                <w:rFonts w:cs="Arial"/>
                <w:sz w:val="22"/>
                <w:szCs w:val="22"/>
              </w:rPr>
              <w:t>Contract end date (if fixed term contract or temporary contract)</w:t>
            </w:r>
          </w:p>
        </w:tc>
        <w:tc>
          <w:tcPr>
            <w:tcW w:w="1738" w:type="dxa"/>
            <w:shd w:val="solid" w:color="FFFF99" w:fill="auto"/>
            <w:vAlign w:val="center"/>
          </w:tcPr>
          <w:p w14:paraId="626B2EEB" w14:textId="77777777" w:rsidR="009D3B50" w:rsidRPr="009D3B50" w:rsidRDefault="009D3B50" w:rsidP="002931FD">
            <w:pPr>
              <w:pStyle w:val="StdBodyTextBold"/>
              <w:rPr>
                <w:rFonts w:cs="Arial"/>
                <w:sz w:val="22"/>
                <w:szCs w:val="22"/>
              </w:rPr>
            </w:pPr>
            <w:r w:rsidRPr="009D3B50">
              <w:rPr>
                <w:rFonts w:cs="Arial"/>
                <w:sz w:val="22"/>
                <w:szCs w:val="22"/>
              </w:rPr>
              <w:t>Contractual notice period</w:t>
            </w:r>
          </w:p>
        </w:tc>
        <w:tc>
          <w:tcPr>
            <w:tcW w:w="1555" w:type="dxa"/>
            <w:shd w:val="solid" w:color="FFFF99" w:fill="auto"/>
            <w:vAlign w:val="center"/>
          </w:tcPr>
          <w:p w14:paraId="44F3E70E" w14:textId="77777777" w:rsidR="009D3B50" w:rsidRPr="009D3B50" w:rsidRDefault="009D3B50" w:rsidP="002931FD">
            <w:pPr>
              <w:pStyle w:val="StdBodyTextBold"/>
              <w:rPr>
                <w:rFonts w:cs="Arial"/>
                <w:sz w:val="22"/>
                <w:szCs w:val="22"/>
              </w:rPr>
            </w:pPr>
            <w:r w:rsidRPr="009D3B50">
              <w:rPr>
                <w:rFonts w:cs="Arial"/>
                <w:sz w:val="22"/>
                <w:szCs w:val="22"/>
              </w:rPr>
              <w:t>Contractual weekly hours</w:t>
            </w:r>
          </w:p>
        </w:tc>
        <w:tc>
          <w:tcPr>
            <w:tcW w:w="1334" w:type="dxa"/>
            <w:shd w:val="solid" w:color="FFFF99" w:fill="auto"/>
            <w:vAlign w:val="center"/>
          </w:tcPr>
          <w:p w14:paraId="5BF3DD53" w14:textId="77777777" w:rsidR="009D3B50" w:rsidRPr="009D3B50" w:rsidRDefault="009D3B50" w:rsidP="002931FD">
            <w:pPr>
              <w:pStyle w:val="StdBodyTextBold"/>
              <w:rPr>
                <w:rFonts w:cs="Arial"/>
                <w:sz w:val="22"/>
                <w:szCs w:val="22"/>
              </w:rPr>
            </w:pPr>
            <w:r w:rsidRPr="009D3B50">
              <w:rPr>
                <w:rFonts w:cs="Arial"/>
                <w:sz w:val="22"/>
                <w:szCs w:val="22"/>
              </w:rPr>
              <w:t>Regular overtime hours per week</w:t>
            </w:r>
          </w:p>
        </w:tc>
        <w:tc>
          <w:tcPr>
            <w:tcW w:w="1631" w:type="dxa"/>
            <w:shd w:val="solid" w:color="FFFF99" w:fill="auto"/>
            <w:vAlign w:val="center"/>
          </w:tcPr>
          <w:p w14:paraId="357E9FCE" w14:textId="77777777" w:rsidR="009D3B50" w:rsidRPr="009D3B50" w:rsidRDefault="009D3B50" w:rsidP="002931FD">
            <w:pPr>
              <w:pStyle w:val="StdBodyTextBold"/>
              <w:rPr>
                <w:rFonts w:cs="Arial"/>
                <w:sz w:val="22"/>
                <w:szCs w:val="22"/>
              </w:rPr>
            </w:pPr>
            <w:r w:rsidRPr="009D3B50">
              <w:rPr>
                <w:rFonts w:cs="Arial"/>
                <w:sz w:val="22"/>
                <w:szCs w:val="22"/>
              </w:rPr>
              <w:t>Mobility or flexibility clause in contract?</w:t>
            </w:r>
          </w:p>
        </w:tc>
        <w:tc>
          <w:tcPr>
            <w:tcW w:w="3089" w:type="dxa"/>
            <w:shd w:val="solid" w:color="FFFF99" w:fill="auto"/>
            <w:vAlign w:val="center"/>
          </w:tcPr>
          <w:p w14:paraId="55C575D4" w14:textId="77777777" w:rsidR="009D3B50" w:rsidRPr="009D3B50" w:rsidRDefault="009D3B50" w:rsidP="002931FD">
            <w:pPr>
              <w:pStyle w:val="StdBodyTextBold"/>
              <w:rPr>
                <w:rFonts w:cs="Arial"/>
                <w:sz w:val="22"/>
                <w:szCs w:val="22"/>
              </w:rPr>
            </w:pPr>
            <w:r w:rsidRPr="009D3B50">
              <w:rPr>
                <w:rFonts w:cs="Arial"/>
                <w:sz w:val="22"/>
                <w:szCs w:val="22"/>
              </w:rPr>
              <w:t>Previously TUPE transferred to organisation? If so, please specify (i) date of transfer, (ii) name of transferor, and (iii) whether ex public sector</w:t>
            </w:r>
          </w:p>
        </w:tc>
        <w:tc>
          <w:tcPr>
            <w:tcW w:w="1736" w:type="dxa"/>
            <w:shd w:val="solid" w:color="FFFF99" w:fill="auto"/>
            <w:vAlign w:val="center"/>
          </w:tcPr>
          <w:p w14:paraId="1346379C" w14:textId="77777777" w:rsidR="009D3B50" w:rsidRPr="009D3B50" w:rsidRDefault="009D3B50" w:rsidP="002931FD">
            <w:pPr>
              <w:pStyle w:val="StdBodyTextBold"/>
              <w:rPr>
                <w:rFonts w:cs="Arial"/>
                <w:sz w:val="22"/>
                <w:szCs w:val="22"/>
              </w:rPr>
            </w:pPr>
            <w:r w:rsidRPr="009D3B50">
              <w:rPr>
                <w:rFonts w:cs="Arial"/>
                <w:sz w:val="22"/>
                <w:szCs w:val="22"/>
              </w:rPr>
              <w:t>Any collective agreements?</w:t>
            </w:r>
          </w:p>
        </w:tc>
      </w:tr>
      <w:tr w:rsidR="009D3B50" w:rsidRPr="009D3B50" w14:paraId="57F981DD" w14:textId="77777777" w:rsidTr="002931FD">
        <w:tc>
          <w:tcPr>
            <w:tcW w:w="1413" w:type="dxa"/>
            <w:shd w:val="solid" w:color="CCECFF" w:fill="auto"/>
          </w:tcPr>
          <w:p w14:paraId="55FE5E2A" w14:textId="77777777" w:rsidR="009D3B50" w:rsidRPr="009D3B50" w:rsidRDefault="009D3B50" w:rsidP="002931FD">
            <w:pPr>
              <w:pStyle w:val="StdBodyTextBold"/>
              <w:rPr>
                <w:rFonts w:cs="Arial"/>
                <w:sz w:val="22"/>
                <w:szCs w:val="22"/>
              </w:rPr>
            </w:pPr>
            <w:r w:rsidRPr="009D3B50">
              <w:rPr>
                <w:rFonts w:cs="Arial"/>
                <w:sz w:val="22"/>
                <w:szCs w:val="22"/>
              </w:rPr>
              <w:t>Emp No 1</w:t>
            </w:r>
          </w:p>
        </w:tc>
        <w:tc>
          <w:tcPr>
            <w:tcW w:w="1492" w:type="dxa"/>
          </w:tcPr>
          <w:p w14:paraId="1A6F4328" w14:textId="77777777" w:rsidR="009D3B50" w:rsidRPr="009D3B50" w:rsidRDefault="009D3B50" w:rsidP="002931FD">
            <w:pPr>
              <w:pStyle w:val="StdBodyText"/>
              <w:rPr>
                <w:rFonts w:cs="Arial"/>
                <w:sz w:val="22"/>
                <w:szCs w:val="22"/>
              </w:rPr>
            </w:pPr>
          </w:p>
        </w:tc>
        <w:tc>
          <w:tcPr>
            <w:tcW w:w="1738" w:type="dxa"/>
          </w:tcPr>
          <w:p w14:paraId="39701D77" w14:textId="77777777" w:rsidR="009D3B50" w:rsidRPr="009D3B50" w:rsidRDefault="009D3B50" w:rsidP="002931FD">
            <w:pPr>
              <w:pStyle w:val="StdBodyText"/>
              <w:rPr>
                <w:rFonts w:cs="Arial"/>
                <w:sz w:val="22"/>
                <w:szCs w:val="22"/>
              </w:rPr>
            </w:pPr>
          </w:p>
        </w:tc>
        <w:tc>
          <w:tcPr>
            <w:tcW w:w="1555" w:type="dxa"/>
          </w:tcPr>
          <w:p w14:paraId="1D272018" w14:textId="77777777" w:rsidR="009D3B50" w:rsidRPr="009D3B50" w:rsidRDefault="009D3B50" w:rsidP="002931FD">
            <w:pPr>
              <w:pStyle w:val="StdBodyText"/>
              <w:rPr>
                <w:rFonts w:cs="Arial"/>
                <w:sz w:val="22"/>
                <w:szCs w:val="22"/>
              </w:rPr>
            </w:pPr>
          </w:p>
        </w:tc>
        <w:tc>
          <w:tcPr>
            <w:tcW w:w="1334" w:type="dxa"/>
          </w:tcPr>
          <w:p w14:paraId="01070599" w14:textId="77777777" w:rsidR="009D3B50" w:rsidRPr="009D3B50" w:rsidRDefault="009D3B50" w:rsidP="002931FD">
            <w:pPr>
              <w:pStyle w:val="StdBodyText"/>
              <w:rPr>
                <w:rFonts w:cs="Arial"/>
                <w:sz w:val="22"/>
                <w:szCs w:val="22"/>
              </w:rPr>
            </w:pPr>
          </w:p>
        </w:tc>
        <w:tc>
          <w:tcPr>
            <w:tcW w:w="1631" w:type="dxa"/>
          </w:tcPr>
          <w:p w14:paraId="056E8000" w14:textId="77777777" w:rsidR="009D3B50" w:rsidRPr="009D3B50" w:rsidRDefault="009D3B50" w:rsidP="002931FD">
            <w:pPr>
              <w:pStyle w:val="StdBodyText"/>
              <w:rPr>
                <w:rFonts w:cs="Arial"/>
                <w:sz w:val="22"/>
                <w:szCs w:val="22"/>
              </w:rPr>
            </w:pPr>
          </w:p>
        </w:tc>
        <w:tc>
          <w:tcPr>
            <w:tcW w:w="3089" w:type="dxa"/>
          </w:tcPr>
          <w:p w14:paraId="7B312310" w14:textId="77777777" w:rsidR="009D3B50" w:rsidRPr="009D3B50" w:rsidRDefault="009D3B50" w:rsidP="002931FD">
            <w:pPr>
              <w:pStyle w:val="StdBodyText"/>
              <w:rPr>
                <w:rFonts w:cs="Arial"/>
                <w:sz w:val="22"/>
                <w:szCs w:val="22"/>
              </w:rPr>
            </w:pPr>
          </w:p>
        </w:tc>
        <w:tc>
          <w:tcPr>
            <w:tcW w:w="1736" w:type="dxa"/>
          </w:tcPr>
          <w:p w14:paraId="271B28D0" w14:textId="77777777" w:rsidR="009D3B50" w:rsidRPr="009D3B50" w:rsidRDefault="009D3B50" w:rsidP="002931FD">
            <w:pPr>
              <w:pStyle w:val="StdBodyText"/>
              <w:rPr>
                <w:rFonts w:cs="Arial"/>
                <w:sz w:val="22"/>
                <w:szCs w:val="22"/>
              </w:rPr>
            </w:pPr>
          </w:p>
        </w:tc>
      </w:tr>
      <w:tr w:rsidR="009D3B50" w:rsidRPr="009D3B50" w14:paraId="4C6186C1" w14:textId="77777777" w:rsidTr="002931FD">
        <w:tc>
          <w:tcPr>
            <w:tcW w:w="1413" w:type="dxa"/>
            <w:shd w:val="solid" w:color="CCECFF" w:fill="auto"/>
          </w:tcPr>
          <w:p w14:paraId="19F7CE02" w14:textId="77777777" w:rsidR="009D3B50" w:rsidRPr="009D3B50" w:rsidRDefault="009D3B50" w:rsidP="002931FD">
            <w:pPr>
              <w:pStyle w:val="StdBodyTextBold"/>
              <w:rPr>
                <w:rFonts w:cs="Arial"/>
                <w:sz w:val="22"/>
                <w:szCs w:val="22"/>
              </w:rPr>
            </w:pPr>
            <w:r w:rsidRPr="009D3B50">
              <w:rPr>
                <w:rFonts w:cs="Arial"/>
                <w:sz w:val="22"/>
                <w:szCs w:val="22"/>
              </w:rPr>
              <w:t>Emp No 2</w:t>
            </w:r>
          </w:p>
        </w:tc>
        <w:tc>
          <w:tcPr>
            <w:tcW w:w="1492" w:type="dxa"/>
          </w:tcPr>
          <w:p w14:paraId="52A6EA95" w14:textId="77777777" w:rsidR="009D3B50" w:rsidRPr="009D3B50" w:rsidRDefault="009D3B50" w:rsidP="002931FD">
            <w:pPr>
              <w:pStyle w:val="StdBodyText"/>
              <w:rPr>
                <w:rFonts w:cs="Arial"/>
                <w:sz w:val="22"/>
                <w:szCs w:val="22"/>
              </w:rPr>
            </w:pPr>
          </w:p>
        </w:tc>
        <w:tc>
          <w:tcPr>
            <w:tcW w:w="1738" w:type="dxa"/>
          </w:tcPr>
          <w:p w14:paraId="68823762" w14:textId="77777777" w:rsidR="009D3B50" w:rsidRPr="009D3B50" w:rsidRDefault="009D3B50" w:rsidP="002931FD">
            <w:pPr>
              <w:pStyle w:val="StdBodyText"/>
              <w:rPr>
                <w:rFonts w:cs="Arial"/>
                <w:sz w:val="22"/>
                <w:szCs w:val="22"/>
              </w:rPr>
            </w:pPr>
          </w:p>
        </w:tc>
        <w:tc>
          <w:tcPr>
            <w:tcW w:w="1555" w:type="dxa"/>
          </w:tcPr>
          <w:p w14:paraId="6693A1F6" w14:textId="77777777" w:rsidR="009D3B50" w:rsidRPr="009D3B50" w:rsidRDefault="009D3B50" w:rsidP="002931FD">
            <w:pPr>
              <w:pStyle w:val="StdBodyText"/>
              <w:rPr>
                <w:rFonts w:cs="Arial"/>
                <w:sz w:val="22"/>
                <w:szCs w:val="22"/>
              </w:rPr>
            </w:pPr>
          </w:p>
        </w:tc>
        <w:tc>
          <w:tcPr>
            <w:tcW w:w="1334" w:type="dxa"/>
          </w:tcPr>
          <w:p w14:paraId="48B941C5" w14:textId="77777777" w:rsidR="009D3B50" w:rsidRPr="009D3B50" w:rsidRDefault="009D3B50" w:rsidP="002931FD">
            <w:pPr>
              <w:pStyle w:val="StdBodyText"/>
              <w:rPr>
                <w:rFonts w:cs="Arial"/>
                <w:sz w:val="22"/>
                <w:szCs w:val="22"/>
              </w:rPr>
            </w:pPr>
          </w:p>
        </w:tc>
        <w:tc>
          <w:tcPr>
            <w:tcW w:w="1631" w:type="dxa"/>
          </w:tcPr>
          <w:p w14:paraId="061CEF86" w14:textId="77777777" w:rsidR="009D3B50" w:rsidRPr="009D3B50" w:rsidRDefault="009D3B50" w:rsidP="002931FD">
            <w:pPr>
              <w:pStyle w:val="StdBodyText"/>
              <w:rPr>
                <w:rFonts w:cs="Arial"/>
                <w:sz w:val="22"/>
                <w:szCs w:val="22"/>
              </w:rPr>
            </w:pPr>
          </w:p>
        </w:tc>
        <w:tc>
          <w:tcPr>
            <w:tcW w:w="3089" w:type="dxa"/>
          </w:tcPr>
          <w:p w14:paraId="1F1D89B3" w14:textId="77777777" w:rsidR="009D3B50" w:rsidRPr="009D3B50" w:rsidRDefault="009D3B50" w:rsidP="002931FD">
            <w:pPr>
              <w:pStyle w:val="StdBodyText"/>
              <w:rPr>
                <w:rFonts w:cs="Arial"/>
                <w:sz w:val="22"/>
                <w:szCs w:val="22"/>
              </w:rPr>
            </w:pPr>
          </w:p>
        </w:tc>
        <w:tc>
          <w:tcPr>
            <w:tcW w:w="1736" w:type="dxa"/>
          </w:tcPr>
          <w:p w14:paraId="4B385D56" w14:textId="77777777" w:rsidR="009D3B50" w:rsidRPr="009D3B50" w:rsidRDefault="009D3B50" w:rsidP="002931FD">
            <w:pPr>
              <w:pStyle w:val="StdBodyText"/>
              <w:rPr>
                <w:rFonts w:cs="Arial"/>
                <w:sz w:val="22"/>
                <w:szCs w:val="22"/>
              </w:rPr>
            </w:pPr>
          </w:p>
        </w:tc>
      </w:tr>
      <w:tr w:rsidR="009D3B50" w:rsidRPr="009D3B50" w14:paraId="23BA7536" w14:textId="77777777" w:rsidTr="002931FD">
        <w:tc>
          <w:tcPr>
            <w:tcW w:w="1413" w:type="dxa"/>
            <w:shd w:val="solid" w:color="CCECFF" w:fill="auto"/>
          </w:tcPr>
          <w:p w14:paraId="547B8423" w14:textId="77777777" w:rsidR="009D3B50" w:rsidRPr="009D3B50" w:rsidRDefault="009D3B50" w:rsidP="002931FD">
            <w:pPr>
              <w:pStyle w:val="StdBodyTextBold"/>
              <w:rPr>
                <w:rFonts w:cs="Arial"/>
                <w:sz w:val="22"/>
                <w:szCs w:val="22"/>
              </w:rPr>
            </w:pPr>
            <w:r w:rsidRPr="009D3B50">
              <w:rPr>
                <w:rFonts w:cs="Arial"/>
                <w:sz w:val="22"/>
                <w:szCs w:val="22"/>
              </w:rPr>
              <w:t>Emp No</w:t>
            </w:r>
          </w:p>
        </w:tc>
        <w:tc>
          <w:tcPr>
            <w:tcW w:w="1492" w:type="dxa"/>
          </w:tcPr>
          <w:p w14:paraId="21890D61" w14:textId="77777777" w:rsidR="009D3B50" w:rsidRPr="009D3B50" w:rsidRDefault="009D3B50" w:rsidP="002931FD">
            <w:pPr>
              <w:pStyle w:val="StdBodyText"/>
              <w:rPr>
                <w:rFonts w:cs="Arial"/>
                <w:sz w:val="22"/>
                <w:szCs w:val="22"/>
              </w:rPr>
            </w:pPr>
          </w:p>
        </w:tc>
        <w:tc>
          <w:tcPr>
            <w:tcW w:w="1738" w:type="dxa"/>
          </w:tcPr>
          <w:p w14:paraId="21D313D6" w14:textId="77777777" w:rsidR="009D3B50" w:rsidRPr="009D3B50" w:rsidRDefault="009D3B50" w:rsidP="002931FD">
            <w:pPr>
              <w:pStyle w:val="StdBodyText"/>
              <w:rPr>
                <w:rFonts w:cs="Arial"/>
                <w:sz w:val="22"/>
                <w:szCs w:val="22"/>
              </w:rPr>
            </w:pPr>
          </w:p>
        </w:tc>
        <w:tc>
          <w:tcPr>
            <w:tcW w:w="1555" w:type="dxa"/>
          </w:tcPr>
          <w:p w14:paraId="39ACCB2A" w14:textId="77777777" w:rsidR="009D3B50" w:rsidRPr="009D3B50" w:rsidRDefault="009D3B50" w:rsidP="002931FD">
            <w:pPr>
              <w:pStyle w:val="StdBodyText"/>
              <w:rPr>
                <w:rFonts w:cs="Arial"/>
                <w:sz w:val="22"/>
                <w:szCs w:val="22"/>
              </w:rPr>
            </w:pPr>
          </w:p>
        </w:tc>
        <w:tc>
          <w:tcPr>
            <w:tcW w:w="1334" w:type="dxa"/>
          </w:tcPr>
          <w:p w14:paraId="34FADC9B" w14:textId="77777777" w:rsidR="009D3B50" w:rsidRPr="009D3B50" w:rsidRDefault="009D3B50" w:rsidP="002931FD">
            <w:pPr>
              <w:pStyle w:val="StdBodyText"/>
              <w:rPr>
                <w:rFonts w:cs="Arial"/>
                <w:sz w:val="22"/>
                <w:szCs w:val="22"/>
              </w:rPr>
            </w:pPr>
          </w:p>
        </w:tc>
        <w:tc>
          <w:tcPr>
            <w:tcW w:w="1631" w:type="dxa"/>
          </w:tcPr>
          <w:p w14:paraId="16EDF1B0" w14:textId="77777777" w:rsidR="009D3B50" w:rsidRPr="009D3B50" w:rsidRDefault="009D3B50" w:rsidP="002931FD">
            <w:pPr>
              <w:pStyle w:val="StdBodyText"/>
              <w:rPr>
                <w:rFonts w:cs="Arial"/>
                <w:sz w:val="22"/>
                <w:szCs w:val="22"/>
              </w:rPr>
            </w:pPr>
          </w:p>
        </w:tc>
        <w:tc>
          <w:tcPr>
            <w:tcW w:w="3089" w:type="dxa"/>
          </w:tcPr>
          <w:p w14:paraId="415DBC70" w14:textId="77777777" w:rsidR="009D3B50" w:rsidRPr="009D3B50" w:rsidRDefault="009D3B50" w:rsidP="002931FD">
            <w:pPr>
              <w:pStyle w:val="StdBodyText"/>
              <w:rPr>
                <w:rFonts w:cs="Arial"/>
                <w:sz w:val="22"/>
                <w:szCs w:val="22"/>
              </w:rPr>
            </w:pPr>
          </w:p>
        </w:tc>
        <w:tc>
          <w:tcPr>
            <w:tcW w:w="1736" w:type="dxa"/>
          </w:tcPr>
          <w:p w14:paraId="4412E3D0" w14:textId="77777777" w:rsidR="009D3B50" w:rsidRPr="009D3B50" w:rsidRDefault="009D3B50" w:rsidP="002931FD">
            <w:pPr>
              <w:pStyle w:val="StdBodyText"/>
              <w:rPr>
                <w:rFonts w:cs="Arial"/>
                <w:sz w:val="22"/>
                <w:szCs w:val="22"/>
              </w:rPr>
            </w:pPr>
          </w:p>
        </w:tc>
      </w:tr>
      <w:tr w:rsidR="009D3B50" w:rsidRPr="009D3B50" w14:paraId="6A90F738" w14:textId="77777777" w:rsidTr="002931FD">
        <w:tc>
          <w:tcPr>
            <w:tcW w:w="1413" w:type="dxa"/>
            <w:shd w:val="solid" w:color="CCECFF" w:fill="auto"/>
          </w:tcPr>
          <w:p w14:paraId="432F5981" w14:textId="77777777" w:rsidR="009D3B50" w:rsidRPr="009D3B50" w:rsidRDefault="009D3B50" w:rsidP="002931FD">
            <w:pPr>
              <w:pStyle w:val="StdBodyTextBold"/>
              <w:rPr>
                <w:rFonts w:cs="Arial"/>
                <w:sz w:val="22"/>
                <w:szCs w:val="22"/>
              </w:rPr>
            </w:pPr>
            <w:r w:rsidRPr="009D3B50">
              <w:rPr>
                <w:rFonts w:cs="Arial"/>
                <w:sz w:val="22"/>
                <w:szCs w:val="22"/>
              </w:rPr>
              <w:t>Emp No</w:t>
            </w:r>
          </w:p>
        </w:tc>
        <w:tc>
          <w:tcPr>
            <w:tcW w:w="1492" w:type="dxa"/>
          </w:tcPr>
          <w:p w14:paraId="0A898F3F" w14:textId="77777777" w:rsidR="009D3B50" w:rsidRPr="009D3B50" w:rsidRDefault="009D3B50" w:rsidP="002931FD">
            <w:pPr>
              <w:pStyle w:val="StdBodyText"/>
              <w:rPr>
                <w:rFonts w:cs="Arial"/>
                <w:sz w:val="22"/>
                <w:szCs w:val="22"/>
              </w:rPr>
            </w:pPr>
          </w:p>
        </w:tc>
        <w:tc>
          <w:tcPr>
            <w:tcW w:w="1738" w:type="dxa"/>
          </w:tcPr>
          <w:p w14:paraId="5A490E25" w14:textId="77777777" w:rsidR="009D3B50" w:rsidRPr="009D3B50" w:rsidRDefault="009D3B50" w:rsidP="002931FD">
            <w:pPr>
              <w:pStyle w:val="StdBodyText"/>
              <w:rPr>
                <w:rFonts w:cs="Arial"/>
                <w:sz w:val="22"/>
                <w:szCs w:val="22"/>
              </w:rPr>
            </w:pPr>
          </w:p>
        </w:tc>
        <w:tc>
          <w:tcPr>
            <w:tcW w:w="1555" w:type="dxa"/>
          </w:tcPr>
          <w:p w14:paraId="3FB08C5D" w14:textId="77777777" w:rsidR="009D3B50" w:rsidRPr="009D3B50" w:rsidRDefault="009D3B50" w:rsidP="002931FD">
            <w:pPr>
              <w:pStyle w:val="StdBodyText"/>
              <w:rPr>
                <w:rFonts w:cs="Arial"/>
                <w:sz w:val="22"/>
                <w:szCs w:val="22"/>
              </w:rPr>
            </w:pPr>
          </w:p>
        </w:tc>
        <w:tc>
          <w:tcPr>
            <w:tcW w:w="1334" w:type="dxa"/>
          </w:tcPr>
          <w:p w14:paraId="7305AD57" w14:textId="77777777" w:rsidR="009D3B50" w:rsidRPr="009D3B50" w:rsidRDefault="009D3B50" w:rsidP="002931FD">
            <w:pPr>
              <w:pStyle w:val="StdBodyText"/>
              <w:rPr>
                <w:rFonts w:cs="Arial"/>
                <w:sz w:val="22"/>
                <w:szCs w:val="22"/>
              </w:rPr>
            </w:pPr>
          </w:p>
        </w:tc>
        <w:tc>
          <w:tcPr>
            <w:tcW w:w="1631" w:type="dxa"/>
          </w:tcPr>
          <w:p w14:paraId="3BD7CF7A" w14:textId="77777777" w:rsidR="009D3B50" w:rsidRPr="009D3B50" w:rsidRDefault="009D3B50" w:rsidP="002931FD">
            <w:pPr>
              <w:pStyle w:val="StdBodyText"/>
              <w:rPr>
                <w:rFonts w:cs="Arial"/>
                <w:sz w:val="22"/>
                <w:szCs w:val="22"/>
              </w:rPr>
            </w:pPr>
          </w:p>
        </w:tc>
        <w:tc>
          <w:tcPr>
            <w:tcW w:w="3089" w:type="dxa"/>
          </w:tcPr>
          <w:p w14:paraId="613F524F" w14:textId="77777777" w:rsidR="009D3B50" w:rsidRPr="009D3B50" w:rsidRDefault="009D3B50" w:rsidP="002931FD">
            <w:pPr>
              <w:pStyle w:val="StdBodyText"/>
              <w:rPr>
                <w:rFonts w:cs="Arial"/>
                <w:sz w:val="22"/>
                <w:szCs w:val="22"/>
              </w:rPr>
            </w:pPr>
          </w:p>
        </w:tc>
        <w:tc>
          <w:tcPr>
            <w:tcW w:w="1736" w:type="dxa"/>
          </w:tcPr>
          <w:p w14:paraId="55459C7B" w14:textId="77777777" w:rsidR="009D3B50" w:rsidRPr="009D3B50" w:rsidRDefault="009D3B50" w:rsidP="002931FD">
            <w:pPr>
              <w:pStyle w:val="StdBodyText"/>
              <w:rPr>
                <w:rFonts w:cs="Arial"/>
                <w:sz w:val="22"/>
                <w:szCs w:val="22"/>
              </w:rPr>
            </w:pPr>
          </w:p>
        </w:tc>
      </w:tr>
      <w:tr w:rsidR="009D3B50" w:rsidRPr="009D3B50" w14:paraId="15E3C276" w14:textId="77777777" w:rsidTr="002931FD">
        <w:tc>
          <w:tcPr>
            <w:tcW w:w="1413" w:type="dxa"/>
            <w:shd w:val="solid" w:color="CCECFF" w:fill="auto"/>
          </w:tcPr>
          <w:p w14:paraId="566905B2" w14:textId="77777777" w:rsidR="009D3B50" w:rsidRPr="009D3B50" w:rsidRDefault="009D3B50" w:rsidP="002931FD">
            <w:pPr>
              <w:pStyle w:val="StdBodyTextBold"/>
              <w:rPr>
                <w:rFonts w:cs="Arial"/>
                <w:sz w:val="22"/>
                <w:szCs w:val="22"/>
              </w:rPr>
            </w:pPr>
            <w:r w:rsidRPr="009D3B50">
              <w:rPr>
                <w:rFonts w:cs="Arial"/>
                <w:sz w:val="22"/>
                <w:szCs w:val="22"/>
              </w:rPr>
              <w:t>Emp No</w:t>
            </w:r>
          </w:p>
        </w:tc>
        <w:tc>
          <w:tcPr>
            <w:tcW w:w="1492" w:type="dxa"/>
          </w:tcPr>
          <w:p w14:paraId="160C5C27" w14:textId="77777777" w:rsidR="009D3B50" w:rsidRPr="009D3B50" w:rsidRDefault="009D3B50" w:rsidP="002931FD">
            <w:pPr>
              <w:pStyle w:val="StdBodyText"/>
              <w:rPr>
                <w:rFonts w:cs="Arial"/>
                <w:sz w:val="22"/>
                <w:szCs w:val="22"/>
              </w:rPr>
            </w:pPr>
          </w:p>
        </w:tc>
        <w:tc>
          <w:tcPr>
            <w:tcW w:w="1738" w:type="dxa"/>
          </w:tcPr>
          <w:p w14:paraId="7337F984" w14:textId="77777777" w:rsidR="009D3B50" w:rsidRPr="009D3B50" w:rsidRDefault="009D3B50" w:rsidP="002931FD">
            <w:pPr>
              <w:pStyle w:val="StdBodyText"/>
              <w:rPr>
                <w:rFonts w:cs="Arial"/>
                <w:sz w:val="22"/>
                <w:szCs w:val="22"/>
              </w:rPr>
            </w:pPr>
          </w:p>
        </w:tc>
        <w:tc>
          <w:tcPr>
            <w:tcW w:w="1555" w:type="dxa"/>
          </w:tcPr>
          <w:p w14:paraId="456C2361" w14:textId="77777777" w:rsidR="009D3B50" w:rsidRPr="009D3B50" w:rsidRDefault="009D3B50" w:rsidP="002931FD">
            <w:pPr>
              <w:pStyle w:val="StdBodyText"/>
              <w:rPr>
                <w:rFonts w:cs="Arial"/>
                <w:sz w:val="22"/>
                <w:szCs w:val="22"/>
              </w:rPr>
            </w:pPr>
          </w:p>
        </w:tc>
        <w:tc>
          <w:tcPr>
            <w:tcW w:w="1334" w:type="dxa"/>
          </w:tcPr>
          <w:p w14:paraId="609625C4" w14:textId="77777777" w:rsidR="009D3B50" w:rsidRPr="009D3B50" w:rsidRDefault="009D3B50" w:rsidP="002931FD">
            <w:pPr>
              <w:pStyle w:val="StdBodyText"/>
              <w:rPr>
                <w:rFonts w:cs="Arial"/>
                <w:sz w:val="22"/>
                <w:szCs w:val="22"/>
              </w:rPr>
            </w:pPr>
          </w:p>
        </w:tc>
        <w:tc>
          <w:tcPr>
            <w:tcW w:w="1631" w:type="dxa"/>
          </w:tcPr>
          <w:p w14:paraId="7B33AEC2" w14:textId="77777777" w:rsidR="009D3B50" w:rsidRPr="009D3B50" w:rsidRDefault="009D3B50" w:rsidP="002931FD">
            <w:pPr>
              <w:pStyle w:val="StdBodyText"/>
              <w:rPr>
                <w:rFonts w:cs="Arial"/>
                <w:sz w:val="22"/>
                <w:szCs w:val="22"/>
              </w:rPr>
            </w:pPr>
          </w:p>
        </w:tc>
        <w:tc>
          <w:tcPr>
            <w:tcW w:w="3089" w:type="dxa"/>
          </w:tcPr>
          <w:p w14:paraId="08C45186" w14:textId="77777777" w:rsidR="009D3B50" w:rsidRPr="009D3B50" w:rsidRDefault="009D3B50" w:rsidP="002931FD">
            <w:pPr>
              <w:pStyle w:val="StdBodyText"/>
              <w:rPr>
                <w:rFonts w:cs="Arial"/>
                <w:sz w:val="22"/>
                <w:szCs w:val="22"/>
              </w:rPr>
            </w:pPr>
          </w:p>
        </w:tc>
        <w:tc>
          <w:tcPr>
            <w:tcW w:w="1736" w:type="dxa"/>
          </w:tcPr>
          <w:p w14:paraId="6E783DB2" w14:textId="77777777" w:rsidR="009D3B50" w:rsidRPr="009D3B50" w:rsidRDefault="009D3B50" w:rsidP="002931FD">
            <w:pPr>
              <w:pStyle w:val="StdBodyText"/>
              <w:rPr>
                <w:rFonts w:cs="Arial"/>
                <w:sz w:val="22"/>
                <w:szCs w:val="22"/>
              </w:rPr>
            </w:pPr>
          </w:p>
        </w:tc>
      </w:tr>
      <w:tr w:rsidR="009D3B50" w:rsidRPr="009D3B50" w14:paraId="54994CE8" w14:textId="77777777" w:rsidTr="002931FD">
        <w:tc>
          <w:tcPr>
            <w:tcW w:w="1413" w:type="dxa"/>
            <w:shd w:val="solid" w:color="CCECFF" w:fill="auto"/>
          </w:tcPr>
          <w:p w14:paraId="5DA7F8D0" w14:textId="77777777" w:rsidR="009D3B50" w:rsidRPr="009D3B50" w:rsidRDefault="009D3B50" w:rsidP="002931FD">
            <w:pPr>
              <w:pStyle w:val="StdBodyTextBold"/>
              <w:rPr>
                <w:rFonts w:cs="Arial"/>
                <w:sz w:val="22"/>
                <w:szCs w:val="22"/>
              </w:rPr>
            </w:pPr>
            <w:r w:rsidRPr="009D3B50">
              <w:rPr>
                <w:rFonts w:cs="Arial"/>
                <w:sz w:val="22"/>
                <w:szCs w:val="22"/>
              </w:rPr>
              <w:t>Emp No</w:t>
            </w:r>
          </w:p>
        </w:tc>
        <w:tc>
          <w:tcPr>
            <w:tcW w:w="1492" w:type="dxa"/>
          </w:tcPr>
          <w:p w14:paraId="10013C80" w14:textId="77777777" w:rsidR="009D3B50" w:rsidRPr="009D3B50" w:rsidRDefault="009D3B50" w:rsidP="002931FD">
            <w:pPr>
              <w:pStyle w:val="StdBodyText"/>
              <w:rPr>
                <w:rFonts w:cs="Arial"/>
                <w:sz w:val="22"/>
                <w:szCs w:val="22"/>
              </w:rPr>
            </w:pPr>
          </w:p>
        </w:tc>
        <w:tc>
          <w:tcPr>
            <w:tcW w:w="1738" w:type="dxa"/>
          </w:tcPr>
          <w:p w14:paraId="1A7AB46C" w14:textId="77777777" w:rsidR="009D3B50" w:rsidRPr="009D3B50" w:rsidRDefault="009D3B50" w:rsidP="002931FD">
            <w:pPr>
              <w:pStyle w:val="StdBodyText"/>
              <w:rPr>
                <w:rFonts w:cs="Arial"/>
                <w:sz w:val="22"/>
                <w:szCs w:val="22"/>
              </w:rPr>
            </w:pPr>
          </w:p>
        </w:tc>
        <w:tc>
          <w:tcPr>
            <w:tcW w:w="1555" w:type="dxa"/>
          </w:tcPr>
          <w:p w14:paraId="7068565E" w14:textId="77777777" w:rsidR="009D3B50" w:rsidRPr="009D3B50" w:rsidRDefault="009D3B50" w:rsidP="002931FD">
            <w:pPr>
              <w:pStyle w:val="StdBodyText"/>
              <w:rPr>
                <w:rFonts w:cs="Arial"/>
                <w:sz w:val="22"/>
                <w:szCs w:val="22"/>
              </w:rPr>
            </w:pPr>
          </w:p>
        </w:tc>
        <w:tc>
          <w:tcPr>
            <w:tcW w:w="1334" w:type="dxa"/>
          </w:tcPr>
          <w:p w14:paraId="6DC64AC2" w14:textId="77777777" w:rsidR="009D3B50" w:rsidRPr="009D3B50" w:rsidRDefault="009D3B50" w:rsidP="002931FD">
            <w:pPr>
              <w:pStyle w:val="StdBodyText"/>
              <w:rPr>
                <w:rFonts w:cs="Arial"/>
                <w:sz w:val="22"/>
                <w:szCs w:val="22"/>
              </w:rPr>
            </w:pPr>
          </w:p>
        </w:tc>
        <w:tc>
          <w:tcPr>
            <w:tcW w:w="1631" w:type="dxa"/>
          </w:tcPr>
          <w:p w14:paraId="6B2EE2FE" w14:textId="77777777" w:rsidR="009D3B50" w:rsidRPr="009D3B50" w:rsidRDefault="009D3B50" w:rsidP="002931FD">
            <w:pPr>
              <w:pStyle w:val="StdBodyText"/>
              <w:rPr>
                <w:rFonts w:cs="Arial"/>
                <w:sz w:val="22"/>
                <w:szCs w:val="22"/>
              </w:rPr>
            </w:pPr>
          </w:p>
        </w:tc>
        <w:tc>
          <w:tcPr>
            <w:tcW w:w="3089" w:type="dxa"/>
          </w:tcPr>
          <w:p w14:paraId="00C7277C" w14:textId="77777777" w:rsidR="009D3B50" w:rsidRPr="009D3B50" w:rsidRDefault="009D3B50" w:rsidP="002931FD">
            <w:pPr>
              <w:pStyle w:val="StdBodyText"/>
              <w:rPr>
                <w:rFonts w:cs="Arial"/>
                <w:sz w:val="22"/>
                <w:szCs w:val="22"/>
              </w:rPr>
            </w:pPr>
          </w:p>
        </w:tc>
        <w:tc>
          <w:tcPr>
            <w:tcW w:w="1736" w:type="dxa"/>
          </w:tcPr>
          <w:p w14:paraId="7342613D" w14:textId="77777777" w:rsidR="009D3B50" w:rsidRPr="009D3B50" w:rsidRDefault="009D3B50" w:rsidP="002931FD">
            <w:pPr>
              <w:pStyle w:val="StdBodyText"/>
              <w:rPr>
                <w:rFonts w:cs="Arial"/>
                <w:sz w:val="22"/>
                <w:szCs w:val="22"/>
              </w:rPr>
            </w:pPr>
          </w:p>
        </w:tc>
      </w:tr>
      <w:tr w:rsidR="009D3B50" w:rsidRPr="009D3B50" w14:paraId="630E462A" w14:textId="77777777" w:rsidTr="002931FD">
        <w:tc>
          <w:tcPr>
            <w:tcW w:w="1413" w:type="dxa"/>
            <w:shd w:val="solid" w:color="CCECFF" w:fill="auto"/>
          </w:tcPr>
          <w:p w14:paraId="18284D4E" w14:textId="77777777" w:rsidR="009D3B50" w:rsidRPr="009D3B50" w:rsidRDefault="009D3B50" w:rsidP="002931FD">
            <w:pPr>
              <w:pStyle w:val="StdBodyTextBold"/>
              <w:rPr>
                <w:rFonts w:cs="Arial"/>
                <w:sz w:val="22"/>
                <w:szCs w:val="22"/>
              </w:rPr>
            </w:pPr>
            <w:r w:rsidRPr="009D3B50">
              <w:rPr>
                <w:rFonts w:cs="Arial"/>
                <w:sz w:val="22"/>
                <w:szCs w:val="22"/>
              </w:rPr>
              <w:t>Emp No</w:t>
            </w:r>
          </w:p>
        </w:tc>
        <w:tc>
          <w:tcPr>
            <w:tcW w:w="1492" w:type="dxa"/>
          </w:tcPr>
          <w:p w14:paraId="5D2A67D3" w14:textId="77777777" w:rsidR="009D3B50" w:rsidRPr="009D3B50" w:rsidRDefault="009D3B50" w:rsidP="002931FD">
            <w:pPr>
              <w:pStyle w:val="StdBodyText"/>
              <w:rPr>
                <w:rFonts w:cs="Arial"/>
                <w:sz w:val="22"/>
                <w:szCs w:val="22"/>
              </w:rPr>
            </w:pPr>
          </w:p>
        </w:tc>
        <w:tc>
          <w:tcPr>
            <w:tcW w:w="1738" w:type="dxa"/>
          </w:tcPr>
          <w:p w14:paraId="3EDDF639" w14:textId="77777777" w:rsidR="009D3B50" w:rsidRPr="009D3B50" w:rsidRDefault="009D3B50" w:rsidP="002931FD">
            <w:pPr>
              <w:pStyle w:val="StdBodyText"/>
              <w:rPr>
                <w:rFonts w:cs="Arial"/>
                <w:sz w:val="22"/>
                <w:szCs w:val="22"/>
              </w:rPr>
            </w:pPr>
          </w:p>
        </w:tc>
        <w:tc>
          <w:tcPr>
            <w:tcW w:w="1555" w:type="dxa"/>
          </w:tcPr>
          <w:p w14:paraId="643BCA1D" w14:textId="77777777" w:rsidR="009D3B50" w:rsidRPr="009D3B50" w:rsidRDefault="009D3B50" w:rsidP="002931FD">
            <w:pPr>
              <w:pStyle w:val="StdBodyText"/>
              <w:rPr>
                <w:rFonts w:cs="Arial"/>
                <w:sz w:val="22"/>
                <w:szCs w:val="22"/>
              </w:rPr>
            </w:pPr>
          </w:p>
        </w:tc>
        <w:tc>
          <w:tcPr>
            <w:tcW w:w="1334" w:type="dxa"/>
          </w:tcPr>
          <w:p w14:paraId="64C59978" w14:textId="77777777" w:rsidR="009D3B50" w:rsidRPr="009D3B50" w:rsidRDefault="009D3B50" w:rsidP="002931FD">
            <w:pPr>
              <w:pStyle w:val="StdBodyText"/>
              <w:rPr>
                <w:rFonts w:cs="Arial"/>
                <w:sz w:val="22"/>
                <w:szCs w:val="22"/>
              </w:rPr>
            </w:pPr>
          </w:p>
        </w:tc>
        <w:tc>
          <w:tcPr>
            <w:tcW w:w="1631" w:type="dxa"/>
          </w:tcPr>
          <w:p w14:paraId="0B9D6FC2" w14:textId="77777777" w:rsidR="009D3B50" w:rsidRPr="009D3B50" w:rsidRDefault="009D3B50" w:rsidP="002931FD">
            <w:pPr>
              <w:pStyle w:val="StdBodyText"/>
              <w:rPr>
                <w:rFonts w:cs="Arial"/>
                <w:sz w:val="22"/>
                <w:szCs w:val="22"/>
              </w:rPr>
            </w:pPr>
          </w:p>
        </w:tc>
        <w:tc>
          <w:tcPr>
            <w:tcW w:w="3089" w:type="dxa"/>
          </w:tcPr>
          <w:p w14:paraId="31D50CD1" w14:textId="77777777" w:rsidR="009D3B50" w:rsidRPr="009D3B50" w:rsidRDefault="009D3B50" w:rsidP="002931FD">
            <w:pPr>
              <w:pStyle w:val="StdBodyText"/>
              <w:rPr>
                <w:rFonts w:cs="Arial"/>
                <w:sz w:val="22"/>
                <w:szCs w:val="22"/>
              </w:rPr>
            </w:pPr>
          </w:p>
        </w:tc>
        <w:tc>
          <w:tcPr>
            <w:tcW w:w="1736" w:type="dxa"/>
          </w:tcPr>
          <w:p w14:paraId="55596F43" w14:textId="77777777" w:rsidR="009D3B50" w:rsidRPr="009D3B50" w:rsidRDefault="009D3B50" w:rsidP="002931FD">
            <w:pPr>
              <w:pStyle w:val="StdBodyText"/>
              <w:rPr>
                <w:rFonts w:cs="Arial"/>
                <w:sz w:val="22"/>
                <w:szCs w:val="22"/>
              </w:rPr>
            </w:pPr>
          </w:p>
        </w:tc>
      </w:tr>
    </w:tbl>
    <w:p w14:paraId="35A69785" w14:textId="77777777" w:rsidR="009D3B50" w:rsidRPr="009D3B50" w:rsidRDefault="009D3B50" w:rsidP="009D3B50">
      <w:pPr>
        <w:pStyle w:val="StdBodyText"/>
        <w:rPr>
          <w:rFonts w:cs="Arial"/>
          <w:sz w:val="22"/>
          <w:szCs w:val="22"/>
        </w:rPr>
      </w:pPr>
      <w:r w:rsidRPr="009D3B50">
        <w:rPr>
          <w:rFonts w:cs="Arial"/>
          <w:sz w:val="22"/>
          <w:szCs w:val="22"/>
        </w:rPr>
        <w:br w:type="page"/>
      </w:r>
    </w:p>
    <w:tbl>
      <w:tblPr>
        <w:tblStyle w:val="TableGrid"/>
        <w:tblW w:w="0" w:type="auto"/>
        <w:tblInd w:w="5" w:type="dxa"/>
        <w:tblLook w:val="04A0" w:firstRow="1" w:lastRow="0" w:firstColumn="1" w:lastColumn="0" w:noHBand="0" w:noVBand="1"/>
      </w:tblPr>
      <w:tblGrid>
        <w:gridCol w:w="787"/>
        <w:gridCol w:w="1375"/>
        <w:gridCol w:w="748"/>
        <w:gridCol w:w="1076"/>
        <w:gridCol w:w="1308"/>
        <w:gridCol w:w="844"/>
        <w:gridCol w:w="1096"/>
        <w:gridCol w:w="1019"/>
        <w:gridCol w:w="757"/>
      </w:tblGrid>
      <w:tr w:rsidR="009D3B50" w:rsidRPr="009D3B50" w14:paraId="413317E1" w14:textId="77777777" w:rsidTr="002931FD">
        <w:tc>
          <w:tcPr>
            <w:tcW w:w="1413" w:type="dxa"/>
            <w:tcBorders>
              <w:top w:val="nil"/>
              <w:left w:val="nil"/>
              <w:bottom w:val="single" w:sz="4" w:space="0" w:color="auto"/>
            </w:tcBorders>
          </w:tcPr>
          <w:p w14:paraId="530F901F" w14:textId="77777777" w:rsidR="009D3B50" w:rsidRPr="009D3B50" w:rsidRDefault="009D3B50" w:rsidP="002931FD">
            <w:pPr>
              <w:pStyle w:val="StdBodyText"/>
              <w:rPr>
                <w:rFonts w:cs="Arial"/>
                <w:sz w:val="22"/>
                <w:szCs w:val="22"/>
              </w:rPr>
            </w:pPr>
          </w:p>
        </w:tc>
        <w:tc>
          <w:tcPr>
            <w:tcW w:w="2479" w:type="dxa"/>
            <w:shd w:val="solid" w:color="D99594" w:themeColor="accent2" w:themeTint="99" w:fill="auto"/>
          </w:tcPr>
          <w:p w14:paraId="1718E80E" w14:textId="77777777" w:rsidR="009D3B50" w:rsidRPr="009D3B50" w:rsidRDefault="009D3B50" w:rsidP="002931FD">
            <w:pPr>
              <w:pStyle w:val="StdBodyTextBold"/>
              <w:rPr>
                <w:rFonts w:cs="Arial"/>
                <w:sz w:val="22"/>
                <w:szCs w:val="22"/>
              </w:rPr>
            </w:pPr>
            <w:r w:rsidRPr="009D3B50">
              <w:rPr>
                <w:rFonts w:cs="Arial"/>
                <w:sz w:val="22"/>
                <w:szCs w:val="22"/>
              </w:rPr>
              <w:t>ASSIGNMENT</w:t>
            </w:r>
          </w:p>
        </w:tc>
        <w:tc>
          <w:tcPr>
            <w:tcW w:w="10096" w:type="dxa"/>
            <w:gridSpan w:val="7"/>
            <w:shd w:val="solid" w:color="FABF8F" w:themeColor="accent6" w:themeTint="99" w:fill="auto"/>
          </w:tcPr>
          <w:p w14:paraId="318B1F0E" w14:textId="77777777" w:rsidR="009D3B50" w:rsidRPr="009D3B50" w:rsidRDefault="009D3B50" w:rsidP="002931FD">
            <w:pPr>
              <w:pStyle w:val="StdBodyTextBold"/>
              <w:rPr>
                <w:rFonts w:cs="Arial"/>
                <w:sz w:val="22"/>
                <w:szCs w:val="22"/>
              </w:rPr>
            </w:pPr>
            <w:r w:rsidRPr="009D3B50">
              <w:rPr>
                <w:rFonts w:cs="Arial"/>
                <w:sz w:val="22"/>
                <w:szCs w:val="22"/>
              </w:rPr>
              <w:t>CONTRACTUAL PAY AND BENEFITS</w:t>
            </w:r>
          </w:p>
        </w:tc>
      </w:tr>
      <w:tr w:rsidR="009D3B50" w:rsidRPr="009D3B50" w14:paraId="31AE65C8" w14:textId="77777777" w:rsidTr="002931FD">
        <w:tc>
          <w:tcPr>
            <w:tcW w:w="1413" w:type="dxa"/>
            <w:shd w:val="solid" w:color="CCECFF" w:fill="auto"/>
            <w:vAlign w:val="center"/>
          </w:tcPr>
          <w:p w14:paraId="6027EAA1" w14:textId="77777777" w:rsidR="009D3B50" w:rsidRPr="009D3B50" w:rsidRDefault="009D3B50" w:rsidP="002931FD">
            <w:pPr>
              <w:pStyle w:val="StdBodyTextBold"/>
              <w:rPr>
                <w:rFonts w:cs="Arial"/>
                <w:sz w:val="22"/>
                <w:szCs w:val="22"/>
              </w:rPr>
            </w:pPr>
            <w:r w:rsidRPr="009D3B50">
              <w:rPr>
                <w:rFonts w:cs="Arial"/>
                <w:sz w:val="22"/>
                <w:szCs w:val="22"/>
              </w:rPr>
              <w:t>Details</w:t>
            </w:r>
          </w:p>
        </w:tc>
        <w:tc>
          <w:tcPr>
            <w:tcW w:w="2479" w:type="dxa"/>
            <w:shd w:val="solid" w:color="D99594" w:themeColor="accent2" w:themeTint="99" w:fill="auto"/>
            <w:vAlign w:val="center"/>
          </w:tcPr>
          <w:p w14:paraId="7660FECC" w14:textId="4DCC0A7E" w:rsidR="009D3B50" w:rsidRPr="009D3B50" w:rsidRDefault="009D3B50" w:rsidP="002931FD">
            <w:pPr>
              <w:pStyle w:val="StdBodyTextBold"/>
              <w:rPr>
                <w:rFonts w:cs="Arial"/>
                <w:sz w:val="22"/>
                <w:szCs w:val="22"/>
              </w:rPr>
            </w:pPr>
            <w:r w:rsidRPr="009D3B50">
              <w:rPr>
                <w:rFonts w:cs="Arial"/>
                <w:sz w:val="22"/>
                <w:szCs w:val="22"/>
              </w:rPr>
              <w:t xml:space="preserve">% of working time dedicated to the provision of services under </w:t>
            </w:r>
            <w:r w:rsidR="00010038">
              <w:rPr>
                <w:rFonts w:cs="Arial"/>
                <w:sz w:val="22"/>
                <w:szCs w:val="22"/>
              </w:rPr>
              <w:t>the Agreement</w:t>
            </w:r>
          </w:p>
        </w:tc>
        <w:tc>
          <w:tcPr>
            <w:tcW w:w="1226" w:type="dxa"/>
            <w:shd w:val="solid" w:color="FABF8F" w:themeColor="accent6" w:themeTint="99" w:fill="auto"/>
            <w:vAlign w:val="center"/>
          </w:tcPr>
          <w:p w14:paraId="021BCFEC" w14:textId="77777777" w:rsidR="009D3B50" w:rsidRPr="009D3B50" w:rsidRDefault="009D3B50" w:rsidP="002931FD">
            <w:pPr>
              <w:pStyle w:val="StdBodyTextBold"/>
              <w:rPr>
                <w:rFonts w:cs="Arial"/>
                <w:sz w:val="22"/>
                <w:szCs w:val="22"/>
              </w:rPr>
            </w:pPr>
            <w:r w:rsidRPr="009D3B50">
              <w:rPr>
                <w:rFonts w:cs="Arial"/>
                <w:sz w:val="22"/>
                <w:szCs w:val="22"/>
              </w:rPr>
              <w:t>Salary (or hourly rate of pay)</w:t>
            </w:r>
          </w:p>
        </w:tc>
        <w:tc>
          <w:tcPr>
            <w:tcW w:w="1535" w:type="dxa"/>
            <w:shd w:val="solid" w:color="FABF8F" w:themeColor="accent6" w:themeTint="99" w:fill="auto"/>
            <w:vAlign w:val="center"/>
          </w:tcPr>
          <w:p w14:paraId="0004554C" w14:textId="77777777" w:rsidR="009D3B50" w:rsidRPr="009D3B50" w:rsidRDefault="009D3B50" w:rsidP="002931FD">
            <w:pPr>
              <w:pStyle w:val="StdBodyTextBold"/>
              <w:rPr>
                <w:rFonts w:cs="Arial"/>
                <w:sz w:val="22"/>
                <w:szCs w:val="22"/>
              </w:rPr>
            </w:pPr>
            <w:r w:rsidRPr="009D3B50">
              <w:rPr>
                <w:rFonts w:cs="Arial"/>
                <w:sz w:val="22"/>
                <w:szCs w:val="22"/>
              </w:rPr>
              <w:t>Payment interval (weekly / fortnightly / monthly)</w:t>
            </w:r>
          </w:p>
        </w:tc>
        <w:tc>
          <w:tcPr>
            <w:tcW w:w="2204" w:type="dxa"/>
            <w:shd w:val="solid" w:color="FABF8F" w:themeColor="accent6" w:themeTint="99" w:fill="auto"/>
            <w:vAlign w:val="center"/>
          </w:tcPr>
          <w:p w14:paraId="4148FFCE" w14:textId="77777777" w:rsidR="009D3B50" w:rsidRPr="009D3B50" w:rsidRDefault="009D3B50" w:rsidP="002931FD">
            <w:pPr>
              <w:pStyle w:val="StdBodyTextBold"/>
              <w:rPr>
                <w:rFonts w:cs="Arial"/>
                <w:sz w:val="22"/>
                <w:szCs w:val="22"/>
              </w:rPr>
            </w:pPr>
            <w:r w:rsidRPr="009D3B50">
              <w:rPr>
                <w:rFonts w:cs="Arial"/>
                <w:sz w:val="22"/>
                <w:szCs w:val="22"/>
              </w:rPr>
              <w:t>Bonus payment for previous 12 months (please specify whether contractual or discretionary entitlement)</w:t>
            </w:r>
          </w:p>
        </w:tc>
        <w:tc>
          <w:tcPr>
            <w:tcW w:w="1083" w:type="dxa"/>
            <w:shd w:val="solid" w:color="FABF8F" w:themeColor="accent6" w:themeTint="99" w:fill="auto"/>
            <w:vAlign w:val="center"/>
          </w:tcPr>
          <w:p w14:paraId="288A5F58" w14:textId="77777777" w:rsidR="009D3B50" w:rsidRPr="009D3B50" w:rsidRDefault="009D3B50" w:rsidP="002931FD">
            <w:pPr>
              <w:pStyle w:val="StdBodyTextBold"/>
              <w:rPr>
                <w:rFonts w:cs="Arial"/>
                <w:sz w:val="22"/>
                <w:szCs w:val="22"/>
              </w:rPr>
            </w:pPr>
            <w:r w:rsidRPr="009D3B50">
              <w:rPr>
                <w:rFonts w:cs="Arial"/>
                <w:sz w:val="22"/>
                <w:szCs w:val="22"/>
              </w:rPr>
              <w:t>Pay review method</w:t>
            </w:r>
          </w:p>
        </w:tc>
        <w:tc>
          <w:tcPr>
            <w:tcW w:w="1430" w:type="dxa"/>
            <w:shd w:val="solid" w:color="FABF8F" w:themeColor="accent6" w:themeTint="99" w:fill="auto"/>
            <w:vAlign w:val="center"/>
          </w:tcPr>
          <w:p w14:paraId="5F787009" w14:textId="77777777" w:rsidR="009D3B50" w:rsidRPr="009D3B50" w:rsidRDefault="009D3B50" w:rsidP="002931FD">
            <w:pPr>
              <w:pStyle w:val="StdBodyTextBold"/>
              <w:rPr>
                <w:rFonts w:cs="Arial"/>
                <w:sz w:val="22"/>
                <w:szCs w:val="22"/>
              </w:rPr>
            </w:pPr>
            <w:r w:rsidRPr="009D3B50">
              <w:rPr>
                <w:rFonts w:cs="Arial"/>
                <w:sz w:val="22"/>
                <w:szCs w:val="22"/>
              </w:rPr>
              <w:t>Frequency of pay reviews</w:t>
            </w:r>
          </w:p>
        </w:tc>
        <w:tc>
          <w:tcPr>
            <w:tcW w:w="1383" w:type="dxa"/>
            <w:shd w:val="solid" w:color="FABF8F" w:themeColor="accent6" w:themeTint="99" w:fill="auto"/>
            <w:vAlign w:val="center"/>
          </w:tcPr>
          <w:p w14:paraId="2A6EE489" w14:textId="77777777" w:rsidR="009D3B50" w:rsidRPr="009D3B50" w:rsidRDefault="009D3B50" w:rsidP="002931FD">
            <w:pPr>
              <w:pStyle w:val="StdBodyTextBold"/>
              <w:rPr>
                <w:rFonts w:cs="Arial"/>
                <w:sz w:val="22"/>
                <w:szCs w:val="22"/>
              </w:rPr>
            </w:pPr>
            <w:r w:rsidRPr="009D3B50">
              <w:rPr>
                <w:rFonts w:cs="Arial"/>
                <w:sz w:val="22"/>
                <w:szCs w:val="22"/>
              </w:rPr>
              <w:t>Agreed pay increases</w:t>
            </w:r>
          </w:p>
        </w:tc>
        <w:tc>
          <w:tcPr>
            <w:tcW w:w="1235" w:type="dxa"/>
            <w:shd w:val="solid" w:color="FABF8F" w:themeColor="accent6" w:themeTint="99" w:fill="auto"/>
            <w:vAlign w:val="center"/>
          </w:tcPr>
          <w:p w14:paraId="7B421862" w14:textId="77777777" w:rsidR="009D3B50" w:rsidRPr="009D3B50" w:rsidRDefault="009D3B50" w:rsidP="002931FD">
            <w:pPr>
              <w:pStyle w:val="StdBodyTextBold"/>
              <w:rPr>
                <w:rFonts w:cs="Arial"/>
                <w:sz w:val="22"/>
                <w:szCs w:val="22"/>
              </w:rPr>
            </w:pPr>
            <w:r w:rsidRPr="009D3B50">
              <w:rPr>
                <w:rFonts w:cs="Arial"/>
                <w:sz w:val="22"/>
                <w:szCs w:val="22"/>
              </w:rPr>
              <w:t>Next pay review date</w:t>
            </w:r>
          </w:p>
        </w:tc>
      </w:tr>
      <w:tr w:rsidR="009D3B50" w:rsidRPr="009D3B50" w14:paraId="4F150839" w14:textId="77777777" w:rsidTr="002931FD">
        <w:tc>
          <w:tcPr>
            <w:tcW w:w="1413" w:type="dxa"/>
            <w:shd w:val="solid" w:color="CCECFF" w:fill="auto"/>
          </w:tcPr>
          <w:p w14:paraId="0A837F01" w14:textId="77777777" w:rsidR="009D3B50" w:rsidRPr="009D3B50" w:rsidRDefault="009D3B50" w:rsidP="002931FD">
            <w:pPr>
              <w:pStyle w:val="StdBodyTextBold"/>
              <w:rPr>
                <w:rFonts w:cs="Arial"/>
                <w:sz w:val="22"/>
                <w:szCs w:val="22"/>
              </w:rPr>
            </w:pPr>
            <w:r w:rsidRPr="009D3B50">
              <w:rPr>
                <w:rFonts w:cs="Arial"/>
                <w:sz w:val="22"/>
                <w:szCs w:val="22"/>
              </w:rPr>
              <w:t>Emp No 1</w:t>
            </w:r>
          </w:p>
        </w:tc>
        <w:tc>
          <w:tcPr>
            <w:tcW w:w="2479" w:type="dxa"/>
          </w:tcPr>
          <w:p w14:paraId="71ABF891" w14:textId="77777777" w:rsidR="009D3B50" w:rsidRPr="009D3B50" w:rsidRDefault="009D3B50" w:rsidP="002931FD">
            <w:pPr>
              <w:pStyle w:val="StdBodyText"/>
              <w:rPr>
                <w:rFonts w:cs="Arial"/>
                <w:sz w:val="22"/>
                <w:szCs w:val="22"/>
              </w:rPr>
            </w:pPr>
          </w:p>
        </w:tc>
        <w:tc>
          <w:tcPr>
            <w:tcW w:w="1226" w:type="dxa"/>
          </w:tcPr>
          <w:p w14:paraId="6D6BBD25" w14:textId="77777777" w:rsidR="009D3B50" w:rsidRPr="009D3B50" w:rsidRDefault="009D3B50" w:rsidP="002931FD">
            <w:pPr>
              <w:pStyle w:val="StdBodyText"/>
              <w:rPr>
                <w:rFonts w:cs="Arial"/>
                <w:sz w:val="22"/>
                <w:szCs w:val="22"/>
              </w:rPr>
            </w:pPr>
          </w:p>
        </w:tc>
        <w:tc>
          <w:tcPr>
            <w:tcW w:w="1535" w:type="dxa"/>
          </w:tcPr>
          <w:p w14:paraId="594438FD" w14:textId="77777777" w:rsidR="009D3B50" w:rsidRPr="009D3B50" w:rsidRDefault="009D3B50" w:rsidP="002931FD">
            <w:pPr>
              <w:pStyle w:val="StdBodyText"/>
              <w:rPr>
                <w:rFonts w:cs="Arial"/>
                <w:sz w:val="22"/>
                <w:szCs w:val="22"/>
              </w:rPr>
            </w:pPr>
          </w:p>
        </w:tc>
        <w:tc>
          <w:tcPr>
            <w:tcW w:w="2204" w:type="dxa"/>
          </w:tcPr>
          <w:p w14:paraId="294B2830" w14:textId="77777777" w:rsidR="009D3B50" w:rsidRPr="009D3B50" w:rsidRDefault="009D3B50" w:rsidP="002931FD">
            <w:pPr>
              <w:pStyle w:val="StdBodyText"/>
              <w:rPr>
                <w:rFonts w:cs="Arial"/>
                <w:sz w:val="22"/>
                <w:szCs w:val="22"/>
              </w:rPr>
            </w:pPr>
          </w:p>
        </w:tc>
        <w:tc>
          <w:tcPr>
            <w:tcW w:w="1083" w:type="dxa"/>
          </w:tcPr>
          <w:p w14:paraId="435190F4" w14:textId="77777777" w:rsidR="009D3B50" w:rsidRPr="009D3B50" w:rsidRDefault="009D3B50" w:rsidP="002931FD">
            <w:pPr>
              <w:pStyle w:val="StdBodyText"/>
              <w:rPr>
                <w:rFonts w:cs="Arial"/>
                <w:sz w:val="22"/>
                <w:szCs w:val="22"/>
              </w:rPr>
            </w:pPr>
          </w:p>
        </w:tc>
        <w:tc>
          <w:tcPr>
            <w:tcW w:w="1430" w:type="dxa"/>
          </w:tcPr>
          <w:p w14:paraId="2B32C07A" w14:textId="77777777" w:rsidR="009D3B50" w:rsidRPr="009D3B50" w:rsidRDefault="009D3B50" w:rsidP="002931FD">
            <w:pPr>
              <w:pStyle w:val="StdBodyText"/>
              <w:rPr>
                <w:rFonts w:cs="Arial"/>
                <w:sz w:val="22"/>
                <w:szCs w:val="22"/>
              </w:rPr>
            </w:pPr>
          </w:p>
        </w:tc>
        <w:tc>
          <w:tcPr>
            <w:tcW w:w="1383" w:type="dxa"/>
          </w:tcPr>
          <w:p w14:paraId="550EC802" w14:textId="77777777" w:rsidR="009D3B50" w:rsidRPr="009D3B50" w:rsidRDefault="009D3B50" w:rsidP="002931FD">
            <w:pPr>
              <w:pStyle w:val="StdBodyText"/>
              <w:rPr>
                <w:rFonts w:cs="Arial"/>
                <w:sz w:val="22"/>
                <w:szCs w:val="22"/>
              </w:rPr>
            </w:pPr>
          </w:p>
        </w:tc>
        <w:tc>
          <w:tcPr>
            <w:tcW w:w="1235" w:type="dxa"/>
          </w:tcPr>
          <w:p w14:paraId="331BDDB4" w14:textId="77777777" w:rsidR="009D3B50" w:rsidRPr="009D3B50" w:rsidRDefault="009D3B50" w:rsidP="002931FD">
            <w:pPr>
              <w:pStyle w:val="StdBodyText"/>
              <w:rPr>
                <w:rFonts w:cs="Arial"/>
                <w:sz w:val="22"/>
                <w:szCs w:val="22"/>
              </w:rPr>
            </w:pPr>
          </w:p>
        </w:tc>
      </w:tr>
      <w:tr w:rsidR="009D3B50" w:rsidRPr="009D3B50" w14:paraId="111EC26D" w14:textId="77777777" w:rsidTr="002931FD">
        <w:tc>
          <w:tcPr>
            <w:tcW w:w="1413" w:type="dxa"/>
            <w:shd w:val="solid" w:color="CCECFF" w:fill="auto"/>
          </w:tcPr>
          <w:p w14:paraId="74E957A2" w14:textId="77777777" w:rsidR="009D3B50" w:rsidRPr="009D3B50" w:rsidRDefault="009D3B50" w:rsidP="002931FD">
            <w:pPr>
              <w:pStyle w:val="StdBodyTextBold"/>
              <w:rPr>
                <w:rFonts w:cs="Arial"/>
                <w:sz w:val="22"/>
                <w:szCs w:val="22"/>
              </w:rPr>
            </w:pPr>
            <w:r w:rsidRPr="009D3B50">
              <w:rPr>
                <w:rFonts w:cs="Arial"/>
                <w:sz w:val="22"/>
                <w:szCs w:val="22"/>
              </w:rPr>
              <w:t>Emp No 2</w:t>
            </w:r>
          </w:p>
        </w:tc>
        <w:tc>
          <w:tcPr>
            <w:tcW w:w="2479" w:type="dxa"/>
          </w:tcPr>
          <w:p w14:paraId="36D3D564" w14:textId="77777777" w:rsidR="009D3B50" w:rsidRPr="009D3B50" w:rsidRDefault="009D3B50" w:rsidP="002931FD">
            <w:pPr>
              <w:pStyle w:val="StdBodyText"/>
              <w:rPr>
                <w:rFonts w:cs="Arial"/>
                <w:sz w:val="22"/>
                <w:szCs w:val="22"/>
              </w:rPr>
            </w:pPr>
          </w:p>
        </w:tc>
        <w:tc>
          <w:tcPr>
            <w:tcW w:w="1226" w:type="dxa"/>
          </w:tcPr>
          <w:p w14:paraId="77AE3AC3" w14:textId="77777777" w:rsidR="009D3B50" w:rsidRPr="009D3B50" w:rsidRDefault="009D3B50" w:rsidP="002931FD">
            <w:pPr>
              <w:pStyle w:val="StdBodyText"/>
              <w:rPr>
                <w:rFonts w:cs="Arial"/>
                <w:sz w:val="22"/>
                <w:szCs w:val="22"/>
              </w:rPr>
            </w:pPr>
          </w:p>
        </w:tc>
        <w:tc>
          <w:tcPr>
            <w:tcW w:w="1535" w:type="dxa"/>
          </w:tcPr>
          <w:p w14:paraId="72113815" w14:textId="77777777" w:rsidR="009D3B50" w:rsidRPr="009D3B50" w:rsidRDefault="009D3B50" w:rsidP="002931FD">
            <w:pPr>
              <w:pStyle w:val="StdBodyText"/>
              <w:rPr>
                <w:rFonts w:cs="Arial"/>
                <w:sz w:val="22"/>
                <w:szCs w:val="22"/>
              </w:rPr>
            </w:pPr>
          </w:p>
        </w:tc>
        <w:tc>
          <w:tcPr>
            <w:tcW w:w="2204" w:type="dxa"/>
          </w:tcPr>
          <w:p w14:paraId="19A1778A" w14:textId="77777777" w:rsidR="009D3B50" w:rsidRPr="009D3B50" w:rsidRDefault="009D3B50" w:rsidP="002931FD">
            <w:pPr>
              <w:pStyle w:val="StdBodyText"/>
              <w:rPr>
                <w:rFonts w:cs="Arial"/>
                <w:sz w:val="22"/>
                <w:szCs w:val="22"/>
              </w:rPr>
            </w:pPr>
          </w:p>
        </w:tc>
        <w:tc>
          <w:tcPr>
            <w:tcW w:w="1083" w:type="dxa"/>
          </w:tcPr>
          <w:p w14:paraId="6273B0FD" w14:textId="77777777" w:rsidR="009D3B50" w:rsidRPr="009D3B50" w:rsidRDefault="009D3B50" w:rsidP="002931FD">
            <w:pPr>
              <w:pStyle w:val="StdBodyText"/>
              <w:rPr>
                <w:rFonts w:cs="Arial"/>
                <w:sz w:val="22"/>
                <w:szCs w:val="22"/>
              </w:rPr>
            </w:pPr>
          </w:p>
        </w:tc>
        <w:tc>
          <w:tcPr>
            <w:tcW w:w="1430" w:type="dxa"/>
          </w:tcPr>
          <w:p w14:paraId="0B59BB2C" w14:textId="77777777" w:rsidR="009D3B50" w:rsidRPr="009D3B50" w:rsidRDefault="009D3B50" w:rsidP="002931FD">
            <w:pPr>
              <w:pStyle w:val="StdBodyText"/>
              <w:rPr>
                <w:rFonts w:cs="Arial"/>
                <w:sz w:val="22"/>
                <w:szCs w:val="22"/>
              </w:rPr>
            </w:pPr>
          </w:p>
        </w:tc>
        <w:tc>
          <w:tcPr>
            <w:tcW w:w="1383" w:type="dxa"/>
          </w:tcPr>
          <w:p w14:paraId="0C6E319F" w14:textId="77777777" w:rsidR="009D3B50" w:rsidRPr="009D3B50" w:rsidRDefault="009D3B50" w:rsidP="002931FD">
            <w:pPr>
              <w:pStyle w:val="StdBodyText"/>
              <w:rPr>
                <w:rFonts w:cs="Arial"/>
                <w:sz w:val="22"/>
                <w:szCs w:val="22"/>
              </w:rPr>
            </w:pPr>
          </w:p>
        </w:tc>
        <w:tc>
          <w:tcPr>
            <w:tcW w:w="1235" w:type="dxa"/>
          </w:tcPr>
          <w:p w14:paraId="7A7261CC" w14:textId="77777777" w:rsidR="009D3B50" w:rsidRPr="009D3B50" w:rsidRDefault="009D3B50" w:rsidP="002931FD">
            <w:pPr>
              <w:pStyle w:val="StdBodyText"/>
              <w:rPr>
                <w:rFonts w:cs="Arial"/>
                <w:sz w:val="22"/>
                <w:szCs w:val="22"/>
              </w:rPr>
            </w:pPr>
          </w:p>
        </w:tc>
      </w:tr>
      <w:tr w:rsidR="009D3B50" w:rsidRPr="009D3B50" w14:paraId="2ACA4C5E" w14:textId="77777777" w:rsidTr="002931FD">
        <w:tc>
          <w:tcPr>
            <w:tcW w:w="1413" w:type="dxa"/>
            <w:shd w:val="solid" w:color="CCECFF" w:fill="auto"/>
          </w:tcPr>
          <w:p w14:paraId="6415980D" w14:textId="77777777" w:rsidR="009D3B50" w:rsidRPr="009D3B50" w:rsidRDefault="009D3B50" w:rsidP="002931FD">
            <w:pPr>
              <w:pStyle w:val="StdBodyTextBold"/>
              <w:rPr>
                <w:rFonts w:cs="Arial"/>
                <w:sz w:val="22"/>
                <w:szCs w:val="22"/>
              </w:rPr>
            </w:pPr>
            <w:r w:rsidRPr="009D3B50">
              <w:rPr>
                <w:rFonts w:cs="Arial"/>
                <w:sz w:val="22"/>
                <w:szCs w:val="22"/>
              </w:rPr>
              <w:t>Emp No</w:t>
            </w:r>
          </w:p>
        </w:tc>
        <w:tc>
          <w:tcPr>
            <w:tcW w:w="2479" w:type="dxa"/>
          </w:tcPr>
          <w:p w14:paraId="2B771D5D" w14:textId="77777777" w:rsidR="009D3B50" w:rsidRPr="009D3B50" w:rsidRDefault="009D3B50" w:rsidP="002931FD">
            <w:pPr>
              <w:pStyle w:val="StdBodyText"/>
              <w:rPr>
                <w:rFonts w:cs="Arial"/>
                <w:sz w:val="22"/>
                <w:szCs w:val="22"/>
              </w:rPr>
            </w:pPr>
          </w:p>
        </w:tc>
        <w:tc>
          <w:tcPr>
            <w:tcW w:w="1226" w:type="dxa"/>
          </w:tcPr>
          <w:p w14:paraId="13AE4F2E" w14:textId="77777777" w:rsidR="009D3B50" w:rsidRPr="009D3B50" w:rsidRDefault="009D3B50" w:rsidP="002931FD">
            <w:pPr>
              <w:pStyle w:val="StdBodyText"/>
              <w:rPr>
                <w:rFonts w:cs="Arial"/>
                <w:sz w:val="22"/>
                <w:szCs w:val="22"/>
              </w:rPr>
            </w:pPr>
          </w:p>
        </w:tc>
        <w:tc>
          <w:tcPr>
            <w:tcW w:w="1535" w:type="dxa"/>
          </w:tcPr>
          <w:p w14:paraId="21205BBF" w14:textId="77777777" w:rsidR="009D3B50" w:rsidRPr="009D3B50" w:rsidRDefault="009D3B50" w:rsidP="002931FD">
            <w:pPr>
              <w:pStyle w:val="StdBodyText"/>
              <w:rPr>
                <w:rFonts w:cs="Arial"/>
                <w:sz w:val="22"/>
                <w:szCs w:val="22"/>
              </w:rPr>
            </w:pPr>
          </w:p>
        </w:tc>
        <w:tc>
          <w:tcPr>
            <w:tcW w:w="2204" w:type="dxa"/>
          </w:tcPr>
          <w:p w14:paraId="716C8587" w14:textId="77777777" w:rsidR="009D3B50" w:rsidRPr="009D3B50" w:rsidRDefault="009D3B50" w:rsidP="002931FD">
            <w:pPr>
              <w:pStyle w:val="StdBodyText"/>
              <w:rPr>
                <w:rFonts w:cs="Arial"/>
                <w:sz w:val="22"/>
                <w:szCs w:val="22"/>
              </w:rPr>
            </w:pPr>
          </w:p>
        </w:tc>
        <w:tc>
          <w:tcPr>
            <w:tcW w:w="1083" w:type="dxa"/>
          </w:tcPr>
          <w:p w14:paraId="6B4B6F65" w14:textId="77777777" w:rsidR="009D3B50" w:rsidRPr="009D3B50" w:rsidRDefault="009D3B50" w:rsidP="002931FD">
            <w:pPr>
              <w:pStyle w:val="StdBodyText"/>
              <w:rPr>
                <w:rFonts w:cs="Arial"/>
                <w:sz w:val="22"/>
                <w:szCs w:val="22"/>
              </w:rPr>
            </w:pPr>
          </w:p>
        </w:tc>
        <w:tc>
          <w:tcPr>
            <w:tcW w:w="1430" w:type="dxa"/>
          </w:tcPr>
          <w:p w14:paraId="47FD7080" w14:textId="77777777" w:rsidR="009D3B50" w:rsidRPr="009D3B50" w:rsidRDefault="009D3B50" w:rsidP="002931FD">
            <w:pPr>
              <w:pStyle w:val="StdBodyText"/>
              <w:rPr>
                <w:rFonts w:cs="Arial"/>
                <w:sz w:val="22"/>
                <w:szCs w:val="22"/>
              </w:rPr>
            </w:pPr>
          </w:p>
        </w:tc>
        <w:tc>
          <w:tcPr>
            <w:tcW w:w="1383" w:type="dxa"/>
          </w:tcPr>
          <w:p w14:paraId="60D1AD3F" w14:textId="77777777" w:rsidR="009D3B50" w:rsidRPr="009D3B50" w:rsidRDefault="009D3B50" w:rsidP="002931FD">
            <w:pPr>
              <w:pStyle w:val="StdBodyText"/>
              <w:rPr>
                <w:rFonts w:cs="Arial"/>
                <w:sz w:val="22"/>
                <w:szCs w:val="22"/>
              </w:rPr>
            </w:pPr>
          </w:p>
        </w:tc>
        <w:tc>
          <w:tcPr>
            <w:tcW w:w="1235" w:type="dxa"/>
          </w:tcPr>
          <w:p w14:paraId="66F0466A" w14:textId="77777777" w:rsidR="009D3B50" w:rsidRPr="009D3B50" w:rsidRDefault="009D3B50" w:rsidP="002931FD">
            <w:pPr>
              <w:pStyle w:val="StdBodyText"/>
              <w:rPr>
                <w:rFonts w:cs="Arial"/>
                <w:sz w:val="22"/>
                <w:szCs w:val="22"/>
              </w:rPr>
            </w:pPr>
          </w:p>
        </w:tc>
      </w:tr>
      <w:tr w:rsidR="009D3B50" w:rsidRPr="009D3B50" w14:paraId="18A8FD22" w14:textId="77777777" w:rsidTr="002931FD">
        <w:tc>
          <w:tcPr>
            <w:tcW w:w="1413" w:type="dxa"/>
            <w:shd w:val="solid" w:color="CCECFF" w:fill="auto"/>
          </w:tcPr>
          <w:p w14:paraId="2DE06F4B" w14:textId="77777777" w:rsidR="009D3B50" w:rsidRPr="009D3B50" w:rsidRDefault="009D3B50" w:rsidP="002931FD">
            <w:pPr>
              <w:pStyle w:val="StdBodyTextBold"/>
              <w:rPr>
                <w:rFonts w:cs="Arial"/>
                <w:sz w:val="22"/>
                <w:szCs w:val="22"/>
              </w:rPr>
            </w:pPr>
            <w:r w:rsidRPr="009D3B50">
              <w:rPr>
                <w:rFonts w:cs="Arial"/>
                <w:sz w:val="22"/>
                <w:szCs w:val="22"/>
              </w:rPr>
              <w:t>Emp No</w:t>
            </w:r>
          </w:p>
        </w:tc>
        <w:tc>
          <w:tcPr>
            <w:tcW w:w="2479" w:type="dxa"/>
          </w:tcPr>
          <w:p w14:paraId="161A4C1E" w14:textId="77777777" w:rsidR="009D3B50" w:rsidRPr="009D3B50" w:rsidRDefault="009D3B50" w:rsidP="002931FD">
            <w:pPr>
              <w:pStyle w:val="StdBodyText"/>
              <w:rPr>
                <w:rFonts w:cs="Arial"/>
                <w:sz w:val="22"/>
                <w:szCs w:val="22"/>
              </w:rPr>
            </w:pPr>
          </w:p>
        </w:tc>
        <w:tc>
          <w:tcPr>
            <w:tcW w:w="1226" w:type="dxa"/>
          </w:tcPr>
          <w:p w14:paraId="09E6D366" w14:textId="77777777" w:rsidR="009D3B50" w:rsidRPr="009D3B50" w:rsidRDefault="009D3B50" w:rsidP="002931FD">
            <w:pPr>
              <w:pStyle w:val="StdBodyText"/>
              <w:rPr>
                <w:rFonts w:cs="Arial"/>
                <w:sz w:val="22"/>
                <w:szCs w:val="22"/>
              </w:rPr>
            </w:pPr>
          </w:p>
        </w:tc>
        <w:tc>
          <w:tcPr>
            <w:tcW w:w="1535" w:type="dxa"/>
          </w:tcPr>
          <w:p w14:paraId="7748A1E1" w14:textId="77777777" w:rsidR="009D3B50" w:rsidRPr="009D3B50" w:rsidRDefault="009D3B50" w:rsidP="002931FD">
            <w:pPr>
              <w:pStyle w:val="StdBodyText"/>
              <w:rPr>
                <w:rFonts w:cs="Arial"/>
                <w:sz w:val="22"/>
                <w:szCs w:val="22"/>
              </w:rPr>
            </w:pPr>
          </w:p>
        </w:tc>
        <w:tc>
          <w:tcPr>
            <w:tcW w:w="2204" w:type="dxa"/>
          </w:tcPr>
          <w:p w14:paraId="38772CED" w14:textId="77777777" w:rsidR="009D3B50" w:rsidRPr="009D3B50" w:rsidRDefault="009D3B50" w:rsidP="002931FD">
            <w:pPr>
              <w:pStyle w:val="StdBodyText"/>
              <w:rPr>
                <w:rFonts w:cs="Arial"/>
                <w:sz w:val="22"/>
                <w:szCs w:val="22"/>
              </w:rPr>
            </w:pPr>
          </w:p>
        </w:tc>
        <w:tc>
          <w:tcPr>
            <w:tcW w:w="1083" w:type="dxa"/>
          </w:tcPr>
          <w:p w14:paraId="4F03410F" w14:textId="77777777" w:rsidR="009D3B50" w:rsidRPr="009D3B50" w:rsidRDefault="009D3B50" w:rsidP="002931FD">
            <w:pPr>
              <w:pStyle w:val="StdBodyText"/>
              <w:rPr>
                <w:rFonts w:cs="Arial"/>
                <w:sz w:val="22"/>
                <w:szCs w:val="22"/>
              </w:rPr>
            </w:pPr>
          </w:p>
        </w:tc>
        <w:tc>
          <w:tcPr>
            <w:tcW w:w="1430" w:type="dxa"/>
          </w:tcPr>
          <w:p w14:paraId="4AE3C8CC" w14:textId="77777777" w:rsidR="009D3B50" w:rsidRPr="009D3B50" w:rsidRDefault="009D3B50" w:rsidP="002931FD">
            <w:pPr>
              <w:pStyle w:val="StdBodyText"/>
              <w:rPr>
                <w:rFonts w:cs="Arial"/>
                <w:sz w:val="22"/>
                <w:szCs w:val="22"/>
              </w:rPr>
            </w:pPr>
          </w:p>
        </w:tc>
        <w:tc>
          <w:tcPr>
            <w:tcW w:w="1383" w:type="dxa"/>
          </w:tcPr>
          <w:p w14:paraId="1F9B069D" w14:textId="77777777" w:rsidR="009D3B50" w:rsidRPr="009D3B50" w:rsidRDefault="009D3B50" w:rsidP="002931FD">
            <w:pPr>
              <w:pStyle w:val="StdBodyText"/>
              <w:rPr>
                <w:rFonts w:cs="Arial"/>
                <w:sz w:val="22"/>
                <w:szCs w:val="22"/>
              </w:rPr>
            </w:pPr>
          </w:p>
        </w:tc>
        <w:tc>
          <w:tcPr>
            <w:tcW w:w="1235" w:type="dxa"/>
          </w:tcPr>
          <w:p w14:paraId="195979F9" w14:textId="77777777" w:rsidR="009D3B50" w:rsidRPr="009D3B50" w:rsidRDefault="009D3B50" w:rsidP="002931FD">
            <w:pPr>
              <w:pStyle w:val="StdBodyText"/>
              <w:rPr>
                <w:rFonts w:cs="Arial"/>
                <w:sz w:val="22"/>
                <w:szCs w:val="22"/>
              </w:rPr>
            </w:pPr>
          </w:p>
        </w:tc>
      </w:tr>
      <w:tr w:rsidR="009D3B50" w:rsidRPr="009D3B50" w14:paraId="7FFE7B5D" w14:textId="77777777" w:rsidTr="002931FD">
        <w:tc>
          <w:tcPr>
            <w:tcW w:w="1413" w:type="dxa"/>
            <w:shd w:val="solid" w:color="CCECFF" w:fill="auto"/>
          </w:tcPr>
          <w:p w14:paraId="2603B341" w14:textId="77777777" w:rsidR="009D3B50" w:rsidRPr="009D3B50" w:rsidRDefault="009D3B50" w:rsidP="002931FD">
            <w:pPr>
              <w:pStyle w:val="StdBodyTextBold"/>
              <w:rPr>
                <w:rFonts w:cs="Arial"/>
                <w:sz w:val="22"/>
                <w:szCs w:val="22"/>
              </w:rPr>
            </w:pPr>
            <w:r w:rsidRPr="009D3B50">
              <w:rPr>
                <w:rFonts w:cs="Arial"/>
                <w:sz w:val="22"/>
                <w:szCs w:val="22"/>
              </w:rPr>
              <w:t>Emp No</w:t>
            </w:r>
          </w:p>
        </w:tc>
        <w:tc>
          <w:tcPr>
            <w:tcW w:w="2479" w:type="dxa"/>
          </w:tcPr>
          <w:p w14:paraId="77009D66" w14:textId="77777777" w:rsidR="009D3B50" w:rsidRPr="009D3B50" w:rsidRDefault="009D3B50" w:rsidP="002931FD">
            <w:pPr>
              <w:pStyle w:val="StdBodyText"/>
              <w:rPr>
                <w:rFonts w:cs="Arial"/>
                <w:sz w:val="22"/>
                <w:szCs w:val="22"/>
              </w:rPr>
            </w:pPr>
          </w:p>
        </w:tc>
        <w:tc>
          <w:tcPr>
            <w:tcW w:w="1226" w:type="dxa"/>
          </w:tcPr>
          <w:p w14:paraId="6DA35B9F" w14:textId="77777777" w:rsidR="009D3B50" w:rsidRPr="009D3B50" w:rsidRDefault="009D3B50" w:rsidP="002931FD">
            <w:pPr>
              <w:pStyle w:val="StdBodyText"/>
              <w:rPr>
                <w:rFonts w:cs="Arial"/>
                <w:sz w:val="22"/>
                <w:szCs w:val="22"/>
              </w:rPr>
            </w:pPr>
          </w:p>
        </w:tc>
        <w:tc>
          <w:tcPr>
            <w:tcW w:w="1535" w:type="dxa"/>
          </w:tcPr>
          <w:p w14:paraId="2EFECF7C" w14:textId="77777777" w:rsidR="009D3B50" w:rsidRPr="009D3B50" w:rsidRDefault="009D3B50" w:rsidP="002931FD">
            <w:pPr>
              <w:pStyle w:val="StdBodyText"/>
              <w:rPr>
                <w:rFonts w:cs="Arial"/>
                <w:sz w:val="22"/>
                <w:szCs w:val="22"/>
              </w:rPr>
            </w:pPr>
          </w:p>
        </w:tc>
        <w:tc>
          <w:tcPr>
            <w:tcW w:w="2204" w:type="dxa"/>
          </w:tcPr>
          <w:p w14:paraId="006A911B" w14:textId="77777777" w:rsidR="009D3B50" w:rsidRPr="009D3B50" w:rsidRDefault="009D3B50" w:rsidP="002931FD">
            <w:pPr>
              <w:pStyle w:val="StdBodyText"/>
              <w:rPr>
                <w:rFonts w:cs="Arial"/>
                <w:sz w:val="22"/>
                <w:szCs w:val="22"/>
              </w:rPr>
            </w:pPr>
          </w:p>
        </w:tc>
        <w:tc>
          <w:tcPr>
            <w:tcW w:w="1083" w:type="dxa"/>
          </w:tcPr>
          <w:p w14:paraId="134D701C" w14:textId="77777777" w:rsidR="009D3B50" w:rsidRPr="009D3B50" w:rsidRDefault="009D3B50" w:rsidP="002931FD">
            <w:pPr>
              <w:pStyle w:val="StdBodyText"/>
              <w:rPr>
                <w:rFonts w:cs="Arial"/>
                <w:sz w:val="22"/>
                <w:szCs w:val="22"/>
              </w:rPr>
            </w:pPr>
          </w:p>
        </w:tc>
        <w:tc>
          <w:tcPr>
            <w:tcW w:w="1430" w:type="dxa"/>
          </w:tcPr>
          <w:p w14:paraId="1CD29799" w14:textId="77777777" w:rsidR="009D3B50" w:rsidRPr="009D3B50" w:rsidRDefault="009D3B50" w:rsidP="002931FD">
            <w:pPr>
              <w:pStyle w:val="StdBodyText"/>
              <w:rPr>
                <w:rFonts w:cs="Arial"/>
                <w:sz w:val="22"/>
                <w:szCs w:val="22"/>
              </w:rPr>
            </w:pPr>
          </w:p>
        </w:tc>
        <w:tc>
          <w:tcPr>
            <w:tcW w:w="1383" w:type="dxa"/>
          </w:tcPr>
          <w:p w14:paraId="560E9B1D" w14:textId="77777777" w:rsidR="009D3B50" w:rsidRPr="009D3B50" w:rsidRDefault="009D3B50" w:rsidP="002931FD">
            <w:pPr>
              <w:pStyle w:val="StdBodyText"/>
              <w:rPr>
                <w:rFonts w:cs="Arial"/>
                <w:sz w:val="22"/>
                <w:szCs w:val="22"/>
              </w:rPr>
            </w:pPr>
          </w:p>
        </w:tc>
        <w:tc>
          <w:tcPr>
            <w:tcW w:w="1235" w:type="dxa"/>
          </w:tcPr>
          <w:p w14:paraId="09619785" w14:textId="77777777" w:rsidR="009D3B50" w:rsidRPr="009D3B50" w:rsidRDefault="009D3B50" w:rsidP="002931FD">
            <w:pPr>
              <w:pStyle w:val="StdBodyText"/>
              <w:rPr>
                <w:rFonts w:cs="Arial"/>
                <w:sz w:val="22"/>
                <w:szCs w:val="22"/>
              </w:rPr>
            </w:pPr>
          </w:p>
        </w:tc>
      </w:tr>
      <w:tr w:rsidR="009D3B50" w:rsidRPr="009D3B50" w14:paraId="2E1B5507" w14:textId="77777777" w:rsidTr="002931FD">
        <w:tc>
          <w:tcPr>
            <w:tcW w:w="1413" w:type="dxa"/>
            <w:shd w:val="solid" w:color="CCECFF" w:fill="auto"/>
          </w:tcPr>
          <w:p w14:paraId="60CFABE0" w14:textId="77777777" w:rsidR="009D3B50" w:rsidRPr="009D3B50" w:rsidRDefault="009D3B50" w:rsidP="002931FD">
            <w:pPr>
              <w:pStyle w:val="StdBodyTextBold"/>
              <w:rPr>
                <w:rFonts w:cs="Arial"/>
                <w:sz w:val="22"/>
                <w:szCs w:val="22"/>
              </w:rPr>
            </w:pPr>
            <w:r w:rsidRPr="009D3B50">
              <w:rPr>
                <w:rFonts w:cs="Arial"/>
                <w:sz w:val="22"/>
                <w:szCs w:val="22"/>
              </w:rPr>
              <w:t>Emp No</w:t>
            </w:r>
          </w:p>
        </w:tc>
        <w:tc>
          <w:tcPr>
            <w:tcW w:w="2479" w:type="dxa"/>
          </w:tcPr>
          <w:p w14:paraId="1A018B6A" w14:textId="77777777" w:rsidR="009D3B50" w:rsidRPr="009D3B50" w:rsidRDefault="009D3B50" w:rsidP="002931FD">
            <w:pPr>
              <w:pStyle w:val="StdBodyText"/>
              <w:rPr>
                <w:rFonts w:cs="Arial"/>
                <w:sz w:val="22"/>
                <w:szCs w:val="22"/>
              </w:rPr>
            </w:pPr>
          </w:p>
        </w:tc>
        <w:tc>
          <w:tcPr>
            <w:tcW w:w="1226" w:type="dxa"/>
          </w:tcPr>
          <w:p w14:paraId="484E2F95" w14:textId="77777777" w:rsidR="009D3B50" w:rsidRPr="009D3B50" w:rsidRDefault="009D3B50" w:rsidP="002931FD">
            <w:pPr>
              <w:pStyle w:val="StdBodyText"/>
              <w:rPr>
                <w:rFonts w:cs="Arial"/>
                <w:sz w:val="22"/>
                <w:szCs w:val="22"/>
              </w:rPr>
            </w:pPr>
          </w:p>
        </w:tc>
        <w:tc>
          <w:tcPr>
            <w:tcW w:w="1535" w:type="dxa"/>
          </w:tcPr>
          <w:p w14:paraId="7A844B4E" w14:textId="77777777" w:rsidR="009D3B50" w:rsidRPr="009D3B50" w:rsidRDefault="009D3B50" w:rsidP="002931FD">
            <w:pPr>
              <w:pStyle w:val="StdBodyText"/>
              <w:rPr>
                <w:rFonts w:cs="Arial"/>
                <w:sz w:val="22"/>
                <w:szCs w:val="22"/>
              </w:rPr>
            </w:pPr>
          </w:p>
        </w:tc>
        <w:tc>
          <w:tcPr>
            <w:tcW w:w="2204" w:type="dxa"/>
          </w:tcPr>
          <w:p w14:paraId="4049E9EB" w14:textId="77777777" w:rsidR="009D3B50" w:rsidRPr="009D3B50" w:rsidRDefault="009D3B50" w:rsidP="002931FD">
            <w:pPr>
              <w:pStyle w:val="StdBodyText"/>
              <w:rPr>
                <w:rFonts w:cs="Arial"/>
                <w:sz w:val="22"/>
                <w:szCs w:val="22"/>
              </w:rPr>
            </w:pPr>
          </w:p>
        </w:tc>
        <w:tc>
          <w:tcPr>
            <w:tcW w:w="1083" w:type="dxa"/>
          </w:tcPr>
          <w:p w14:paraId="6E9FBC80" w14:textId="77777777" w:rsidR="009D3B50" w:rsidRPr="009D3B50" w:rsidRDefault="009D3B50" w:rsidP="002931FD">
            <w:pPr>
              <w:pStyle w:val="StdBodyText"/>
              <w:rPr>
                <w:rFonts w:cs="Arial"/>
                <w:sz w:val="22"/>
                <w:szCs w:val="22"/>
              </w:rPr>
            </w:pPr>
          </w:p>
        </w:tc>
        <w:tc>
          <w:tcPr>
            <w:tcW w:w="1430" w:type="dxa"/>
          </w:tcPr>
          <w:p w14:paraId="010F7C6E" w14:textId="77777777" w:rsidR="009D3B50" w:rsidRPr="009D3B50" w:rsidRDefault="009D3B50" w:rsidP="002931FD">
            <w:pPr>
              <w:pStyle w:val="StdBodyText"/>
              <w:rPr>
                <w:rFonts w:cs="Arial"/>
                <w:sz w:val="22"/>
                <w:szCs w:val="22"/>
              </w:rPr>
            </w:pPr>
          </w:p>
        </w:tc>
        <w:tc>
          <w:tcPr>
            <w:tcW w:w="1383" w:type="dxa"/>
          </w:tcPr>
          <w:p w14:paraId="4A253A3D" w14:textId="77777777" w:rsidR="009D3B50" w:rsidRPr="009D3B50" w:rsidRDefault="009D3B50" w:rsidP="002931FD">
            <w:pPr>
              <w:pStyle w:val="StdBodyText"/>
              <w:rPr>
                <w:rFonts w:cs="Arial"/>
                <w:sz w:val="22"/>
                <w:szCs w:val="22"/>
              </w:rPr>
            </w:pPr>
          </w:p>
        </w:tc>
        <w:tc>
          <w:tcPr>
            <w:tcW w:w="1235" w:type="dxa"/>
          </w:tcPr>
          <w:p w14:paraId="11380B6F" w14:textId="77777777" w:rsidR="009D3B50" w:rsidRPr="009D3B50" w:rsidRDefault="009D3B50" w:rsidP="002931FD">
            <w:pPr>
              <w:pStyle w:val="StdBodyText"/>
              <w:rPr>
                <w:rFonts w:cs="Arial"/>
                <w:sz w:val="22"/>
                <w:szCs w:val="22"/>
              </w:rPr>
            </w:pPr>
          </w:p>
        </w:tc>
      </w:tr>
      <w:tr w:rsidR="009D3B50" w:rsidRPr="009D3B50" w14:paraId="11A9B4F1" w14:textId="77777777" w:rsidTr="002931FD">
        <w:tc>
          <w:tcPr>
            <w:tcW w:w="1413" w:type="dxa"/>
            <w:shd w:val="solid" w:color="CCECFF" w:fill="auto"/>
          </w:tcPr>
          <w:p w14:paraId="6999ADC1" w14:textId="77777777" w:rsidR="009D3B50" w:rsidRPr="009D3B50" w:rsidRDefault="009D3B50" w:rsidP="002931FD">
            <w:pPr>
              <w:pStyle w:val="StdBodyTextBold"/>
              <w:rPr>
                <w:rFonts w:cs="Arial"/>
                <w:sz w:val="22"/>
                <w:szCs w:val="22"/>
              </w:rPr>
            </w:pPr>
            <w:r w:rsidRPr="009D3B50">
              <w:rPr>
                <w:rFonts w:cs="Arial"/>
                <w:sz w:val="22"/>
                <w:szCs w:val="22"/>
              </w:rPr>
              <w:t>Emp No</w:t>
            </w:r>
          </w:p>
        </w:tc>
        <w:tc>
          <w:tcPr>
            <w:tcW w:w="2479" w:type="dxa"/>
          </w:tcPr>
          <w:p w14:paraId="47ABB881" w14:textId="77777777" w:rsidR="009D3B50" w:rsidRPr="009D3B50" w:rsidRDefault="009D3B50" w:rsidP="002931FD">
            <w:pPr>
              <w:pStyle w:val="StdBodyText"/>
              <w:rPr>
                <w:rFonts w:cs="Arial"/>
                <w:sz w:val="22"/>
                <w:szCs w:val="22"/>
              </w:rPr>
            </w:pPr>
          </w:p>
        </w:tc>
        <w:tc>
          <w:tcPr>
            <w:tcW w:w="1226" w:type="dxa"/>
          </w:tcPr>
          <w:p w14:paraId="21D1FC37" w14:textId="77777777" w:rsidR="009D3B50" w:rsidRPr="009D3B50" w:rsidRDefault="009D3B50" w:rsidP="002931FD">
            <w:pPr>
              <w:pStyle w:val="StdBodyText"/>
              <w:rPr>
                <w:rFonts w:cs="Arial"/>
                <w:sz w:val="22"/>
                <w:szCs w:val="22"/>
              </w:rPr>
            </w:pPr>
          </w:p>
        </w:tc>
        <w:tc>
          <w:tcPr>
            <w:tcW w:w="1535" w:type="dxa"/>
          </w:tcPr>
          <w:p w14:paraId="0FC58B2C" w14:textId="77777777" w:rsidR="009D3B50" w:rsidRPr="009D3B50" w:rsidRDefault="009D3B50" w:rsidP="002931FD">
            <w:pPr>
              <w:pStyle w:val="StdBodyText"/>
              <w:rPr>
                <w:rFonts w:cs="Arial"/>
                <w:sz w:val="22"/>
                <w:szCs w:val="22"/>
              </w:rPr>
            </w:pPr>
          </w:p>
        </w:tc>
        <w:tc>
          <w:tcPr>
            <w:tcW w:w="2204" w:type="dxa"/>
          </w:tcPr>
          <w:p w14:paraId="2878CB83" w14:textId="77777777" w:rsidR="009D3B50" w:rsidRPr="009D3B50" w:rsidRDefault="009D3B50" w:rsidP="002931FD">
            <w:pPr>
              <w:pStyle w:val="StdBodyText"/>
              <w:rPr>
                <w:rFonts w:cs="Arial"/>
                <w:sz w:val="22"/>
                <w:szCs w:val="22"/>
              </w:rPr>
            </w:pPr>
          </w:p>
        </w:tc>
        <w:tc>
          <w:tcPr>
            <w:tcW w:w="1083" w:type="dxa"/>
          </w:tcPr>
          <w:p w14:paraId="3D2420BB" w14:textId="77777777" w:rsidR="009D3B50" w:rsidRPr="009D3B50" w:rsidRDefault="009D3B50" w:rsidP="002931FD">
            <w:pPr>
              <w:pStyle w:val="StdBodyText"/>
              <w:rPr>
                <w:rFonts w:cs="Arial"/>
                <w:sz w:val="22"/>
                <w:szCs w:val="22"/>
              </w:rPr>
            </w:pPr>
          </w:p>
        </w:tc>
        <w:tc>
          <w:tcPr>
            <w:tcW w:w="1430" w:type="dxa"/>
          </w:tcPr>
          <w:p w14:paraId="2E086BFE" w14:textId="77777777" w:rsidR="009D3B50" w:rsidRPr="009D3B50" w:rsidRDefault="009D3B50" w:rsidP="002931FD">
            <w:pPr>
              <w:pStyle w:val="StdBodyText"/>
              <w:rPr>
                <w:rFonts w:cs="Arial"/>
                <w:sz w:val="22"/>
                <w:szCs w:val="22"/>
              </w:rPr>
            </w:pPr>
          </w:p>
        </w:tc>
        <w:tc>
          <w:tcPr>
            <w:tcW w:w="1383" w:type="dxa"/>
          </w:tcPr>
          <w:p w14:paraId="1423C2BF" w14:textId="77777777" w:rsidR="009D3B50" w:rsidRPr="009D3B50" w:rsidRDefault="009D3B50" w:rsidP="002931FD">
            <w:pPr>
              <w:pStyle w:val="StdBodyText"/>
              <w:rPr>
                <w:rFonts w:cs="Arial"/>
                <w:sz w:val="22"/>
                <w:szCs w:val="22"/>
              </w:rPr>
            </w:pPr>
          </w:p>
        </w:tc>
        <w:tc>
          <w:tcPr>
            <w:tcW w:w="1235" w:type="dxa"/>
          </w:tcPr>
          <w:p w14:paraId="3AF2DA33" w14:textId="77777777" w:rsidR="009D3B50" w:rsidRPr="009D3B50" w:rsidRDefault="009D3B50" w:rsidP="002931FD">
            <w:pPr>
              <w:pStyle w:val="StdBodyText"/>
              <w:rPr>
                <w:rFonts w:cs="Arial"/>
                <w:sz w:val="22"/>
                <w:szCs w:val="22"/>
              </w:rPr>
            </w:pPr>
          </w:p>
        </w:tc>
      </w:tr>
    </w:tbl>
    <w:p w14:paraId="368F2FEF" w14:textId="77777777" w:rsidR="009D3B50" w:rsidRPr="009D3B50" w:rsidRDefault="009D3B50" w:rsidP="009D3B50">
      <w:pPr>
        <w:pStyle w:val="StdBodyText"/>
        <w:rPr>
          <w:rFonts w:cs="Arial"/>
          <w:sz w:val="22"/>
          <w:szCs w:val="22"/>
        </w:rPr>
      </w:pPr>
      <w:r w:rsidRPr="009D3B50">
        <w:rPr>
          <w:rFonts w:cs="Arial"/>
          <w:sz w:val="22"/>
          <w:szCs w:val="22"/>
        </w:rPr>
        <w:br w:type="page"/>
      </w:r>
    </w:p>
    <w:tbl>
      <w:tblPr>
        <w:tblStyle w:val="TableGrid"/>
        <w:tblW w:w="0" w:type="auto"/>
        <w:tblInd w:w="5" w:type="dxa"/>
        <w:tblLook w:val="04A0" w:firstRow="1" w:lastRow="0" w:firstColumn="1" w:lastColumn="0" w:noHBand="0" w:noVBand="1"/>
      </w:tblPr>
      <w:tblGrid>
        <w:gridCol w:w="773"/>
        <w:gridCol w:w="1223"/>
        <w:gridCol w:w="1026"/>
        <w:gridCol w:w="960"/>
        <w:gridCol w:w="1120"/>
        <w:gridCol w:w="1017"/>
        <w:gridCol w:w="1055"/>
        <w:gridCol w:w="970"/>
        <w:gridCol w:w="866"/>
      </w:tblGrid>
      <w:tr w:rsidR="009D3B50" w:rsidRPr="009D3B50" w14:paraId="70E66EF2" w14:textId="77777777" w:rsidTr="002931FD">
        <w:tc>
          <w:tcPr>
            <w:tcW w:w="1413" w:type="dxa"/>
            <w:tcBorders>
              <w:top w:val="nil"/>
              <w:left w:val="nil"/>
              <w:bottom w:val="single" w:sz="4" w:space="0" w:color="auto"/>
            </w:tcBorders>
          </w:tcPr>
          <w:p w14:paraId="2E2EA803" w14:textId="77777777" w:rsidR="009D3B50" w:rsidRPr="009D3B50" w:rsidRDefault="009D3B50" w:rsidP="002931FD">
            <w:pPr>
              <w:pStyle w:val="StdBodyText"/>
              <w:rPr>
                <w:rFonts w:cs="Arial"/>
                <w:sz w:val="22"/>
                <w:szCs w:val="22"/>
              </w:rPr>
            </w:pPr>
          </w:p>
        </w:tc>
        <w:tc>
          <w:tcPr>
            <w:tcW w:w="12575" w:type="dxa"/>
            <w:gridSpan w:val="8"/>
            <w:shd w:val="solid" w:color="FABF8F" w:themeColor="accent6" w:themeTint="99" w:fill="auto"/>
          </w:tcPr>
          <w:p w14:paraId="4EF039CE" w14:textId="77777777" w:rsidR="009D3B50" w:rsidRPr="009D3B50" w:rsidRDefault="009D3B50" w:rsidP="002931FD">
            <w:pPr>
              <w:pStyle w:val="StdBodyTextBold"/>
              <w:rPr>
                <w:rFonts w:cs="Arial"/>
                <w:sz w:val="22"/>
                <w:szCs w:val="22"/>
              </w:rPr>
            </w:pPr>
            <w:r w:rsidRPr="009D3B50">
              <w:rPr>
                <w:rFonts w:cs="Arial"/>
                <w:sz w:val="22"/>
                <w:szCs w:val="22"/>
              </w:rPr>
              <w:t>CONTRACTUAL PAY AND BENEFITS</w:t>
            </w:r>
          </w:p>
        </w:tc>
      </w:tr>
      <w:tr w:rsidR="009D3B50" w:rsidRPr="009D3B50" w14:paraId="3E4C207A" w14:textId="77777777" w:rsidTr="002931FD">
        <w:tc>
          <w:tcPr>
            <w:tcW w:w="1413" w:type="dxa"/>
            <w:shd w:val="solid" w:color="CCECFF" w:fill="auto"/>
          </w:tcPr>
          <w:p w14:paraId="533B3552" w14:textId="77777777" w:rsidR="009D3B50" w:rsidRPr="009D3B50" w:rsidRDefault="009D3B50" w:rsidP="002931FD">
            <w:pPr>
              <w:pStyle w:val="StdBodyTextBold"/>
              <w:rPr>
                <w:rFonts w:cs="Arial"/>
                <w:sz w:val="22"/>
                <w:szCs w:val="22"/>
              </w:rPr>
            </w:pPr>
            <w:r w:rsidRPr="009D3B50">
              <w:rPr>
                <w:rFonts w:cs="Arial"/>
                <w:sz w:val="22"/>
                <w:szCs w:val="22"/>
              </w:rPr>
              <w:t>Details</w:t>
            </w:r>
          </w:p>
        </w:tc>
        <w:tc>
          <w:tcPr>
            <w:tcW w:w="2124" w:type="dxa"/>
            <w:shd w:val="solid" w:color="FABF8F" w:themeColor="accent6" w:themeTint="99" w:fill="auto"/>
          </w:tcPr>
          <w:p w14:paraId="21796AED" w14:textId="77777777" w:rsidR="009D3B50" w:rsidRPr="009D3B50" w:rsidRDefault="009D3B50" w:rsidP="002931FD">
            <w:pPr>
              <w:pStyle w:val="StdBodyTextBold"/>
              <w:rPr>
                <w:rFonts w:cs="Arial"/>
                <w:sz w:val="22"/>
                <w:szCs w:val="22"/>
              </w:rPr>
            </w:pPr>
            <w:r w:rsidRPr="009D3B50">
              <w:rPr>
                <w:rFonts w:cs="Arial"/>
                <w:sz w:val="22"/>
                <w:szCs w:val="22"/>
              </w:rPr>
              <w:t>Any existing or future commitment to training that has a time-off or financial implication</w:t>
            </w:r>
          </w:p>
        </w:tc>
        <w:tc>
          <w:tcPr>
            <w:tcW w:w="1526" w:type="dxa"/>
            <w:shd w:val="solid" w:color="FABF8F" w:themeColor="accent6" w:themeTint="99" w:fill="auto"/>
          </w:tcPr>
          <w:p w14:paraId="4A07BB4C" w14:textId="77777777" w:rsidR="009D3B50" w:rsidRPr="009D3B50" w:rsidRDefault="009D3B50" w:rsidP="002931FD">
            <w:pPr>
              <w:pStyle w:val="StdBodyTextBold"/>
              <w:rPr>
                <w:rFonts w:cs="Arial"/>
                <w:sz w:val="22"/>
                <w:szCs w:val="22"/>
              </w:rPr>
            </w:pPr>
            <w:r w:rsidRPr="009D3B50">
              <w:rPr>
                <w:rFonts w:cs="Arial"/>
                <w:sz w:val="22"/>
                <w:szCs w:val="22"/>
              </w:rPr>
              <w:t>Car allowance (£ per year)</w:t>
            </w:r>
          </w:p>
        </w:tc>
        <w:tc>
          <w:tcPr>
            <w:tcW w:w="1542" w:type="dxa"/>
            <w:shd w:val="solid" w:color="FABF8F" w:themeColor="accent6" w:themeTint="99" w:fill="auto"/>
          </w:tcPr>
          <w:p w14:paraId="25A92B1A" w14:textId="77777777" w:rsidR="009D3B50" w:rsidRPr="009D3B50" w:rsidRDefault="009D3B50" w:rsidP="002931FD">
            <w:pPr>
              <w:pStyle w:val="StdBodyTextBold"/>
              <w:rPr>
                <w:rFonts w:cs="Arial"/>
                <w:sz w:val="22"/>
                <w:szCs w:val="22"/>
              </w:rPr>
            </w:pPr>
            <w:r w:rsidRPr="009D3B50">
              <w:rPr>
                <w:rFonts w:cs="Arial"/>
                <w:sz w:val="22"/>
                <w:szCs w:val="22"/>
              </w:rPr>
              <w:t>Lease or company car details</w:t>
            </w:r>
          </w:p>
        </w:tc>
        <w:tc>
          <w:tcPr>
            <w:tcW w:w="1497" w:type="dxa"/>
            <w:shd w:val="solid" w:color="FABF8F" w:themeColor="accent6" w:themeTint="99" w:fill="auto"/>
          </w:tcPr>
          <w:p w14:paraId="65E74BC6" w14:textId="77777777" w:rsidR="009D3B50" w:rsidRPr="009D3B50" w:rsidRDefault="009D3B50" w:rsidP="002931FD">
            <w:pPr>
              <w:pStyle w:val="StdBodyTextBold"/>
              <w:rPr>
                <w:rFonts w:cs="Arial"/>
                <w:sz w:val="22"/>
                <w:szCs w:val="22"/>
              </w:rPr>
            </w:pPr>
            <w:r w:rsidRPr="009D3B50">
              <w:rPr>
                <w:rFonts w:cs="Arial"/>
                <w:sz w:val="22"/>
                <w:szCs w:val="22"/>
              </w:rPr>
              <w:t>Any other allowances paid (e.g. shift allowance, standby allowance, travel allowance)</w:t>
            </w:r>
          </w:p>
        </w:tc>
        <w:tc>
          <w:tcPr>
            <w:tcW w:w="1353" w:type="dxa"/>
            <w:shd w:val="solid" w:color="FABF8F" w:themeColor="accent6" w:themeTint="99" w:fill="auto"/>
          </w:tcPr>
          <w:p w14:paraId="7552E822" w14:textId="77777777" w:rsidR="009D3B50" w:rsidRPr="009D3B50" w:rsidRDefault="009D3B50" w:rsidP="002931FD">
            <w:pPr>
              <w:pStyle w:val="StdBodyTextBold"/>
              <w:rPr>
                <w:rFonts w:cs="Arial"/>
                <w:sz w:val="22"/>
                <w:szCs w:val="22"/>
              </w:rPr>
            </w:pPr>
            <w:r w:rsidRPr="009D3B50">
              <w:rPr>
                <w:rFonts w:cs="Arial"/>
                <w:sz w:val="22"/>
                <w:szCs w:val="22"/>
              </w:rPr>
              <w:t>Private medical insurance (please specify whether single or family cover)</w:t>
            </w:r>
          </w:p>
        </w:tc>
        <w:tc>
          <w:tcPr>
            <w:tcW w:w="1554" w:type="dxa"/>
            <w:shd w:val="solid" w:color="FABF8F" w:themeColor="accent6" w:themeTint="99" w:fill="auto"/>
          </w:tcPr>
          <w:p w14:paraId="08A04E33" w14:textId="77777777" w:rsidR="009D3B50" w:rsidRPr="009D3B50" w:rsidRDefault="009D3B50" w:rsidP="002931FD">
            <w:pPr>
              <w:pStyle w:val="StdBodyTextBold"/>
              <w:rPr>
                <w:rFonts w:cs="Arial"/>
                <w:sz w:val="22"/>
                <w:szCs w:val="22"/>
              </w:rPr>
            </w:pPr>
            <w:r w:rsidRPr="009D3B50">
              <w:rPr>
                <w:rFonts w:cs="Arial"/>
                <w:sz w:val="22"/>
                <w:szCs w:val="22"/>
              </w:rPr>
              <w:t>Life assurance (xSalary)</w:t>
            </w:r>
          </w:p>
        </w:tc>
        <w:tc>
          <w:tcPr>
            <w:tcW w:w="1432" w:type="dxa"/>
            <w:shd w:val="solid" w:color="FABF8F" w:themeColor="accent6" w:themeTint="99" w:fill="auto"/>
          </w:tcPr>
          <w:p w14:paraId="08E4B919" w14:textId="77777777" w:rsidR="009D3B50" w:rsidRPr="009D3B50" w:rsidRDefault="009D3B50" w:rsidP="002931FD">
            <w:pPr>
              <w:pStyle w:val="StdBodyTextBold"/>
              <w:rPr>
                <w:rFonts w:cs="Arial"/>
                <w:sz w:val="22"/>
                <w:szCs w:val="22"/>
              </w:rPr>
            </w:pPr>
            <w:r w:rsidRPr="009D3B50">
              <w:rPr>
                <w:rFonts w:cs="Arial"/>
                <w:sz w:val="22"/>
                <w:szCs w:val="22"/>
              </w:rPr>
              <w:t>Long Term Disability / PHI (% of Salary</w:t>
            </w:r>
          </w:p>
        </w:tc>
        <w:tc>
          <w:tcPr>
            <w:tcW w:w="1547" w:type="dxa"/>
            <w:shd w:val="solid" w:color="FABF8F" w:themeColor="accent6" w:themeTint="99" w:fill="auto"/>
          </w:tcPr>
          <w:p w14:paraId="499D9AE5" w14:textId="77777777" w:rsidR="009D3B50" w:rsidRPr="009D3B50" w:rsidRDefault="009D3B50" w:rsidP="002931FD">
            <w:pPr>
              <w:pStyle w:val="StdBodyTextBold"/>
              <w:rPr>
                <w:rFonts w:cs="Arial"/>
                <w:sz w:val="22"/>
                <w:szCs w:val="22"/>
              </w:rPr>
            </w:pPr>
            <w:r w:rsidRPr="009D3B50">
              <w:rPr>
                <w:rFonts w:cs="Arial"/>
                <w:sz w:val="22"/>
                <w:szCs w:val="22"/>
              </w:rPr>
              <w:t>Any other benefits in kind</w:t>
            </w:r>
          </w:p>
        </w:tc>
      </w:tr>
      <w:tr w:rsidR="009D3B50" w:rsidRPr="009D3B50" w14:paraId="2963C967" w14:textId="77777777" w:rsidTr="002931FD">
        <w:tc>
          <w:tcPr>
            <w:tcW w:w="1413" w:type="dxa"/>
            <w:shd w:val="solid" w:color="CCECFF" w:fill="auto"/>
          </w:tcPr>
          <w:p w14:paraId="0986C7A2" w14:textId="77777777" w:rsidR="009D3B50" w:rsidRPr="009D3B50" w:rsidRDefault="009D3B50" w:rsidP="002931FD">
            <w:pPr>
              <w:pStyle w:val="StdBodyTextBold"/>
              <w:rPr>
                <w:rFonts w:cs="Arial"/>
                <w:sz w:val="22"/>
                <w:szCs w:val="22"/>
              </w:rPr>
            </w:pPr>
            <w:r w:rsidRPr="009D3B50">
              <w:rPr>
                <w:rFonts w:cs="Arial"/>
                <w:sz w:val="22"/>
                <w:szCs w:val="22"/>
              </w:rPr>
              <w:t>Emp No 1</w:t>
            </w:r>
          </w:p>
        </w:tc>
        <w:tc>
          <w:tcPr>
            <w:tcW w:w="2124" w:type="dxa"/>
          </w:tcPr>
          <w:p w14:paraId="12A54721" w14:textId="77777777" w:rsidR="009D3B50" w:rsidRPr="009D3B50" w:rsidRDefault="009D3B50" w:rsidP="002931FD">
            <w:pPr>
              <w:pStyle w:val="StdBodyText"/>
              <w:rPr>
                <w:rFonts w:cs="Arial"/>
                <w:sz w:val="22"/>
                <w:szCs w:val="22"/>
              </w:rPr>
            </w:pPr>
          </w:p>
        </w:tc>
        <w:tc>
          <w:tcPr>
            <w:tcW w:w="1526" w:type="dxa"/>
          </w:tcPr>
          <w:p w14:paraId="69A67615" w14:textId="77777777" w:rsidR="009D3B50" w:rsidRPr="009D3B50" w:rsidRDefault="009D3B50" w:rsidP="002931FD">
            <w:pPr>
              <w:pStyle w:val="StdBodyText"/>
              <w:rPr>
                <w:rFonts w:cs="Arial"/>
                <w:sz w:val="22"/>
                <w:szCs w:val="22"/>
              </w:rPr>
            </w:pPr>
          </w:p>
        </w:tc>
        <w:tc>
          <w:tcPr>
            <w:tcW w:w="1542" w:type="dxa"/>
          </w:tcPr>
          <w:p w14:paraId="320CED34" w14:textId="77777777" w:rsidR="009D3B50" w:rsidRPr="009D3B50" w:rsidRDefault="009D3B50" w:rsidP="002931FD">
            <w:pPr>
              <w:pStyle w:val="StdBodyText"/>
              <w:rPr>
                <w:rFonts w:cs="Arial"/>
                <w:sz w:val="22"/>
                <w:szCs w:val="22"/>
              </w:rPr>
            </w:pPr>
          </w:p>
        </w:tc>
        <w:tc>
          <w:tcPr>
            <w:tcW w:w="1497" w:type="dxa"/>
          </w:tcPr>
          <w:p w14:paraId="34F4BB1C" w14:textId="77777777" w:rsidR="009D3B50" w:rsidRPr="009D3B50" w:rsidRDefault="009D3B50" w:rsidP="002931FD">
            <w:pPr>
              <w:pStyle w:val="StdBodyText"/>
              <w:rPr>
                <w:rFonts w:cs="Arial"/>
                <w:sz w:val="22"/>
                <w:szCs w:val="22"/>
              </w:rPr>
            </w:pPr>
          </w:p>
        </w:tc>
        <w:tc>
          <w:tcPr>
            <w:tcW w:w="1353" w:type="dxa"/>
          </w:tcPr>
          <w:p w14:paraId="2BBAE522" w14:textId="77777777" w:rsidR="009D3B50" w:rsidRPr="009D3B50" w:rsidRDefault="009D3B50" w:rsidP="002931FD">
            <w:pPr>
              <w:pStyle w:val="StdBodyText"/>
              <w:rPr>
                <w:rFonts w:cs="Arial"/>
                <w:sz w:val="22"/>
                <w:szCs w:val="22"/>
              </w:rPr>
            </w:pPr>
          </w:p>
        </w:tc>
        <w:tc>
          <w:tcPr>
            <w:tcW w:w="1554" w:type="dxa"/>
          </w:tcPr>
          <w:p w14:paraId="3BF51987" w14:textId="77777777" w:rsidR="009D3B50" w:rsidRPr="009D3B50" w:rsidRDefault="009D3B50" w:rsidP="002931FD">
            <w:pPr>
              <w:pStyle w:val="StdBodyText"/>
              <w:rPr>
                <w:rFonts w:cs="Arial"/>
                <w:sz w:val="22"/>
                <w:szCs w:val="22"/>
              </w:rPr>
            </w:pPr>
          </w:p>
        </w:tc>
        <w:tc>
          <w:tcPr>
            <w:tcW w:w="1432" w:type="dxa"/>
          </w:tcPr>
          <w:p w14:paraId="44E11128" w14:textId="77777777" w:rsidR="009D3B50" w:rsidRPr="009D3B50" w:rsidRDefault="009D3B50" w:rsidP="002931FD">
            <w:pPr>
              <w:pStyle w:val="StdBodyText"/>
              <w:rPr>
                <w:rFonts w:cs="Arial"/>
                <w:sz w:val="22"/>
                <w:szCs w:val="22"/>
              </w:rPr>
            </w:pPr>
          </w:p>
        </w:tc>
        <w:tc>
          <w:tcPr>
            <w:tcW w:w="1547" w:type="dxa"/>
          </w:tcPr>
          <w:p w14:paraId="095BFF74" w14:textId="77777777" w:rsidR="009D3B50" w:rsidRPr="009D3B50" w:rsidRDefault="009D3B50" w:rsidP="002931FD">
            <w:pPr>
              <w:pStyle w:val="StdBodyText"/>
              <w:rPr>
                <w:rFonts w:cs="Arial"/>
                <w:sz w:val="22"/>
                <w:szCs w:val="22"/>
              </w:rPr>
            </w:pPr>
          </w:p>
        </w:tc>
      </w:tr>
      <w:tr w:rsidR="009D3B50" w:rsidRPr="009D3B50" w14:paraId="47671939" w14:textId="77777777" w:rsidTr="002931FD">
        <w:tc>
          <w:tcPr>
            <w:tcW w:w="1413" w:type="dxa"/>
            <w:shd w:val="solid" w:color="CCECFF" w:fill="auto"/>
          </w:tcPr>
          <w:p w14:paraId="74323A19" w14:textId="77777777" w:rsidR="009D3B50" w:rsidRPr="009D3B50" w:rsidRDefault="009D3B50" w:rsidP="002931FD">
            <w:pPr>
              <w:pStyle w:val="StdBodyTextBold"/>
              <w:rPr>
                <w:rFonts w:cs="Arial"/>
                <w:sz w:val="22"/>
                <w:szCs w:val="22"/>
              </w:rPr>
            </w:pPr>
            <w:r w:rsidRPr="009D3B50">
              <w:rPr>
                <w:rFonts w:cs="Arial"/>
                <w:sz w:val="22"/>
                <w:szCs w:val="22"/>
              </w:rPr>
              <w:t>Emp No 2</w:t>
            </w:r>
          </w:p>
        </w:tc>
        <w:tc>
          <w:tcPr>
            <w:tcW w:w="2124" w:type="dxa"/>
          </w:tcPr>
          <w:p w14:paraId="45EBCE70" w14:textId="77777777" w:rsidR="009D3B50" w:rsidRPr="009D3B50" w:rsidRDefault="009D3B50" w:rsidP="002931FD">
            <w:pPr>
              <w:pStyle w:val="StdBodyText"/>
              <w:rPr>
                <w:rFonts w:cs="Arial"/>
                <w:sz w:val="22"/>
                <w:szCs w:val="22"/>
              </w:rPr>
            </w:pPr>
          </w:p>
        </w:tc>
        <w:tc>
          <w:tcPr>
            <w:tcW w:w="1526" w:type="dxa"/>
          </w:tcPr>
          <w:p w14:paraId="025B742F" w14:textId="77777777" w:rsidR="009D3B50" w:rsidRPr="009D3B50" w:rsidRDefault="009D3B50" w:rsidP="002931FD">
            <w:pPr>
              <w:pStyle w:val="StdBodyText"/>
              <w:rPr>
                <w:rFonts w:cs="Arial"/>
                <w:sz w:val="22"/>
                <w:szCs w:val="22"/>
              </w:rPr>
            </w:pPr>
          </w:p>
        </w:tc>
        <w:tc>
          <w:tcPr>
            <w:tcW w:w="1542" w:type="dxa"/>
          </w:tcPr>
          <w:p w14:paraId="0984EC38" w14:textId="77777777" w:rsidR="009D3B50" w:rsidRPr="009D3B50" w:rsidRDefault="009D3B50" w:rsidP="002931FD">
            <w:pPr>
              <w:pStyle w:val="StdBodyText"/>
              <w:rPr>
                <w:rFonts w:cs="Arial"/>
                <w:sz w:val="22"/>
                <w:szCs w:val="22"/>
              </w:rPr>
            </w:pPr>
          </w:p>
        </w:tc>
        <w:tc>
          <w:tcPr>
            <w:tcW w:w="1497" w:type="dxa"/>
          </w:tcPr>
          <w:p w14:paraId="4B66DC37" w14:textId="77777777" w:rsidR="009D3B50" w:rsidRPr="009D3B50" w:rsidRDefault="009D3B50" w:rsidP="002931FD">
            <w:pPr>
              <w:pStyle w:val="StdBodyText"/>
              <w:rPr>
                <w:rFonts w:cs="Arial"/>
                <w:sz w:val="22"/>
                <w:szCs w:val="22"/>
              </w:rPr>
            </w:pPr>
          </w:p>
        </w:tc>
        <w:tc>
          <w:tcPr>
            <w:tcW w:w="1353" w:type="dxa"/>
          </w:tcPr>
          <w:p w14:paraId="441AF978" w14:textId="77777777" w:rsidR="009D3B50" w:rsidRPr="009D3B50" w:rsidRDefault="009D3B50" w:rsidP="002931FD">
            <w:pPr>
              <w:pStyle w:val="StdBodyText"/>
              <w:rPr>
                <w:rFonts w:cs="Arial"/>
                <w:sz w:val="22"/>
                <w:szCs w:val="22"/>
              </w:rPr>
            </w:pPr>
          </w:p>
        </w:tc>
        <w:tc>
          <w:tcPr>
            <w:tcW w:w="1554" w:type="dxa"/>
          </w:tcPr>
          <w:p w14:paraId="59E156CB" w14:textId="77777777" w:rsidR="009D3B50" w:rsidRPr="009D3B50" w:rsidRDefault="009D3B50" w:rsidP="002931FD">
            <w:pPr>
              <w:pStyle w:val="StdBodyText"/>
              <w:rPr>
                <w:rFonts w:cs="Arial"/>
                <w:sz w:val="22"/>
                <w:szCs w:val="22"/>
              </w:rPr>
            </w:pPr>
          </w:p>
        </w:tc>
        <w:tc>
          <w:tcPr>
            <w:tcW w:w="1432" w:type="dxa"/>
          </w:tcPr>
          <w:p w14:paraId="34CBA0A9" w14:textId="77777777" w:rsidR="009D3B50" w:rsidRPr="009D3B50" w:rsidRDefault="009D3B50" w:rsidP="002931FD">
            <w:pPr>
              <w:pStyle w:val="StdBodyText"/>
              <w:rPr>
                <w:rFonts w:cs="Arial"/>
                <w:sz w:val="22"/>
                <w:szCs w:val="22"/>
              </w:rPr>
            </w:pPr>
          </w:p>
        </w:tc>
        <w:tc>
          <w:tcPr>
            <w:tcW w:w="1547" w:type="dxa"/>
          </w:tcPr>
          <w:p w14:paraId="02DF30FD" w14:textId="77777777" w:rsidR="009D3B50" w:rsidRPr="009D3B50" w:rsidRDefault="009D3B50" w:rsidP="002931FD">
            <w:pPr>
              <w:pStyle w:val="StdBodyText"/>
              <w:rPr>
                <w:rFonts w:cs="Arial"/>
                <w:sz w:val="22"/>
                <w:szCs w:val="22"/>
              </w:rPr>
            </w:pPr>
          </w:p>
        </w:tc>
      </w:tr>
      <w:tr w:rsidR="009D3B50" w:rsidRPr="009D3B50" w14:paraId="5BF84768" w14:textId="77777777" w:rsidTr="002931FD">
        <w:tc>
          <w:tcPr>
            <w:tcW w:w="1413" w:type="dxa"/>
            <w:shd w:val="solid" w:color="CCECFF" w:fill="auto"/>
          </w:tcPr>
          <w:p w14:paraId="593F8C34" w14:textId="77777777" w:rsidR="009D3B50" w:rsidRPr="009D3B50" w:rsidRDefault="009D3B50" w:rsidP="002931FD">
            <w:pPr>
              <w:pStyle w:val="StdBodyTextBold"/>
              <w:rPr>
                <w:rFonts w:cs="Arial"/>
                <w:sz w:val="22"/>
                <w:szCs w:val="22"/>
              </w:rPr>
            </w:pPr>
            <w:r w:rsidRPr="009D3B50">
              <w:rPr>
                <w:rFonts w:cs="Arial"/>
                <w:sz w:val="22"/>
                <w:szCs w:val="22"/>
              </w:rPr>
              <w:t>Emp No</w:t>
            </w:r>
          </w:p>
        </w:tc>
        <w:tc>
          <w:tcPr>
            <w:tcW w:w="2124" w:type="dxa"/>
          </w:tcPr>
          <w:p w14:paraId="75F29854" w14:textId="77777777" w:rsidR="009D3B50" w:rsidRPr="009D3B50" w:rsidRDefault="009D3B50" w:rsidP="002931FD">
            <w:pPr>
              <w:pStyle w:val="StdBodyText"/>
              <w:rPr>
                <w:rFonts w:cs="Arial"/>
                <w:sz w:val="22"/>
                <w:szCs w:val="22"/>
              </w:rPr>
            </w:pPr>
          </w:p>
        </w:tc>
        <w:tc>
          <w:tcPr>
            <w:tcW w:w="1526" w:type="dxa"/>
          </w:tcPr>
          <w:p w14:paraId="76CACEDD" w14:textId="77777777" w:rsidR="009D3B50" w:rsidRPr="009D3B50" w:rsidRDefault="009D3B50" w:rsidP="002931FD">
            <w:pPr>
              <w:pStyle w:val="StdBodyText"/>
              <w:rPr>
                <w:rFonts w:cs="Arial"/>
                <w:sz w:val="22"/>
                <w:szCs w:val="22"/>
              </w:rPr>
            </w:pPr>
          </w:p>
        </w:tc>
        <w:tc>
          <w:tcPr>
            <w:tcW w:w="1542" w:type="dxa"/>
          </w:tcPr>
          <w:p w14:paraId="5D6EFA55" w14:textId="77777777" w:rsidR="009D3B50" w:rsidRPr="009D3B50" w:rsidRDefault="009D3B50" w:rsidP="002931FD">
            <w:pPr>
              <w:pStyle w:val="StdBodyText"/>
              <w:rPr>
                <w:rFonts w:cs="Arial"/>
                <w:sz w:val="22"/>
                <w:szCs w:val="22"/>
              </w:rPr>
            </w:pPr>
          </w:p>
        </w:tc>
        <w:tc>
          <w:tcPr>
            <w:tcW w:w="1497" w:type="dxa"/>
          </w:tcPr>
          <w:p w14:paraId="05866713" w14:textId="77777777" w:rsidR="009D3B50" w:rsidRPr="009D3B50" w:rsidRDefault="009D3B50" w:rsidP="002931FD">
            <w:pPr>
              <w:pStyle w:val="StdBodyText"/>
              <w:rPr>
                <w:rFonts w:cs="Arial"/>
                <w:sz w:val="22"/>
                <w:szCs w:val="22"/>
              </w:rPr>
            </w:pPr>
          </w:p>
        </w:tc>
        <w:tc>
          <w:tcPr>
            <w:tcW w:w="1353" w:type="dxa"/>
          </w:tcPr>
          <w:p w14:paraId="102CEF5D" w14:textId="77777777" w:rsidR="009D3B50" w:rsidRPr="009D3B50" w:rsidRDefault="009D3B50" w:rsidP="002931FD">
            <w:pPr>
              <w:pStyle w:val="StdBodyText"/>
              <w:rPr>
                <w:rFonts w:cs="Arial"/>
                <w:sz w:val="22"/>
                <w:szCs w:val="22"/>
              </w:rPr>
            </w:pPr>
          </w:p>
        </w:tc>
        <w:tc>
          <w:tcPr>
            <w:tcW w:w="1554" w:type="dxa"/>
          </w:tcPr>
          <w:p w14:paraId="26E783C0" w14:textId="77777777" w:rsidR="009D3B50" w:rsidRPr="009D3B50" w:rsidRDefault="009D3B50" w:rsidP="002931FD">
            <w:pPr>
              <w:pStyle w:val="StdBodyText"/>
              <w:rPr>
                <w:rFonts w:cs="Arial"/>
                <w:sz w:val="22"/>
                <w:szCs w:val="22"/>
              </w:rPr>
            </w:pPr>
          </w:p>
        </w:tc>
        <w:tc>
          <w:tcPr>
            <w:tcW w:w="1432" w:type="dxa"/>
          </w:tcPr>
          <w:p w14:paraId="1AB622BC" w14:textId="77777777" w:rsidR="009D3B50" w:rsidRPr="009D3B50" w:rsidRDefault="009D3B50" w:rsidP="002931FD">
            <w:pPr>
              <w:pStyle w:val="StdBodyText"/>
              <w:rPr>
                <w:rFonts w:cs="Arial"/>
                <w:sz w:val="22"/>
                <w:szCs w:val="22"/>
              </w:rPr>
            </w:pPr>
          </w:p>
        </w:tc>
        <w:tc>
          <w:tcPr>
            <w:tcW w:w="1547" w:type="dxa"/>
          </w:tcPr>
          <w:p w14:paraId="585F52CC" w14:textId="77777777" w:rsidR="009D3B50" w:rsidRPr="009D3B50" w:rsidRDefault="009D3B50" w:rsidP="002931FD">
            <w:pPr>
              <w:pStyle w:val="StdBodyText"/>
              <w:rPr>
                <w:rFonts w:cs="Arial"/>
                <w:sz w:val="22"/>
                <w:szCs w:val="22"/>
              </w:rPr>
            </w:pPr>
          </w:p>
        </w:tc>
      </w:tr>
      <w:tr w:rsidR="009D3B50" w:rsidRPr="009D3B50" w14:paraId="1BAB16F0" w14:textId="77777777" w:rsidTr="002931FD">
        <w:tc>
          <w:tcPr>
            <w:tcW w:w="1413" w:type="dxa"/>
            <w:shd w:val="solid" w:color="CCECFF" w:fill="auto"/>
          </w:tcPr>
          <w:p w14:paraId="5ED83ED1" w14:textId="77777777" w:rsidR="009D3B50" w:rsidRPr="009D3B50" w:rsidRDefault="009D3B50" w:rsidP="002931FD">
            <w:pPr>
              <w:pStyle w:val="StdBodyTextBold"/>
              <w:rPr>
                <w:rFonts w:cs="Arial"/>
                <w:sz w:val="22"/>
                <w:szCs w:val="22"/>
              </w:rPr>
            </w:pPr>
            <w:r w:rsidRPr="009D3B50">
              <w:rPr>
                <w:rFonts w:cs="Arial"/>
                <w:sz w:val="22"/>
                <w:szCs w:val="22"/>
              </w:rPr>
              <w:t>Emp No</w:t>
            </w:r>
          </w:p>
        </w:tc>
        <w:tc>
          <w:tcPr>
            <w:tcW w:w="2124" w:type="dxa"/>
          </w:tcPr>
          <w:p w14:paraId="28EEB031" w14:textId="77777777" w:rsidR="009D3B50" w:rsidRPr="009D3B50" w:rsidRDefault="009D3B50" w:rsidP="002931FD">
            <w:pPr>
              <w:pStyle w:val="StdBodyText"/>
              <w:rPr>
                <w:rFonts w:cs="Arial"/>
                <w:sz w:val="22"/>
                <w:szCs w:val="22"/>
              </w:rPr>
            </w:pPr>
          </w:p>
        </w:tc>
        <w:tc>
          <w:tcPr>
            <w:tcW w:w="1526" w:type="dxa"/>
          </w:tcPr>
          <w:p w14:paraId="67EA2097" w14:textId="77777777" w:rsidR="009D3B50" w:rsidRPr="009D3B50" w:rsidRDefault="009D3B50" w:rsidP="002931FD">
            <w:pPr>
              <w:pStyle w:val="StdBodyText"/>
              <w:rPr>
                <w:rFonts w:cs="Arial"/>
                <w:sz w:val="22"/>
                <w:szCs w:val="22"/>
              </w:rPr>
            </w:pPr>
          </w:p>
        </w:tc>
        <w:tc>
          <w:tcPr>
            <w:tcW w:w="1542" w:type="dxa"/>
          </w:tcPr>
          <w:p w14:paraId="1BF12410" w14:textId="77777777" w:rsidR="009D3B50" w:rsidRPr="009D3B50" w:rsidRDefault="009D3B50" w:rsidP="002931FD">
            <w:pPr>
              <w:pStyle w:val="StdBodyText"/>
              <w:rPr>
                <w:rFonts w:cs="Arial"/>
                <w:sz w:val="22"/>
                <w:szCs w:val="22"/>
              </w:rPr>
            </w:pPr>
          </w:p>
        </w:tc>
        <w:tc>
          <w:tcPr>
            <w:tcW w:w="1497" w:type="dxa"/>
          </w:tcPr>
          <w:p w14:paraId="0D01402C" w14:textId="77777777" w:rsidR="009D3B50" w:rsidRPr="009D3B50" w:rsidRDefault="009D3B50" w:rsidP="002931FD">
            <w:pPr>
              <w:pStyle w:val="StdBodyText"/>
              <w:rPr>
                <w:rFonts w:cs="Arial"/>
                <w:sz w:val="22"/>
                <w:szCs w:val="22"/>
              </w:rPr>
            </w:pPr>
          </w:p>
        </w:tc>
        <w:tc>
          <w:tcPr>
            <w:tcW w:w="1353" w:type="dxa"/>
          </w:tcPr>
          <w:p w14:paraId="0407A0F8" w14:textId="77777777" w:rsidR="009D3B50" w:rsidRPr="009D3B50" w:rsidRDefault="009D3B50" w:rsidP="002931FD">
            <w:pPr>
              <w:pStyle w:val="StdBodyText"/>
              <w:rPr>
                <w:rFonts w:cs="Arial"/>
                <w:sz w:val="22"/>
                <w:szCs w:val="22"/>
              </w:rPr>
            </w:pPr>
          </w:p>
        </w:tc>
        <w:tc>
          <w:tcPr>
            <w:tcW w:w="1554" w:type="dxa"/>
          </w:tcPr>
          <w:p w14:paraId="33B6FA6C" w14:textId="77777777" w:rsidR="009D3B50" w:rsidRPr="009D3B50" w:rsidRDefault="009D3B50" w:rsidP="002931FD">
            <w:pPr>
              <w:pStyle w:val="StdBodyText"/>
              <w:rPr>
                <w:rFonts w:cs="Arial"/>
                <w:sz w:val="22"/>
                <w:szCs w:val="22"/>
              </w:rPr>
            </w:pPr>
          </w:p>
        </w:tc>
        <w:tc>
          <w:tcPr>
            <w:tcW w:w="1432" w:type="dxa"/>
          </w:tcPr>
          <w:p w14:paraId="0DB1E125" w14:textId="77777777" w:rsidR="009D3B50" w:rsidRPr="009D3B50" w:rsidRDefault="009D3B50" w:rsidP="002931FD">
            <w:pPr>
              <w:pStyle w:val="StdBodyText"/>
              <w:rPr>
                <w:rFonts w:cs="Arial"/>
                <w:sz w:val="22"/>
                <w:szCs w:val="22"/>
              </w:rPr>
            </w:pPr>
          </w:p>
        </w:tc>
        <w:tc>
          <w:tcPr>
            <w:tcW w:w="1547" w:type="dxa"/>
          </w:tcPr>
          <w:p w14:paraId="7C170F18" w14:textId="77777777" w:rsidR="009D3B50" w:rsidRPr="009D3B50" w:rsidRDefault="009D3B50" w:rsidP="002931FD">
            <w:pPr>
              <w:pStyle w:val="StdBodyText"/>
              <w:rPr>
                <w:rFonts w:cs="Arial"/>
                <w:sz w:val="22"/>
                <w:szCs w:val="22"/>
              </w:rPr>
            </w:pPr>
          </w:p>
        </w:tc>
      </w:tr>
      <w:tr w:rsidR="009D3B50" w:rsidRPr="009D3B50" w14:paraId="2B10BEDC" w14:textId="77777777" w:rsidTr="002931FD">
        <w:tc>
          <w:tcPr>
            <w:tcW w:w="1413" w:type="dxa"/>
            <w:shd w:val="solid" w:color="CCECFF" w:fill="auto"/>
          </w:tcPr>
          <w:p w14:paraId="0D9BBB8C" w14:textId="77777777" w:rsidR="009D3B50" w:rsidRPr="009D3B50" w:rsidRDefault="009D3B50" w:rsidP="002931FD">
            <w:pPr>
              <w:pStyle w:val="StdBodyTextBold"/>
              <w:rPr>
                <w:rFonts w:cs="Arial"/>
                <w:sz w:val="22"/>
                <w:szCs w:val="22"/>
              </w:rPr>
            </w:pPr>
            <w:r w:rsidRPr="009D3B50">
              <w:rPr>
                <w:rFonts w:cs="Arial"/>
                <w:sz w:val="22"/>
                <w:szCs w:val="22"/>
              </w:rPr>
              <w:t>Emp No</w:t>
            </w:r>
          </w:p>
        </w:tc>
        <w:tc>
          <w:tcPr>
            <w:tcW w:w="2124" w:type="dxa"/>
          </w:tcPr>
          <w:p w14:paraId="2A76B2D7" w14:textId="77777777" w:rsidR="009D3B50" w:rsidRPr="009D3B50" w:rsidRDefault="009D3B50" w:rsidP="002931FD">
            <w:pPr>
              <w:pStyle w:val="StdBodyText"/>
              <w:rPr>
                <w:rFonts w:cs="Arial"/>
                <w:sz w:val="22"/>
                <w:szCs w:val="22"/>
              </w:rPr>
            </w:pPr>
          </w:p>
        </w:tc>
        <w:tc>
          <w:tcPr>
            <w:tcW w:w="1526" w:type="dxa"/>
          </w:tcPr>
          <w:p w14:paraId="26B7B8CD" w14:textId="77777777" w:rsidR="009D3B50" w:rsidRPr="009D3B50" w:rsidRDefault="009D3B50" w:rsidP="002931FD">
            <w:pPr>
              <w:pStyle w:val="StdBodyText"/>
              <w:rPr>
                <w:rFonts w:cs="Arial"/>
                <w:sz w:val="22"/>
                <w:szCs w:val="22"/>
              </w:rPr>
            </w:pPr>
          </w:p>
        </w:tc>
        <w:tc>
          <w:tcPr>
            <w:tcW w:w="1542" w:type="dxa"/>
          </w:tcPr>
          <w:p w14:paraId="71394A04" w14:textId="77777777" w:rsidR="009D3B50" w:rsidRPr="009D3B50" w:rsidRDefault="009D3B50" w:rsidP="002931FD">
            <w:pPr>
              <w:pStyle w:val="StdBodyText"/>
              <w:rPr>
                <w:rFonts w:cs="Arial"/>
                <w:sz w:val="22"/>
                <w:szCs w:val="22"/>
              </w:rPr>
            </w:pPr>
          </w:p>
        </w:tc>
        <w:tc>
          <w:tcPr>
            <w:tcW w:w="1497" w:type="dxa"/>
          </w:tcPr>
          <w:p w14:paraId="3DD96879" w14:textId="77777777" w:rsidR="009D3B50" w:rsidRPr="009D3B50" w:rsidRDefault="009D3B50" w:rsidP="002931FD">
            <w:pPr>
              <w:pStyle w:val="StdBodyText"/>
              <w:rPr>
                <w:rFonts w:cs="Arial"/>
                <w:sz w:val="22"/>
                <w:szCs w:val="22"/>
              </w:rPr>
            </w:pPr>
          </w:p>
        </w:tc>
        <w:tc>
          <w:tcPr>
            <w:tcW w:w="1353" w:type="dxa"/>
          </w:tcPr>
          <w:p w14:paraId="5889CEE2" w14:textId="77777777" w:rsidR="009D3B50" w:rsidRPr="009D3B50" w:rsidRDefault="009D3B50" w:rsidP="002931FD">
            <w:pPr>
              <w:pStyle w:val="StdBodyText"/>
              <w:rPr>
                <w:rFonts w:cs="Arial"/>
                <w:sz w:val="22"/>
                <w:szCs w:val="22"/>
              </w:rPr>
            </w:pPr>
          </w:p>
        </w:tc>
        <w:tc>
          <w:tcPr>
            <w:tcW w:w="1554" w:type="dxa"/>
          </w:tcPr>
          <w:p w14:paraId="39D2A7A4" w14:textId="77777777" w:rsidR="009D3B50" w:rsidRPr="009D3B50" w:rsidRDefault="009D3B50" w:rsidP="002931FD">
            <w:pPr>
              <w:pStyle w:val="StdBodyText"/>
              <w:rPr>
                <w:rFonts w:cs="Arial"/>
                <w:sz w:val="22"/>
                <w:szCs w:val="22"/>
              </w:rPr>
            </w:pPr>
          </w:p>
        </w:tc>
        <w:tc>
          <w:tcPr>
            <w:tcW w:w="1432" w:type="dxa"/>
          </w:tcPr>
          <w:p w14:paraId="61761BDD" w14:textId="77777777" w:rsidR="009D3B50" w:rsidRPr="009D3B50" w:rsidRDefault="009D3B50" w:rsidP="002931FD">
            <w:pPr>
              <w:pStyle w:val="StdBodyText"/>
              <w:rPr>
                <w:rFonts w:cs="Arial"/>
                <w:sz w:val="22"/>
                <w:szCs w:val="22"/>
              </w:rPr>
            </w:pPr>
          </w:p>
        </w:tc>
        <w:tc>
          <w:tcPr>
            <w:tcW w:w="1547" w:type="dxa"/>
          </w:tcPr>
          <w:p w14:paraId="0B17CC99" w14:textId="77777777" w:rsidR="009D3B50" w:rsidRPr="009D3B50" w:rsidRDefault="009D3B50" w:rsidP="002931FD">
            <w:pPr>
              <w:pStyle w:val="StdBodyText"/>
              <w:rPr>
                <w:rFonts w:cs="Arial"/>
                <w:sz w:val="22"/>
                <w:szCs w:val="22"/>
              </w:rPr>
            </w:pPr>
          </w:p>
        </w:tc>
      </w:tr>
      <w:tr w:rsidR="009D3B50" w:rsidRPr="009D3B50" w14:paraId="10AE6B4A" w14:textId="77777777" w:rsidTr="002931FD">
        <w:tc>
          <w:tcPr>
            <w:tcW w:w="1413" w:type="dxa"/>
            <w:shd w:val="solid" w:color="CCECFF" w:fill="auto"/>
          </w:tcPr>
          <w:p w14:paraId="3C76B705" w14:textId="77777777" w:rsidR="009D3B50" w:rsidRPr="009D3B50" w:rsidRDefault="009D3B50" w:rsidP="002931FD">
            <w:pPr>
              <w:pStyle w:val="StdBodyTextBold"/>
              <w:rPr>
                <w:rFonts w:cs="Arial"/>
                <w:sz w:val="22"/>
                <w:szCs w:val="22"/>
              </w:rPr>
            </w:pPr>
            <w:r w:rsidRPr="009D3B50">
              <w:rPr>
                <w:rFonts w:cs="Arial"/>
                <w:sz w:val="22"/>
                <w:szCs w:val="22"/>
              </w:rPr>
              <w:t>Emp No</w:t>
            </w:r>
          </w:p>
        </w:tc>
        <w:tc>
          <w:tcPr>
            <w:tcW w:w="2124" w:type="dxa"/>
          </w:tcPr>
          <w:p w14:paraId="3157FE07" w14:textId="77777777" w:rsidR="009D3B50" w:rsidRPr="009D3B50" w:rsidRDefault="009D3B50" w:rsidP="002931FD">
            <w:pPr>
              <w:pStyle w:val="StdBodyText"/>
              <w:rPr>
                <w:rFonts w:cs="Arial"/>
                <w:sz w:val="22"/>
                <w:szCs w:val="22"/>
              </w:rPr>
            </w:pPr>
          </w:p>
        </w:tc>
        <w:tc>
          <w:tcPr>
            <w:tcW w:w="1526" w:type="dxa"/>
          </w:tcPr>
          <w:p w14:paraId="17B929C3" w14:textId="77777777" w:rsidR="009D3B50" w:rsidRPr="009D3B50" w:rsidRDefault="009D3B50" w:rsidP="002931FD">
            <w:pPr>
              <w:pStyle w:val="StdBodyText"/>
              <w:rPr>
                <w:rFonts w:cs="Arial"/>
                <w:sz w:val="22"/>
                <w:szCs w:val="22"/>
              </w:rPr>
            </w:pPr>
          </w:p>
        </w:tc>
        <w:tc>
          <w:tcPr>
            <w:tcW w:w="1542" w:type="dxa"/>
          </w:tcPr>
          <w:p w14:paraId="3583E1CD" w14:textId="77777777" w:rsidR="009D3B50" w:rsidRPr="009D3B50" w:rsidRDefault="009D3B50" w:rsidP="002931FD">
            <w:pPr>
              <w:pStyle w:val="StdBodyText"/>
              <w:rPr>
                <w:rFonts w:cs="Arial"/>
                <w:sz w:val="22"/>
                <w:szCs w:val="22"/>
              </w:rPr>
            </w:pPr>
          </w:p>
        </w:tc>
        <w:tc>
          <w:tcPr>
            <w:tcW w:w="1497" w:type="dxa"/>
          </w:tcPr>
          <w:p w14:paraId="1F7A45A6" w14:textId="77777777" w:rsidR="009D3B50" w:rsidRPr="009D3B50" w:rsidRDefault="009D3B50" w:rsidP="002931FD">
            <w:pPr>
              <w:pStyle w:val="StdBodyText"/>
              <w:rPr>
                <w:rFonts w:cs="Arial"/>
                <w:sz w:val="22"/>
                <w:szCs w:val="22"/>
              </w:rPr>
            </w:pPr>
          </w:p>
        </w:tc>
        <w:tc>
          <w:tcPr>
            <w:tcW w:w="1353" w:type="dxa"/>
          </w:tcPr>
          <w:p w14:paraId="30CEB26B" w14:textId="77777777" w:rsidR="009D3B50" w:rsidRPr="009D3B50" w:rsidRDefault="009D3B50" w:rsidP="002931FD">
            <w:pPr>
              <w:pStyle w:val="StdBodyText"/>
              <w:rPr>
                <w:rFonts w:cs="Arial"/>
                <w:sz w:val="22"/>
                <w:szCs w:val="22"/>
              </w:rPr>
            </w:pPr>
          </w:p>
        </w:tc>
        <w:tc>
          <w:tcPr>
            <w:tcW w:w="1554" w:type="dxa"/>
          </w:tcPr>
          <w:p w14:paraId="049F86CB" w14:textId="77777777" w:rsidR="009D3B50" w:rsidRPr="009D3B50" w:rsidRDefault="009D3B50" w:rsidP="002931FD">
            <w:pPr>
              <w:pStyle w:val="StdBodyText"/>
              <w:rPr>
                <w:rFonts w:cs="Arial"/>
                <w:sz w:val="22"/>
                <w:szCs w:val="22"/>
              </w:rPr>
            </w:pPr>
          </w:p>
        </w:tc>
        <w:tc>
          <w:tcPr>
            <w:tcW w:w="1432" w:type="dxa"/>
          </w:tcPr>
          <w:p w14:paraId="7702DE01" w14:textId="77777777" w:rsidR="009D3B50" w:rsidRPr="009D3B50" w:rsidRDefault="009D3B50" w:rsidP="002931FD">
            <w:pPr>
              <w:pStyle w:val="StdBodyText"/>
              <w:rPr>
                <w:rFonts w:cs="Arial"/>
                <w:sz w:val="22"/>
                <w:szCs w:val="22"/>
              </w:rPr>
            </w:pPr>
          </w:p>
        </w:tc>
        <w:tc>
          <w:tcPr>
            <w:tcW w:w="1547" w:type="dxa"/>
          </w:tcPr>
          <w:p w14:paraId="440BB869" w14:textId="77777777" w:rsidR="009D3B50" w:rsidRPr="009D3B50" w:rsidRDefault="009D3B50" w:rsidP="002931FD">
            <w:pPr>
              <w:pStyle w:val="StdBodyText"/>
              <w:rPr>
                <w:rFonts w:cs="Arial"/>
                <w:sz w:val="22"/>
                <w:szCs w:val="22"/>
              </w:rPr>
            </w:pPr>
          </w:p>
        </w:tc>
      </w:tr>
      <w:tr w:rsidR="009D3B50" w:rsidRPr="009D3B50" w14:paraId="03FAFA5E" w14:textId="77777777" w:rsidTr="002931FD">
        <w:tc>
          <w:tcPr>
            <w:tcW w:w="1413" w:type="dxa"/>
            <w:shd w:val="solid" w:color="CCECFF" w:fill="auto"/>
          </w:tcPr>
          <w:p w14:paraId="0E56B2E1" w14:textId="77777777" w:rsidR="009D3B50" w:rsidRPr="009D3B50" w:rsidRDefault="009D3B50" w:rsidP="002931FD">
            <w:pPr>
              <w:pStyle w:val="StdBodyTextBold"/>
              <w:rPr>
                <w:rFonts w:cs="Arial"/>
                <w:sz w:val="22"/>
                <w:szCs w:val="22"/>
              </w:rPr>
            </w:pPr>
            <w:r w:rsidRPr="009D3B50">
              <w:rPr>
                <w:rFonts w:cs="Arial"/>
                <w:sz w:val="22"/>
                <w:szCs w:val="22"/>
              </w:rPr>
              <w:t>Emp No</w:t>
            </w:r>
          </w:p>
        </w:tc>
        <w:tc>
          <w:tcPr>
            <w:tcW w:w="2124" w:type="dxa"/>
          </w:tcPr>
          <w:p w14:paraId="2F190FAC" w14:textId="77777777" w:rsidR="009D3B50" w:rsidRPr="009D3B50" w:rsidRDefault="009D3B50" w:rsidP="002931FD">
            <w:pPr>
              <w:pStyle w:val="StdBodyText"/>
              <w:rPr>
                <w:rFonts w:cs="Arial"/>
                <w:sz w:val="22"/>
                <w:szCs w:val="22"/>
              </w:rPr>
            </w:pPr>
          </w:p>
        </w:tc>
        <w:tc>
          <w:tcPr>
            <w:tcW w:w="1526" w:type="dxa"/>
          </w:tcPr>
          <w:p w14:paraId="6F7AFA38" w14:textId="77777777" w:rsidR="009D3B50" w:rsidRPr="009D3B50" w:rsidRDefault="009D3B50" w:rsidP="002931FD">
            <w:pPr>
              <w:pStyle w:val="StdBodyText"/>
              <w:rPr>
                <w:rFonts w:cs="Arial"/>
                <w:sz w:val="22"/>
                <w:szCs w:val="22"/>
              </w:rPr>
            </w:pPr>
          </w:p>
        </w:tc>
        <w:tc>
          <w:tcPr>
            <w:tcW w:w="1542" w:type="dxa"/>
          </w:tcPr>
          <w:p w14:paraId="5BDE3426" w14:textId="77777777" w:rsidR="009D3B50" w:rsidRPr="009D3B50" w:rsidRDefault="009D3B50" w:rsidP="002931FD">
            <w:pPr>
              <w:pStyle w:val="StdBodyText"/>
              <w:rPr>
                <w:rFonts w:cs="Arial"/>
                <w:sz w:val="22"/>
                <w:szCs w:val="22"/>
              </w:rPr>
            </w:pPr>
          </w:p>
        </w:tc>
        <w:tc>
          <w:tcPr>
            <w:tcW w:w="1497" w:type="dxa"/>
          </w:tcPr>
          <w:p w14:paraId="76836EBE" w14:textId="77777777" w:rsidR="009D3B50" w:rsidRPr="009D3B50" w:rsidRDefault="009D3B50" w:rsidP="002931FD">
            <w:pPr>
              <w:pStyle w:val="StdBodyText"/>
              <w:rPr>
                <w:rFonts w:cs="Arial"/>
                <w:sz w:val="22"/>
                <w:szCs w:val="22"/>
              </w:rPr>
            </w:pPr>
          </w:p>
        </w:tc>
        <w:tc>
          <w:tcPr>
            <w:tcW w:w="1353" w:type="dxa"/>
          </w:tcPr>
          <w:p w14:paraId="2B3C602B" w14:textId="77777777" w:rsidR="009D3B50" w:rsidRPr="009D3B50" w:rsidRDefault="009D3B50" w:rsidP="002931FD">
            <w:pPr>
              <w:pStyle w:val="StdBodyText"/>
              <w:rPr>
                <w:rFonts w:cs="Arial"/>
                <w:sz w:val="22"/>
                <w:szCs w:val="22"/>
              </w:rPr>
            </w:pPr>
          </w:p>
        </w:tc>
        <w:tc>
          <w:tcPr>
            <w:tcW w:w="1554" w:type="dxa"/>
          </w:tcPr>
          <w:p w14:paraId="46420FE3" w14:textId="77777777" w:rsidR="009D3B50" w:rsidRPr="009D3B50" w:rsidRDefault="009D3B50" w:rsidP="002931FD">
            <w:pPr>
              <w:pStyle w:val="StdBodyText"/>
              <w:rPr>
                <w:rFonts w:cs="Arial"/>
                <w:sz w:val="22"/>
                <w:szCs w:val="22"/>
              </w:rPr>
            </w:pPr>
          </w:p>
        </w:tc>
        <w:tc>
          <w:tcPr>
            <w:tcW w:w="1432" w:type="dxa"/>
          </w:tcPr>
          <w:p w14:paraId="6F684F21" w14:textId="77777777" w:rsidR="009D3B50" w:rsidRPr="009D3B50" w:rsidRDefault="009D3B50" w:rsidP="002931FD">
            <w:pPr>
              <w:pStyle w:val="StdBodyText"/>
              <w:rPr>
                <w:rFonts w:cs="Arial"/>
                <w:sz w:val="22"/>
                <w:szCs w:val="22"/>
              </w:rPr>
            </w:pPr>
          </w:p>
        </w:tc>
        <w:tc>
          <w:tcPr>
            <w:tcW w:w="1547" w:type="dxa"/>
          </w:tcPr>
          <w:p w14:paraId="0FB092C3" w14:textId="77777777" w:rsidR="009D3B50" w:rsidRPr="009D3B50" w:rsidRDefault="009D3B50" w:rsidP="002931FD">
            <w:pPr>
              <w:pStyle w:val="StdBodyText"/>
              <w:rPr>
                <w:rFonts w:cs="Arial"/>
                <w:sz w:val="22"/>
                <w:szCs w:val="22"/>
              </w:rPr>
            </w:pPr>
          </w:p>
        </w:tc>
      </w:tr>
    </w:tbl>
    <w:p w14:paraId="4E638C1D" w14:textId="77777777" w:rsidR="009D3B50" w:rsidRPr="009D3B50" w:rsidRDefault="009D3B50" w:rsidP="009D3B50">
      <w:pPr>
        <w:pStyle w:val="StdBodyText"/>
        <w:rPr>
          <w:rFonts w:cs="Arial"/>
          <w:sz w:val="22"/>
          <w:szCs w:val="22"/>
        </w:rPr>
      </w:pPr>
      <w:r w:rsidRPr="009D3B50">
        <w:rPr>
          <w:rFonts w:cs="Arial"/>
          <w:sz w:val="22"/>
          <w:szCs w:val="22"/>
        </w:rPr>
        <w:br w:type="page"/>
      </w:r>
    </w:p>
    <w:tbl>
      <w:tblPr>
        <w:tblStyle w:val="TableGrid"/>
        <w:tblW w:w="0" w:type="auto"/>
        <w:tblLook w:val="04A0" w:firstRow="1" w:lastRow="0" w:firstColumn="1" w:lastColumn="0" w:noHBand="0" w:noVBand="1"/>
      </w:tblPr>
      <w:tblGrid>
        <w:gridCol w:w="870"/>
        <w:gridCol w:w="1280"/>
        <w:gridCol w:w="1280"/>
        <w:gridCol w:w="1490"/>
        <w:gridCol w:w="1280"/>
        <w:gridCol w:w="1280"/>
        <w:gridCol w:w="1535"/>
      </w:tblGrid>
      <w:tr w:rsidR="009D3B50" w:rsidRPr="009D3B50" w14:paraId="49DF6BC1" w14:textId="77777777" w:rsidTr="002931FD">
        <w:tc>
          <w:tcPr>
            <w:tcW w:w="1413" w:type="dxa"/>
            <w:tcBorders>
              <w:top w:val="nil"/>
              <w:left w:val="nil"/>
              <w:bottom w:val="single" w:sz="4" w:space="0" w:color="auto"/>
            </w:tcBorders>
          </w:tcPr>
          <w:p w14:paraId="5C031591" w14:textId="77777777" w:rsidR="009D3B50" w:rsidRPr="009D3B50" w:rsidRDefault="009D3B50" w:rsidP="002931FD">
            <w:pPr>
              <w:pStyle w:val="StdBodyText"/>
              <w:rPr>
                <w:rFonts w:cs="Arial"/>
                <w:sz w:val="22"/>
                <w:szCs w:val="22"/>
              </w:rPr>
            </w:pPr>
          </w:p>
        </w:tc>
        <w:tc>
          <w:tcPr>
            <w:tcW w:w="12575" w:type="dxa"/>
            <w:gridSpan w:val="6"/>
            <w:shd w:val="solid" w:color="FABF8F" w:themeColor="accent6" w:themeTint="99" w:fill="auto"/>
          </w:tcPr>
          <w:p w14:paraId="7D5F3E21" w14:textId="77777777" w:rsidR="009D3B50" w:rsidRPr="009D3B50" w:rsidRDefault="009D3B50" w:rsidP="002931FD">
            <w:pPr>
              <w:pStyle w:val="StdBodyTextBold"/>
              <w:rPr>
                <w:rFonts w:cs="Arial"/>
                <w:sz w:val="22"/>
                <w:szCs w:val="22"/>
              </w:rPr>
            </w:pPr>
            <w:r w:rsidRPr="009D3B50">
              <w:rPr>
                <w:rFonts w:cs="Arial"/>
                <w:sz w:val="22"/>
                <w:szCs w:val="22"/>
              </w:rPr>
              <w:t>CONTRACTUAL PAY AND BENEFITS</w:t>
            </w:r>
          </w:p>
        </w:tc>
      </w:tr>
      <w:tr w:rsidR="009D3B50" w:rsidRPr="009D3B50" w14:paraId="2E7B3518" w14:textId="77777777" w:rsidTr="002931FD">
        <w:tc>
          <w:tcPr>
            <w:tcW w:w="1413" w:type="dxa"/>
            <w:shd w:val="solid" w:color="CCECFF" w:fill="auto"/>
          </w:tcPr>
          <w:p w14:paraId="1B359705" w14:textId="77777777" w:rsidR="009D3B50" w:rsidRPr="009D3B50" w:rsidRDefault="009D3B50" w:rsidP="002931FD">
            <w:pPr>
              <w:pStyle w:val="StdBodyTextBold"/>
              <w:rPr>
                <w:rFonts w:cs="Arial"/>
                <w:sz w:val="22"/>
                <w:szCs w:val="22"/>
              </w:rPr>
            </w:pPr>
            <w:r w:rsidRPr="009D3B50">
              <w:rPr>
                <w:rFonts w:cs="Arial"/>
                <w:sz w:val="22"/>
                <w:szCs w:val="22"/>
              </w:rPr>
              <w:t>Details</w:t>
            </w:r>
          </w:p>
        </w:tc>
        <w:tc>
          <w:tcPr>
            <w:tcW w:w="1843" w:type="dxa"/>
            <w:shd w:val="solid" w:color="FABF8F" w:themeColor="accent6" w:themeTint="99" w:fill="auto"/>
          </w:tcPr>
          <w:p w14:paraId="71EF4E5D" w14:textId="77777777" w:rsidR="009D3B50" w:rsidRPr="009D3B50" w:rsidRDefault="009D3B50" w:rsidP="002931FD">
            <w:pPr>
              <w:pStyle w:val="StdBodyTextBold"/>
              <w:rPr>
                <w:rFonts w:cs="Arial"/>
                <w:sz w:val="22"/>
                <w:szCs w:val="22"/>
              </w:rPr>
            </w:pPr>
            <w:r w:rsidRPr="009D3B50">
              <w:rPr>
                <w:rFonts w:cs="Arial"/>
                <w:sz w:val="22"/>
                <w:szCs w:val="22"/>
              </w:rPr>
              <w:t>Annual leave entitlement (excluding bank holidays)</w:t>
            </w:r>
          </w:p>
        </w:tc>
        <w:tc>
          <w:tcPr>
            <w:tcW w:w="1842" w:type="dxa"/>
            <w:shd w:val="solid" w:color="FABF8F" w:themeColor="accent6" w:themeTint="99" w:fill="auto"/>
          </w:tcPr>
          <w:p w14:paraId="049E44CB" w14:textId="77777777" w:rsidR="009D3B50" w:rsidRPr="009D3B50" w:rsidRDefault="009D3B50" w:rsidP="002931FD">
            <w:pPr>
              <w:pStyle w:val="StdBodyTextBold"/>
              <w:rPr>
                <w:rFonts w:cs="Arial"/>
                <w:sz w:val="22"/>
                <w:szCs w:val="22"/>
              </w:rPr>
            </w:pPr>
            <w:r w:rsidRPr="009D3B50">
              <w:rPr>
                <w:rFonts w:cs="Arial"/>
                <w:sz w:val="22"/>
                <w:szCs w:val="22"/>
              </w:rPr>
              <w:t>Bank holiday entitlement</w:t>
            </w:r>
          </w:p>
        </w:tc>
        <w:tc>
          <w:tcPr>
            <w:tcW w:w="2902" w:type="dxa"/>
            <w:shd w:val="solid" w:color="FABF8F" w:themeColor="accent6" w:themeTint="99" w:fill="auto"/>
          </w:tcPr>
          <w:p w14:paraId="46C1CEBA" w14:textId="77777777" w:rsidR="009D3B50" w:rsidRPr="009D3B50" w:rsidRDefault="009D3B50" w:rsidP="002931FD">
            <w:pPr>
              <w:pStyle w:val="StdBodyTextBold"/>
              <w:rPr>
                <w:rFonts w:cs="Arial"/>
                <w:sz w:val="22"/>
                <w:szCs w:val="22"/>
              </w:rPr>
            </w:pPr>
            <w:r w:rsidRPr="009D3B50">
              <w:rPr>
                <w:rFonts w:cs="Arial"/>
                <w:sz w:val="22"/>
                <w:szCs w:val="22"/>
              </w:rPr>
              <w:t>Method of calculating holiday pay (i.e. based on fixed salary only or incl. entitlements to variable remuneration such as bonuses, allowances, commission or overtime pay?)</w:t>
            </w:r>
          </w:p>
        </w:tc>
        <w:tc>
          <w:tcPr>
            <w:tcW w:w="1995" w:type="dxa"/>
            <w:shd w:val="solid" w:color="FABF8F" w:themeColor="accent6" w:themeTint="99" w:fill="auto"/>
          </w:tcPr>
          <w:p w14:paraId="14248B24" w14:textId="77777777" w:rsidR="009D3B50" w:rsidRPr="009D3B50" w:rsidRDefault="009D3B50" w:rsidP="002931FD">
            <w:pPr>
              <w:pStyle w:val="StdBodyTextBold"/>
              <w:rPr>
                <w:rFonts w:cs="Arial"/>
                <w:sz w:val="22"/>
                <w:szCs w:val="22"/>
              </w:rPr>
            </w:pPr>
            <w:r w:rsidRPr="009D3B50">
              <w:rPr>
                <w:rFonts w:cs="Arial"/>
                <w:sz w:val="22"/>
                <w:szCs w:val="22"/>
              </w:rPr>
              <w:t>Maternity or paternity or shared parental  leave entitlement and pay</w:t>
            </w:r>
          </w:p>
        </w:tc>
        <w:tc>
          <w:tcPr>
            <w:tcW w:w="1996" w:type="dxa"/>
            <w:shd w:val="solid" w:color="FABF8F" w:themeColor="accent6" w:themeTint="99" w:fill="auto"/>
          </w:tcPr>
          <w:p w14:paraId="58FAA830" w14:textId="77777777" w:rsidR="009D3B50" w:rsidRPr="009D3B50" w:rsidRDefault="009D3B50" w:rsidP="002931FD">
            <w:pPr>
              <w:pStyle w:val="StdBodyTextBold"/>
              <w:rPr>
                <w:rFonts w:cs="Arial"/>
                <w:sz w:val="22"/>
                <w:szCs w:val="22"/>
              </w:rPr>
            </w:pPr>
            <w:r w:rsidRPr="009D3B50">
              <w:rPr>
                <w:rFonts w:cs="Arial"/>
                <w:sz w:val="22"/>
                <w:szCs w:val="22"/>
              </w:rPr>
              <w:t>Sick leave entitlement and pay</w:t>
            </w:r>
          </w:p>
        </w:tc>
        <w:tc>
          <w:tcPr>
            <w:tcW w:w="1997" w:type="dxa"/>
            <w:shd w:val="solid" w:color="FABF8F" w:themeColor="accent6" w:themeTint="99" w:fill="auto"/>
          </w:tcPr>
          <w:p w14:paraId="2313178D" w14:textId="77777777" w:rsidR="009D3B50" w:rsidRPr="009D3B50" w:rsidRDefault="009D3B50" w:rsidP="002931FD">
            <w:pPr>
              <w:pStyle w:val="StdBodyTextBold"/>
              <w:rPr>
                <w:rFonts w:cs="Arial"/>
                <w:sz w:val="22"/>
                <w:szCs w:val="22"/>
              </w:rPr>
            </w:pPr>
            <w:r w:rsidRPr="009D3B50">
              <w:rPr>
                <w:rFonts w:cs="Arial"/>
                <w:sz w:val="22"/>
                <w:szCs w:val="22"/>
              </w:rPr>
              <w:t xml:space="preserve">Redundancy pay entitlement (statutory / enhanced / contractual / discretionary) </w:t>
            </w:r>
          </w:p>
        </w:tc>
      </w:tr>
      <w:tr w:rsidR="009D3B50" w:rsidRPr="009D3B50" w14:paraId="361E6D71" w14:textId="77777777" w:rsidTr="002931FD">
        <w:tc>
          <w:tcPr>
            <w:tcW w:w="1413" w:type="dxa"/>
            <w:shd w:val="solid" w:color="CCECFF" w:fill="auto"/>
          </w:tcPr>
          <w:p w14:paraId="47B0AE63" w14:textId="77777777" w:rsidR="009D3B50" w:rsidRPr="009D3B50" w:rsidRDefault="009D3B50" w:rsidP="002931FD">
            <w:pPr>
              <w:pStyle w:val="StdBodyTextBold"/>
              <w:rPr>
                <w:rFonts w:cs="Arial"/>
                <w:sz w:val="22"/>
                <w:szCs w:val="22"/>
              </w:rPr>
            </w:pPr>
            <w:r w:rsidRPr="009D3B50">
              <w:rPr>
                <w:rFonts w:cs="Arial"/>
                <w:sz w:val="22"/>
                <w:szCs w:val="22"/>
              </w:rPr>
              <w:t>Emp No 1</w:t>
            </w:r>
          </w:p>
        </w:tc>
        <w:tc>
          <w:tcPr>
            <w:tcW w:w="1843" w:type="dxa"/>
          </w:tcPr>
          <w:p w14:paraId="601EEF8B" w14:textId="77777777" w:rsidR="009D3B50" w:rsidRPr="009D3B50" w:rsidRDefault="009D3B50" w:rsidP="002931FD">
            <w:pPr>
              <w:pStyle w:val="StdBodyText"/>
              <w:rPr>
                <w:rFonts w:cs="Arial"/>
                <w:sz w:val="22"/>
                <w:szCs w:val="22"/>
              </w:rPr>
            </w:pPr>
          </w:p>
        </w:tc>
        <w:tc>
          <w:tcPr>
            <w:tcW w:w="1842" w:type="dxa"/>
          </w:tcPr>
          <w:p w14:paraId="1DD890B3" w14:textId="77777777" w:rsidR="009D3B50" w:rsidRPr="009D3B50" w:rsidRDefault="009D3B50" w:rsidP="002931FD">
            <w:pPr>
              <w:pStyle w:val="StdBodyText"/>
              <w:rPr>
                <w:rFonts w:cs="Arial"/>
                <w:sz w:val="22"/>
                <w:szCs w:val="22"/>
              </w:rPr>
            </w:pPr>
          </w:p>
        </w:tc>
        <w:tc>
          <w:tcPr>
            <w:tcW w:w="2902" w:type="dxa"/>
          </w:tcPr>
          <w:p w14:paraId="1833D768" w14:textId="77777777" w:rsidR="009D3B50" w:rsidRPr="009D3B50" w:rsidRDefault="009D3B50" w:rsidP="002931FD">
            <w:pPr>
              <w:pStyle w:val="StdBodyText"/>
              <w:rPr>
                <w:rFonts w:cs="Arial"/>
                <w:sz w:val="22"/>
                <w:szCs w:val="22"/>
              </w:rPr>
            </w:pPr>
          </w:p>
        </w:tc>
        <w:tc>
          <w:tcPr>
            <w:tcW w:w="1995" w:type="dxa"/>
          </w:tcPr>
          <w:p w14:paraId="17DB62FC" w14:textId="77777777" w:rsidR="009D3B50" w:rsidRPr="009D3B50" w:rsidRDefault="009D3B50" w:rsidP="002931FD">
            <w:pPr>
              <w:pStyle w:val="StdBodyText"/>
              <w:rPr>
                <w:rFonts w:cs="Arial"/>
                <w:sz w:val="22"/>
                <w:szCs w:val="22"/>
              </w:rPr>
            </w:pPr>
          </w:p>
        </w:tc>
        <w:tc>
          <w:tcPr>
            <w:tcW w:w="1996" w:type="dxa"/>
          </w:tcPr>
          <w:p w14:paraId="56712BD9" w14:textId="77777777" w:rsidR="009D3B50" w:rsidRPr="009D3B50" w:rsidRDefault="009D3B50" w:rsidP="002931FD">
            <w:pPr>
              <w:pStyle w:val="StdBodyText"/>
              <w:rPr>
                <w:rFonts w:cs="Arial"/>
                <w:sz w:val="22"/>
                <w:szCs w:val="22"/>
              </w:rPr>
            </w:pPr>
          </w:p>
        </w:tc>
        <w:tc>
          <w:tcPr>
            <w:tcW w:w="1997" w:type="dxa"/>
          </w:tcPr>
          <w:p w14:paraId="4EABF68D" w14:textId="77777777" w:rsidR="009D3B50" w:rsidRPr="009D3B50" w:rsidRDefault="009D3B50" w:rsidP="002931FD">
            <w:pPr>
              <w:pStyle w:val="StdBodyText"/>
              <w:rPr>
                <w:rFonts w:cs="Arial"/>
                <w:sz w:val="22"/>
                <w:szCs w:val="22"/>
              </w:rPr>
            </w:pPr>
          </w:p>
        </w:tc>
      </w:tr>
      <w:tr w:rsidR="009D3B50" w:rsidRPr="009D3B50" w14:paraId="5B8A707F" w14:textId="77777777" w:rsidTr="002931FD">
        <w:tc>
          <w:tcPr>
            <w:tcW w:w="1413" w:type="dxa"/>
            <w:shd w:val="solid" w:color="CCECFF" w:fill="auto"/>
          </w:tcPr>
          <w:p w14:paraId="4859694F" w14:textId="77777777" w:rsidR="009D3B50" w:rsidRPr="009D3B50" w:rsidRDefault="009D3B50" w:rsidP="002931FD">
            <w:pPr>
              <w:pStyle w:val="StdBodyTextBold"/>
              <w:rPr>
                <w:rFonts w:cs="Arial"/>
                <w:sz w:val="22"/>
                <w:szCs w:val="22"/>
              </w:rPr>
            </w:pPr>
            <w:r w:rsidRPr="009D3B50">
              <w:rPr>
                <w:rFonts w:cs="Arial"/>
                <w:sz w:val="22"/>
                <w:szCs w:val="22"/>
              </w:rPr>
              <w:t>Emp No 2</w:t>
            </w:r>
          </w:p>
        </w:tc>
        <w:tc>
          <w:tcPr>
            <w:tcW w:w="1843" w:type="dxa"/>
          </w:tcPr>
          <w:p w14:paraId="2929CCB3" w14:textId="77777777" w:rsidR="009D3B50" w:rsidRPr="009D3B50" w:rsidRDefault="009D3B50" w:rsidP="002931FD">
            <w:pPr>
              <w:pStyle w:val="StdBodyText"/>
              <w:rPr>
                <w:rFonts w:cs="Arial"/>
                <w:sz w:val="22"/>
                <w:szCs w:val="22"/>
              </w:rPr>
            </w:pPr>
          </w:p>
        </w:tc>
        <w:tc>
          <w:tcPr>
            <w:tcW w:w="1842" w:type="dxa"/>
          </w:tcPr>
          <w:p w14:paraId="439EB011" w14:textId="77777777" w:rsidR="009D3B50" w:rsidRPr="009D3B50" w:rsidRDefault="009D3B50" w:rsidP="002931FD">
            <w:pPr>
              <w:pStyle w:val="StdBodyText"/>
              <w:rPr>
                <w:rFonts w:cs="Arial"/>
                <w:sz w:val="22"/>
                <w:szCs w:val="22"/>
              </w:rPr>
            </w:pPr>
          </w:p>
        </w:tc>
        <w:tc>
          <w:tcPr>
            <w:tcW w:w="2902" w:type="dxa"/>
          </w:tcPr>
          <w:p w14:paraId="39D54921" w14:textId="77777777" w:rsidR="009D3B50" w:rsidRPr="009D3B50" w:rsidRDefault="009D3B50" w:rsidP="002931FD">
            <w:pPr>
              <w:pStyle w:val="StdBodyText"/>
              <w:rPr>
                <w:rFonts w:cs="Arial"/>
                <w:sz w:val="22"/>
                <w:szCs w:val="22"/>
              </w:rPr>
            </w:pPr>
          </w:p>
        </w:tc>
        <w:tc>
          <w:tcPr>
            <w:tcW w:w="1995" w:type="dxa"/>
          </w:tcPr>
          <w:p w14:paraId="46633F5E" w14:textId="77777777" w:rsidR="009D3B50" w:rsidRPr="009D3B50" w:rsidRDefault="009D3B50" w:rsidP="002931FD">
            <w:pPr>
              <w:pStyle w:val="StdBodyText"/>
              <w:rPr>
                <w:rFonts w:cs="Arial"/>
                <w:sz w:val="22"/>
                <w:szCs w:val="22"/>
              </w:rPr>
            </w:pPr>
          </w:p>
        </w:tc>
        <w:tc>
          <w:tcPr>
            <w:tcW w:w="1996" w:type="dxa"/>
          </w:tcPr>
          <w:p w14:paraId="6882E4D1" w14:textId="77777777" w:rsidR="009D3B50" w:rsidRPr="009D3B50" w:rsidRDefault="009D3B50" w:rsidP="002931FD">
            <w:pPr>
              <w:pStyle w:val="StdBodyText"/>
              <w:rPr>
                <w:rFonts w:cs="Arial"/>
                <w:sz w:val="22"/>
                <w:szCs w:val="22"/>
              </w:rPr>
            </w:pPr>
          </w:p>
        </w:tc>
        <w:tc>
          <w:tcPr>
            <w:tcW w:w="1997" w:type="dxa"/>
          </w:tcPr>
          <w:p w14:paraId="009126CE" w14:textId="77777777" w:rsidR="009D3B50" w:rsidRPr="009D3B50" w:rsidRDefault="009D3B50" w:rsidP="002931FD">
            <w:pPr>
              <w:pStyle w:val="StdBodyText"/>
              <w:rPr>
                <w:rFonts w:cs="Arial"/>
                <w:sz w:val="22"/>
                <w:szCs w:val="22"/>
              </w:rPr>
            </w:pPr>
          </w:p>
        </w:tc>
      </w:tr>
      <w:tr w:rsidR="009D3B50" w:rsidRPr="009D3B50" w14:paraId="0AED92B4" w14:textId="77777777" w:rsidTr="002931FD">
        <w:tc>
          <w:tcPr>
            <w:tcW w:w="1413" w:type="dxa"/>
            <w:shd w:val="solid" w:color="CCECFF" w:fill="auto"/>
          </w:tcPr>
          <w:p w14:paraId="690A92CD" w14:textId="77777777" w:rsidR="009D3B50" w:rsidRPr="009D3B50" w:rsidRDefault="009D3B50" w:rsidP="002931FD">
            <w:pPr>
              <w:pStyle w:val="StdBodyTextBold"/>
              <w:rPr>
                <w:rFonts w:cs="Arial"/>
                <w:sz w:val="22"/>
                <w:szCs w:val="22"/>
              </w:rPr>
            </w:pPr>
            <w:r w:rsidRPr="009D3B50">
              <w:rPr>
                <w:rFonts w:cs="Arial"/>
                <w:sz w:val="22"/>
                <w:szCs w:val="22"/>
              </w:rPr>
              <w:t>Emp No</w:t>
            </w:r>
          </w:p>
        </w:tc>
        <w:tc>
          <w:tcPr>
            <w:tcW w:w="1843" w:type="dxa"/>
          </w:tcPr>
          <w:p w14:paraId="55AE9F88" w14:textId="77777777" w:rsidR="009D3B50" w:rsidRPr="009D3B50" w:rsidRDefault="009D3B50" w:rsidP="002931FD">
            <w:pPr>
              <w:pStyle w:val="StdBodyText"/>
              <w:rPr>
                <w:rFonts w:cs="Arial"/>
                <w:sz w:val="22"/>
                <w:szCs w:val="22"/>
              </w:rPr>
            </w:pPr>
          </w:p>
        </w:tc>
        <w:tc>
          <w:tcPr>
            <w:tcW w:w="1842" w:type="dxa"/>
          </w:tcPr>
          <w:p w14:paraId="272B152D" w14:textId="77777777" w:rsidR="009D3B50" w:rsidRPr="009D3B50" w:rsidRDefault="009D3B50" w:rsidP="002931FD">
            <w:pPr>
              <w:pStyle w:val="StdBodyText"/>
              <w:rPr>
                <w:rFonts w:cs="Arial"/>
                <w:sz w:val="22"/>
                <w:szCs w:val="22"/>
              </w:rPr>
            </w:pPr>
          </w:p>
        </w:tc>
        <w:tc>
          <w:tcPr>
            <w:tcW w:w="2902" w:type="dxa"/>
          </w:tcPr>
          <w:p w14:paraId="3AD820FC" w14:textId="77777777" w:rsidR="009D3B50" w:rsidRPr="009D3B50" w:rsidRDefault="009D3B50" w:rsidP="002931FD">
            <w:pPr>
              <w:pStyle w:val="StdBodyText"/>
              <w:rPr>
                <w:rFonts w:cs="Arial"/>
                <w:sz w:val="22"/>
                <w:szCs w:val="22"/>
              </w:rPr>
            </w:pPr>
          </w:p>
        </w:tc>
        <w:tc>
          <w:tcPr>
            <w:tcW w:w="1995" w:type="dxa"/>
          </w:tcPr>
          <w:p w14:paraId="107641E3" w14:textId="77777777" w:rsidR="009D3B50" w:rsidRPr="009D3B50" w:rsidRDefault="009D3B50" w:rsidP="002931FD">
            <w:pPr>
              <w:pStyle w:val="StdBodyText"/>
              <w:rPr>
                <w:rFonts w:cs="Arial"/>
                <w:sz w:val="22"/>
                <w:szCs w:val="22"/>
              </w:rPr>
            </w:pPr>
          </w:p>
        </w:tc>
        <w:tc>
          <w:tcPr>
            <w:tcW w:w="1996" w:type="dxa"/>
          </w:tcPr>
          <w:p w14:paraId="23CA48E1" w14:textId="77777777" w:rsidR="009D3B50" w:rsidRPr="009D3B50" w:rsidRDefault="009D3B50" w:rsidP="002931FD">
            <w:pPr>
              <w:pStyle w:val="StdBodyText"/>
              <w:rPr>
                <w:rFonts w:cs="Arial"/>
                <w:sz w:val="22"/>
                <w:szCs w:val="22"/>
              </w:rPr>
            </w:pPr>
          </w:p>
        </w:tc>
        <w:tc>
          <w:tcPr>
            <w:tcW w:w="1997" w:type="dxa"/>
          </w:tcPr>
          <w:p w14:paraId="225AA80C" w14:textId="77777777" w:rsidR="009D3B50" w:rsidRPr="009D3B50" w:rsidRDefault="009D3B50" w:rsidP="002931FD">
            <w:pPr>
              <w:pStyle w:val="StdBodyText"/>
              <w:rPr>
                <w:rFonts w:cs="Arial"/>
                <w:sz w:val="22"/>
                <w:szCs w:val="22"/>
              </w:rPr>
            </w:pPr>
          </w:p>
        </w:tc>
      </w:tr>
      <w:tr w:rsidR="009D3B50" w:rsidRPr="009D3B50" w14:paraId="280DEAB2" w14:textId="77777777" w:rsidTr="002931FD">
        <w:tc>
          <w:tcPr>
            <w:tcW w:w="1413" w:type="dxa"/>
            <w:shd w:val="solid" w:color="CCECFF" w:fill="auto"/>
          </w:tcPr>
          <w:p w14:paraId="5721BBA9" w14:textId="77777777" w:rsidR="009D3B50" w:rsidRPr="009D3B50" w:rsidRDefault="009D3B50" w:rsidP="002931FD">
            <w:pPr>
              <w:pStyle w:val="StdBodyTextBold"/>
              <w:rPr>
                <w:rFonts w:cs="Arial"/>
                <w:sz w:val="22"/>
                <w:szCs w:val="22"/>
              </w:rPr>
            </w:pPr>
            <w:r w:rsidRPr="009D3B50">
              <w:rPr>
                <w:rFonts w:cs="Arial"/>
                <w:sz w:val="22"/>
                <w:szCs w:val="22"/>
              </w:rPr>
              <w:t>Emp No</w:t>
            </w:r>
          </w:p>
        </w:tc>
        <w:tc>
          <w:tcPr>
            <w:tcW w:w="1843" w:type="dxa"/>
          </w:tcPr>
          <w:p w14:paraId="44292C0B" w14:textId="77777777" w:rsidR="009D3B50" w:rsidRPr="009D3B50" w:rsidRDefault="009D3B50" w:rsidP="002931FD">
            <w:pPr>
              <w:pStyle w:val="StdBodyText"/>
              <w:rPr>
                <w:rFonts w:cs="Arial"/>
                <w:sz w:val="22"/>
                <w:szCs w:val="22"/>
              </w:rPr>
            </w:pPr>
          </w:p>
        </w:tc>
        <w:tc>
          <w:tcPr>
            <w:tcW w:w="1842" w:type="dxa"/>
          </w:tcPr>
          <w:p w14:paraId="7A8B802D" w14:textId="77777777" w:rsidR="009D3B50" w:rsidRPr="009D3B50" w:rsidRDefault="009D3B50" w:rsidP="002931FD">
            <w:pPr>
              <w:pStyle w:val="StdBodyText"/>
              <w:rPr>
                <w:rFonts w:cs="Arial"/>
                <w:sz w:val="22"/>
                <w:szCs w:val="22"/>
              </w:rPr>
            </w:pPr>
          </w:p>
        </w:tc>
        <w:tc>
          <w:tcPr>
            <w:tcW w:w="2902" w:type="dxa"/>
          </w:tcPr>
          <w:p w14:paraId="54C14AEA" w14:textId="77777777" w:rsidR="009D3B50" w:rsidRPr="009D3B50" w:rsidRDefault="009D3B50" w:rsidP="002931FD">
            <w:pPr>
              <w:pStyle w:val="StdBodyText"/>
              <w:rPr>
                <w:rFonts w:cs="Arial"/>
                <w:sz w:val="22"/>
                <w:szCs w:val="22"/>
              </w:rPr>
            </w:pPr>
          </w:p>
        </w:tc>
        <w:tc>
          <w:tcPr>
            <w:tcW w:w="1995" w:type="dxa"/>
          </w:tcPr>
          <w:p w14:paraId="1663C38F" w14:textId="77777777" w:rsidR="009D3B50" w:rsidRPr="009D3B50" w:rsidRDefault="009D3B50" w:rsidP="002931FD">
            <w:pPr>
              <w:pStyle w:val="StdBodyText"/>
              <w:rPr>
                <w:rFonts w:cs="Arial"/>
                <w:sz w:val="22"/>
                <w:szCs w:val="22"/>
              </w:rPr>
            </w:pPr>
          </w:p>
        </w:tc>
        <w:tc>
          <w:tcPr>
            <w:tcW w:w="1996" w:type="dxa"/>
          </w:tcPr>
          <w:p w14:paraId="0C52028B" w14:textId="77777777" w:rsidR="009D3B50" w:rsidRPr="009D3B50" w:rsidRDefault="009D3B50" w:rsidP="002931FD">
            <w:pPr>
              <w:pStyle w:val="StdBodyText"/>
              <w:rPr>
                <w:rFonts w:cs="Arial"/>
                <w:sz w:val="22"/>
                <w:szCs w:val="22"/>
              </w:rPr>
            </w:pPr>
          </w:p>
        </w:tc>
        <w:tc>
          <w:tcPr>
            <w:tcW w:w="1997" w:type="dxa"/>
          </w:tcPr>
          <w:p w14:paraId="41384DD0" w14:textId="77777777" w:rsidR="009D3B50" w:rsidRPr="009D3B50" w:rsidRDefault="009D3B50" w:rsidP="002931FD">
            <w:pPr>
              <w:pStyle w:val="StdBodyText"/>
              <w:rPr>
                <w:rFonts w:cs="Arial"/>
                <w:sz w:val="22"/>
                <w:szCs w:val="22"/>
              </w:rPr>
            </w:pPr>
          </w:p>
        </w:tc>
      </w:tr>
      <w:tr w:rsidR="009D3B50" w:rsidRPr="009D3B50" w14:paraId="50DD965F" w14:textId="77777777" w:rsidTr="002931FD">
        <w:tc>
          <w:tcPr>
            <w:tcW w:w="1413" w:type="dxa"/>
            <w:shd w:val="solid" w:color="CCECFF" w:fill="auto"/>
          </w:tcPr>
          <w:p w14:paraId="38F1891A" w14:textId="77777777" w:rsidR="009D3B50" w:rsidRPr="009D3B50" w:rsidRDefault="009D3B50" w:rsidP="002931FD">
            <w:pPr>
              <w:pStyle w:val="StdBodyTextBold"/>
              <w:rPr>
                <w:rFonts w:cs="Arial"/>
                <w:sz w:val="22"/>
                <w:szCs w:val="22"/>
              </w:rPr>
            </w:pPr>
            <w:r w:rsidRPr="009D3B50">
              <w:rPr>
                <w:rFonts w:cs="Arial"/>
                <w:sz w:val="22"/>
                <w:szCs w:val="22"/>
              </w:rPr>
              <w:t>Emp No</w:t>
            </w:r>
          </w:p>
        </w:tc>
        <w:tc>
          <w:tcPr>
            <w:tcW w:w="1843" w:type="dxa"/>
          </w:tcPr>
          <w:p w14:paraId="25258D81" w14:textId="77777777" w:rsidR="009D3B50" w:rsidRPr="009D3B50" w:rsidRDefault="009D3B50" w:rsidP="002931FD">
            <w:pPr>
              <w:pStyle w:val="StdBodyText"/>
              <w:rPr>
                <w:rFonts w:cs="Arial"/>
                <w:sz w:val="22"/>
                <w:szCs w:val="22"/>
              </w:rPr>
            </w:pPr>
          </w:p>
        </w:tc>
        <w:tc>
          <w:tcPr>
            <w:tcW w:w="1842" w:type="dxa"/>
          </w:tcPr>
          <w:p w14:paraId="2CB24649" w14:textId="77777777" w:rsidR="009D3B50" w:rsidRPr="009D3B50" w:rsidRDefault="009D3B50" w:rsidP="002931FD">
            <w:pPr>
              <w:pStyle w:val="StdBodyText"/>
              <w:rPr>
                <w:rFonts w:cs="Arial"/>
                <w:sz w:val="22"/>
                <w:szCs w:val="22"/>
              </w:rPr>
            </w:pPr>
          </w:p>
        </w:tc>
        <w:tc>
          <w:tcPr>
            <w:tcW w:w="2902" w:type="dxa"/>
          </w:tcPr>
          <w:p w14:paraId="4E3F2FBE" w14:textId="77777777" w:rsidR="009D3B50" w:rsidRPr="009D3B50" w:rsidRDefault="009D3B50" w:rsidP="002931FD">
            <w:pPr>
              <w:pStyle w:val="StdBodyText"/>
              <w:rPr>
                <w:rFonts w:cs="Arial"/>
                <w:sz w:val="22"/>
                <w:szCs w:val="22"/>
              </w:rPr>
            </w:pPr>
          </w:p>
        </w:tc>
        <w:tc>
          <w:tcPr>
            <w:tcW w:w="1995" w:type="dxa"/>
          </w:tcPr>
          <w:p w14:paraId="691761F7" w14:textId="77777777" w:rsidR="009D3B50" w:rsidRPr="009D3B50" w:rsidRDefault="009D3B50" w:rsidP="002931FD">
            <w:pPr>
              <w:pStyle w:val="StdBodyText"/>
              <w:rPr>
                <w:rFonts w:cs="Arial"/>
                <w:sz w:val="22"/>
                <w:szCs w:val="22"/>
              </w:rPr>
            </w:pPr>
          </w:p>
        </w:tc>
        <w:tc>
          <w:tcPr>
            <w:tcW w:w="1996" w:type="dxa"/>
          </w:tcPr>
          <w:p w14:paraId="411627AF" w14:textId="77777777" w:rsidR="009D3B50" w:rsidRPr="009D3B50" w:rsidRDefault="009D3B50" w:rsidP="002931FD">
            <w:pPr>
              <w:pStyle w:val="StdBodyText"/>
              <w:rPr>
                <w:rFonts w:cs="Arial"/>
                <w:sz w:val="22"/>
                <w:szCs w:val="22"/>
              </w:rPr>
            </w:pPr>
          </w:p>
        </w:tc>
        <w:tc>
          <w:tcPr>
            <w:tcW w:w="1997" w:type="dxa"/>
          </w:tcPr>
          <w:p w14:paraId="09FD2E15" w14:textId="77777777" w:rsidR="009D3B50" w:rsidRPr="009D3B50" w:rsidRDefault="009D3B50" w:rsidP="002931FD">
            <w:pPr>
              <w:pStyle w:val="StdBodyText"/>
              <w:rPr>
                <w:rFonts w:cs="Arial"/>
                <w:sz w:val="22"/>
                <w:szCs w:val="22"/>
              </w:rPr>
            </w:pPr>
          </w:p>
        </w:tc>
      </w:tr>
      <w:tr w:rsidR="009D3B50" w:rsidRPr="009D3B50" w14:paraId="04A3C65F" w14:textId="77777777" w:rsidTr="002931FD">
        <w:tc>
          <w:tcPr>
            <w:tcW w:w="1413" w:type="dxa"/>
            <w:shd w:val="solid" w:color="CCECFF" w:fill="auto"/>
          </w:tcPr>
          <w:p w14:paraId="5FDEA3EF" w14:textId="77777777" w:rsidR="009D3B50" w:rsidRPr="009D3B50" w:rsidRDefault="009D3B50" w:rsidP="002931FD">
            <w:pPr>
              <w:pStyle w:val="StdBodyTextBold"/>
              <w:rPr>
                <w:rFonts w:cs="Arial"/>
                <w:sz w:val="22"/>
                <w:szCs w:val="22"/>
              </w:rPr>
            </w:pPr>
            <w:r w:rsidRPr="009D3B50">
              <w:rPr>
                <w:rFonts w:cs="Arial"/>
                <w:sz w:val="22"/>
                <w:szCs w:val="22"/>
              </w:rPr>
              <w:t>Emp No</w:t>
            </w:r>
          </w:p>
        </w:tc>
        <w:tc>
          <w:tcPr>
            <w:tcW w:w="1843" w:type="dxa"/>
          </w:tcPr>
          <w:p w14:paraId="7B43F777" w14:textId="77777777" w:rsidR="009D3B50" w:rsidRPr="009D3B50" w:rsidRDefault="009D3B50" w:rsidP="002931FD">
            <w:pPr>
              <w:pStyle w:val="StdBodyText"/>
              <w:rPr>
                <w:rFonts w:cs="Arial"/>
                <w:sz w:val="22"/>
                <w:szCs w:val="22"/>
              </w:rPr>
            </w:pPr>
          </w:p>
        </w:tc>
        <w:tc>
          <w:tcPr>
            <w:tcW w:w="1842" w:type="dxa"/>
          </w:tcPr>
          <w:p w14:paraId="797982CB" w14:textId="77777777" w:rsidR="009D3B50" w:rsidRPr="009D3B50" w:rsidRDefault="009D3B50" w:rsidP="002931FD">
            <w:pPr>
              <w:pStyle w:val="StdBodyText"/>
              <w:rPr>
                <w:rFonts w:cs="Arial"/>
                <w:sz w:val="22"/>
                <w:szCs w:val="22"/>
              </w:rPr>
            </w:pPr>
          </w:p>
        </w:tc>
        <w:tc>
          <w:tcPr>
            <w:tcW w:w="2902" w:type="dxa"/>
          </w:tcPr>
          <w:p w14:paraId="459B9B9C" w14:textId="77777777" w:rsidR="009D3B50" w:rsidRPr="009D3B50" w:rsidRDefault="009D3B50" w:rsidP="002931FD">
            <w:pPr>
              <w:pStyle w:val="StdBodyText"/>
              <w:rPr>
                <w:rFonts w:cs="Arial"/>
                <w:sz w:val="22"/>
                <w:szCs w:val="22"/>
              </w:rPr>
            </w:pPr>
          </w:p>
        </w:tc>
        <w:tc>
          <w:tcPr>
            <w:tcW w:w="1995" w:type="dxa"/>
          </w:tcPr>
          <w:p w14:paraId="7DAD7EDE" w14:textId="77777777" w:rsidR="009D3B50" w:rsidRPr="009D3B50" w:rsidRDefault="009D3B50" w:rsidP="002931FD">
            <w:pPr>
              <w:pStyle w:val="StdBodyText"/>
              <w:rPr>
                <w:rFonts w:cs="Arial"/>
                <w:sz w:val="22"/>
                <w:szCs w:val="22"/>
              </w:rPr>
            </w:pPr>
          </w:p>
        </w:tc>
        <w:tc>
          <w:tcPr>
            <w:tcW w:w="1996" w:type="dxa"/>
          </w:tcPr>
          <w:p w14:paraId="03E90AA1" w14:textId="77777777" w:rsidR="009D3B50" w:rsidRPr="009D3B50" w:rsidRDefault="009D3B50" w:rsidP="002931FD">
            <w:pPr>
              <w:pStyle w:val="StdBodyText"/>
              <w:rPr>
                <w:rFonts w:cs="Arial"/>
                <w:sz w:val="22"/>
                <w:szCs w:val="22"/>
              </w:rPr>
            </w:pPr>
          </w:p>
        </w:tc>
        <w:tc>
          <w:tcPr>
            <w:tcW w:w="1997" w:type="dxa"/>
          </w:tcPr>
          <w:p w14:paraId="1E497F42" w14:textId="77777777" w:rsidR="009D3B50" w:rsidRPr="009D3B50" w:rsidRDefault="009D3B50" w:rsidP="002931FD">
            <w:pPr>
              <w:pStyle w:val="StdBodyText"/>
              <w:rPr>
                <w:rFonts w:cs="Arial"/>
                <w:sz w:val="22"/>
                <w:szCs w:val="22"/>
              </w:rPr>
            </w:pPr>
          </w:p>
        </w:tc>
      </w:tr>
      <w:tr w:rsidR="009D3B50" w:rsidRPr="009D3B50" w14:paraId="6670EA80" w14:textId="77777777" w:rsidTr="002931FD">
        <w:tc>
          <w:tcPr>
            <w:tcW w:w="1413" w:type="dxa"/>
            <w:shd w:val="solid" w:color="CCECFF" w:fill="auto"/>
          </w:tcPr>
          <w:p w14:paraId="19FDD141" w14:textId="77777777" w:rsidR="009D3B50" w:rsidRPr="009D3B50" w:rsidRDefault="009D3B50" w:rsidP="002931FD">
            <w:pPr>
              <w:pStyle w:val="StdBodyTextBold"/>
              <w:rPr>
                <w:rFonts w:cs="Arial"/>
                <w:sz w:val="22"/>
                <w:szCs w:val="22"/>
              </w:rPr>
            </w:pPr>
            <w:r w:rsidRPr="009D3B50">
              <w:rPr>
                <w:rFonts w:cs="Arial"/>
                <w:sz w:val="22"/>
                <w:szCs w:val="22"/>
              </w:rPr>
              <w:t>Emp No</w:t>
            </w:r>
          </w:p>
        </w:tc>
        <w:tc>
          <w:tcPr>
            <w:tcW w:w="1843" w:type="dxa"/>
          </w:tcPr>
          <w:p w14:paraId="39515A91" w14:textId="77777777" w:rsidR="009D3B50" w:rsidRPr="009D3B50" w:rsidRDefault="009D3B50" w:rsidP="002931FD">
            <w:pPr>
              <w:pStyle w:val="StdBodyText"/>
              <w:rPr>
                <w:rFonts w:cs="Arial"/>
                <w:sz w:val="22"/>
                <w:szCs w:val="22"/>
              </w:rPr>
            </w:pPr>
          </w:p>
        </w:tc>
        <w:tc>
          <w:tcPr>
            <w:tcW w:w="1842" w:type="dxa"/>
          </w:tcPr>
          <w:p w14:paraId="010C501C" w14:textId="77777777" w:rsidR="009D3B50" w:rsidRPr="009D3B50" w:rsidRDefault="009D3B50" w:rsidP="002931FD">
            <w:pPr>
              <w:pStyle w:val="StdBodyText"/>
              <w:rPr>
                <w:rFonts w:cs="Arial"/>
                <w:sz w:val="22"/>
                <w:szCs w:val="22"/>
              </w:rPr>
            </w:pPr>
          </w:p>
        </w:tc>
        <w:tc>
          <w:tcPr>
            <w:tcW w:w="2902" w:type="dxa"/>
          </w:tcPr>
          <w:p w14:paraId="5069F712" w14:textId="77777777" w:rsidR="009D3B50" w:rsidRPr="009D3B50" w:rsidRDefault="009D3B50" w:rsidP="002931FD">
            <w:pPr>
              <w:pStyle w:val="StdBodyText"/>
              <w:rPr>
                <w:rFonts w:cs="Arial"/>
                <w:sz w:val="22"/>
                <w:szCs w:val="22"/>
              </w:rPr>
            </w:pPr>
          </w:p>
        </w:tc>
        <w:tc>
          <w:tcPr>
            <w:tcW w:w="1995" w:type="dxa"/>
          </w:tcPr>
          <w:p w14:paraId="0C385086" w14:textId="77777777" w:rsidR="009D3B50" w:rsidRPr="009D3B50" w:rsidRDefault="009D3B50" w:rsidP="002931FD">
            <w:pPr>
              <w:pStyle w:val="StdBodyText"/>
              <w:rPr>
                <w:rFonts w:cs="Arial"/>
                <w:sz w:val="22"/>
                <w:szCs w:val="22"/>
              </w:rPr>
            </w:pPr>
          </w:p>
        </w:tc>
        <w:tc>
          <w:tcPr>
            <w:tcW w:w="1996" w:type="dxa"/>
          </w:tcPr>
          <w:p w14:paraId="6775E198" w14:textId="77777777" w:rsidR="009D3B50" w:rsidRPr="009D3B50" w:rsidRDefault="009D3B50" w:rsidP="002931FD">
            <w:pPr>
              <w:pStyle w:val="StdBodyText"/>
              <w:rPr>
                <w:rFonts w:cs="Arial"/>
                <w:sz w:val="22"/>
                <w:szCs w:val="22"/>
              </w:rPr>
            </w:pPr>
          </w:p>
        </w:tc>
        <w:tc>
          <w:tcPr>
            <w:tcW w:w="1997" w:type="dxa"/>
          </w:tcPr>
          <w:p w14:paraId="305C77E9" w14:textId="77777777" w:rsidR="009D3B50" w:rsidRPr="009D3B50" w:rsidRDefault="009D3B50" w:rsidP="002931FD">
            <w:pPr>
              <w:pStyle w:val="StdBodyText"/>
              <w:rPr>
                <w:rFonts w:cs="Arial"/>
                <w:sz w:val="22"/>
                <w:szCs w:val="22"/>
              </w:rPr>
            </w:pPr>
          </w:p>
        </w:tc>
      </w:tr>
    </w:tbl>
    <w:p w14:paraId="14E12DEF" w14:textId="77777777" w:rsidR="009D3B50" w:rsidRPr="009D3B50" w:rsidRDefault="009D3B50" w:rsidP="009D3B50">
      <w:pPr>
        <w:pStyle w:val="StdBodyText"/>
        <w:rPr>
          <w:rFonts w:cs="Arial"/>
          <w:sz w:val="22"/>
          <w:szCs w:val="22"/>
        </w:rPr>
      </w:pPr>
      <w:r w:rsidRPr="009D3B50">
        <w:rPr>
          <w:rFonts w:cs="Arial"/>
          <w:sz w:val="22"/>
          <w:szCs w:val="22"/>
        </w:rPr>
        <w:br w:type="page"/>
      </w:r>
    </w:p>
    <w:tbl>
      <w:tblPr>
        <w:tblStyle w:val="TableGrid"/>
        <w:tblW w:w="0" w:type="auto"/>
        <w:tblLook w:val="04A0" w:firstRow="1" w:lastRow="0" w:firstColumn="1" w:lastColumn="0" w:noHBand="0" w:noVBand="1"/>
      </w:tblPr>
      <w:tblGrid>
        <w:gridCol w:w="881"/>
        <w:gridCol w:w="1401"/>
        <w:gridCol w:w="1401"/>
        <w:gridCol w:w="995"/>
        <w:gridCol w:w="1468"/>
        <w:gridCol w:w="1468"/>
        <w:gridCol w:w="1401"/>
      </w:tblGrid>
      <w:tr w:rsidR="009D3B50" w:rsidRPr="009D3B50" w14:paraId="46F4379D" w14:textId="77777777" w:rsidTr="002931FD">
        <w:tc>
          <w:tcPr>
            <w:tcW w:w="1418" w:type="dxa"/>
            <w:tcBorders>
              <w:top w:val="nil"/>
              <w:left w:val="nil"/>
              <w:bottom w:val="single" w:sz="4" w:space="0" w:color="auto"/>
            </w:tcBorders>
          </w:tcPr>
          <w:p w14:paraId="1DABDFDA" w14:textId="77777777" w:rsidR="009D3B50" w:rsidRPr="009D3B50" w:rsidRDefault="009D3B50" w:rsidP="002931FD">
            <w:pPr>
              <w:pStyle w:val="StdBodyText"/>
              <w:rPr>
                <w:rFonts w:cs="Arial"/>
                <w:sz w:val="22"/>
                <w:szCs w:val="22"/>
              </w:rPr>
            </w:pPr>
          </w:p>
        </w:tc>
        <w:tc>
          <w:tcPr>
            <w:tcW w:w="12570" w:type="dxa"/>
            <w:gridSpan w:val="6"/>
            <w:shd w:val="solid" w:color="C2D69B" w:themeColor="accent3" w:themeTint="99" w:fill="auto"/>
          </w:tcPr>
          <w:p w14:paraId="65B7603F" w14:textId="77777777" w:rsidR="009D3B50" w:rsidRPr="009D3B50" w:rsidRDefault="009D3B50" w:rsidP="002931FD">
            <w:pPr>
              <w:pStyle w:val="StdBodyTextBold"/>
              <w:rPr>
                <w:rFonts w:cs="Arial"/>
                <w:sz w:val="22"/>
                <w:szCs w:val="22"/>
              </w:rPr>
            </w:pPr>
            <w:r w:rsidRPr="009D3B50">
              <w:rPr>
                <w:rFonts w:cs="Arial"/>
                <w:sz w:val="22"/>
                <w:szCs w:val="22"/>
              </w:rPr>
              <w:t>PENSIONS</w:t>
            </w:r>
          </w:p>
        </w:tc>
      </w:tr>
      <w:tr w:rsidR="009D3B50" w:rsidRPr="009D3B50" w14:paraId="50BAF8A0" w14:textId="77777777" w:rsidTr="002931FD">
        <w:tc>
          <w:tcPr>
            <w:tcW w:w="1418" w:type="dxa"/>
            <w:shd w:val="solid" w:color="CCECFF" w:fill="auto"/>
            <w:vAlign w:val="center"/>
          </w:tcPr>
          <w:p w14:paraId="22065D00" w14:textId="77777777" w:rsidR="009D3B50" w:rsidRPr="009D3B50" w:rsidRDefault="009D3B50" w:rsidP="002931FD">
            <w:pPr>
              <w:pStyle w:val="StdBodyTextBold"/>
              <w:rPr>
                <w:rFonts w:cs="Arial"/>
                <w:sz w:val="22"/>
                <w:szCs w:val="22"/>
              </w:rPr>
            </w:pPr>
            <w:r w:rsidRPr="009D3B50">
              <w:rPr>
                <w:rFonts w:cs="Arial"/>
                <w:sz w:val="22"/>
                <w:szCs w:val="22"/>
              </w:rPr>
              <w:t>Details</w:t>
            </w:r>
          </w:p>
        </w:tc>
        <w:tc>
          <w:tcPr>
            <w:tcW w:w="1701" w:type="dxa"/>
            <w:shd w:val="solid" w:color="C2D69B" w:themeColor="accent3" w:themeTint="99" w:fill="auto"/>
            <w:vAlign w:val="center"/>
          </w:tcPr>
          <w:p w14:paraId="692A901B" w14:textId="77777777" w:rsidR="009D3B50" w:rsidRPr="009D3B50" w:rsidRDefault="009D3B50" w:rsidP="002931FD">
            <w:pPr>
              <w:pStyle w:val="StdBodyTextBold"/>
              <w:rPr>
                <w:rFonts w:cs="Arial"/>
                <w:sz w:val="22"/>
                <w:szCs w:val="22"/>
              </w:rPr>
            </w:pPr>
            <w:r w:rsidRPr="009D3B50">
              <w:rPr>
                <w:rFonts w:cs="Arial"/>
                <w:sz w:val="22"/>
                <w:szCs w:val="22"/>
              </w:rPr>
              <w:t>Employee pension contribution rate</w:t>
            </w:r>
          </w:p>
        </w:tc>
        <w:tc>
          <w:tcPr>
            <w:tcW w:w="1559" w:type="dxa"/>
            <w:shd w:val="solid" w:color="C2D69B" w:themeColor="accent3" w:themeTint="99" w:fill="auto"/>
            <w:vAlign w:val="center"/>
          </w:tcPr>
          <w:p w14:paraId="20E7441C" w14:textId="77777777" w:rsidR="009D3B50" w:rsidRPr="009D3B50" w:rsidRDefault="009D3B50" w:rsidP="002931FD">
            <w:pPr>
              <w:pStyle w:val="StdBodyTextBold"/>
              <w:rPr>
                <w:rFonts w:cs="Arial"/>
                <w:sz w:val="22"/>
                <w:szCs w:val="22"/>
              </w:rPr>
            </w:pPr>
            <w:r w:rsidRPr="009D3B50">
              <w:rPr>
                <w:rFonts w:cs="Arial"/>
                <w:sz w:val="22"/>
                <w:szCs w:val="22"/>
              </w:rPr>
              <w:t>Employer pension contribution rate</w:t>
            </w:r>
          </w:p>
        </w:tc>
        <w:tc>
          <w:tcPr>
            <w:tcW w:w="1701" w:type="dxa"/>
            <w:shd w:val="solid" w:color="C2D69B" w:themeColor="accent3" w:themeTint="99" w:fill="auto"/>
            <w:vAlign w:val="center"/>
          </w:tcPr>
          <w:p w14:paraId="632CBA04" w14:textId="77777777" w:rsidR="009D3B50" w:rsidRPr="009D3B50" w:rsidRDefault="009D3B50" w:rsidP="002931FD">
            <w:pPr>
              <w:pStyle w:val="StdBodyTextBold"/>
              <w:rPr>
                <w:rFonts w:cs="Arial"/>
                <w:sz w:val="22"/>
                <w:szCs w:val="22"/>
              </w:rPr>
            </w:pPr>
            <w:r w:rsidRPr="009D3B50">
              <w:rPr>
                <w:rFonts w:cs="Arial"/>
                <w:sz w:val="22"/>
                <w:szCs w:val="22"/>
              </w:rPr>
              <w:t>Please provide the name of the pension scheme and a link to the pension scheme website</w:t>
            </w:r>
          </w:p>
        </w:tc>
        <w:tc>
          <w:tcPr>
            <w:tcW w:w="1985" w:type="dxa"/>
            <w:shd w:val="solid" w:color="C2D69B" w:themeColor="accent3" w:themeTint="99" w:fill="auto"/>
            <w:vAlign w:val="center"/>
          </w:tcPr>
          <w:p w14:paraId="45E90F1C" w14:textId="77777777" w:rsidR="009D3B50" w:rsidRPr="009D3B50" w:rsidRDefault="009D3B50" w:rsidP="002931FD">
            <w:pPr>
              <w:pStyle w:val="StdBodyTextBold"/>
              <w:rPr>
                <w:rFonts w:cs="Arial"/>
                <w:sz w:val="22"/>
                <w:szCs w:val="22"/>
              </w:rPr>
            </w:pPr>
            <w:r w:rsidRPr="009D3B50">
              <w:rPr>
                <w:rFonts w:cs="Arial"/>
                <w:sz w:val="22"/>
                <w:szCs w:val="22"/>
              </w:rPr>
              <w:t>Is the scheme an occupational pension scheme as defined in the Pension Schemes Act 1993?</w:t>
            </w:r>
          </w:p>
        </w:tc>
        <w:tc>
          <w:tcPr>
            <w:tcW w:w="2126" w:type="dxa"/>
            <w:shd w:val="solid" w:color="C2D69B" w:themeColor="accent3" w:themeTint="99" w:fill="auto"/>
            <w:vAlign w:val="center"/>
          </w:tcPr>
          <w:p w14:paraId="18F56EFB" w14:textId="77777777" w:rsidR="009D3B50" w:rsidRPr="009D3B50" w:rsidRDefault="009D3B50" w:rsidP="002931FD">
            <w:pPr>
              <w:pStyle w:val="StdBodyTextBold"/>
              <w:rPr>
                <w:rFonts w:cs="Arial"/>
                <w:sz w:val="22"/>
                <w:szCs w:val="22"/>
              </w:rPr>
            </w:pPr>
            <w:r w:rsidRPr="009D3B50">
              <w:rPr>
                <w:rFonts w:cs="Arial"/>
                <w:sz w:val="22"/>
                <w:szCs w:val="22"/>
              </w:rPr>
              <w:t>If the scheme is not an occupational pension scheme, what type of scheme is it? E.g. personal pension scheme?</w:t>
            </w:r>
          </w:p>
        </w:tc>
        <w:tc>
          <w:tcPr>
            <w:tcW w:w="3498" w:type="dxa"/>
            <w:shd w:val="solid" w:color="C2D69B" w:themeColor="accent3" w:themeTint="99" w:fill="auto"/>
            <w:vAlign w:val="center"/>
          </w:tcPr>
          <w:p w14:paraId="1AAF4371" w14:textId="77777777" w:rsidR="009D3B50" w:rsidRPr="009D3B50" w:rsidRDefault="009D3B50" w:rsidP="002931FD">
            <w:pPr>
              <w:pStyle w:val="StdBodyTextBold"/>
              <w:rPr>
                <w:rFonts w:cs="Arial"/>
                <w:sz w:val="22"/>
                <w:szCs w:val="22"/>
              </w:rPr>
            </w:pPr>
            <w:r w:rsidRPr="009D3B50">
              <w:rPr>
                <w:rFonts w:cs="Arial"/>
                <w:sz w:val="22"/>
                <w:szCs w:val="22"/>
              </w:rPr>
              <w:t>Type of pension provision e.g. defined benefit (CARE or final salary, and whether a public sector scheme e.g. CSPS, NHSPS, LGPS etc. or a broadly comparable scheme) or a defined contribution scheme or an auto enrolment master trust?</w:t>
            </w:r>
          </w:p>
        </w:tc>
      </w:tr>
      <w:tr w:rsidR="009D3B50" w:rsidRPr="009D3B50" w14:paraId="6ABFD4C0" w14:textId="77777777" w:rsidTr="002931FD">
        <w:tc>
          <w:tcPr>
            <w:tcW w:w="1418" w:type="dxa"/>
            <w:shd w:val="solid" w:color="CCECFF" w:fill="auto"/>
          </w:tcPr>
          <w:p w14:paraId="2FE10345" w14:textId="77777777" w:rsidR="009D3B50" w:rsidRPr="009D3B50" w:rsidRDefault="009D3B50" w:rsidP="002931FD">
            <w:pPr>
              <w:pStyle w:val="StdBodyTextBold"/>
              <w:rPr>
                <w:rFonts w:cs="Arial"/>
                <w:sz w:val="22"/>
                <w:szCs w:val="22"/>
              </w:rPr>
            </w:pPr>
            <w:r w:rsidRPr="009D3B50">
              <w:rPr>
                <w:rFonts w:cs="Arial"/>
                <w:sz w:val="22"/>
                <w:szCs w:val="22"/>
              </w:rPr>
              <w:t>Emp No 1</w:t>
            </w:r>
          </w:p>
        </w:tc>
        <w:tc>
          <w:tcPr>
            <w:tcW w:w="1701" w:type="dxa"/>
          </w:tcPr>
          <w:p w14:paraId="66472C2E" w14:textId="77777777" w:rsidR="009D3B50" w:rsidRPr="009D3B50" w:rsidRDefault="009D3B50" w:rsidP="002931FD">
            <w:pPr>
              <w:pStyle w:val="StdBodyText"/>
              <w:rPr>
                <w:rFonts w:cs="Arial"/>
                <w:sz w:val="22"/>
                <w:szCs w:val="22"/>
              </w:rPr>
            </w:pPr>
          </w:p>
        </w:tc>
        <w:tc>
          <w:tcPr>
            <w:tcW w:w="1559" w:type="dxa"/>
          </w:tcPr>
          <w:p w14:paraId="5376D0CE" w14:textId="77777777" w:rsidR="009D3B50" w:rsidRPr="009D3B50" w:rsidRDefault="009D3B50" w:rsidP="002931FD">
            <w:pPr>
              <w:pStyle w:val="StdBodyText"/>
              <w:rPr>
                <w:rFonts w:cs="Arial"/>
                <w:sz w:val="22"/>
                <w:szCs w:val="22"/>
              </w:rPr>
            </w:pPr>
          </w:p>
        </w:tc>
        <w:tc>
          <w:tcPr>
            <w:tcW w:w="1701" w:type="dxa"/>
          </w:tcPr>
          <w:p w14:paraId="10353E7D" w14:textId="77777777" w:rsidR="009D3B50" w:rsidRPr="009D3B50" w:rsidRDefault="009D3B50" w:rsidP="002931FD">
            <w:pPr>
              <w:pStyle w:val="StdBodyText"/>
              <w:rPr>
                <w:rFonts w:cs="Arial"/>
                <w:sz w:val="22"/>
                <w:szCs w:val="22"/>
              </w:rPr>
            </w:pPr>
          </w:p>
        </w:tc>
        <w:tc>
          <w:tcPr>
            <w:tcW w:w="1985" w:type="dxa"/>
          </w:tcPr>
          <w:p w14:paraId="65AAF81B" w14:textId="77777777" w:rsidR="009D3B50" w:rsidRPr="009D3B50" w:rsidRDefault="009D3B50" w:rsidP="002931FD">
            <w:pPr>
              <w:pStyle w:val="StdBodyText"/>
              <w:rPr>
                <w:rFonts w:cs="Arial"/>
                <w:sz w:val="22"/>
                <w:szCs w:val="22"/>
              </w:rPr>
            </w:pPr>
          </w:p>
        </w:tc>
        <w:tc>
          <w:tcPr>
            <w:tcW w:w="2126" w:type="dxa"/>
          </w:tcPr>
          <w:p w14:paraId="6AFD1493" w14:textId="77777777" w:rsidR="009D3B50" w:rsidRPr="009D3B50" w:rsidRDefault="009D3B50" w:rsidP="002931FD">
            <w:pPr>
              <w:pStyle w:val="StdBodyText"/>
              <w:rPr>
                <w:rFonts w:cs="Arial"/>
                <w:sz w:val="22"/>
                <w:szCs w:val="22"/>
              </w:rPr>
            </w:pPr>
          </w:p>
        </w:tc>
        <w:tc>
          <w:tcPr>
            <w:tcW w:w="3498" w:type="dxa"/>
          </w:tcPr>
          <w:p w14:paraId="0A0B3368" w14:textId="77777777" w:rsidR="009D3B50" w:rsidRPr="009D3B50" w:rsidRDefault="009D3B50" w:rsidP="002931FD">
            <w:pPr>
              <w:pStyle w:val="StdBodyText"/>
              <w:rPr>
                <w:rFonts w:cs="Arial"/>
                <w:sz w:val="22"/>
                <w:szCs w:val="22"/>
              </w:rPr>
            </w:pPr>
          </w:p>
        </w:tc>
      </w:tr>
      <w:tr w:rsidR="009D3B50" w:rsidRPr="009D3B50" w14:paraId="031C49CE" w14:textId="77777777" w:rsidTr="002931FD">
        <w:tc>
          <w:tcPr>
            <w:tcW w:w="1418" w:type="dxa"/>
            <w:shd w:val="solid" w:color="CCECFF" w:fill="auto"/>
          </w:tcPr>
          <w:p w14:paraId="5C51BDE3" w14:textId="77777777" w:rsidR="009D3B50" w:rsidRPr="009D3B50" w:rsidRDefault="009D3B50" w:rsidP="002931FD">
            <w:pPr>
              <w:pStyle w:val="StdBodyTextBold"/>
              <w:rPr>
                <w:rFonts w:cs="Arial"/>
                <w:sz w:val="22"/>
                <w:szCs w:val="22"/>
              </w:rPr>
            </w:pPr>
            <w:r w:rsidRPr="009D3B50">
              <w:rPr>
                <w:rFonts w:cs="Arial"/>
                <w:sz w:val="22"/>
                <w:szCs w:val="22"/>
              </w:rPr>
              <w:t>Emp No 2</w:t>
            </w:r>
          </w:p>
        </w:tc>
        <w:tc>
          <w:tcPr>
            <w:tcW w:w="1701" w:type="dxa"/>
          </w:tcPr>
          <w:p w14:paraId="46EE9C22" w14:textId="77777777" w:rsidR="009D3B50" w:rsidRPr="009D3B50" w:rsidRDefault="009D3B50" w:rsidP="002931FD">
            <w:pPr>
              <w:pStyle w:val="StdBodyText"/>
              <w:rPr>
                <w:rFonts w:cs="Arial"/>
                <w:sz w:val="22"/>
                <w:szCs w:val="22"/>
              </w:rPr>
            </w:pPr>
          </w:p>
        </w:tc>
        <w:tc>
          <w:tcPr>
            <w:tcW w:w="1559" w:type="dxa"/>
          </w:tcPr>
          <w:p w14:paraId="4AE8A90E" w14:textId="77777777" w:rsidR="009D3B50" w:rsidRPr="009D3B50" w:rsidRDefault="009D3B50" w:rsidP="002931FD">
            <w:pPr>
              <w:pStyle w:val="StdBodyText"/>
              <w:rPr>
                <w:rFonts w:cs="Arial"/>
                <w:sz w:val="22"/>
                <w:szCs w:val="22"/>
              </w:rPr>
            </w:pPr>
          </w:p>
        </w:tc>
        <w:tc>
          <w:tcPr>
            <w:tcW w:w="1701" w:type="dxa"/>
          </w:tcPr>
          <w:p w14:paraId="5AAA5CB8" w14:textId="77777777" w:rsidR="009D3B50" w:rsidRPr="009D3B50" w:rsidRDefault="009D3B50" w:rsidP="002931FD">
            <w:pPr>
              <w:pStyle w:val="StdBodyText"/>
              <w:rPr>
                <w:rFonts w:cs="Arial"/>
                <w:sz w:val="22"/>
                <w:szCs w:val="22"/>
              </w:rPr>
            </w:pPr>
          </w:p>
        </w:tc>
        <w:tc>
          <w:tcPr>
            <w:tcW w:w="1985" w:type="dxa"/>
          </w:tcPr>
          <w:p w14:paraId="54B3E87E" w14:textId="77777777" w:rsidR="009D3B50" w:rsidRPr="009D3B50" w:rsidRDefault="009D3B50" w:rsidP="002931FD">
            <w:pPr>
              <w:pStyle w:val="StdBodyText"/>
              <w:rPr>
                <w:rFonts w:cs="Arial"/>
                <w:sz w:val="22"/>
                <w:szCs w:val="22"/>
              </w:rPr>
            </w:pPr>
          </w:p>
        </w:tc>
        <w:tc>
          <w:tcPr>
            <w:tcW w:w="2126" w:type="dxa"/>
          </w:tcPr>
          <w:p w14:paraId="14EB07F6" w14:textId="77777777" w:rsidR="009D3B50" w:rsidRPr="009D3B50" w:rsidRDefault="009D3B50" w:rsidP="002931FD">
            <w:pPr>
              <w:pStyle w:val="StdBodyText"/>
              <w:rPr>
                <w:rFonts w:cs="Arial"/>
                <w:sz w:val="22"/>
                <w:szCs w:val="22"/>
              </w:rPr>
            </w:pPr>
          </w:p>
        </w:tc>
        <w:tc>
          <w:tcPr>
            <w:tcW w:w="3498" w:type="dxa"/>
          </w:tcPr>
          <w:p w14:paraId="179D2835" w14:textId="77777777" w:rsidR="009D3B50" w:rsidRPr="009D3B50" w:rsidRDefault="009D3B50" w:rsidP="002931FD">
            <w:pPr>
              <w:pStyle w:val="StdBodyText"/>
              <w:rPr>
                <w:rFonts w:cs="Arial"/>
                <w:sz w:val="22"/>
                <w:szCs w:val="22"/>
              </w:rPr>
            </w:pPr>
          </w:p>
        </w:tc>
      </w:tr>
      <w:tr w:rsidR="009D3B50" w:rsidRPr="009D3B50" w14:paraId="19F233DE" w14:textId="77777777" w:rsidTr="002931FD">
        <w:tc>
          <w:tcPr>
            <w:tcW w:w="1418" w:type="dxa"/>
            <w:shd w:val="solid" w:color="CCECFF" w:fill="auto"/>
          </w:tcPr>
          <w:p w14:paraId="6F48216D" w14:textId="77777777" w:rsidR="009D3B50" w:rsidRPr="009D3B50" w:rsidRDefault="009D3B50" w:rsidP="002931FD">
            <w:pPr>
              <w:pStyle w:val="StdBodyTextBold"/>
              <w:rPr>
                <w:rFonts w:cs="Arial"/>
                <w:sz w:val="22"/>
                <w:szCs w:val="22"/>
              </w:rPr>
            </w:pPr>
            <w:r w:rsidRPr="009D3B50">
              <w:rPr>
                <w:rFonts w:cs="Arial"/>
                <w:sz w:val="22"/>
                <w:szCs w:val="22"/>
              </w:rPr>
              <w:t>Emp No</w:t>
            </w:r>
          </w:p>
        </w:tc>
        <w:tc>
          <w:tcPr>
            <w:tcW w:w="1701" w:type="dxa"/>
          </w:tcPr>
          <w:p w14:paraId="3D373847" w14:textId="77777777" w:rsidR="009D3B50" w:rsidRPr="009D3B50" w:rsidRDefault="009D3B50" w:rsidP="002931FD">
            <w:pPr>
              <w:pStyle w:val="StdBodyText"/>
              <w:rPr>
                <w:rFonts w:cs="Arial"/>
                <w:sz w:val="22"/>
                <w:szCs w:val="22"/>
              </w:rPr>
            </w:pPr>
          </w:p>
        </w:tc>
        <w:tc>
          <w:tcPr>
            <w:tcW w:w="1559" w:type="dxa"/>
          </w:tcPr>
          <w:p w14:paraId="0A76D8EF" w14:textId="77777777" w:rsidR="009D3B50" w:rsidRPr="009D3B50" w:rsidRDefault="009D3B50" w:rsidP="002931FD">
            <w:pPr>
              <w:pStyle w:val="StdBodyText"/>
              <w:rPr>
                <w:rFonts w:cs="Arial"/>
                <w:sz w:val="22"/>
                <w:szCs w:val="22"/>
              </w:rPr>
            </w:pPr>
          </w:p>
        </w:tc>
        <w:tc>
          <w:tcPr>
            <w:tcW w:w="1701" w:type="dxa"/>
          </w:tcPr>
          <w:p w14:paraId="0C6CF3D6" w14:textId="77777777" w:rsidR="009D3B50" w:rsidRPr="009D3B50" w:rsidRDefault="009D3B50" w:rsidP="002931FD">
            <w:pPr>
              <w:pStyle w:val="StdBodyText"/>
              <w:rPr>
                <w:rFonts w:cs="Arial"/>
                <w:sz w:val="22"/>
                <w:szCs w:val="22"/>
              </w:rPr>
            </w:pPr>
          </w:p>
        </w:tc>
        <w:tc>
          <w:tcPr>
            <w:tcW w:w="1985" w:type="dxa"/>
          </w:tcPr>
          <w:p w14:paraId="4AD31642" w14:textId="77777777" w:rsidR="009D3B50" w:rsidRPr="009D3B50" w:rsidRDefault="009D3B50" w:rsidP="002931FD">
            <w:pPr>
              <w:pStyle w:val="StdBodyText"/>
              <w:rPr>
                <w:rFonts w:cs="Arial"/>
                <w:sz w:val="22"/>
                <w:szCs w:val="22"/>
              </w:rPr>
            </w:pPr>
          </w:p>
        </w:tc>
        <w:tc>
          <w:tcPr>
            <w:tcW w:w="2126" w:type="dxa"/>
          </w:tcPr>
          <w:p w14:paraId="1F09C0B0" w14:textId="77777777" w:rsidR="009D3B50" w:rsidRPr="009D3B50" w:rsidRDefault="009D3B50" w:rsidP="002931FD">
            <w:pPr>
              <w:pStyle w:val="StdBodyText"/>
              <w:rPr>
                <w:rFonts w:cs="Arial"/>
                <w:sz w:val="22"/>
                <w:szCs w:val="22"/>
              </w:rPr>
            </w:pPr>
          </w:p>
        </w:tc>
        <w:tc>
          <w:tcPr>
            <w:tcW w:w="3498" w:type="dxa"/>
          </w:tcPr>
          <w:p w14:paraId="5431EA31" w14:textId="77777777" w:rsidR="009D3B50" w:rsidRPr="009D3B50" w:rsidRDefault="009D3B50" w:rsidP="002931FD">
            <w:pPr>
              <w:pStyle w:val="StdBodyText"/>
              <w:rPr>
                <w:rFonts w:cs="Arial"/>
                <w:sz w:val="22"/>
                <w:szCs w:val="22"/>
              </w:rPr>
            </w:pPr>
          </w:p>
        </w:tc>
      </w:tr>
      <w:tr w:rsidR="009D3B50" w:rsidRPr="009D3B50" w14:paraId="2250B9DA" w14:textId="77777777" w:rsidTr="002931FD">
        <w:tc>
          <w:tcPr>
            <w:tcW w:w="1418" w:type="dxa"/>
            <w:shd w:val="solid" w:color="CCECFF" w:fill="auto"/>
          </w:tcPr>
          <w:p w14:paraId="7BBC8BDC" w14:textId="77777777" w:rsidR="009D3B50" w:rsidRPr="009D3B50" w:rsidRDefault="009D3B50" w:rsidP="002931FD">
            <w:pPr>
              <w:pStyle w:val="StdBodyTextBold"/>
              <w:rPr>
                <w:rFonts w:cs="Arial"/>
                <w:sz w:val="22"/>
                <w:szCs w:val="22"/>
              </w:rPr>
            </w:pPr>
            <w:r w:rsidRPr="009D3B50">
              <w:rPr>
                <w:rFonts w:cs="Arial"/>
                <w:sz w:val="22"/>
                <w:szCs w:val="22"/>
              </w:rPr>
              <w:t>Emp No</w:t>
            </w:r>
          </w:p>
        </w:tc>
        <w:tc>
          <w:tcPr>
            <w:tcW w:w="1701" w:type="dxa"/>
          </w:tcPr>
          <w:p w14:paraId="0B4E6A51" w14:textId="77777777" w:rsidR="009D3B50" w:rsidRPr="009D3B50" w:rsidRDefault="009D3B50" w:rsidP="002931FD">
            <w:pPr>
              <w:pStyle w:val="StdBodyText"/>
              <w:rPr>
                <w:rFonts w:cs="Arial"/>
                <w:sz w:val="22"/>
                <w:szCs w:val="22"/>
              </w:rPr>
            </w:pPr>
          </w:p>
        </w:tc>
        <w:tc>
          <w:tcPr>
            <w:tcW w:w="1559" w:type="dxa"/>
          </w:tcPr>
          <w:p w14:paraId="5A514E69" w14:textId="77777777" w:rsidR="009D3B50" w:rsidRPr="009D3B50" w:rsidRDefault="009D3B50" w:rsidP="002931FD">
            <w:pPr>
              <w:pStyle w:val="StdBodyText"/>
              <w:rPr>
                <w:rFonts w:cs="Arial"/>
                <w:sz w:val="22"/>
                <w:szCs w:val="22"/>
              </w:rPr>
            </w:pPr>
          </w:p>
        </w:tc>
        <w:tc>
          <w:tcPr>
            <w:tcW w:w="1701" w:type="dxa"/>
          </w:tcPr>
          <w:p w14:paraId="7C39F9B1" w14:textId="77777777" w:rsidR="009D3B50" w:rsidRPr="009D3B50" w:rsidRDefault="009D3B50" w:rsidP="002931FD">
            <w:pPr>
              <w:pStyle w:val="StdBodyText"/>
              <w:rPr>
                <w:rFonts w:cs="Arial"/>
                <w:sz w:val="22"/>
                <w:szCs w:val="22"/>
              </w:rPr>
            </w:pPr>
          </w:p>
        </w:tc>
        <w:tc>
          <w:tcPr>
            <w:tcW w:w="1985" w:type="dxa"/>
          </w:tcPr>
          <w:p w14:paraId="572CFC8D" w14:textId="77777777" w:rsidR="009D3B50" w:rsidRPr="009D3B50" w:rsidRDefault="009D3B50" w:rsidP="002931FD">
            <w:pPr>
              <w:pStyle w:val="StdBodyText"/>
              <w:rPr>
                <w:rFonts w:cs="Arial"/>
                <w:sz w:val="22"/>
                <w:szCs w:val="22"/>
              </w:rPr>
            </w:pPr>
          </w:p>
        </w:tc>
        <w:tc>
          <w:tcPr>
            <w:tcW w:w="2126" w:type="dxa"/>
          </w:tcPr>
          <w:p w14:paraId="73E193CC" w14:textId="77777777" w:rsidR="009D3B50" w:rsidRPr="009D3B50" w:rsidRDefault="009D3B50" w:rsidP="002931FD">
            <w:pPr>
              <w:pStyle w:val="StdBodyText"/>
              <w:rPr>
                <w:rFonts w:cs="Arial"/>
                <w:sz w:val="22"/>
                <w:szCs w:val="22"/>
              </w:rPr>
            </w:pPr>
          </w:p>
        </w:tc>
        <w:tc>
          <w:tcPr>
            <w:tcW w:w="3498" w:type="dxa"/>
          </w:tcPr>
          <w:p w14:paraId="2FEFEC80" w14:textId="77777777" w:rsidR="009D3B50" w:rsidRPr="009D3B50" w:rsidRDefault="009D3B50" w:rsidP="002931FD">
            <w:pPr>
              <w:pStyle w:val="StdBodyText"/>
              <w:rPr>
                <w:rFonts w:cs="Arial"/>
                <w:sz w:val="22"/>
                <w:szCs w:val="22"/>
              </w:rPr>
            </w:pPr>
          </w:p>
        </w:tc>
      </w:tr>
      <w:tr w:rsidR="009D3B50" w:rsidRPr="009D3B50" w14:paraId="20F0FB72" w14:textId="77777777" w:rsidTr="002931FD">
        <w:tc>
          <w:tcPr>
            <w:tcW w:w="1418" w:type="dxa"/>
            <w:shd w:val="solid" w:color="CCECFF" w:fill="auto"/>
          </w:tcPr>
          <w:p w14:paraId="0DF6A163" w14:textId="77777777" w:rsidR="009D3B50" w:rsidRPr="009D3B50" w:rsidRDefault="009D3B50" w:rsidP="002931FD">
            <w:pPr>
              <w:pStyle w:val="StdBodyTextBold"/>
              <w:rPr>
                <w:rFonts w:cs="Arial"/>
                <w:sz w:val="22"/>
                <w:szCs w:val="22"/>
              </w:rPr>
            </w:pPr>
            <w:r w:rsidRPr="009D3B50">
              <w:rPr>
                <w:rFonts w:cs="Arial"/>
                <w:sz w:val="22"/>
                <w:szCs w:val="22"/>
              </w:rPr>
              <w:t>Emp No</w:t>
            </w:r>
          </w:p>
        </w:tc>
        <w:tc>
          <w:tcPr>
            <w:tcW w:w="1701" w:type="dxa"/>
          </w:tcPr>
          <w:p w14:paraId="499A077D" w14:textId="77777777" w:rsidR="009D3B50" w:rsidRPr="009D3B50" w:rsidRDefault="009D3B50" w:rsidP="002931FD">
            <w:pPr>
              <w:pStyle w:val="StdBodyText"/>
              <w:rPr>
                <w:rFonts w:cs="Arial"/>
                <w:sz w:val="22"/>
                <w:szCs w:val="22"/>
              </w:rPr>
            </w:pPr>
          </w:p>
        </w:tc>
        <w:tc>
          <w:tcPr>
            <w:tcW w:w="1559" w:type="dxa"/>
          </w:tcPr>
          <w:p w14:paraId="351E2CEA" w14:textId="77777777" w:rsidR="009D3B50" w:rsidRPr="009D3B50" w:rsidRDefault="009D3B50" w:rsidP="002931FD">
            <w:pPr>
              <w:pStyle w:val="StdBodyText"/>
              <w:rPr>
                <w:rFonts w:cs="Arial"/>
                <w:sz w:val="22"/>
                <w:szCs w:val="22"/>
              </w:rPr>
            </w:pPr>
          </w:p>
        </w:tc>
        <w:tc>
          <w:tcPr>
            <w:tcW w:w="1701" w:type="dxa"/>
          </w:tcPr>
          <w:p w14:paraId="61ADD310" w14:textId="77777777" w:rsidR="009D3B50" w:rsidRPr="009D3B50" w:rsidRDefault="009D3B50" w:rsidP="002931FD">
            <w:pPr>
              <w:pStyle w:val="StdBodyText"/>
              <w:rPr>
                <w:rFonts w:cs="Arial"/>
                <w:sz w:val="22"/>
                <w:szCs w:val="22"/>
              </w:rPr>
            </w:pPr>
          </w:p>
        </w:tc>
        <w:tc>
          <w:tcPr>
            <w:tcW w:w="1985" w:type="dxa"/>
          </w:tcPr>
          <w:p w14:paraId="648706A5" w14:textId="77777777" w:rsidR="009D3B50" w:rsidRPr="009D3B50" w:rsidRDefault="009D3B50" w:rsidP="002931FD">
            <w:pPr>
              <w:pStyle w:val="StdBodyText"/>
              <w:rPr>
                <w:rFonts w:cs="Arial"/>
                <w:sz w:val="22"/>
                <w:szCs w:val="22"/>
              </w:rPr>
            </w:pPr>
          </w:p>
        </w:tc>
        <w:tc>
          <w:tcPr>
            <w:tcW w:w="2126" w:type="dxa"/>
          </w:tcPr>
          <w:p w14:paraId="2B16CF1F" w14:textId="77777777" w:rsidR="009D3B50" w:rsidRPr="009D3B50" w:rsidRDefault="009D3B50" w:rsidP="002931FD">
            <w:pPr>
              <w:pStyle w:val="StdBodyText"/>
              <w:rPr>
                <w:rFonts w:cs="Arial"/>
                <w:sz w:val="22"/>
                <w:szCs w:val="22"/>
              </w:rPr>
            </w:pPr>
          </w:p>
        </w:tc>
        <w:tc>
          <w:tcPr>
            <w:tcW w:w="3498" w:type="dxa"/>
          </w:tcPr>
          <w:p w14:paraId="2514904F" w14:textId="77777777" w:rsidR="009D3B50" w:rsidRPr="009D3B50" w:rsidRDefault="009D3B50" w:rsidP="002931FD">
            <w:pPr>
              <w:pStyle w:val="StdBodyText"/>
              <w:rPr>
                <w:rFonts w:cs="Arial"/>
                <w:sz w:val="22"/>
                <w:szCs w:val="22"/>
              </w:rPr>
            </w:pPr>
          </w:p>
        </w:tc>
      </w:tr>
      <w:tr w:rsidR="009D3B50" w:rsidRPr="009D3B50" w14:paraId="47EA54BE" w14:textId="77777777" w:rsidTr="002931FD">
        <w:tc>
          <w:tcPr>
            <w:tcW w:w="1418" w:type="dxa"/>
            <w:shd w:val="solid" w:color="CCECFF" w:fill="auto"/>
          </w:tcPr>
          <w:p w14:paraId="57EB0899" w14:textId="77777777" w:rsidR="009D3B50" w:rsidRPr="009D3B50" w:rsidRDefault="009D3B50" w:rsidP="002931FD">
            <w:pPr>
              <w:pStyle w:val="StdBodyTextBold"/>
              <w:rPr>
                <w:rFonts w:cs="Arial"/>
                <w:sz w:val="22"/>
                <w:szCs w:val="22"/>
              </w:rPr>
            </w:pPr>
            <w:r w:rsidRPr="009D3B50">
              <w:rPr>
                <w:rFonts w:cs="Arial"/>
                <w:sz w:val="22"/>
                <w:szCs w:val="22"/>
              </w:rPr>
              <w:t>Emp No</w:t>
            </w:r>
          </w:p>
        </w:tc>
        <w:tc>
          <w:tcPr>
            <w:tcW w:w="1701" w:type="dxa"/>
          </w:tcPr>
          <w:p w14:paraId="6EB5BAA8" w14:textId="77777777" w:rsidR="009D3B50" w:rsidRPr="009D3B50" w:rsidRDefault="009D3B50" w:rsidP="002931FD">
            <w:pPr>
              <w:pStyle w:val="StdBodyText"/>
              <w:rPr>
                <w:rFonts w:cs="Arial"/>
                <w:sz w:val="22"/>
                <w:szCs w:val="22"/>
              </w:rPr>
            </w:pPr>
          </w:p>
        </w:tc>
        <w:tc>
          <w:tcPr>
            <w:tcW w:w="1559" w:type="dxa"/>
          </w:tcPr>
          <w:p w14:paraId="4CC6C082" w14:textId="77777777" w:rsidR="009D3B50" w:rsidRPr="009D3B50" w:rsidRDefault="009D3B50" w:rsidP="002931FD">
            <w:pPr>
              <w:pStyle w:val="StdBodyText"/>
              <w:rPr>
                <w:rFonts w:cs="Arial"/>
                <w:sz w:val="22"/>
                <w:szCs w:val="22"/>
              </w:rPr>
            </w:pPr>
          </w:p>
        </w:tc>
        <w:tc>
          <w:tcPr>
            <w:tcW w:w="1701" w:type="dxa"/>
          </w:tcPr>
          <w:p w14:paraId="7FD41044" w14:textId="77777777" w:rsidR="009D3B50" w:rsidRPr="009D3B50" w:rsidRDefault="009D3B50" w:rsidP="002931FD">
            <w:pPr>
              <w:pStyle w:val="StdBodyText"/>
              <w:rPr>
                <w:rFonts w:cs="Arial"/>
                <w:sz w:val="22"/>
                <w:szCs w:val="22"/>
              </w:rPr>
            </w:pPr>
          </w:p>
        </w:tc>
        <w:tc>
          <w:tcPr>
            <w:tcW w:w="1985" w:type="dxa"/>
          </w:tcPr>
          <w:p w14:paraId="05810721" w14:textId="77777777" w:rsidR="009D3B50" w:rsidRPr="009D3B50" w:rsidRDefault="009D3B50" w:rsidP="002931FD">
            <w:pPr>
              <w:pStyle w:val="StdBodyText"/>
              <w:rPr>
                <w:rFonts w:cs="Arial"/>
                <w:sz w:val="22"/>
                <w:szCs w:val="22"/>
              </w:rPr>
            </w:pPr>
          </w:p>
        </w:tc>
        <w:tc>
          <w:tcPr>
            <w:tcW w:w="2126" w:type="dxa"/>
          </w:tcPr>
          <w:p w14:paraId="41FB2B5E" w14:textId="77777777" w:rsidR="009D3B50" w:rsidRPr="009D3B50" w:rsidRDefault="009D3B50" w:rsidP="002931FD">
            <w:pPr>
              <w:pStyle w:val="StdBodyText"/>
              <w:rPr>
                <w:rFonts w:cs="Arial"/>
                <w:sz w:val="22"/>
                <w:szCs w:val="22"/>
              </w:rPr>
            </w:pPr>
          </w:p>
        </w:tc>
        <w:tc>
          <w:tcPr>
            <w:tcW w:w="3498" w:type="dxa"/>
          </w:tcPr>
          <w:p w14:paraId="5BBB9FB2" w14:textId="77777777" w:rsidR="009D3B50" w:rsidRPr="009D3B50" w:rsidRDefault="009D3B50" w:rsidP="002931FD">
            <w:pPr>
              <w:pStyle w:val="StdBodyText"/>
              <w:rPr>
                <w:rFonts w:cs="Arial"/>
                <w:sz w:val="22"/>
                <w:szCs w:val="22"/>
              </w:rPr>
            </w:pPr>
          </w:p>
        </w:tc>
      </w:tr>
      <w:tr w:rsidR="009D3B50" w:rsidRPr="009D3B50" w14:paraId="49AF7C3A" w14:textId="77777777" w:rsidTr="002931FD">
        <w:tc>
          <w:tcPr>
            <w:tcW w:w="1418" w:type="dxa"/>
            <w:shd w:val="solid" w:color="CCECFF" w:fill="auto"/>
          </w:tcPr>
          <w:p w14:paraId="03C1D824" w14:textId="77777777" w:rsidR="009D3B50" w:rsidRPr="009D3B50" w:rsidRDefault="009D3B50" w:rsidP="002931FD">
            <w:pPr>
              <w:pStyle w:val="StdBodyTextBold"/>
              <w:rPr>
                <w:rFonts w:cs="Arial"/>
                <w:sz w:val="22"/>
                <w:szCs w:val="22"/>
              </w:rPr>
            </w:pPr>
            <w:r w:rsidRPr="009D3B50">
              <w:rPr>
                <w:rFonts w:cs="Arial"/>
                <w:sz w:val="22"/>
                <w:szCs w:val="22"/>
              </w:rPr>
              <w:t>Emp No</w:t>
            </w:r>
          </w:p>
        </w:tc>
        <w:tc>
          <w:tcPr>
            <w:tcW w:w="1701" w:type="dxa"/>
          </w:tcPr>
          <w:p w14:paraId="3E8D8BC2" w14:textId="77777777" w:rsidR="009D3B50" w:rsidRPr="009D3B50" w:rsidRDefault="009D3B50" w:rsidP="002931FD">
            <w:pPr>
              <w:pStyle w:val="StdBodyText"/>
              <w:rPr>
                <w:rFonts w:cs="Arial"/>
                <w:sz w:val="22"/>
                <w:szCs w:val="22"/>
              </w:rPr>
            </w:pPr>
          </w:p>
        </w:tc>
        <w:tc>
          <w:tcPr>
            <w:tcW w:w="1559" w:type="dxa"/>
          </w:tcPr>
          <w:p w14:paraId="57377189" w14:textId="77777777" w:rsidR="009D3B50" w:rsidRPr="009D3B50" w:rsidRDefault="009D3B50" w:rsidP="002931FD">
            <w:pPr>
              <w:pStyle w:val="StdBodyText"/>
              <w:rPr>
                <w:rFonts w:cs="Arial"/>
                <w:sz w:val="22"/>
                <w:szCs w:val="22"/>
              </w:rPr>
            </w:pPr>
          </w:p>
        </w:tc>
        <w:tc>
          <w:tcPr>
            <w:tcW w:w="1701" w:type="dxa"/>
          </w:tcPr>
          <w:p w14:paraId="050B695E" w14:textId="77777777" w:rsidR="009D3B50" w:rsidRPr="009D3B50" w:rsidRDefault="009D3B50" w:rsidP="002931FD">
            <w:pPr>
              <w:pStyle w:val="StdBodyText"/>
              <w:rPr>
                <w:rFonts w:cs="Arial"/>
                <w:sz w:val="22"/>
                <w:szCs w:val="22"/>
              </w:rPr>
            </w:pPr>
          </w:p>
        </w:tc>
        <w:tc>
          <w:tcPr>
            <w:tcW w:w="1985" w:type="dxa"/>
          </w:tcPr>
          <w:p w14:paraId="21D5F166" w14:textId="77777777" w:rsidR="009D3B50" w:rsidRPr="009D3B50" w:rsidRDefault="009D3B50" w:rsidP="002931FD">
            <w:pPr>
              <w:pStyle w:val="StdBodyText"/>
              <w:rPr>
                <w:rFonts w:cs="Arial"/>
                <w:sz w:val="22"/>
                <w:szCs w:val="22"/>
              </w:rPr>
            </w:pPr>
          </w:p>
        </w:tc>
        <w:tc>
          <w:tcPr>
            <w:tcW w:w="2126" w:type="dxa"/>
          </w:tcPr>
          <w:p w14:paraId="279A9D03" w14:textId="77777777" w:rsidR="009D3B50" w:rsidRPr="009D3B50" w:rsidRDefault="009D3B50" w:rsidP="002931FD">
            <w:pPr>
              <w:pStyle w:val="StdBodyText"/>
              <w:rPr>
                <w:rFonts w:cs="Arial"/>
                <w:sz w:val="22"/>
                <w:szCs w:val="22"/>
              </w:rPr>
            </w:pPr>
          </w:p>
        </w:tc>
        <w:tc>
          <w:tcPr>
            <w:tcW w:w="3498" w:type="dxa"/>
          </w:tcPr>
          <w:p w14:paraId="71865673" w14:textId="77777777" w:rsidR="009D3B50" w:rsidRPr="009D3B50" w:rsidRDefault="009D3B50" w:rsidP="002931FD">
            <w:pPr>
              <w:pStyle w:val="StdBodyText"/>
              <w:rPr>
                <w:rFonts w:cs="Arial"/>
                <w:sz w:val="22"/>
                <w:szCs w:val="22"/>
              </w:rPr>
            </w:pPr>
          </w:p>
        </w:tc>
      </w:tr>
    </w:tbl>
    <w:p w14:paraId="6C3DA00C" w14:textId="77777777" w:rsidR="009D3B50" w:rsidRPr="009D3B50" w:rsidRDefault="009D3B50" w:rsidP="009D3B50">
      <w:pPr>
        <w:pStyle w:val="StdBodyText"/>
        <w:rPr>
          <w:rFonts w:cs="Arial"/>
          <w:sz w:val="22"/>
          <w:szCs w:val="22"/>
        </w:rPr>
      </w:pPr>
      <w:r w:rsidRPr="009D3B50">
        <w:rPr>
          <w:rFonts w:cs="Arial"/>
          <w:sz w:val="22"/>
          <w:szCs w:val="22"/>
        </w:rPr>
        <w:lastRenderedPageBreak/>
        <w:br w:type="page"/>
      </w:r>
    </w:p>
    <w:tbl>
      <w:tblPr>
        <w:tblStyle w:val="TableGrid"/>
        <w:tblW w:w="0" w:type="auto"/>
        <w:tblLook w:val="04A0" w:firstRow="1" w:lastRow="0" w:firstColumn="1" w:lastColumn="0" w:noHBand="0" w:noVBand="1"/>
      </w:tblPr>
      <w:tblGrid>
        <w:gridCol w:w="855"/>
        <w:gridCol w:w="1523"/>
        <w:gridCol w:w="1286"/>
        <w:gridCol w:w="1135"/>
        <w:gridCol w:w="1568"/>
        <w:gridCol w:w="1481"/>
        <w:gridCol w:w="1167"/>
      </w:tblGrid>
      <w:tr w:rsidR="009D3B50" w:rsidRPr="009D3B50" w14:paraId="71B06EE3" w14:textId="77777777" w:rsidTr="002931FD">
        <w:tc>
          <w:tcPr>
            <w:tcW w:w="1404" w:type="dxa"/>
            <w:tcBorders>
              <w:top w:val="nil"/>
              <w:left w:val="nil"/>
              <w:bottom w:val="single" w:sz="4" w:space="0" w:color="auto"/>
            </w:tcBorders>
          </w:tcPr>
          <w:p w14:paraId="1331EA8B" w14:textId="77777777" w:rsidR="009D3B50" w:rsidRPr="009D3B50" w:rsidRDefault="009D3B50" w:rsidP="002931FD">
            <w:pPr>
              <w:pStyle w:val="StdBodyText"/>
              <w:rPr>
                <w:rFonts w:cs="Arial"/>
                <w:sz w:val="22"/>
                <w:szCs w:val="22"/>
              </w:rPr>
            </w:pPr>
          </w:p>
        </w:tc>
        <w:tc>
          <w:tcPr>
            <w:tcW w:w="12589" w:type="dxa"/>
            <w:gridSpan w:val="6"/>
            <w:shd w:val="solid" w:color="C2D69B" w:themeColor="accent3" w:themeTint="99" w:fill="auto"/>
          </w:tcPr>
          <w:p w14:paraId="7CFF8579" w14:textId="77777777" w:rsidR="009D3B50" w:rsidRPr="009D3B50" w:rsidRDefault="009D3B50" w:rsidP="002931FD">
            <w:pPr>
              <w:pStyle w:val="StdBodyTextBold"/>
              <w:rPr>
                <w:rFonts w:cs="Arial"/>
                <w:sz w:val="22"/>
                <w:szCs w:val="22"/>
              </w:rPr>
            </w:pPr>
            <w:r w:rsidRPr="009D3B50">
              <w:rPr>
                <w:rFonts w:cs="Arial"/>
                <w:sz w:val="22"/>
                <w:szCs w:val="22"/>
              </w:rPr>
              <w:t>PENSIONS</w:t>
            </w:r>
          </w:p>
        </w:tc>
      </w:tr>
      <w:tr w:rsidR="009D3B50" w:rsidRPr="009D3B50" w14:paraId="73F3B8BB" w14:textId="77777777" w:rsidTr="002931FD">
        <w:tc>
          <w:tcPr>
            <w:tcW w:w="1404" w:type="dxa"/>
            <w:shd w:val="solid" w:color="CCECFF" w:fill="auto"/>
            <w:vAlign w:val="center"/>
          </w:tcPr>
          <w:p w14:paraId="189AE517" w14:textId="77777777" w:rsidR="009D3B50" w:rsidRPr="009D3B50" w:rsidRDefault="009D3B50" w:rsidP="002931FD">
            <w:pPr>
              <w:pStyle w:val="StdBodyTextBold"/>
              <w:rPr>
                <w:rFonts w:cs="Arial"/>
                <w:sz w:val="22"/>
                <w:szCs w:val="22"/>
              </w:rPr>
            </w:pPr>
            <w:r w:rsidRPr="009D3B50">
              <w:rPr>
                <w:rFonts w:cs="Arial"/>
                <w:sz w:val="22"/>
                <w:szCs w:val="22"/>
              </w:rPr>
              <w:t>Details</w:t>
            </w:r>
          </w:p>
        </w:tc>
        <w:tc>
          <w:tcPr>
            <w:tcW w:w="1843" w:type="dxa"/>
            <w:shd w:val="solid" w:color="C2D69B" w:themeColor="accent3" w:themeTint="99" w:fill="auto"/>
            <w:vAlign w:val="center"/>
          </w:tcPr>
          <w:p w14:paraId="0953691E" w14:textId="77777777" w:rsidR="009D3B50" w:rsidRPr="009D3B50" w:rsidRDefault="009D3B50" w:rsidP="002931FD">
            <w:pPr>
              <w:pStyle w:val="StdBodyTextBold"/>
              <w:rPr>
                <w:rFonts w:cs="Arial"/>
                <w:sz w:val="22"/>
                <w:szCs w:val="22"/>
              </w:rPr>
            </w:pPr>
            <w:r w:rsidRPr="009D3B50">
              <w:rPr>
                <w:rFonts w:cs="Arial"/>
                <w:sz w:val="22"/>
                <w:szCs w:val="22"/>
              </w:rPr>
              <w:t>If the Employee is in the Local Government Pension Scheme, please supply details of Fund and Administering Authority.</w:t>
            </w:r>
          </w:p>
        </w:tc>
        <w:tc>
          <w:tcPr>
            <w:tcW w:w="1695" w:type="dxa"/>
            <w:shd w:val="solid" w:color="C2D69B" w:themeColor="accent3" w:themeTint="99" w:fill="auto"/>
            <w:vAlign w:val="center"/>
          </w:tcPr>
          <w:p w14:paraId="5FF45B7E" w14:textId="77777777" w:rsidR="009D3B50" w:rsidRPr="009D3B50" w:rsidRDefault="009D3B50" w:rsidP="002931FD">
            <w:pPr>
              <w:pStyle w:val="StdBodyTextBold"/>
              <w:rPr>
                <w:rFonts w:cs="Arial"/>
                <w:sz w:val="22"/>
                <w:szCs w:val="22"/>
              </w:rPr>
            </w:pPr>
            <w:r w:rsidRPr="009D3B50">
              <w:rPr>
                <w:rFonts w:cs="Arial"/>
                <w:sz w:val="22"/>
                <w:szCs w:val="22"/>
              </w:rPr>
              <w:t>If the Employee is in the Civil Service Pension Scheme, please provide details of the Admission Agreement.</w:t>
            </w:r>
          </w:p>
        </w:tc>
        <w:tc>
          <w:tcPr>
            <w:tcW w:w="1350" w:type="dxa"/>
            <w:shd w:val="solid" w:color="C2D69B" w:themeColor="accent3" w:themeTint="99" w:fill="auto"/>
            <w:vAlign w:val="center"/>
          </w:tcPr>
          <w:p w14:paraId="3C66E86F" w14:textId="77777777" w:rsidR="009D3B50" w:rsidRPr="009D3B50" w:rsidRDefault="009D3B50" w:rsidP="002931FD">
            <w:pPr>
              <w:pStyle w:val="StdBodyTextBold"/>
              <w:rPr>
                <w:rFonts w:cs="Arial"/>
                <w:sz w:val="22"/>
                <w:szCs w:val="22"/>
              </w:rPr>
            </w:pPr>
            <w:r w:rsidRPr="009D3B50">
              <w:rPr>
                <w:rFonts w:cs="Arial"/>
                <w:sz w:val="22"/>
                <w:szCs w:val="22"/>
              </w:rPr>
              <w:t>If the Employee is in the NHSPS, please provide details of the Direction Letter.</w:t>
            </w:r>
          </w:p>
        </w:tc>
        <w:tc>
          <w:tcPr>
            <w:tcW w:w="1883" w:type="dxa"/>
            <w:shd w:val="solid" w:color="C2D69B" w:themeColor="accent3" w:themeTint="99" w:fill="auto"/>
            <w:vAlign w:val="center"/>
          </w:tcPr>
          <w:p w14:paraId="52EFC73C" w14:textId="77777777" w:rsidR="009D3B50" w:rsidRPr="009D3B50" w:rsidRDefault="009D3B50" w:rsidP="002931FD">
            <w:pPr>
              <w:pStyle w:val="StdBodyTextBold"/>
              <w:rPr>
                <w:rFonts w:cs="Arial"/>
                <w:sz w:val="22"/>
                <w:szCs w:val="22"/>
              </w:rPr>
            </w:pPr>
            <w:r w:rsidRPr="009D3B50">
              <w:rPr>
                <w:rFonts w:cs="Arial"/>
                <w:sz w:val="22"/>
                <w:szCs w:val="22"/>
              </w:rPr>
              <w:t>If the Employee is in a broadly comparable pension scheme, please supply a copy of the GAD certificate of Broad Comparability.</w:t>
            </w:r>
          </w:p>
        </w:tc>
        <w:tc>
          <w:tcPr>
            <w:tcW w:w="4016" w:type="dxa"/>
            <w:shd w:val="solid" w:color="C2D69B" w:themeColor="accent3" w:themeTint="99" w:fill="auto"/>
            <w:vAlign w:val="center"/>
          </w:tcPr>
          <w:p w14:paraId="53BB2BA0" w14:textId="77777777" w:rsidR="009D3B50" w:rsidRPr="009D3B50" w:rsidRDefault="009D3B50" w:rsidP="002931FD">
            <w:pPr>
              <w:pStyle w:val="StdBodyTextBold"/>
              <w:rPr>
                <w:rFonts w:cs="Arial"/>
                <w:sz w:val="22"/>
                <w:szCs w:val="22"/>
              </w:rPr>
            </w:pPr>
            <w:r w:rsidRPr="009D3B50">
              <w:rPr>
                <w:rFonts w:cs="Arial"/>
                <w:sz w:val="22"/>
                <w:szCs w:val="22"/>
              </w:rPr>
              <w:t>Did Fair Deal or any other similar pension protection for ex-public sector employees apply to the employee when they TUPE transferred into your employment? If so, what was the nature of that protection (e.g. right to participate in a public sector pension scheme, or a broadly comparable scheme, or to bulk transfer past pension service into their current scheme)?</w:t>
            </w:r>
          </w:p>
        </w:tc>
        <w:tc>
          <w:tcPr>
            <w:tcW w:w="1802" w:type="dxa"/>
            <w:shd w:val="solid" w:color="C2D69B" w:themeColor="accent3" w:themeTint="99" w:fill="auto"/>
            <w:vAlign w:val="center"/>
          </w:tcPr>
          <w:p w14:paraId="4E85895E" w14:textId="77777777" w:rsidR="009D3B50" w:rsidRPr="009D3B50" w:rsidRDefault="009D3B50" w:rsidP="002931FD">
            <w:pPr>
              <w:pStyle w:val="StdBodyTextBold"/>
              <w:rPr>
                <w:rFonts w:cs="Arial"/>
                <w:sz w:val="22"/>
                <w:szCs w:val="22"/>
              </w:rPr>
            </w:pPr>
            <w:r w:rsidRPr="009D3B50">
              <w:rPr>
                <w:rFonts w:cs="Arial"/>
                <w:sz w:val="22"/>
                <w:szCs w:val="22"/>
              </w:rPr>
              <w:t xml:space="preserve">If Fair Deal, Best Value or other pension protection applied, which public sector employer did they originally transfer out of and when? </w:t>
            </w:r>
          </w:p>
        </w:tc>
      </w:tr>
      <w:tr w:rsidR="009D3B50" w:rsidRPr="009D3B50" w14:paraId="4C1EF16E" w14:textId="77777777" w:rsidTr="002931FD">
        <w:tc>
          <w:tcPr>
            <w:tcW w:w="1404" w:type="dxa"/>
            <w:shd w:val="solid" w:color="CCECFF" w:fill="auto"/>
          </w:tcPr>
          <w:p w14:paraId="6802D91D" w14:textId="77777777" w:rsidR="009D3B50" w:rsidRPr="009D3B50" w:rsidRDefault="009D3B50" w:rsidP="002931FD">
            <w:pPr>
              <w:pStyle w:val="StdBodyTextBold"/>
              <w:rPr>
                <w:rFonts w:cs="Arial"/>
                <w:sz w:val="22"/>
                <w:szCs w:val="22"/>
              </w:rPr>
            </w:pPr>
            <w:r w:rsidRPr="009D3B50">
              <w:rPr>
                <w:rFonts w:cs="Arial"/>
                <w:sz w:val="22"/>
                <w:szCs w:val="22"/>
              </w:rPr>
              <w:t>Emp No 1</w:t>
            </w:r>
          </w:p>
        </w:tc>
        <w:tc>
          <w:tcPr>
            <w:tcW w:w="1843" w:type="dxa"/>
          </w:tcPr>
          <w:p w14:paraId="50501F0D" w14:textId="77777777" w:rsidR="009D3B50" w:rsidRPr="009D3B50" w:rsidRDefault="009D3B50" w:rsidP="002931FD">
            <w:pPr>
              <w:pStyle w:val="StdBodyText"/>
              <w:rPr>
                <w:rFonts w:cs="Arial"/>
                <w:sz w:val="22"/>
                <w:szCs w:val="22"/>
              </w:rPr>
            </w:pPr>
          </w:p>
        </w:tc>
        <w:tc>
          <w:tcPr>
            <w:tcW w:w="1695" w:type="dxa"/>
          </w:tcPr>
          <w:p w14:paraId="2CC416AE" w14:textId="77777777" w:rsidR="009D3B50" w:rsidRPr="009D3B50" w:rsidRDefault="009D3B50" w:rsidP="002931FD">
            <w:pPr>
              <w:pStyle w:val="StdBodyText"/>
              <w:rPr>
                <w:rFonts w:cs="Arial"/>
                <w:sz w:val="22"/>
                <w:szCs w:val="22"/>
              </w:rPr>
            </w:pPr>
          </w:p>
        </w:tc>
        <w:tc>
          <w:tcPr>
            <w:tcW w:w="1350" w:type="dxa"/>
          </w:tcPr>
          <w:p w14:paraId="79A6ECB2" w14:textId="77777777" w:rsidR="009D3B50" w:rsidRPr="009D3B50" w:rsidRDefault="009D3B50" w:rsidP="002931FD">
            <w:pPr>
              <w:pStyle w:val="StdBodyText"/>
              <w:rPr>
                <w:rFonts w:cs="Arial"/>
                <w:sz w:val="22"/>
                <w:szCs w:val="22"/>
              </w:rPr>
            </w:pPr>
            <w:r w:rsidRPr="009D3B50">
              <w:rPr>
                <w:rFonts w:cs="Arial"/>
                <w:sz w:val="22"/>
                <w:szCs w:val="22"/>
              </w:rPr>
              <w:t xml:space="preserve"> </w:t>
            </w:r>
          </w:p>
        </w:tc>
        <w:tc>
          <w:tcPr>
            <w:tcW w:w="1883" w:type="dxa"/>
          </w:tcPr>
          <w:p w14:paraId="13D3608D" w14:textId="77777777" w:rsidR="009D3B50" w:rsidRPr="009D3B50" w:rsidRDefault="009D3B50" w:rsidP="002931FD">
            <w:pPr>
              <w:pStyle w:val="StdBodyText"/>
              <w:rPr>
                <w:rFonts w:cs="Arial"/>
                <w:sz w:val="22"/>
                <w:szCs w:val="22"/>
              </w:rPr>
            </w:pPr>
            <w:r w:rsidRPr="009D3B50">
              <w:rPr>
                <w:rFonts w:cs="Arial"/>
                <w:sz w:val="22"/>
                <w:szCs w:val="22"/>
              </w:rPr>
              <w:t xml:space="preserve"> </w:t>
            </w:r>
          </w:p>
        </w:tc>
        <w:tc>
          <w:tcPr>
            <w:tcW w:w="4016" w:type="dxa"/>
          </w:tcPr>
          <w:p w14:paraId="2F2BCCAD" w14:textId="77777777" w:rsidR="009D3B50" w:rsidRPr="009D3B50" w:rsidRDefault="009D3B50" w:rsidP="002931FD">
            <w:pPr>
              <w:pStyle w:val="StdBodyText"/>
              <w:rPr>
                <w:rFonts w:cs="Arial"/>
                <w:sz w:val="22"/>
                <w:szCs w:val="22"/>
              </w:rPr>
            </w:pPr>
            <w:r w:rsidRPr="009D3B50">
              <w:rPr>
                <w:rFonts w:cs="Arial"/>
                <w:sz w:val="22"/>
                <w:szCs w:val="22"/>
              </w:rPr>
              <w:t xml:space="preserve"> </w:t>
            </w:r>
          </w:p>
        </w:tc>
        <w:tc>
          <w:tcPr>
            <w:tcW w:w="1802" w:type="dxa"/>
          </w:tcPr>
          <w:p w14:paraId="3E57DF51" w14:textId="77777777" w:rsidR="009D3B50" w:rsidRPr="009D3B50" w:rsidRDefault="009D3B50" w:rsidP="002931FD">
            <w:pPr>
              <w:pStyle w:val="StdBodyText"/>
              <w:rPr>
                <w:rFonts w:cs="Arial"/>
                <w:sz w:val="22"/>
                <w:szCs w:val="22"/>
              </w:rPr>
            </w:pPr>
            <w:r w:rsidRPr="009D3B50">
              <w:rPr>
                <w:rFonts w:cs="Arial"/>
                <w:sz w:val="22"/>
                <w:szCs w:val="22"/>
              </w:rPr>
              <w:t xml:space="preserve"> </w:t>
            </w:r>
          </w:p>
        </w:tc>
      </w:tr>
      <w:tr w:rsidR="009D3B50" w:rsidRPr="009D3B50" w14:paraId="718D935E" w14:textId="77777777" w:rsidTr="002931FD">
        <w:tc>
          <w:tcPr>
            <w:tcW w:w="1404" w:type="dxa"/>
            <w:shd w:val="solid" w:color="CCECFF" w:fill="auto"/>
          </w:tcPr>
          <w:p w14:paraId="5A20DBFB" w14:textId="77777777" w:rsidR="009D3B50" w:rsidRPr="009D3B50" w:rsidRDefault="009D3B50" w:rsidP="002931FD">
            <w:pPr>
              <w:pStyle w:val="StdBodyTextBold"/>
              <w:rPr>
                <w:rFonts w:cs="Arial"/>
                <w:sz w:val="22"/>
                <w:szCs w:val="22"/>
              </w:rPr>
            </w:pPr>
            <w:r w:rsidRPr="009D3B50">
              <w:rPr>
                <w:rFonts w:cs="Arial"/>
                <w:sz w:val="22"/>
                <w:szCs w:val="22"/>
              </w:rPr>
              <w:t>Emp No 2</w:t>
            </w:r>
          </w:p>
        </w:tc>
        <w:tc>
          <w:tcPr>
            <w:tcW w:w="1843" w:type="dxa"/>
          </w:tcPr>
          <w:p w14:paraId="39A40FEA" w14:textId="77777777" w:rsidR="009D3B50" w:rsidRPr="009D3B50" w:rsidRDefault="009D3B50" w:rsidP="002931FD">
            <w:pPr>
              <w:pStyle w:val="StdBodyText"/>
              <w:rPr>
                <w:rFonts w:cs="Arial"/>
                <w:sz w:val="22"/>
                <w:szCs w:val="22"/>
              </w:rPr>
            </w:pPr>
          </w:p>
        </w:tc>
        <w:tc>
          <w:tcPr>
            <w:tcW w:w="1695" w:type="dxa"/>
          </w:tcPr>
          <w:p w14:paraId="660354C7" w14:textId="77777777" w:rsidR="009D3B50" w:rsidRPr="009D3B50" w:rsidRDefault="009D3B50" w:rsidP="002931FD">
            <w:pPr>
              <w:pStyle w:val="StdBodyText"/>
              <w:rPr>
                <w:rFonts w:cs="Arial"/>
                <w:sz w:val="22"/>
                <w:szCs w:val="22"/>
              </w:rPr>
            </w:pPr>
          </w:p>
        </w:tc>
        <w:tc>
          <w:tcPr>
            <w:tcW w:w="1350" w:type="dxa"/>
          </w:tcPr>
          <w:p w14:paraId="28D84F27" w14:textId="77777777" w:rsidR="009D3B50" w:rsidRPr="009D3B50" w:rsidRDefault="009D3B50" w:rsidP="002931FD">
            <w:pPr>
              <w:pStyle w:val="StdBodyText"/>
              <w:rPr>
                <w:rFonts w:cs="Arial"/>
                <w:sz w:val="22"/>
                <w:szCs w:val="22"/>
              </w:rPr>
            </w:pPr>
            <w:r w:rsidRPr="009D3B50">
              <w:rPr>
                <w:rFonts w:cs="Arial"/>
                <w:sz w:val="22"/>
                <w:szCs w:val="22"/>
              </w:rPr>
              <w:t xml:space="preserve"> </w:t>
            </w:r>
          </w:p>
        </w:tc>
        <w:tc>
          <w:tcPr>
            <w:tcW w:w="1883" w:type="dxa"/>
          </w:tcPr>
          <w:p w14:paraId="0D61647C" w14:textId="77777777" w:rsidR="009D3B50" w:rsidRPr="009D3B50" w:rsidRDefault="009D3B50" w:rsidP="002931FD">
            <w:pPr>
              <w:pStyle w:val="StdBodyText"/>
              <w:rPr>
                <w:rFonts w:cs="Arial"/>
                <w:sz w:val="22"/>
                <w:szCs w:val="22"/>
              </w:rPr>
            </w:pPr>
            <w:r w:rsidRPr="009D3B50">
              <w:rPr>
                <w:rFonts w:cs="Arial"/>
                <w:sz w:val="22"/>
                <w:szCs w:val="22"/>
              </w:rPr>
              <w:t xml:space="preserve"> </w:t>
            </w:r>
          </w:p>
        </w:tc>
        <w:tc>
          <w:tcPr>
            <w:tcW w:w="4016" w:type="dxa"/>
          </w:tcPr>
          <w:p w14:paraId="6C58B04D" w14:textId="77777777" w:rsidR="009D3B50" w:rsidRPr="009D3B50" w:rsidRDefault="009D3B50" w:rsidP="002931FD">
            <w:pPr>
              <w:pStyle w:val="StdBodyText"/>
              <w:rPr>
                <w:rFonts w:cs="Arial"/>
                <w:sz w:val="22"/>
                <w:szCs w:val="22"/>
              </w:rPr>
            </w:pPr>
            <w:r w:rsidRPr="009D3B50">
              <w:rPr>
                <w:rFonts w:cs="Arial"/>
                <w:sz w:val="22"/>
                <w:szCs w:val="22"/>
              </w:rPr>
              <w:t xml:space="preserve"> </w:t>
            </w:r>
          </w:p>
        </w:tc>
        <w:tc>
          <w:tcPr>
            <w:tcW w:w="1802" w:type="dxa"/>
          </w:tcPr>
          <w:p w14:paraId="21707036" w14:textId="77777777" w:rsidR="009D3B50" w:rsidRPr="009D3B50" w:rsidRDefault="009D3B50" w:rsidP="002931FD">
            <w:pPr>
              <w:pStyle w:val="StdBodyText"/>
              <w:rPr>
                <w:rFonts w:cs="Arial"/>
                <w:sz w:val="22"/>
                <w:szCs w:val="22"/>
              </w:rPr>
            </w:pPr>
            <w:r w:rsidRPr="009D3B50">
              <w:rPr>
                <w:rFonts w:cs="Arial"/>
                <w:sz w:val="22"/>
                <w:szCs w:val="22"/>
              </w:rPr>
              <w:t xml:space="preserve"> </w:t>
            </w:r>
          </w:p>
        </w:tc>
      </w:tr>
      <w:tr w:rsidR="009D3B50" w:rsidRPr="009D3B50" w14:paraId="36F5C553" w14:textId="77777777" w:rsidTr="002931FD">
        <w:tc>
          <w:tcPr>
            <w:tcW w:w="1404" w:type="dxa"/>
            <w:shd w:val="solid" w:color="CCECFF" w:fill="auto"/>
          </w:tcPr>
          <w:p w14:paraId="5F5B6F7D" w14:textId="77777777" w:rsidR="009D3B50" w:rsidRPr="009D3B50" w:rsidRDefault="009D3B50" w:rsidP="002931FD">
            <w:pPr>
              <w:pStyle w:val="StdBodyTextBold"/>
              <w:rPr>
                <w:rFonts w:cs="Arial"/>
                <w:sz w:val="22"/>
                <w:szCs w:val="22"/>
              </w:rPr>
            </w:pPr>
            <w:r w:rsidRPr="009D3B50">
              <w:rPr>
                <w:rFonts w:cs="Arial"/>
                <w:sz w:val="22"/>
                <w:szCs w:val="22"/>
              </w:rPr>
              <w:t>Emp No</w:t>
            </w:r>
          </w:p>
        </w:tc>
        <w:tc>
          <w:tcPr>
            <w:tcW w:w="1843" w:type="dxa"/>
          </w:tcPr>
          <w:p w14:paraId="51D0EF71" w14:textId="77777777" w:rsidR="009D3B50" w:rsidRPr="009D3B50" w:rsidRDefault="009D3B50" w:rsidP="002931FD">
            <w:pPr>
              <w:pStyle w:val="StdBodyText"/>
              <w:rPr>
                <w:rFonts w:cs="Arial"/>
                <w:sz w:val="22"/>
                <w:szCs w:val="22"/>
              </w:rPr>
            </w:pPr>
          </w:p>
        </w:tc>
        <w:tc>
          <w:tcPr>
            <w:tcW w:w="1695" w:type="dxa"/>
          </w:tcPr>
          <w:p w14:paraId="577EA481" w14:textId="77777777" w:rsidR="009D3B50" w:rsidRPr="009D3B50" w:rsidRDefault="009D3B50" w:rsidP="002931FD">
            <w:pPr>
              <w:pStyle w:val="StdBodyText"/>
              <w:rPr>
                <w:rFonts w:cs="Arial"/>
                <w:sz w:val="22"/>
                <w:szCs w:val="22"/>
              </w:rPr>
            </w:pPr>
          </w:p>
        </w:tc>
        <w:tc>
          <w:tcPr>
            <w:tcW w:w="1350" w:type="dxa"/>
          </w:tcPr>
          <w:p w14:paraId="3079DCA1" w14:textId="77777777" w:rsidR="009D3B50" w:rsidRPr="009D3B50" w:rsidRDefault="009D3B50" w:rsidP="002931FD">
            <w:pPr>
              <w:pStyle w:val="StdBodyText"/>
              <w:rPr>
                <w:rFonts w:cs="Arial"/>
                <w:sz w:val="22"/>
                <w:szCs w:val="22"/>
              </w:rPr>
            </w:pPr>
            <w:r w:rsidRPr="009D3B50">
              <w:rPr>
                <w:rFonts w:cs="Arial"/>
                <w:sz w:val="22"/>
                <w:szCs w:val="22"/>
              </w:rPr>
              <w:t xml:space="preserve"> </w:t>
            </w:r>
          </w:p>
        </w:tc>
        <w:tc>
          <w:tcPr>
            <w:tcW w:w="1883" w:type="dxa"/>
          </w:tcPr>
          <w:p w14:paraId="4E11D851" w14:textId="77777777" w:rsidR="009D3B50" w:rsidRPr="009D3B50" w:rsidRDefault="009D3B50" w:rsidP="002931FD">
            <w:pPr>
              <w:pStyle w:val="StdBodyText"/>
              <w:rPr>
                <w:rFonts w:cs="Arial"/>
                <w:sz w:val="22"/>
                <w:szCs w:val="22"/>
              </w:rPr>
            </w:pPr>
            <w:r w:rsidRPr="009D3B50">
              <w:rPr>
                <w:rFonts w:cs="Arial"/>
                <w:sz w:val="22"/>
                <w:szCs w:val="22"/>
              </w:rPr>
              <w:t xml:space="preserve"> </w:t>
            </w:r>
          </w:p>
        </w:tc>
        <w:tc>
          <w:tcPr>
            <w:tcW w:w="4016" w:type="dxa"/>
          </w:tcPr>
          <w:p w14:paraId="1DA46E60" w14:textId="77777777" w:rsidR="009D3B50" w:rsidRPr="009D3B50" w:rsidRDefault="009D3B50" w:rsidP="002931FD">
            <w:pPr>
              <w:pStyle w:val="StdBodyText"/>
              <w:rPr>
                <w:rFonts w:cs="Arial"/>
                <w:sz w:val="22"/>
                <w:szCs w:val="22"/>
              </w:rPr>
            </w:pPr>
            <w:r w:rsidRPr="009D3B50">
              <w:rPr>
                <w:rFonts w:cs="Arial"/>
                <w:sz w:val="22"/>
                <w:szCs w:val="22"/>
              </w:rPr>
              <w:t xml:space="preserve"> </w:t>
            </w:r>
          </w:p>
        </w:tc>
        <w:tc>
          <w:tcPr>
            <w:tcW w:w="1802" w:type="dxa"/>
          </w:tcPr>
          <w:p w14:paraId="482B0F46" w14:textId="77777777" w:rsidR="009D3B50" w:rsidRPr="009D3B50" w:rsidRDefault="009D3B50" w:rsidP="002931FD">
            <w:pPr>
              <w:pStyle w:val="StdBodyText"/>
              <w:rPr>
                <w:rFonts w:cs="Arial"/>
                <w:sz w:val="22"/>
                <w:szCs w:val="22"/>
              </w:rPr>
            </w:pPr>
            <w:r w:rsidRPr="009D3B50">
              <w:rPr>
                <w:rFonts w:cs="Arial"/>
                <w:sz w:val="22"/>
                <w:szCs w:val="22"/>
              </w:rPr>
              <w:t xml:space="preserve"> </w:t>
            </w:r>
          </w:p>
        </w:tc>
      </w:tr>
      <w:tr w:rsidR="009D3B50" w:rsidRPr="009D3B50" w14:paraId="4652F329" w14:textId="77777777" w:rsidTr="002931FD">
        <w:tc>
          <w:tcPr>
            <w:tcW w:w="1404" w:type="dxa"/>
            <w:shd w:val="solid" w:color="CCECFF" w:fill="auto"/>
          </w:tcPr>
          <w:p w14:paraId="0D9FD347" w14:textId="77777777" w:rsidR="009D3B50" w:rsidRPr="009D3B50" w:rsidRDefault="009D3B50" w:rsidP="002931FD">
            <w:pPr>
              <w:pStyle w:val="StdBodyTextBold"/>
              <w:rPr>
                <w:rFonts w:cs="Arial"/>
                <w:sz w:val="22"/>
                <w:szCs w:val="22"/>
              </w:rPr>
            </w:pPr>
            <w:r w:rsidRPr="009D3B50">
              <w:rPr>
                <w:rFonts w:cs="Arial"/>
                <w:sz w:val="22"/>
                <w:szCs w:val="22"/>
              </w:rPr>
              <w:lastRenderedPageBreak/>
              <w:t>Emp No</w:t>
            </w:r>
          </w:p>
        </w:tc>
        <w:tc>
          <w:tcPr>
            <w:tcW w:w="1843" w:type="dxa"/>
          </w:tcPr>
          <w:p w14:paraId="47790144" w14:textId="77777777" w:rsidR="009D3B50" w:rsidRPr="009D3B50" w:rsidRDefault="009D3B50" w:rsidP="002931FD">
            <w:pPr>
              <w:pStyle w:val="StdBodyText"/>
              <w:rPr>
                <w:rFonts w:cs="Arial"/>
                <w:sz w:val="22"/>
                <w:szCs w:val="22"/>
              </w:rPr>
            </w:pPr>
          </w:p>
        </w:tc>
        <w:tc>
          <w:tcPr>
            <w:tcW w:w="1695" w:type="dxa"/>
          </w:tcPr>
          <w:p w14:paraId="08326992" w14:textId="77777777" w:rsidR="009D3B50" w:rsidRPr="009D3B50" w:rsidRDefault="009D3B50" w:rsidP="002931FD">
            <w:pPr>
              <w:pStyle w:val="StdBodyText"/>
              <w:rPr>
                <w:rFonts w:cs="Arial"/>
                <w:sz w:val="22"/>
                <w:szCs w:val="22"/>
              </w:rPr>
            </w:pPr>
          </w:p>
        </w:tc>
        <w:tc>
          <w:tcPr>
            <w:tcW w:w="1350" w:type="dxa"/>
          </w:tcPr>
          <w:p w14:paraId="1108ADAE" w14:textId="77777777" w:rsidR="009D3B50" w:rsidRPr="009D3B50" w:rsidRDefault="009D3B50" w:rsidP="002931FD">
            <w:pPr>
              <w:pStyle w:val="StdBodyText"/>
              <w:rPr>
                <w:rFonts w:cs="Arial"/>
                <w:sz w:val="22"/>
                <w:szCs w:val="22"/>
              </w:rPr>
            </w:pPr>
            <w:r w:rsidRPr="009D3B50">
              <w:rPr>
                <w:rFonts w:cs="Arial"/>
                <w:sz w:val="22"/>
                <w:szCs w:val="22"/>
              </w:rPr>
              <w:t xml:space="preserve"> </w:t>
            </w:r>
          </w:p>
        </w:tc>
        <w:tc>
          <w:tcPr>
            <w:tcW w:w="1883" w:type="dxa"/>
          </w:tcPr>
          <w:p w14:paraId="14FBA310" w14:textId="77777777" w:rsidR="009D3B50" w:rsidRPr="009D3B50" w:rsidRDefault="009D3B50" w:rsidP="002931FD">
            <w:pPr>
              <w:pStyle w:val="StdBodyText"/>
              <w:rPr>
                <w:rFonts w:cs="Arial"/>
                <w:sz w:val="22"/>
                <w:szCs w:val="22"/>
              </w:rPr>
            </w:pPr>
            <w:r w:rsidRPr="009D3B50">
              <w:rPr>
                <w:rFonts w:cs="Arial"/>
                <w:sz w:val="22"/>
                <w:szCs w:val="22"/>
              </w:rPr>
              <w:t xml:space="preserve"> </w:t>
            </w:r>
          </w:p>
        </w:tc>
        <w:tc>
          <w:tcPr>
            <w:tcW w:w="4016" w:type="dxa"/>
          </w:tcPr>
          <w:p w14:paraId="14AB4ECB" w14:textId="77777777" w:rsidR="009D3B50" w:rsidRPr="009D3B50" w:rsidRDefault="009D3B50" w:rsidP="002931FD">
            <w:pPr>
              <w:pStyle w:val="StdBodyText"/>
              <w:rPr>
                <w:rFonts w:cs="Arial"/>
                <w:sz w:val="22"/>
                <w:szCs w:val="22"/>
              </w:rPr>
            </w:pPr>
            <w:r w:rsidRPr="009D3B50">
              <w:rPr>
                <w:rFonts w:cs="Arial"/>
                <w:sz w:val="22"/>
                <w:szCs w:val="22"/>
              </w:rPr>
              <w:t xml:space="preserve"> </w:t>
            </w:r>
          </w:p>
        </w:tc>
        <w:tc>
          <w:tcPr>
            <w:tcW w:w="1802" w:type="dxa"/>
          </w:tcPr>
          <w:p w14:paraId="0AFA7B25" w14:textId="77777777" w:rsidR="009D3B50" w:rsidRPr="009D3B50" w:rsidRDefault="009D3B50" w:rsidP="002931FD">
            <w:pPr>
              <w:pStyle w:val="StdBodyText"/>
              <w:rPr>
                <w:rFonts w:cs="Arial"/>
                <w:sz w:val="22"/>
                <w:szCs w:val="22"/>
              </w:rPr>
            </w:pPr>
            <w:r w:rsidRPr="009D3B50">
              <w:rPr>
                <w:rFonts w:cs="Arial"/>
                <w:sz w:val="22"/>
                <w:szCs w:val="22"/>
              </w:rPr>
              <w:t xml:space="preserve"> </w:t>
            </w:r>
          </w:p>
        </w:tc>
      </w:tr>
      <w:tr w:rsidR="009D3B50" w:rsidRPr="009D3B50" w14:paraId="7CE4A259" w14:textId="77777777" w:rsidTr="002931FD">
        <w:tc>
          <w:tcPr>
            <w:tcW w:w="1404" w:type="dxa"/>
            <w:shd w:val="solid" w:color="CCECFF" w:fill="auto"/>
          </w:tcPr>
          <w:p w14:paraId="774758FD" w14:textId="77777777" w:rsidR="009D3B50" w:rsidRPr="009D3B50" w:rsidRDefault="009D3B50" w:rsidP="002931FD">
            <w:pPr>
              <w:pStyle w:val="StdBodyTextBold"/>
              <w:rPr>
                <w:rFonts w:cs="Arial"/>
                <w:sz w:val="22"/>
                <w:szCs w:val="22"/>
              </w:rPr>
            </w:pPr>
            <w:r w:rsidRPr="009D3B50">
              <w:rPr>
                <w:rFonts w:cs="Arial"/>
                <w:sz w:val="22"/>
                <w:szCs w:val="22"/>
              </w:rPr>
              <w:t>Emp No</w:t>
            </w:r>
          </w:p>
        </w:tc>
        <w:tc>
          <w:tcPr>
            <w:tcW w:w="1843" w:type="dxa"/>
          </w:tcPr>
          <w:p w14:paraId="072DCDBC" w14:textId="77777777" w:rsidR="009D3B50" w:rsidRPr="009D3B50" w:rsidRDefault="009D3B50" w:rsidP="002931FD">
            <w:pPr>
              <w:pStyle w:val="StdBodyText"/>
              <w:rPr>
                <w:rFonts w:cs="Arial"/>
                <w:sz w:val="22"/>
                <w:szCs w:val="22"/>
              </w:rPr>
            </w:pPr>
          </w:p>
        </w:tc>
        <w:tc>
          <w:tcPr>
            <w:tcW w:w="1695" w:type="dxa"/>
          </w:tcPr>
          <w:p w14:paraId="033A6776" w14:textId="77777777" w:rsidR="009D3B50" w:rsidRPr="009D3B50" w:rsidRDefault="009D3B50" w:rsidP="002931FD">
            <w:pPr>
              <w:pStyle w:val="StdBodyText"/>
              <w:rPr>
                <w:rFonts w:cs="Arial"/>
                <w:sz w:val="22"/>
                <w:szCs w:val="22"/>
              </w:rPr>
            </w:pPr>
          </w:p>
        </w:tc>
        <w:tc>
          <w:tcPr>
            <w:tcW w:w="1350" w:type="dxa"/>
          </w:tcPr>
          <w:p w14:paraId="729FDC40" w14:textId="77777777" w:rsidR="009D3B50" w:rsidRPr="009D3B50" w:rsidRDefault="009D3B50" w:rsidP="002931FD">
            <w:pPr>
              <w:pStyle w:val="StdBodyText"/>
              <w:rPr>
                <w:rFonts w:cs="Arial"/>
                <w:sz w:val="22"/>
                <w:szCs w:val="22"/>
              </w:rPr>
            </w:pPr>
            <w:r w:rsidRPr="009D3B50">
              <w:rPr>
                <w:rFonts w:cs="Arial"/>
                <w:sz w:val="22"/>
                <w:szCs w:val="22"/>
              </w:rPr>
              <w:t xml:space="preserve"> </w:t>
            </w:r>
          </w:p>
        </w:tc>
        <w:tc>
          <w:tcPr>
            <w:tcW w:w="1883" w:type="dxa"/>
          </w:tcPr>
          <w:p w14:paraId="79D180E7" w14:textId="77777777" w:rsidR="009D3B50" w:rsidRPr="009D3B50" w:rsidRDefault="009D3B50" w:rsidP="002931FD">
            <w:pPr>
              <w:pStyle w:val="StdBodyText"/>
              <w:rPr>
                <w:rFonts w:cs="Arial"/>
                <w:sz w:val="22"/>
                <w:szCs w:val="22"/>
              </w:rPr>
            </w:pPr>
            <w:r w:rsidRPr="009D3B50">
              <w:rPr>
                <w:rFonts w:cs="Arial"/>
                <w:sz w:val="22"/>
                <w:szCs w:val="22"/>
              </w:rPr>
              <w:t xml:space="preserve"> </w:t>
            </w:r>
          </w:p>
        </w:tc>
        <w:tc>
          <w:tcPr>
            <w:tcW w:w="4016" w:type="dxa"/>
          </w:tcPr>
          <w:p w14:paraId="754B2636" w14:textId="77777777" w:rsidR="009D3B50" w:rsidRPr="009D3B50" w:rsidRDefault="009D3B50" w:rsidP="002931FD">
            <w:pPr>
              <w:pStyle w:val="StdBodyText"/>
              <w:rPr>
                <w:rFonts w:cs="Arial"/>
                <w:sz w:val="22"/>
                <w:szCs w:val="22"/>
              </w:rPr>
            </w:pPr>
            <w:r w:rsidRPr="009D3B50">
              <w:rPr>
                <w:rFonts w:cs="Arial"/>
                <w:sz w:val="22"/>
                <w:szCs w:val="22"/>
              </w:rPr>
              <w:t xml:space="preserve"> </w:t>
            </w:r>
          </w:p>
        </w:tc>
        <w:tc>
          <w:tcPr>
            <w:tcW w:w="1802" w:type="dxa"/>
          </w:tcPr>
          <w:p w14:paraId="5F05CF0A" w14:textId="77777777" w:rsidR="009D3B50" w:rsidRPr="009D3B50" w:rsidRDefault="009D3B50" w:rsidP="002931FD">
            <w:pPr>
              <w:pStyle w:val="StdBodyText"/>
              <w:rPr>
                <w:rFonts w:cs="Arial"/>
                <w:sz w:val="22"/>
                <w:szCs w:val="22"/>
              </w:rPr>
            </w:pPr>
            <w:r w:rsidRPr="009D3B50">
              <w:rPr>
                <w:rFonts w:cs="Arial"/>
                <w:sz w:val="22"/>
                <w:szCs w:val="22"/>
              </w:rPr>
              <w:t xml:space="preserve"> </w:t>
            </w:r>
          </w:p>
        </w:tc>
      </w:tr>
      <w:tr w:rsidR="009D3B50" w:rsidRPr="009D3B50" w14:paraId="0D7DD1CD" w14:textId="77777777" w:rsidTr="002931FD">
        <w:tc>
          <w:tcPr>
            <w:tcW w:w="1404" w:type="dxa"/>
            <w:shd w:val="solid" w:color="CCECFF" w:fill="auto"/>
          </w:tcPr>
          <w:p w14:paraId="6A3529DD" w14:textId="77777777" w:rsidR="009D3B50" w:rsidRPr="009D3B50" w:rsidRDefault="009D3B50" w:rsidP="002931FD">
            <w:pPr>
              <w:pStyle w:val="StdBodyTextBold"/>
              <w:rPr>
                <w:rFonts w:cs="Arial"/>
                <w:sz w:val="22"/>
                <w:szCs w:val="22"/>
              </w:rPr>
            </w:pPr>
            <w:r w:rsidRPr="009D3B50">
              <w:rPr>
                <w:rFonts w:cs="Arial"/>
                <w:sz w:val="22"/>
                <w:szCs w:val="22"/>
              </w:rPr>
              <w:t>Emp No</w:t>
            </w:r>
          </w:p>
        </w:tc>
        <w:tc>
          <w:tcPr>
            <w:tcW w:w="1843" w:type="dxa"/>
          </w:tcPr>
          <w:p w14:paraId="1493F51B" w14:textId="77777777" w:rsidR="009D3B50" w:rsidRPr="009D3B50" w:rsidRDefault="009D3B50" w:rsidP="002931FD">
            <w:pPr>
              <w:pStyle w:val="StdBodyText"/>
              <w:rPr>
                <w:rFonts w:cs="Arial"/>
                <w:sz w:val="22"/>
                <w:szCs w:val="22"/>
              </w:rPr>
            </w:pPr>
          </w:p>
        </w:tc>
        <w:tc>
          <w:tcPr>
            <w:tcW w:w="1695" w:type="dxa"/>
          </w:tcPr>
          <w:p w14:paraId="0B2EBCEB" w14:textId="77777777" w:rsidR="009D3B50" w:rsidRPr="009D3B50" w:rsidRDefault="009D3B50" w:rsidP="002931FD">
            <w:pPr>
              <w:pStyle w:val="StdBodyText"/>
              <w:rPr>
                <w:rFonts w:cs="Arial"/>
                <w:sz w:val="22"/>
                <w:szCs w:val="22"/>
              </w:rPr>
            </w:pPr>
          </w:p>
        </w:tc>
        <w:tc>
          <w:tcPr>
            <w:tcW w:w="1350" w:type="dxa"/>
          </w:tcPr>
          <w:p w14:paraId="1B122803" w14:textId="77777777" w:rsidR="009D3B50" w:rsidRPr="009D3B50" w:rsidRDefault="009D3B50" w:rsidP="002931FD">
            <w:pPr>
              <w:pStyle w:val="StdBodyText"/>
              <w:rPr>
                <w:rFonts w:cs="Arial"/>
                <w:sz w:val="22"/>
                <w:szCs w:val="22"/>
              </w:rPr>
            </w:pPr>
            <w:r w:rsidRPr="009D3B50">
              <w:rPr>
                <w:rFonts w:cs="Arial"/>
                <w:sz w:val="22"/>
                <w:szCs w:val="22"/>
              </w:rPr>
              <w:t xml:space="preserve"> </w:t>
            </w:r>
          </w:p>
        </w:tc>
        <w:tc>
          <w:tcPr>
            <w:tcW w:w="1883" w:type="dxa"/>
          </w:tcPr>
          <w:p w14:paraId="2295CE1D" w14:textId="77777777" w:rsidR="009D3B50" w:rsidRPr="009D3B50" w:rsidRDefault="009D3B50" w:rsidP="002931FD">
            <w:pPr>
              <w:pStyle w:val="StdBodyText"/>
              <w:rPr>
                <w:rFonts w:cs="Arial"/>
                <w:sz w:val="22"/>
                <w:szCs w:val="22"/>
              </w:rPr>
            </w:pPr>
            <w:r w:rsidRPr="009D3B50">
              <w:rPr>
                <w:rFonts w:cs="Arial"/>
                <w:sz w:val="22"/>
                <w:szCs w:val="22"/>
              </w:rPr>
              <w:t xml:space="preserve"> </w:t>
            </w:r>
          </w:p>
        </w:tc>
        <w:tc>
          <w:tcPr>
            <w:tcW w:w="4016" w:type="dxa"/>
          </w:tcPr>
          <w:p w14:paraId="6810EBE6" w14:textId="77777777" w:rsidR="009D3B50" w:rsidRPr="009D3B50" w:rsidRDefault="009D3B50" w:rsidP="002931FD">
            <w:pPr>
              <w:pStyle w:val="StdBodyText"/>
              <w:rPr>
                <w:rFonts w:cs="Arial"/>
                <w:sz w:val="22"/>
                <w:szCs w:val="22"/>
              </w:rPr>
            </w:pPr>
            <w:r w:rsidRPr="009D3B50">
              <w:rPr>
                <w:rFonts w:cs="Arial"/>
                <w:sz w:val="22"/>
                <w:szCs w:val="22"/>
              </w:rPr>
              <w:t xml:space="preserve"> </w:t>
            </w:r>
          </w:p>
        </w:tc>
        <w:tc>
          <w:tcPr>
            <w:tcW w:w="1802" w:type="dxa"/>
          </w:tcPr>
          <w:p w14:paraId="6C36CDB0" w14:textId="77777777" w:rsidR="009D3B50" w:rsidRPr="009D3B50" w:rsidRDefault="009D3B50" w:rsidP="002931FD">
            <w:pPr>
              <w:pStyle w:val="StdBodyText"/>
              <w:rPr>
                <w:rFonts w:cs="Arial"/>
                <w:sz w:val="22"/>
                <w:szCs w:val="22"/>
              </w:rPr>
            </w:pPr>
            <w:r w:rsidRPr="009D3B50">
              <w:rPr>
                <w:rFonts w:cs="Arial"/>
                <w:sz w:val="22"/>
                <w:szCs w:val="22"/>
              </w:rPr>
              <w:t xml:space="preserve"> </w:t>
            </w:r>
          </w:p>
        </w:tc>
      </w:tr>
      <w:tr w:rsidR="009D3B50" w:rsidRPr="009D3B50" w14:paraId="6A6A68CC" w14:textId="77777777" w:rsidTr="002931FD">
        <w:tc>
          <w:tcPr>
            <w:tcW w:w="1404" w:type="dxa"/>
            <w:shd w:val="solid" w:color="CCECFF" w:fill="auto"/>
          </w:tcPr>
          <w:p w14:paraId="2EE65880" w14:textId="77777777" w:rsidR="009D3B50" w:rsidRPr="009D3B50" w:rsidRDefault="009D3B50" w:rsidP="002931FD">
            <w:pPr>
              <w:pStyle w:val="StdBodyTextBold"/>
              <w:rPr>
                <w:rFonts w:cs="Arial"/>
                <w:sz w:val="22"/>
                <w:szCs w:val="22"/>
              </w:rPr>
            </w:pPr>
            <w:r w:rsidRPr="009D3B50">
              <w:rPr>
                <w:rFonts w:cs="Arial"/>
                <w:sz w:val="22"/>
                <w:szCs w:val="22"/>
              </w:rPr>
              <w:t>Emp No</w:t>
            </w:r>
          </w:p>
        </w:tc>
        <w:tc>
          <w:tcPr>
            <w:tcW w:w="1843" w:type="dxa"/>
          </w:tcPr>
          <w:p w14:paraId="55DDF4B9" w14:textId="77777777" w:rsidR="009D3B50" w:rsidRPr="009D3B50" w:rsidRDefault="009D3B50" w:rsidP="002931FD">
            <w:pPr>
              <w:pStyle w:val="StdBodyText"/>
              <w:rPr>
                <w:rFonts w:cs="Arial"/>
                <w:sz w:val="22"/>
                <w:szCs w:val="22"/>
              </w:rPr>
            </w:pPr>
          </w:p>
        </w:tc>
        <w:tc>
          <w:tcPr>
            <w:tcW w:w="1695" w:type="dxa"/>
          </w:tcPr>
          <w:p w14:paraId="3F024F53" w14:textId="77777777" w:rsidR="009D3B50" w:rsidRPr="009D3B50" w:rsidRDefault="009D3B50" w:rsidP="002931FD">
            <w:pPr>
              <w:pStyle w:val="StdBodyText"/>
              <w:rPr>
                <w:rFonts w:cs="Arial"/>
                <w:sz w:val="22"/>
                <w:szCs w:val="22"/>
              </w:rPr>
            </w:pPr>
          </w:p>
        </w:tc>
        <w:tc>
          <w:tcPr>
            <w:tcW w:w="1350" w:type="dxa"/>
          </w:tcPr>
          <w:p w14:paraId="56A9EF21" w14:textId="77777777" w:rsidR="009D3B50" w:rsidRPr="009D3B50" w:rsidRDefault="009D3B50" w:rsidP="002931FD">
            <w:pPr>
              <w:pStyle w:val="StdBodyText"/>
              <w:rPr>
                <w:rFonts w:cs="Arial"/>
                <w:sz w:val="22"/>
                <w:szCs w:val="22"/>
              </w:rPr>
            </w:pPr>
            <w:r w:rsidRPr="009D3B50">
              <w:rPr>
                <w:rFonts w:cs="Arial"/>
                <w:sz w:val="22"/>
                <w:szCs w:val="22"/>
              </w:rPr>
              <w:t xml:space="preserve"> </w:t>
            </w:r>
          </w:p>
        </w:tc>
        <w:tc>
          <w:tcPr>
            <w:tcW w:w="1883" w:type="dxa"/>
          </w:tcPr>
          <w:p w14:paraId="5047A5DF" w14:textId="77777777" w:rsidR="009D3B50" w:rsidRPr="009D3B50" w:rsidRDefault="009D3B50" w:rsidP="002931FD">
            <w:pPr>
              <w:pStyle w:val="StdBodyText"/>
              <w:rPr>
                <w:rFonts w:cs="Arial"/>
                <w:sz w:val="22"/>
                <w:szCs w:val="22"/>
              </w:rPr>
            </w:pPr>
            <w:r w:rsidRPr="009D3B50">
              <w:rPr>
                <w:rFonts w:cs="Arial"/>
                <w:sz w:val="22"/>
                <w:szCs w:val="22"/>
              </w:rPr>
              <w:t xml:space="preserve"> </w:t>
            </w:r>
          </w:p>
        </w:tc>
        <w:tc>
          <w:tcPr>
            <w:tcW w:w="4016" w:type="dxa"/>
          </w:tcPr>
          <w:p w14:paraId="67B33087" w14:textId="77777777" w:rsidR="009D3B50" w:rsidRPr="009D3B50" w:rsidRDefault="009D3B50" w:rsidP="002931FD">
            <w:pPr>
              <w:pStyle w:val="StdBodyText"/>
              <w:rPr>
                <w:rFonts w:cs="Arial"/>
                <w:sz w:val="22"/>
                <w:szCs w:val="22"/>
              </w:rPr>
            </w:pPr>
            <w:r w:rsidRPr="009D3B50">
              <w:rPr>
                <w:rFonts w:cs="Arial"/>
                <w:sz w:val="22"/>
                <w:szCs w:val="22"/>
              </w:rPr>
              <w:t xml:space="preserve"> </w:t>
            </w:r>
          </w:p>
        </w:tc>
        <w:tc>
          <w:tcPr>
            <w:tcW w:w="1802" w:type="dxa"/>
          </w:tcPr>
          <w:p w14:paraId="6059A70C" w14:textId="77777777" w:rsidR="009D3B50" w:rsidRPr="009D3B50" w:rsidRDefault="009D3B50" w:rsidP="002931FD">
            <w:pPr>
              <w:pStyle w:val="StdBodyText"/>
              <w:rPr>
                <w:rFonts w:cs="Arial"/>
                <w:sz w:val="22"/>
                <w:szCs w:val="22"/>
              </w:rPr>
            </w:pPr>
            <w:r w:rsidRPr="009D3B50">
              <w:rPr>
                <w:rFonts w:cs="Arial"/>
                <w:sz w:val="22"/>
                <w:szCs w:val="22"/>
              </w:rPr>
              <w:t xml:space="preserve"> </w:t>
            </w:r>
          </w:p>
        </w:tc>
      </w:tr>
    </w:tbl>
    <w:p w14:paraId="0F435A77" w14:textId="77777777" w:rsidR="009D3B50" w:rsidRPr="009D3B50" w:rsidRDefault="009D3B50" w:rsidP="009D3B50">
      <w:pPr>
        <w:pStyle w:val="StdBodyText"/>
        <w:rPr>
          <w:rFonts w:cs="Arial"/>
          <w:sz w:val="22"/>
          <w:szCs w:val="22"/>
        </w:rPr>
      </w:pPr>
    </w:p>
    <w:tbl>
      <w:tblPr>
        <w:tblStyle w:val="TableGrid"/>
        <w:tblW w:w="0" w:type="auto"/>
        <w:tblLook w:val="04A0" w:firstRow="1" w:lastRow="0" w:firstColumn="1" w:lastColumn="0" w:noHBand="0" w:noVBand="1"/>
      </w:tblPr>
      <w:tblGrid>
        <w:gridCol w:w="1228"/>
        <w:gridCol w:w="2522"/>
        <w:gridCol w:w="2619"/>
        <w:gridCol w:w="2646"/>
      </w:tblGrid>
      <w:tr w:rsidR="009D3B50" w:rsidRPr="009D3B50" w14:paraId="77951F91" w14:textId="77777777" w:rsidTr="002931FD">
        <w:tc>
          <w:tcPr>
            <w:tcW w:w="1555" w:type="dxa"/>
            <w:tcBorders>
              <w:top w:val="nil"/>
              <w:left w:val="nil"/>
              <w:bottom w:val="single" w:sz="4" w:space="0" w:color="auto"/>
            </w:tcBorders>
          </w:tcPr>
          <w:p w14:paraId="25F2407A" w14:textId="77777777" w:rsidR="009D3B50" w:rsidRPr="009D3B50" w:rsidRDefault="009D3B50" w:rsidP="002931FD">
            <w:pPr>
              <w:pStyle w:val="StdBodyText"/>
              <w:rPr>
                <w:rFonts w:cs="Arial"/>
                <w:sz w:val="22"/>
                <w:szCs w:val="22"/>
              </w:rPr>
            </w:pPr>
          </w:p>
        </w:tc>
        <w:tc>
          <w:tcPr>
            <w:tcW w:w="12433" w:type="dxa"/>
            <w:gridSpan w:val="3"/>
            <w:shd w:val="solid" w:color="FF99CC" w:fill="auto"/>
          </w:tcPr>
          <w:p w14:paraId="59A05977" w14:textId="77777777" w:rsidR="009D3B50" w:rsidRPr="009D3B50" w:rsidRDefault="009D3B50" w:rsidP="002931FD">
            <w:pPr>
              <w:pStyle w:val="StdBodyTextBold"/>
              <w:rPr>
                <w:rFonts w:cs="Arial"/>
                <w:sz w:val="22"/>
                <w:szCs w:val="22"/>
              </w:rPr>
            </w:pPr>
            <w:r w:rsidRPr="009D3B50">
              <w:rPr>
                <w:rFonts w:cs="Arial"/>
                <w:sz w:val="22"/>
                <w:szCs w:val="22"/>
              </w:rPr>
              <w:t>OTHER</w:t>
            </w:r>
          </w:p>
        </w:tc>
      </w:tr>
      <w:tr w:rsidR="009D3B50" w:rsidRPr="009D3B50" w14:paraId="25702C8A" w14:textId="77777777" w:rsidTr="002931FD">
        <w:tc>
          <w:tcPr>
            <w:tcW w:w="1555" w:type="dxa"/>
            <w:shd w:val="solid" w:color="CCECFF" w:fill="auto"/>
          </w:tcPr>
          <w:p w14:paraId="2EE8E8C0" w14:textId="77777777" w:rsidR="009D3B50" w:rsidRPr="009D3B50" w:rsidRDefault="009D3B50" w:rsidP="002931FD">
            <w:pPr>
              <w:pStyle w:val="StdBodyTextBold"/>
              <w:rPr>
                <w:rFonts w:cs="Arial"/>
                <w:sz w:val="22"/>
                <w:szCs w:val="22"/>
              </w:rPr>
            </w:pPr>
            <w:r w:rsidRPr="009D3B50">
              <w:rPr>
                <w:rFonts w:cs="Arial"/>
                <w:sz w:val="22"/>
                <w:szCs w:val="22"/>
              </w:rPr>
              <w:t>Details</w:t>
            </w:r>
          </w:p>
        </w:tc>
        <w:tc>
          <w:tcPr>
            <w:tcW w:w="4144" w:type="dxa"/>
            <w:shd w:val="solid" w:color="FF99CC" w:fill="auto"/>
          </w:tcPr>
          <w:p w14:paraId="3835D6F5" w14:textId="77777777" w:rsidR="009D3B50" w:rsidRPr="009D3B50" w:rsidRDefault="009D3B50" w:rsidP="002931FD">
            <w:pPr>
              <w:pStyle w:val="StdBodyTextBold"/>
              <w:rPr>
                <w:rFonts w:cs="Arial"/>
                <w:sz w:val="22"/>
                <w:szCs w:val="22"/>
              </w:rPr>
            </w:pPr>
            <w:r w:rsidRPr="009D3B50">
              <w:rPr>
                <w:rFonts w:cs="Arial"/>
                <w:sz w:val="22"/>
                <w:szCs w:val="22"/>
              </w:rPr>
              <w:t>Security Check Level</w:t>
            </w:r>
          </w:p>
        </w:tc>
        <w:tc>
          <w:tcPr>
            <w:tcW w:w="4144" w:type="dxa"/>
            <w:shd w:val="solid" w:color="FF99CC" w:fill="auto"/>
          </w:tcPr>
          <w:p w14:paraId="04843A3E" w14:textId="77777777" w:rsidR="009D3B50" w:rsidRPr="009D3B50" w:rsidRDefault="009D3B50" w:rsidP="002931FD">
            <w:pPr>
              <w:pStyle w:val="StdBodyTextBold"/>
              <w:rPr>
                <w:rFonts w:cs="Arial"/>
                <w:sz w:val="22"/>
                <w:szCs w:val="22"/>
              </w:rPr>
            </w:pPr>
            <w:r w:rsidRPr="009D3B50">
              <w:rPr>
                <w:rFonts w:cs="Arial"/>
                <w:sz w:val="22"/>
                <w:szCs w:val="22"/>
              </w:rPr>
              <w:t>Security Clearance Expiry date</w:t>
            </w:r>
          </w:p>
        </w:tc>
        <w:tc>
          <w:tcPr>
            <w:tcW w:w="4145" w:type="dxa"/>
            <w:shd w:val="solid" w:color="FF99CC" w:fill="auto"/>
          </w:tcPr>
          <w:p w14:paraId="5FBB09B4" w14:textId="77777777" w:rsidR="009D3B50" w:rsidRPr="009D3B50" w:rsidRDefault="009D3B50" w:rsidP="002931FD">
            <w:pPr>
              <w:pStyle w:val="StdBodyTextBold"/>
              <w:rPr>
                <w:rFonts w:cs="Arial"/>
                <w:sz w:val="22"/>
                <w:szCs w:val="22"/>
              </w:rPr>
            </w:pPr>
            <w:r w:rsidRPr="009D3B50">
              <w:rPr>
                <w:rFonts w:cs="Arial"/>
                <w:sz w:val="22"/>
                <w:szCs w:val="22"/>
              </w:rPr>
              <w:t>Additional info or comments</w:t>
            </w:r>
          </w:p>
        </w:tc>
      </w:tr>
      <w:tr w:rsidR="009D3B50" w:rsidRPr="009D3B50" w14:paraId="6F4B6B24" w14:textId="77777777" w:rsidTr="002931FD">
        <w:tc>
          <w:tcPr>
            <w:tcW w:w="1555" w:type="dxa"/>
            <w:shd w:val="solid" w:color="CCECFF" w:fill="auto"/>
          </w:tcPr>
          <w:p w14:paraId="5B695E0F" w14:textId="77777777" w:rsidR="009D3B50" w:rsidRPr="009D3B50" w:rsidRDefault="009D3B50" w:rsidP="002931FD">
            <w:pPr>
              <w:pStyle w:val="StdBodyTextBold"/>
              <w:rPr>
                <w:rFonts w:cs="Arial"/>
                <w:sz w:val="22"/>
                <w:szCs w:val="22"/>
              </w:rPr>
            </w:pPr>
            <w:r w:rsidRPr="009D3B50">
              <w:rPr>
                <w:rFonts w:cs="Arial"/>
                <w:sz w:val="22"/>
                <w:szCs w:val="22"/>
              </w:rPr>
              <w:t>Emp No 1</w:t>
            </w:r>
          </w:p>
        </w:tc>
        <w:tc>
          <w:tcPr>
            <w:tcW w:w="4144" w:type="dxa"/>
          </w:tcPr>
          <w:p w14:paraId="744A3A91" w14:textId="77777777" w:rsidR="009D3B50" w:rsidRPr="009D3B50" w:rsidRDefault="009D3B50" w:rsidP="002931FD">
            <w:pPr>
              <w:pStyle w:val="StdBodyText"/>
              <w:rPr>
                <w:rFonts w:cs="Arial"/>
                <w:sz w:val="22"/>
                <w:szCs w:val="22"/>
              </w:rPr>
            </w:pPr>
          </w:p>
        </w:tc>
        <w:tc>
          <w:tcPr>
            <w:tcW w:w="4144" w:type="dxa"/>
          </w:tcPr>
          <w:p w14:paraId="5EB5B3B3" w14:textId="77777777" w:rsidR="009D3B50" w:rsidRPr="009D3B50" w:rsidRDefault="009D3B50" w:rsidP="002931FD">
            <w:pPr>
              <w:pStyle w:val="StdBodyText"/>
              <w:rPr>
                <w:rFonts w:cs="Arial"/>
                <w:sz w:val="22"/>
                <w:szCs w:val="22"/>
              </w:rPr>
            </w:pPr>
          </w:p>
        </w:tc>
        <w:tc>
          <w:tcPr>
            <w:tcW w:w="4145" w:type="dxa"/>
          </w:tcPr>
          <w:p w14:paraId="7BBBD0EF" w14:textId="77777777" w:rsidR="009D3B50" w:rsidRPr="009D3B50" w:rsidRDefault="009D3B50" w:rsidP="002931FD">
            <w:pPr>
              <w:pStyle w:val="StdBodyText"/>
              <w:rPr>
                <w:rFonts w:cs="Arial"/>
                <w:sz w:val="22"/>
                <w:szCs w:val="22"/>
              </w:rPr>
            </w:pPr>
          </w:p>
        </w:tc>
      </w:tr>
      <w:tr w:rsidR="009D3B50" w:rsidRPr="009D3B50" w14:paraId="39A333CC" w14:textId="77777777" w:rsidTr="002931FD">
        <w:tc>
          <w:tcPr>
            <w:tcW w:w="1555" w:type="dxa"/>
            <w:shd w:val="solid" w:color="CCECFF" w:fill="auto"/>
          </w:tcPr>
          <w:p w14:paraId="3B5A29E8" w14:textId="77777777" w:rsidR="009D3B50" w:rsidRPr="009D3B50" w:rsidRDefault="009D3B50" w:rsidP="002931FD">
            <w:pPr>
              <w:pStyle w:val="StdBodyTextBold"/>
              <w:rPr>
                <w:rFonts w:cs="Arial"/>
                <w:sz w:val="22"/>
                <w:szCs w:val="22"/>
              </w:rPr>
            </w:pPr>
            <w:r w:rsidRPr="009D3B50">
              <w:rPr>
                <w:rFonts w:cs="Arial"/>
                <w:sz w:val="22"/>
                <w:szCs w:val="22"/>
              </w:rPr>
              <w:t>Emp No 2</w:t>
            </w:r>
          </w:p>
        </w:tc>
        <w:tc>
          <w:tcPr>
            <w:tcW w:w="4144" w:type="dxa"/>
          </w:tcPr>
          <w:p w14:paraId="0D067D6E" w14:textId="77777777" w:rsidR="009D3B50" w:rsidRPr="009D3B50" w:rsidRDefault="009D3B50" w:rsidP="002931FD">
            <w:pPr>
              <w:pStyle w:val="StdBodyText"/>
              <w:rPr>
                <w:rFonts w:cs="Arial"/>
                <w:sz w:val="22"/>
                <w:szCs w:val="22"/>
              </w:rPr>
            </w:pPr>
          </w:p>
        </w:tc>
        <w:tc>
          <w:tcPr>
            <w:tcW w:w="4144" w:type="dxa"/>
          </w:tcPr>
          <w:p w14:paraId="4D0697C3" w14:textId="77777777" w:rsidR="009D3B50" w:rsidRPr="009D3B50" w:rsidRDefault="009D3B50" w:rsidP="002931FD">
            <w:pPr>
              <w:pStyle w:val="StdBodyText"/>
              <w:rPr>
                <w:rFonts w:cs="Arial"/>
                <w:sz w:val="22"/>
                <w:szCs w:val="22"/>
              </w:rPr>
            </w:pPr>
          </w:p>
        </w:tc>
        <w:tc>
          <w:tcPr>
            <w:tcW w:w="4145" w:type="dxa"/>
          </w:tcPr>
          <w:p w14:paraId="10F8F387" w14:textId="77777777" w:rsidR="009D3B50" w:rsidRPr="009D3B50" w:rsidRDefault="009D3B50" w:rsidP="002931FD">
            <w:pPr>
              <w:pStyle w:val="StdBodyText"/>
              <w:rPr>
                <w:rFonts w:cs="Arial"/>
                <w:sz w:val="22"/>
                <w:szCs w:val="22"/>
              </w:rPr>
            </w:pPr>
          </w:p>
        </w:tc>
      </w:tr>
      <w:tr w:rsidR="009D3B50" w:rsidRPr="009D3B50" w14:paraId="38F82A49" w14:textId="77777777" w:rsidTr="002931FD">
        <w:tc>
          <w:tcPr>
            <w:tcW w:w="1555" w:type="dxa"/>
            <w:shd w:val="solid" w:color="CCECFF" w:fill="auto"/>
          </w:tcPr>
          <w:p w14:paraId="4506E3F6" w14:textId="77777777" w:rsidR="009D3B50" w:rsidRPr="009D3B50" w:rsidRDefault="009D3B50" w:rsidP="002931FD">
            <w:pPr>
              <w:pStyle w:val="StdBodyTextBold"/>
              <w:rPr>
                <w:rFonts w:cs="Arial"/>
                <w:sz w:val="22"/>
                <w:szCs w:val="22"/>
              </w:rPr>
            </w:pPr>
            <w:r w:rsidRPr="009D3B50">
              <w:rPr>
                <w:rFonts w:cs="Arial"/>
                <w:sz w:val="22"/>
                <w:szCs w:val="22"/>
              </w:rPr>
              <w:t>Emp No</w:t>
            </w:r>
          </w:p>
        </w:tc>
        <w:tc>
          <w:tcPr>
            <w:tcW w:w="4144" w:type="dxa"/>
          </w:tcPr>
          <w:p w14:paraId="34643FD1" w14:textId="77777777" w:rsidR="009D3B50" w:rsidRPr="009D3B50" w:rsidRDefault="009D3B50" w:rsidP="002931FD">
            <w:pPr>
              <w:pStyle w:val="StdBodyText"/>
              <w:rPr>
                <w:rFonts w:cs="Arial"/>
                <w:sz w:val="22"/>
                <w:szCs w:val="22"/>
              </w:rPr>
            </w:pPr>
          </w:p>
        </w:tc>
        <w:tc>
          <w:tcPr>
            <w:tcW w:w="4144" w:type="dxa"/>
          </w:tcPr>
          <w:p w14:paraId="04F0FA8A" w14:textId="77777777" w:rsidR="009D3B50" w:rsidRPr="009D3B50" w:rsidRDefault="009D3B50" w:rsidP="002931FD">
            <w:pPr>
              <w:pStyle w:val="StdBodyText"/>
              <w:rPr>
                <w:rFonts w:cs="Arial"/>
                <w:sz w:val="22"/>
                <w:szCs w:val="22"/>
              </w:rPr>
            </w:pPr>
          </w:p>
        </w:tc>
        <w:tc>
          <w:tcPr>
            <w:tcW w:w="4145" w:type="dxa"/>
          </w:tcPr>
          <w:p w14:paraId="2BC829CB" w14:textId="77777777" w:rsidR="009D3B50" w:rsidRPr="009D3B50" w:rsidRDefault="009D3B50" w:rsidP="002931FD">
            <w:pPr>
              <w:pStyle w:val="StdBodyText"/>
              <w:rPr>
                <w:rFonts w:cs="Arial"/>
                <w:sz w:val="22"/>
                <w:szCs w:val="22"/>
              </w:rPr>
            </w:pPr>
          </w:p>
        </w:tc>
      </w:tr>
      <w:tr w:rsidR="009D3B50" w:rsidRPr="009D3B50" w14:paraId="40BC7E3F" w14:textId="77777777" w:rsidTr="002931FD">
        <w:tc>
          <w:tcPr>
            <w:tcW w:w="1555" w:type="dxa"/>
            <w:shd w:val="solid" w:color="CCECFF" w:fill="auto"/>
          </w:tcPr>
          <w:p w14:paraId="237B0EAF" w14:textId="77777777" w:rsidR="009D3B50" w:rsidRPr="009D3B50" w:rsidRDefault="009D3B50" w:rsidP="002931FD">
            <w:pPr>
              <w:pStyle w:val="StdBodyTextBold"/>
              <w:rPr>
                <w:rFonts w:cs="Arial"/>
                <w:sz w:val="22"/>
                <w:szCs w:val="22"/>
              </w:rPr>
            </w:pPr>
            <w:r w:rsidRPr="009D3B50">
              <w:rPr>
                <w:rFonts w:cs="Arial"/>
                <w:sz w:val="22"/>
                <w:szCs w:val="22"/>
              </w:rPr>
              <w:t>Emp No</w:t>
            </w:r>
          </w:p>
        </w:tc>
        <w:tc>
          <w:tcPr>
            <w:tcW w:w="4144" w:type="dxa"/>
          </w:tcPr>
          <w:p w14:paraId="42EF1316" w14:textId="77777777" w:rsidR="009D3B50" w:rsidRPr="009D3B50" w:rsidRDefault="009D3B50" w:rsidP="002931FD">
            <w:pPr>
              <w:pStyle w:val="StdBodyText"/>
              <w:rPr>
                <w:rFonts w:cs="Arial"/>
                <w:sz w:val="22"/>
                <w:szCs w:val="22"/>
              </w:rPr>
            </w:pPr>
          </w:p>
        </w:tc>
        <w:tc>
          <w:tcPr>
            <w:tcW w:w="4144" w:type="dxa"/>
          </w:tcPr>
          <w:p w14:paraId="68BBFFB7" w14:textId="77777777" w:rsidR="009D3B50" w:rsidRPr="009D3B50" w:rsidRDefault="009D3B50" w:rsidP="002931FD">
            <w:pPr>
              <w:pStyle w:val="StdBodyText"/>
              <w:rPr>
                <w:rFonts w:cs="Arial"/>
                <w:sz w:val="22"/>
                <w:szCs w:val="22"/>
              </w:rPr>
            </w:pPr>
          </w:p>
        </w:tc>
        <w:tc>
          <w:tcPr>
            <w:tcW w:w="4145" w:type="dxa"/>
          </w:tcPr>
          <w:p w14:paraId="0F4E0FB0" w14:textId="77777777" w:rsidR="009D3B50" w:rsidRPr="009D3B50" w:rsidRDefault="009D3B50" w:rsidP="002931FD">
            <w:pPr>
              <w:pStyle w:val="StdBodyText"/>
              <w:rPr>
                <w:rFonts w:cs="Arial"/>
                <w:sz w:val="22"/>
                <w:szCs w:val="22"/>
              </w:rPr>
            </w:pPr>
          </w:p>
        </w:tc>
      </w:tr>
      <w:tr w:rsidR="009D3B50" w:rsidRPr="009D3B50" w14:paraId="311BC056" w14:textId="77777777" w:rsidTr="002931FD">
        <w:tc>
          <w:tcPr>
            <w:tcW w:w="1555" w:type="dxa"/>
            <w:shd w:val="solid" w:color="CCECFF" w:fill="auto"/>
          </w:tcPr>
          <w:p w14:paraId="1A441047" w14:textId="77777777" w:rsidR="009D3B50" w:rsidRPr="009D3B50" w:rsidRDefault="009D3B50" w:rsidP="002931FD">
            <w:pPr>
              <w:pStyle w:val="StdBodyTextBold"/>
              <w:rPr>
                <w:rFonts w:cs="Arial"/>
                <w:sz w:val="22"/>
                <w:szCs w:val="22"/>
              </w:rPr>
            </w:pPr>
            <w:r w:rsidRPr="009D3B50">
              <w:rPr>
                <w:rFonts w:cs="Arial"/>
                <w:sz w:val="22"/>
                <w:szCs w:val="22"/>
              </w:rPr>
              <w:t>Emp No</w:t>
            </w:r>
          </w:p>
        </w:tc>
        <w:tc>
          <w:tcPr>
            <w:tcW w:w="4144" w:type="dxa"/>
          </w:tcPr>
          <w:p w14:paraId="40314205" w14:textId="77777777" w:rsidR="009D3B50" w:rsidRPr="009D3B50" w:rsidRDefault="009D3B50" w:rsidP="002931FD">
            <w:pPr>
              <w:pStyle w:val="StdBodyText"/>
              <w:rPr>
                <w:rFonts w:cs="Arial"/>
                <w:sz w:val="22"/>
                <w:szCs w:val="22"/>
              </w:rPr>
            </w:pPr>
          </w:p>
        </w:tc>
        <w:tc>
          <w:tcPr>
            <w:tcW w:w="4144" w:type="dxa"/>
          </w:tcPr>
          <w:p w14:paraId="3CBE8592" w14:textId="77777777" w:rsidR="009D3B50" w:rsidRPr="009D3B50" w:rsidRDefault="009D3B50" w:rsidP="002931FD">
            <w:pPr>
              <w:pStyle w:val="StdBodyText"/>
              <w:rPr>
                <w:rFonts w:cs="Arial"/>
                <w:sz w:val="22"/>
                <w:szCs w:val="22"/>
              </w:rPr>
            </w:pPr>
          </w:p>
        </w:tc>
        <w:tc>
          <w:tcPr>
            <w:tcW w:w="4145" w:type="dxa"/>
          </w:tcPr>
          <w:p w14:paraId="7416FE03" w14:textId="77777777" w:rsidR="009D3B50" w:rsidRPr="009D3B50" w:rsidRDefault="009D3B50" w:rsidP="002931FD">
            <w:pPr>
              <w:pStyle w:val="StdBodyText"/>
              <w:rPr>
                <w:rFonts w:cs="Arial"/>
                <w:sz w:val="22"/>
                <w:szCs w:val="22"/>
              </w:rPr>
            </w:pPr>
          </w:p>
        </w:tc>
      </w:tr>
      <w:tr w:rsidR="009D3B50" w:rsidRPr="009D3B50" w14:paraId="4840FC03" w14:textId="77777777" w:rsidTr="002931FD">
        <w:tc>
          <w:tcPr>
            <w:tcW w:w="1555" w:type="dxa"/>
            <w:shd w:val="solid" w:color="CCECFF" w:fill="auto"/>
          </w:tcPr>
          <w:p w14:paraId="10AE77D7" w14:textId="77777777" w:rsidR="009D3B50" w:rsidRPr="009D3B50" w:rsidRDefault="009D3B50" w:rsidP="002931FD">
            <w:pPr>
              <w:pStyle w:val="StdBodyTextBold"/>
              <w:rPr>
                <w:rFonts w:cs="Arial"/>
                <w:sz w:val="22"/>
                <w:szCs w:val="22"/>
              </w:rPr>
            </w:pPr>
            <w:r w:rsidRPr="009D3B50">
              <w:rPr>
                <w:rFonts w:cs="Arial"/>
                <w:sz w:val="22"/>
                <w:szCs w:val="22"/>
              </w:rPr>
              <w:t>Emp No</w:t>
            </w:r>
          </w:p>
        </w:tc>
        <w:tc>
          <w:tcPr>
            <w:tcW w:w="4144" w:type="dxa"/>
          </w:tcPr>
          <w:p w14:paraId="1038295B" w14:textId="77777777" w:rsidR="009D3B50" w:rsidRPr="009D3B50" w:rsidRDefault="009D3B50" w:rsidP="002931FD">
            <w:pPr>
              <w:pStyle w:val="StdBodyText"/>
              <w:rPr>
                <w:rFonts w:cs="Arial"/>
                <w:sz w:val="22"/>
                <w:szCs w:val="22"/>
              </w:rPr>
            </w:pPr>
          </w:p>
        </w:tc>
        <w:tc>
          <w:tcPr>
            <w:tcW w:w="4144" w:type="dxa"/>
          </w:tcPr>
          <w:p w14:paraId="55974F04" w14:textId="77777777" w:rsidR="009D3B50" w:rsidRPr="009D3B50" w:rsidRDefault="009D3B50" w:rsidP="002931FD">
            <w:pPr>
              <w:pStyle w:val="StdBodyText"/>
              <w:rPr>
                <w:rFonts w:cs="Arial"/>
                <w:sz w:val="22"/>
                <w:szCs w:val="22"/>
              </w:rPr>
            </w:pPr>
          </w:p>
        </w:tc>
        <w:tc>
          <w:tcPr>
            <w:tcW w:w="4145" w:type="dxa"/>
          </w:tcPr>
          <w:p w14:paraId="28BF26D2" w14:textId="77777777" w:rsidR="009D3B50" w:rsidRPr="009D3B50" w:rsidRDefault="009D3B50" w:rsidP="002931FD">
            <w:pPr>
              <w:pStyle w:val="StdBodyText"/>
              <w:rPr>
                <w:rFonts w:cs="Arial"/>
                <w:sz w:val="22"/>
                <w:szCs w:val="22"/>
              </w:rPr>
            </w:pPr>
          </w:p>
        </w:tc>
      </w:tr>
      <w:tr w:rsidR="009D3B50" w:rsidRPr="009D3B50" w14:paraId="7E2E1F2F" w14:textId="77777777" w:rsidTr="002931FD">
        <w:tc>
          <w:tcPr>
            <w:tcW w:w="1555" w:type="dxa"/>
            <w:shd w:val="solid" w:color="CCECFF" w:fill="auto"/>
          </w:tcPr>
          <w:p w14:paraId="0010E200" w14:textId="77777777" w:rsidR="009D3B50" w:rsidRPr="009D3B50" w:rsidRDefault="009D3B50" w:rsidP="002931FD">
            <w:pPr>
              <w:pStyle w:val="StdBodyTextBold"/>
              <w:rPr>
                <w:rFonts w:cs="Arial"/>
                <w:sz w:val="22"/>
                <w:szCs w:val="22"/>
              </w:rPr>
            </w:pPr>
            <w:r w:rsidRPr="009D3B50">
              <w:rPr>
                <w:rFonts w:cs="Arial"/>
                <w:sz w:val="22"/>
                <w:szCs w:val="22"/>
              </w:rPr>
              <w:t>Emp No</w:t>
            </w:r>
          </w:p>
        </w:tc>
        <w:tc>
          <w:tcPr>
            <w:tcW w:w="4144" w:type="dxa"/>
          </w:tcPr>
          <w:p w14:paraId="22BAC47D" w14:textId="77777777" w:rsidR="009D3B50" w:rsidRPr="009D3B50" w:rsidRDefault="009D3B50" w:rsidP="002931FD">
            <w:pPr>
              <w:pStyle w:val="StdBodyText"/>
              <w:rPr>
                <w:rFonts w:cs="Arial"/>
                <w:sz w:val="22"/>
                <w:szCs w:val="22"/>
              </w:rPr>
            </w:pPr>
          </w:p>
        </w:tc>
        <w:tc>
          <w:tcPr>
            <w:tcW w:w="4144" w:type="dxa"/>
          </w:tcPr>
          <w:p w14:paraId="7210A283" w14:textId="77777777" w:rsidR="009D3B50" w:rsidRPr="009D3B50" w:rsidRDefault="009D3B50" w:rsidP="002931FD">
            <w:pPr>
              <w:pStyle w:val="StdBodyText"/>
              <w:rPr>
                <w:rFonts w:cs="Arial"/>
                <w:sz w:val="22"/>
                <w:szCs w:val="22"/>
              </w:rPr>
            </w:pPr>
          </w:p>
        </w:tc>
        <w:tc>
          <w:tcPr>
            <w:tcW w:w="4145" w:type="dxa"/>
          </w:tcPr>
          <w:p w14:paraId="03375E6D" w14:textId="77777777" w:rsidR="009D3B50" w:rsidRPr="009D3B50" w:rsidRDefault="009D3B50" w:rsidP="002931FD">
            <w:pPr>
              <w:pStyle w:val="StdBodyText"/>
              <w:rPr>
                <w:rFonts w:cs="Arial"/>
                <w:sz w:val="22"/>
                <w:szCs w:val="22"/>
              </w:rPr>
            </w:pPr>
          </w:p>
        </w:tc>
      </w:tr>
    </w:tbl>
    <w:p w14:paraId="4A6F58FE" w14:textId="77777777" w:rsidR="009D3B50" w:rsidRPr="009D3B50" w:rsidRDefault="009D3B50" w:rsidP="009D3B50">
      <w:pPr>
        <w:rPr>
          <w:rFonts w:cs="Arial"/>
          <w:szCs w:val="22"/>
        </w:rPr>
      </w:pPr>
      <w:r w:rsidRPr="009D3B50">
        <w:rPr>
          <w:rFonts w:cs="Arial"/>
          <w:szCs w:val="22"/>
        </w:rPr>
        <w:tab/>
      </w:r>
    </w:p>
    <w:p w14:paraId="047A1522" w14:textId="77777777" w:rsidR="00B074CC" w:rsidRPr="001A1836" w:rsidRDefault="00B074CC" w:rsidP="00626054">
      <w:pPr>
        <w:rPr>
          <w:rFonts w:cs="Arial"/>
        </w:rPr>
      </w:pPr>
    </w:p>
    <w:p w14:paraId="166B46E3" w14:textId="4D73C253" w:rsidR="00B074CC" w:rsidRPr="001A1836" w:rsidRDefault="00B074CC" w:rsidP="009064B4"/>
    <w:p w14:paraId="05C14244" w14:textId="77777777" w:rsidR="00B074CC" w:rsidRPr="001A1836" w:rsidRDefault="00B074CC" w:rsidP="009064B4"/>
    <w:p w14:paraId="6217CBE5" w14:textId="77777777" w:rsidR="00B074CC" w:rsidRPr="001A1836" w:rsidRDefault="00B074CC" w:rsidP="009064B4"/>
    <w:p w14:paraId="45F5FBF0" w14:textId="77777777" w:rsidR="00B074CC" w:rsidRPr="001A1836" w:rsidRDefault="00B074CC" w:rsidP="009064B4"/>
    <w:p w14:paraId="212F5719" w14:textId="77777777" w:rsidR="00394111" w:rsidRPr="001A1836" w:rsidRDefault="00394111" w:rsidP="009064B4">
      <w:pPr>
        <w:pStyle w:val="GSRL1Scheduleheader"/>
        <w:sectPr w:rsidR="00394111" w:rsidRPr="001A1836" w:rsidSect="00F87B8D">
          <w:footerReference w:type="default" r:id="rId25"/>
          <w:pgSz w:w="11900" w:h="16840"/>
          <w:pgMar w:top="1134" w:right="1440" w:bottom="1440" w:left="1440" w:header="1077" w:footer="833" w:gutter="0"/>
          <w:cols w:space="708"/>
        </w:sectPr>
      </w:pPr>
    </w:p>
    <w:p w14:paraId="08CF07AC" w14:textId="5E9F5290" w:rsidR="00B074CC" w:rsidRPr="001A1836" w:rsidRDefault="00B074CC" w:rsidP="009064B4">
      <w:pPr>
        <w:pStyle w:val="GSRL1Scheduleheader"/>
      </w:pPr>
      <w:bookmarkStart w:id="2134" w:name="_Toc129038252"/>
      <w:bookmarkStart w:id="2135" w:name="_Toc129038538"/>
      <w:bookmarkStart w:id="2136" w:name="_Toc132268112"/>
      <w:bookmarkStart w:id="2137" w:name="_Toc132268418"/>
      <w:bookmarkStart w:id="2138" w:name="_Toc136198668"/>
      <w:bookmarkStart w:id="2139" w:name="_Toc136198949"/>
      <w:bookmarkStart w:id="2140" w:name="_Toc188885256"/>
      <w:r w:rsidRPr="001A1836">
        <w:lastRenderedPageBreak/>
        <w:t xml:space="preserve">SCHEDULE 10: </w:t>
      </w:r>
      <w:r w:rsidR="00660D47" w:rsidRPr="001A1836">
        <w:t>Governance and Contract Management</w:t>
      </w:r>
      <w:bookmarkEnd w:id="2134"/>
      <w:bookmarkEnd w:id="2135"/>
      <w:bookmarkEnd w:id="2136"/>
      <w:bookmarkEnd w:id="2137"/>
      <w:bookmarkEnd w:id="2138"/>
      <w:bookmarkEnd w:id="2139"/>
      <w:bookmarkEnd w:id="2140"/>
    </w:p>
    <w:p w14:paraId="09661107" w14:textId="77777777" w:rsidR="00B074CC" w:rsidRPr="001A1836" w:rsidRDefault="00B074CC" w:rsidP="009064B4"/>
    <w:p w14:paraId="2BA7EE38" w14:textId="77777777" w:rsidR="00B074CC" w:rsidRPr="001A1836" w:rsidRDefault="00B074CC" w:rsidP="009064B4"/>
    <w:p w14:paraId="2ECEE117" w14:textId="3FEE58E3" w:rsidR="002124CE" w:rsidRPr="001A1836" w:rsidRDefault="002124CE">
      <w:pPr>
        <w:spacing w:before="0" w:after="0"/>
        <w:rPr>
          <w:rFonts w:eastAsia="STZhongsong" w:cs="Arial"/>
          <w:b/>
          <w:caps/>
          <w:kern w:val="0"/>
          <w:sz w:val="24"/>
          <w:szCs w:val="22"/>
          <w:lang w:eastAsia="zh-CN"/>
        </w:rPr>
      </w:pPr>
      <w:bookmarkStart w:id="2141" w:name="_Toc476037142"/>
      <w:bookmarkStart w:id="2142" w:name="_Toc508703705"/>
      <w:bookmarkStart w:id="2143" w:name="_Toc508704561"/>
      <w:bookmarkStart w:id="2144" w:name="_Toc521327107"/>
      <w:bookmarkStart w:id="2145" w:name="_Toc521333340"/>
      <w:bookmarkStart w:id="2146" w:name="_Toc521484071"/>
      <w:bookmarkStart w:id="2147" w:name="_Toc521484834"/>
      <w:bookmarkStart w:id="2148" w:name="_Toc521485165"/>
      <w:r w:rsidRPr="001A1836">
        <w:br w:type="page"/>
      </w:r>
    </w:p>
    <w:p w14:paraId="368E0803" w14:textId="24676D0A" w:rsidR="00B074CC" w:rsidRPr="001A1836" w:rsidRDefault="00B074CC" w:rsidP="002124CE">
      <w:pPr>
        <w:pStyle w:val="GSRL2Sectionheading"/>
      </w:pPr>
      <w:bookmarkStart w:id="2149" w:name="_Toc521496901"/>
      <w:bookmarkStart w:id="2150" w:name="_Toc521498343"/>
      <w:bookmarkStart w:id="2151" w:name="_Toc529346043"/>
      <w:bookmarkStart w:id="2152" w:name="_Toc129038254"/>
      <w:bookmarkStart w:id="2153" w:name="_Toc129038540"/>
      <w:bookmarkStart w:id="2154" w:name="_Toc132268114"/>
      <w:bookmarkStart w:id="2155" w:name="_Toc132268420"/>
      <w:bookmarkStart w:id="2156" w:name="_Toc136198670"/>
      <w:bookmarkStart w:id="2157" w:name="_Toc136198951"/>
      <w:bookmarkStart w:id="2158" w:name="Schedule10"/>
      <w:r w:rsidRPr="001A1836">
        <w:lastRenderedPageBreak/>
        <w:t>Purpose</w:t>
      </w:r>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p>
    <w:p w14:paraId="01D6329C" w14:textId="77777777" w:rsidR="00B074CC" w:rsidRPr="001A1836" w:rsidRDefault="00B074CC" w:rsidP="004E2262">
      <w:pPr>
        <w:pStyle w:val="GSRL3heading"/>
        <w:numPr>
          <w:ilvl w:val="0"/>
          <w:numId w:val="69"/>
        </w:numPr>
      </w:pPr>
      <w:bookmarkStart w:id="2159" w:name="_Toc476037143"/>
      <w:bookmarkStart w:id="2160" w:name="_Toc508703706"/>
      <w:bookmarkStart w:id="2161" w:name="_Toc508704562"/>
      <w:bookmarkStart w:id="2162" w:name="_Toc521327108"/>
      <w:bookmarkStart w:id="2163" w:name="_Toc521333341"/>
      <w:bookmarkStart w:id="2164" w:name="_Toc521484072"/>
      <w:bookmarkStart w:id="2165" w:name="_Toc521484835"/>
      <w:bookmarkStart w:id="2166" w:name="_Toc521485166"/>
      <w:bookmarkStart w:id="2167" w:name="_Toc521496902"/>
      <w:bookmarkStart w:id="2168" w:name="_Toc521498344"/>
      <w:bookmarkStart w:id="2169" w:name="_Toc529346044"/>
      <w:bookmarkStart w:id="2170" w:name="_Toc129038255"/>
      <w:bookmarkStart w:id="2171" w:name="_Toc129038541"/>
      <w:bookmarkStart w:id="2172" w:name="_Toc132268115"/>
      <w:bookmarkStart w:id="2173" w:name="_Toc132268421"/>
      <w:bookmarkStart w:id="2174" w:name="_Toc136198671"/>
      <w:bookmarkStart w:id="2175" w:name="_Toc136198952"/>
      <w:r w:rsidRPr="001A1836">
        <w:t>Purpose and effect</w:t>
      </w:r>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r w:rsidRPr="001A1836">
        <w:t xml:space="preserve"> </w:t>
      </w:r>
    </w:p>
    <w:p w14:paraId="11604425" w14:textId="77777777" w:rsidR="00B074CC" w:rsidRPr="001A1836" w:rsidRDefault="00B074CC">
      <w:pPr>
        <w:pStyle w:val="GSRL4numberedclause"/>
      </w:pPr>
      <w:r w:rsidRPr="001A1836">
        <w:t xml:space="preserve">The purpose of this Schedule is to describe the procedures that will be used to manage the relationship between HSE and the Provider under the Agreement. </w:t>
      </w:r>
    </w:p>
    <w:p w14:paraId="5F3FC8B8" w14:textId="77777777" w:rsidR="002124CE" w:rsidRPr="001A1836" w:rsidRDefault="00B074CC">
      <w:pPr>
        <w:pStyle w:val="GSRL4numberedclause"/>
      </w:pPr>
      <w:r w:rsidRPr="001A1836">
        <w:t xml:space="preserve">This Schedule shall have effect throughout the Term. </w:t>
      </w:r>
      <w:bookmarkStart w:id="2176" w:name="_Toc476037144"/>
      <w:bookmarkStart w:id="2177" w:name="_Toc508703707"/>
      <w:bookmarkStart w:id="2178" w:name="_Toc508704563"/>
      <w:bookmarkStart w:id="2179" w:name="_Toc521327109"/>
      <w:bookmarkStart w:id="2180" w:name="_Toc521333342"/>
      <w:bookmarkStart w:id="2181" w:name="_Toc521484073"/>
      <w:bookmarkStart w:id="2182" w:name="_Toc521484836"/>
      <w:bookmarkStart w:id="2183" w:name="_Toc521485167"/>
    </w:p>
    <w:p w14:paraId="1AA294F8" w14:textId="46CA7037" w:rsidR="00B074CC" w:rsidRPr="001A1836" w:rsidRDefault="00B074CC" w:rsidP="002124CE">
      <w:pPr>
        <w:pStyle w:val="GSRL2Sectionheading"/>
      </w:pPr>
      <w:bookmarkStart w:id="2184" w:name="_Toc521496903"/>
      <w:bookmarkStart w:id="2185" w:name="_Toc521498345"/>
      <w:bookmarkStart w:id="2186" w:name="_Toc529346045"/>
      <w:bookmarkStart w:id="2187" w:name="_Toc129038256"/>
      <w:bookmarkStart w:id="2188" w:name="_Toc129038542"/>
      <w:bookmarkStart w:id="2189" w:name="_Toc132268116"/>
      <w:bookmarkStart w:id="2190" w:name="_Toc132268422"/>
      <w:bookmarkStart w:id="2191" w:name="_Toc136198672"/>
      <w:bookmarkStart w:id="2192" w:name="_Toc136198953"/>
      <w:r w:rsidRPr="001A1836">
        <w:t>Operative Provisions</w:t>
      </w:r>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p>
    <w:p w14:paraId="6A39AADC" w14:textId="77777777" w:rsidR="00B074CC" w:rsidRPr="001A1836" w:rsidRDefault="00B074CC">
      <w:pPr>
        <w:pStyle w:val="GSRL3heading"/>
      </w:pPr>
      <w:bookmarkStart w:id="2193" w:name="_Toc476037145"/>
      <w:bookmarkStart w:id="2194" w:name="_Toc508703708"/>
      <w:bookmarkStart w:id="2195" w:name="_Toc508704564"/>
      <w:bookmarkStart w:id="2196" w:name="_Toc521327110"/>
      <w:bookmarkStart w:id="2197" w:name="_Toc521333343"/>
      <w:bookmarkStart w:id="2198" w:name="_Toc521484074"/>
      <w:bookmarkStart w:id="2199" w:name="_Toc521484837"/>
      <w:bookmarkStart w:id="2200" w:name="_Toc521485168"/>
      <w:bookmarkStart w:id="2201" w:name="_Toc521496904"/>
      <w:bookmarkStart w:id="2202" w:name="_Toc521498346"/>
      <w:bookmarkStart w:id="2203" w:name="_Toc529346046"/>
      <w:bookmarkStart w:id="2204" w:name="_Toc129038257"/>
      <w:bookmarkStart w:id="2205" w:name="_Toc129038543"/>
      <w:bookmarkStart w:id="2206" w:name="_Toc132268117"/>
      <w:bookmarkStart w:id="2207" w:name="_Toc132268423"/>
      <w:bookmarkStart w:id="2208" w:name="_Toc136198673"/>
      <w:bookmarkStart w:id="2209" w:name="_Toc136198954"/>
      <w:r w:rsidRPr="001A1836">
        <w:t>Obligations of both parties under this Agreement</w:t>
      </w:r>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r w:rsidRPr="001A1836">
        <w:t xml:space="preserve"> </w:t>
      </w:r>
    </w:p>
    <w:p w14:paraId="415C9FAD" w14:textId="77777777" w:rsidR="00B074CC" w:rsidRPr="001A1836" w:rsidRDefault="00B074CC">
      <w:pPr>
        <w:pStyle w:val="GSRL4numberedclause"/>
      </w:pPr>
      <w:r w:rsidRPr="001A1836">
        <w:t xml:space="preserve">Both parties shall seek to participate and cooperate fully and in good faith in discharging the obligations under this Schedule. </w:t>
      </w:r>
    </w:p>
    <w:p w14:paraId="19667CF4" w14:textId="77777777" w:rsidR="00B074CC" w:rsidRPr="001A1836" w:rsidRDefault="00B074CC">
      <w:pPr>
        <w:pStyle w:val="GSRL4numberedclause"/>
      </w:pPr>
      <w:r w:rsidRPr="001A1836">
        <w:t xml:space="preserve">The performance of the Services will be managed at the day-to-day level through the Provider Contract Manager and the HSE Contract Manager, in accordance with the terms of this Agreement, including this Schedule 10 (Governance and Contract Management), and within the framework established by the Concordat. </w:t>
      </w:r>
    </w:p>
    <w:p w14:paraId="0BD44C99" w14:textId="77777777" w:rsidR="00B074CC" w:rsidRPr="001A1836" w:rsidRDefault="00B074CC">
      <w:pPr>
        <w:pStyle w:val="GSRL3heading"/>
      </w:pPr>
      <w:bookmarkStart w:id="2210" w:name="_Toc476037146"/>
      <w:bookmarkStart w:id="2211" w:name="_Toc508703709"/>
      <w:bookmarkStart w:id="2212" w:name="_Toc508704565"/>
      <w:bookmarkStart w:id="2213" w:name="_Toc521327111"/>
      <w:bookmarkStart w:id="2214" w:name="_Toc521333344"/>
      <w:bookmarkStart w:id="2215" w:name="_Toc521484075"/>
      <w:bookmarkStart w:id="2216" w:name="_Toc521484838"/>
      <w:bookmarkStart w:id="2217" w:name="_Toc521485169"/>
      <w:bookmarkStart w:id="2218" w:name="_Toc521496905"/>
      <w:bookmarkStart w:id="2219" w:name="_Toc521498347"/>
      <w:bookmarkStart w:id="2220" w:name="_Toc529346047"/>
      <w:bookmarkStart w:id="2221" w:name="_Toc129038258"/>
      <w:bookmarkStart w:id="2222" w:name="_Toc129038544"/>
      <w:bookmarkStart w:id="2223" w:name="_Toc132268118"/>
      <w:bookmarkStart w:id="2224" w:name="_Toc132268424"/>
      <w:bookmarkStart w:id="2225" w:name="_Toc136198674"/>
      <w:bookmarkStart w:id="2226" w:name="_Toc136198955"/>
      <w:r w:rsidRPr="001A1836">
        <w:t>HSE’s obligations under the Agreement</w:t>
      </w:r>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r w:rsidRPr="001A1836">
        <w:t xml:space="preserve"> </w:t>
      </w:r>
    </w:p>
    <w:p w14:paraId="6A8B46A5" w14:textId="77777777" w:rsidR="00B074CC" w:rsidRPr="001A1836" w:rsidRDefault="00B074CC">
      <w:pPr>
        <w:pStyle w:val="GSRL4numberedclause"/>
      </w:pPr>
      <w:r w:rsidRPr="001A1836">
        <w:t xml:space="preserve">HSE shall: </w:t>
      </w:r>
    </w:p>
    <w:p w14:paraId="7C222990" w14:textId="77777777" w:rsidR="00B074CC" w:rsidRPr="001A1836" w:rsidRDefault="00B074CC">
      <w:pPr>
        <w:pStyle w:val="GSRL5numberedclause"/>
      </w:pPr>
      <w:r w:rsidRPr="001A1836">
        <w:t xml:space="preserve">use its reasonable endeavours to provide the Provider with access to appropriate members of HSE's staff, as such access is reasonably requested by the Provider in order for the Provider to discharge its obligations throughout the Term; </w:t>
      </w:r>
    </w:p>
    <w:p w14:paraId="45A182A8" w14:textId="77777777" w:rsidR="00B074CC" w:rsidRPr="001A1836" w:rsidRDefault="00B074CC">
      <w:pPr>
        <w:pStyle w:val="GSRL5numberedclause"/>
      </w:pPr>
      <w:r w:rsidRPr="001A1836">
        <w:t xml:space="preserve">provide sufficient and suitably qualified staff to fulfil HSE's roles and duties under this Agreement including as defined in the Transition Plan; </w:t>
      </w:r>
    </w:p>
    <w:p w14:paraId="601E3EEC" w14:textId="77777777" w:rsidR="00B074CC" w:rsidRPr="001A1836" w:rsidRDefault="00B074CC">
      <w:pPr>
        <w:pStyle w:val="GSRL5numberedclause"/>
      </w:pPr>
      <w:r w:rsidRPr="001A1836">
        <w:t>use its reasonable endeavours to provide such documentation, data and/or other information that the Provider reasonably requests that is necessary to perform its obligations under the terms of this Agreement provided that such documentation, data and/or information is available to HSE or could reasonably be requested by HSE and is authorised for release by HSE;</w:t>
      </w:r>
    </w:p>
    <w:p w14:paraId="0360C00D" w14:textId="5ACA6D3D" w:rsidR="00B074CC" w:rsidRPr="001A1836" w:rsidRDefault="00B074CC">
      <w:pPr>
        <w:pStyle w:val="GSRL5numberedclause"/>
      </w:pPr>
      <w:r w:rsidRPr="001A1836">
        <w:t>be entitled to, after notifying the Provider in writing, permit, from time to time, HSENI to:</w:t>
      </w:r>
    </w:p>
    <w:p w14:paraId="31B45DCF" w14:textId="77777777" w:rsidR="00B074CC" w:rsidRPr="001A1836" w:rsidRDefault="00B074CC">
      <w:pPr>
        <w:pStyle w:val="GSRL6numberedclause"/>
      </w:pPr>
      <w:r w:rsidRPr="001A1836">
        <w:t>take any actions;</w:t>
      </w:r>
    </w:p>
    <w:p w14:paraId="6F7F92AE" w14:textId="77777777" w:rsidR="00B074CC" w:rsidRPr="001A1836" w:rsidRDefault="00B074CC">
      <w:pPr>
        <w:pStyle w:val="GSRL6numberedclause"/>
      </w:pPr>
      <w:r w:rsidRPr="001A1836">
        <w:t>perform any obligations; and</w:t>
      </w:r>
    </w:p>
    <w:p w14:paraId="0C2B1E2B" w14:textId="77777777" w:rsidR="00B074CC" w:rsidRPr="001A1836" w:rsidRDefault="00B074CC">
      <w:pPr>
        <w:pStyle w:val="GSRL6numberedclause"/>
      </w:pPr>
      <w:r w:rsidRPr="001A1836">
        <w:t>assume any roles and responsibilities,</w:t>
      </w:r>
    </w:p>
    <w:p w14:paraId="6D30FBF5" w14:textId="4426ACAC" w:rsidR="00B074CC" w:rsidRPr="001A1836" w:rsidRDefault="00B074CC" w:rsidP="00FC6D84">
      <w:pPr>
        <w:pStyle w:val="GSRL5numberedclause"/>
        <w:numPr>
          <w:ilvl w:val="0"/>
          <w:numId w:val="0"/>
        </w:numPr>
        <w:ind w:left="1582"/>
      </w:pPr>
      <w:r w:rsidRPr="001A1836">
        <w:t>arising under this Agreement, where such permissions are relevant to the Services being performed in or which relate to Northern Ireland and/or any Business whose business address or registered office address is in Northern Ireland.</w:t>
      </w:r>
    </w:p>
    <w:p w14:paraId="0B3EE9E2" w14:textId="77777777" w:rsidR="00B074CC" w:rsidRPr="001A1836" w:rsidRDefault="00B074CC">
      <w:pPr>
        <w:pStyle w:val="GSRL5numberedclause"/>
      </w:pPr>
      <w:r w:rsidRPr="001A1836">
        <w:t>carry out any agreement, approval or authorisation procedures in relation to the Services in accordance with any agreed timescales.</w:t>
      </w:r>
    </w:p>
    <w:p w14:paraId="079F2A98" w14:textId="77777777" w:rsidR="00B074CC" w:rsidRPr="001A1836" w:rsidRDefault="00B074CC">
      <w:pPr>
        <w:pStyle w:val="GSRL4numberedclause"/>
      </w:pPr>
      <w:r w:rsidRPr="001A1836">
        <w:t xml:space="preserve">The permissions set out in paragraph 3.1.4 may be cancelled by HSE at any time and HSE shall notify the Provider accordingly. </w:t>
      </w:r>
    </w:p>
    <w:p w14:paraId="0031B222" w14:textId="77777777" w:rsidR="00B074CC" w:rsidRPr="001A1836" w:rsidRDefault="00B074CC">
      <w:pPr>
        <w:pStyle w:val="GSRL3heading"/>
      </w:pPr>
      <w:bookmarkStart w:id="2227" w:name="_Toc508703710"/>
      <w:bookmarkStart w:id="2228" w:name="_Toc508704566"/>
      <w:bookmarkStart w:id="2229" w:name="_Toc521327112"/>
      <w:bookmarkStart w:id="2230" w:name="_Toc521333345"/>
      <w:bookmarkStart w:id="2231" w:name="_Toc521484076"/>
      <w:bookmarkStart w:id="2232" w:name="_Toc521484839"/>
      <w:bookmarkStart w:id="2233" w:name="_Toc521485170"/>
      <w:bookmarkStart w:id="2234" w:name="_Toc521496906"/>
      <w:bookmarkStart w:id="2235" w:name="_Toc521498348"/>
      <w:bookmarkStart w:id="2236" w:name="_Toc529346048"/>
      <w:bookmarkStart w:id="2237" w:name="_Toc129038259"/>
      <w:bookmarkStart w:id="2238" w:name="_Toc129038545"/>
      <w:bookmarkStart w:id="2239" w:name="_Toc132268119"/>
      <w:bookmarkStart w:id="2240" w:name="_Toc132268425"/>
      <w:bookmarkStart w:id="2241" w:name="_Toc136198675"/>
      <w:bookmarkStart w:id="2242" w:name="_Toc136198956"/>
      <w:r w:rsidRPr="001A1836">
        <w:lastRenderedPageBreak/>
        <w:t>Governance structure</w:t>
      </w:r>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p>
    <w:p w14:paraId="0D8B7C93" w14:textId="77777777" w:rsidR="00B074CC" w:rsidRPr="001A1836" w:rsidRDefault="00B074CC">
      <w:pPr>
        <w:pStyle w:val="GSRL4numberedclause"/>
      </w:pPr>
      <w:r w:rsidRPr="001A1836">
        <w:t>To ensure performance is regularly reviewed and any risks are identified and proactively managed, a four-tier management structure (as outlined in Table 1 and Figure 1 below, and described in more detail in Annex A) will be adopted involving both parties. The purpose will be to:</w:t>
      </w:r>
    </w:p>
    <w:p w14:paraId="3B36CC0D" w14:textId="77777777" w:rsidR="00B074CC" w:rsidRPr="001A1836" w:rsidRDefault="00B074CC">
      <w:pPr>
        <w:pStyle w:val="GSRL5numberedclause"/>
      </w:pPr>
      <w:r w:rsidRPr="001A1836">
        <w:t>ensure a consistently high-level of service delivery is achieved;</w:t>
      </w:r>
    </w:p>
    <w:p w14:paraId="403EDCDB" w14:textId="77777777" w:rsidR="00B074CC" w:rsidRPr="001A1836" w:rsidRDefault="00B074CC">
      <w:pPr>
        <w:pStyle w:val="GSRL5numberedclause"/>
      </w:pPr>
      <w:r w:rsidRPr="001A1836">
        <w:t xml:space="preserve">oversee management reporting arrangements through joint monitoring of activities and performance indicators; </w:t>
      </w:r>
    </w:p>
    <w:p w14:paraId="46AB8A36" w14:textId="77777777" w:rsidR="00B074CC" w:rsidRPr="001A1836" w:rsidRDefault="00B074CC">
      <w:pPr>
        <w:pStyle w:val="GSRL5numberedclause"/>
      </w:pPr>
      <w:r w:rsidRPr="001A1836">
        <w:t xml:space="preserve">budget monitoring and analysis and escalation as appropriate of risks and issues; </w:t>
      </w:r>
    </w:p>
    <w:p w14:paraId="3DE20C7D" w14:textId="1ABB1BE0" w:rsidR="00B074CC" w:rsidRPr="001A1836" w:rsidRDefault="00B074CC">
      <w:pPr>
        <w:pStyle w:val="GSRL5numberedclause"/>
      </w:pPr>
      <w:r w:rsidRPr="001A1836">
        <w:t xml:space="preserve">meet regularly to ensure the smooth running of this Agreement; </w:t>
      </w:r>
    </w:p>
    <w:p w14:paraId="2405ED35" w14:textId="17292E9A" w:rsidR="00B074CC" w:rsidRPr="001A1836" w:rsidRDefault="00B074CC">
      <w:pPr>
        <w:pStyle w:val="GSRL5numberedclause"/>
      </w:pPr>
      <w:r w:rsidRPr="001A1836">
        <w:t xml:space="preserve">propose changes to this Agreement. The HSE Contract Manager shall consult internally on all such proposals for change and refer to HSE senior management for decisions on matters of significant or strategic importance; and </w:t>
      </w:r>
    </w:p>
    <w:p w14:paraId="1269BCE9" w14:textId="77777777" w:rsidR="00B074CC" w:rsidRPr="001A1836" w:rsidRDefault="00B074CC">
      <w:pPr>
        <w:pStyle w:val="GSRL5numberedclause"/>
      </w:pPr>
      <w:r w:rsidRPr="001A1836">
        <w:t xml:space="preserve">maintain and keep up to date the Concordat between HSE and the Provider. </w:t>
      </w:r>
    </w:p>
    <w:p w14:paraId="7D80E206" w14:textId="77777777" w:rsidR="00B074CC" w:rsidRPr="001A1836" w:rsidRDefault="00B074CC">
      <w:pPr>
        <w:pStyle w:val="GSRL4numberedclause"/>
      </w:pPr>
      <w:r w:rsidRPr="001A1836">
        <w:t xml:space="preserve">Boards and management teams shall be established by HSE and the Provider under this Agreement on which both the Provider and HSE shall be represented. </w:t>
      </w:r>
    </w:p>
    <w:p w14:paraId="546C06E6" w14:textId="77777777" w:rsidR="00B074CC" w:rsidRPr="001A1836" w:rsidRDefault="00B074CC">
      <w:pPr>
        <w:pStyle w:val="GSRL4numberedclause"/>
      </w:pPr>
      <w:r w:rsidRPr="001A1836">
        <w:t xml:space="preserve">The Provider and HSE shall each appoint a Contract Manager. Both parties shall ensure that their respective Contract Manager is of sufficient seniority within each respective party's organisation and is sufficiently empowered to take decisions of the day-to-day operation of the Agreement and performance of the Services within the framework established by the Concordat. </w:t>
      </w:r>
    </w:p>
    <w:p w14:paraId="4F51962C" w14:textId="77777777" w:rsidR="00B074CC" w:rsidRPr="001A1836" w:rsidRDefault="00B074CC">
      <w:pPr>
        <w:pStyle w:val="GSRL4numberedclause"/>
      </w:pPr>
      <w:r w:rsidRPr="001A1836">
        <w:t xml:space="preserve">HSE shall, acting reasonably, be entitled to propose a change to the Contract Manager of the Provider where HSE has reasonable concerns about his/her performance. In the event that HSE proposes such a replacement: </w:t>
      </w:r>
    </w:p>
    <w:p w14:paraId="07FAF00D" w14:textId="77777777" w:rsidR="00B074CC" w:rsidRPr="001A1836" w:rsidRDefault="00B074CC">
      <w:pPr>
        <w:pStyle w:val="GSRL5numberedclause"/>
      </w:pPr>
      <w:r w:rsidRPr="001A1836">
        <w:t xml:space="preserve">HSE shall notify Provider of such concerns, stating its reasons and providing details supporting such concerns; </w:t>
      </w:r>
    </w:p>
    <w:p w14:paraId="40D7E2F0" w14:textId="77777777" w:rsidR="00B074CC" w:rsidRPr="001A1836" w:rsidRDefault="00B074CC">
      <w:pPr>
        <w:pStyle w:val="GSRL5numberedclause"/>
      </w:pPr>
      <w:r w:rsidRPr="001A1836">
        <w:t xml:space="preserve">the Provider shall have ten (10) Working Days (unless a longer period is reasonably necessary) in which to investigate matters stated in the notice and to discuss its findings with HSE and its proposal to address these concerns. HSE shall cooperate with the investigations and do all it reasonably can to facilitate the discussions; and </w:t>
      </w:r>
    </w:p>
    <w:p w14:paraId="3529DE37" w14:textId="77777777" w:rsidR="00B074CC" w:rsidRPr="001A1836" w:rsidRDefault="00B074CC">
      <w:pPr>
        <w:pStyle w:val="GSRL5numberedclause"/>
      </w:pPr>
      <w:r w:rsidRPr="001A1836">
        <w:t xml:space="preserve">following such discussion, if HSE is not reasonably satisfied, HSE may require the Provider to replace the Provider Contract Manager with another individual with suitable training, experience and skills. </w:t>
      </w:r>
    </w:p>
    <w:p w14:paraId="223EB355" w14:textId="77777777" w:rsidR="00B074CC" w:rsidRPr="001A1836" w:rsidRDefault="00B074CC" w:rsidP="00626054">
      <w:pPr>
        <w:rPr>
          <w:b/>
        </w:rPr>
      </w:pPr>
    </w:p>
    <w:p w14:paraId="5A728511" w14:textId="77777777" w:rsidR="00B074CC" w:rsidRPr="001A1836" w:rsidRDefault="00B074CC" w:rsidP="00626054">
      <w:r w:rsidRPr="001A1836">
        <w:rPr>
          <w:b/>
        </w:rPr>
        <w:t xml:space="preserve">Table 1 </w:t>
      </w:r>
      <w:r w:rsidRPr="001A1836">
        <w:t>Governance structure</w:t>
      </w:r>
    </w:p>
    <w:p w14:paraId="7667B810" w14:textId="77777777" w:rsidR="00B074CC" w:rsidRPr="001A1836" w:rsidRDefault="00B074CC" w:rsidP="00626054">
      <w:pPr>
        <w:spacing w:after="0"/>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402"/>
        <w:gridCol w:w="4167"/>
      </w:tblGrid>
      <w:tr w:rsidR="00B074CC" w:rsidRPr="001A1836" w14:paraId="24EF1C22" w14:textId="77777777" w:rsidTr="00626054">
        <w:trPr>
          <w:cantSplit/>
          <w:tblHeader/>
        </w:trPr>
        <w:tc>
          <w:tcPr>
            <w:tcW w:w="959" w:type="dxa"/>
            <w:tcBorders>
              <w:top w:val="single" w:sz="4" w:space="0" w:color="auto"/>
              <w:left w:val="single" w:sz="4" w:space="0" w:color="auto"/>
              <w:bottom w:val="single" w:sz="4" w:space="0" w:color="auto"/>
              <w:right w:val="single" w:sz="4" w:space="0" w:color="auto"/>
            </w:tcBorders>
            <w:shd w:val="clear" w:color="auto" w:fill="auto"/>
            <w:hideMark/>
          </w:tcPr>
          <w:p w14:paraId="040D2452" w14:textId="77777777" w:rsidR="00B074CC" w:rsidRPr="001A1836" w:rsidRDefault="00B074CC" w:rsidP="00626054">
            <w:pPr>
              <w:rPr>
                <w:rFonts w:cs="Arial"/>
                <w:b/>
                <w:noProof/>
              </w:rPr>
            </w:pPr>
            <w:r w:rsidRPr="001A1836">
              <w:rPr>
                <w:rFonts w:cs="Arial"/>
                <w:b/>
                <w:noProof/>
              </w:rPr>
              <w:t>Tier</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0736FD7D" w14:textId="77777777" w:rsidR="00B074CC" w:rsidRPr="001A1836" w:rsidRDefault="00B074CC" w:rsidP="00626054">
            <w:pPr>
              <w:rPr>
                <w:rFonts w:cs="Arial"/>
                <w:b/>
                <w:noProof/>
              </w:rPr>
            </w:pPr>
            <w:r w:rsidRPr="001A1836">
              <w:rPr>
                <w:rFonts w:cs="Arial"/>
                <w:b/>
                <w:noProof/>
              </w:rPr>
              <w:t>Forum</w:t>
            </w:r>
          </w:p>
        </w:tc>
        <w:tc>
          <w:tcPr>
            <w:tcW w:w="4167" w:type="dxa"/>
            <w:tcBorders>
              <w:top w:val="single" w:sz="4" w:space="0" w:color="auto"/>
              <w:left w:val="single" w:sz="4" w:space="0" w:color="auto"/>
              <w:bottom w:val="single" w:sz="4" w:space="0" w:color="auto"/>
              <w:right w:val="single" w:sz="4" w:space="0" w:color="auto"/>
            </w:tcBorders>
            <w:shd w:val="clear" w:color="auto" w:fill="auto"/>
            <w:hideMark/>
          </w:tcPr>
          <w:p w14:paraId="63A75184" w14:textId="77777777" w:rsidR="00B074CC" w:rsidRPr="001A1836" w:rsidRDefault="00B074CC" w:rsidP="00626054">
            <w:pPr>
              <w:rPr>
                <w:rFonts w:cs="Arial"/>
                <w:b/>
                <w:noProof/>
              </w:rPr>
            </w:pPr>
            <w:r w:rsidRPr="001A1836">
              <w:rPr>
                <w:rFonts w:cs="Arial"/>
                <w:b/>
                <w:noProof/>
              </w:rPr>
              <w:t>Frequency</w:t>
            </w:r>
          </w:p>
        </w:tc>
      </w:tr>
      <w:tr w:rsidR="00B074CC" w:rsidRPr="001A1836" w14:paraId="5928CF1C" w14:textId="77777777" w:rsidTr="00626054">
        <w:trPr>
          <w:cantSplit/>
        </w:trPr>
        <w:tc>
          <w:tcPr>
            <w:tcW w:w="959" w:type="dxa"/>
            <w:tcBorders>
              <w:top w:val="single" w:sz="4" w:space="0" w:color="auto"/>
              <w:left w:val="single" w:sz="4" w:space="0" w:color="auto"/>
              <w:bottom w:val="single" w:sz="4" w:space="0" w:color="auto"/>
              <w:right w:val="single" w:sz="4" w:space="0" w:color="auto"/>
            </w:tcBorders>
            <w:shd w:val="clear" w:color="auto" w:fill="auto"/>
            <w:hideMark/>
          </w:tcPr>
          <w:p w14:paraId="0416FC67" w14:textId="77777777" w:rsidR="00B074CC" w:rsidRPr="001A1836" w:rsidRDefault="00B074CC" w:rsidP="00626054">
            <w:pPr>
              <w:rPr>
                <w:rFonts w:cs="Arial"/>
                <w:noProof/>
              </w:rPr>
            </w:pPr>
            <w:r w:rsidRPr="001A1836">
              <w:rPr>
                <w:rFonts w:cs="Arial"/>
                <w:noProof/>
              </w:rPr>
              <w:t>Tier 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00DDA9CE" w14:textId="77777777" w:rsidR="00B074CC" w:rsidRPr="001A1836" w:rsidRDefault="00B074CC" w:rsidP="00626054">
            <w:pPr>
              <w:rPr>
                <w:rFonts w:cs="Arial"/>
                <w:noProof/>
              </w:rPr>
            </w:pPr>
            <w:r w:rsidRPr="001A1836">
              <w:rPr>
                <w:rFonts w:cs="Arial"/>
                <w:noProof/>
              </w:rPr>
              <w:t>Field Operations Liaison Team</w:t>
            </w:r>
          </w:p>
        </w:tc>
        <w:tc>
          <w:tcPr>
            <w:tcW w:w="4167" w:type="dxa"/>
            <w:tcBorders>
              <w:top w:val="single" w:sz="4" w:space="0" w:color="auto"/>
              <w:left w:val="single" w:sz="4" w:space="0" w:color="auto"/>
              <w:bottom w:val="single" w:sz="4" w:space="0" w:color="auto"/>
              <w:right w:val="single" w:sz="4" w:space="0" w:color="auto"/>
            </w:tcBorders>
            <w:shd w:val="clear" w:color="auto" w:fill="auto"/>
            <w:hideMark/>
          </w:tcPr>
          <w:p w14:paraId="52C7E1A8" w14:textId="77777777" w:rsidR="00B074CC" w:rsidRPr="001A1836" w:rsidRDefault="00B074CC" w:rsidP="00626054">
            <w:pPr>
              <w:rPr>
                <w:rFonts w:cs="Arial"/>
                <w:noProof/>
              </w:rPr>
            </w:pPr>
            <w:r w:rsidRPr="001A1836">
              <w:rPr>
                <w:rFonts w:cs="Arial"/>
                <w:noProof/>
              </w:rPr>
              <w:t>Quarterly</w:t>
            </w:r>
          </w:p>
        </w:tc>
      </w:tr>
      <w:tr w:rsidR="00B074CC" w:rsidRPr="001A1836" w14:paraId="7FA51120" w14:textId="77777777" w:rsidTr="00626054">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0D9E4BC1" w14:textId="77777777" w:rsidR="00B074CC" w:rsidRPr="001A1836" w:rsidRDefault="00B074CC" w:rsidP="00626054">
            <w:pPr>
              <w:rPr>
                <w:rFonts w:cs="Arial"/>
                <w:noProof/>
              </w:rPr>
            </w:pPr>
            <w:r w:rsidRPr="001A1836">
              <w:rPr>
                <w:rFonts w:cs="Arial"/>
                <w:noProof/>
              </w:rPr>
              <w:t>Tier 1</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CCCD1C8" w14:textId="77777777" w:rsidR="00B074CC" w:rsidRPr="001A1836" w:rsidRDefault="00B074CC" w:rsidP="00626054">
            <w:pPr>
              <w:rPr>
                <w:rFonts w:cs="Arial"/>
                <w:noProof/>
              </w:rPr>
            </w:pPr>
            <w:r w:rsidRPr="001A1836">
              <w:rPr>
                <w:rFonts w:cs="Arial"/>
                <w:noProof/>
              </w:rPr>
              <w:t>Marketing Review Team</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28988EA5" w14:textId="77777777" w:rsidR="00B074CC" w:rsidRPr="001A1836" w:rsidRDefault="00B074CC" w:rsidP="00626054">
            <w:pPr>
              <w:rPr>
                <w:rFonts w:cs="Arial"/>
                <w:noProof/>
              </w:rPr>
            </w:pPr>
            <w:r w:rsidRPr="001A1836">
              <w:rPr>
                <w:rFonts w:cs="Arial"/>
                <w:noProof/>
              </w:rPr>
              <w:t>Quarterly, with additional project or campaign meetings as required</w:t>
            </w:r>
          </w:p>
        </w:tc>
      </w:tr>
      <w:tr w:rsidR="00B074CC" w:rsidRPr="001A1836" w14:paraId="108F6458" w14:textId="77777777" w:rsidTr="00626054">
        <w:trPr>
          <w:cantSplit/>
        </w:trPr>
        <w:tc>
          <w:tcPr>
            <w:tcW w:w="959" w:type="dxa"/>
            <w:tcBorders>
              <w:top w:val="single" w:sz="4" w:space="0" w:color="auto"/>
              <w:left w:val="single" w:sz="4" w:space="0" w:color="auto"/>
              <w:bottom w:val="single" w:sz="4" w:space="0" w:color="auto"/>
              <w:right w:val="single" w:sz="4" w:space="0" w:color="auto"/>
            </w:tcBorders>
            <w:shd w:val="clear" w:color="auto" w:fill="auto"/>
            <w:hideMark/>
          </w:tcPr>
          <w:p w14:paraId="7A8EF9E0" w14:textId="77777777" w:rsidR="00B074CC" w:rsidRPr="001A1836" w:rsidRDefault="00B074CC" w:rsidP="00626054">
            <w:pPr>
              <w:rPr>
                <w:rFonts w:cs="Arial"/>
                <w:noProof/>
              </w:rPr>
            </w:pPr>
            <w:r w:rsidRPr="001A1836">
              <w:rPr>
                <w:rFonts w:cs="Arial"/>
                <w:noProof/>
              </w:rPr>
              <w:lastRenderedPageBreak/>
              <w:t>Tier 2</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5A14ECF3" w14:textId="77777777" w:rsidR="00B074CC" w:rsidRPr="001A1836" w:rsidRDefault="00B074CC" w:rsidP="00626054">
            <w:pPr>
              <w:rPr>
                <w:rFonts w:cs="Arial"/>
                <w:noProof/>
              </w:rPr>
            </w:pPr>
            <w:r w:rsidRPr="001A1836">
              <w:rPr>
                <w:rFonts w:cs="Arial"/>
                <w:noProof/>
              </w:rPr>
              <w:t>Service and Performance Monitoring Team</w:t>
            </w:r>
          </w:p>
        </w:tc>
        <w:tc>
          <w:tcPr>
            <w:tcW w:w="4167" w:type="dxa"/>
            <w:tcBorders>
              <w:top w:val="single" w:sz="4" w:space="0" w:color="auto"/>
              <w:left w:val="single" w:sz="4" w:space="0" w:color="auto"/>
              <w:bottom w:val="single" w:sz="4" w:space="0" w:color="auto"/>
              <w:right w:val="single" w:sz="4" w:space="0" w:color="auto"/>
            </w:tcBorders>
            <w:shd w:val="clear" w:color="auto" w:fill="auto"/>
            <w:hideMark/>
          </w:tcPr>
          <w:p w14:paraId="6FD319BD" w14:textId="77777777" w:rsidR="00B074CC" w:rsidRPr="001A1836" w:rsidRDefault="00B074CC" w:rsidP="00626054">
            <w:pPr>
              <w:rPr>
                <w:rFonts w:cs="Arial"/>
                <w:noProof/>
              </w:rPr>
            </w:pPr>
            <w:r w:rsidRPr="001A1836">
              <w:rPr>
                <w:rFonts w:cs="Arial"/>
                <w:noProof/>
              </w:rPr>
              <w:t>Monthly</w:t>
            </w:r>
          </w:p>
        </w:tc>
      </w:tr>
      <w:tr w:rsidR="00B074CC" w:rsidRPr="001A1836" w14:paraId="42CA7AC8" w14:textId="77777777" w:rsidTr="00626054">
        <w:trPr>
          <w:cantSplit/>
        </w:trPr>
        <w:tc>
          <w:tcPr>
            <w:tcW w:w="959" w:type="dxa"/>
            <w:tcBorders>
              <w:top w:val="single" w:sz="4" w:space="0" w:color="auto"/>
              <w:left w:val="single" w:sz="4" w:space="0" w:color="auto"/>
              <w:bottom w:val="single" w:sz="4" w:space="0" w:color="auto"/>
              <w:right w:val="single" w:sz="4" w:space="0" w:color="auto"/>
            </w:tcBorders>
            <w:shd w:val="clear" w:color="auto" w:fill="auto"/>
            <w:hideMark/>
          </w:tcPr>
          <w:p w14:paraId="68094108" w14:textId="77777777" w:rsidR="00B074CC" w:rsidRPr="001A1836" w:rsidRDefault="00B074CC" w:rsidP="00626054">
            <w:pPr>
              <w:rPr>
                <w:rFonts w:cs="Arial"/>
                <w:noProof/>
              </w:rPr>
            </w:pPr>
            <w:r w:rsidRPr="001A1836">
              <w:rPr>
                <w:rFonts w:cs="Arial"/>
                <w:noProof/>
              </w:rPr>
              <w:t>Tier 2</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4610D188" w14:textId="77777777" w:rsidR="00B074CC" w:rsidRPr="001A1836" w:rsidRDefault="00B074CC" w:rsidP="00626054">
            <w:pPr>
              <w:rPr>
                <w:rFonts w:cs="Arial"/>
                <w:noProof/>
              </w:rPr>
            </w:pPr>
            <w:r w:rsidRPr="001A1836">
              <w:rPr>
                <w:rFonts w:cs="Arial"/>
                <w:noProof/>
              </w:rPr>
              <w:t>Senior Management Review</w:t>
            </w:r>
          </w:p>
        </w:tc>
        <w:tc>
          <w:tcPr>
            <w:tcW w:w="4167" w:type="dxa"/>
            <w:tcBorders>
              <w:top w:val="single" w:sz="4" w:space="0" w:color="auto"/>
              <w:left w:val="single" w:sz="4" w:space="0" w:color="auto"/>
              <w:bottom w:val="single" w:sz="4" w:space="0" w:color="auto"/>
              <w:right w:val="single" w:sz="4" w:space="0" w:color="auto"/>
            </w:tcBorders>
            <w:shd w:val="clear" w:color="auto" w:fill="auto"/>
            <w:hideMark/>
          </w:tcPr>
          <w:p w14:paraId="0E433164" w14:textId="77777777" w:rsidR="00B074CC" w:rsidRPr="001A1836" w:rsidRDefault="00B074CC" w:rsidP="00626054">
            <w:pPr>
              <w:rPr>
                <w:rFonts w:cs="Arial"/>
                <w:noProof/>
              </w:rPr>
            </w:pPr>
            <w:r w:rsidRPr="001A1836">
              <w:rPr>
                <w:rFonts w:cs="Arial"/>
                <w:noProof/>
              </w:rPr>
              <w:t>Fortnightly</w:t>
            </w:r>
          </w:p>
        </w:tc>
      </w:tr>
      <w:tr w:rsidR="00B074CC" w:rsidRPr="001A1836" w14:paraId="3DAA1DA8" w14:textId="77777777" w:rsidTr="00626054">
        <w:trPr>
          <w:cantSplit/>
        </w:trPr>
        <w:tc>
          <w:tcPr>
            <w:tcW w:w="959" w:type="dxa"/>
            <w:tcBorders>
              <w:top w:val="single" w:sz="4" w:space="0" w:color="auto"/>
              <w:left w:val="single" w:sz="4" w:space="0" w:color="auto"/>
              <w:bottom w:val="single" w:sz="4" w:space="0" w:color="auto"/>
              <w:right w:val="single" w:sz="4" w:space="0" w:color="auto"/>
            </w:tcBorders>
            <w:shd w:val="clear" w:color="auto" w:fill="auto"/>
            <w:hideMark/>
          </w:tcPr>
          <w:p w14:paraId="6CD51FFF" w14:textId="77777777" w:rsidR="00B074CC" w:rsidRPr="001A1836" w:rsidRDefault="00B074CC" w:rsidP="00626054">
            <w:pPr>
              <w:rPr>
                <w:rFonts w:cs="Arial"/>
                <w:noProof/>
              </w:rPr>
            </w:pPr>
            <w:r w:rsidRPr="001A1836">
              <w:rPr>
                <w:rFonts w:cs="Arial"/>
                <w:noProof/>
              </w:rPr>
              <w:t>Tier 3</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47397591" w14:textId="77777777" w:rsidR="00B074CC" w:rsidRPr="001A1836" w:rsidRDefault="00B074CC" w:rsidP="00626054">
            <w:pPr>
              <w:rPr>
                <w:rFonts w:cs="Arial"/>
                <w:noProof/>
              </w:rPr>
            </w:pPr>
            <w:r w:rsidRPr="001A1836">
              <w:rPr>
                <w:rFonts w:cs="Arial"/>
                <w:noProof/>
              </w:rPr>
              <w:t>Contract Review Board</w:t>
            </w:r>
          </w:p>
        </w:tc>
        <w:tc>
          <w:tcPr>
            <w:tcW w:w="4167" w:type="dxa"/>
            <w:tcBorders>
              <w:top w:val="single" w:sz="4" w:space="0" w:color="auto"/>
              <w:left w:val="single" w:sz="4" w:space="0" w:color="auto"/>
              <w:bottom w:val="single" w:sz="4" w:space="0" w:color="auto"/>
              <w:right w:val="single" w:sz="4" w:space="0" w:color="auto"/>
            </w:tcBorders>
            <w:shd w:val="clear" w:color="auto" w:fill="auto"/>
            <w:hideMark/>
          </w:tcPr>
          <w:p w14:paraId="0260264E" w14:textId="77777777" w:rsidR="00B074CC" w:rsidRPr="001A1836" w:rsidRDefault="00B074CC" w:rsidP="00626054">
            <w:pPr>
              <w:rPr>
                <w:rFonts w:cs="Arial"/>
                <w:noProof/>
              </w:rPr>
            </w:pPr>
            <w:r w:rsidRPr="001A1836">
              <w:rPr>
                <w:rFonts w:cs="Arial"/>
                <w:noProof/>
              </w:rPr>
              <w:t>6-monthly (mid-year and annual service reviews)</w:t>
            </w:r>
          </w:p>
        </w:tc>
      </w:tr>
      <w:tr w:rsidR="00B074CC" w:rsidRPr="001A1836" w14:paraId="5BC057AF" w14:textId="77777777" w:rsidTr="00626054">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42408D07" w14:textId="77777777" w:rsidR="00B074CC" w:rsidRPr="001A1836" w:rsidRDefault="00B074CC" w:rsidP="00626054">
            <w:pPr>
              <w:rPr>
                <w:rFonts w:cs="Arial"/>
                <w:noProof/>
              </w:rPr>
            </w:pPr>
            <w:r w:rsidRPr="001A1836">
              <w:rPr>
                <w:rFonts w:cs="Arial"/>
                <w:noProof/>
              </w:rPr>
              <w:t>Tier 3</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16F0B9A" w14:textId="77777777" w:rsidR="00B074CC" w:rsidRPr="001A1836" w:rsidRDefault="00B074CC" w:rsidP="00626054">
            <w:pPr>
              <w:rPr>
                <w:rFonts w:cs="Arial"/>
                <w:noProof/>
              </w:rPr>
            </w:pPr>
            <w:r w:rsidRPr="001A1836">
              <w:rPr>
                <w:rFonts w:cs="Arial"/>
                <w:noProof/>
              </w:rPr>
              <w:t>Transition Governance Board</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5C1CE66A" w14:textId="77777777" w:rsidR="00B074CC" w:rsidRPr="001A1836" w:rsidRDefault="00B074CC" w:rsidP="00626054">
            <w:pPr>
              <w:rPr>
                <w:rFonts w:cs="Arial"/>
                <w:noProof/>
              </w:rPr>
            </w:pPr>
            <w:r w:rsidRPr="001A1836">
              <w:rPr>
                <w:rFonts w:cs="Arial"/>
                <w:noProof/>
              </w:rPr>
              <w:t>Fortnightly</w:t>
            </w:r>
          </w:p>
        </w:tc>
      </w:tr>
      <w:tr w:rsidR="00B074CC" w:rsidRPr="001A1836" w14:paraId="51B36FE9" w14:textId="77777777" w:rsidTr="00626054">
        <w:trPr>
          <w:cantSplit/>
        </w:trPr>
        <w:tc>
          <w:tcPr>
            <w:tcW w:w="959" w:type="dxa"/>
            <w:tcBorders>
              <w:top w:val="single" w:sz="4" w:space="0" w:color="auto"/>
              <w:left w:val="single" w:sz="4" w:space="0" w:color="auto"/>
              <w:bottom w:val="single" w:sz="4" w:space="0" w:color="auto"/>
              <w:right w:val="single" w:sz="4" w:space="0" w:color="auto"/>
            </w:tcBorders>
            <w:shd w:val="clear" w:color="auto" w:fill="auto"/>
            <w:hideMark/>
          </w:tcPr>
          <w:p w14:paraId="7CF0B2FB" w14:textId="77777777" w:rsidR="00B074CC" w:rsidRPr="001A1836" w:rsidRDefault="00B074CC" w:rsidP="00626054">
            <w:pPr>
              <w:rPr>
                <w:rFonts w:cs="Arial"/>
                <w:noProof/>
              </w:rPr>
            </w:pPr>
            <w:r w:rsidRPr="001A1836">
              <w:rPr>
                <w:rFonts w:cs="Arial"/>
                <w:noProof/>
              </w:rPr>
              <w:t>Tier 4</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390F424B" w14:textId="77777777" w:rsidR="00B074CC" w:rsidRPr="001A1836" w:rsidRDefault="00B074CC" w:rsidP="00626054">
            <w:pPr>
              <w:rPr>
                <w:rFonts w:cs="Arial"/>
                <w:noProof/>
              </w:rPr>
            </w:pPr>
            <w:r w:rsidRPr="001A1836">
              <w:rPr>
                <w:rFonts w:cs="Arial"/>
                <w:noProof/>
              </w:rPr>
              <w:t>Executive Review Board</w:t>
            </w:r>
          </w:p>
        </w:tc>
        <w:tc>
          <w:tcPr>
            <w:tcW w:w="4167" w:type="dxa"/>
            <w:tcBorders>
              <w:top w:val="single" w:sz="4" w:space="0" w:color="auto"/>
              <w:left w:val="single" w:sz="4" w:space="0" w:color="auto"/>
              <w:bottom w:val="single" w:sz="4" w:space="0" w:color="auto"/>
              <w:right w:val="single" w:sz="4" w:space="0" w:color="auto"/>
            </w:tcBorders>
            <w:shd w:val="clear" w:color="auto" w:fill="auto"/>
            <w:hideMark/>
          </w:tcPr>
          <w:p w14:paraId="196EFB82" w14:textId="77777777" w:rsidR="00B074CC" w:rsidRPr="001A1836" w:rsidRDefault="00B074CC" w:rsidP="00626054">
            <w:pPr>
              <w:rPr>
                <w:rFonts w:cs="Arial"/>
                <w:noProof/>
              </w:rPr>
            </w:pPr>
            <w:r w:rsidRPr="001A1836">
              <w:rPr>
                <w:rFonts w:cs="Arial"/>
                <w:noProof/>
              </w:rPr>
              <w:t>Escalation only</w:t>
            </w:r>
          </w:p>
        </w:tc>
      </w:tr>
    </w:tbl>
    <w:p w14:paraId="6BD914A2" w14:textId="77777777" w:rsidR="00B074CC" w:rsidRPr="001A1836" w:rsidRDefault="00B074CC" w:rsidP="00626054">
      <w:pPr>
        <w:spacing w:after="0"/>
        <w:rPr>
          <w:sz w:val="20"/>
          <w:szCs w:val="24"/>
        </w:rPr>
      </w:pPr>
    </w:p>
    <w:p w14:paraId="01F986A3" w14:textId="77777777" w:rsidR="00B074CC" w:rsidRPr="001A1836" w:rsidRDefault="00B074CC" w:rsidP="00626054">
      <w:pPr>
        <w:spacing w:after="0"/>
        <w:ind w:left="720" w:hanging="720"/>
        <w:rPr>
          <w:rFonts w:eastAsia="Calibri"/>
        </w:rPr>
      </w:pPr>
    </w:p>
    <w:p w14:paraId="5CAED163" w14:textId="77777777" w:rsidR="00B074CC" w:rsidRPr="001A1836" w:rsidRDefault="00B074CC" w:rsidP="00626054">
      <w:pPr>
        <w:spacing w:after="0"/>
        <w:ind w:left="720" w:hanging="720"/>
        <w:rPr>
          <w:rFonts w:eastAsia="Calibri"/>
        </w:rPr>
      </w:pPr>
      <w:r w:rsidRPr="001A1836">
        <w:rPr>
          <w:rFonts w:eastAsia="Calibri"/>
          <w:b/>
        </w:rPr>
        <w:t>Figure 1</w:t>
      </w:r>
      <w:r w:rsidRPr="001A1836">
        <w:rPr>
          <w:rFonts w:eastAsia="Calibri"/>
        </w:rPr>
        <w:t xml:space="preserve"> Governance structure</w:t>
      </w:r>
    </w:p>
    <w:p w14:paraId="39A3A952" w14:textId="77777777" w:rsidR="00B074CC" w:rsidRPr="001A1836" w:rsidRDefault="00B074CC" w:rsidP="00626054">
      <w:pPr>
        <w:spacing w:after="0"/>
        <w:ind w:left="720" w:hanging="720"/>
        <w:rPr>
          <w:rFonts w:eastAsia="Calibri"/>
        </w:rPr>
      </w:pPr>
    </w:p>
    <w:p w14:paraId="56A37DEA" w14:textId="77777777" w:rsidR="00B074CC" w:rsidRPr="001A1836" w:rsidRDefault="00B074CC" w:rsidP="00626054">
      <w:pPr>
        <w:spacing w:after="0"/>
        <w:ind w:left="720" w:hanging="720"/>
        <w:rPr>
          <w:rFonts w:eastAsia="Calibri"/>
        </w:rPr>
      </w:pPr>
    </w:p>
    <w:p w14:paraId="59224CA7" w14:textId="77777777" w:rsidR="00B074CC" w:rsidRPr="001A1836" w:rsidRDefault="00B074CC" w:rsidP="00626054">
      <w:pPr>
        <w:spacing w:after="0"/>
        <w:ind w:left="720" w:hanging="720"/>
        <w:rPr>
          <w:rFonts w:eastAsia="Calibri"/>
        </w:rPr>
      </w:pPr>
      <w:r w:rsidRPr="001A1836">
        <w:rPr>
          <w:rFonts w:eastAsia="Calibri"/>
          <w:noProof/>
          <w:lang w:eastAsia="en-GB"/>
        </w:rPr>
        <w:drawing>
          <wp:inline distT="0" distB="0" distL="0" distR="0" wp14:anchorId="4A722204" wp14:editId="178FDEE7">
            <wp:extent cx="5278120" cy="3629025"/>
            <wp:effectExtent l="0" t="0" r="0"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13E389EC" w14:textId="77777777" w:rsidR="00B074CC" w:rsidRPr="001A1836" w:rsidRDefault="00B074CC" w:rsidP="00626054">
      <w:pPr>
        <w:spacing w:after="0"/>
        <w:ind w:left="720" w:hanging="720"/>
        <w:rPr>
          <w:noProof/>
          <w:sz w:val="20"/>
          <w:szCs w:val="24"/>
        </w:rPr>
      </w:pPr>
    </w:p>
    <w:p w14:paraId="1B2EE1C0" w14:textId="77777777" w:rsidR="00B074CC" w:rsidRPr="001A1836" w:rsidRDefault="00B074CC" w:rsidP="00626054">
      <w:pPr>
        <w:spacing w:after="0"/>
        <w:ind w:left="720" w:hanging="720"/>
        <w:rPr>
          <w:rFonts w:eastAsia="Calibri"/>
        </w:rPr>
      </w:pPr>
    </w:p>
    <w:p w14:paraId="7097535F" w14:textId="77777777" w:rsidR="00B074CC" w:rsidRPr="001A1836" w:rsidRDefault="00B074CC" w:rsidP="00626054">
      <w:pPr>
        <w:spacing w:after="0"/>
        <w:ind w:left="720" w:hanging="720"/>
        <w:rPr>
          <w:rFonts w:eastAsia="Calibri"/>
        </w:rPr>
      </w:pPr>
    </w:p>
    <w:p w14:paraId="78664E6E" w14:textId="77777777" w:rsidR="00B074CC" w:rsidRPr="001A1836" w:rsidRDefault="00B074CC" w:rsidP="00626054">
      <w:pPr>
        <w:spacing w:after="0"/>
        <w:ind w:left="720" w:hanging="720"/>
        <w:rPr>
          <w:rFonts w:eastAsia="Calibri"/>
        </w:rPr>
      </w:pPr>
    </w:p>
    <w:p w14:paraId="07DBD9F6" w14:textId="77777777" w:rsidR="00B074CC" w:rsidRPr="001A1836" w:rsidRDefault="00B074CC">
      <w:pPr>
        <w:pStyle w:val="GSRL3heading"/>
      </w:pPr>
      <w:bookmarkStart w:id="2243" w:name="_Toc508703711"/>
      <w:bookmarkStart w:id="2244" w:name="_Toc508704567"/>
      <w:bookmarkStart w:id="2245" w:name="_Toc521327113"/>
      <w:bookmarkStart w:id="2246" w:name="_Toc521333346"/>
      <w:bookmarkStart w:id="2247" w:name="_Toc521484077"/>
      <w:bookmarkStart w:id="2248" w:name="_Toc521484840"/>
      <w:bookmarkStart w:id="2249" w:name="_Toc521485171"/>
      <w:bookmarkStart w:id="2250" w:name="_Toc521496907"/>
      <w:bookmarkStart w:id="2251" w:name="_Toc521498349"/>
      <w:bookmarkStart w:id="2252" w:name="_Toc529346049"/>
      <w:bookmarkStart w:id="2253" w:name="_Toc129038260"/>
      <w:bookmarkStart w:id="2254" w:name="_Toc129038546"/>
      <w:bookmarkStart w:id="2255" w:name="_Toc132268120"/>
      <w:bookmarkStart w:id="2256" w:name="_Toc132268426"/>
      <w:bookmarkStart w:id="2257" w:name="_Toc136198676"/>
      <w:bookmarkStart w:id="2258" w:name="_Toc136198957"/>
      <w:r w:rsidRPr="001A1836">
        <w:t>Contract management mechanisms</w:t>
      </w:r>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r w:rsidRPr="001A1836">
        <w:t xml:space="preserve"> </w:t>
      </w:r>
    </w:p>
    <w:p w14:paraId="1845598F" w14:textId="77777777" w:rsidR="00B074CC" w:rsidRPr="001A1836" w:rsidRDefault="00B074CC">
      <w:pPr>
        <w:pStyle w:val="GSRL4numberedclause"/>
      </w:pPr>
      <w:r w:rsidRPr="001A1836">
        <w:t xml:space="preserve">Both parties will proactively manage risks attributed to them under the terms of this Agreement. </w:t>
      </w:r>
    </w:p>
    <w:p w14:paraId="3789765A" w14:textId="77777777" w:rsidR="00B074CC" w:rsidRPr="001A1836" w:rsidRDefault="00B074CC">
      <w:pPr>
        <w:pStyle w:val="GSRL4numberedclause"/>
      </w:pPr>
      <w:r w:rsidRPr="001A1836">
        <w:t xml:space="preserve">The Provider will develop, operate, maintain and amend, as agreed with HSE, processes for: </w:t>
      </w:r>
    </w:p>
    <w:p w14:paraId="2F8E2566" w14:textId="77777777" w:rsidR="00B074CC" w:rsidRPr="001A1836" w:rsidRDefault="00B074CC">
      <w:pPr>
        <w:pStyle w:val="GSRL5numberedclause"/>
      </w:pPr>
      <w:r w:rsidRPr="001A1836">
        <w:lastRenderedPageBreak/>
        <w:t xml:space="preserve">the identification and management of risks. The risk register will be completed by the Provider and submitted for review by both parties at the Service and Performance Monitoring meetings; </w:t>
      </w:r>
    </w:p>
    <w:p w14:paraId="7B3D9790" w14:textId="77777777" w:rsidR="00B074CC" w:rsidRPr="001A1836" w:rsidRDefault="00B074CC">
      <w:pPr>
        <w:pStyle w:val="GSRL5numberedclause"/>
      </w:pPr>
      <w:r w:rsidRPr="001A1836">
        <w:t xml:space="preserve">the identification and management of issues; </w:t>
      </w:r>
    </w:p>
    <w:p w14:paraId="04EC6388" w14:textId="77777777" w:rsidR="00B074CC" w:rsidRPr="001A1836" w:rsidRDefault="00B074CC">
      <w:pPr>
        <w:pStyle w:val="GSRL5numberedclause"/>
      </w:pPr>
      <w:r w:rsidRPr="001A1836">
        <w:t xml:space="preserve">monitoring and controlling project plans; and </w:t>
      </w:r>
    </w:p>
    <w:p w14:paraId="7BB30164" w14:textId="77777777" w:rsidR="00B074CC" w:rsidRPr="001A1836" w:rsidRDefault="00B074CC">
      <w:pPr>
        <w:pStyle w:val="GSRL5numberedclause"/>
      </w:pPr>
      <w:r w:rsidRPr="001A1836">
        <w:t xml:space="preserve">document control and management. </w:t>
      </w:r>
    </w:p>
    <w:p w14:paraId="1D4940E2" w14:textId="77777777" w:rsidR="00B074CC" w:rsidRPr="001A1836" w:rsidRDefault="00B074CC">
      <w:pPr>
        <w:pStyle w:val="GSRL3heading"/>
      </w:pPr>
      <w:bookmarkStart w:id="2259" w:name="_Toc508703712"/>
      <w:bookmarkStart w:id="2260" w:name="_Toc508704568"/>
      <w:bookmarkStart w:id="2261" w:name="_Toc521327114"/>
      <w:bookmarkStart w:id="2262" w:name="_Toc521333347"/>
      <w:bookmarkStart w:id="2263" w:name="_Toc521484078"/>
      <w:bookmarkStart w:id="2264" w:name="_Toc521484841"/>
      <w:bookmarkStart w:id="2265" w:name="_Toc521485172"/>
      <w:bookmarkStart w:id="2266" w:name="_Toc521496908"/>
      <w:bookmarkStart w:id="2267" w:name="_Toc521498350"/>
      <w:bookmarkStart w:id="2268" w:name="_Toc529346050"/>
      <w:bookmarkStart w:id="2269" w:name="_Toc129038261"/>
      <w:bookmarkStart w:id="2270" w:name="_Toc129038547"/>
      <w:bookmarkStart w:id="2271" w:name="_Toc132268121"/>
      <w:bookmarkStart w:id="2272" w:name="_Toc132268427"/>
      <w:bookmarkStart w:id="2273" w:name="_Toc136198677"/>
      <w:bookmarkStart w:id="2274" w:name="_Toc136198958"/>
      <w:r w:rsidRPr="001A1836">
        <w:t>Contract Manager: role and responsibility</w:t>
      </w:r>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r w:rsidRPr="001A1836">
        <w:t xml:space="preserve"> </w:t>
      </w:r>
    </w:p>
    <w:p w14:paraId="1E4AD2C7" w14:textId="77777777" w:rsidR="00B074CC" w:rsidRPr="001A1836" w:rsidRDefault="00B074CC">
      <w:pPr>
        <w:pStyle w:val="GSRL4numberedclause"/>
      </w:pPr>
      <w:r w:rsidRPr="001A1836">
        <w:t xml:space="preserve">As set out in 4.3, to ensure that risks are proactively managed both parties shall appoint Contract Managers whose roles and responsibilities are: </w:t>
      </w:r>
    </w:p>
    <w:p w14:paraId="3784EA5E" w14:textId="77777777" w:rsidR="00B074CC" w:rsidRPr="001A1836" w:rsidRDefault="00B074CC">
      <w:pPr>
        <w:pStyle w:val="GSRL5numberedclause"/>
      </w:pPr>
      <w:r w:rsidRPr="001A1836">
        <w:t xml:space="preserve">oversee management reporting arrangements through joint monitoring of activities and performance indicators; </w:t>
      </w:r>
    </w:p>
    <w:p w14:paraId="011FFC55" w14:textId="77777777" w:rsidR="00B074CC" w:rsidRPr="001A1836" w:rsidRDefault="00B074CC">
      <w:pPr>
        <w:pStyle w:val="GSRL5numberedclause"/>
      </w:pPr>
      <w:r w:rsidRPr="001A1836">
        <w:t xml:space="preserve">budget monitoring and analysis and escalation as appropriate of risks and issues; </w:t>
      </w:r>
    </w:p>
    <w:p w14:paraId="431FF6BC" w14:textId="77777777" w:rsidR="00B074CC" w:rsidRPr="001A1836" w:rsidRDefault="00B074CC">
      <w:pPr>
        <w:pStyle w:val="GSRL5numberedclause"/>
      </w:pPr>
      <w:r w:rsidRPr="001A1836">
        <w:t xml:space="preserve">to meet regularly to ensure the smooth running of the agreement; </w:t>
      </w:r>
    </w:p>
    <w:p w14:paraId="3C496A6E" w14:textId="77777777" w:rsidR="00B074CC" w:rsidRPr="001A1836" w:rsidRDefault="00B074CC">
      <w:pPr>
        <w:pStyle w:val="GSRL5numberedclause"/>
      </w:pPr>
      <w:r w:rsidRPr="001A1836">
        <w:t xml:space="preserve">propose changes to the Agreement. The HSE Contract Manager shall consult internally on all such proposals for change and remit to the Contract Review Board for decision those matters of significant or strategic importance; and </w:t>
      </w:r>
    </w:p>
    <w:p w14:paraId="6784E4FC" w14:textId="77777777" w:rsidR="00B074CC" w:rsidRPr="001A1836" w:rsidRDefault="00B074CC">
      <w:pPr>
        <w:pStyle w:val="GSRL5numberedclause"/>
      </w:pPr>
      <w:r w:rsidRPr="001A1836">
        <w:t xml:space="preserve">maintain and keep up to date the Concordat between HSE and the Provider. </w:t>
      </w:r>
    </w:p>
    <w:p w14:paraId="70518E61" w14:textId="77777777" w:rsidR="00B074CC" w:rsidRPr="001A1836" w:rsidRDefault="00B074CC">
      <w:pPr>
        <w:pStyle w:val="GSRL4numberedclause"/>
      </w:pPr>
      <w:r w:rsidRPr="001A1836">
        <w:t xml:space="preserve">The HSE Contract Manager shall: </w:t>
      </w:r>
    </w:p>
    <w:p w14:paraId="03D02297" w14:textId="77777777" w:rsidR="00B074CC" w:rsidRPr="001A1836" w:rsidRDefault="00B074CC">
      <w:pPr>
        <w:pStyle w:val="GSRL5numberedclause"/>
      </w:pPr>
      <w:r w:rsidRPr="001A1836">
        <w:t xml:space="preserve">institute a timely and comprehensive process of contract audit; </w:t>
      </w:r>
    </w:p>
    <w:p w14:paraId="62CBBE5D" w14:textId="77777777" w:rsidR="00B074CC" w:rsidRPr="001A1836" w:rsidRDefault="00B074CC">
      <w:pPr>
        <w:pStyle w:val="GSRL5numberedclause"/>
      </w:pPr>
      <w:r w:rsidRPr="001A1836">
        <w:t xml:space="preserve">approve Ancillary Services proposals and authorise payments for work done. </w:t>
      </w:r>
    </w:p>
    <w:p w14:paraId="3D52E8E0" w14:textId="77777777" w:rsidR="00B074CC" w:rsidRPr="001A1836" w:rsidRDefault="00B074CC">
      <w:pPr>
        <w:pStyle w:val="GSRL4numberedclause"/>
      </w:pPr>
      <w:r w:rsidRPr="001A1836">
        <w:t xml:space="preserve">The Provider Contract Manager shall: </w:t>
      </w:r>
    </w:p>
    <w:p w14:paraId="30BCB337" w14:textId="77777777" w:rsidR="00B074CC" w:rsidRPr="001A1836" w:rsidRDefault="00B074CC">
      <w:pPr>
        <w:pStyle w:val="GSRL5numberedclause"/>
      </w:pPr>
      <w:r w:rsidRPr="001A1836">
        <w:t>prepare reports and submit monthly and annual performance reports to the HSE Contract Manager;</w:t>
      </w:r>
    </w:p>
    <w:p w14:paraId="523416A7" w14:textId="77777777" w:rsidR="00B074CC" w:rsidRPr="001A1836" w:rsidRDefault="00B074CC">
      <w:pPr>
        <w:pStyle w:val="GSRL5numberedclause"/>
      </w:pPr>
      <w:r w:rsidRPr="001A1836">
        <w:t xml:space="preserve">respond to queries raised by the HSE Contract Manager. </w:t>
      </w:r>
    </w:p>
    <w:p w14:paraId="3355DE0F" w14:textId="77777777" w:rsidR="00B074CC" w:rsidRPr="001A1836" w:rsidRDefault="00B074CC">
      <w:pPr>
        <w:pStyle w:val="GSRL3heading"/>
      </w:pPr>
      <w:bookmarkStart w:id="2275" w:name="_Toc521496909"/>
      <w:bookmarkStart w:id="2276" w:name="_Toc521498351"/>
      <w:bookmarkStart w:id="2277" w:name="_Toc529346051"/>
      <w:bookmarkStart w:id="2278" w:name="_Toc129038262"/>
      <w:bookmarkStart w:id="2279" w:name="_Toc129038548"/>
      <w:bookmarkStart w:id="2280" w:name="_Toc132268122"/>
      <w:bookmarkStart w:id="2281" w:name="_Toc132268428"/>
      <w:bookmarkStart w:id="2282" w:name="_Toc136198678"/>
      <w:bookmarkStart w:id="2283" w:name="_Toc136198959"/>
      <w:r w:rsidRPr="001A1836">
        <w:t>Performance monitoring</w:t>
      </w:r>
      <w:bookmarkEnd w:id="2275"/>
      <w:bookmarkEnd w:id="2276"/>
      <w:bookmarkEnd w:id="2277"/>
      <w:bookmarkEnd w:id="2278"/>
      <w:bookmarkEnd w:id="2279"/>
      <w:bookmarkEnd w:id="2280"/>
      <w:bookmarkEnd w:id="2281"/>
      <w:bookmarkEnd w:id="2282"/>
      <w:bookmarkEnd w:id="2283"/>
      <w:r w:rsidRPr="001A1836">
        <w:t xml:space="preserve"> </w:t>
      </w:r>
    </w:p>
    <w:p w14:paraId="0034B3AE" w14:textId="77777777" w:rsidR="00B074CC" w:rsidRPr="001A1836" w:rsidRDefault="00B074CC">
      <w:pPr>
        <w:pStyle w:val="GSRL4numberedclause"/>
        <w:rPr>
          <w:lang w:val="en-US"/>
        </w:rPr>
      </w:pPr>
      <w:r w:rsidRPr="001A1836">
        <w:rPr>
          <w:lang w:val="en-US"/>
        </w:rPr>
        <w:t>The Provider will monitor and measure its performance of the Services in relation to each of the performance measures detailed in Schedule 3 (Service Levels) and Schedule 8 (Key Performance Indicators).</w:t>
      </w:r>
    </w:p>
    <w:p w14:paraId="00DDBF9B" w14:textId="77777777" w:rsidR="00B074CC" w:rsidRPr="001A1836" w:rsidRDefault="00B074CC">
      <w:pPr>
        <w:pStyle w:val="GSRL4numberedclause"/>
        <w:rPr>
          <w:lang w:val="en-US"/>
        </w:rPr>
      </w:pPr>
      <w:r w:rsidRPr="001A1836">
        <w:t>The Provider is responsible for the calculation and application of all Service Credits but shall provide HSE with all relevant information and reports to allow verification of all calculations.</w:t>
      </w:r>
    </w:p>
    <w:p w14:paraId="560C42EC" w14:textId="77777777" w:rsidR="00B074CC" w:rsidRPr="001A1836" w:rsidRDefault="00B074CC">
      <w:pPr>
        <w:spacing w:after="0"/>
        <w:rPr>
          <w:rFonts w:eastAsia="Trebuchet MS"/>
          <w:b/>
          <w:sz w:val="28"/>
        </w:rPr>
      </w:pPr>
      <w:r w:rsidRPr="001A1836">
        <w:rPr>
          <w:rFonts w:eastAsia="Trebuchet MS"/>
        </w:rPr>
        <w:br w:type="page"/>
      </w:r>
    </w:p>
    <w:p w14:paraId="2F7046FE" w14:textId="44274D11" w:rsidR="00B074CC" w:rsidRPr="001A1836" w:rsidRDefault="00B074CC" w:rsidP="00997BFB">
      <w:pPr>
        <w:pStyle w:val="GSRL2Sectionheading"/>
      </w:pPr>
      <w:bookmarkStart w:id="2284" w:name="_Toc508703713"/>
      <w:bookmarkStart w:id="2285" w:name="_Toc508704569"/>
      <w:bookmarkStart w:id="2286" w:name="_Toc521327115"/>
      <w:bookmarkStart w:id="2287" w:name="_Toc521333348"/>
      <w:bookmarkStart w:id="2288" w:name="_Toc521484079"/>
      <w:bookmarkStart w:id="2289" w:name="_Toc521484842"/>
      <w:bookmarkStart w:id="2290" w:name="_Toc521485173"/>
      <w:bookmarkStart w:id="2291" w:name="_Toc521496910"/>
      <w:bookmarkStart w:id="2292" w:name="_Toc521498352"/>
      <w:bookmarkStart w:id="2293" w:name="_Toc529346052"/>
      <w:bookmarkStart w:id="2294" w:name="_Toc129038263"/>
      <w:bookmarkStart w:id="2295" w:name="_Toc129038549"/>
      <w:bookmarkStart w:id="2296" w:name="_Toc132268123"/>
      <w:bookmarkStart w:id="2297" w:name="_Toc132268429"/>
      <w:bookmarkStart w:id="2298" w:name="_Toc136198679"/>
      <w:bookmarkStart w:id="2299" w:name="_Toc136198960"/>
      <w:r w:rsidRPr="001A1836">
        <w:lastRenderedPageBreak/>
        <w:t xml:space="preserve">Annex </w:t>
      </w:r>
      <w:r w:rsidR="004C2FF4" w:rsidRPr="001A1836">
        <w:t>1 –</w:t>
      </w:r>
      <w:r w:rsidRPr="001A1836">
        <w:t xml:space="preserve"> Governance structure roles and responsibilities</w:t>
      </w:r>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p>
    <w:p w14:paraId="0160429D" w14:textId="77777777" w:rsidR="00B074CC" w:rsidRPr="001A1836" w:rsidRDefault="00B074CC" w:rsidP="004E2262">
      <w:pPr>
        <w:pStyle w:val="GSRL3heading"/>
        <w:numPr>
          <w:ilvl w:val="0"/>
          <w:numId w:val="70"/>
        </w:numPr>
      </w:pPr>
      <w:bookmarkStart w:id="2300" w:name="_Toc508703714"/>
      <w:bookmarkStart w:id="2301" w:name="_Toc508704570"/>
      <w:bookmarkStart w:id="2302" w:name="_Toc521327116"/>
      <w:bookmarkStart w:id="2303" w:name="_Toc521333349"/>
      <w:bookmarkStart w:id="2304" w:name="_Toc521484080"/>
      <w:bookmarkStart w:id="2305" w:name="_Toc521484843"/>
      <w:bookmarkStart w:id="2306" w:name="_Toc521485174"/>
      <w:bookmarkStart w:id="2307" w:name="_Toc521496911"/>
      <w:bookmarkStart w:id="2308" w:name="_Toc521498353"/>
      <w:bookmarkStart w:id="2309" w:name="_Toc529346053"/>
      <w:bookmarkStart w:id="2310" w:name="_Toc129038264"/>
      <w:bookmarkStart w:id="2311" w:name="_Toc129038550"/>
      <w:bookmarkStart w:id="2312" w:name="_Toc132268124"/>
      <w:bookmarkStart w:id="2313" w:name="_Toc132268430"/>
      <w:bookmarkStart w:id="2314" w:name="_Toc136198680"/>
      <w:bookmarkStart w:id="2315" w:name="_Toc136198961"/>
      <w:r w:rsidRPr="001A1836">
        <w:t>Introduction</w:t>
      </w:r>
      <w:bookmarkStart w:id="2316" w:name="_Toc508703715"/>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p>
    <w:p w14:paraId="64E82752" w14:textId="77777777" w:rsidR="00B074CC" w:rsidRPr="001A1836" w:rsidRDefault="00B074CC">
      <w:pPr>
        <w:pStyle w:val="GSRL4numberedclause"/>
      </w:pPr>
      <w:bookmarkStart w:id="2317" w:name="_Toc508704571"/>
      <w:bookmarkStart w:id="2318" w:name="_Toc521327117"/>
      <w:bookmarkStart w:id="2319" w:name="_Toc521333350"/>
      <w:bookmarkStart w:id="2320" w:name="_Toc521484081"/>
      <w:bookmarkStart w:id="2321" w:name="_Toc521484844"/>
      <w:bookmarkStart w:id="2322" w:name="_Toc521485175"/>
      <w:r w:rsidRPr="001A1836">
        <w:t>The tables below set out the proposed Governance Structure, the expected representation and roles and responsibilities at each tier of the structure.</w:t>
      </w:r>
      <w:bookmarkEnd w:id="2316"/>
      <w:bookmarkEnd w:id="2317"/>
      <w:bookmarkEnd w:id="2318"/>
      <w:bookmarkEnd w:id="2319"/>
      <w:bookmarkEnd w:id="2320"/>
      <w:bookmarkEnd w:id="2321"/>
      <w:bookmarkEnd w:id="2322"/>
      <w:r w:rsidRPr="001A1836">
        <w:t xml:space="preserve"> </w:t>
      </w:r>
    </w:p>
    <w:p w14:paraId="39396E06" w14:textId="77777777" w:rsidR="00B074CC" w:rsidRPr="001A1836" w:rsidRDefault="00B074CC">
      <w:pPr>
        <w:pStyle w:val="GSRL3heading"/>
      </w:pPr>
      <w:bookmarkStart w:id="2323" w:name="_Toc508703716"/>
      <w:bookmarkStart w:id="2324" w:name="_Toc508704572"/>
      <w:bookmarkStart w:id="2325" w:name="_Toc521327118"/>
      <w:bookmarkStart w:id="2326" w:name="_Toc521333351"/>
      <w:bookmarkStart w:id="2327" w:name="_Toc521484082"/>
      <w:bookmarkStart w:id="2328" w:name="_Toc521484845"/>
      <w:bookmarkStart w:id="2329" w:name="_Toc521485176"/>
      <w:bookmarkStart w:id="2330" w:name="_Toc521496912"/>
      <w:bookmarkStart w:id="2331" w:name="_Toc521498354"/>
      <w:bookmarkStart w:id="2332" w:name="_Toc529346054"/>
      <w:bookmarkStart w:id="2333" w:name="_Toc129038265"/>
      <w:bookmarkStart w:id="2334" w:name="_Toc129038551"/>
      <w:bookmarkStart w:id="2335" w:name="_Toc132268125"/>
      <w:bookmarkStart w:id="2336" w:name="_Toc132268431"/>
      <w:bookmarkStart w:id="2337" w:name="_Toc136198681"/>
      <w:bookmarkStart w:id="2338" w:name="_Toc136198962"/>
      <w:r w:rsidRPr="001A1836">
        <w:t>Field Operations Liaison</w:t>
      </w:r>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p>
    <w:p w14:paraId="6B3EBD6F" w14:textId="77777777" w:rsidR="00B074CC" w:rsidRPr="001A1836" w:rsidRDefault="00B074CC" w:rsidP="00626054">
      <w:pPr>
        <w:rPr>
          <w:sz w:val="20"/>
          <w:szCs w:val="24"/>
        </w:rPr>
      </w:pPr>
      <w:r w:rsidRPr="001A1836">
        <w:rPr>
          <w:b/>
        </w:rPr>
        <w:t>Table 2</w:t>
      </w:r>
      <w:r w:rsidRPr="001A1836">
        <w:t xml:space="preserve"> Tier 1 Field Operations Liaison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152"/>
      </w:tblGrid>
      <w:tr w:rsidR="00B074CC" w:rsidRPr="001A1836" w14:paraId="753F95A4" w14:textId="77777777" w:rsidTr="00626054">
        <w:trPr>
          <w:cantSplit/>
          <w:tblHeader/>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60F642AF" w14:textId="77777777" w:rsidR="00B074CC" w:rsidRPr="001A1836" w:rsidRDefault="00B074CC" w:rsidP="00626054">
            <w:pPr>
              <w:rPr>
                <w:rFonts w:cs="Arial"/>
                <w:b/>
              </w:rPr>
            </w:pPr>
            <w:r w:rsidRPr="001A1836">
              <w:rPr>
                <w:rFonts w:cs="Arial"/>
                <w:b/>
              </w:rPr>
              <w:t>Forum</w:t>
            </w:r>
          </w:p>
        </w:tc>
        <w:tc>
          <w:tcPr>
            <w:tcW w:w="6152" w:type="dxa"/>
            <w:tcBorders>
              <w:top w:val="single" w:sz="4" w:space="0" w:color="auto"/>
              <w:left w:val="single" w:sz="4" w:space="0" w:color="auto"/>
              <w:bottom w:val="single" w:sz="4" w:space="0" w:color="auto"/>
              <w:right w:val="single" w:sz="4" w:space="0" w:color="auto"/>
            </w:tcBorders>
            <w:shd w:val="clear" w:color="auto" w:fill="auto"/>
            <w:hideMark/>
          </w:tcPr>
          <w:p w14:paraId="62691B0C" w14:textId="77777777" w:rsidR="00B074CC" w:rsidRPr="001A1836" w:rsidRDefault="00B074CC" w:rsidP="00626054">
            <w:pPr>
              <w:rPr>
                <w:rFonts w:cs="Arial"/>
                <w:b/>
              </w:rPr>
            </w:pPr>
            <w:r w:rsidRPr="001A1836">
              <w:rPr>
                <w:rFonts w:cs="Arial"/>
                <w:b/>
              </w:rPr>
              <w:t>Field Operations Liaison Team</w:t>
            </w:r>
          </w:p>
        </w:tc>
      </w:tr>
      <w:tr w:rsidR="00B074CC" w:rsidRPr="001A1836" w14:paraId="4519E544" w14:textId="77777777" w:rsidTr="00626054">
        <w:trPr>
          <w:cantSplit/>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235C9F34" w14:textId="77777777" w:rsidR="00B074CC" w:rsidRPr="001A1836" w:rsidRDefault="00B074CC" w:rsidP="00626054">
            <w:pPr>
              <w:rPr>
                <w:rFonts w:cs="Arial"/>
              </w:rPr>
            </w:pPr>
            <w:r w:rsidRPr="001A1836">
              <w:rPr>
                <w:rFonts w:cs="Arial"/>
              </w:rPr>
              <w:t>Performance governance tier</w:t>
            </w:r>
          </w:p>
        </w:tc>
        <w:tc>
          <w:tcPr>
            <w:tcW w:w="6152" w:type="dxa"/>
            <w:tcBorders>
              <w:top w:val="single" w:sz="4" w:space="0" w:color="auto"/>
              <w:left w:val="single" w:sz="4" w:space="0" w:color="auto"/>
              <w:bottom w:val="single" w:sz="4" w:space="0" w:color="auto"/>
              <w:right w:val="single" w:sz="4" w:space="0" w:color="auto"/>
            </w:tcBorders>
            <w:shd w:val="clear" w:color="auto" w:fill="auto"/>
            <w:hideMark/>
          </w:tcPr>
          <w:p w14:paraId="335453A6" w14:textId="77777777" w:rsidR="00B074CC" w:rsidRPr="001A1836" w:rsidRDefault="00B074CC" w:rsidP="00626054">
            <w:pPr>
              <w:rPr>
                <w:rFonts w:cs="Arial"/>
              </w:rPr>
            </w:pPr>
            <w:r w:rsidRPr="001A1836">
              <w:rPr>
                <w:rFonts w:cs="Arial"/>
              </w:rPr>
              <w:t>Tier 1</w:t>
            </w:r>
          </w:p>
        </w:tc>
      </w:tr>
      <w:tr w:rsidR="00B074CC" w:rsidRPr="001A1836" w14:paraId="0FB94634" w14:textId="77777777" w:rsidTr="00626054">
        <w:trPr>
          <w:cantSplit/>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0D7D3301" w14:textId="77777777" w:rsidR="00B074CC" w:rsidRPr="001A1836" w:rsidRDefault="00B074CC" w:rsidP="00626054">
            <w:pPr>
              <w:rPr>
                <w:rFonts w:cs="Arial"/>
              </w:rPr>
            </w:pPr>
            <w:r w:rsidRPr="001A1836">
              <w:rPr>
                <w:rFonts w:cs="Arial"/>
              </w:rPr>
              <w:t>HSE attendees</w:t>
            </w:r>
          </w:p>
        </w:tc>
        <w:tc>
          <w:tcPr>
            <w:tcW w:w="6152" w:type="dxa"/>
            <w:tcBorders>
              <w:top w:val="single" w:sz="4" w:space="0" w:color="auto"/>
              <w:left w:val="single" w:sz="4" w:space="0" w:color="auto"/>
              <w:bottom w:val="single" w:sz="4" w:space="0" w:color="auto"/>
              <w:right w:val="single" w:sz="4" w:space="0" w:color="auto"/>
            </w:tcBorders>
            <w:shd w:val="clear" w:color="auto" w:fill="auto"/>
            <w:hideMark/>
          </w:tcPr>
          <w:p w14:paraId="171A63EA" w14:textId="77777777" w:rsidR="00B074CC" w:rsidRPr="001A1836" w:rsidRDefault="00B074CC" w:rsidP="00626054">
            <w:pPr>
              <w:rPr>
                <w:rFonts w:cs="Arial"/>
                <w:noProof/>
              </w:rPr>
            </w:pPr>
            <w:r w:rsidRPr="001A1836">
              <w:rPr>
                <w:rFonts w:cs="Arial"/>
                <w:noProof/>
              </w:rPr>
              <w:t>HSE sector lead</w:t>
            </w:r>
          </w:p>
          <w:p w14:paraId="6A77C479" w14:textId="77777777" w:rsidR="00B074CC" w:rsidRPr="001A1836" w:rsidRDefault="00B074CC" w:rsidP="00626054">
            <w:pPr>
              <w:rPr>
                <w:rFonts w:cs="Arial"/>
                <w:noProof/>
              </w:rPr>
            </w:pPr>
            <w:r w:rsidRPr="001A1836">
              <w:rPr>
                <w:rFonts w:cs="Arial"/>
                <w:noProof/>
              </w:rPr>
              <w:t xml:space="preserve">Field operations representative from HSE and equivalent from HSENI </w:t>
            </w:r>
          </w:p>
        </w:tc>
      </w:tr>
      <w:tr w:rsidR="00B074CC" w:rsidRPr="001A1836" w14:paraId="21683737" w14:textId="77777777" w:rsidTr="00626054">
        <w:trPr>
          <w:cantSplit/>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51C6F01D" w14:textId="77777777" w:rsidR="00B074CC" w:rsidRPr="001A1836" w:rsidRDefault="00B074CC" w:rsidP="00626054">
            <w:pPr>
              <w:rPr>
                <w:rFonts w:cs="Arial"/>
              </w:rPr>
            </w:pPr>
            <w:r w:rsidRPr="001A1836">
              <w:rPr>
                <w:rFonts w:cs="Arial"/>
              </w:rPr>
              <w:t>Service Provider attendees</w:t>
            </w:r>
          </w:p>
        </w:tc>
        <w:tc>
          <w:tcPr>
            <w:tcW w:w="6152" w:type="dxa"/>
            <w:tcBorders>
              <w:top w:val="single" w:sz="4" w:space="0" w:color="auto"/>
              <w:left w:val="single" w:sz="4" w:space="0" w:color="auto"/>
              <w:bottom w:val="single" w:sz="4" w:space="0" w:color="auto"/>
              <w:right w:val="single" w:sz="4" w:space="0" w:color="auto"/>
            </w:tcBorders>
            <w:shd w:val="clear" w:color="auto" w:fill="auto"/>
            <w:hideMark/>
          </w:tcPr>
          <w:p w14:paraId="5388495A" w14:textId="77777777" w:rsidR="00181839" w:rsidRDefault="00181839" w:rsidP="00626054">
            <w:pPr>
              <w:rPr>
                <w:rFonts w:cs="Arial"/>
                <w:noProof/>
              </w:rPr>
            </w:pPr>
            <w:r>
              <w:rPr>
                <w:rFonts w:cs="Arial"/>
                <w:noProof/>
              </w:rPr>
              <w:t>Director of Gas Safe Services</w:t>
            </w:r>
          </w:p>
          <w:p w14:paraId="57F65D5A" w14:textId="17865FE1" w:rsidR="00B074CC" w:rsidRPr="001A1836" w:rsidRDefault="00181839" w:rsidP="00626054">
            <w:pPr>
              <w:rPr>
                <w:rFonts w:cs="Arial"/>
                <w:noProof/>
              </w:rPr>
            </w:pPr>
            <w:r>
              <w:rPr>
                <w:rFonts w:cs="Arial"/>
                <w:noProof/>
              </w:rPr>
              <w:t>Head of Field Operations</w:t>
            </w:r>
            <w:r w:rsidR="00A15718">
              <w:rPr>
                <w:rFonts w:cs="Arial"/>
                <w:noProof/>
              </w:rPr>
              <w:t xml:space="preserve"> </w:t>
            </w:r>
            <w:r>
              <w:rPr>
                <w:rFonts w:cs="Arial"/>
                <w:noProof/>
              </w:rPr>
              <w:t>S</w:t>
            </w:r>
            <w:r w:rsidR="00B074CC" w:rsidRPr="001A1836">
              <w:rPr>
                <w:rFonts w:cs="Arial"/>
                <w:noProof/>
              </w:rPr>
              <w:t>enior members of field team</w:t>
            </w:r>
          </w:p>
        </w:tc>
      </w:tr>
      <w:tr w:rsidR="00B074CC" w:rsidRPr="001A1836" w14:paraId="58425945" w14:textId="77777777" w:rsidTr="00626054">
        <w:trPr>
          <w:cantSplit/>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361AF393" w14:textId="77777777" w:rsidR="00B074CC" w:rsidRPr="001A1836" w:rsidRDefault="00B074CC" w:rsidP="00626054">
            <w:pPr>
              <w:rPr>
                <w:rFonts w:cs="Arial"/>
              </w:rPr>
            </w:pPr>
            <w:r w:rsidRPr="001A1836">
              <w:rPr>
                <w:rFonts w:cs="Arial"/>
              </w:rPr>
              <w:t>Responsibilities and functions</w:t>
            </w:r>
          </w:p>
        </w:tc>
        <w:tc>
          <w:tcPr>
            <w:tcW w:w="6152" w:type="dxa"/>
            <w:tcBorders>
              <w:top w:val="single" w:sz="4" w:space="0" w:color="auto"/>
              <w:left w:val="single" w:sz="4" w:space="0" w:color="auto"/>
              <w:bottom w:val="single" w:sz="4" w:space="0" w:color="auto"/>
              <w:right w:val="single" w:sz="4" w:space="0" w:color="auto"/>
            </w:tcBorders>
            <w:shd w:val="clear" w:color="auto" w:fill="auto"/>
            <w:hideMark/>
          </w:tcPr>
          <w:p w14:paraId="42FF29E4" w14:textId="35D4D734" w:rsidR="00B074CC" w:rsidRPr="001A1836" w:rsidRDefault="00B074CC">
            <w:pPr>
              <w:numPr>
                <w:ilvl w:val="0"/>
                <w:numId w:val="40"/>
              </w:numPr>
              <w:rPr>
                <w:rFonts w:cs="Arial"/>
              </w:rPr>
            </w:pPr>
            <w:r w:rsidRPr="001A1836">
              <w:rPr>
                <w:rFonts w:cs="Arial"/>
              </w:rPr>
              <w:t>Review operational issues (</w:t>
            </w:r>
            <w:r w:rsidR="00435F96">
              <w:rPr>
                <w:rFonts w:cs="Arial"/>
              </w:rPr>
              <w:t>I</w:t>
            </w:r>
            <w:r w:rsidRPr="001A1836">
              <w:rPr>
                <w:rFonts w:cs="Arial"/>
              </w:rPr>
              <w:t>nspections and investigations)</w:t>
            </w:r>
          </w:p>
          <w:p w14:paraId="51F6E159" w14:textId="77777777" w:rsidR="00B074CC" w:rsidRPr="001A1836" w:rsidRDefault="00B074CC">
            <w:pPr>
              <w:numPr>
                <w:ilvl w:val="0"/>
                <w:numId w:val="40"/>
              </w:numPr>
              <w:rPr>
                <w:rFonts w:cs="Arial"/>
              </w:rPr>
            </w:pPr>
            <w:r w:rsidRPr="001A1836">
              <w:rPr>
                <w:rFonts w:cs="Arial"/>
              </w:rPr>
              <w:t>Review enforcement issues</w:t>
            </w:r>
          </w:p>
          <w:p w14:paraId="07300527" w14:textId="77777777" w:rsidR="00B074CC" w:rsidRPr="001A1836" w:rsidRDefault="00B074CC">
            <w:pPr>
              <w:numPr>
                <w:ilvl w:val="0"/>
                <w:numId w:val="40"/>
              </w:numPr>
              <w:rPr>
                <w:rFonts w:cs="Arial"/>
              </w:rPr>
            </w:pPr>
            <w:r w:rsidRPr="001A1836">
              <w:rPr>
                <w:rFonts w:cs="Arial"/>
              </w:rPr>
              <w:t>Identify issues for escalation to Tier 2</w:t>
            </w:r>
          </w:p>
        </w:tc>
      </w:tr>
      <w:tr w:rsidR="00B074CC" w:rsidRPr="001A1836" w14:paraId="6B6ED9B2" w14:textId="77777777" w:rsidTr="00626054">
        <w:trPr>
          <w:cantSplit/>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04679D70" w14:textId="77777777" w:rsidR="00B074CC" w:rsidRPr="001A1836" w:rsidRDefault="00B074CC" w:rsidP="00626054">
            <w:pPr>
              <w:rPr>
                <w:rFonts w:cs="Arial"/>
              </w:rPr>
            </w:pPr>
            <w:r w:rsidRPr="001A1836">
              <w:rPr>
                <w:rFonts w:cs="Arial"/>
              </w:rPr>
              <w:t>Frequency</w:t>
            </w:r>
          </w:p>
        </w:tc>
        <w:tc>
          <w:tcPr>
            <w:tcW w:w="6152" w:type="dxa"/>
            <w:tcBorders>
              <w:top w:val="single" w:sz="4" w:space="0" w:color="auto"/>
              <w:left w:val="single" w:sz="4" w:space="0" w:color="auto"/>
              <w:bottom w:val="single" w:sz="4" w:space="0" w:color="auto"/>
              <w:right w:val="single" w:sz="4" w:space="0" w:color="auto"/>
            </w:tcBorders>
            <w:shd w:val="clear" w:color="auto" w:fill="auto"/>
            <w:hideMark/>
          </w:tcPr>
          <w:p w14:paraId="160F7E59" w14:textId="77777777" w:rsidR="00B074CC" w:rsidRPr="001A1836" w:rsidRDefault="00B074CC" w:rsidP="00626054">
            <w:pPr>
              <w:rPr>
                <w:rFonts w:cs="Arial"/>
              </w:rPr>
            </w:pPr>
            <w:r w:rsidRPr="001A1836">
              <w:rPr>
                <w:rFonts w:cs="Arial"/>
              </w:rPr>
              <w:t>Quarterly face-to-face meetings</w:t>
            </w:r>
          </w:p>
        </w:tc>
      </w:tr>
      <w:tr w:rsidR="00B074CC" w:rsidRPr="001A1836" w14:paraId="30AD1D27" w14:textId="77777777" w:rsidTr="00626054">
        <w:trPr>
          <w:cantSplit/>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16A278CE" w14:textId="77777777" w:rsidR="00B074CC" w:rsidRPr="001A1836" w:rsidRDefault="00B074CC" w:rsidP="00626054">
            <w:pPr>
              <w:rPr>
                <w:rFonts w:cs="Arial"/>
              </w:rPr>
            </w:pPr>
            <w:r w:rsidRPr="001A1836">
              <w:rPr>
                <w:rFonts w:cs="Arial"/>
              </w:rPr>
              <w:t>Escalation point</w:t>
            </w:r>
          </w:p>
        </w:tc>
        <w:tc>
          <w:tcPr>
            <w:tcW w:w="6152" w:type="dxa"/>
            <w:tcBorders>
              <w:top w:val="single" w:sz="4" w:space="0" w:color="auto"/>
              <w:left w:val="single" w:sz="4" w:space="0" w:color="auto"/>
              <w:bottom w:val="single" w:sz="4" w:space="0" w:color="auto"/>
              <w:right w:val="single" w:sz="4" w:space="0" w:color="auto"/>
            </w:tcBorders>
            <w:shd w:val="clear" w:color="auto" w:fill="auto"/>
            <w:hideMark/>
          </w:tcPr>
          <w:p w14:paraId="7201231E" w14:textId="77777777" w:rsidR="00B074CC" w:rsidRPr="001A1836" w:rsidRDefault="00B074CC" w:rsidP="00626054">
            <w:pPr>
              <w:rPr>
                <w:rFonts w:cs="Arial"/>
              </w:rPr>
            </w:pPr>
            <w:r w:rsidRPr="001A1836">
              <w:rPr>
                <w:rFonts w:cs="Arial"/>
              </w:rPr>
              <w:t xml:space="preserve">Tier 2 </w:t>
            </w:r>
          </w:p>
        </w:tc>
      </w:tr>
    </w:tbl>
    <w:p w14:paraId="7C442054" w14:textId="77777777" w:rsidR="00B074CC" w:rsidRPr="001A1836" w:rsidRDefault="00B074CC" w:rsidP="00626054">
      <w:pPr>
        <w:rPr>
          <w:rFonts w:eastAsia="Trebuchet MS"/>
        </w:rPr>
      </w:pPr>
    </w:p>
    <w:p w14:paraId="5C993B70" w14:textId="77777777" w:rsidR="00B074CC" w:rsidRPr="001A1836" w:rsidRDefault="00B074CC">
      <w:pPr>
        <w:pStyle w:val="GSRL4numberedclause"/>
      </w:pPr>
      <w:r w:rsidRPr="001A1836">
        <w:t>HSE and the Provider will attend quarterly meetings to review operational liaison. The meetings will (unless agreed otherwise):</w:t>
      </w:r>
    </w:p>
    <w:p w14:paraId="7D8A1A84" w14:textId="2C5C3CCE" w:rsidR="00B074CC" w:rsidRPr="001A1836" w:rsidRDefault="00B074CC">
      <w:pPr>
        <w:pStyle w:val="GSRL5numberedclause"/>
      </w:pPr>
      <w:r w:rsidRPr="001A1836">
        <w:rPr>
          <w:rFonts w:eastAsia="Trebuchet MS"/>
        </w:rPr>
        <w:t xml:space="preserve">take place within </w:t>
      </w:r>
      <w:r w:rsidR="00DD1E9F" w:rsidRPr="001A1836">
        <w:rPr>
          <w:rFonts w:eastAsia="Trebuchet MS"/>
        </w:rPr>
        <w:t>fifteen (</w:t>
      </w:r>
      <w:r w:rsidRPr="001A1836">
        <w:rPr>
          <w:rFonts w:eastAsia="Trebuchet MS"/>
        </w:rPr>
        <w:t>15</w:t>
      </w:r>
      <w:r w:rsidR="00DD1E9F" w:rsidRPr="001A1836">
        <w:rPr>
          <w:rFonts w:eastAsia="Trebuchet MS"/>
        </w:rPr>
        <w:t>)</w:t>
      </w:r>
      <w:r w:rsidRPr="001A1836">
        <w:rPr>
          <w:rFonts w:eastAsia="Trebuchet MS"/>
        </w:rPr>
        <w:t xml:space="preserve"> Working Days of the end of each quarter of a Contract Year;</w:t>
      </w:r>
    </w:p>
    <w:p w14:paraId="36282A32" w14:textId="77777777" w:rsidR="00B074CC" w:rsidRPr="001A1836" w:rsidRDefault="00B074CC">
      <w:pPr>
        <w:pStyle w:val="GSRL5numberedclause"/>
      </w:pPr>
      <w:r w:rsidRPr="001A1836">
        <w:rPr>
          <w:rFonts w:eastAsia="Trebuchet MS"/>
        </w:rPr>
        <w:t>be chaired by the Provider head of field operations;</w:t>
      </w:r>
    </w:p>
    <w:p w14:paraId="3DE79DE6" w14:textId="77777777" w:rsidR="00B074CC" w:rsidRPr="001A1836" w:rsidRDefault="00B074CC">
      <w:pPr>
        <w:pStyle w:val="GSRL5numberedclause"/>
      </w:pPr>
      <w:r w:rsidRPr="001A1836">
        <w:rPr>
          <w:rFonts w:eastAsia="Trebuchet MS"/>
        </w:rPr>
        <w:t>take place at a mutually agreed location within normal business hours;</w:t>
      </w:r>
    </w:p>
    <w:p w14:paraId="79A1634F" w14:textId="77777777" w:rsidR="00B074CC" w:rsidRPr="001A1836" w:rsidRDefault="00B074CC">
      <w:pPr>
        <w:pStyle w:val="GSRL5numberedclause"/>
      </w:pPr>
      <w:r w:rsidRPr="001A1836">
        <w:rPr>
          <w:rFonts w:eastAsia="Trebuchet MS"/>
        </w:rPr>
        <w:t xml:space="preserve">be attended by the representatives detailed in Table 2 of this Schedule; and </w:t>
      </w:r>
    </w:p>
    <w:p w14:paraId="3F6BB6F9" w14:textId="77777777" w:rsidR="00B074CC" w:rsidRPr="001A1836" w:rsidRDefault="00B074CC">
      <w:pPr>
        <w:pStyle w:val="GSRL5numberedclause"/>
      </w:pPr>
      <w:r w:rsidRPr="001A1836">
        <w:rPr>
          <w:rFonts w:eastAsia="Trebuchet MS"/>
        </w:rPr>
        <w:t>follow an agreed agenda, be fully minuted with Provider providing the full secretariat function which will include as a minimum organising the meeting, including location, and issuing the meeting invitations.</w:t>
      </w:r>
    </w:p>
    <w:p w14:paraId="2257503E" w14:textId="77777777" w:rsidR="00B074CC" w:rsidRPr="001A1836" w:rsidRDefault="00B074CC">
      <w:pPr>
        <w:pStyle w:val="GSRL3heading"/>
      </w:pPr>
      <w:bookmarkStart w:id="2339" w:name="_Toc508703717"/>
      <w:bookmarkStart w:id="2340" w:name="_Toc508704573"/>
      <w:bookmarkStart w:id="2341" w:name="_Toc521327119"/>
      <w:bookmarkStart w:id="2342" w:name="_Toc521333352"/>
      <w:bookmarkStart w:id="2343" w:name="_Toc521484083"/>
      <w:bookmarkStart w:id="2344" w:name="_Toc521484846"/>
      <w:bookmarkStart w:id="2345" w:name="_Toc521485177"/>
      <w:bookmarkStart w:id="2346" w:name="_Toc521496913"/>
      <w:bookmarkStart w:id="2347" w:name="_Toc521498355"/>
      <w:bookmarkStart w:id="2348" w:name="_Toc529346055"/>
      <w:bookmarkStart w:id="2349" w:name="_Toc129038266"/>
      <w:bookmarkStart w:id="2350" w:name="_Toc129038552"/>
      <w:bookmarkStart w:id="2351" w:name="_Toc132268126"/>
      <w:bookmarkStart w:id="2352" w:name="_Toc132268432"/>
      <w:bookmarkStart w:id="2353" w:name="_Toc136198682"/>
      <w:bookmarkStart w:id="2354" w:name="_Toc136198963"/>
      <w:r w:rsidRPr="001A1836">
        <w:t>Service and Performance Monitoring</w:t>
      </w:r>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r w:rsidRPr="001A1836">
        <w:t xml:space="preserve"> </w:t>
      </w:r>
    </w:p>
    <w:p w14:paraId="0AAE0F94" w14:textId="77777777" w:rsidR="00B074CC" w:rsidRPr="001A1836" w:rsidRDefault="00B074CC" w:rsidP="00626054">
      <w:pPr>
        <w:spacing w:after="0"/>
        <w:rPr>
          <w:rFonts w:cs="Arial"/>
        </w:rPr>
      </w:pPr>
    </w:p>
    <w:p w14:paraId="529844F5" w14:textId="77777777" w:rsidR="00B074CC" w:rsidRPr="001A1836" w:rsidRDefault="00B074CC" w:rsidP="00626054">
      <w:pPr>
        <w:spacing w:after="0"/>
        <w:rPr>
          <w:rFonts w:cs="Arial"/>
        </w:rPr>
      </w:pPr>
      <w:r w:rsidRPr="001A1836">
        <w:rPr>
          <w:rFonts w:cs="Arial"/>
          <w:b/>
        </w:rPr>
        <w:t xml:space="preserve">Table 3 </w:t>
      </w:r>
      <w:r w:rsidRPr="001A1836">
        <w:rPr>
          <w:rFonts w:cs="Arial"/>
        </w:rPr>
        <w:t>Tier 2 Service and Performance Monitoring</w:t>
      </w:r>
    </w:p>
    <w:p w14:paraId="369A3A94" w14:textId="77777777" w:rsidR="00B074CC" w:rsidRPr="001A1836" w:rsidRDefault="00B074CC" w:rsidP="00626054">
      <w:pPr>
        <w:spacing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152"/>
      </w:tblGrid>
      <w:tr w:rsidR="00B074CC" w:rsidRPr="001A1836" w14:paraId="072A680B" w14:textId="77777777" w:rsidTr="00626054">
        <w:trPr>
          <w:cantSplit/>
          <w:tblHeader/>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55C615DB" w14:textId="77777777" w:rsidR="00B074CC" w:rsidRPr="001A1836" w:rsidRDefault="00B074CC" w:rsidP="00626054">
            <w:pPr>
              <w:rPr>
                <w:rFonts w:cs="Arial"/>
                <w:b/>
              </w:rPr>
            </w:pPr>
            <w:r w:rsidRPr="001A1836">
              <w:rPr>
                <w:rFonts w:cs="Arial"/>
                <w:b/>
              </w:rPr>
              <w:lastRenderedPageBreak/>
              <w:t>Forum</w:t>
            </w:r>
          </w:p>
        </w:tc>
        <w:tc>
          <w:tcPr>
            <w:tcW w:w="6152" w:type="dxa"/>
            <w:tcBorders>
              <w:top w:val="single" w:sz="4" w:space="0" w:color="auto"/>
              <w:left w:val="single" w:sz="4" w:space="0" w:color="auto"/>
              <w:bottom w:val="single" w:sz="4" w:space="0" w:color="auto"/>
              <w:right w:val="single" w:sz="4" w:space="0" w:color="auto"/>
            </w:tcBorders>
            <w:shd w:val="clear" w:color="auto" w:fill="auto"/>
            <w:hideMark/>
          </w:tcPr>
          <w:p w14:paraId="2B416773" w14:textId="77777777" w:rsidR="00B074CC" w:rsidRPr="001A1836" w:rsidRDefault="00B074CC" w:rsidP="00626054">
            <w:pPr>
              <w:rPr>
                <w:rFonts w:cs="Arial"/>
                <w:b/>
              </w:rPr>
            </w:pPr>
            <w:r w:rsidRPr="001A1836">
              <w:rPr>
                <w:rFonts w:cs="Arial"/>
                <w:b/>
              </w:rPr>
              <w:t>Service and Performance Monitoring Team</w:t>
            </w:r>
          </w:p>
        </w:tc>
      </w:tr>
      <w:tr w:rsidR="00B074CC" w:rsidRPr="001A1836" w14:paraId="5EF06C2E" w14:textId="77777777" w:rsidTr="00626054">
        <w:trPr>
          <w:cantSplit/>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00E6297E" w14:textId="77777777" w:rsidR="00B074CC" w:rsidRPr="001A1836" w:rsidRDefault="00B074CC" w:rsidP="00626054">
            <w:pPr>
              <w:rPr>
                <w:rFonts w:cs="Arial"/>
              </w:rPr>
            </w:pPr>
            <w:r w:rsidRPr="001A1836">
              <w:rPr>
                <w:rFonts w:cs="Arial"/>
              </w:rPr>
              <w:t>Performance governance tier</w:t>
            </w:r>
          </w:p>
        </w:tc>
        <w:tc>
          <w:tcPr>
            <w:tcW w:w="6152" w:type="dxa"/>
            <w:tcBorders>
              <w:top w:val="single" w:sz="4" w:space="0" w:color="auto"/>
              <w:left w:val="single" w:sz="4" w:space="0" w:color="auto"/>
              <w:bottom w:val="single" w:sz="4" w:space="0" w:color="auto"/>
              <w:right w:val="single" w:sz="4" w:space="0" w:color="auto"/>
            </w:tcBorders>
            <w:shd w:val="clear" w:color="auto" w:fill="auto"/>
            <w:hideMark/>
          </w:tcPr>
          <w:p w14:paraId="18D282CB" w14:textId="77777777" w:rsidR="00B074CC" w:rsidRPr="001A1836" w:rsidRDefault="00B074CC" w:rsidP="00626054">
            <w:pPr>
              <w:rPr>
                <w:rFonts w:cs="Arial"/>
              </w:rPr>
            </w:pPr>
            <w:r w:rsidRPr="001A1836">
              <w:rPr>
                <w:rFonts w:cs="Arial"/>
              </w:rPr>
              <w:t>Tier 2</w:t>
            </w:r>
          </w:p>
        </w:tc>
      </w:tr>
      <w:tr w:rsidR="00B074CC" w:rsidRPr="001A1836" w14:paraId="7ED0E99A" w14:textId="77777777" w:rsidTr="00626054">
        <w:trPr>
          <w:cantSplit/>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4872FC29" w14:textId="77777777" w:rsidR="00B074CC" w:rsidRPr="001A1836" w:rsidRDefault="00B074CC" w:rsidP="00626054">
            <w:pPr>
              <w:rPr>
                <w:rFonts w:cs="Arial"/>
              </w:rPr>
            </w:pPr>
            <w:r w:rsidRPr="001A1836">
              <w:rPr>
                <w:rFonts w:cs="Arial"/>
              </w:rPr>
              <w:t>HSE attendees</w:t>
            </w:r>
          </w:p>
        </w:tc>
        <w:tc>
          <w:tcPr>
            <w:tcW w:w="6152" w:type="dxa"/>
            <w:tcBorders>
              <w:top w:val="single" w:sz="4" w:space="0" w:color="auto"/>
              <w:left w:val="single" w:sz="4" w:space="0" w:color="auto"/>
              <w:bottom w:val="single" w:sz="4" w:space="0" w:color="auto"/>
              <w:right w:val="single" w:sz="4" w:space="0" w:color="auto"/>
            </w:tcBorders>
            <w:shd w:val="clear" w:color="auto" w:fill="auto"/>
            <w:hideMark/>
          </w:tcPr>
          <w:p w14:paraId="7E409226" w14:textId="77777777" w:rsidR="00B074CC" w:rsidRPr="001A1836" w:rsidRDefault="00B074CC" w:rsidP="00626054">
            <w:pPr>
              <w:rPr>
                <w:rFonts w:cs="Arial"/>
              </w:rPr>
            </w:pPr>
            <w:r w:rsidRPr="001A1836">
              <w:rPr>
                <w:rFonts w:cs="Arial"/>
              </w:rPr>
              <w:t>Contract Manager (chair)</w:t>
            </w:r>
          </w:p>
          <w:p w14:paraId="0E33B32B" w14:textId="77777777" w:rsidR="00B074CC" w:rsidRPr="001A1836" w:rsidRDefault="00B074CC" w:rsidP="00626054">
            <w:pPr>
              <w:rPr>
                <w:rFonts w:cs="Arial"/>
              </w:rPr>
            </w:pPr>
            <w:r w:rsidRPr="001A1836">
              <w:rPr>
                <w:rFonts w:cs="Arial"/>
              </w:rPr>
              <w:t>Head of Gas Safe Register Team</w:t>
            </w:r>
          </w:p>
          <w:p w14:paraId="706D39BB" w14:textId="77777777" w:rsidR="00B074CC" w:rsidRPr="001A1836" w:rsidRDefault="00B074CC" w:rsidP="00626054">
            <w:pPr>
              <w:rPr>
                <w:rFonts w:cs="Arial"/>
              </w:rPr>
            </w:pPr>
            <w:r w:rsidRPr="001A1836">
              <w:rPr>
                <w:rFonts w:cs="Arial"/>
              </w:rPr>
              <w:t>Sector lead (downstream gas)</w:t>
            </w:r>
          </w:p>
          <w:p w14:paraId="294CB538" w14:textId="77777777" w:rsidR="00B074CC" w:rsidRPr="001A1836" w:rsidRDefault="00B074CC" w:rsidP="00626054">
            <w:pPr>
              <w:rPr>
                <w:rFonts w:cs="Arial"/>
              </w:rPr>
            </w:pPr>
            <w:r w:rsidRPr="001A1836">
              <w:rPr>
                <w:rFonts w:cs="Arial"/>
              </w:rPr>
              <w:t>Other team members as required</w:t>
            </w:r>
          </w:p>
        </w:tc>
      </w:tr>
      <w:tr w:rsidR="00B074CC" w:rsidRPr="001A1836" w14:paraId="34C3D29C" w14:textId="77777777" w:rsidTr="00626054">
        <w:trPr>
          <w:cantSplit/>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2F9EA4FE" w14:textId="77777777" w:rsidR="00B074CC" w:rsidRPr="001A1836" w:rsidRDefault="00B074CC" w:rsidP="00626054">
            <w:pPr>
              <w:rPr>
                <w:rFonts w:cs="Arial"/>
              </w:rPr>
            </w:pPr>
            <w:r w:rsidRPr="001A1836">
              <w:rPr>
                <w:rFonts w:cs="Arial"/>
              </w:rPr>
              <w:t>Service Provider attendees</w:t>
            </w:r>
          </w:p>
        </w:tc>
        <w:tc>
          <w:tcPr>
            <w:tcW w:w="6152" w:type="dxa"/>
            <w:tcBorders>
              <w:top w:val="single" w:sz="4" w:space="0" w:color="auto"/>
              <w:left w:val="single" w:sz="4" w:space="0" w:color="auto"/>
              <w:bottom w:val="single" w:sz="4" w:space="0" w:color="auto"/>
              <w:right w:val="single" w:sz="4" w:space="0" w:color="auto"/>
            </w:tcBorders>
            <w:shd w:val="clear" w:color="auto" w:fill="auto"/>
            <w:hideMark/>
          </w:tcPr>
          <w:p w14:paraId="742C7B6A" w14:textId="61759ED6" w:rsidR="00B074CC" w:rsidRPr="001A1836" w:rsidRDefault="00B074CC" w:rsidP="00626054">
            <w:pPr>
              <w:rPr>
                <w:rFonts w:cs="Arial"/>
              </w:rPr>
            </w:pPr>
            <w:r w:rsidRPr="001A1836">
              <w:rPr>
                <w:rFonts w:cs="Arial"/>
              </w:rPr>
              <w:t xml:space="preserve">Provider </w:t>
            </w:r>
            <w:r w:rsidR="00181839">
              <w:rPr>
                <w:rFonts w:cs="Arial"/>
              </w:rPr>
              <w:t>C</w:t>
            </w:r>
            <w:r w:rsidRPr="001A1836">
              <w:rPr>
                <w:rFonts w:cs="Arial"/>
              </w:rPr>
              <w:t xml:space="preserve">ontract </w:t>
            </w:r>
            <w:r w:rsidR="00181839">
              <w:rPr>
                <w:rFonts w:cs="Arial"/>
              </w:rPr>
              <w:t>M</w:t>
            </w:r>
            <w:r w:rsidRPr="001A1836">
              <w:rPr>
                <w:rFonts w:cs="Arial"/>
              </w:rPr>
              <w:t xml:space="preserve">anager </w:t>
            </w:r>
          </w:p>
          <w:p w14:paraId="698774DC" w14:textId="03EBBFDC" w:rsidR="00B074CC" w:rsidRPr="001A1836" w:rsidRDefault="00181839" w:rsidP="00626054">
            <w:pPr>
              <w:rPr>
                <w:rFonts w:cs="Arial"/>
              </w:rPr>
            </w:pPr>
            <w:r>
              <w:rPr>
                <w:rFonts w:cs="Arial"/>
              </w:rPr>
              <w:t>Director of Gas Safe Services</w:t>
            </w:r>
          </w:p>
          <w:p w14:paraId="0C9B16BC" w14:textId="77777777" w:rsidR="00B074CC" w:rsidRPr="001A1836" w:rsidRDefault="00B074CC" w:rsidP="00626054">
            <w:pPr>
              <w:rPr>
                <w:rFonts w:cs="Arial"/>
              </w:rPr>
            </w:pPr>
            <w:r w:rsidRPr="001A1836">
              <w:rPr>
                <w:rFonts w:cs="Arial"/>
              </w:rPr>
              <w:t>Other disciplines on an ad hoc basis as required</w:t>
            </w:r>
          </w:p>
        </w:tc>
      </w:tr>
      <w:tr w:rsidR="00B074CC" w:rsidRPr="001A1836" w14:paraId="4FE9E83B" w14:textId="77777777" w:rsidTr="00626054">
        <w:trPr>
          <w:cantSplit/>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577379DF" w14:textId="77777777" w:rsidR="00B074CC" w:rsidRPr="001A1836" w:rsidRDefault="00B074CC" w:rsidP="00626054">
            <w:pPr>
              <w:rPr>
                <w:rFonts w:cs="Arial"/>
              </w:rPr>
            </w:pPr>
            <w:r w:rsidRPr="001A1836">
              <w:rPr>
                <w:rFonts w:cs="Arial"/>
              </w:rPr>
              <w:t>Responsibilities and functions</w:t>
            </w:r>
          </w:p>
        </w:tc>
        <w:tc>
          <w:tcPr>
            <w:tcW w:w="6152" w:type="dxa"/>
            <w:tcBorders>
              <w:top w:val="single" w:sz="4" w:space="0" w:color="auto"/>
              <w:left w:val="single" w:sz="4" w:space="0" w:color="auto"/>
              <w:bottom w:val="single" w:sz="4" w:space="0" w:color="auto"/>
              <w:right w:val="single" w:sz="4" w:space="0" w:color="auto"/>
            </w:tcBorders>
            <w:shd w:val="clear" w:color="auto" w:fill="auto"/>
            <w:hideMark/>
          </w:tcPr>
          <w:p w14:paraId="041739A1" w14:textId="77777777" w:rsidR="00B074CC" w:rsidRPr="001A1836" w:rsidRDefault="00B074CC">
            <w:pPr>
              <w:numPr>
                <w:ilvl w:val="0"/>
                <w:numId w:val="41"/>
              </w:numPr>
              <w:rPr>
                <w:rFonts w:cs="Arial"/>
              </w:rPr>
            </w:pPr>
            <w:r w:rsidRPr="001A1836">
              <w:rPr>
                <w:rFonts w:cs="Arial"/>
              </w:rPr>
              <w:t xml:space="preserve">Ensure effective contract management of day-to-day operational processes for delivery of the Services </w:t>
            </w:r>
          </w:p>
          <w:p w14:paraId="0A0A9242" w14:textId="28D9D2C4" w:rsidR="00B074CC" w:rsidRPr="001A1836" w:rsidRDefault="00B074CC">
            <w:pPr>
              <w:numPr>
                <w:ilvl w:val="0"/>
                <w:numId w:val="41"/>
              </w:numPr>
              <w:rPr>
                <w:rFonts w:cs="Arial"/>
              </w:rPr>
            </w:pPr>
            <w:r w:rsidRPr="001A1836">
              <w:rPr>
                <w:rFonts w:cs="Arial"/>
              </w:rPr>
              <w:t xml:space="preserve">Review performance in line with the provisions of </w:t>
            </w:r>
            <w:r w:rsidR="00010038">
              <w:rPr>
                <w:rFonts w:cs="Arial"/>
              </w:rPr>
              <w:t>the Agreement</w:t>
            </w:r>
          </w:p>
          <w:p w14:paraId="5299AD5D" w14:textId="77777777" w:rsidR="00B074CC" w:rsidRPr="001A1836" w:rsidRDefault="00B074CC">
            <w:pPr>
              <w:numPr>
                <w:ilvl w:val="0"/>
                <w:numId w:val="41"/>
              </w:numPr>
              <w:rPr>
                <w:rFonts w:cs="Arial"/>
              </w:rPr>
            </w:pPr>
            <w:r w:rsidRPr="001A1836">
              <w:rPr>
                <w:rFonts w:cs="Arial"/>
              </w:rPr>
              <w:t>Monitor performance &amp; trends</w:t>
            </w:r>
          </w:p>
          <w:p w14:paraId="6C9CBC3F" w14:textId="77777777" w:rsidR="00B074CC" w:rsidRPr="001A1836" w:rsidRDefault="00B074CC">
            <w:pPr>
              <w:numPr>
                <w:ilvl w:val="0"/>
                <w:numId w:val="41"/>
              </w:numPr>
              <w:rPr>
                <w:rFonts w:cs="Arial"/>
              </w:rPr>
            </w:pPr>
            <w:r w:rsidRPr="001A1836">
              <w:rPr>
                <w:rFonts w:cs="Arial"/>
              </w:rPr>
              <w:t>Initiate and review service improvement initiatives</w:t>
            </w:r>
          </w:p>
          <w:p w14:paraId="53EEB991" w14:textId="77777777" w:rsidR="00B074CC" w:rsidRPr="001A1836" w:rsidRDefault="00B074CC">
            <w:pPr>
              <w:numPr>
                <w:ilvl w:val="0"/>
                <w:numId w:val="41"/>
              </w:numPr>
              <w:rPr>
                <w:rFonts w:cs="Arial"/>
              </w:rPr>
            </w:pPr>
            <w:r w:rsidRPr="001A1836">
              <w:rPr>
                <w:rFonts w:cs="Arial"/>
              </w:rPr>
              <w:t>Receive and review reports on risks and mitigation measures</w:t>
            </w:r>
          </w:p>
          <w:p w14:paraId="0851D31C" w14:textId="77777777" w:rsidR="00B074CC" w:rsidRPr="001A1836" w:rsidRDefault="00B074CC">
            <w:pPr>
              <w:numPr>
                <w:ilvl w:val="0"/>
                <w:numId w:val="41"/>
              </w:numPr>
              <w:rPr>
                <w:rFonts w:cs="Arial"/>
              </w:rPr>
            </w:pPr>
            <w:r w:rsidRPr="001A1836">
              <w:rPr>
                <w:rFonts w:cs="Arial"/>
              </w:rPr>
              <w:t>Where issues are identified, consider whether an improvement plan is required</w:t>
            </w:r>
          </w:p>
          <w:p w14:paraId="461C8E12" w14:textId="77777777" w:rsidR="00B074CC" w:rsidRPr="001A1836" w:rsidRDefault="00B074CC">
            <w:pPr>
              <w:numPr>
                <w:ilvl w:val="0"/>
                <w:numId w:val="41"/>
              </w:numPr>
              <w:rPr>
                <w:rFonts w:cs="Arial"/>
              </w:rPr>
            </w:pPr>
            <w:r w:rsidRPr="001A1836">
              <w:rPr>
                <w:rFonts w:cs="Arial"/>
              </w:rPr>
              <w:t>Identify and progress any contract changes required</w:t>
            </w:r>
          </w:p>
          <w:p w14:paraId="50832B85" w14:textId="77777777" w:rsidR="00B074CC" w:rsidRPr="001A1836" w:rsidRDefault="00B074CC">
            <w:pPr>
              <w:numPr>
                <w:ilvl w:val="0"/>
                <w:numId w:val="41"/>
              </w:numPr>
              <w:rPr>
                <w:rFonts w:cs="Arial"/>
              </w:rPr>
            </w:pPr>
            <w:r w:rsidRPr="001A1836">
              <w:rPr>
                <w:rFonts w:cs="Arial"/>
              </w:rPr>
              <w:t>Oversee individual projects</w:t>
            </w:r>
          </w:p>
          <w:p w14:paraId="53296522" w14:textId="77777777" w:rsidR="00B074CC" w:rsidRPr="001A1836" w:rsidRDefault="00B074CC">
            <w:pPr>
              <w:numPr>
                <w:ilvl w:val="0"/>
                <w:numId w:val="41"/>
              </w:numPr>
              <w:rPr>
                <w:rFonts w:cs="Arial"/>
              </w:rPr>
            </w:pPr>
            <w:r w:rsidRPr="001A1836">
              <w:rPr>
                <w:rFonts w:cs="Arial"/>
              </w:rPr>
              <w:t>Address issues escalated from Tier 1</w:t>
            </w:r>
          </w:p>
          <w:p w14:paraId="76199EB1" w14:textId="77777777" w:rsidR="00B074CC" w:rsidRPr="001A1836" w:rsidRDefault="00B074CC">
            <w:pPr>
              <w:numPr>
                <w:ilvl w:val="0"/>
                <w:numId w:val="41"/>
              </w:numPr>
              <w:rPr>
                <w:rFonts w:cs="Arial"/>
              </w:rPr>
            </w:pPr>
            <w:r w:rsidRPr="001A1836">
              <w:rPr>
                <w:rFonts w:cs="Arial"/>
              </w:rPr>
              <w:t>Identify any matters for escalation to the Contract Review Board</w:t>
            </w:r>
          </w:p>
        </w:tc>
      </w:tr>
      <w:tr w:rsidR="00B074CC" w:rsidRPr="001A1836" w14:paraId="11C56D81" w14:textId="77777777" w:rsidTr="00626054">
        <w:trPr>
          <w:cantSplit/>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5B7F0A0E" w14:textId="77777777" w:rsidR="00B074CC" w:rsidRPr="001A1836" w:rsidRDefault="00B074CC" w:rsidP="00626054">
            <w:pPr>
              <w:rPr>
                <w:rFonts w:cs="Arial"/>
              </w:rPr>
            </w:pPr>
            <w:r w:rsidRPr="001A1836">
              <w:rPr>
                <w:rFonts w:cs="Arial"/>
              </w:rPr>
              <w:t>Frequency</w:t>
            </w:r>
          </w:p>
        </w:tc>
        <w:tc>
          <w:tcPr>
            <w:tcW w:w="6152" w:type="dxa"/>
            <w:tcBorders>
              <w:top w:val="single" w:sz="4" w:space="0" w:color="auto"/>
              <w:left w:val="single" w:sz="4" w:space="0" w:color="auto"/>
              <w:bottom w:val="single" w:sz="4" w:space="0" w:color="auto"/>
              <w:right w:val="single" w:sz="4" w:space="0" w:color="auto"/>
            </w:tcBorders>
            <w:shd w:val="clear" w:color="auto" w:fill="auto"/>
            <w:hideMark/>
          </w:tcPr>
          <w:p w14:paraId="33B1A722" w14:textId="77777777" w:rsidR="00B074CC" w:rsidRPr="001A1836" w:rsidRDefault="00B074CC" w:rsidP="00626054">
            <w:pPr>
              <w:rPr>
                <w:rFonts w:cs="Arial"/>
              </w:rPr>
            </w:pPr>
            <w:r w:rsidRPr="001A1836">
              <w:rPr>
                <w:rFonts w:cs="Arial"/>
              </w:rPr>
              <w:t xml:space="preserve">Monthly </w:t>
            </w:r>
          </w:p>
          <w:p w14:paraId="41659A58" w14:textId="77777777" w:rsidR="00B074CC" w:rsidRPr="001A1836" w:rsidRDefault="00B074CC">
            <w:pPr>
              <w:numPr>
                <w:ilvl w:val="0"/>
                <w:numId w:val="42"/>
              </w:numPr>
              <w:rPr>
                <w:rFonts w:cs="Arial"/>
              </w:rPr>
            </w:pPr>
            <w:r w:rsidRPr="001A1836">
              <w:rPr>
                <w:rFonts w:cs="Arial"/>
              </w:rPr>
              <w:t>Monthly meeting (video conference)</w:t>
            </w:r>
          </w:p>
          <w:p w14:paraId="71DEF762" w14:textId="77777777" w:rsidR="00B074CC" w:rsidRPr="001A1836" w:rsidRDefault="00B074CC">
            <w:pPr>
              <w:numPr>
                <w:ilvl w:val="0"/>
                <w:numId w:val="42"/>
              </w:numPr>
              <w:rPr>
                <w:rFonts w:cs="Arial"/>
              </w:rPr>
            </w:pPr>
            <w:r w:rsidRPr="001A1836">
              <w:rPr>
                <w:rFonts w:cs="Arial"/>
              </w:rPr>
              <w:t>Monthly management information/performance reporting and summary report, to be issued in advance of meeting</w:t>
            </w:r>
          </w:p>
        </w:tc>
      </w:tr>
      <w:tr w:rsidR="00B074CC" w:rsidRPr="001A1836" w14:paraId="7F44F2CF" w14:textId="77777777" w:rsidTr="00626054">
        <w:trPr>
          <w:cantSplit/>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5E06ADED" w14:textId="77777777" w:rsidR="00B074CC" w:rsidRPr="001A1836" w:rsidRDefault="00B074CC" w:rsidP="00626054">
            <w:pPr>
              <w:rPr>
                <w:rFonts w:cs="Arial"/>
              </w:rPr>
            </w:pPr>
            <w:r w:rsidRPr="001A1836">
              <w:rPr>
                <w:rFonts w:cs="Arial"/>
              </w:rPr>
              <w:t>Escalation point</w:t>
            </w:r>
          </w:p>
        </w:tc>
        <w:tc>
          <w:tcPr>
            <w:tcW w:w="6152" w:type="dxa"/>
            <w:tcBorders>
              <w:top w:val="single" w:sz="4" w:space="0" w:color="auto"/>
              <w:left w:val="single" w:sz="4" w:space="0" w:color="auto"/>
              <w:bottom w:val="single" w:sz="4" w:space="0" w:color="auto"/>
              <w:right w:val="single" w:sz="4" w:space="0" w:color="auto"/>
            </w:tcBorders>
            <w:shd w:val="clear" w:color="auto" w:fill="auto"/>
            <w:hideMark/>
          </w:tcPr>
          <w:p w14:paraId="414B428D" w14:textId="77777777" w:rsidR="00B074CC" w:rsidRPr="001A1836" w:rsidRDefault="00B074CC" w:rsidP="00626054">
            <w:pPr>
              <w:rPr>
                <w:rFonts w:cs="Arial"/>
              </w:rPr>
            </w:pPr>
            <w:r w:rsidRPr="001A1836">
              <w:rPr>
                <w:rFonts w:cs="Arial"/>
              </w:rPr>
              <w:t>Tier 3</w:t>
            </w:r>
          </w:p>
        </w:tc>
      </w:tr>
    </w:tbl>
    <w:p w14:paraId="1323FC5E" w14:textId="77777777" w:rsidR="00B074CC" w:rsidRPr="001A1836" w:rsidRDefault="00B074CC" w:rsidP="00626054">
      <w:pPr>
        <w:rPr>
          <w:rFonts w:eastAsia="Trebuchet MS"/>
        </w:rPr>
      </w:pPr>
    </w:p>
    <w:p w14:paraId="66955DB7" w14:textId="77777777" w:rsidR="00B074CC" w:rsidRPr="001A1836" w:rsidRDefault="00B074CC">
      <w:pPr>
        <w:pStyle w:val="GSRL4numberedclause"/>
      </w:pPr>
      <w:r w:rsidRPr="001A1836">
        <w:t>HSE and the Provider will attend monthly meetings to review the Monthly Performance Report (Tier 2 of the formal governance structure detailed in Figure 1 above). The meetings will (unless agreed otherwise):</w:t>
      </w:r>
    </w:p>
    <w:p w14:paraId="0B391ED5" w14:textId="7AFE2AE0" w:rsidR="00B074CC" w:rsidRPr="001A1836" w:rsidRDefault="00B074CC">
      <w:pPr>
        <w:pStyle w:val="GSRL5numberedclause"/>
      </w:pPr>
      <w:r w:rsidRPr="001A1836">
        <w:rPr>
          <w:rFonts w:eastAsia="Trebuchet MS"/>
        </w:rPr>
        <w:t xml:space="preserve">take place within </w:t>
      </w:r>
      <w:r w:rsidR="00DD1E9F" w:rsidRPr="001A1836">
        <w:rPr>
          <w:rFonts w:eastAsia="Trebuchet MS"/>
        </w:rPr>
        <w:t>fifteen (</w:t>
      </w:r>
      <w:r w:rsidRPr="001A1836">
        <w:rPr>
          <w:rFonts w:eastAsia="Trebuchet MS"/>
        </w:rPr>
        <w:t>15</w:t>
      </w:r>
      <w:r w:rsidR="00DD1E9F" w:rsidRPr="001A1836">
        <w:rPr>
          <w:rFonts w:eastAsia="Trebuchet MS"/>
        </w:rPr>
        <w:t>)</w:t>
      </w:r>
      <w:r w:rsidRPr="001A1836">
        <w:rPr>
          <w:rFonts w:eastAsia="Trebuchet MS"/>
        </w:rPr>
        <w:t xml:space="preserve"> Working Days of the end of the Service Measurement Period;</w:t>
      </w:r>
    </w:p>
    <w:p w14:paraId="296093B1" w14:textId="77777777" w:rsidR="00B074CC" w:rsidRPr="001A1836" w:rsidRDefault="00B074CC">
      <w:pPr>
        <w:pStyle w:val="GSRL5numberedclause"/>
      </w:pPr>
      <w:r w:rsidRPr="001A1836">
        <w:rPr>
          <w:rFonts w:eastAsia="Trebuchet MS"/>
        </w:rPr>
        <w:t>be chaired by the HSE Contract Manager;</w:t>
      </w:r>
    </w:p>
    <w:p w14:paraId="790EBD9F" w14:textId="77777777" w:rsidR="00B074CC" w:rsidRPr="001A1836" w:rsidRDefault="00B074CC">
      <w:pPr>
        <w:pStyle w:val="GSRL5numberedclause"/>
      </w:pPr>
      <w:r w:rsidRPr="001A1836">
        <w:rPr>
          <w:rFonts w:eastAsia="Trebuchet MS"/>
        </w:rPr>
        <w:t>take place at an HSE location, or via video conference, within normal business hours;</w:t>
      </w:r>
    </w:p>
    <w:p w14:paraId="458D722D" w14:textId="77777777" w:rsidR="00B074CC" w:rsidRPr="001A1836" w:rsidRDefault="00B074CC">
      <w:pPr>
        <w:pStyle w:val="GSRL5numberedclause"/>
      </w:pPr>
      <w:r w:rsidRPr="001A1836">
        <w:rPr>
          <w:rFonts w:eastAsia="Trebuchet MS"/>
        </w:rPr>
        <w:t xml:space="preserve">be attended by the representatives detailed in Table 3 of this Schedule; and </w:t>
      </w:r>
    </w:p>
    <w:p w14:paraId="5E61F419" w14:textId="77777777" w:rsidR="00B074CC" w:rsidRPr="001A1836" w:rsidRDefault="00B074CC">
      <w:pPr>
        <w:pStyle w:val="GSRL5numberedclause"/>
      </w:pPr>
      <w:r w:rsidRPr="001A1836">
        <w:rPr>
          <w:rFonts w:eastAsia="Trebuchet MS"/>
        </w:rPr>
        <w:lastRenderedPageBreak/>
        <w:t>follow an agreed agenda, be fully minuted with HSE providing the full secretariat function which will include as a minimum organising the meeting, including location, and issuing the meeting invitations.</w:t>
      </w:r>
    </w:p>
    <w:p w14:paraId="6EDE556C" w14:textId="77777777" w:rsidR="00B074CC" w:rsidRPr="001A1836" w:rsidRDefault="00B074CC">
      <w:pPr>
        <w:pStyle w:val="GSRL4numberedclause"/>
      </w:pPr>
      <w:r w:rsidRPr="001A1836">
        <w:t xml:space="preserve">HSE may raise additional questions regarding any aspect of performance and/or Service Level or any KPI Failure. The Provider will meet the cost of investigating and addressing these questions. </w:t>
      </w:r>
    </w:p>
    <w:p w14:paraId="6151E07E" w14:textId="6B626BD9" w:rsidR="00B074CC" w:rsidRPr="001A1836" w:rsidRDefault="00B074CC">
      <w:pPr>
        <w:pStyle w:val="GSRL3heading"/>
      </w:pPr>
      <w:bookmarkStart w:id="2355" w:name="_Toc508703718"/>
      <w:bookmarkStart w:id="2356" w:name="_Toc508704574"/>
      <w:bookmarkStart w:id="2357" w:name="_Toc521327120"/>
      <w:bookmarkStart w:id="2358" w:name="_Toc521333353"/>
      <w:bookmarkStart w:id="2359" w:name="_Toc521484084"/>
      <w:bookmarkStart w:id="2360" w:name="_Toc521484847"/>
      <w:bookmarkStart w:id="2361" w:name="_Toc521485178"/>
      <w:bookmarkStart w:id="2362" w:name="_Toc521496914"/>
      <w:bookmarkStart w:id="2363" w:name="_Toc521498356"/>
      <w:bookmarkStart w:id="2364" w:name="_Toc529346056"/>
      <w:bookmarkStart w:id="2365" w:name="_Toc129038267"/>
      <w:bookmarkStart w:id="2366" w:name="_Toc129038553"/>
      <w:bookmarkStart w:id="2367" w:name="_Toc132268127"/>
      <w:bookmarkStart w:id="2368" w:name="_Toc132268433"/>
      <w:bookmarkStart w:id="2369" w:name="_Toc136198683"/>
      <w:bookmarkStart w:id="2370" w:name="_Toc136198964"/>
      <w:r w:rsidRPr="001A1836">
        <w:t>Senior management liaison</w:t>
      </w:r>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p>
    <w:p w14:paraId="1D1E1E63" w14:textId="77777777" w:rsidR="00B074CC" w:rsidRPr="001A1836" w:rsidRDefault="00B074CC" w:rsidP="00626054">
      <w:pPr>
        <w:spacing w:after="0"/>
        <w:rPr>
          <w:rFonts w:cs="Arial"/>
        </w:rPr>
      </w:pPr>
      <w:r w:rsidRPr="001A1836">
        <w:rPr>
          <w:rFonts w:cs="Arial"/>
          <w:b/>
        </w:rPr>
        <w:t xml:space="preserve">Table 4 </w:t>
      </w:r>
      <w:r w:rsidRPr="001A1836">
        <w:rPr>
          <w:rFonts w:cs="Arial"/>
        </w:rPr>
        <w:t xml:space="preserve">Tier 2 Senior Management </w:t>
      </w:r>
    </w:p>
    <w:p w14:paraId="278082EC" w14:textId="77777777" w:rsidR="00B074CC" w:rsidRPr="001A1836" w:rsidRDefault="00B074CC" w:rsidP="00626054">
      <w:pPr>
        <w:spacing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152"/>
      </w:tblGrid>
      <w:tr w:rsidR="00B074CC" w:rsidRPr="001A1836" w14:paraId="72642586" w14:textId="77777777" w:rsidTr="00626054">
        <w:trPr>
          <w:cantSplit/>
          <w:tblHeader/>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082B721A" w14:textId="77777777" w:rsidR="00B074CC" w:rsidRPr="001A1836" w:rsidRDefault="00B074CC" w:rsidP="00626054">
            <w:pPr>
              <w:rPr>
                <w:rFonts w:cs="Arial"/>
                <w:b/>
              </w:rPr>
            </w:pPr>
            <w:r w:rsidRPr="001A1836">
              <w:rPr>
                <w:rFonts w:cs="Arial"/>
                <w:b/>
              </w:rPr>
              <w:t>Forum</w:t>
            </w:r>
          </w:p>
        </w:tc>
        <w:tc>
          <w:tcPr>
            <w:tcW w:w="6152" w:type="dxa"/>
            <w:tcBorders>
              <w:top w:val="single" w:sz="4" w:space="0" w:color="auto"/>
              <w:left w:val="single" w:sz="4" w:space="0" w:color="auto"/>
              <w:bottom w:val="single" w:sz="4" w:space="0" w:color="auto"/>
              <w:right w:val="single" w:sz="4" w:space="0" w:color="auto"/>
            </w:tcBorders>
            <w:shd w:val="clear" w:color="auto" w:fill="auto"/>
            <w:hideMark/>
          </w:tcPr>
          <w:p w14:paraId="05C5052C" w14:textId="77777777" w:rsidR="00B074CC" w:rsidRPr="001A1836" w:rsidRDefault="00B074CC" w:rsidP="00626054">
            <w:pPr>
              <w:rPr>
                <w:rFonts w:cs="Arial"/>
                <w:b/>
              </w:rPr>
            </w:pPr>
            <w:r w:rsidRPr="001A1836">
              <w:rPr>
                <w:rFonts w:cs="Arial"/>
                <w:b/>
              </w:rPr>
              <w:t>Senior Management Review</w:t>
            </w:r>
          </w:p>
        </w:tc>
      </w:tr>
      <w:tr w:rsidR="00B074CC" w:rsidRPr="001A1836" w14:paraId="54B4C24F" w14:textId="77777777" w:rsidTr="00626054">
        <w:trPr>
          <w:cantSplit/>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07007CE5" w14:textId="77777777" w:rsidR="00B074CC" w:rsidRPr="001A1836" w:rsidRDefault="00B074CC" w:rsidP="00626054">
            <w:pPr>
              <w:rPr>
                <w:rFonts w:cs="Arial"/>
              </w:rPr>
            </w:pPr>
            <w:r w:rsidRPr="001A1836">
              <w:rPr>
                <w:rFonts w:cs="Arial"/>
              </w:rPr>
              <w:t>Performance governance tier</w:t>
            </w:r>
          </w:p>
        </w:tc>
        <w:tc>
          <w:tcPr>
            <w:tcW w:w="6152" w:type="dxa"/>
            <w:tcBorders>
              <w:top w:val="single" w:sz="4" w:space="0" w:color="auto"/>
              <w:left w:val="single" w:sz="4" w:space="0" w:color="auto"/>
              <w:bottom w:val="single" w:sz="4" w:space="0" w:color="auto"/>
              <w:right w:val="single" w:sz="4" w:space="0" w:color="auto"/>
            </w:tcBorders>
            <w:shd w:val="clear" w:color="auto" w:fill="auto"/>
            <w:hideMark/>
          </w:tcPr>
          <w:p w14:paraId="38C4105E" w14:textId="77777777" w:rsidR="00B074CC" w:rsidRPr="001A1836" w:rsidRDefault="00B074CC" w:rsidP="00626054">
            <w:pPr>
              <w:rPr>
                <w:rFonts w:cs="Arial"/>
              </w:rPr>
            </w:pPr>
            <w:r w:rsidRPr="001A1836">
              <w:rPr>
                <w:rFonts w:cs="Arial"/>
              </w:rPr>
              <w:t>Tier 2</w:t>
            </w:r>
          </w:p>
        </w:tc>
      </w:tr>
      <w:tr w:rsidR="00B074CC" w:rsidRPr="001A1836" w14:paraId="337759D4" w14:textId="77777777" w:rsidTr="00626054">
        <w:trPr>
          <w:cantSplit/>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358F3A93" w14:textId="77777777" w:rsidR="00B074CC" w:rsidRPr="001A1836" w:rsidRDefault="00B074CC" w:rsidP="00626054">
            <w:pPr>
              <w:rPr>
                <w:rFonts w:cs="Arial"/>
              </w:rPr>
            </w:pPr>
            <w:r w:rsidRPr="001A1836">
              <w:rPr>
                <w:rFonts w:cs="Arial"/>
              </w:rPr>
              <w:t>HSE attendees</w:t>
            </w:r>
          </w:p>
        </w:tc>
        <w:tc>
          <w:tcPr>
            <w:tcW w:w="6152" w:type="dxa"/>
            <w:tcBorders>
              <w:top w:val="single" w:sz="4" w:space="0" w:color="auto"/>
              <w:left w:val="single" w:sz="4" w:space="0" w:color="auto"/>
              <w:bottom w:val="single" w:sz="4" w:space="0" w:color="auto"/>
              <w:right w:val="single" w:sz="4" w:space="0" w:color="auto"/>
            </w:tcBorders>
            <w:shd w:val="clear" w:color="auto" w:fill="auto"/>
            <w:hideMark/>
          </w:tcPr>
          <w:p w14:paraId="52C6E621" w14:textId="77777777" w:rsidR="00B074CC" w:rsidRPr="001A1836" w:rsidRDefault="00B074CC" w:rsidP="00626054">
            <w:pPr>
              <w:rPr>
                <w:rFonts w:cs="Arial"/>
              </w:rPr>
            </w:pPr>
            <w:r w:rsidRPr="001A1836">
              <w:rPr>
                <w:rFonts w:cs="Arial"/>
              </w:rPr>
              <w:t>Head of Gas Safe Register Team</w:t>
            </w:r>
          </w:p>
        </w:tc>
      </w:tr>
      <w:tr w:rsidR="00B074CC" w:rsidRPr="001A1836" w14:paraId="0F6B9CBE" w14:textId="77777777" w:rsidTr="00626054">
        <w:trPr>
          <w:cantSplit/>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04BDEBB1" w14:textId="77777777" w:rsidR="00B074CC" w:rsidRPr="001A1836" w:rsidRDefault="00B074CC" w:rsidP="00626054">
            <w:pPr>
              <w:rPr>
                <w:rFonts w:cs="Arial"/>
              </w:rPr>
            </w:pPr>
            <w:r w:rsidRPr="001A1836">
              <w:rPr>
                <w:rFonts w:cs="Arial"/>
              </w:rPr>
              <w:t>Service Provider attendees</w:t>
            </w:r>
          </w:p>
        </w:tc>
        <w:tc>
          <w:tcPr>
            <w:tcW w:w="6152" w:type="dxa"/>
            <w:tcBorders>
              <w:top w:val="single" w:sz="4" w:space="0" w:color="auto"/>
              <w:left w:val="single" w:sz="4" w:space="0" w:color="auto"/>
              <w:bottom w:val="single" w:sz="4" w:space="0" w:color="auto"/>
              <w:right w:val="single" w:sz="4" w:space="0" w:color="auto"/>
            </w:tcBorders>
            <w:shd w:val="clear" w:color="auto" w:fill="auto"/>
            <w:hideMark/>
          </w:tcPr>
          <w:p w14:paraId="05079855" w14:textId="38BF6F29" w:rsidR="00B074CC" w:rsidRPr="001A1836" w:rsidRDefault="002B70B2" w:rsidP="00626054">
            <w:pPr>
              <w:rPr>
                <w:rFonts w:cs="Arial"/>
              </w:rPr>
            </w:pPr>
            <w:r>
              <w:rPr>
                <w:rFonts w:cs="Arial"/>
              </w:rPr>
              <w:t>Contract Manager / Managing Director</w:t>
            </w:r>
          </w:p>
        </w:tc>
      </w:tr>
      <w:tr w:rsidR="00B074CC" w:rsidRPr="001A1836" w14:paraId="1BD71132" w14:textId="77777777" w:rsidTr="00626054">
        <w:trPr>
          <w:cantSplit/>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2E68F0C7" w14:textId="77777777" w:rsidR="00B074CC" w:rsidRPr="001A1836" w:rsidRDefault="00B074CC" w:rsidP="00626054">
            <w:pPr>
              <w:rPr>
                <w:rFonts w:cs="Arial"/>
              </w:rPr>
            </w:pPr>
            <w:r w:rsidRPr="001A1836">
              <w:rPr>
                <w:rFonts w:cs="Arial"/>
              </w:rPr>
              <w:t>Responsibilities and functions</w:t>
            </w:r>
          </w:p>
        </w:tc>
        <w:tc>
          <w:tcPr>
            <w:tcW w:w="6152" w:type="dxa"/>
            <w:tcBorders>
              <w:top w:val="single" w:sz="4" w:space="0" w:color="auto"/>
              <w:left w:val="single" w:sz="4" w:space="0" w:color="auto"/>
              <w:bottom w:val="single" w:sz="4" w:space="0" w:color="auto"/>
              <w:right w:val="single" w:sz="4" w:space="0" w:color="auto"/>
            </w:tcBorders>
            <w:shd w:val="clear" w:color="auto" w:fill="auto"/>
            <w:hideMark/>
          </w:tcPr>
          <w:p w14:paraId="0AE9CE46" w14:textId="77777777" w:rsidR="00B074CC" w:rsidRPr="001A1836" w:rsidRDefault="00B074CC">
            <w:pPr>
              <w:numPr>
                <w:ilvl w:val="0"/>
                <w:numId w:val="43"/>
              </w:numPr>
              <w:rPr>
                <w:rFonts w:cs="Arial"/>
              </w:rPr>
            </w:pPr>
            <w:r w:rsidRPr="001A1836">
              <w:rPr>
                <w:rFonts w:cs="Arial"/>
              </w:rPr>
              <w:t xml:space="preserve">Discuss wider performance of Provider </w:t>
            </w:r>
          </w:p>
          <w:p w14:paraId="469B0DF3" w14:textId="77777777" w:rsidR="00B074CC" w:rsidRPr="001A1836" w:rsidRDefault="00B074CC">
            <w:pPr>
              <w:numPr>
                <w:ilvl w:val="0"/>
                <w:numId w:val="43"/>
              </w:numPr>
              <w:rPr>
                <w:rFonts w:cs="Arial"/>
              </w:rPr>
            </w:pPr>
            <w:r w:rsidRPr="001A1836">
              <w:rPr>
                <w:rFonts w:cs="Arial"/>
              </w:rPr>
              <w:t>Discuss relationships between Provider and HSE</w:t>
            </w:r>
          </w:p>
          <w:p w14:paraId="4572F7CC" w14:textId="77777777" w:rsidR="00B074CC" w:rsidRPr="001A1836" w:rsidRDefault="00B074CC">
            <w:pPr>
              <w:numPr>
                <w:ilvl w:val="0"/>
                <w:numId w:val="43"/>
              </w:numPr>
              <w:rPr>
                <w:rFonts w:cs="Arial"/>
              </w:rPr>
            </w:pPr>
            <w:r w:rsidRPr="001A1836">
              <w:rPr>
                <w:rFonts w:cs="Arial"/>
              </w:rPr>
              <w:t>Identify and resolve any performance issues</w:t>
            </w:r>
          </w:p>
          <w:p w14:paraId="669922C0" w14:textId="77777777" w:rsidR="00B074CC" w:rsidRPr="001A1836" w:rsidRDefault="00B074CC">
            <w:pPr>
              <w:numPr>
                <w:ilvl w:val="0"/>
                <w:numId w:val="43"/>
              </w:numPr>
              <w:rPr>
                <w:rFonts w:cs="Arial"/>
              </w:rPr>
            </w:pPr>
            <w:r w:rsidRPr="001A1836">
              <w:rPr>
                <w:rFonts w:cs="Arial"/>
              </w:rPr>
              <w:t>Consider and resolve disputes in the first instance and if necessary escalate the dispute to the Contract Review Board</w:t>
            </w:r>
          </w:p>
        </w:tc>
      </w:tr>
      <w:tr w:rsidR="00B074CC" w:rsidRPr="001A1836" w14:paraId="278AD536" w14:textId="77777777" w:rsidTr="00626054">
        <w:trPr>
          <w:cantSplit/>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24BB5ECB" w14:textId="77777777" w:rsidR="00B074CC" w:rsidRPr="001A1836" w:rsidRDefault="00B074CC" w:rsidP="00626054">
            <w:pPr>
              <w:rPr>
                <w:rFonts w:cs="Arial"/>
              </w:rPr>
            </w:pPr>
            <w:r w:rsidRPr="001A1836">
              <w:rPr>
                <w:rFonts w:cs="Arial"/>
              </w:rPr>
              <w:t>Frequency</w:t>
            </w:r>
          </w:p>
        </w:tc>
        <w:tc>
          <w:tcPr>
            <w:tcW w:w="6152" w:type="dxa"/>
            <w:tcBorders>
              <w:top w:val="single" w:sz="4" w:space="0" w:color="auto"/>
              <w:left w:val="single" w:sz="4" w:space="0" w:color="auto"/>
              <w:bottom w:val="single" w:sz="4" w:space="0" w:color="auto"/>
              <w:right w:val="single" w:sz="4" w:space="0" w:color="auto"/>
            </w:tcBorders>
            <w:shd w:val="clear" w:color="auto" w:fill="auto"/>
            <w:hideMark/>
          </w:tcPr>
          <w:p w14:paraId="43304AFE" w14:textId="77777777" w:rsidR="00B074CC" w:rsidRPr="001A1836" w:rsidRDefault="00B074CC" w:rsidP="00626054">
            <w:pPr>
              <w:rPr>
                <w:rFonts w:cs="Arial"/>
              </w:rPr>
            </w:pPr>
            <w:r w:rsidRPr="001A1836">
              <w:rPr>
                <w:rFonts w:cs="Arial"/>
              </w:rPr>
              <w:t>Fortnightly</w:t>
            </w:r>
          </w:p>
          <w:p w14:paraId="2EB9C36C" w14:textId="143B5961" w:rsidR="00B074CC" w:rsidRPr="001A1836" w:rsidRDefault="00B074CC">
            <w:pPr>
              <w:numPr>
                <w:ilvl w:val="0"/>
                <w:numId w:val="44"/>
              </w:numPr>
              <w:rPr>
                <w:rFonts w:cs="Arial"/>
              </w:rPr>
            </w:pPr>
            <w:r w:rsidRPr="001A1836">
              <w:rPr>
                <w:rFonts w:cs="Arial"/>
              </w:rPr>
              <w:t>Telephone / video conference Keep-In-Touch</w:t>
            </w:r>
          </w:p>
        </w:tc>
      </w:tr>
      <w:tr w:rsidR="00B074CC" w:rsidRPr="001A1836" w14:paraId="50620692" w14:textId="77777777" w:rsidTr="00626054">
        <w:trPr>
          <w:cantSplit/>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14223D54" w14:textId="77777777" w:rsidR="00B074CC" w:rsidRPr="001A1836" w:rsidRDefault="00B074CC" w:rsidP="00626054">
            <w:pPr>
              <w:rPr>
                <w:rFonts w:cs="Arial"/>
              </w:rPr>
            </w:pPr>
            <w:r w:rsidRPr="001A1836">
              <w:rPr>
                <w:rFonts w:cs="Arial"/>
              </w:rPr>
              <w:t>Escalation point</w:t>
            </w:r>
          </w:p>
        </w:tc>
        <w:tc>
          <w:tcPr>
            <w:tcW w:w="6152" w:type="dxa"/>
            <w:tcBorders>
              <w:top w:val="single" w:sz="4" w:space="0" w:color="auto"/>
              <w:left w:val="single" w:sz="4" w:space="0" w:color="auto"/>
              <w:bottom w:val="single" w:sz="4" w:space="0" w:color="auto"/>
              <w:right w:val="single" w:sz="4" w:space="0" w:color="auto"/>
            </w:tcBorders>
            <w:shd w:val="clear" w:color="auto" w:fill="auto"/>
            <w:hideMark/>
          </w:tcPr>
          <w:p w14:paraId="009788A6" w14:textId="77777777" w:rsidR="00B074CC" w:rsidRPr="001A1836" w:rsidRDefault="00B074CC" w:rsidP="00626054">
            <w:pPr>
              <w:rPr>
                <w:rFonts w:cs="Arial"/>
              </w:rPr>
            </w:pPr>
            <w:r w:rsidRPr="001A1836">
              <w:rPr>
                <w:rFonts w:cs="Arial"/>
              </w:rPr>
              <w:t>Tier 3</w:t>
            </w:r>
          </w:p>
        </w:tc>
      </w:tr>
    </w:tbl>
    <w:p w14:paraId="5BA2E6B4" w14:textId="77777777" w:rsidR="00B074CC" w:rsidRPr="001A1836" w:rsidRDefault="00B074CC" w:rsidP="00626054">
      <w:pPr>
        <w:spacing w:after="0"/>
        <w:rPr>
          <w:rFonts w:cs="Arial"/>
        </w:rPr>
      </w:pPr>
    </w:p>
    <w:p w14:paraId="137980A1" w14:textId="77777777" w:rsidR="00B074CC" w:rsidRPr="001A1836" w:rsidRDefault="00B074CC">
      <w:pPr>
        <w:pStyle w:val="GSRL3heading"/>
      </w:pPr>
      <w:bookmarkStart w:id="2371" w:name="_Toc508703719"/>
      <w:bookmarkStart w:id="2372" w:name="_Toc508704575"/>
      <w:bookmarkStart w:id="2373" w:name="_Toc521327121"/>
      <w:bookmarkStart w:id="2374" w:name="_Toc521333354"/>
      <w:bookmarkStart w:id="2375" w:name="_Toc521484085"/>
      <w:bookmarkStart w:id="2376" w:name="_Toc521484848"/>
      <w:bookmarkStart w:id="2377" w:name="_Toc521485179"/>
      <w:bookmarkStart w:id="2378" w:name="_Toc521496915"/>
      <w:bookmarkStart w:id="2379" w:name="_Toc521498357"/>
      <w:bookmarkStart w:id="2380" w:name="_Toc529346057"/>
      <w:bookmarkStart w:id="2381" w:name="_Toc129038268"/>
      <w:bookmarkStart w:id="2382" w:name="_Toc129038554"/>
      <w:bookmarkStart w:id="2383" w:name="_Toc132268128"/>
      <w:bookmarkStart w:id="2384" w:name="_Toc132268434"/>
      <w:bookmarkStart w:id="2385" w:name="_Toc136198684"/>
      <w:bookmarkStart w:id="2386" w:name="_Toc136198965"/>
      <w:r w:rsidRPr="001A1836">
        <w:t>Contract Review Board</w:t>
      </w:r>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p>
    <w:p w14:paraId="6C2EC362" w14:textId="1E912E6A" w:rsidR="00B074CC" w:rsidRPr="001A1836" w:rsidRDefault="00B074CC" w:rsidP="00626054">
      <w:pPr>
        <w:spacing w:after="0"/>
        <w:rPr>
          <w:rFonts w:cs="Arial"/>
        </w:rPr>
      </w:pPr>
      <w:r w:rsidRPr="001A1836">
        <w:rPr>
          <w:rFonts w:cs="Arial"/>
          <w:b/>
        </w:rPr>
        <w:t xml:space="preserve">Table 5 </w:t>
      </w:r>
      <w:r w:rsidRPr="001A1836">
        <w:rPr>
          <w:rFonts w:cs="Arial"/>
        </w:rPr>
        <w:t>Tier 3 Contract Review</w:t>
      </w:r>
    </w:p>
    <w:p w14:paraId="590A7EB6" w14:textId="77777777" w:rsidR="00B074CC" w:rsidRPr="001A1836" w:rsidRDefault="00B074CC" w:rsidP="00626054">
      <w:pPr>
        <w:spacing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152"/>
      </w:tblGrid>
      <w:tr w:rsidR="00B074CC" w:rsidRPr="001A1836" w14:paraId="1A91619F" w14:textId="77777777" w:rsidTr="00626054">
        <w:trPr>
          <w:cantSplit/>
          <w:tblHeader/>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02ABEC8E" w14:textId="77777777" w:rsidR="00B074CC" w:rsidRPr="001A1836" w:rsidRDefault="00B074CC" w:rsidP="00626054">
            <w:pPr>
              <w:rPr>
                <w:rFonts w:cs="Arial"/>
                <w:b/>
              </w:rPr>
            </w:pPr>
            <w:r w:rsidRPr="001A1836">
              <w:rPr>
                <w:rFonts w:cs="Arial"/>
                <w:b/>
              </w:rPr>
              <w:t>Forum</w:t>
            </w:r>
          </w:p>
        </w:tc>
        <w:tc>
          <w:tcPr>
            <w:tcW w:w="6152" w:type="dxa"/>
            <w:tcBorders>
              <w:top w:val="single" w:sz="4" w:space="0" w:color="auto"/>
              <w:left w:val="single" w:sz="4" w:space="0" w:color="auto"/>
              <w:bottom w:val="single" w:sz="4" w:space="0" w:color="auto"/>
              <w:right w:val="single" w:sz="4" w:space="0" w:color="auto"/>
            </w:tcBorders>
            <w:shd w:val="clear" w:color="auto" w:fill="auto"/>
            <w:hideMark/>
          </w:tcPr>
          <w:p w14:paraId="189EAE4C" w14:textId="77777777" w:rsidR="00B074CC" w:rsidRPr="001A1836" w:rsidRDefault="00B074CC" w:rsidP="00626054">
            <w:pPr>
              <w:rPr>
                <w:rFonts w:cs="Arial"/>
                <w:b/>
              </w:rPr>
            </w:pPr>
            <w:r w:rsidRPr="001A1836">
              <w:rPr>
                <w:rFonts w:cs="Arial"/>
                <w:b/>
              </w:rPr>
              <w:t>Contract Review Board</w:t>
            </w:r>
          </w:p>
        </w:tc>
      </w:tr>
      <w:tr w:rsidR="00B074CC" w:rsidRPr="001A1836" w14:paraId="367DC106" w14:textId="77777777" w:rsidTr="00626054">
        <w:trPr>
          <w:cantSplit/>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565ACA3B" w14:textId="77777777" w:rsidR="00B074CC" w:rsidRPr="001A1836" w:rsidRDefault="00B074CC" w:rsidP="00626054">
            <w:pPr>
              <w:rPr>
                <w:rFonts w:cs="Arial"/>
              </w:rPr>
            </w:pPr>
            <w:r w:rsidRPr="001A1836">
              <w:rPr>
                <w:rFonts w:cs="Arial"/>
              </w:rPr>
              <w:t>Performance governance tier</w:t>
            </w:r>
          </w:p>
        </w:tc>
        <w:tc>
          <w:tcPr>
            <w:tcW w:w="6152" w:type="dxa"/>
            <w:tcBorders>
              <w:top w:val="single" w:sz="4" w:space="0" w:color="auto"/>
              <w:left w:val="single" w:sz="4" w:space="0" w:color="auto"/>
              <w:bottom w:val="single" w:sz="4" w:space="0" w:color="auto"/>
              <w:right w:val="single" w:sz="4" w:space="0" w:color="auto"/>
            </w:tcBorders>
            <w:shd w:val="clear" w:color="auto" w:fill="auto"/>
            <w:hideMark/>
          </w:tcPr>
          <w:p w14:paraId="740D1F7C" w14:textId="77777777" w:rsidR="00B074CC" w:rsidRPr="001A1836" w:rsidRDefault="00B074CC" w:rsidP="00626054">
            <w:pPr>
              <w:rPr>
                <w:rFonts w:cs="Arial"/>
              </w:rPr>
            </w:pPr>
            <w:r w:rsidRPr="001A1836">
              <w:rPr>
                <w:rFonts w:cs="Arial"/>
              </w:rPr>
              <w:t>Tier 3</w:t>
            </w:r>
          </w:p>
        </w:tc>
      </w:tr>
      <w:tr w:rsidR="00B074CC" w:rsidRPr="001A1836" w14:paraId="1A772C46" w14:textId="77777777" w:rsidTr="00626054">
        <w:trPr>
          <w:cantSplit/>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1162C917" w14:textId="77777777" w:rsidR="00B074CC" w:rsidRPr="001A1836" w:rsidRDefault="00B074CC" w:rsidP="00626054">
            <w:pPr>
              <w:rPr>
                <w:rFonts w:cs="Arial"/>
              </w:rPr>
            </w:pPr>
            <w:r w:rsidRPr="001A1836">
              <w:rPr>
                <w:rFonts w:cs="Arial"/>
              </w:rPr>
              <w:t>HSE attendees</w:t>
            </w:r>
          </w:p>
        </w:tc>
        <w:tc>
          <w:tcPr>
            <w:tcW w:w="6152" w:type="dxa"/>
            <w:tcBorders>
              <w:top w:val="single" w:sz="4" w:space="0" w:color="auto"/>
              <w:left w:val="single" w:sz="4" w:space="0" w:color="auto"/>
              <w:bottom w:val="single" w:sz="4" w:space="0" w:color="auto"/>
              <w:right w:val="single" w:sz="4" w:space="0" w:color="auto"/>
            </w:tcBorders>
            <w:shd w:val="clear" w:color="auto" w:fill="auto"/>
            <w:hideMark/>
          </w:tcPr>
          <w:p w14:paraId="15C93CE4" w14:textId="77777777" w:rsidR="00B074CC" w:rsidRPr="001A1836" w:rsidRDefault="00B074CC" w:rsidP="00626054">
            <w:pPr>
              <w:rPr>
                <w:rFonts w:cs="Arial"/>
              </w:rPr>
            </w:pPr>
            <w:r w:rsidRPr="001A1836">
              <w:rPr>
                <w:rFonts w:cs="Arial"/>
              </w:rPr>
              <w:t xml:space="preserve">HSE contract management team: </w:t>
            </w:r>
          </w:p>
          <w:p w14:paraId="6431BFE2" w14:textId="77777777" w:rsidR="00B074CC" w:rsidRPr="001A1836" w:rsidRDefault="00B074CC" w:rsidP="00626054">
            <w:pPr>
              <w:rPr>
                <w:rFonts w:cs="Arial"/>
              </w:rPr>
            </w:pPr>
            <w:r w:rsidRPr="001A1836">
              <w:rPr>
                <w:rFonts w:cs="Arial"/>
              </w:rPr>
              <w:t>Contract manager</w:t>
            </w:r>
          </w:p>
          <w:p w14:paraId="639B1EC3" w14:textId="77777777" w:rsidR="00B074CC" w:rsidRPr="001A1836" w:rsidRDefault="00B074CC" w:rsidP="00626054">
            <w:pPr>
              <w:rPr>
                <w:rFonts w:cs="Arial"/>
              </w:rPr>
            </w:pPr>
            <w:r w:rsidRPr="001A1836">
              <w:rPr>
                <w:rFonts w:cs="Arial"/>
              </w:rPr>
              <w:t>Head of Gas Safe Register Team</w:t>
            </w:r>
          </w:p>
          <w:p w14:paraId="50F7FAA0" w14:textId="77777777" w:rsidR="00B074CC" w:rsidRPr="001A1836" w:rsidRDefault="00B074CC" w:rsidP="00626054">
            <w:pPr>
              <w:rPr>
                <w:rFonts w:cs="Arial"/>
              </w:rPr>
            </w:pPr>
            <w:r w:rsidRPr="001A1836">
              <w:rPr>
                <w:rFonts w:cs="Arial"/>
              </w:rPr>
              <w:t>Head of Unit (Chair)</w:t>
            </w:r>
          </w:p>
          <w:p w14:paraId="5456B985" w14:textId="77777777" w:rsidR="00B074CC" w:rsidRPr="001A1836" w:rsidRDefault="00B074CC" w:rsidP="00626054">
            <w:pPr>
              <w:rPr>
                <w:rFonts w:cs="Arial"/>
              </w:rPr>
            </w:pPr>
            <w:r w:rsidRPr="001A1836">
              <w:rPr>
                <w:rFonts w:cs="Arial"/>
              </w:rPr>
              <w:t>Finance business partner</w:t>
            </w:r>
          </w:p>
          <w:p w14:paraId="1E1804A7" w14:textId="77777777" w:rsidR="00B074CC" w:rsidRPr="001A1836" w:rsidRDefault="00B074CC" w:rsidP="00626054">
            <w:pPr>
              <w:rPr>
                <w:rFonts w:cs="Arial"/>
              </w:rPr>
            </w:pPr>
            <w:r w:rsidRPr="001A1836">
              <w:rPr>
                <w:rFonts w:cs="Arial"/>
              </w:rPr>
              <w:t>HSENI contract management team representative</w:t>
            </w:r>
          </w:p>
        </w:tc>
      </w:tr>
      <w:tr w:rsidR="00B074CC" w:rsidRPr="001A1836" w14:paraId="68993540" w14:textId="77777777" w:rsidTr="00626054">
        <w:trPr>
          <w:cantSplit/>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68EA3658" w14:textId="77777777" w:rsidR="00B074CC" w:rsidRPr="001A1836" w:rsidRDefault="00B074CC" w:rsidP="00626054">
            <w:pPr>
              <w:rPr>
                <w:rFonts w:cs="Arial"/>
              </w:rPr>
            </w:pPr>
            <w:r w:rsidRPr="001A1836">
              <w:rPr>
                <w:rFonts w:cs="Arial"/>
              </w:rPr>
              <w:lastRenderedPageBreak/>
              <w:t>Service Provider attendees</w:t>
            </w:r>
          </w:p>
        </w:tc>
        <w:tc>
          <w:tcPr>
            <w:tcW w:w="6152" w:type="dxa"/>
            <w:tcBorders>
              <w:top w:val="single" w:sz="4" w:space="0" w:color="auto"/>
              <w:left w:val="single" w:sz="4" w:space="0" w:color="auto"/>
              <w:bottom w:val="single" w:sz="4" w:space="0" w:color="auto"/>
              <w:right w:val="single" w:sz="4" w:space="0" w:color="auto"/>
            </w:tcBorders>
            <w:shd w:val="clear" w:color="auto" w:fill="auto"/>
            <w:hideMark/>
          </w:tcPr>
          <w:p w14:paraId="395646FD" w14:textId="4DAED388" w:rsidR="00B074CC" w:rsidRDefault="00491BC3" w:rsidP="00626054">
            <w:pPr>
              <w:rPr>
                <w:rFonts w:cs="Arial"/>
              </w:rPr>
            </w:pPr>
            <w:r>
              <w:rPr>
                <w:rFonts w:cs="Arial"/>
              </w:rPr>
              <w:t>Contract Manager</w:t>
            </w:r>
          </w:p>
          <w:p w14:paraId="33FB0780" w14:textId="77777777" w:rsidR="00491BC3" w:rsidRDefault="00491BC3" w:rsidP="00626054">
            <w:pPr>
              <w:rPr>
                <w:rFonts w:cs="Arial"/>
              </w:rPr>
            </w:pPr>
            <w:r>
              <w:rPr>
                <w:rFonts w:cs="Arial"/>
              </w:rPr>
              <w:t>Director of Gas Safe Services</w:t>
            </w:r>
          </w:p>
          <w:p w14:paraId="5D6D10B9" w14:textId="77777777" w:rsidR="00491BC3" w:rsidRDefault="00491BC3" w:rsidP="00626054">
            <w:pPr>
              <w:rPr>
                <w:rFonts w:cs="Arial"/>
              </w:rPr>
            </w:pPr>
            <w:r>
              <w:rPr>
                <w:rFonts w:cs="Arial"/>
              </w:rPr>
              <w:t>Business &amp; Improvement Director</w:t>
            </w:r>
          </w:p>
          <w:p w14:paraId="736A81FB" w14:textId="77777777" w:rsidR="00491BC3" w:rsidRDefault="00491BC3" w:rsidP="00626054">
            <w:pPr>
              <w:rPr>
                <w:rFonts w:cs="Arial"/>
              </w:rPr>
            </w:pPr>
            <w:r>
              <w:rPr>
                <w:rFonts w:cs="Arial"/>
              </w:rPr>
              <w:t>Head of Customer Service</w:t>
            </w:r>
          </w:p>
          <w:p w14:paraId="57989AC6" w14:textId="77777777" w:rsidR="00491BC3" w:rsidRDefault="00491BC3" w:rsidP="00626054">
            <w:pPr>
              <w:rPr>
                <w:rFonts w:cs="Arial"/>
              </w:rPr>
            </w:pPr>
            <w:r>
              <w:rPr>
                <w:rFonts w:cs="Arial"/>
              </w:rPr>
              <w:t>Director of Finance</w:t>
            </w:r>
          </w:p>
          <w:p w14:paraId="2EF8C20F" w14:textId="77777777" w:rsidR="00491BC3" w:rsidRDefault="00491BC3" w:rsidP="00626054">
            <w:pPr>
              <w:rPr>
                <w:rFonts w:cs="Arial"/>
              </w:rPr>
            </w:pPr>
            <w:r>
              <w:rPr>
                <w:rFonts w:cs="Arial"/>
              </w:rPr>
              <w:t>Senior Commercial Manager</w:t>
            </w:r>
          </w:p>
          <w:p w14:paraId="7C33C1A8" w14:textId="556E95F0" w:rsidR="00B074CC" w:rsidRPr="001A1836" w:rsidRDefault="00491BC3" w:rsidP="00626054">
            <w:pPr>
              <w:rPr>
                <w:rFonts w:cs="Arial"/>
              </w:rPr>
            </w:pPr>
            <w:r>
              <w:rPr>
                <w:rFonts w:cs="Arial"/>
              </w:rPr>
              <w:t>Unlimited Marketing &amp; Brand Director</w:t>
            </w:r>
          </w:p>
        </w:tc>
      </w:tr>
      <w:tr w:rsidR="00B074CC" w:rsidRPr="001A1836" w14:paraId="1DA9BEE1" w14:textId="77777777" w:rsidTr="00626054">
        <w:trPr>
          <w:cantSplit/>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589CD5C1" w14:textId="77777777" w:rsidR="00B074CC" w:rsidRPr="001A1836" w:rsidRDefault="00B074CC" w:rsidP="00626054">
            <w:pPr>
              <w:rPr>
                <w:rFonts w:cs="Arial"/>
              </w:rPr>
            </w:pPr>
            <w:r w:rsidRPr="001A1836">
              <w:rPr>
                <w:rFonts w:cs="Arial"/>
              </w:rPr>
              <w:t>Responsibilities and functions</w:t>
            </w:r>
          </w:p>
        </w:tc>
        <w:tc>
          <w:tcPr>
            <w:tcW w:w="6152" w:type="dxa"/>
            <w:tcBorders>
              <w:top w:val="single" w:sz="4" w:space="0" w:color="auto"/>
              <w:left w:val="single" w:sz="4" w:space="0" w:color="auto"/>
              <w:bottom w:val="single" w:sz="4" w:space="0" w:color="auto"/>
              <w:right w:val="single" w:sz="4" w:space="0" w:color="auto"/>
            </w:tcBorders>
            <w:shd w:val="clear" w:color="auto" w:fill="auto"/>
            <w:hideMark/>
          </w:tcPr>
          <w:p w14:paraId="13C13079" w14:textId="77777777" w:rsidR="00B074CC" w:rsidRPr="001A1836" w:rsidRDefault="00B074CC">
            <w:pPr>
              <w:numPr>
                <w:ilvl w:val="0"/>
                <w:numId w:val="44"/>
              </w:numPr>
              <w:rPr>
                <w:rFonts w:cs="Arial"/>
              </w:rPr>
            </w:pPr>
            <w:r w:rsidRPr="001A1836">
              <w:rPr>
                <w:rFonts w:cs="Arial"/>
              </w:rPr>
              <w:t>Ensure delivery of services by the Provider is aligned to HSE’s strategy</w:t>
            </w:r>
          </w:p>
          <w:p w14:paraId="756D3FE3" w14:textId="77777777" w:rsidR="00B074CC" w:rsidRPr="001A1836" w:rsidRDefault="00B074CC">
            <w:pPr>
              <w:numPr>
                <w:ilvl w:val="0"/>
                <w:numId w:val="44"/>
              </w:numPr>
              <w:rPr>
                <w:rFonts w:cs="Arial"/>
              </w:rPr>
            </w:pPr>
            <w:r w:rsidRPr="001A1836">
              <w:rPr>
                <w:rFonts w:cs="Arial"/>
              </w:rPr>
              <w:t>Review overall performance of services provided in line with contractual requirements</w:t>
            </w:r>
          </w:p>
          <w:p w14:paraId="7B38CE90" w14:textId="77777777" w:rsidR="00B074CC" w:rsidRPr="001A1836" w:rsidRDefault="00B074CC">
            <w:pPr>
              <w:numPr>
                <w:ilvl w:val="0"/>
                <w:numId w:val="44"/>
              </w:numPr>
              <w:rPr>
                <w:rFonts w:cs="Arial"/>
              </w:rPr>
            </w:pPr>
            <w:r w:rsidRPr="001A1836">
              <w:rPr>
                <w:rFonts w:cs="Arial"/>
              </w:rPr>
              <w:t>Review contract changes and significant service delivery issues over the reporting period</w:t>
            </w:r>
          </w:p>
          <w:p w14:paraId="4D59681E" w14:textId="77777777" w:rsidR="00B074CC" w:rsidRPr="001A1836" w:rsidRDefault="00B074CC">
            <w:pPr>
              <w:numPr>
                <w:ilvl w:val="0"/>
                <w:numId w:val="44"/>
              </w:numPr>
              <w:rPr>
                <w:rFonts w:cs="Arial"/>
              </w:rPr>
            </w:pPr>
            <w:r w:rsidRPr="001A1836">
              <w:rPr>
                <w:rFonts w:cs="Arial"/>
              </w:rPr>
              <w:t>Address issues escalated from Tier 2</w:t>
            </w:r>
          </w:p>
          <w:p w14:paraId="79FC1FD6" w14:textId="77777777" w:rsidR="00B074CC" w:rsidRPr="001A1836" w:rsidRDefault="00B074CC">
            <w:pPr>
              <w:numPr>
                <w:ilvl w:val="0"/>
                <w:numId w:val="44"/>
              </w:numPr>
              <w:rPr>
                <w:rFonts w:cs="Arial"/>
              </w:rPr>
            </w:pPr>
            <w:r w:rsidRPr="001A1836">
              <w:rPr>
                <w:rFonts w:cs="Arial"/>
              </w:rPr>
              <w:t>Identify any matters for escalation to Executive Review (Tier 4)</w:t>
            </w:r>
          </w:p>
          <w:p w14:paraId="585E45E2" w14:textId="77777777" w:rsidR="00B074CC" w:rsidRPr="001A1836" w:rsidRDefault="00B074CC">
            <w:pPr>
              <w:numPr>
                <w:ilvl w:val="0"/>
                <w:numId w:val="44"/>
              </w:numPr>
              <w:rPr>
                <w:rFonts w:cs="Arial"/>
              </w:rPr>
            </w:pPr>
            <w:r w:rsidRPr="001A1836">
              <w:t xml:space="preserve">Ensure that this Agreement is operated throughout the Term in a manner which optimises: </w:t>
            </w:r>
          </w:p>
          <w:p w14:paraId="33ABD3BB" w14:textId="77777777" w:rsidR="00B074CC" w:rsidRPr="001A1836" w:rsidRDefault="00B074CC">
            <w:pPr>
              <w:numPr>
                <w:ilvl w:val="1"/>
                <w:numId w:val="44"/>
              </w:numPr>
              <w:rPr>
                <w:rFonts w:cs="Arial"/>
              </w:rPr>
            </w:pPr>
            <w:r w:rsidRPr="001A1836">
              <w:t>improvements in gas Consumer safety</w:t>
            </w:r>
          </w:p>
          <w:p w14:paraId="61E68499" w14:textId="77777777" w:rsidR="00B074CC" w:rsidRPr="001A1836" w:rsidRDefault="00B074CC">
            <w:pPr>
              <w:numPr>
                <w:ilvl w:val="1"/>
                <w:numId w:val="44"/>
              </w:numPr>
              <w:rPr>
                <w:rFonts w:cs="Arial"/>
              </w:rPr>
            </w:pPr>
            <w:r w:rsidRPr="001A1836">
              <w:t>transparency of the Register for Consumers</w:t>
            </w:r>
          </w:p>
          <w:p w14:paraId="6379CF5A" w14:textId="77777777" w:rsidR="00B074CC" w:rsidRPr="001A1836" w:rsidRDefault="00B074CC">
            <w:pPr>
              <w:numPr>
                <w:ilvl w:val="1"/>
                <w:numId w:val="44"/>
              </w:numPr>
              <w:rPr>
                <w:rFonts w:cs="Arial"/>
              </w:rPr>
            </w:pPr>
            <w:r w:rsidRPr="001A1836">
              <w:t>Consumer awareness and good reputation of the Brand</w:t>
            </w:r>
          </w:p>
          <w:p w14:paraId="53148D81" w14:textId="77777777" w:rsidR="00B074CC" w:rsidRPr="001A1836" w:rsidRDefault="00B074CC">
            <w:pPr>
              <w:numPr>
                <w:ilvl w:val="1"/>
                <w:numId w:val="44"/>
              </w:numPr>
              <w:rPr>
                <w:rFonts w:cs="Arial"/>
              </w:rPr>
            </w:pPr>
            <w:r w:rsidRPr="001A1836">
              <w:t>the value for money received by Registered Businesses and Engineers</w:t>
            </w:r>
          </w:p>
          <w:p w14:paraId="56857796" w14:textId="77777777" w:rsidR="00B074CC" w:rsidRPr="001A1836" w:rsidRDefault="00B074CC">
            <w:pPr>
              <w:numPr>
                <w:ilvl w:val="1"/>
                <w:numId w:val="44"/>
              </w:numPr>
              <w:rPr>
                <w:rFonts w:cs="Arial"/>
              </w:rPr>
            </w:pPr>
            <w:r w:rsidRPr="001A1836">
              <w:t>the operational benefit derived by HSE</w:t>
            </w:r>
          </w:p>
          <w:p w14:paraId="59499AA5" w14:textId="77777777" w:rsidR="00B074CC" w:rsidRPr="001A1836" w:rsidRDefault="00B074CC">
            <w:pPr>
              <w:numPr>
                <w:ilvl w:val="1"/>
                <w:numId w:val="44"/>
              </w:numPr>
              <w:rPr>
                <w:rFonts w:cs="Arial"/>
              </w:rPr>
            </w:pPr>
            <w:r w:rsidRPr="001A1836">
              <w:t>industry's contribution to gas safety</w:t>
            </w:r>
          </w:p>
          <w:p w14:paraId="77BE8E05" w14:textId="77777777" w:rsidR="00B074CC" w:rsidRPr="001A1836" w:rsidRDefault="00B074CC">
            <w:pPr>
              <w:numPr>
                <w:ilvl w:val="1"/>
                <w:numId w:val="44"/>
              </w:numPr>
              <w:rPr>
                <w:rFonts w:cs="Arial"/>
              </w:rPr>
            </w:pPr>
            <w:r w:rsidRPr="001A1836">
              <w:t>the commercial benefit derived by the Provider</w:t>
            </w:r>
          </w:p>
          <w:p w14:paraId="645B4D1A" w14:textId="77777777" w:rsidR="00B074CC" w:rsidRPr="001A1836" w:rsidRDefault="00B074CC">
            <w:pPr>
              <w:numPr>
                <w:ilvl w:val="0"/>
                <w:numId w:val="44"/>
              </w:numPr>
              <w:rPr>
                <w:rFonts w:cs="Arial"/>
              </w:rPr>
            </w:pPr>
            <w:r w:rsidRPr="001A1836">
              <w:t>Responsible for overseeing the continuous improvement of the Services throughout the Term</w:t>
            </w:r>
          </w:p>
        </w:tc>
      </w:tr>
      <w:tr w:rsidR="00B074CC" w:rsidRPr="001A1836" w14:paraId="24962C6E" w14:textId="77777777" w:rsidTr="00626054">
        <w:trPr>
          <w:cantSplit/>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140C8ED0" w14:textId="77777777" w:rsidR="00B074CC" w:rsidRPr="001A1836" w:rsidRDefault="00B074CC" w:rsidP="00626054">
            <w:pPr>
              <w:rPr>
                <w:rFonts w:cs="Arial"/>
              </w:rPr>
            </w:pPr>
            <w:r w:rsidRPr="001A1836">
              <w:rPr>
                <w:rFonts w:cs="Arial"/>
              </w:rPr>
              <w:t>Frequency</w:t>
            </w:r>
          </w:p>
        </w:tc>
        <w:tc>
          <w:tcPr>
            <w:tcW w:w="6152" w:type="dxa"/>
            <w:tcBorders>
              <w:top w:val="single" w:sz="4" w:space="0" w:color="auto"/>
              <w:left w:val="single" w:sz="4" w:space="0" w:color="auto"/>
              <w:bottom w:val="single" w:sz="4" w:space="0" w:color="auto"/>
              <w:right w:val="single" w:sz="4" w:space="0" w:color="auto"/>
            </w:tcBorders>
            <w:shd w:val="clear" w:color="auto" w:fill="auto"/>
            <w:hideMark/>
          </w:tcPr>
          <w:p w14:paraId="40CF8992" w14:textId="77777777" w:rsidR="00B074CC" w:rsidRPr="001A1836" w:rsidRDefault="00B074CC" w:rsidP="00626054">
            <w:pPr>
              <w:rPr>
                <w:rFonts w:cs="Arial"/>
              </w:rPr>
            </w:pPr>
            <w:r w:rsidRPr="001A1836">
              <w:rPr>
                <w:rFonts w:cs="Arial"/>
              </w:rPr>
              <w:t>6-monthly:</w:t>
            </w:r>
          </w:p>
          <w:p w14:paraId="74DD6EDE" w14:textId="77777777" w:rsidR="00B074CC" w:rsidRPr="001A1836" w:rsidRDefault="00B074CC">
            <w:pPr>
              <w:numPr>
                <w:ilvl w:val="0"/>
                <w:numId w:val="44"/>
              </w:numPr>
              <w:rPr>
                <w:rFonts w:cs="Arial"/>
              </w:rPr>
            </w:pPr>
            <w:r w:rsidRPr="001A1836">
              <w:rPr>
                <w:rFonts w:cs="Arial"/>
              </w:rPr>
              <w:t>Mid-year review – face-to-face meeting at HSE Head Office, Redgrave Court, Bootle</w:t>
            </w:r>
          </w:p>
          <w:p w14:paraId="6DF329C4" w14:textId="77777777" w:rsidR="00B074CC" w:rsidRPr="001A1836" w:rsidRDefault="00B074CC">
            <w:pPr>
              <w:numPr>
                <w:ilvl w:val="0"/>
                <w:numId w:val="44"/>
              </w:numPr>
              <w:rPr>
                <w:rFonts w:cs="Arial"/>
              </w:rPr>
            </w:pPr>
            <w:r w:rsidRPr="001A1836">
              <w:rPr>
                <w:rFonts w:cs="Arial"/>
              </w:rPr>
              <w:t>Annual service review – face-to-face meeting at Redgrave Court with Annual Service Report from the Provider provided ten (10) working days in advance of meeting</w:t>
            </w:r>
          </w:p>
        </w:tc>
      </w:tr>
      <w:tr w:rsidR="00B074CC" w:rsidRPr="001A1836" w14:paraId="0327FAA4" w14:textId="77777777" w:rsidTr="00626054">
        <w:trPr>
          <w:cantSplit/>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303344EA" w14:textId="77777777" w:rsidR="00B074CC" w:rsidRPr="001A1836" w:rsidRDefault="00B074CC" w:rsidP="00626054">
            <w:pPr>
              <w:rPr>
                <w:rFonts w:cs="Arial"/>
              </w:rPr>
            </w:pPr>
            <w:r w:rsidRPr="001A1836">
              <w:rPr>
                <w:rFonts w:cs="Arial"/>
              </w:rPr>
              <w:t>Escalation point</w:t>
            </w:r>
          </w:p>
        </w:tc>
        <w:tc>
          <w:tcPr>
            <w:tcW w:w="6152" w:type="dxa"/>
            <w:tcBorders>
              <w:top w:val="single" w:sz="4" w:space="0" w:color="auto"/>
              <w:left w:val="single" w:sz="4" w:space="0" w:color="auto"/>
              <w:bottom w:val="single" w:sz="4" w:space="0" w:color="auto"/>
              <w:right w:val="single" w:sz="4" w:space="0" w:color="auto"/>
            </w:tcBorders>
            <w:shd w:val="clear" w:color="auto" w:fill="auto"/>
            <w:hideMark/>
          </w:tcPr>
          <w:p w14:paraId="39E78D64" w14:textId="77777777" w:rsidR="00B074CC" w:rsidRPr="001A1836" w:rsidRDefault="00B074CC" w:rsidP="00626054">
            <w:pPr>
              <w:rPr>
                <w:rFonts w:cs="Arial"/>
              </w:rPr>
            </w:pPr>
            <w:r w:rsidRPr="001A1836">
              <w:rPr>
                <w:rFonts w:cs="Arial"/>
              </w:rPr>
              <w:t>Tier 4</w:t>
            </w:r>
          </w:p>
        </w:tc>
      </w:tr>
    </w:tbl>
    <w:p w14:paraId="2FC719BB" w14:textId="77777777" w:rsidR="00B074CC" w:rsidRPr="001A1836" w:rsidRDefault="00B074CC" w:rsidP="00626054">
      <w:pPr>
        <w:spacing w:after="0"/>
        <w:rPr>
          <w:rFonts w:cs="Arial"/>
        </w:rPr>
      </w:pPr>
    </w:p>
    <w:p w14:paraId="0432DE9A" w14:textId="2A251611" w:rsidR="00B074CC" w:rsidRPr="001A1836" w:rsidRDefault="00B074CC">
      <w:pPr>
        <w:pStyle w:val="GSRL4numberedclause"/>
      </w:pPr>
      <w:r w:rsidRPr="001A1836">
        <w:t xml:space="preserve">The Contract Review Board shall undertake an annual service review within three (3) months of the end of each Contract Year. It shall review the Annual Service Report, produced in accordance with </w:t>
      </w:r>
      <w:r w:rsidR="00A42FE2">
        <w:t>paragraph</w:t>
      </w:r>
      <w:r w:rsidR="00A42FE2" w:rsidRPr="001A1836">
        <w:t xml:space="preserve"> </w:t>
      </w:r>
      <w:r w:rsidRPr="001A1836">
        <w:t>5.2 of Schedule 11 (Management Information, Reporting and Records).</w:t>
      </w:r>
    </w:p>
    <w:p w14:paraId="2E925EE3" w14:textId="77777777" w:rsidR="00B074CC" w:rsidRPr="001A1836" w:rsidRDefault="00B074CC">
      <w:pPr>
        <w:pStyle w:val="GSRL4numberedclause"/>
      </w:pPr>
      <w:r w:rsidRPr="001A1836">
        <w:lastRenderedPageBreak/>
        <w:t xml:space="preserve">HSE shall at the annual service review undertake a thorough review of the Services and Provider's performance of them, performance against Service Levels, and the KPls in order to determine whether any changes are necessary to the Agreement in order to ensure that the Agreement continues to improve gas safety and provide value for money for Registered Businesses and Engineers. </w:t>
      </w:r>
    </w:p>
    <w:p w14:paraId="404EF2FF" w14:textId="27A8372D" w:rsidR="00B074CC" w:rsidRPr="001A1836" w:rsidRDefault="00B074CC">
      <w:pPr>
        <w:pStyle w:val="GSRL4numberedclause"/>
      </w:pPr>
      <w:r w:rsidRPr="001A1836">
        <w:t>Agenda items for each meeting of the Contract Review Board will be suggested by both parties and will include approval of policy and standard setting, monitoring of strategic risks or high</w:t>
      </w:r>
      <w:r w:rsidR="00A32014" w:rsidRPr="001A1836">
        <w:t>-</w:t>
      </w:r>
      <w:r w:rsidRPr="001A1836">
        <w:t>level issues, any performance related issues that have been escalated from the Service &amp; Performance Monitoring Team.</w:t>
      </w:r>
    </w:p>
    <w:p w14:paraId="2FCCF3E2" w14:textId="77777777" w:rsidR="00B074CC" w:rsidRPr="001A1836" w:rsidRDefault="00B074CC">
      <w:pPr>
        <w:pStyle w:val="GSRL4numberedclause"/>
      </w:pPr>
      <w:r w:rsidRPr="001A1836">
        <w:t>The Contract Review Board shall at all times endeavour to work by consensus and the members of the Contract Review Board shall perform their duties in good faith, save that where the Chairperson reasonably considers that it is not possible to reach a consensus on an issue, they may defer consideration of the matter to the next meeting of the Contract Review Board (and for the purposes of this paragraph the Chairperson may call a special meeting of the Contract Review Board to consider the matter).</w:t>
      </w:r>
    </w:p>
    <w:p w14:paraId="64B4F75F" w14:textId="77777777" w:rsidR="00B074CC" w:rsidRPr="001A1836" w:rsidRDefault="00B074CC">
      <w:pPr>
        <w:pStyle w:val="GSRL4numberedclause"/>
      </w:pPr>
      <w:r w:rsidRPr="001A1836">
        <w:t xml:space="preserve">The Provider shall co-operate fully with HSE as it conducts the review and provide all assistance reasonably required by HSE. </w:t>
      </w:r>
    </w:p>
    <w:p w14:paraId="0D82E24A" w14:textId="77777777" w:rsidR="00B074CC" w:rsidRPr="001A1836" w:rsidRDefault="00B074CC">
      <w:pPr>
        <w:pStyle w:val="GSRL3heading"/>
      </w:pPr>
      <w:bookmarkStart w:id="2387" w:name="_Toc508703720"/>
      <w:bookmarkStart w:id="2388" w:name="_Toc508704576"/>
      <w:bookmarkStart w:id="2389" w:name="_Toc521327122"/>
      <w:bookmarkStart w:id="2390" w:name="_Toc521333355"/>
      <w:bookmarkStart w:id="2391" w:name="_Toc521484086"/>
      <w:bookmarkStart w:id="2392" w:name="_Toc521484849"/>
      <w:bookmarkStart w:id="2393" w:name="_Toc521485180"/>
      <w:bookmarkStart w:id="2394" w:name="_Toc521496916"/>
      <w:bookmarkStart w:id="2395" w:name="_Toc521498358"/>
      <w:bookmarkStart w:id="2396" w:name="_Toc529346058"/>
      <w:bookmarkStart w:id="2397" w:name="_Toc129038269"/>
      <w:bookmarkStart w:id="2398" w:name="_Toc129038555"/>
      <w:bookmarkStart w:id="2399" w:name="_Toc132268129"/>
      <w:bookmarkStart w:id="2400" w:name="_Toc132268435"/>
      <w:bookmarkStart w:id="2401" w:name="_Toc136198685"/>
      <w:bookmarkStart w:id="2402" w:name="_Toc136198966"/>
      <w:r w:rsidRPr="001A1836">
        <w:t>Transition Governance Board</w:t>
      </w:r>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r w:rsidRPr="001A1836">
        <w:t xml:space="preserve"> </w:t>
      </w:r>
    </w:p>
    <w:p w14:paraId="712FDE23" w14:textId="77777777" w:rsidR="00B074CC" w:rsidRPr="001A1836" w:rsidRDefault="00B074CC" w:rsidP="00626054">
      <w:pPr>
        <w:spacing w:after="0"/>
        <w:rPr>
          <w:rFonts w:cs="Arial"/>
        </w:rPr>
      </w:pPr>
      <w:r w:rsidRPr="001A1836">
        <w:rPr>
          <w:rFonts w:cs="Arial"/>
          <w:b/>
        </w:rPr>
        <w:t xml:space="preserve">Table 6 </w:t>
      </w:r>
      <w:r w:rsidRPr="001A1836">
        <w:rPr>
          <w:rFonts w:cs="Arial"/>
        </w:rPr>
        <w:t>Tier 3</w:t>
      </w:r>
      <w:r w:rsidRPr="001A1836">
        <w:rPr>
          <w:rFonts w:cs="Arial"/>
          <w:b/>
        </w:rPr>
        <w:t xml:space="preserve"> </w:t>
      </w:r>
      <w:r w:rsidRPr="001A1836">
        <w:rPr>
          <w:rFonts w:cs="Arial"/>
        </w:rPr>
        <w:t xml:space="preserve">Transition Governance </w:t>
      </w:r>
    </w:p>
    <w:p w14:paraId="5469D9D4" w14:textId="77777777" w:rsidR="00B074CC" w:rsidRPr="001A1836" w:rsidRDefault="00B074CC" w:rsidP="00626054">
      <w:pPr>
        <w:spacing w:after="0"/>
      </w:pPr>
    </w:p>
    <w:tbl>
      <w:tblPr>
        <w:tblpPr w:leftFromText="180" w:rightFromText="180" w:vertAnchor="text" w:horzAnchor="margin" w:tblpY="-53"/>
        <w:tblW w:w="5000" w:type="pct"/>
        <w:tblBorders>
          <w:top w:val="nil"/>
          <w:left w:val="nil"/>
          <w:bottom w:val="nil"/>
          <w:right w:val="nil"/>
        </w:tblBorders>
        <w:tblCellMar>
          <w:top w:w="58" w:type="dxa"/>
          <w:left w:w="58" w:type="dxa"/>
          <w:bottom w:w="58" w:type="dxa"/>
          <w:right w:w="58" w:type="dxa"/>
        </w:tblCellMar>
        <w:tblLook w:val="0000" w:firstRow="0" w:lastRow="0" w:firstColumn="0" w:lastColumn="0" w:noHBand="0" w:noVBand="0"/>
      </w:tblPr>
      <w:tblGrid>
        <w:gridCol w:w="2487"/>
        <w:gridCol w:w="6523"/>
      </w:tblGrid>
      <w:tr w:rsidR="00B074CC" w:rsidRPr="001A1836" w14:paraId="6EEF5838" w14:textId="77777777" w:rsidTr="00626054">
        <w:trPr>
          <w:cantSplit/>
          <w:trHeight w:val="455"/>
          <w:tblHeader/>
        </w:trPr>
        <w:tc>
          <w:tcPr>
            <w:tcW w:w="1380" w:type="pct"/>
            <w:tcBorders>
              <w:top w:val="single" w:sz="4" w:space="0" w:color="000000"/>
              <w:left w:val="single" w:sz="4" w:space="0" w:color="000000"/>
              <w:bottom w:val="single" w:sz="4" w:space="0" w:color="000000"/>
              <w:right w:val="single" w:sz="4" w:space="0" w:color="000000"/>
            </w:tcBorders>
          </w:tcPr>
          <w:p w14:paraId="7BD67041" w14:textId="77777777" w:rsidR="00B074CC" w:rsidRPr="001A1836" w:rsidRDefault="00B074CC" w:rsidP="00626054">
            <w:pPr>
              <w:pStyle w:val="MarginText"/>
              <w:rPr>
                <w:b/>
                <w:color w:val="000000"/>
                <w:sz w:val="22"/>
                <w:szCs w:val="22"/>
              </w:rPr>
            </w:pPr>
            <w:r w:rsidRPr="001A1836">
              <w:rPr>
                <w:b/>
                <w:color w:val="000000"/>
                <w:sz w:val="22"/>
                <w:szCs w:val="22"/>
              </w:rPr>
              <w:lastRenderedPageBreak/>
              <w:t>Forum</w:t>
            </w:r>
          </w:p>
        </w:tc>
        <w:tc>
          <w:tcPr>
            <w:tcW w:w="3620" w:type="pct"/>
            <w:tcBorders>
              <w:top w:val="single" w:sz="4" w:space="0" w:color="000000"/>
              <w:left w:val="single" w:sz="4" w:space="0" w:color="000000"/>
              <w:bottom w:val="single" w:sz="4" w:space="0" w:color="000000"/>
              <w:right w:val="single" w:sz="4" w:space="0" w:color="000000"/>
            </w:tcBorders>
          </w:tcPr>
          <w:p w14:paraId="6C9D7070" w14:textId="77777777" w:rsidR="00B074CC" w:rsidRPr="001A1836" w:rsidRDefault="00B074CC" w:rsidP="00626054">
            <w:pPr>
              <w:pStyle w:val="MarginText"/>
              <w:rPr>
                <w:b/>
                <w:color w:val="000000"/>
                <w:sz w:val="22"/>
                <w:szCs w:val="22"/>
              </w:rPr>
            </w:pPr>
            <w:r w:rsidRPr="001A1836">
              <w:rPr>
                <w:b/>
                <w:color w:val="000000"/>
                <w:sz w:val="22"/>
                <w:szCs w:val="22"/>
              </w:rPr>
              <w:t>Transition Governance Board</w:t>
            </w:r>
          </w:p>
        </w:tc>
      </w:tr>
      <w:tr w:rsidR="00B074CC" w:rsidRPr="001A1836" w14:paraId="3B89697C" w14:textId="77777777" w:rsidTr="00626054">
        <w:trPr>
          <w:cantSplit/>
          <w:trHeight w:val="455"/>
        </w:trPr>
        <w:tc>
          <w:tcPr>
            <w:tcW w:w="1380" w:type="pct"/>
            <w:tcBorders>
              <w:top w:val="single" w:sz="4" w:space="0" w:color="000000"/>
              <w:left w:val="single" w:sz="4" w:space="0" w:color="000000"/>
              <w:bottom w:val="single" w:sz="4" w:space="0" w:color="000000"/>
              <w:right w:val="single" w:sz="4" w:space="0" w:color="000000"/>
            </w:tcBorders>
          </w:tcPr>
          <w:p w14:paraId="6F184CF5" w14:textId="77777777" w:rsidR="00B074CC" w:rsidRPr="001A1836" w:rsidRDefault="00B074CC" w:rsidP="00626054">
            <w:pPr>
              <w:pStyle w:val="MarginText"/>
              <w:rPr>
                <w:color w:val="000000"/>
                <w:sz w:val="22"/>
                <w:szCs w:val="22"/>
              </w:rPr>
            </w:pPr>
            <w:r w:rsidRPr="001A1836">
              <w:rPr>
                <w:color w:val="000000"/>
                <w:sz w:val="22"/>
                <w:szCs w:val="22"/>
              </w:rPr>
              <w:t>Performance governance tier</w:t>
            </w:r>
          </w:p>
        </w:tc>
        <w:tc>
          <w:tcPr>
            <w:tcW w:w="3620" w:type="pct"/>
            <w:tcBorders>
              <w:top w:val="single" w:sz="4" w:space="0" w:color="000000"/>
              <w:left w:val="single" w:sz="4" w:space="0" w:color="000000"/>
              <w:bottom w:val="single" w:sz="4" w:space="0" w:color="000000"/>
              <w:right w:val="single" w:sz="4" w:space="0" w:color="000000"/>
            </w:tcBorders>
          </w:tcPr>
          <w:p w14:paraId="124D5382" w14:textId="77777777" w:rsidR="00B074CC" w:rsidRPr="001A1836" w:rsidRDefault="00B074CC" w:rsidP="00626054">
            <w:pPr>
              <w:pStyle w:val="MarginText"/>
              <w:rPr>
                <w:color w:val="000000"/>
                <w:sz w:val="22"/>
                <w:szCs w:val="22"/>
              </w:rPr>
            </w:pPr>
            <w:r w:rsidRPr="001A1836">
              <w:rPr>
                <w:color w:val="000000"/>
                <w:sz w:val="22"/>
                <w:szCs w:val="22"/>
              </w:rPr>
              <w:t>Tier 3</w:t>
            </w:r>
          </w:p>
        </w:tc>
      </w:tr>
      <w:tr w:rsidR="00B074CC" w:rsidRPr="001A1836" w14:paraId="771D6532" w14:textId="77777777" w:rsidTr="00626054">
        <w:trPr>
          <w:cantSplit/>
          <w:trHeight w:val="455"/>
        </w:trPr>
        <w:tc>
          <w:tcPr>
            <w:tcW w:w="1380" w:type="pct"/>
            <w:tcBorders>
              <w:top w:val="single" w:sz="4" w:space="0" w:color="000000"/>
              <w:left w:val="single" w:sz="4" w:space="0" w:color="000000"/>
              <w:bottom w:val="single" w:sz="4" w:space="0" w:color="000000"/>
              <w:right w:val="single" w:sz="4" w:space="0" w:color="000000"/>
            </w:tcBorders>
          </w:tcPr>
          <w:p w14:paraId="21A089EC" w14:textId="77777777" w:rsidR="00B074CC" w:rsidRPr="001A1836" w:rsidRDefault="00B074CC" w:rsidP="00626054">
            <w:pPr>
              <w:pStyle w:val="MarginText"/>
              <w:rPr>
                <w:color w:val="000000"/>
                <w:sz w:val="22"/>
                <w:szCs w:val="22"/>
              </w:rPr>
            </w:pPr>
            <w:r w:rsidRPr="001A1836">
              <w:rPr>
                <w:color w:val="000000"/>
                <w:sz w:val="22"/>
                <w:szCs w:val="22"/>
              </w:rPr>
              <w:t xml:space="preserve">HSE Members </w:t>
            </w:r>
          </w:p>
        </w:tc>
        <w:tc>
          <w:tcPr>
            <w:tcW w:w="3620" w:type="pct"/>
            <w:tcBorders>
              <w:top w:val="single" w:sz="4" w:space="0" w:color="000000"/>
              <w:left w:val="single" w:sz="4" w:space="0" w:color="000000"/>
              <w:bottom w:val="single" w:sz="4" w:space="0" w:color="000000"/>
              <w:right w:val="single" w:sz="4" w:space="0" w:color="000000"/>
            </w:tcBorders>
          </w:tcPr>
          <w:p w14:paraId="26D7EE57" w14:textId="77777777" w:rsidR="00B074CC" w:rsidRPr="001A1836" w:rsidRDefault="00B074CC" w:rsidP="00626054">
            <w:pPr>
              <w:pStyle w:val="MarginText"/>
              <w:rPr>
                <w:color w:val="000000"/>
                <w:sz w:val="22"/>
                <w:szCs w:val="22"/>
              </w:rPr>
            </w:pPr>
            <w:r w:rsidRPr="001A1836">
              <w:rPr>
                <w:color w:val="000000"/>
                <w:sz w:val="22"/>
                <w:szCs w:val="22"/>
              </w:rPr>
              <w:t xml:space="preserve">HSE Transition Manager </w:t>
            </w:r>
          </w:p>
          <w:p w14:paraId="44DF3DA5" w14:textId="77777777" w:rsidR="00B074CC" w:rsidRPr="001A1836" w:rsidRDefault="00B074CC" w:rsidP="00626054">
            <w:pPr>
              <w:spacing w:after="0"/>
            </w:pPr>
          </w:p>
          <w:p w14:paraId="434CCC11" w14:textId="77777777" w:rsidR="00B074CC" w:rsidRPr="001A1836" w:rsidRDefault="00B074CC" w:rsidP="00626054">
            <w:pPr>
              <w:pStyle w:val="MarginText"/>
              <w:rPr>
                <w:color w:val="000000"/>
                <w:sz w:val="22"/>
                <w:szCs w:val="22"/>
              </w:rPr>
            </w:pPr>
            <w:r w:rsidRPr="001A1836">
              <w:rPr>
                <w:color w:val="000000"/>
                <w:sz w:val="22"/>
                <w:szCs w:val="22"/>
              </w:rPr>
              <w:t xml:space="preserve">HSE Contract Manager </w:t>
            </w:r>
            <w:r w:rsidRPr="001A1836">
              <w:rPr>
                <w:color w:val="000000"/>
                <w:sz w:val="22"/>
                <w:szCs w:val="22"/>
              </w:rPr>
              <w:br/>
            </w:r>
          </w:p>
          <w:p w14:paraId="743D7BF1" w14:textId="77777777" w:rsidR="00B074CC" w:rsidRPr="001A1836" w:rsidRDefault="00B074CC" w:rsidP="00626054">
            <w:r w:rsidRPr="001A1836">
              <w:t>Head of Unit</w:t>
            </w:r>
          </w:p>
          <w:p w14:paraId="75C8CF99" w14:textId="77777777" w:rsidR="00B074CC" w:rsidRPr="001A1836" w:rsidRDefault="00B074CC" w:rsidP="00626054">
            <w:r w:rsidRPr="001A1836">
              <w:t>IT &amp; Facilities representative</w:t>
            </w:r>
          </w:p>
          <w:p w14:paraId="33D114F2" w14:textId="77777777" w:rsidR="00B074CC" w:rsidRPr="001A1836" w:rsidRDefault="00B074CC" w:rsidP="00626054">
            <w:r w:rsidRPr="001A1836">
              <w:t>Other members TBC</w:t>
            </w:r>
          </w:p>
        </w:tc>
      </w:tr>
      <w:tr w:rsidR="00B074CC" w:rsidRPr="001A1836" w14:paraId="76D4D3B3" w14:textId="77777777" w:rsidTr="00626054">
        <w:trPr>
          <w:cantSplit/>
          <w:trHeight w:val="954"/>
        </w:trPr>
        <w:tc>
          <w:tcPr>
            <w:tcW w:w="1380" w:type="pct"/>
            <w:tcBorders>
              <w:top w:val="single" w:sz="4" w:space="0" w:color="000000"/>
              <w:left w:val="single" w:sz="4" w:space="0" w:color="000000"/>
              <w:bottom w:val="single" w:sz="4" w:space="0" w:color="000000"/>
              <w:right w:val="single" w:sz="4" w:space="0" w:color="000000"/>
            </w:tcBorders>
          </w:tcPr>
          <w:p w14:paraId="3DC034D6" w14:textId="77777777" w:rsidR="00B074CC" w:rsidRPr="001A1836" w:rsidRDefault="00B074CC" w:rsidP="00626054">
            <w:pPr>
              <w:pStyle w:val="MarginText"/>
              <w:rPr>
                <w:color w:val="000000"/>
                <w:sz w:val="22"/>
                <w:szCs w:val="22"/>
              </w:rPr>
            </w:pPr>
            <w:r w:rsidRPr="001A1836">
              <w:rPr>
                <w:color w:val="000000"/>
                <w:sz w:val="22"/>
                <w:szCs w:val="22"/>
              </w:rPr>
              <w:t xml:space="preserve">Provider Members </w:t>
            </w:r>
          </w:p>
        </w:tc>
        <w:tc>
          <w:tcPr>
            <w:tcW w:w="3620" w:type="pct"/>
            <w:tcBorders>
              <w:top w:val="single" w:sz="4" w:space="0" w:color="000000"/>
              <w:left w:val="single" w:sz="4" w:space="0" w:color="000000"/>
              <w:bottom w:val="single" w:sz="4" w:space="0" w:color="000000"/>
              <w:right w:val="single" w:sz="4" w:space="0" w:color="000000"/>
            </w:tcBorders>
          </w:tcPr>
          <w:p w14:paraId="11B7D162" w14:textId="312DE9AB" w:rsidR="00B074CC" w:rsidRPr="001A1836" w:rsidRDefault="00491BC3" w:rsidP="00626054">
            <w:pPr>
              <w:pStyle w:val="MarginText"/>
              <w:rPr>
                <w:color w:val="000000"/>
                <w:sz w:val="22"/>
                <w:szCs w:val="22"/>
              </w:rPr>
            </w:pPr>
            <w:r>
              <w:rPr>
                <w:color w:val="000000"/>
                <w:sz w:val="22"/>
                <w:szCs w:val="22"/>
              </w:rPr>
              <w:t>Contract Manager / Managing Director</w:t>
            </w:r>
          </w:p>
          <w:p w14:paraId="53E855B2" w14:textId="77777777" w:rsidR="00B074CC" w:rsidRPr="001A1836" w:rsidRDefault="00B074CC" w:rsidP="00626054">
            <w:pPr>
              <w:spacing w:after="0"/>
            </w:pPr>
          </w:p>
          <w:p w14:paraId="132C773E" w14:textId="77777777" w:rsidR="00B074CC" w:rsidRPr="001A1836" w:rsidRDefault="00B074CC" w:rsidP="00626054">
            <w:pPr>
              <w:pStyle w:val="MarginText"/>
              <w:rPr>
                <w:color w:val="000000"/>
                <w:sz w:val="22"/>
                <w:szCs w:val="22"/>
              </w:rPr>
            </w:pPr>
            <w:r w:rsidRPr="001A1836">
              <w:rPr>
                <w:color w:val="000000"/>
                <w:sz w:val="22"/>
                <w:szCs w:val="22"/>
              </w:rPr>
              <w:t xml:space="preserve">Provider Transition Director </w:t>
            </w:r>
          </w:p>
          <w:p w14:paraId="2BE73661" w14:textId="77777777" w:rsidR="00B074CC" w:rsidRPr="001A1836" w:rsidRDefault="00B074CC" w:rsidP="00626054">
            <w:pPr>
              <w:spacing w:after="0"/>
            </w:pPr>
          </w:p>
          <w:p w14:paraId="601DEB32" w14:textId="77777777" w:rsidR="00B074CC" w:rsidRPr="001A1836" w:rsidRDefault="00B074CC" w:rsidP="00626054">
            <w:pPr>
              <w:pStyle w:val="MarginText"/>
              <w:rPr>
                <w:color w:val="000000"/>
                <w:sz w:val="22"/>
                <w:szCs w:val="22"/>
              </w:rPr>
            </w:pPr>
            <w:r w:rsidRPr="001A1836">
              <w:rPr>
                <w:color w:val="000000"/>
                <w:sz w:val="22"/>
                <w:szCs w:val="22"/>
              </w:rPr>
              <w:t xml:space="preserve">Provider Stakeholder Director and or Communications Director </w:t>
            </w:r>
          </w:p>
        </w:tc>
      </w:tr>
      <w:tr w:rsidR="00B074CC" w:rsidRPr="001A1836" w14:paraId="284F7427" w14:textId="77777777" w:rsidTr="00626054">
        <w:trPr>
          <w:cantSplit/>
          <w:trHeight w:val="783"/>
        </w:trPr>
        <w:tc>
          <w:tcPr>
            <w:tcW w:w="1380" w:type="pct"/>
            <w:tcBorders>
              <w:top w:val="single" w:sz="4" w:space="0" w:color="000000"/>
              <w:left w:val="single" w:sz="4" w:space="0" w:color="000000"/>
              <w:bottom w:val="single" w:sz="4" w:space="0" w:color="000000"/>
              <w:right w:val="single" w:sz="4" w:space="0" w:color="000000"/>
            </w:tcBorders>
          </w:tcPr>
          <w:p w14:paraId="5DCA6180" w14:textId="77777777" w:rsidR="00B074CC" w:rsidRPr="001A1836" w:rsidRDefault="00B074CC" w:rsidP="00626054">
            <w:pPr>
              <w:pStyle w:val="MarginText"/>
              <w:rPr>
                <w:color w:val="000000"/>
                <w:sz w:val="22"/>
                <w:szCs w:val="22"/>
              </w:rPr>
            </w:pPr>
            <w:r w:rsidRPr="001A1836">
              <w:rPr>
                <w:color w:val="000000"/>
                <w:sz w:val="22"/>
                <w:szCs w:val="22"/>
              </w:rPr>
              <w:t>Previous Provider Members</w:t>
            </w:r>
          </w:p>
        </w:tc>
        <w:tc>
          <w:tcPr>
            <w:tcW w:w="3620" w:type="pct"/>
            <w:tcBorders>
              <w:top w:val="single" w:sz="4" w:space="0" w:color="000000"/>
              <w:left w:val="single" w:sz="4" w:space="0" w:color="000000"/>
              <w:bottom w:val="single" w:sz="4" w:space="0" w:color="000000"/>
              <w:right w:val="single" w:sz="4" w:space="0" w:color="000000"/>
            </w:tcBorders>
          </w:tcPr>
          <w:p w14:paraId="380B65DC" w14:textId="77777777" w:rsidR="00B074CC" w:rsidRPr="001A1836" w:rsidRDefault="00B074CC" w:rsidP="00626054">
            <w:pPr>
              <w:pStyle w:val="MarginText"/>
              <w:rPr>
                <w:color w:val="000000"/>
                <w:sz w:val="22"/>
                <w:szCs w:val="22"/>
              </w:rPr>
            </w:pPr>
            <w:r w:rsidRPr="001A1836">
              <w:rPr>
                <w:color w:val="000000"/>
                <w:sz w:val="22"/>
                <w:szCs w:val="22"/>
              </w:rPr>
              <w:t>Previous Provider Senior Management Team</w:t>
            </w:r>
          </w:p>
        </w:tc>
      </w:tr>
      <w:tr w:rsidR="00B074CC" w:rsidRPr="001A1836" w14:paraId="50AEE860" w14:textId="77777777" w:rsidTr="00626054">
        <w:trPr>
          <w:cantSplit/>
          <w:trHeight w:val="954"/>
        </w:trPr>
        <w:tc>
          <w:tcPr>
            <w:tcW w:w="1380" w:type="pct"/>
            <w:tcBorders>
              <w:top w:val="single" w:sz="4" w:space="0" w:color="000000"/>
              <w:left w:val="single" w:sz="4" w:space="0" w:color="000000"/>
              <w:bottom w:val="single" w:sz="4" w:space="0" w:color="000000"/>
              <w:right w:val="single" w:sz="4" w:space="0" w:color="000000"/>
            </w:tcBorders>
          </w:tcPr>
          <w:p w14:paraId="0B27BDBC" w14:textId="77777777" w:rsidR="00B074CC" w:rsidRPr="001A1836" w:rsidRDefault="00B074CC" w:rsidP="00626054">
            <w:pPr>
              <w:pStyle w:val="MarginText"/>
              <w:rPr>
                <w:color w:val="000000"/>
                <w:sz w:val="22"/>
                <w:szCs w:val="22"/>
              </w:rPr>
            </w:pPr>
            <w:r w:rsidRPr="001A1836">
              <w:rPr>
                <w:color w:val="000000"/>
                <w:sz w:val="22"/>
                <w:szCs w:val="22"/>
              </w:rPr>
              <w:t>Responsibilities and functions</w:t>
            </w:r>
          </w:p>
        </w:tc>
        <w:tc>
          <w:tcPr>
            <w:tcW w:w="3620" w:type="pct"/>
            <w:tcBorders>
              <w:top w:val="single" w:sz="4" w:space="0" w:color="000000"/>
              <w:left w:val="single" w:sz="4" w:space="0" w:color="000000"/>
              <w:bottom w:val="single" w:sz="4" w:space="0" w:color="000000"/>
              <w:right w:val="single" w:sz="4" w:space="0" w:color="000000"/>
            </w:tcBorders>
          </w:tcPr>
          <w:p w14:paraId="0EA6864E" w14:textId="77777777" w:rsidR="00B074CC" w:rsidRPr="001A1836" w:rsidRDefault="00B074CC">
            <w:pPr>
              <w:pStyle w:val="Number"/>
              <w:numPr>
                <w:ilvl w:val="0"/>
                <w:numId w:val="45"/>
              </w:numPr>
              <w:spacing w:before="0"/>
              <w:jc w:val="both"/>
            </w:pPr>
            <w:r w:rsidRPr="001A1836">
              <w:t>Oversee the fulfilment of the requirements and delivery of the Deliverables set out in the Outline Transition Plan</w:t>
            </w:r>
          </w:p>
          <w:p w14:paraId="257B09DF" w14:textId="77777777" w:rsidR="00B074CC" w:rsidRPr="001A1836" w:rsidRDefault="00B074CC">
            <w:pPr>
              <w:pStyle w:val="Number"/>
              <w:numPr>
                <w:ilvl w:val="0"/>
                <w:numId w:val="45"/>
              </w:numPr>
              <w:spacing w:before="0"/>
              <w:jc w:val="both"/>
            </w:pPr>
            <w:r w:rsidRPr="001A1836">
              <w:t xml:space="preserve">Review the progress of each work-stream involved in the delivery of the Outline Transition Plan </w:t>
            </w:r>
          </w:p>
          <w:p w14:paraId="7C3677F1" w14:textId="77777777" w:rsidR="00B074CC" w:rsidRPr="001A1836" w:rsidRDefault="00B074CC">
            <w:pPr>
              <w:pStyle w:val="Number"/>
              <w:numPr>
                <w:ilvl w:val="0"/>
                <w:numId w:val="45"/>
              </w:numPr>
              <w:spacing w:before="0"/>
              <w:jc w:val="both"/>
            </w:pPr>
            <w:r w:rsidRPr="001A1836">
              <w:t>Including premises, development of brand and registration services, investigation activity, training, IT, and governance</w:t>
            </w:r>
          </w:p>
          <w:p w14:paraId="50A440C6" w14:textId="77777777" w:rsidR="00B074CC" w:rsidRPr="001A1836" w:rsidRDefault="00B074CC">
            <w:pPr>
              <w:pStyle w:val="Number"/>
              <w:numPr>
                <w:ilvl w:val="0"/>
                <w:numId w:val="45"/>
              </w:numPr>
              <w:spacing w:before="0"/>
              <w:jc w:val="both"/>
            </w:pPr>
            <w:r w:rsidRPr="001A1836">
              <w:t>Receive reports from the implementation teams involved in delivery of the Outline Transition Plan and determine the appropriate action to take in the event that either Party considers there to be sufficient risk to the achievement of the Outline Transition Plan</w:t>
            </w:r>
          </w:p>
          <w:p w14:paraId="4855DF3F" w14:textId="77777777" w:rsidR="00B074CC" w:rsidRPr="001A1836" w:rsidRDefault="00B074CC">
            <w:pPr>
              <w:pStyle w:val="Number"/>
              <w:numPr>
                <w:ilvl w:val="0"/>
                <w:numId w:val="45"/>
              </w:numPr>
              <w:spacing w:before="0"/>
              <w:jc w:val="both"/>
            </w:pPr>
            <w:r w:rsidRPr="001A1836">
              <w:t>Ensure the Provider operation has the appropriate staffing capability to fulfil the contractual obligations of the Provider ahead of the Services Start Date</w:t>
            </w:r>
          </w:p>
          <w:p w14:paraId="21623C45" w14:textId="77777777" w:rsidR="00B074CC" w:rsidRPr="001A1836" w:rsidRDefault="00B074CC">
            <w:pPr>
              <w:pStyle w:val="Number"/>
              <w:numPr>
                <w:ilvl w:val="0"/>
                <w:numId w:val="45"/>
              </w:numPr>
              <w:spacing w:before="0"/>
              <w:jc w:val="both"/>
            </w:pPr>
            <w:r w:rsidRPr="001A1836">
              <w:t>Monitor the successful TUPE transfer of people from the Previous Provider in accordance with Schedule 9 (Staff Transfer)</w:t>
            </w:r>
          </w:p>
        </w:tc>
      </w:tr>
      <w:tr w:rsidR="00B074CC" w:rsidRPr="001A1836" w14:paraId="6AB79492" w14:textId="77777777" w:rsidTr="00626054">
        <w:trPr>
          <w:cantSplit/>
          <w:trHeight w:val="335"/>
        </w:trPr>
        <w:tc>
          <w:tcPr>
            <w:tcW w:w="1380" w:type="pct"/>
            <w:tcBorders>
              <w:top w:val="single" w:sz="4" w:space="0" w:color="000000"/>
              <w:left w:val="single" w:sz="4" w:space="0" w:color="000000"/>
              <w:bottom w:val="single" w:sz="4" w:space="0" w:color="000000"/>
              <w:right w:val="single" w:sz="4" w:space="0" w:color="000000"/>
            </w:tcBorders>
          </w:tcPr>
          <w:p w14:paraId="61158563" w14:textId="77777777" w:rsidR="00B074CC" w:rsidRPr="001A1836" w:rsidRDefault="00B074CC" w:rsidP="00626054">
            <w:pPr>
              <w:pStyle w:val="MarginText"/>
              <w:rPr>
                <w:color w:val="000000"/>
                <w:sz w:val="22"/>
                <w:szCs w:val="22"/>
              </w:rPr>
            </w:pPr>
            <w:r w:rsidRPr="001A1836">
              <w:rPr>
                <w:color w:val="000000"/>
                <w:sz w:val="22"/>
                <w:szCs w:val="22"/>
              </w:rPr>
              <w:t xml:space="preserve">Start Date </w:t>
            </w:r>
          </w:p>
        </w:tc>
        <w:tc>
          <w:tcPr>
            <w:tcW w:w="3620" w:type="pct"/>
            <w:tcBorders>
              <w:top w:val="single" w:sz="4" w:space="0" w:color="000000"/>
              <w:left w:val="single" w:sz="4" w:space="0" w:color="000000"/>
              <w:bottom w:val="single" w:sz="4" w:space="0" w:color="000000"/>
              <w:right w:val="single" w:sz="4" w:space="0" w:color="000000"/>
            </w:tcBorders>
          </w:tcPr>
          <w:p w14:paraId="11AB10FE" w14:textId="77777777" w:rsidR="00B074CC" w:rsidRPr="001A1836" w:rsidRDefault="00B074CC" w:rsidP="00626054">
            <w:pPr>
              <w:pStyle w:val="MarginText"/>
              <w:rPr>
                <w:color w:val="000000"/>
                <w:sz w:val="22"/>
                <w:szCs w:val="22"/>
              </w:rPr>
            </w:pPr>
            <w:r w:rsidRPr="001A1836">
              <w:rPr>
                <w:color w:val="000000"/>
                <w:sz w:val="22"/>
                <w:szCs w:val="22"/>
              </w:rPr>
              <w:t xml:space="preserve">Effective Date </w:t>
            </w:r>
          </w:p>
        </w:tc>
      </w:tr>
      <w:tr w:rsidR="00B074CC" w:rsidRPr="001A1836" w14:paraId="42B89095" w14:textId="77777777" w:rsidTr="00626054">
        <w:trPr>
          <w:cantSplit/>
          <w:trHeight w:val="335"/>
        </w:trPr>
        <w:tc>
          <w:tcPr>
            <w:tcW w:w="1380" w:type="pct"/>
            <w:tcBorders>
              <w:top w:val="single" w:sz="4" w:space="0" w:color="000000"/>
              <w:left w:val="single" w:sz="4" w:space="0" w:color="000000"/>
              <w:bottom w:val="single" w:sz="4" w:space="0" w:color="000000"/>
              <w:right w:val="single" w:sz="4" w:space="0" w:color="000000"/>
            </w:tcBorders>
          </w:tcPr>
          <w:p w14:paraId="1FCB9D00" w14:textId="77777777" w:rsidR="00B074CC" w:rsidRPr="001A1836" w:rsidRDefault="00B074CC" w:rsidP="00626054">
            <w:pPr>
              <w:pStyle w:val="MarginText"/>
              <w:rPr>
                <w:color w:val="000000"/>
                <w:sz w:val="22"/>
                <w:szCs w:val="22"/>
              </w:rPr>
            </w:pPr>
            <w:r w:rsidRPr="001A1836">
              <w:rPr>
                <w:color w:val="000000"/>
                <w:sz w:val="22"/>
                <w:szCs w:val="22"/>
              </w:rPr>
              <w:t xml:space="preserve">Frequency </w:t>
            </w:r>
          </w:p>
        </w:tc>
        <w:tc>
          <w:tcPr>
            <w:tcW w:w="3620" w:type="pct"/>
            <w:tcBorders>
              <w:top w:val="single" w:sz="4" w:space="0" w:color="000000"/>
              <w:left w:val="single" w:sz="4" w:space="0" w:color="000000"/>
              <w:bottom w:val="single" w:sz="4" w:space="0" w:color="000000"/>
              <w:right w:val="single" w:sz="4" w:space="0" w:color="000000"/>
            </w:tcBorders>
          </w:tcPr>
          <w:p w14:paraId="6152DB6B" w14:textId="77777777" w:rsidR="00B074CC" w:rsidRPr="001A1836" w:rsidRDefault="00B074CC" w:rsidP="00626054">
            <w:pPr>
              <w:pStyle w:val="MarginText"/>
              <w:rPr>
                <w:color w:val="000000"/>
                <w:sz w:val="22"/>
                <w:szCs w:val="22"/>
              </w:rPr>
            </w:pPr>
            <w:r w:rsidRPr="001A1836">
              <w:rPr>
                <w:color w:val="000000"/>
                <w:sz w:val="22"/>
                <w:szCs w:val="22"/>
              </w:rPr>
              <w:t xml:space="preserve">Fortnightly during the Transition Period </w:t>
            </w:r>
          </w:p>
        </w:tc>
      </w:tr>
      <w:tr w:rsidR="00B074CC" w:rsidRPr="001A1836" w14:paraId="4C70B7B2" w14:textId="77777777" w:rsidTr="00626054">
        <w:trPr>
          <w:cantSplit/>
          <w:trHeight w:val="336"/>
        </w:trPr>
        <w:tc>
          <w:tcPr>
            <w:tcW w:w="1380" w:type="pct"/>
            <w:tcBorders>
              <w:top w:val="single" w:sz="4" w:space="0" w:color="000000"/>
              <w:left w:val="single" w:sz="4" w:space="0" w:color="000000"/>
              <w:bottom w:val="single" w:sz="4" w:space="0" w:color="000000"/>
              <w:right w:val="single" w:sz="4" w:space="0" w:color="000000"/>
            </w:tcBorders>
          </w:tcPr>
          <w:p w14:paraId="3D8F6F82" w14:textId="77777777" w:rsidR="00B074CC" w:rsidRPr="001A1836" w:rsidRDefault="00B074CC" w:rsidP="00626054">
            <w:pPr>
              <w:pStyle w:val="MarginText"/>
              <w:rPr>
                <w:color w:val="000000"/>
                <w:sz w:val="22"/>
                <w:szCs w:val="22"/>
              </w:rPr>
            </w:pPr>
            <w:r w:rsidRPr="001A1836">
              <w:rPr>
                <w:color w:val="000000"/>
                <w:sz w:val="22"/>
                <w:szCs w:val="22"/>
              </w:rPr>
              <w:t xml:space="preserve">Escalation point </w:t>
            </w:r>
          </w:p>
        </w:tc>
        <w:tc>
          <w:tcPr>
            <w:tcW w:w="3620" w:type="pct"/>
            <w:tcBorders>
              <w:top w:val="single" w:sz="4" w:space="0" w:color="000000"/>
              <w:left w:val="single" w:sz="4" w:space="0" w:color="000000"/>
              <w:bottom w:val="single" w:sz="4" w:space="0" w:color="000000"/>
              <w:right w:val="single" w:sz="4" w:space="0" w:color="000000"/>
            </w:tcBorders>
          </w:tcPr>
          <w:p w14:paraId="42B59DBA" w14:textId="77777777" w:rsidR="00B074CC" w:rsidRPr="001A1836" w:rsidRDefault="00B074CC" w:rsidP="00626054">
            <w:pPr>
              <w:pStyle w:val="MarginText"/>
              <w:rPr>
                <w:color w:val="000000"/>
                <w:sz w:val="22"/>
                <w:szCs w:val="22"/>
              </w:rPr>
            </w:pPr>
            <w:r w:rsidRPr="001A1836">
              <w:rPr>
                <w:color w:val="000000"/>
                <w:sz w:val="22"/>
                <w:szCs w:val="22"/>
              </w:rPr>
              <w:t xml:space="preserve">Tier 4 Executive Review Board </w:t>
            </w:r>
          </w:p>
        </w:tc>
      </w:tr>
    </w:tbl>
    <w:p w14:paraId="1B43FA50" w14:textId="77777777" w:rsidR="00B074CC" w:rsidRPr="001A1836" w:rsidRDefault="00B074CC" w:rsidP="00626054"/>
    <w:p w14:paraId="19E68FF4" w14:textId="77777777" w:rsidR="00B074CC" w:rsidRPr="001A1836" w:rsidRDefault="00B074CC">
      <w:pPr>
        <w:pStyle w:val="GSRL4numberedclause"/>
      </w:pPr>
      <w:r w:rsidRPr="001A1836">
        <w:lastRenderedPageBreak/>
        <w:t>HSE and the Provider will attend regular meetings during the Transition Period to review transition progress (Tier 3 of the formal governance structure detailed in Figure 1 above). The meetings will (unless agreed otherwise):</w:t>
      </w:r>
    </w:p>
    <w:p w14:paraId="3D2D42A8" w14:textId="77777777" w:rsidR="00B074CC" w:rsidRPr="001A1836" w:rsidRDefault="00B074CC">
      <w:pPr>
        <w:pStyle w:val="GSRL5numberedclause"/>
      </w:pPr>
      <w:r w:rsidRPr="001A1836">
        <w:rPr>
          <w:rFonts w:eastAsia="Trebuchet MS"/>
        </w:rPr>
        <w:t>take place fortnightly;</w:t>
      </w:r>
    </w:p>
    <w:p w14:paraId="0C62F7A8" w14:textId="77777777" w:rsidR="00B074CC" w:rsidRPr="001A1836" w:rsidRDefault="00B074CC">
      <w:pPr>
        <w:pStyle w:val="GSRL5numberedclause"/>
      </w:pPr>
      <w:r w:rsidRPr="001A1836">
        <w:rPr>
          <w:rFonts w:eastAsia="Trebuchet MS"/>
        </w:rPr>
        <w:t>be chaired by the HSE Transition Manager;</w:t>
      </w:r>
    </w:p>
    <w:p w14:paraId="4BC3AC97" w14:textId="77777777" w:rsidR="00B074CC" w:rsidRPr="001A1836" w:rsidRDefault="00B074CC">
      <w:pPr>
        <w:pStyle w:val="GSRL5numberedclause"/>
      </w:pPr>
      <w:r w:rsidRPr="001A1836">
        <w:rPr>
          <w:rFonts w:eastAsia="Trebuchet MS"/>
        </w:rPr>
        <w:t>take place at an agreed location or via Video Conference within normal business hours;</w:t>
      </w:r>
    </w:p>
    <w:p w14:paraId="2CC0FE6A" w14:textId="77777777" w:rsidR="00B074CC" w:rsidRPr="001A1836" w:rsidRDefault="00B074CC">
      <w:pPr>
        <w:pStyle w:val="GSRL5numberedclause"/>
      </w:pPr>
      <w:r w:rsidRPr="001A1836">
        <w:rPr>
          <w:rFonts w:eastAsia="Trebuchet MS"/>
        </w:rPr>
        <w:t xml:space="preserve">be attended by the representatives detailed in Table 6 of this Schedule; and </w:t>
      </w:r>
    </w:p>
    <w:p w14:paraId="02ECEF05" w14:textId="7B598DA4" w:rsidR="00B074CC" w:rsidRPr="001A1836" w:rsidRDefault="00B074CC">
      <w:pPr>
        <w:pStyle w:val="GSRL5numberedclause"/>
      </w:pPr>
      <w:r w:rsidRPr="001A1836">
        <w:rPr>
          <w:rFonts w:eastAsia="Trebuchet MS"/>
        </w:rPr>
        <w:t>follow an agreed agenda and be fully minuted with the Provider providing the full secretariat function which will include as a minimum organising the meeting, including location, and issuing the meeting invitations.</w:t>
      </w:r>
    </w:p>
    <w:p w14:paraId="569A435E" w14:textId="77777777" w:rsidR="00B074CC" w:rsidRPr="001A1836" w:rsidRDefault="00B074CC">
      <w:pPr>
        <w:pStyle w:val="GSRL3heading"/>
      </w:pPr>
      <w:bookmarkStart w:id="2403" w:name="_Toc521496917"/>
      <w:bookmarkStart w:id="2404" w:name="_Toc521498359"/>
      <w:bookmarkStart w:id="2405" w:name="_Toc529346059"/>
      <w:bookmarkStart w:id="2406" w:name="_Toc129038270"/>
      <w:bookmarkStart w:id="2407" w:name="_Toc129038556"/>
      <w:bookmarkStart w:id="2408" w:name="_Toc132268130"/>
      <w:bookmarkStart w:id="2409" w:name="_Toc132268436"/>
      <w:bookmarkStart w:id="2410" w:name="_Toc136198686"/>
      <w:bookmarkStart w:id="2411" w:name="_Toc136198967"/>
      <w:r w:rsidRPr="001A1836">
        <w:t>Executive Review</w:t>
      </w:r>
      <w:bookmarkEnd w:id="2403"/>
      <w:bookmarkEnd w:id="2404"/>
      <w:bookmarkEnd w:id="2405"/>
      <w:bookmarkEnd w:id="2406"/>
      <w:bookmarkEnd w:id="2407"/>
      <w:bookmarkEnd w:id="2408"/>
      <w:bookmarkEnd w:id="2409"/>
      <w:bookmarkEnd w:id="2410"/>
      <w:bookmarkEnd w:id="2411"/>
      <w:r w:rsidRPr="001A1836">
        <w:t xml:space="preserve"> </w:t>
      </w:r>
    </w:p>
    <w:p w14:paraId="771761F6" w14:textId="77777777" w:rsidR="00B074CC" w:rsidRPr="001A1836" w:rsidRDefault="00B074CC" w:rsidP="00626054">
      <w:pPr>
        <w:pStyle w:val="ListParagraph"/>
        <w:ind w:left="0"/>
        <w:rPr>
          <w:rFonts w:cs="Arial"/>
        </w:rPr>
      </w:pPr>
      <w:r w:rsidRPr="001A1836">
        <w:rPr>
          <w:rFonts w:cs="Arial"/>
          <w:b/>
        </w:rPr>
        <w:t xml:space="preserve">Table 7 </w:t>
      </w:r>
      <w:r w:rsidRPr="001A1836">
        <w:rPr>
          <w:rFonts w:cs="Arial"/>
        </w:rPr>
        <w:t>Tier 4 Executive Review</w:t>
      </w:r>
    </w:p>
    <w:p w14:paraId="57161207" w14:textId="77777777" w:rsidR="00B074CC" w:rsidRPr="001A1836" w:rsidRDefault="00B074CC" w:rsidP="00626054">
      <w:pPr>
        <w:pStyle w:val="ListParagraph"/>
        <w:ind w:left="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152"/>
      </w:tblGrid>
      <w:tr w:rsidR="00B074CC" w:rsidRPr="001A1836" w14:paraId="02FE833B" w14:textId="77777777" w:rsidTr="00626054">
        <w:trPr>
          <w:cantSplit/>
          <w:tblHeader/>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04BE7388" w14:textId="77777777" w:rsidR="00B074CC" w:rsidRPr="001A1836" w:rsidRDefault="00B074CC" w:rsidP="00626054">
            <w:pPr>
              <w:rPr>
                <w:rFonts w:cs="Arial"/>
                <w:b/>
              </w:rPr>
            </w:pPr>
            <w:r w:rsidRPr="001A1836">
              <w:rPr>
                <w:rFonts w:cs="Arial"/>
                <w:b/>
              </w:rPr>
              <w:t>Forum</w:t>
            </w:r>
          </w:p>
        </w:tc>
        <w:tc>
          <w:tcPr>
            <w:tcW w:w="6152" w:type="dxa"/>
            <w:tcBorders>
              <w:top w:val="single" w:sz="4" w:space="0" w:color="auto"/>
              <w:left w:val="single" w:sz="4" w:space="0" w:color="auto"/>
              <w:bottom w:val="single" w:sz="4" w:space="0" w:color="auto"/>
              <w:right w:val="single" w:sz="4" w:space="0" w:color="auto"/>
            </w:tcBorders>
            <w:shd w:val="clear" w:color="auto" w:fill="auto"/>
            <w:hideMark/>
          </w:tcPr>
          <w:p w14:paraId="1962EBD8" w14:textId="77777777" w:rsidR="00B074CC" w:rsidRPr="001A1836" w:rsidRDefault="00B074CC" w:rsidP="00626054">
            <w:pPr>
              <w:rPr>
                <w:rFonts w:cs="Arial"/>
                <w:b/>
              </w:rPr>
            </w:pPr>
            <w:r w:rsidRPr="001A1836">
              <w:rPr>
                <w:rFonts w:cs="Arial"/>
                <w:b/>
              </w:rPr>
              <w:t>Executive Review Board</w:t>
            </w:r>
          </w:p>
        </w:tc>
      </w:tr>
      <w:tr w:rsidR="00B074CC" w:rsidRPr="001A1836" w14:paraId="419508CE" w14:textId="77777777" w:rsidTr="00626054">
        <w:trPr>
          <w:cantSplit/>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78FD2607" w14:textId="77777777" w:rsidR="00B074CC" w:rsidRPr="001A1836" w:rsidRDefault="00B074CC" w:rsidP="00626054">
            <w:pPr>
              <w:rPr>
                <w:rFonts w:cs="Arial"/>
              </w:rPr>
            </w:pPr>
            <w:r w:rsidRPr="001A1836">
              <w:rPr>
                <w:rFonts w:cs="Arial"/>
              </w:rPr>
              <w:t>Performance governance tier</w:t>
            </w:r>
          </w:p>
        </w:tc>
        <w:tc>
          <w:tcPr>
            <w:tcW w:w="6152" w:type="dxa"/>
            <w:tcBorders>
              <w:top w:val="single" w:sz="4" w:space="0" w:color="auto"/>
              <w:left w:val="single" w:sz="4" w:space="0" w:color="auto"/>
              <w:bottom w:val="single" w:sz="4" w:space="0" w:color="auto"/>
              <w:right w:val="single" w:sz="4" w:space="0" w:color="auto"/>
            </w:tcBorders>
            <w:shd w:val="clear" w:color="auto" w:fill="auto"/>
            <w:hideMark/>
          </w:tcPr>
          <w:p w14:paraId="22A8D235" w14:textId="77777777" w:rsidR="00B074CC" w:rsidRPr="001A1836" w:rsidRDefault="00B074CC" w:rsidP="00626054">
            <w:pPr>
              <w:rPr>
                <w:rFonts w:cs="Arial"/>
              </w:rPr>
            </w:pPr>
            <w:r w:rsidRPr="001A1836">
              <w:rPr>
                <w:rFonts w:cs="Arial"/>
              </w:rPr>
              <w:t>Tier 4</w:t>
            </w:r>
          </w:p>
        </w:tc>
      </w:tr>
      <w:tr w:rsidR="00B074CC" w:rsidRPr="001A1836" w14:paraId="7C7603D0" w14:textId="77777777" w:rsidTr="00626054">
        <w:trPr>
          <w:cantSplit/>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0D7FA09A" w14:textId="77777777" w:rsidR="00B074CC" w:rsidRPr="001A1836" w:rsidRDefault="00B074CC" w:rsidP="00626054">
            <w:pPr>
              <w:rPr>
                <w:rFonts w:cs="Arial"/>
              </w:rPr>
            </w:pPr>
            <w:r w:rsidRPr="001A1836">
              <w:rPr>
                <w:rFonts w:cs="Arial"/>
              </w:rPr>
              <w:t>HSE attendees</w:t>
            </w:r>
          </w:p>
        </w:tc>
        <w:tc>
          <w:tcPr>
            <w:tcW w:w="6152" w:type="dxa"/>
            <w:tcBorders>
              <w:top w:val="single" w:sz="4" w:space="0" w:color="auto"/>
              <w:left w:val="single" w:sz="4" w:space="0" w:color="auto"/>
              <w:bottom w:val="single" w:sz="4" w:space="0" w:color="auto"/>
              <w:right w:val="single" w:sz="4" w:space="0" w:color="auto"/>
            </w:tcBorders>
            <w:shd w:val="clear" w:color="auto" w:fill="auto"/>
            <w:hideMark/>
          </w:tcPr>
          <w:p w14:paraId="7440FEA5" w14:textId="77777777" w:rsidR="00B074CC" w:rsidRPr="001A1836" w:rsidRDefault="00B074CC" w:rsidP="00626054">
            <w:pPr>
              <w:rPr>
                <w:rFonts w:cs="Arial"/>
              </w:rPr>
            </w:pPr>
            <w:r w:rsidRPr="001A1836">
              <w:rPr>
                <w:rFonts w:cs="Arial"/>
              </w:rPr>
              <w:t>HSE Head of Unit</w:t>
            </w:r>
          </w:p>
        </w:tc>
      </w:tr>
      <w:tr w:rsidR="00B074CC" w:rsidRPr="001A1836" w14:paraId="70B55E20" w14:textId="77777777" w:rsidTr="00626054">
        <w:trPr>
          <w:cantSplit/>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567D36C6" w14:textId="77777777" w:rsidR="00B074CC" w:rsidRPr="001A1836" w:rsidRDefault="00B074CC" w:rsidP="00626054">
            <w:pPr>
              <w:rPr>
                <w:rFonts w:cs="Arial"/>
              </w:rPr>
            </w:pPr>
            <w:r w:rsidRPr="001A1836">
              <w:rPr>
                <w:rFonts w:cs="Arial"/>
              </w:rPr>
              <w:t>Service Provider attendees</w:t>
            </w:r>
          </w:p>
        </w:tc>
        <w:tc>
          <w:tcPr>
            <w:tcW w:w="6152" w:type="dxa"/>
            <w:tcBorders>
              <w:top w:val="single" w:sz="4" w:space="0" w:color="auto"/>
              <w:left w:val="single" w:sz="4" w:space="0" w:color="auto"/>
              <w:bottom w:val="single" w:sz="4" w:space="0" w:color="auto"/>
              <w:right w:val="single" w:sz="4" w:space="0" w:color="auto"/>
            </w:tcBorders>
            <w:shd w:val="clear" w:color="auto" w:fill="auto"/>
            <w:hideMark/>
          </w:tcPr>
          <w:p w14:paraId="1CAB3FA5" w14:textId="54D1DAF8" w:rsidR="00B074CC" w:rsidRPr="001A1836" w:rsidRDefault="00491BC3" w:rsidP="00626054">
            <w:pPr>
              <w:rPr>
                <w:rFonts w:cs="Arial"/>
              </w:rPr>
            </w:pPr>
            <w:r>
              <w:rPr>
                <w:rFonts w:cs="Arial"/>
              </w:rPr>
              <w:t>Client Partner &amp; Managing Director</w:t>
            </w:r>
          </w:p>
        </w:tc>
      </w:tr>
      <w:tr w:rsidR="00B074CC" w:rsidRPr="001A1836" w14:paraId="0DD94158" w14:textId="77777777" w:rsidTr="00626054">
        <w:trPr>
          <w:cantSplit/>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78E8F2E0" w14:textId="77777777" w:rsidR="00B074CC" w:rsidRPr="001A1836" w:rsidRDefault="00B074CC" w:rsidP="00626054">
            <w:pPr>
              <w:rPr>
                <w:rFonts w:cs="Arial"/>
              </w:rPr>
            </w:pPr>
            <w:r w:rsidRPr="001A1836">
              <w:rPr>
                <w:rFonts w:cs="Arial"/>
              </w:rPr>
              <w:t>Responsibilities and functions</w:t>
            </w:r>
          </w:p>
        </w:tc>
        <w:tc>
          <w:tcPr>
            <w:tcW w:w="6152" w:type="dxa"/>
            <w:tcBorders>
              <w:top w:val="single" w:sz="4" w:space="0" w:color="auto"/>
              <w:left w:val="single" w:sz="4" w:space="0" w:color="auto"/>
              <w:bottom w:val="single" w:sz="4" w:space="0" w:color="auto"/>
              <w:right w:val="single" w:sz="4" w:space="0" w:color="auto"/>
            </w:tcBorders>
            <w:shd w:val="clear" w:color="auto" w:fill="auto"/>
            <w:hideMark/>
          </w:tcPr>
          <w:p w14:paraId="1BBA61F4" w14:textId="77777777" w:rsidR="00B074CC" w:rsidRPr="001A1836" w:rsidRDefault="00B074CC" w:rsidP="00626054">
            <w:pPr>
              <w:rPr>
                <w:rFonts w:cs="Arial"/>
              </w:rPr>
            </w:pPr>
            <w:r w:rsidRPr="001A1836">
              <w:rPr>
                <w:rFonts w:cs="Arial"/>
              </w:rPr>
              <w:t>Address issues escalated from Tier 3 Contract Review or Tier 3 Transition Governance and mutually agree a strategy to address the issues.</w:t>
            </w:r>
          </w:p>
          <w:p w14:paraId="584C9ABE" w14:textId="77777777" w:rsidR="00B074CC" w:rsidRPr="001A1836" w:rsidRDefault="00B074CC" w:rsidP="00626054">
            <w:pPr>
              <w:rPr>
                <w:rFonts w:cs="Arial"/>
              </w:rPr>
            </w:pPr>
            <w:r w:rsidRPr="001A1836">
              <w:rPr>
                <w:rFonts w:cs="Arial"/>
              </w:rPr>
              <w:t>P</w:t>
            </w:r>
            <w:r w:rsidRPr="001A1836">
              <w:t xml:space="preserve">rovide direction to the Transition Governance Board and the Contract Review Board on strategic issues and priorities. </w:t>
            </w:r>
          </w:p>
        </w:tc>
      </w:tr>
      <w:tr w:rsidR="00B074CC" w:rsidRPr="001A1836" w14:paraId="5C5C8263" w14:textId="77777777" w:rsidTr="00626054">
        <w:trPr>
          <w:cantSplit/>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62AC8A09" w14:textId="77777777" w:rsidR="00B074CC" w:rsidRPr="001A1836" w:rsidRDefault="00B074CC" w:rsidP="00626054">
            <w:pPr>
              <w:rPr>
                <w:rFonts w:cs="Arial"/>
              </w:rPr>
            </w:pPr>
            <w:r w:rsidRPr="001A1836">
              <w:rPr>
                <w:rFonts w:cs="Arial"/>
              </w:rPr>
              <w:t>Frequency</w:t>
            </w:r>
          </w:p>
        </w:tc>
        <w:tc>
          <w:tcPr>
            <w:tcW w:w="6152" w:type="dxa"/>
            <w:tcBorders>
              <w:top w:val="single" w:sz="4" w:space="0" w:color="auto"/>
              <w:left w:val="single" w:sz="4" w:space="0" w:color="auto"/>
              <w:bottom w:val="single" w:sz="4" w:space="0" w:color="auto"/>
              <w:right w:val="single" w:sz="4" w:space="0" w:color="auto"/>
            </w:tcBorders>
            <w:shd w:val="clear" w:color="auto" w:fill="auto"/>
            <w:hideMark/>
          </w:tcPr>
          <w:p w14:paraId="10385689" w14:textId="77777777" w:rsidR="00B074CC" w:rsidRPr="001A1836" w:rsidRDefault="00B074CC" w:rsidP="00626054">
            <w:pPr>
              <w:rPr>
                <w:rFonts w:cs="Arial"/>
              </w:rPr>
            </w:pPr>
            <w:r w:rsidRPr="001A1836">
              <w:rPr>
                <w:rFonts w:cs="Arial"/>
              </w:rPr>
              <w:t>When required</w:t>
            </w:r>
          </w:p>
        </w:tc>
      </w:tr>
      <w:tr w:rsidR="00B074CC" w:rsidRPr="001A1836" w14:paraId="58000A91" w14:textId="77777777" w:rsidTr="00626054">
        <w:trPr>
          <w:cantSplit/>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6402E7C7" w14:textId="77777777" w:rsidR="00B074CC" w:rsidRPr="001A1836" w:rsidRDefault="00B074CC" w:rsidP="00626054">
            <w:pPr>
              <w:rPr>
                <w:rFonts w:cs="Arial"/>
              </w:rPr>
            </w:pPr>
            <w:r w:rsidRPr="001A1836">
              <w:rPr>
                <w:rFonts w:cs="Arial"/>
              </w:rPr>
              <w:t>Escalation point</w:t>
            </w:r>
          </w:p>
        </w:tc>
        <w:tc>
          <w:tcPr>
            <w:tcW w:w="6152" w:type="dxa"/>
            <w:tcBorders>
              <w:top w:val="single" w:sz="4" w:space="0" w:color="auto"/>
              <w:left w:val="single" w:sz="4" w:space="0" w:color="auto"/>
              <w:bottom w:val="single" w:sz="4" w:space="0" w:color="auto"/>
              <w:right w:val="single" w:sz="4" w:space="0" w:color="auto"/>
            </w:tcBorders>
            <w:shd w:val="clear" w:color="auto" w:fill="auto"/>
            <w:hideMark/>
          </w:tcPr>
          <w:p w14:paraId="5E82B8FF" w14:textId="77777777" w:rsidR="00B074CC" w:rsidRPr="001A1836" w:rsidRDefault="00B074CC" w:rsidP="00626054">
            <w:pPr>
              <w:rPr>
                <w:rFonts w:cs="Arial"/>
              </w:rPr>
            </w:pPr>
            <w:r w:rsidRPr="001A1836">
              <w:rPr>
                <w:rFonts w:cs="Arial"/>
              </w:rPr>
              <w:t>-</w:t>
            </w:r>
          </w:p>
        </w:tc>
      </w:tr>
    </w:tbl>
    <w:p w14:paraId="14A24727" w14:textId="77777777" w:rsidR="00B074CC" w:rsidRPr="001A1836" w:rsidRDefault="00B074CC" w:rsidP="00626054"/>
    <w:p w14:paraId="30905AEA" w14:textId="77777777" w:rsidR="00B074CC" w:rsidRPr="001A1836" w:rsidRDefault="00B074CC">
      <w:pPr>
        <w:pStyle w:val="GSRL4numberedclause"/>
      </w:pPr>
      <w:r w:rsidRPr="001A1836">
        <w:t xml:space="preserve">HSE and the Provider may escalate any issues not resolved at Tier 3 to the Executive Review Board. </w:t>
      </w:r>
    </w:p>
    <w:p w14:paraId="2CFCA23E" w14:textId="77777777" w:rsidR="00B074CC" w:rsidRPr="001A1836" w:rsidRDefault="00B074CC">
      <w:pPr>
        <w:pStyle w:val="GSRL3heading"/>
      </w:pPr>
      <w:bookmarkStart w:id="2412" w:name="_Toc521327123"/>
      <w:bookmarkStart w:id="2413" w:name="_Toc521333356"/>
      <w:bookmarkStart w:id="2414" w:name="_Toc521484087"/>
      <w:bookmarkStart w:id="2415" w:name="_Toc521484850"/>
      <w:bookmarkStart w:id="2416" w:name="_Toc521485181"/>
      <w:bookmarkStart w:id="2417" w:name="_Toc521496918"/>
      <w:bookmarkStart w:id="2418" w:name="_Toc521498360"/>
      <w:bookmarkStart w:id="2419" w:name="_Toc529346060"/>
      <w:bookmarkStart w:id="2420" w:name="_Toc129038271"/>
      <w:bookmarkStart w:id="2421" w:name="_Toc129038557"/>
      <w:bookmarkStart w:id="2422" w:name="_Toc132268131"/>
      <w:bookmarkStart w:id="2423" w:name="_Toc132268437"/>
      <w:bookmarkStart w:id="2424" w:name="_Toc136198687"/>
      <w:bookmarkStart w:id="2425" w:name="_Toc136198968"/>
      <w:r w:rsidRPr="001A1836">
        <w:t>Marketing Review</w:t>
      </w:r>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r w:rsidRPr="001A1836">
        <w:t xml:space="preserve"> </w:t>
      </w:r>
    </w:p>
    <w:p w14:paraId="72E8F931" w14:textId="67335486" w:rsidR="00B074CC" w:rsidRPr="001A1836" w:rsidRDefault="00B074CC" w:rsidP="00626054">
      <w:r w:rsidRPr="001A1836">
        <w:rPr>
          <w:b/>
        </w:rPr>
        <w:t>Table 8</w:t>
      </w:r>
      <w:r w:rsidRPr="001A1836">
        <w:t xml:space="preserve"> Tier 1 Marketing Review </w:t>
      </w:r>
    </w:p>
    <w:p w14:paraId="373E8AA5" w14:textId="77777777" w:rsidR="00FC6D84" w:rsidRPr="001A1836" w:rsidRDefault="00FC6D84" w:rsidP="00626054">
      <w:pPr>
        <w:rPr>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152"/>
      </w:tblGrid>
      <w:tr w:rsidR="00B074CC" w:rsidRPr="001A1836" w14:paraId="3A8B1D5F" w14:textId="77777777" w:rsidTr="00626054">
        <w:trPr>
          <w:cantSplit/>
          <w:tblHeader/>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6EACB061" w14:textId="77777777" w:rsidR="00B074CC" w:rsidRPr="001A1836" w:rsidRDefault="00B074CC" w:rsidP="00626054">
            <w:pPr>
              <w:rPr>
                <w:rFonts w:cs="Arial"/>
                <w:b/>
              </w:rPr>
            </w:pPr>
            <w:r w:rsidRPr="001A1836">
              <w:rPr>
                <w:rFonts w:cs="Arial"/>
                <w:b/>
              </w:rPr>
              <w:t>Forum</w:t>
            </w:r>
          </w:p>
        </w:tc>
        <w:tc>
          <w:tcPr>
            <w:tcW w:w="6152" w:type="dxa"/>
            <w:tcBorders>
              <w:top w:val="single" w:sz="4" w:space="0" w:color="auto"/>
              <w:left w:val="single" w:sz="4" w:space="0" w:color="auto"/>
              <w:bottom w:val="single" w:sz="4" w:space="0" w:color="auto"/>
              <w:right w:val="single" w:sz="4" w:space="0" w:color="auto"/>
            </w:tcBorders>
            <w:shd w:val="clear" w:color="auto" w:fill="auto"/>
            <w:hideMark/>
          </w:tcPr>
          <w:p w14:paraId="71F76283" w14:textId="77777777" w:rsidR="00B074CC" w:rsidRPr="001A1836" w:rsidRDefault="00B074CC" w:rsidP="00626054">
            <w:pPr>
              <w:rPr>
                <w:rFonts w:cs="Arial"/>
                <w:b/>
              </w:rPr>
            </w:pPr>
            <w:r w:rsidRPr="001A1836">
              <w:rPr>
                <w:rFonts w:cs="Arial"/>
                <w:b/>
              </w:rPr>
              <w:t>Marketing Review Team</w:t>
            </w:r>
          </w:p>
        </w:tc>
      </w:tr>
      <w:tr w:rsidR="00B074CC" w:rsidRPr="001A1836" w14:paraId="412C3622" w14:textId="77777777" w:rsidTr="00626054">
        <w:trPr>
          <w:cantSplit/>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05F2A101" w14:textId="77777777" w:rsidR="00B074CC" w:rsidRPr="001A1836" w:rsidRDefault="00B074CC" w:rsidP="00626054">
            <w:pPr>
              <w:rPr>
                <w:rFonts w:cs="Arial"/>
              </w:rPr>
            </w:pPr>
            <w:r w:rsidRPr="001A1836">
              <w:rPr>
                <w:rFonts w:cs="Arial"/>
              </w:rPr>
              <w:t>Performance governance tier</w:t>
            </w:r>
          </w:p>
        </w:tc>
        <w:tc>
          <w:tcPr>
            <w:tcW w:w="6152" w:type="dxa"/>
            <w:tcBorders>
              <w:top w:val="single" w:sz="4" w:space="0" w:color="auto"/>
              <w:left w:val="single" w:sz="4" w:space="0" w:color="auto"/>
              <w:bottom w:val="single" w:sz="4" w:space="0" w:color="auto"/>
              <w:right w:val="single" w:sz="4" w:space="0" w:color="auto"/>
            </w:tcBorders>
            <w:shd w:val="clear" w:color="auto" w:fill="auto"/>
            <w:hideMark/>
          </w:tcPr>
          <w:p w14:paraId="48174E86" w14:textId="77777777" w:rsidR="00B074CC" w:rsidRPr="001A1836" w:rsidRDefault="00B074CC" w:rsidP="00626054">
            <w:pPr>
              <w:rPr>
                <w:rFonts w:cs="Arial"/>
              </w:rPr>
            </w:pPr>
            <w:r w:rsidRPr="001A1836">
              <w:rPr>
                <w:rFonts w:cs="Arial"/>
              </w:rPr>
              <w:t>Tier 1</w:t>
            </w:r>
          </w:p>
        </w:tc>
      </w:tr>
      <w:tr w:rsidR="00B074CC" w:rsidRPr="001A1836" w14:paraId="77883B6E" w14:textId="77777777" w:rsidTr="00626054">
        <w:trPr>
          <w:cantSplit/>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58258CD1" w14:textId="77777777" w:rsidR="00B074CC" w:rsidRPr="001A1836" w:rsidRDefault="00B074CC" w:rsidP="00626054">
            <w:pPr>
              <w:rPr>
                <w:rFonts w:cs="Arial"/>
              </w:rPr>
            </w:pPr>
            <w:r w:rsidRPr="001A1836">
              <w:rPr>
                <w:rFonts w:cs="Arial"/>
              </w:rPr>
              <w:t>HSE attendees</w:t>
            </w:r>
          </w:p>
        </w:tc>
        <w:tc>
          <w:tcPr>
            <w:tcW w:w="6152" w:type="dxa"/>
            <w:tcBorders>
              <w:top w:val="single" w:sz="4" w:space="0" w:color="auto"/>
              <w:left w:val="single" w:sz="4" w:space="0" w:color="auto"/>
              <w:bottom w:val="single" w:sz="4" w:space="0" w:color="auto"/>
              <w:right w:val="single" w:sz="4" w:space="0" w:color="auto"/>
            </w:tcBorders>
            <w:shd w:val="clear" w:color="auto" w:fill="auto"/>
            <w:hideMark/>
          </w:tcPr>
          <w:p w14:paraId="33981F4B" w14:textId="77777777" w:rsidR="00B074CC" w:rsidRPr="001A1836" w:rsidRDefault="00B074CC" w:rsidP="00626054">
            <w:pPr>
              <w:rPr>
                <w:rFonts w:cs="Arial"/>
                <w:noProof/>
              </w:rPr>
            </w:pPr>
            <w:r w:rsidRPr="001A1836">
              <w:rPr>
                <w:rFonts w:cs="Arial"/>
                <w:noProof/>
              </w:rPr>
              <w:t>Contract Manager (or deputy)</w:t>
            </w:r>
          </w:p>
          <w:p w14:paraId="6DF55344" w14:textId="77777777" w:rsidR="00B074CC" w:rsidRPr="001A1836" w:rsidRDefault="00B074CC" w:rsidP="00626054">
            <w:pPr>
              <w:rPr>
                <w:rFonts w:cs="Arial"/>
                <w:noProof/>
              </w:rPr>
            </w:pPr>
            <w:r w:rsidRPr="001A1836">
              <w:rPr>
                <w:rFonts w:cs="Arial"/>
                <w:noProof/>
              </w:rPr>
              <w:t xml:space="preserve">HSE Communications representative(s) </w:t>
            </w:r>
          </w:p>
        </w:tc>
      </w:tr>
      <w:tr w:rsidR="00B074CC" w:rsidRPr="001A1836" w14:paraId="60F58DE9" w14:textId="77777777" w:rsidTr="00626054">
        <w:trPr>
          <w:cantSplit/>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405CE22C" w14:textId="77777777" w:rsidR="00B074CC" w:rsidRPr="001A1836" w:rsidRDefault="00B074CC" w:rsidP="00626054">
            <w:pPr>
              <w:rPr>
                <w:rFonts w:cs="Arial"/>
              </w:rPr>
            </w:pPr>
            <w:r w:rsidRPr="001A1836">
              <w:rPr>
                <w:rFonts w:cs="Arial"/>
              </w:rPr>
              <w:lastRenderedPageBreak/>
              <w:t>Service Provider attendees</w:t>
            </w:r>
          </w:p>
        </w:tc>
        <w:tc>
          <w:tcPr>
            <w:tcW w:w="6152" w:type="dxa"/>
            <w:tcBorders>
              <w:top w:val="single" w:sz="4" w:space="0" w:color="auto"/>
              <w:left w:val="single" w:sz="4" w:space="0" w:color="auto"/>
              <w:bottom w:val="single" w:sz="4" w:space="0" w:color="auto"/>
              <w:right w:val="single" w:sz="4" w:space="0" w:color="auto"/>
            </w:tcBorders>
            <w:shd w:val="clear" w:color="auto" w:fill="auto"/>
            <w:hideMark/>
          </w:tcPr>
          <w:p w14:paraId="465D8B86" w14:textId="6BD0ADDD" w:rsidR="00B074CC" w:rsidRPr="001A1836" w:rsidRDefault="00491BC3" w:rsidP="00626054">
            <w:pPr>
              <w:rPr>
                <w:rFonts w:cs="Arial"/>
                <w:noProof/>
              </w:rPr>
            </w:pPr>
            <w:r>
              <w:rPr>
                <w:rFonts w:cs="Arial"/>
                <w:noProof/>
              </w:rPr>
              <w:t>Business &amp; Improvement Director</w:t>
            </w:r>
          </w:p>
          <w:p w14:paraId="1E0EF4A1" w14:textId="6EE21970" w:rsidR="002D15F8" w:rsidRPr="001A1836" w:rsidRDefault="002D15F8" w:rsidP="00626054">
            <w:pPr>
              <w:rPr>
                <w:rFonts w:cs="Arial"/>
                <w:noProof/>
              </w:rPr>
            </w:pPr>
            <w:r>
              <w:rPr>
                <w:rFonts w:cs="Arial"/>
                <w:noProof/>
              </w:rPr>
              <w:t>Unlimited Marketing &amp; Brand Director</w:t>
            </w:r>
          </w:p>
          <w:p w14:paraId="0DBE6FD8" w14:textId="77777777" w:rsidR="00B074CC" w:rsidRPr="001A1836" w:rsidRDefault="00B074CC" w:rsidP="00626054">
            <w:pPr>
              <w:rPr>
                <w:rFonts w:cs="Arial"/>
                <w:noProof/>
              </w:rPr>
            </w:pPr>
            <w:r w:rsidRPr="001A1836">
              <w:rPr>
                <w:rFonts w:cs="Arial"/>
                <w:noProof/>
              </w:rPr>
              <w:t>Member(s) of marketing team (as required)</w:t>
            </w:r>
          </w:p>
          <w:p w14:paraId="5DD574FA" w14:textId="77777777" w:rsidR="00B074CC" w:rsidRPr="001A1836" w:rsidRDefault="00B074CC" w:rsidP="00626054">
            <w:pPr>
              <w:rPr>
                <w:rFonts w:cs="Arial"/>
                <w:noProof/>
              </w:rPr>
            </w:pPr>
            <w:r w:rsidRPr="001A1836">
              <w:rPr>
                <w:rFonts w:cs="Arial"/>
                <w:noProof/>
              </w:rPr>
              <w:t>Provider marketing agency representative(s) (as required)</w:t>
            </w:r>
          </w:p>
        </w:tc>
      </w:tr>
      <w:tr w:rsidR="00B074CC" w:rsidRPr="001A1836" w14:paraId="60B2B0CD" w14:textId="77777777" w:rsidTr="00626054">
        <w:trPr>
          <w:cantSplit/>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4751FD7C" w14:textId="77777777" w:rsidR="00B074CC" w:rsidRPr="001A1836" w:rsidRDefault="00B074CC" w:rsidP="00626054">
            <w:pPr>
              <w:rPr>
                <w:rFonts w:cs="Arial"/>
              </w:rPr>
            </w:pPr>
            <w:r w:rsidRPr="001A1836">
              <w:rPr>
                <w:rFonts w:cs="Arial"/>
              </w:rPr>
              <w:t>Responsibilities and functions</w:t>
            </w:r>
          </w:p>
        </w:tc>
        <w:tc>
          <w:tcPr>
            <w:tcW w:w="6152" w:type="dxa"/>
            <w:tcBorders>
              <w:top w:val="single" w:sz="4" w:space="0" w:color="auto"/>
              <w:left w:val="single" w:sz="4" w:space="0" w:color="auto"/>
              <w:bottom w:val="single" w:sz="4" w:space="0" w:color="auto"/>
              <w:right w:val="single" w:sz="4" w:space="0" w:color="auto"/>
            </w:tcBorders>
            <w:shd w:val="clear" w:color="auto" w:fill="auto"/>
            <w:hideMark/>
          </w:tcPr>
          <w:p w14:paraId="2F764FB8" w14:textId="77777777" w:rsidR="00B074CC" w:rsidRPr="001A1836" w:rsidRDefault="00B074CC">
            <w:pPr>
              <w:numPr>
                <w:ilvl w:val="0"/>
                <w:numId w:val="40"/>
              </w:numPr>
              <w:rPr>
                <w:rFonts w:cs="Arial"/>
              </w:rPr>
            </w:pPr>
            <w:r w:rsidRPr="001A1836">
              <w:rPr>
                <w:rFonts w:cs="Arial"/>
              </w:rPr>
              <w:t>Provider to provide to HSE high-level budget proposals and campaign plans</w:t>
            </w:r>
          </w:p>
          <w:p w14:paraId="68DD1F3B" w14:textId="77777777" w:rsidR="00B074CC" w:rsidRPr="001A1836" w:rsidRDefault="00B074CC">
            <w:pPr>
              <w:numPr>
                <w:ilvl w:val="0"/>
                <w:numId w:val="40"/>
              </w:numPr>
              <w:rPr>
                <w:rFonts w:cs="Arial"/>
              </w:rPr>
            </w:pPr>
            <w:r w:rsidRPr="001A1836">
              <w:rPr>
                <w:rFonts w:cs="Arial"/>
              </w:rPr>
              <w:t>Provide assurance to HSE that funds will be appropriately spent and that campaigns will achieve value for money</w:t>
            </w:r>
          </w:p>
          <w:p w14:paraId="06040F07" w14:textId="77777777" w:rsidR="00B074CC" w:rsidRPr="001A1836" w:rsidRDefault="00B074CC">
            <w:pPr>
              <w:numPr>
                <w:ilvl w:val="0"/>
                <w:numId w:val="40"/>
              </w:numPr>
              <w:rPr>
                <w:rFonts w:cs="Arial"/>
              </w:rPr>
            </w:pPr>
            <w:r w:rsidRPr="001A1836">
              <w:rPr>
                <w:rFonts w:cs="Arial"/>
              </w:rPr>
              <w:t>Provider to present results of any campaign &amp; evaluation activity</w:t>
            </w:r>
          </w:p>
          <w:p w14:paraId="64C124EE" w14:textId="77777777" w:rsidR="00B074CC" w:rsidRPr="001A1836" w:rsidRDefault="00B074CC">
            <w:pPr>
              <w:numPr>
                <w:ilvl w:val="0"/>
                <w:numId w:val="40"/>
              </w:numPr>
              <w:rPr>
                <w:rFonts w:cs="Arial"/>
              </w:rPr>
            </w:pPr>
            <w:r w:rsidRPr="001A1836">
              <w:rPr>
                <w:rFonts w:cs="Arial"/>
              </w:rPr>
              <w:t>Identify issues for escalation to Tier 2</w:t>
            </w:r>
          </w:p>
        </w:tc>
      </w:tr>
      <w:tr w:rsidR="00B074CC" w:rsidRPr="001A1836" w14:paraId="1A97CF69" w14:textId="77777777" w:rsidTr="00626054">
        <w:trPr>
          <w:cantSplit/>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4235895B" w14:textId="77777777" w:rsidR="00B074CC" w:rsidRPr="001A1836" w:rsidRDefault="00B074CC" w:rsidP="00626054">
            <w:pPr>
              <w:rPr>
                <w:rFonts w:cs="Arial"/>
              </w:rPr>
            </w:pPr>
            <w:r w:rsidRPr="001A1836">
              <w:rPr>
                <w:rFonts w:cs="Arial"/>
              </w:rPr>
              <w:t>Frequency</w:t>
            </w:r>
          </w:p>
        </w:tc>
        <w:tc>
          <w:tcPr>
            <w:tcW w:w="6152" w:type="dxa"/>
            <w:tcBorders>
              <w:top w:val="single" w:sz="4" w:space="0" w:color="auto"/>
              <w:left w:val="single" w:sz="4" w:space="0" w:color="auto"/>
              <w:bottom w:val="single" w:sz="4" w:space="0" w:color="auto"/>
              <w:right w:val="single" w:sz="4" w:space="0" w:color="auto"/>
            </w:tcBorders>
            <w:shd w:val="clear" w:color="auto" w:fill="auto"/>
            <w:hideMark/>
          </w:tcPr>
          <w:p w14:paraId="1AE33C95" w14:textId="77777777" w:rsidR="00B074CC" w:rsidRPr="001A1836" w:rsidRDefault="00B074CC" w:rsidP="00626054">
            <w:pPr>
              <w:rPr>
                <w:rFonts w:cs="Arial"/>
              </w:rPr>
            </w:pPr>
            <w:r w:rsidRPr="001A1836">
              <w:rPr>
                <w:rFonts w:cs="Arial"/>
              </w:rPr>
              <w:t>Quarterly face-to-face or video conference meetings</w:t>
            </w:r>
          </w:p>
        </w:tc>
      </w:tr>
      <w:tr w:rsidR="00B074CC" w:rsidRPr="001A1836" w14:paraId="6C84EA45" w14:textId="77777777" w:rsidTr="00626054">
        <w:trPr>
          <w:cantSplit/>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4CFCBA39" w14:textId="77777777" w:rsidR="00B074CC" w:rsidRPr="001A1836" w:rsidRDefault="00B074CC" w:rsidP="00626054">
            <w:pPr>
              <w:rPr>
                <w:rFonts w:cs="Arial"/>
              </w:rPr>
            </w:pPr>
            <w:r w:rsidRPr="001A1836">
              <w:rPr>
                <w:rFonts w:cs="Arial"/>
              </w:rPr>
              <w:t>Escalation point</w:t>
            </w:r>
          </w:p>
        </w:tc>
        <w:tc>
          <w:tcPr>
            <w:tcW w:w="6152" w:type="dxa"/>
            <w:tcBorders>
              <w:top w:val="single" w:sz="4" w:space="0" w:color="auto"/>
              <w:left w:val="single" w:sz="4" w:space="0" w:color="auto"/>
              <w:bottom w:val="single" w:sz="4" w:space="0" w:color="auto"/>
              <w:right w:val="single" w:sz="4" w:space="0" w:color="auto"/>
            </w:tcBorders>
            <w:shd w:val="clear" w:color="auto" w:fill="auto"/>
            <w:hideMark/>
          </w:tcPr>
          <w:p w14:paraId="1680F6B3" w14:textId="77777777" w:rsidR="00B074CC" w:rsidRPr="001A1836" w:rsidRDefault="00B074CC" w:rsidP="00626054">
            <w:pPr>
              <w:rPr>
                <w:rFonts w:cs="Arial"/>
              </w:rPr>
            </w:pPr>
            <w:r w:rsidRPr="001A1836">
              <w:rPr>
                <w:rFonts w:cs="Arial"/>
              </w:rPr>
              <w:t xml:space="preserve">Tier 2 </w:t>
            </w:r>
          </w:p>
        </w:tc>
      </w:tr>
    </w:tbl>
    <w:p w14:paraId="421C5094" w14:textId="77777777" w:rsidR="00B074CC" w:rsidRPr="001A1836" w:rsidRDefault="00B074CC" w:rsidP="00626054">
      <w:pPr>
        <w:rPr>
          <w:rFonts w:eastAsia="Trebuchet MS"/>
        </w:rPr>
      </w:pPr>
    </w:p>
    <w:p w14:paraId="534C0CD0" w14:textId="77777777" w:rsidR="00B074CC" w:rsidRPr="001A1836" w:rsidRDefault="00B074CC">
      <w:pPr>
        <w:pStyle w:val="GSRL4numberedclause"/>
      </w:pPr>
      <w:r w:rsidRPr="001A1836">
        <w:t>HSE and the Provider will attend quarterly meetings to review marketing plans and activity. The meetings will (unless agreed otherwise):</w:t>
      </w:r>
    </w:p>
    <w:p w14:paraId="2794799B" w14:textId="5690566D" w:rsidR="00B074CC" w:rsidRPr="001A1836" w:rsidRDefault="00B074CC">
      <w:pPr>
        <w:pStyle w:val="GSRL5numberedclause"/>
      </w:pPr>
      <w:r w:rsidRPr="001A1836">
        <w:rPr>
          <w:rFonts w:eastAsia="Trebuchet MS"/>
        </w:rPr>
        <w:t xml:space="preserve">take place within </w:t>
      </w:r>
      <w:r w:rsidR="000C1F5C" w:rsidRPr="001A1836">
        <w:rPr>
          <w:rFonts w:eastAsia="Trebuchet MS"/>
        </w:rPr>
        <w:t>fifteen (</w:t>
      </w:r>
      <w:r w:rsidRPr="001A1836">
        <w:rPr>
          <w:rFonts w:eastAsia="Trebuchet MS"/>
        </w:rPr>
        <w:t>15</w:t>
      </w:r>
      <w:r w:rsidR="000C1F5C" w:rsidRPr="001A1836">
        <w:rPr>
          <w:rFonts w:eastAsia="Trebuchet MS"/>
        </w:rPr>
        <w:t>)</w:t>
      </w:r>
      <w:r w:rsidRPr="001A1836">
        <w:rPr>
          <w:rFonts w:eastAsia="Trebuchet MS"/>
        </w:rPr>
        <w:t xml:space="preserve"> Working Days of the end of each quarter of a Contract Year;</w:t>
      </w:r>
    </w:p>
    <w:p w14:paraId="0609F452" w14:textId="77777777" w:rsidR="00B074CC" w:rsidRPr="001A1836" w:rsidRDefault="00B074CC">
      <w:pPr>
        <w:pStyle w:val="GSRL5numberedclause"/>
      </w:pPr>
      <w:r w:rsidRPr="001A1836">
        <w:rPr>
          <w:rFonts w:eastAsia="Trebuchet MS"/>
        </w:rPr>
        <w:t>be chaired by the Provider head of marketing;</w:t>
      </w:r>
    </w:p>
    <w:p w14:paraId="46EEAC6E" w14:textId="77777777" w:rsidR="00B074CC" w:rsidRPr="001A1836" w:rsidRDefault="00B074CC">
      <w:pPr>
        <w:pStyle w:val="GSRL5numberedclause"/>
      </w:pPr>
      <w:r w:rsidRPr="001A1836">
        <w:rPr>
          <w:rFonts w:eastAsia="Trebuchet MS"/>
        </w:rPr>
        <w:t>take place at a mutually agreed location within normal business hours;</w:t>
      </w:r>
    </w:p>
    <w:p w14:paraId="4D59CC1B" w14:textId="2C8A0D3A" w:rsidR="00B074CC" w:rsidRPr="001A1836" w:rsidRDefault="00B074CC">
      <w:pPr>
        <w:pStyle w:val="GSRL5numberedclause"/>
      </w:pPr>
      <w:r w:rsidRPr="001A1836">
        <w:rPr>
          <w:rFonts w:eastAsia="Trebuchet MS"/>
        </w:rPr>
        <w:t xml:space="preserve">be attended by the representatives detailed in Table </w:t>
      </w:r>
      <w:r w:rsidR="002D15F8">
        <w:rPr>
          <w:rFonts w:eastAsia="Trebuchet MS"/>
        </w:rPr>
        <w:t>8</w:t>
      </w:r>
      <w:r w:rsidRPr="001A1836">
        <w:rPr>
          <w:rFonts w:eastAsia="Trebuchet MS"/>
        </w:rPr>
        <w:t xml:space="preserve"> of this Schedule; and </w:t>
      </w:r>
    </w:p>
    <w:p w14:paraId="08F800FA" w14:textId="77777777" w:rsidR="00B074CC" w:rsidRPr="001A1836" w:rsidRDefault="00B074CC">
      <w:pPr>
        <w:pStyle w:val="GSRL5numberedclause"/>
      </w:pPr>
      <w:r w:rsidRPr="001A1836">
        <w:rPr>
          <w:rFonts w:eastAsia="Trebuchet MS"/>
        </w:rPr>
        <w:t>follow an agreed agenda, be fully minuted with Provider providing the full secretariat function which will include as a minimum organising the meeting, including location, and issuing the meeting invitations.</w:t>
      </w:r>
    </w:p>
    <w:bookmarkEnd w:id="2158"/>
    <w:p w14:paraId="2D4A3024" w14:textId="77777777" w:rsidR="00B074CC" w:rsidRPr="001A1836" w:rsidRDefault="00B074CC" w:rsidP="00CA27F1">
      <w:pPr>
        <w:rPr>
          <w:rFonts w:eastAsia="Calibri"/>
        </w:rPr>
      </w:pPr>
    </w:p>
    <w:p w14:paraId="1225AD32" w14:textId="77777777" w:rsidR="00B074CC" w:rsidRPr="001A1836" w:rsidRDefault="00B074CC" w:rsidP="009064B4"/>
    <w:p w14:paraId="2F94C958" w14:textId="1DB871B5" w:rsidR="00B074CC" w:rsidRPr="001A1836" w:rsidRDefault="00B074CC" w:rsidP="009064B4"/>
    <w:p w14:paraId="59E78290" w14:textId="77777777" w:rsidR="00B074CC" w:rsidRPr="001A1836" w:rsidRDefault="00B074CC" w:rsidP="009064B4"/>
    <w:p w14:paraId="2188B2B8" w14:textId="77777777" w:rsidR="00B074CC" w:rsidRPr="001A1836" w:rsidRDefault="00B074CC" w:rsidP="009064B4"/>
    <w:p w14:paraId="143CFF9C" w14:textId="77777777" w:rsidR="00B074CC" w:rsidRPr="001A1836" w:rsidRDefault="00B074CC" w:rsidP="009064B4"/>
    <w:p w14:paraId="05B788D4" w14:textId="77777777" w:rsidR="00394111" w:rsidRPr="001A1836" w:rsidRDefault="00394111" w:rsidP="009064B4">
      <w:pPr>
        <w:pStyle w:val="GSRL1Scheduleheader"/>
        <w:sectPr w:rsidR="00394111" w:rsidRPr="001A1836" w:rsidSect="00F87B8D">
          <w:footerReference w:type="default" r:id="rId31"/>
          <w:pgSz w:w="11900" w:h="16840"/>
          <w:pgMar w:top="1134" w:right="1440" w:bottom="1440" w:left="1440" w:header="1077" w:footer="833" w:gutter="0"/>
          <w:cols w:space="708"/>
        </w:sectPr>
      </w:pPr>
    </w:p>
    <w:p w14:paraId="0326B115" w14:textId="05C22FFC" w:rsidR="00B074CC" w:rsidRPr="001A1836" w:rsidRDefault="00B074CC" w:rsidP="009064B4">
      <w:pPr>
        <w:pStyle w:val="GSRL1Scheduleheader"/>
      </w:pPr>
      <w:bookmarkStart w:id="2426" w:name="_Toc129038272"/>
      <w:bookmarkStart w:id="2427" w:name="_Toc129038558"/>
      <w:bookmarkStart w:id="2428" w:name="_Toc132268132"/>
      <w:bookmarkStart w:id="2429" w:name="_Toc132268438"/>
      <w:bookmarkStart w:id="2430" w:name="_Toc136198688"/>
      <w:bookmarkStart w:id="2431" w:name="_Toc136198969"/>
      <w:bookmarkStart w:id="2432" w:name="_Toc188885257"/>
      <w:r w:rsidRPr="001A1836">
        <w:lastRenderedPageBreak/>
        <w:t xml:space="preserve">SCHEDULE 11: </w:t>
      </w:r>
      <w:r w:rsidR="004C2FF4" w:rsidRPr="001A1836">
        <w:t>Management Information</w:t>
      </w:r>
      <w:r w:rsidRPr="001A1836">
        <w:t xml:space="preserve">, </w:t>
      </w:r>
      <w:r w:rsidR="004C2FF4" w:rsidRPr="001A1836">
        <w:t>Reporting and Records</w:t>
      </w:r>
      <w:bookmarkEnd w:id="2426"/>
      <w:bookmarkEnd w:id="2427"/>
      <w:bookmarkEnd w:id="2428"/>
      <w:bookmarkEnd w:id="2429"/>
      <w:bookmarkEnd w:id="2430"/>
      <w:bookmarkEnd w:id="2431"/>
      <w:bookmarkEnd w:id="2432"/>
    </w:p>
    <w:p w14:paraId="7E6428F3" w14:textId="77777777" w:rsidR="00B074CC" w:rsidRPr="001A1836" w:rsidRDefault="00B074CC" w:rsidP="009064B4"/>
    <w:p w14:paraId="38F15200" w14:textId="5270DE77" w:rsidR="00B074CC" w:rsidRPr="001A1836" w:rsidRDefault="00B074CC" w:rsidP="00626054"/>
    <w:p w14:paraId="64E167CA" w14:textId="77777777" w:rsidR="00B074CC" w:rsidRPr="001A1836" w:rsidRDefault="00B074CC" w:rsidP="004E2262">
      <w:pPr>
        <w:pStyle w:val="GSRL3heading"/>
        <w:numPr>
          <w:ilvl w:val="0"/>
          <w:numId w:val="71"/>
        </w:numPr>
      </w:pPr>
      <w:r w:rsidRPr="001A1836">
        <w:br w:type="page"/>
      </w:r>
      <w:bookmarkStart w:id="2433" w:name="_Toc508870628"/>
      <w:bookmarkStart w:id="2434" w:name="_Toc521327125"/>
      <w:bookmarkStart w:id="2435" w:name="_Toc521333358"/>
      <w:bookmarkStart w:id="2436" w:name="_Toc521484089"/>
      <w:bookmarkStart w:id="2437" w:name="_Toc521484852"/>
      <w:bookmarkStart w:id="2438" w:name="_Toc521485183"/>
      <w:bookmarkStart w:id="2439" w:name="_Toc521496920"/>
      <w:bookmarkStart w:id="2440" w:name="_Toc521498362"/>
      <w:bookmarkStart w:id="2441" w:name="_Toc529346061"/>
      <w:bookmarkStart w:id="2442" w:name="_Toc129038274"/>
      <w:bookmarkStart w:id="2443" w:name="_Toc129038560"/>
      <w:bookmarkStart w:id="2444" w:name="_Toc132268134"/>
      <w:bookmarkStart w:id="2445" w:name="_Toc132268440"/>
      <w:bookmarkStart w:id="2446" w:name="_Toc136198690"/>
      <w:bookmarkStart w:id="2447" w:name="_Toc136198971"/>
      <w:bookmarkStart w:id="2448" w:name="Schedule11"/>
      <w:r w:rsidRPr="001A1836">
        <w:lastRenderedPageBreak/>
        <w:t>Introduction</w:t>
      </w:r>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p>
    <w:p w14:paraId="36579696" w14:textId="77777777" w:rsidR="00B074CC" w:rsidRPr="001A1836" w:rsidRDefault="00B074CC">
      <w:pPr>
        <w:pStyle w:val="GSRL4numberedclause"/>
      </w:pPr>
      <w:r w:rsidRPr="001A1836">
        <w:t xml:space="preserve">The purpose of this Schedule 11 is to set out the provisions and requirements relating to: </w:t>
      </w:r>
    </w:p>
    <w:p w14:paraId="5938C90A" w14:textId="77777777" w:rsidR="00B074CC" w:rsidRPr="001A1836" w:rsidRDefault="00B074CC">
      <w:pPr>
        <w:pStyle w:val="GSRL5numberedclause"/>
      </w:pPr>
      <w:r w:rsidRPr="001A1836">
        <w:t>Management Information; and</w:t>
      </w:r>
    </w:p>
    <w:p w14:paraId="72856896" w14:textId="77777777" w:rsidR="00B074CC" w:rsidRPr="001A1836" w:rsidRDefault="00B074CC">
      <w:pPr>
        <w:pStyle w:val="GSRL5numberedclause"/>
      </w:pPr>
      <w:r w:rsidRPr="001A1836">
        <w:t>the detail and nature of reporting.</w:t>
      </w:r>
    </w:p>
    <w:p w14:paraId="030A282D" w14:textId="77777777" w:rsidR="00B074CC" w:rsidRPr="001A1836" w:rsidRDefault="00B074CC">
      <w:pPr>
        <w:pStyle w:val="GSRL3heading"/>
      </w:pPr>
      <w:bookmarkStart w:id="2449" w:name="_Toc508870629"/>
      <w:bookmarkStart w:id="2450" w:name="_Toc521327126"/>
      <w:bookmarkStart w:id="2451" w:name="_Toc521333359"/>
      <w:bookmarkStart w:id="2452" w:name="_Toc521484090"/>
      <w:bookmarkStart w:id="2453" w:name="_Toc521484853"/>
      <w:bookmarkStart w:id="2454" w:name="_Toc521485184"/>
      <w:bookmarkStart w:id="2455" w:name="_Toc521496921"/>
      <w:bookmarkStart w:id="2456" w:name="_Toc521498363"/>
      <w:bookmarkStart w:id="2457" w:name="_Toc529346062"/>
      <w:bookmarkStart w:id="2458" w:name="_Toc129038275"/>
      <w:bookmarkStart w:id="2459" w:name="_Toc129038561"/>
      <w:bookmarkStart w:id="2460" w:name="_Toc132268135"/>
      <w:bookmarkStart w:id="2461" w:name="_Toc132268441"/>
      <w:bookmarkStart w:id="2462" w:name="_Toc136198691"/>
      <w:bookmarkStart w:id="2463" w:name="_Toc136198972"/>
      <w:r w:rsidRPr="001A1836">
        <w:t>Management Information</w:t>
      </w:r>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p>
    <w:p w14:paraId="37B3E631" w14:textId="77777777" w:rsidR="00B074CC" w:rsidRPr="001A1836" w:rsidRDefault="00B074CC">
      <w:pPr>
        <w:pStyle w:val="GSRL4numberedclause"/>
      </w:pPr>
      <w:r w:rsidRPr="001A1836">
        <w:t>General Requirements</w:t>
      </w:r>
    </w:p>
    <w:p w14:paraId="0B92C737" w14:textId="77777777" w:rsidR="00B074CC" w:rsidRPr="001A1836" w:rsidRDefault="00B074CC">
      <w:pPr>
        <w:pStyle w:val="GSRL5numberedclause"/>
      </w:pPr>
      <w:r w:rsidRPr="001A1836">
        <w:t>The Provider shall operate and maintain appropriate systems, processes and records (the “Management Information System” or “MIS”) to ensure that it can, at all times, deliver timely and accurate Management Information to HSE in accordance with the provisions of this Schedule 11.</w:t>
      </w:r>
    </w:p>
    <w:p w14:paraId="18F13232" w14:textId="77777777" w:rsidR="00B074CC" w:rsidRPr="001A1836" w:rsidRDefault="00B074CC">
      <w:pPr>
        <w:pStyle w:val="GSRL5numberedclause"/>
      </w:pPr>
      <w:r w:rsidRPr="001A1836">
        <w:t>The Provider shall grant HSE access to the MIS so that HSE may generate its own reports and view Management Information at any time.</w:t>
      </w:r>
    </w:p>
    <w:p w14:paraId="781F57E4" w14:textId="77777777" w:rsidR="00B074CC" w:rsidRPr="001A1836" w:rsidRDefault="00B074CC">
      <w:pPr>
        <w:pStyle w:val="GSRL4numberedclause"/>
      </w:pPr>
      <w:r w:rsidRPr="001A1836">
        <w:t>Management Information and Format</w:t>
      </w:r>
    </w:p>
    <w:p w14:paraId="657BBAB7" w14:textId="77777777" w:rsidR="00B074CC" w:rsidRPr="001A1836" w:rsidRDefault="00B074CC">
      <w:pPr>
        <w:pStyle w:val="GSRL5numberedclause"/>
      </w:pPr>
      <w:r w:rsidRPr="001A1836">
        <w:t>The Provider agrees to provide timely, full, accurate and complete MI Reports to HSE which incorporates the data, in the correct format, required by the MI Reporting Template. The initial MI Reporting Template is set out in Annex 1 to this Schedule 11.</w:t>
      </w:r>
    </w:p>
    <w:p w14:paraId="56B6E61B" w14:textId="77777777" w:rsidR="00B074CC" w:rsidRPr="001A1836" w:rsidRDefault="00B074CC">
      <w:pPr>
        <w:pStyle w:val="GSRL5numberedclause"/>
      </w:pPr>
      <w:r w:rsidRPr="001A1836">
        <w:t xml:space="preserve">HSE may from time to time make changes to the MI Reporting Template including to the data required or format of the report and issue a replacement version of the MI Reporting Template to the Provider.  HSE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14:paraId="41A67BAA" w14:textId="77777777" w:rsidR="00B074CC" w:rsidRPr="001A1836" w:rsidRDefault="00B074CC">
      <w:pPr>
        <w:pStyle w:val="GSRL5numberedclause"/>
      </w:pPr>
      <w:r w:rsidRPr="001A1836">
        <w:t xml:space="preserve">If the MI Reporting Template is amended by HSE at any time, then the Provider agrees to provide all future MI Reports in accordance with the most recent MI Reporting Template issued by HSE.  </w:t>
      </w:r>
    </w:p>
    <w:p w14:paraId="2AE30B24" w14:textId="77777777" w:rsidR="00B074CC" w:rsidRPr="001A1836" w:rsidRDefault="00B074CC">
      <w:pPr>
        <w:pStyle w:val="GSRL5numberedclause"/>
      </w:pPr>
      <w:r w:rsidRPr="001A1836">
        <w:t xml:space="preserve">HSE may provide the Provider with supplemental guidance for completing the MI Reporting Template or submitting MI Reports from time to time which may for example indicate which fields are mandatory and which are optional. The Provider agrees to complete the Monthly MI Report in accordance with any such guidance.  </w:t>
      </w:r>
    </w:p>
    <w:p w14:paraId="632F2A82" w14:textId="77777777" w:rsidR="00B074CC" w:rsidRPr="001A1836" w:rsidRDefault="00B074CC">
      <w:pPr>
        <w:pStyle w:val="GSRL5numberedclause"/>
      </w:pPr>
      <w:r w:rsidRPr="001A1836">
        <w:t>The Provider may not make any amendment to the current MI Reporting Template without the prior Approval of HSE.</w:t>
      </w:r>
    </w:p>
    <w:p w14:paraId="237EB38A" w14:textId="77777777" w:rsidR="00B074CC" w:rsidRPr="001A1836" w:rsidRDefault="00B074CC">
      <w:pPr>
        <w:pStyle w:val="GSRL5numberedclause"/>
      </w:pPr>
      <w:r w:rsidRPr="001A1836">
        <w:t>HSE shall have the right from time to time (on reasonable written notice) to amend the nature of the Management Information which the Provider is required to supply to HSE.</w:t>
      </w:r>
    </w:p>
    <w:p w14:paraId="4EBA87B4" w14:textId="77777777" w:rsidR="00B074CC" w:rsidRPr="001A1836" w:rsidRDefault="00B074CC">
      <w:pPr>
        <w:pStyle w:val="GSRL4numberedclause"/>
      </w:pPr>
      <w:r w:rsidRPr="001A1836">
        <w:t>Frequency and Coverage</w:t>
      </w:r>
    </w:p>
    <w:p w14:paraId="64F4E4AC" w14:textId="77777777" w:rsidR="00B074CC" w:rsidRPr="001A1836" w:rsidRDefault="00B074CC">
      <w:pPr>
        <w:pStyle w:val="GSRL5numberedclause"/>
      </w:pPr>
      <w:r w:rsidRPr="001A1836">
        <w:t xml:space="preserve">All MI Reports must be completed by the Provider using the MI Reporting Template and returned to HSE on or prior to the MI Reporting Date every Month during the Term and thereafter, until all transactions relating to the Concession Services have permanently ceased. </w:t>
      </w:r>
    </w:p>
    <w:p w14:paraId="21F583FC" w14:textId="77777777" w:rsidR="00B074CC" w:rsidRPr="001A1836" w:rsidRDefault="00B074CC">
      <w:pPr>
        <w:pStyle w:val="GSRL5numberedclause"/>
      </w:pPr>
      <w:r w:rsidRPr="001A1836">
        <w:t xml:space="preserve">The MI Report should be used (among other things) to report on transactions occurring during the Month to which the MI Report relates, regardless of when </w:t>
      </w:r>
      <w:r w:rsidRPr="001A1836">
        <w:lastRenderedPageBreak/>
        <w:t xml:space="preserve">the work was actually completed.  For example, if an invoice is raised for October but the work was actually completed in September, the Provider must report the invoice in October's MI Report and not September's.  </w:t>
      </w:r>
    </w:p>
    <w:p w14:paraId="62D52ACB" w14:textId="77777777" w:rsidR="00B074CC" w:rsidRPr="001A1836" w:rsidRDefault="00B074CC">
      <w:pPr>
        <w:pStyle w:val="GSRL5numberedclause"/>
      </w:pPr>
      <w:r w:rsidRPr="001A1836">
        <w:t xml:space="preserve">The Provider must return the MI Report for each Month even where there are no transactions to report in the relevant Month (a </w:t>
      </w:r>
      <w:r w:rsidRPr="001A1836">
        <w:rPr>
          <w:b/>
        </w:rPr>
        <w:t>"Nil Return"</w:t>
      </w:r>
      <w:r w:rsidRPr="001A1836">
        <w:t>).</w:t>
      </w:r>
    </w:p>
    <w:p w14:paraId="26D79C31" w14:textId="77777777" w:rsidR="00B074CC" w:rsidRPr="001A1836" w:rsidRDefault="00B074CC">
      <w:pPr>
        <w:pStyle w:val="GSRL5numberedclause"/>
      </w:pPr>
      <w:r w:rsidRPr="001A1836">
        <w:t>The Provider must inform HSE of any errors or corrections to the Management Information:</w:t>
      </w:r>
    </w:p>
    <w:p w14:paraId="388FD39A" w14:textId="77777777" w:rsidR="00B074CC" w:rsidRPr="001A1836" w:rsidRDefault="00B074CC">
      <w:pPr>
        <w:pStyle w:val="GSRL5numberedclause"/>
      </w:pPr>
      <w:r w:rsidRPr="001A1836">
        <w:t xml:space="preserve">in the next MI Report due immediately following discovery of the error by the Provider; or </w:t>
      </w:r>
    </w:p>
    <w:p w14:paraId="00B57F95" w14:textId="77777777" w:rsidR="00B074CC" w:rsidRPr="001A1836" w:rsidRDefault="00B074CC">
      <w:pPr>
        <w:pStyle w:val="GSRL5numberedclause"/>
      </w:pPr>
      <w:r w:rsidRPr="001A1836">
        <w:t>as a result of HSE querying any data contained in an MI Report.</w:t>
      </w:r>
    </w:p>
    <w:p w14:paraId="4DEC394A" w14:textId="77777777" w:rsidR="00B074CC" w:rsidRPr="001A1836" w:rsidRDefault="00B074CC">
      <w:pPr>
        <w:pStyle w:val="GSRL4numberedclause"/>
      </w:pPr>
      <w:r w:rsidRPr="001A1836">
        <w:t>Submission of the Monthly MI Report</w:t>
      </w:r>
      <w:bookmarkStart w:id="2464" w:name="_Ref365983722"/>
    </w:p>
    <w:p w14:paraId="7A5EB4A1" w14:textId="77777777" w:rsidR="00B074CC" w:rsidRPr="001A1836" w:rsidRDefault="00B074CC">
      <w:pPr>
        <w:pStyle w:val="GSRL5numberedclause"/>
      </w:pPr>
      <w:r w:rsidRPr="001A1836">
        <w:t>The completed MI Report shall be completed electronically and made available on the MIS.</w:t>
      </w:r>
      <w:bookmarkEnd w:id="2464"/>
    </w:p>
    <w:p w14:paraId="1E448D9C" w14:textId="47EEA3E6" w:rsidR="00B074CC" w:rsidRPr="001A1836" w:rsidRDefault="00B074CC">
      <w:pPr>
        <w:pStyle w:val="GSRL5numberedclause"/>
      </w:pPr>
      <w:r w:rsidRPr="001A1836">
        <w:t xml:space="preserve">HSE reserves the right (acting reasonably) to specify that the MI Report be submitted by the Provider using an alternative communication to that specified in paragraph </w:t>
      </w:r>
      <w:r w:rsidRPr="001A1836">
        <w:fldChar w:fldCharType="begin"/>
      </w:r>
      <w:r w:rsidRPr="001A1836">
        <w:instrText xml:space="preserve"> REF _Ref365983722 \r \h  \* MERGEFORMAT </w:instrText>
      </w:r>
      <w:r w:rsidRPr="001A1836">
        <w:fldChar w:fldCharType="separate"/>
      </w:r>
      <w:r w:rsidR="00C87D85">
        <w:t>2.4</w:t>
      </w:r>
      <w:r w:rsidRPr="001A1836">
        <w:fldChar w:fldCharType="end"/>
      </w:r>
      <w:r w:rsidRPr="001A1836">
        <w:t xml:space="preserve"> above such as email.  The Provider agrees to comply with any such instructions provided they do not materially increase the burden on the Provider.</w:t>
      </w:r>
    </w:p>
    <w:p w14:paraId="46F95CBC" w14:textId="77777777" w:rsidR="00B074CC" w:rsidRPr="001A1836" w:rsidRDefault="00B074CC">
      <w:pPr>
        <w:pStyle w:val="GSRL4numberedclause"/>
      </w:pPr>
      <w:bookmarkStart w:id="2465" w:name="_Ref505780331"/>
      <w:r w:rsidRPr="001A1836">
        <w:t>Defective Management Information</w:t>
      </w:r>
      <w:bookmarkEnd w:id="2465"/>
    </w:p>
    <w:p w14:paraId="67676193" w14:textId="77777777" w:rsidR="00B074CC" w:rsidRPr="001A1836" w:rsidRDefault="00B074CC">
      <w:pPr>
        <w:pStyle w:val="GSRL5numberedclause"/>
      </w:pPr>
      <w:r w:rsidRPr="001A1836">
        <w:t xml:space="preserve">The Provider acknowledges that it is essential that HSE receives timely and accurate Management Information pursuant to this Agreement because Management Information is used by HSE to inform strategic decision making. </w:t>
      </w:r>
    </w:p>
    <w:p w14:paraId="041736F9" w14:textId="77777777" w:rsidR="00B074CC" w:rsidRPr="001A1836" w:rsidRDefault="00B074CC">
      <w:pPr>
        <w:pStyle w:val="GSRL5numberedclause"/>
      </w:pPr>
      <w:r w:rsidRPr="001A1836">
        <w:t>Following an MI Failure HSE may issue reminders to the Provider or require the Provider to rectify defects in the MI Report provided to HSE.  The Provider shall rectify any deficient or incomplete MI Report as soon as possible and not more than five (5) Working Days following receipt of any such reminder.</w:t>
      </w:r>
    </w:p>
    <w:p w14:paraId="09A49785" w14:textId="77777777" w:rsidR="00B074CC" w:rsidRPr="001A1836" w:rsidRDefault="00B074CC" w:rsidP="004E2739">
      <w:pPr>
        <w:pStyle w:val="GSRL5numberedclause"/>
        <w:numPr>
          <w:ilvl w:val="0"/>
          <w:numId w:val="0"/>
        </w:numPr>
        <w:ind w:left="720"/>
        <w:rPr>
          <w:b/>
        </w:rPr>
      </w:pPr>
      <w:r w:rsidRPr="001A1836">
        <w:rPr>
          <w:b/>
        </w:rPr>
        <w:t>Meetings</w:t>
      </w:r>
    </w:p>
    <w:p w14:paraId="0A55917A" w14:textId="2B32A23D" w:rsidR="00B074CC" w:rsidRPr="001A1836" w:rsidRDefault="00B074CC">
      <w:pPr>
        <w:pStyle w:val="GSRL5numberedclause"/>
      </w:pPr>
      <w:r w:rsidRPr="001A1836">
        <w:t>The Provider agrees to attend meetings between the Parties in person to discuss the circumstances of any MI Failure(s) at the request of HSE (without prejudice to any other rights HSE may have).  If HSE requests such a meeting the Provider shall propose measures to ensure that the MI Failures are rectified and do not occur in the future. The Parties shall document these measures and continue to monitor the Provider's performance.</w:t>
      </w:r>
    </w:p>
    <w:p w14:paraId="0FBAA5BA" w14:textId="77777777" w:rsidR="00B074CC" w:rsidRPr="001A1836" w:rsidRDefault="00B074CC" w:rsidP="004E2739">
      <w:pPr>
        <w:pStyle w:val="GSRL5numberedclause"/>
        <w:numPr>
          <w:ilvl w:val="0"/>
          <w:numId w:val="0"/>
        </w:numPr>
        <w:ind w:left="720"/>
        <w:rPr>
          <w:b/>
        </w:rPr>
      </w:pPr>
      <w:r w:rsidRPr="001A1836">
        <w:rPr>
          <w:b/>
        </w:rPr>
        <w:t>Admin Fees</w:t>
      </w:r>
      <w:bookmarkStart w:id="2466" w:name="_Ref365984073"/>
    </w:p>
    <w:p w14:paraId="06749116" w14:textId="6BA327D6" w:rsidR="00B074CC" w:rsidRPr="001A1836" w:rsidRDefault="00B074CC">
      <w:pPr>
        <w:pStyle w:val="GSRL5numberedclause"/>
      </w:pPr>
      <w:r w:rsidRPr="001A1836">
        <w:t>If, in any rolling three (3) Month period, two (2) or more MI Failures occur, the Provider acknowledges and agrees that HSE shall, subject to paragraph</w:t>
      </w:r>
      <w:r w:rsidR="005B00B4">
        <w:t xml:space="preserve"> 2.5.5</w:t>
      </w:r>
      <w:r w:rsidRPr="001A1836">
        <w:t>, have the right to receive the Admin Fees from the Provider’s Gain Share Fund in respect of any MI Failures as they arise in subsequent Months.</w:t>
      </w:r>
      <w:bookmarkStart w:id="2467" w:name="_Ref365984059"/>
      <w:bookmarkEnd w:id="2466"/>
    </w:p>
    <w:p w14:paraId="40EEBB87" w14:textId="409AC1A0" w:rsidR="00B074CC" w:rsidRPr="001A1836" w:rsidRDefault="00B074CC">
      <w:pPr>
        <w:pStyle w:val="GSRL5numberedclause"/>
      </w:pPr>
      <w:r w:rsidRPr="001A1836">
        <w:t xml:space="preserve">If, following activation of HSE’s right to charge Admin Fee(s) in respect of MI Failures pursuant to </w:t>
      </w:r>
      <w:r w:rsidR="00946357">
        <w:t>paragraph 2.5.4</w:t>
      </w:r>
      <w:r w:rsidRPr="001A1836">
        <w:t xml:space="preserve">, the Provider submits the Monthly MI Report for two (2) consecutive Months and no MI Failure occurs then the right to charge the Admin Fee(s) shall lapse.  For the avoidance of doubt HSE shall not be prevented from exercising such right again during the Term if the conditions in paragraph </w:t>
      </w:r>
      <w:r w:rsidR="00946357">
        <w:t>2.5.4</w:t>
      </w:r>
      <w:r w:rsidRPr="001A1836">
        <w:t xml:space="preserve"> are met.</w:t>
      </w:r>
      <w:bookmarkEnd w:id="2467"/>
    </w:p>
    <w:p w14:paraId="219D0F46" w14:textId="77777777" w:rsidR="00B074CC" w:rsidRPr="001A1836" w:rsidRDefault="00B074CC">
      <w:pPr>
        <w:pStyle w:val="GSRL5numberedclause"/>
      </w:pPr>
      <w:r w:rsidRPr="001A1836">
        <w:t>The Provider acknowledges and agrees that the Admin Fees are a fair reflection of the additional costs incurred by HSE as a result of the Provider failing to supply Management Information as required by this Agreement.</w:t>
      </w:r>
    </w:p>
    <w:p w14:paraId="215FB31E" w14:textId="46E7BDC9" w:rsidR="00B074CC" w:rsidRPr="001A1836" w:rsidRDefault="00B074CC">
      <w:pPr>
        <w:pStyle w:val="GSRL5numberedclause"/>
      </w:pPr>
      <w:r w:rsidRPr="001A1836">
        <w:lastRenderedPageBreak/>
        <w:t xml:space="preserve">HSE shall notify the Provider if any Admin Fees arise pursuant to paragraph </w:t>
      </w:r>
      <w:r w:rsidR="00946357">
        <w:t>2.5.4</w:t>
      </w:r>
      <w:r w:rsidRPr="001A1836">
        <w:t xml:space="preserve"> above. Any exercise by HSE of its rights under this paragraph </w:t>
      </w:r>
      <w:r w:rsidRPr="001A1836">
        <w:fldChar w:fldCharType="begin"/>
      </w:r>
      <w:r w:rsidRPr="001A1836">
        <w:instrText xml:space="preserve"> REF _Ref505780331 \r \h </w:instrText>
      </w:r>
      <w:r w:rsidR="004E2739" w:rsidRPr="001A1836">
        <w:instrText xml:space="preserve"> \* MERGEFORMAT </w:instrText>
      </w:r>
      <w:r w:rsidRPr="001A1836">
        <w:fldChar w:fldCharType="separate"/>
      </w:r>
      <w:r w:rsidR="00C87D85">
        <w:t>2.5</w:t>
      </w:r>
      <w:r w:rsidRPr="001A1836">
        <w:fldChar w:fldCharType="end"/>
      </w:r>
      <w:r w:rsidRPr="001A1836">
        <w:t xml:space="preserve"> shall be without prejudice to any other rights that may arise pursuant to the terms of this Agreement.</w:t>
      </w:r>
    </w:p>
    <w:p w14:paraId="6F6752B3" w14:textId="77777777" w:rsidR="00B074CC" w:rsidRPr="001A1836" w:rsidRDefault="00B074CC">
      <w:pPr>
        <w:pStyle w:val="GSRL4numberedclause"/>
      </w:pPr>
      <w:r w:rsidRPr="001A1836">
        <w:t>Default Management Charge</w:t>
      </w:r>
    </w:p>
    <w:p w14:paraId="69DC7DD5" w14:textId="77777777" w:rsidR="00B074CC" w:rsidRPr="001A1836" w:rsidRDefault="00B074CC">
      <w:pPr>
        <w:pStyle w:val="GSRL5numberedclause"/>
      </w:pPr>
      <w:r w:rsidRPr="001A1836">
        <w:t>If:</w:t>
      </w:r>
    </w:p>
    <w:p w14:paraId="4AD4484B" w14:textId="77777777" w:rsidR="00B074CC" w:rsidRPr="001A1836" w:rsidRDefault="00B074CC">
      <w:pPr>
        <w:pStyle w:val="GSRL6numberedclause"/>
      </w:pPr>
      <w:r w:rsidRPr="001A1836">
        <w:t>Two (2) MI Failures occur in any rolling six (6) Month period; or</w:t>
      </w:r>
    </w:p>
    <w:p w14:paraId="4CE63F02" w14:textId="2E4A0818" w:rsidR="00B074CC" w:rsidRPr="001A1836" w:rsidRDefault="00B074CC">
      <w:pPr>
        <w:pStyle w:val="GSRL6numberedclause"/>
      </w:pPr>
      <w:r w:rsidRPr="001A1836">
        <w:t>Two (2) consecutive MI Failures occur,</w:t>
      </w:r>
    </w:p>
    <w:p w14:paraId="380C20CB" w14:textId="77777777" w:rsidR="00B074CC" w:rsidRPr="001A1836" w:rsidRDefault="00B074CC" w:rsidP="004E2739">
      <w:pPr>
        <w:pStyle w:val="GSRL6numberedclause"/>
        <w:numPr>
          <w:ilvl w:val="0"/>
          <w:numId w:val="0"/>
        </w:numPr>
        <w:ind w:left="1582"/>
      </w:pPr>
      <w:r w:rsidRPr="001A1836">
        <w:t>then a "</w:t>
      </w:r>
      <w:r w:rsidRPr="001A1836">
        <w:rPr>
          <w:b/>
        </w:rPr>
        <w:t>MI Default</w:t>
      </w:r>
      <w:r w:rsidRPr="001A1836">
        <w:t>" shall be deemed to have occurred.</w:t>
      </w:r>
    </w:p>
    <w:p w14:paraId="4452E942" w14:textId="77777777" w:rsidR="00B074CC" w:rsidRPr="001A1836" w:rsidRDefault="00B074CC">
      <w:pPr>
        <w:pStyle w:val="GSRL5numberedclause"/>
      </w:pPr>
      <w:r w:rsidRPr="001A1836">
        <w:t>If an MI Default occurs HSE shall (without prejudice to any other rights or remedies available to it under this Agreement) be entitled to deduct the Default Management Charge from the Provider’s Gain Share Fund for any Months in which the Default Management Charge is payable:</w:t>
      </w:r>
    </w:p>
    <w:p w14:paraId="3BCB56D4" w14:textId="77777777" w:rsidR="00B074CC" w:rsidRPr="001A1836" w:rsidRDefault="00B074CC">
      <w:pPr>
        <w:pStyle w:val="GSRL6numberedclause"/>
      </w:pPr>
      <w:r w:rsidRPr="001A1836">
        <w:t>in arrears for those Months in which an MI Failure occurred; and</w:t>
      </w:r>
    </w:p>
    <w:p w14:paraId="02CED24B" w14:textId="77777777" w:rsidR="00B074CC" w:rsidRPr="001A1836" w:rsidRDefault="00B074CC">
      <w:pPr>
        <w:pStyle w:val="GSRL6numberedclause"/>
      </w:pPr>
      <w:r w:rsidRPr="001A1836">
        <w:t>on an ongoing Monthly basis,</w:t>
      </w:r>
    </w:p>
    <w:p w14:paraId="53664177" w14:textId="77777777" w:rsidR="00B074CC" w:rsidRPr="001A1836" w:rsidRDefault="00B074CC" w:rsidP="00FC6D84">
      <w:pPr>
        <w:pStyle w:val="GSRL6numberedclause"/>
        <w:numPr>
          <w:ilvl w:val="0"/>
          <w:numId w:val="0"/>
        </w:numPr>
        <w:ind w:left="1582"/>
      </w:pPr>
      <w:r w:rsidRPr="001A1836">
        <w:t>until all and any MI Failures have been rectified to the reasonable satisfaction of HSE.</w:t>
      </w:r>
    </w:p>
    <w:p w14:paraId="14EA513F" w14:textId="77777777" w:rsidR="00B074CC" w:rsidRPr="001A1836" w:rsidRDefault="00B074CC">
      <w:pPr>
        <w:pStyle w:val="GSRL5numberedclause"/>
      </w:pPr>
      <w:r w:rsidRPr="001A1836">
        <w:t>Any MI Default Management Charge shall be calculated annually.</w:t>
      </w:r>
    </w:p>
    <w:p w14:paraId="7C3B8E49" w14:textId="77777777" w:rsidR="00B074CC" w:rsidRPr="001A1836" w:rsidRDefault="00B074CC">
      <w:pPr>
        <w:pStyle w:val="GSRL3heading"/>
      </w:pPr>
      <w:bookmarkStart w:id="2468" w:name="_Toc508870630"/>
      <w:bookmarkStart w:id="2469" w:name="_Toc521327127"/>
      <w:bookmarkStart w:id="2470" w:name="_Toc521333360"/>
      <w:bookmarkStart w:id="2471" w:name="_Toc521484091"/>
      <w:bookmarkStart w:id="2472" w:name="_Toc521484854"/>
      <w:bookmarkStart w:id="2473" w:name="_Toc521485185"/>
      <w:bookmarkStart w:id="2474" w:name="_Toc521496922"/>
      <w:bookmarkStart w:id="2475" w:name="_Toc521498364"/>
      <w:bookmarkStart w:id="2476" w:name="_Toc529346063"/>
      <w:bookmarkStart w:id="2477" w:name="_Toc129038276"/>
      <w:bookmarkStart w:id="2478" w:name="_Toc129038562"/>
      <w:bookmarkStart w:id="2479" w:name="_Toc132268136"/>
      <w:bookmarkStart w:id="2480" w:name="_Toc132268442"/>
      <w:bookmarkStart w:id="2481" w:name="_Toc136198692"/>
      <w:bookmarkStart w:id="2482" w:name="_Toc136198973"/>
      <w:r w:rsidRPr="001A1836">
        <w:t>Reporting</w:t>
      </w:r>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p>
    <w:p w14:paraId="13CE93C3" w14:textId="77777777" w:rsidR="00B074CC" w:rsidRPr="001A1836" w:rsidRDefault="00B074CC">
      <w:pPr>
        <w:pStyle w:val="GSRL4numberedclause"/>
      </w:pPr>
      <w:r w:rsidRPr="001A1836">
        <w:t>Monthly Service Report</w:t>
      </w:r>
    </w:p>
    <w:p w14:paraId="77076273" w14:textId="77777777" w:rsidR="00B074CC" w:rsidRPr="001A1836" w:rsidRDefault="00B074CC">
      <w:pPr>
        <w:pStyle w:val="GSRL5numberedclause"/>
      </w:pPr>
      <w:r w:rsidRPr="001A1836">
        <w:t>The Provider shall submit to HSE a Monthly Service Report on or prior to the Monthly Service Report Reporting Date every Month during the Term.</w:t>
      </w:r>
    </w:p>
    <w:p w14:paraId="7158C1F9" w14:textId="77777777" w:rsidR="00B074CC" w:rsidRPr="001A1836" w:rsidRDefault="00B074CC">
      <w:pPr>
        <w:pStyle w:val="GSRL5numberedclause"/>
      </w:pPr>
      <w:r w:rsidRPr="001A1836">
        <w:t>The Monthly Service Report shall include:</w:t>
      </w:r>
    </w:p>
    <w:p w14:paraId="75165262" w14:textId="77777777" w:rsidR="00B074CC" w:rsidRPr="001A1836" w:rsidRDefault="00B074CC">
      <w:pPr>
        <w:pStyle w:val="GSRL6numberedclause"/>
      </w:pPr>
      <w:r w:rsidRPr="001A1836">
        <w:t>a summary of key activities for each of the following business areas:</w:t>
      </w:r>
    </w:p>
    <w:p w14:paraId="74636D37" w14:textId="77777777" w:rsidR="00B074CC" w:rsidRPr="001A1836" w:rsidRDefault="00B074CC">
      <w:pPr>
        <w:pStyle w:val="GSRL7numberedclause"/>
      </w:pPr>
      <w:r w:rsidRPr="001A1836">
        <w:t>Field operations;</w:t>
      </w:r>
    </w:p>
    <w:p w14:paraId="2561BB50" w14:textId="77777777" w:rsidR="00B074CC" w:rsidRPr="001A1836" w:rsidRDefault="00B074CC">
      <w:pPr>
        <w:pStyle w:val="GSRL7numberedclause"/>
      </w:pPr>
      <w:r w:rsidRPr="001A1836">
        <w:t>Technical;</w:t>
      </w:r>
    </w:p>
    <w:p w14:paraId="315BA7EE" w14:textId="77777777" w:rsidR="00B074CC" w:rsidRPr="001A1836" w:rsidRDefault="00B074CC">
      <w:pPr>
        <w:pStyle w:val="GSRL7numberedclause"/>
      </w:pPr>
      <w:r w:rsidRPr="001A1836">
        <w:t>Contact centre;</w:t>
      </w:r>
    </w:p>
    <w:p w14:paraId="24463452" w14:textId="77777777" w:rsidR="00B074CC" w:rsidRPr="001A1836" w:rsidRDefault="00B074CC">
      <w:pPr>
        <w:pStyle w:val="GSRL7numberedclause"/>
      </w:pPr>
      <w:r w:rsidRPr="001A1836">
        <w:t>Marketing &amp; PR;</w:t>
      </w:r>
    </w:p>
    <w:p w14:paraId="345205FB" w14:textId="77777777" w:rsidR="00B074CC" w:rsidRPr="001A1836" w:rsidRDefault="00B074CC">
      <w:pPr>
        <w:pStyle w:val="GSRL7numberedclause"/>
      </w:pPr>
      <w:r w:rsidRPr="001A1836">
        <w:t>IT;</w:t>
      </w:r>
    </w:p>
    <w:p w14:paraId="49BC4001" w14:textId="77777777" w:rsidR="00B074CC" w:rsidRPr="001A1836" w:rsidRDefault="00B074CC">
      <w:pPr>
        <w:pStyle w:val="GSRL7numberedclause"/>
      </w:pPr>
      <w:r w:rsidRPr="001A1836">
        <w:t>Finance; and</w:t>
      </w:r>
    </w:p>
    <w:p w14:paraId="55F04DB0" w14:textId="77777777" w:rsidR="00B074CC" w:rsidRPr="001A1836" w:rsidRDefault="00B074CC">
      <w:pPr>
        <w:pStyle w:val="GSRL7numberedclause"/>
      </w:pPr>
      <w:r w:rsidRPr="001A1836">
        <w:t>Stakeholder engagement;</w:t>
      </w:r>
    </w:p>
    <w:p w14:paraId="7EE14548" w14:textId="77777777" w:rsidR="00B074CC" w:rsidRPr="001A1836" w:rsidRDefault="00B074CC">
      <w:pPr>
        <w:pStyle w:val="GSRL6numberedclause"/>
      </w:pPr>
      <w:r w:rsidRPr="001A1836">
        <w:t>service downtime for each of the following:</w:t>
      </w:r>
    </w:p>
    <w:p w14:paraId="232BCE06" w14:textId="77777777" w:rsidR="00B074CC" w:rsidRPr="001A1836" w:rsidRDefault="00B074CC">
      <w:pPr>
        <w:pStyle w:val="GSRL7numberedclause"/>
      </w:pPr>
      <w:r w:rsidRPr="001A1836">
        <w:t xml:space="preserve">Planned; </w:t>
      </w:r>
    </w:p>
    <w:p w14:paraId="628B8130" w14:textId="77777777" w:rsidR="00B074CC" w:rsidRPr="001A1836" w:rsidRDefault="00B074CC">
      <w:pPr>
        <w:pStyle w:val="GSRL7numberedclause"/>
      </w:pPr>
      <w:r w:rsidRPr="001A1836">
        <w:t>Unplanned; and</w:t>
      </w:r>
    </w:p>
    <w:p w14:paraId="1CE7F371" w14:textId="77777777" w:rsidR="00B074CC" w:rsidRPr="001A1836" w:rsidRDefault="00B074CC">
      <w:pPr>
        <w:pStyle w:val="GSRL7numberedclause"/>
      </w:pPr>
      <w:r w:rsidRPr="001A1836">
        <w:t>Forecast downtime for next reporting period;</w:t>
      </w:r>
    </w:p>
    <w:p w14:paraId="09730A33" w14:textId="77777777" w:rsidR="00B074CC" w:rsidRPr="001A1836" w:rsidRDefault="00B074CC">
      <w:pPr>
        <w:pStyle w:val="GSRL6numberedclause"/>
      </w:pPr>
      <w:r w:rsidRPr="001A1836">
        <w:t>incidents;</w:t>
      </w:r>
    </w:p>
    <w:p w14:paraId="1D5AF955" w14:textId="77777777" w:rsidR="00B074CC" w:rsidRPr="001A1836" w:rsidRDefault="00B074CC">
      <w:pPr>
        <w:pStyle w:val="GSRL6numberedclause"/>
      </w:pPr>
      <w:r w:rsidRPr="001A1836">
        <w:t>complaints against service;</w:t>
      </w:r>
    </w:p>
    <w:p w14:paraId="461BEB33" w14:textId="77777777" w:rsidR="00B074CC" w:rsidRPr="001A1836" w:rsidRDefault="00B074CC">
      <w:pPr>
        <w:pStyle w:val="GSRL6numberedclause"/>
      </w:pPr>
      <w:r w:rsidRPr="001A1836">
        <w:t>support to HSE, local authorities and other enforcement agencies;</w:t>
      </w:r>
    </w:p>
    <w:p w14:paraId="381ADBA5" w14:textId="77777777" w:rsidR="00B074CC" w:rsidRPr="001A1836" w:rsidRDefault="00B074CC">
      <w:pPr>
        <w:pStyle w:val="GSRL6numberedclause"/>
      </w:pPr>
      <w:r w:rsidRPr="001A1836">
        <w:lastRenderedPageBreak/>
        <w:t>change management for each of the following:</w:t>
      </w:r>
    </w:p>
    <w:p w14:paraId="796913CB" w14:textId="77777777" w:rsidR="00B074CC" w:rsidRPr="001A1836" w:rsidRDefault="00B074CC">
      <w:pPr>
        <w:pStyle w:val="GSRL7numberedclause"/>
      </w:pPr>
      <w:r w:rsidRPr="001A1836">
        <w:t>Change requests implemented; and</w:t>
      </w:r>
    </w:p>
    <w:p w14:paraId="4F293E31" w14:textId="77777777" w:rsidR="00B074CC" w:rsidRPr="001A1836" w:rsidRDefault="00B074CC">
      <w:pPr>
        <w:pStyle w:val="GSRL7numberedclause"/>
      </w:pPr>
      <w:r w:rsidRPr="001A1836">
        <w:t>Change requests under development;</w:t>
      </w:r>
    </w:p>
    <w:p w14:paraId="7C43C9EB" w14:textId="77777777" w:rsidR="00B074CC" w:rsidRPr="001A1836" w:rsidRDefault="00B074CC">
      <w:pPr>
        <w:pStyle w:val="GSRL6numberedclause"/>
      </w:pPr>
      <w:r w:rsidRPr="001A1836">
        <w:t>recovery &amp; improvement plans for each of the following:</w:t>
      </w:r>
    </w:p>
    <w:p w14:paraId="4FA640B2" w14:textId="77777777" w:rsidR="00B074CC" w:rsidRPr="001A1836" w:rsidRDefault="00B074CC">
      <w:pPr>
        <w:pStyle w:val="GSRL7numberedclause"/>
      </w:pPr>
      <w:r w:rsidRPr="001A1836">
        <w:t>Under development; and</w:t>
      </w:r>
    </w:p>
    <w:p w14:paraId="380CBE1D" w14:textId="77777777" w:rsidR="00B074CC" w:rsidRPr="001A1836" w:rsidRDefault="00B074CC">
      <w:pPr>
        <w:pStyle w:val="GSRL7numberedclause"/>
      </w:pPr>
      <w:r w:rsidRPr="001A1836">
        <w:t>In flight, with summary of progress to date;</w:t>
      </w:r>
    </w:p>
    <w:p w14:paraId="26DA5168" w14:textId="5B417D7E" w:rsidR="00B074CC" w:rsidRPr="001A1836" w:rsidRDefault="00B074CC">
      <w:pPr>
        <w:pStyle w:val="GSRL6numberedclause"/>
      </w:pPr>
      <w:r w:rsidRPr="001A1836">
        <w:t xml:space="preserve">a copy of the Risk Register; </w:t>
      </w:r>
    </w:p>
    <w:p w14:paraId="2071CD69" w14:textId="177D5354" w:rsidR="00B074CC" w:rsidRPr="001A1836" w:rsidRDefault="00B074CC">
      <w:pPr>
        <w:pStyle w:val="GSRL6numberedclause"/>
      </w:pPr>
      <w:r w:rsidRPr="001A1836">
        <w:t>an up to date list of the items listed in paragraph 2.1 of Schedule 12 (Exit Management), indicating any additions, removals or other changes; and</w:t>
      </w:r>
    </w:p>
    <w:p w14:paraId="48E20BB0" w14:textId="77777777" w:rsidR="00B074CC" w:rsidRPr="001A1836" w:rsidRDefault="00B074CC">
      <w:pPr>
        <w:pStyle w:val="GSRL6numberedclause"/>
      </w:pPr>
      <w:r w:rsidRPr="001A1836">
        <w:t>a summary of performance against Service Levels and Key Performance Indicators, with details of any Service Credits, KPI Failures, Admin Fees and/or Default Charges incurred.</w:t>
      </w:r>
    </w:p>
    <w:p w14:paraId="22E730E9" w14:textId="77777777" w:rsidR="00B074CC" w:rsidRPr="001A1836" w:rsidRDefault="00B074CC">
      <w:pPr>
        <w:pStyle w:val="GSRL4numberedclause"/>
      </w:pPr>
      <w:r w:rsidRPr="001A1836">
        <w:t>Annual Service Report</w:t>
      </w:r>
    </w:p>
    <w:p w14:paraId="1A4C298C" w14:textId="77777777" w:rsidR="00B074CC" w:rsidRPr="001A1836" w:rsidRDefault="00B074CC">
      <w:pPr>
        <w:pStyle w:val="GSRL5numberedclause"/>
      </w:pPr>
      <w:r w:rsidRPr="001A1836">
        <w:t xml:space="preserve">Within six (6) weeks of the end of each Contract Year the Provider shall submit to the Contract Review Board an Annual Service Report in a form and style to be agreed with HSE before the Services Start Date, and such report to include: </w:t>
      </w:r>
    </w:p>
    <w:p w14:paraId="76E29D99" w14:textId="77777777" w:rsidR="00B074CC" w:rsidRPr="001A1836" w:rsidRDefault="00B074CC">
      <w:pPr>
        <w:pStyle w:val="GSRL6numberedclause"/>
      </w:pPr>
      <w:r w:rsidRPr="001A1836">
        <w:t xml:space="preserve">the measures of performance applicable in the previous Contract Year; </w:t>
      </w:r>
    </w:p>
    <w:p w14:paraId="6EC4EA32" w14:textId="77777777" w:rsidR="00B074CC" w:rsidRPr="001A1836" w:rsidRDefault="00B074CC">
      <w:pPr>
        <w:pStyle w:val="GSRL6numberedclause"/>
      </w:pPr>
      <w:r w:rsidRPr="001A1836">
        <w:t xml:space="preserve">the actual performance achieved against each KPI and each Service Level; </w:t>
      </w:r>
    </w:p>
    <w:p w14:paraId="1359647F" w14:textId="3DF275F0" w:rsidR="00B074CC" w:rsidRPr="001A1836" w:rsidRDefault="00B074CC">
      <w:pPr>
        <w:pStyle w:val="GSRL6numberedclause"/>
      </w:pPr>
      <w:r w:rsidRPr="001A1836">
        <w:t>the Provider's views of the reason for any variance between the Provider's performance and the Service Levels and KPIs;</w:t>
      </w:r>
    </w:p>
    <w:p w14:paraId="67711801" w14:textId="77777777" w:rsidR="00B074CC" w:rsidRPr="001A1836" w:rsidRDefault="00B074CC">
      <w:pPr>
        <w:pStyle w:val="GSRL6numberedclause"/>
      </w:pPr>
      <w:r w:rsidRPr="001A1836">
        <w:t xml:space="preserve">any recommendations with supporting information and documents and Provider's proposals, if any, for changes to the KPIs or Service Levels;  </w:t>
      </w:r>
    </w:p>
    <w:p w14:paraId="78B2BD38" w14:textId="77777777" w:rsidR="00B074CC" w:rsidRPr="001A1836" w:rsidRDefault="00B074CC">
      <w:pPr>
        <w:pStyle w:val="GSRL6numberedclause"/>
      </w:pPr>
      <w:r w:rsidRPr="001A1836">
        <w:t xml:space="preserve">matters that the Provider wishes to bring to the attention of the Contract Review Board or that HSE has asked by way of clarification regarding actual performance; </w:t>
      </w:r>
    </w:p>
    <w:p w14:paraId="7C120BE5" w14:textId="77777777" w:rsidR="00B074CC" w:rsidRPr="001A1836" w:rsidRDefault="00B074CC">
      <w:pPr>
        <w:pStyle w:val="GSRL6numberedclause"/>
      </w:pPr>
      <w:r w:rsidRPr="001A1836">
        <w:t xml:space="preserve">financial performance including volumes, revenues costs and profits associated with the provision of the Services certified by a senior financial director as a true and accurate record; </w:t>
      </w:r>
    </w:p>
    <w:p w14:paraId="5B5F4873" w14:textId="77777777" w:rsidR="00B074CC" w:rsidRPr="001A1836" w:rsidRDefault="00B074CC">
      <w:pPr>
        <w:pStyle w:val="GSRL6numberedclause"/>
      </w:pPr>
      <w:r w:rsidRPr="001A1836">
        <w:t>details of the Total Gain Share Funds as at the end of that Contract Year separated to show the following:</w:t>
      </w:r>
    </w:p>
    <w:p w14:paraId="716B5225" w14:textId="77777777" w:rsidR="00B074CC" w:rsidRPr="001A1836" w:rsidRDefault="00B074CC">
      <w:pPr>
        <w:pStyle w:val="GSRL7numberedclause"/>
      </w:pPr>
      <w:r w:rsidRPr="001A1836">
        <w:t xml:space="preserve">the Funds for Distribution and the Agreed Provider Gain Share Funds; </w:t>
      </w:r>
    </w:p>
    <w:p w14:paraId="3D3B44A3" w14:textId="77777777" w:rsidR="00B074CC" w:rsidRPr="001A1836" w:rsidRDefault="00B074CC">
      <w:pPr>
        <w:pStyle w:val="GSRL7numberedclause"/>
      </w:pPr>
      <w:r w:rsidRPr="001A1836">
        <w:t>the total value of deductions from the Provisional Provider Gain Share Funds as a result of KPI Failures in such Contract Year;</w:t>
      </w:r>
    </w:p>
    <w:p w14:paraId="25C4E9F9" w14:textId="77777777" w:rsidR="00B074CC" w:rsidRPr="001A1836" w:rsidRDefault="00B074CC">
      <w:pPr>
        <w:pStyle w:val="GSRL7numberedclause"/>
      </w:pPr>
      <w:r w:rsidRPr="001A1836">
        <w:t xml:space="preserve">the total value of Transferrable Gain Share Funds to be transferred from the Provisional Provider Gain Share Funds as a result of KPI Failures; and </w:t>
      </w:r>
    </w:p>
    <w:p w14:paraId="0E50B73F" w14:textId="77777777" w:rsidR="00B074CC" w:rsidRPr="001A1836" w:rsidRDefault="00B074CC">
      <w:pPr>
        <w:pStyle w:val="GSRL7numberedclause"/>
      </w:pPr>
      <w:r w:rsidRPr="001A1836">
        <w:t>the total value of Funds For Distribution transferred from Provider profit as a result of Service Credits;</w:t>
      </w:r>
    </w:p>
    <w:p w14:paraId="4562CFA9" w14:textId="30D67195" w:rsidR="009D35A1" w:rsidRPr="001A1836" w:rsidRDefault="009D35A1" w:rsidP="009D35A1">
      <w:pPr>
        <w:pStyle w:val="GSRL6numberedclause"/>
      </w:pPr>
      <w:r w:rsidRPr="001A1836">
        <w:lastRenderedPageBreak/>
        <w:t xml:space="preserve">details of the </w:t>
      </w:r>
      <w:r>
        <w:t>Provider Profit</w:t>
      </w:r>
      <w:r w:rsidRPr="001A1836">
        <w:t xml:space="preserve"> as at the end of that Contract Year separated to show the following:</w:t>
      </w:r>
    </w:p>
    <w:p w14:paraId="7AC54FD2" w14:textId="5158824A" w:rsidR="009D35A1" w:rsidRPr="001A1836" w:rsidRDefault="009D35A1" w:rsidP="009D35A1">
      <w:pPr>
        <w:pStyle w:val="GSRL7numberedclause"/>
      </w:pPr>
      <w:r w:rsidRPr="001A1836">
        <w:t xml:space="preserve">the </w:t>
      </w:r>
      <w:r>
        <w:t>Reserved Provider Profit</w:t>
      </w:r>
      <w:r w:rsidRPr="001A1836">
        <w:t xml:space="preserve">; </w:t>
      </w:r>
    </w:p>
    <w:p w14:paraId="7E942BCA" w14:textId="77338180" w:rsidR="009D35A1" w:rsidRPr="001A1836" w:rsidRDefault="009D35A1" w:rsidP="009D35A1">
      <w:pPr>
        <w:pStyle w:val="GSRL7numberedclause"/>
      </w:pPr>
      <w:r w:rsidRPr="001A1836">
        <w:t xml:space="preserve">the total value of deductions from the Provisional Provider </w:t>
      </w:r>
      <w:r>
        <w:t>Profit</w:t>
      </w:r>
      <w:r w:rsidRPr="001A1836">
        <w:t xml:space="preserve"> as a result of KPI Failures in such Contract Year;</w:t>
      </w:r>
    </w:p>
    <w:p w14:paraId="1560D201" w14:textId="041D2BA0" w:rsidR="009D35A1" w:rsidRPr="001A1836" w:rsidRDefault="009D35A1" w:rsidP="009D35A1">
      <w:pPr>
        <w:pStyle w:val="GSRL7numberedclause"/>
      </w:pPr>
      <w:r w:rsidRPr="001A1836">
        <w:t xml:space="preserve">the total value of Transferrable </w:t>
      </w:r>
      <w:r>
        <w:t>Provider Profit</w:t>
      </w:r>
      <w:r w:rsidRPr="001A1836">
        <w:t xml:space="preserve"> Funds to be transferred from the Provisional Provider </w:t>
      </w:r>
      <w:r>
        <w:t>Profit</w:t>
      </w:r>
      <w:r w:rsidRPr="001A1836">
        <w:t xml:space="preserve"> a</w:t>
      </w:r>
      <w:r>
        <w:t>s a result of KPI Failures;</w:t>
      </w:r>
    </w:p>
    <w:p w14:paraId="4992B1CB" w14:textId="6A756114" w:rsidR="00B074CC" w:rsidRPr="001A1836" w:rsidRDefault="00B074CC">
      <w:pPr>
        <w:pStyle w:val="GSRL6numberedclause"/>
      </w:pPr>
      <w:r w:rsidRPr="001A1836">
        <w:t>any Admin Fees or Default Charges incurred;</w:t>
      </w:r>
    </w:p>
    <w:p w14:paraId="1BBBA4A5" w14:textId="77777777" w:rsidR="00B074CC" w:rsidRPr="001A1836" w:rsidRDefault="00B074CC">
      <w:pPr>
        <w:pStyle w:val="GSRL6numberedclause"/>
      </w:pPr>
      <w:r w:rsidRPr="001A1836">
        <w:t xml:space="preserve">a certificate of costs signed by a senior finance director of Provider, as being true and accurate, setting out: </w:t>
      </w:r>
    </w:p>
    <w:p w14:paraId="08A81700" w14:textId="77777777" w:rsidR="00B074CC" w:rsidRPr="001A1836" w:rsidRDefault="00B074CC">
      <w:pPr>
        <w:pStyle w:val="GSRL7numberedclause"/>
      </w:pPr>
      <w:r w:rsidRPr="001A1836">
        <w:t xml:space="preserve">details of Revenues; </w:t>
      </w:r>
    </w:p>
    <w:p w14:paraId="3387124C" w14:textId="77777777" w:rsidR="00B074CC" w:rsidRPr="001A1836" w:rsidRDefault="00B074CC">
      <w:pPr>
        <w:pStyle w:val="GSRL7numberedclause"/>
      </w:pPr>
      <w:r w:rsidRPr="001A1836">
        <w:t xml:space="preserve">details of relevant operational volumes (including volumes of Registered Business and Engineers); </w:t>
      </w:r>
    </w:p>
    <w:p w14:paraId="5FD5C965" w14:textId="28441717" w:rsidR="00B074CC" w:rsidRPr="001A1836" w:rsidRDefault="00B074CC">
      <w:pPr>
        <w:pStyle w:val="GSRL7numberedclause"/>
      </w:pPr>
      <w:r w:rsidRPr="001A1836">
        <w:t xml:space="preserve">a breakdown of costs; </w:t>
      </w:r>
    </w:p>
    <w:p w14:paraId="279C1517" w14:textId="57368DF1" w:rsidR="00B074CC" w:rsidRPr="001A1836" w:rsidRDefault="00B074CC">
      <w:pPr>
        <w:pStyle w:val="GSRL7numberedclause"/>
      </w:pPr>
      <w:r w:rsidRPr="001A1836">
        <w:t xml:space="preserve">details of profit in absolute and percentage terms; </w:t>
      </w:r>
    </w:p>
    <w:p w14:paraId="29E1CE53" w14:textId="77777777" w:rsidR="00B074CC" w:rsidRPr="001A1836" w:rsidRDefault="00B074CC">
      <w:pPr>
        <w:pStyle w:val="GSRL6numberedclause"/>
      </w:pPr>
      <w:r w:rsidRPr="001A1836">
        <w:t xml:space="preserve">an evaluation by the Provider of current relations with Registered Businesses and Engineers, stakeholders and the gas industry and an analysis of the opportunities and threats that the state of these relations pose for the effective operation of the Register; </w:t>
      </w:r>
    </w:p>
    <w:p w14:paraId="56B51E1E" w14:textId="77777777" w:rsidR="00B074CC" w:rsidRPr="001A1836" w:rsidRDefault="00B074CC">
      <w:pPr>
        <w:pStyle w:val="GSRL6numberedclause"/>
      </w:pPr>
      <w:r w:rsidRPr="001A1836">
        <w:t xml:space="preserve">proposals by the Provider for changes in the Rules of Registration; </w:t>
      </w:r>
    </w:p>
    <w:p w14:paraId="7D51482D" w14:textId="62F0466B" w:rsidR="00B074CC" w:rsidRPr="001A1836" w:rsidRDefault="00B074CC">
      <w:pPr>
        <w:pStyle w:val="GSRL6numberedclause"/>
      </w:pPr>
      <w:r w:rsidRPr="001A1836">
        <w:t xml:space="preserve">a review of any changes to the Agreement agreed during the year, those under discussion and any that the Provider is considering for the current year; and </w:t>
      </w:r>
    </w:p>
    <w:p w14:paraId="324ADA0A" w14:textId="77777777" w:rsidR="00B074CC" w:rsidRPr="001A1836" w:rsidRDefault="00B074CC">
      <w:pPr>
        <w:pStyle w:val="GSRL6numberedclause"/>
      </w:pPr>
      <w:r w:rsidRPr="001A1836">
        <w:t xml:space="preserve">a review of improvements in Services achieved during the previous Contract Year and plans for improvements during the current Contract Year. </w:t>
      </w:r>
    </w:p>
    <w:p w14:paraId="7C9B767D" w14:textId="57D3F3EE" w:rsidR="00B074CC" w:rsidRPr="001A1836" w:rsidRDefault="00B074CC">
      <w:pPr>
        <w:pStyle w:val="GSRL5numberedclause"/>
      </w:pPr>
      <w:r w:rsidRPr="001A1836">
        <w:t xml:space="preserve">This Annual Service Report will be supplied to the HSE Contract Manager at least </w:t>
      </w:r>
      <w:r w:rsidR="000C1F5C" w:rsidRPr="001A1836">
        <w:t>ten (</w:t>
      </w:r>
      <w:r w:rsidRPr="001A1836">
        <w:t>10</w:t>
      </w:r>
      <w:r w:rsidR="000C1F5C" w:rsidRPr="001A1836">
        <w:t>)</w:t>
      </w:r>
      <w:r w:rsidRPr="001A1836">
        <w:t xml:space="preserve"> Working Days before the planned annual service review meeting.</w:t>
      </w:r>
    </w:p>
    <w:p w14:paraId="731D96D6" w14:textId="64565682" w:rsidR="00B074CC" w:rsidRPr="001A1836" w:rsidRDefault="00B074CC">
      <w:pPr>
        <w:pStyle w:val="GSRL5numberedclause"/>
      </w:pPr>
      <w:r w:rsidRPr="001A1836">
        <w:t xml:space="preserve">The Provider will produce a report of the meeting within </w:t>
      </w:r>
      <w:r w:rsidR="000C1F5C" w:rsidRPr="001A1836">
        <w:t>five (</w:t>
      </w:r>
      <w:r w:rsidRPr="001A1836">
        <w:t>5</w:t>
      </w:r>
      <w:r w:rsidR="000C1F5C" w:rsidRPr="001A1836">
        <w:t>)</w:t>
      </w:r>
      <w:r w:rsidRPr="001A1836">
        <w:t xml:space="preserve"> Working Days, including areas of agreement, areas of disagreement with the reasons for that disagreement. HSE shall within a further five (5) Working Days either confirm the report of the meeting or suggest amendments to that report. Provider shall, within a further five (5) Working Days prepare an updated report of the meeting either incorporating into the report HSE’s comments and suggested amendments or, where it does not agree with those comments or suggested amendments, clearly indicating where HSE has comments or suggested amendments and their nature.</w:t>
      </w:r>
    </w:p>
    <w:p w14:paraId="513092A4" w14:textId="77777777" w:rsidR="00B074CC" w:rsidRPr="001A1836" w:rsidRDefault="00B074CC">
      <w:pPr>
        <w:pStyle w:val="GSRL5numberedclause"/>
      </w:pPr>
      <w:r w:rsidRPr="001A1836">
        <w:t>Provider shall deliver the completed report without delay to the HSE Contract Manager for their approval.</w:t>
      </w:r>
    </w:p>
    <w:p w14:paraId="4F768401" w14:textId="2E021CF8" w:rsidR="00B074CC" w:rsidRPr="001A1836" w:rsidRDefault="00B074CC">
      <w:pPr>
        <w:pStyle w:val="GSRL5numberedclause"/>
      </w:pPr>
      <w:r w:rsidRPr="001A1836">
        <w:t>Upon receipt of the compl</w:t>
      </w:r>
      <w:r w:rsidR="00B17739">
        <w:t>eted report, HSE shall, within 2 weeks</w:t>
      </w:r>
      <w:r w:rsidRPr="001A1836">
        <w:t xml:space="preserve"> of receipt either:</w:t>
      </w:r>
    </w:p>
    <w:p w14:paraId="10B2FFD2" w14:textId="77777777" w:rsidR="00B074CC" w:rsidRPr="001A1836" w:rsidRDefault="00B074CC">
      <w:pPr>
        <w:pStyle w:val="GSRL6numberedclause"/>
      </w:pPr>
      <w:r w:rsidRPr="001A1836">
        <w:t>Approve the report and Annual Service Report and inform the Provider; or</w:t>
      </w:r>
    </w:p>
    <w:p w14:paraId="3E0CCC84" w14:textId="77777777" w:rsidR="00B074CC" w:rsidRPr="001A1836" w:rsidRDefault="00B074CC">
      <w:pPr>
        <w:pStyle w:val="GSRL6numberedclause"/>
      </w:pPr>
      <w:r w:rsidRPr="001A1836">
        <w:lastRenderedPageBreak/>
        <w:t>Inform the Provider why it does not approve the Annual Service Report and the changes that should be made to make the Annual Service Report acceptable.</w:t>
      </w:r>
    </w:p>
    <w:p w14:paraId="0C0ECAC2" w14:textId="45C12315" w:rsidR="00B074CC" w:rsidRDefault="00B074CC">
      <w:pPr>
        <w:pStyle w:val="GSRL5numberedclause"/>
      </w:pPr>
      <w:r w:rsidRPr="001A1836">
        <w:t>Where HSE does not accept the Annual Service Report the Provider shall address HSE’s concerns in a revised report which it shall submit to HSE within 1 week of its receipt of HSE’s comments and paragraph 3.2.5 shall apply to the revised Annual Service Report.</w:t>
      </w:r>
    </w:p>
    <w:p w14:paraId="1D6BB75F" w14:textId="6A5498F9" w:rsidR="004A3744" w:rsidRDefault="004A3744">
      <w:pPr>
        <w:pStyle w:val="GSRL4numberedclause"/>
      </w:pPr>
      <w:r>
        <w:t>Transparency Reports</w:t>
      </w:r>
    </w:p>
    <w:p w14:paraId="0CBC157E" w14:textId="58B9C603" w:rsidR="004A3744" w:rsidRDefault="004A3744">
      <w:pPr>
        <w:pStyle w:val="GSRL5numberedclause"/>
      </w:pPr>
      <w:r>
        <w:t xml:space="preserve">Within three (3) months of the Effective Date the </w:t>
      </w:r>
      <w:r w:rsidR="00B96484">
        <w:t>Provider</w:t>
      </w:r>
      <w:r>
        <w:t xml:space="preserve"> shall provide to </w:t>
      </w:r>
      <w:r w:rsidR="00716B73">
        <w:t>HSE</w:t>
      </w:r>
      <w:r>
        <w:t xml:space="preserve"> for its approval (such approval not to be unreasonably withheld or delayed) draft re</w:t>
      </w:r>
      <w:r w:rsidR="00B96484">
        <w:t>ports in accordance with Annex 3</w:t>
      </w:r>
      <w:r>
        <w:t xml:space="preserve"> (once approved, the </w:t>
      </w:r>
      <w:r w:rsidRPr="00B96484">
        <w:rPr>
          <w:b/>
        </w:rPr>
        <w:t>"Transparency Reports"</w:t>
      </w:r>
      <w:r>
        <w:t>).</w:t>
      </w:r>
    </w:p>
    <w:p w14:paraId="269141F1" w14:textId="40A564E7" w:rsidR="004A3744" w:rsidRDefault="004A3744">
      <w:pPr>
        <w:pStyle w:val="GSRL5numberedclause"/>
      </w:pPr>
      <w:r>
        <w:t xml:space="preserve">If </w:t>
      </w:r>
      <w:r w:rsidR="00B96484">
        <w:t>HSE</w:t>
      </w:r>
      <w:r>
        <w:t xml:space="preserve"> rejects any draft Transparency Report, the </w:t>
      </w:r>
      <w:r w:rsidR="00B96484">
        <w:t>Provider</w:t>
      </w:r>
      <w:r>
        <w:t xml:space="preserve"> shall submit a revised version of the relevant report for further approval by </w:t>
      </w:r>
      <w:r w:rsidR="00B96484">
        <w:t>HSE</w:t>
      </w:r>
      <w:r>
        <w:t xml:space="preserve"> within five (5) days of receipt of any notice of rejection, taking account of any recommendations for revision and improvement to the report provided by </w:t>
      </w:r>
      <w:r w:rsidR="00B96484">
        <w:t>HSE</w:t>
      </w:r>
      <w:r>
        <w:t xml:space="preserve">. If the Parties fail to agree on a draft Transparency Report </w:t>
      </w:r>
      <w:r w:rsidR="00B96484">
        <w:t>HSE</w:t>
      </w:r>
      <w:r>
        <w:t xml:space="preserve"> shall determine what should be included.</w:t>
      </w:r>
    </w:p>
    <w:p w14:paraId="2D9B72C0" w14:textId="700879EC" w:rsidR="004A3744" w:rsidRDefault="004A3744">
      <w:pPr>
        <w:pStyle w:val="GSRL5numberedclause"/>
      </w:pPr>
      <w:r>
        <w:t xml:space="preserve">The </w:t>
      </w:r>
      <w:r w:rsidR="00B96484">
        <w:t>Provider</w:t>
      </w:r>
      <w:r>
        <w:t xml:space="preserve"> shall provide accurate and up-to-date versions of each Transparency Report to </w:t>
      </w:r>
      <w:r w:rsidR="00B96484">
        <w:t>HSE</w:t>
      </w:r>
      <w:r>
        <w:t xml:space="preserve"> at the freque</w:t>
      </w:r>
      <w:r w:rsidR="00B96484">
        <w:t>ncy referred to in Annex 3</w:t>
      </w:r>
      <w:r>
        <w:t>.</w:t>
      </w:r>
    </w:p>
    <w:p w14:paraId="3F8DEC11" w14:textId="13F7B039" w:rsidR="004A3744" w:rsidRDefault="004A3744">
      <w:pPr>
        <w:pStyle w:val="GSRL5numberedclause"/>
      </w:pPr>
      <w:r>
        <w:t>Any disagreement in connection with the preparation and/or approval of Transpar</w:t>
      </w:r>
      <w:r w:rsidR="00B96484">
        <w:t>ency Reports, other than under paragraph 3.3</w:t>
      </w:r>
      <w:r>
        <w:t>.2 above in relation to the contents of a Transparency Report, shall be treated as a Dispute.</w:t>
      </w:r>
    </w:p>
    <w:p w14:paraId="42A62A7B" w14:textId="6CDAAB93" w:rsidR="004A3744" w:rsidRDefault="004A3744">
      <w:pPr>
        <w:pStyle w:val="GSRL5numberedclause"/>
      </w:pPr>
      <w:r>
        <w:t xml:space="preserve">The requirements for Transparency Reports are in addition to any other reporting requirements in this </w:t>
      </w:r>
      <w:r w:rsidR="00B96484">
        <w:t>Agreement</w:t>
      </w:r>
      <w:r>
        <w:t>.</w:t>
      </w:r>
    </w:p>
    <w:p w14:paraId="4A7D7879" w14:textId="2A9AC99B" w:rsidR="004A3744" w:rsidRDefault="004A3744">
      <w:pPr>
        <w:pStyle w:val="GSRL4numberedclause"/>
      </w:pPr>
      <w:r>
        <w:t>Other Reports</w:t>
      </w:r>
    </w:p>
    <w:p w14:paraId="521EAD4E" w14:textId="5242F55C" w:rsidR="004A3744" w:rsidRDefault="00B96484">
      <w:pPr>
        <w:pStyle w:val="GSRL5numberedclause"/>
      </w:pPr>
      <w:r>
        <w:t>HSE</w:t>
      </w:r>
      <w:r w:rsidR="004A3744">
        <w:t xml:space="preserve"> may require any or all of the following reports:</w:t>
      </w:r>
    </w:p>
    <w:p w14:paraId="7DEB614C" w14:textId="77777777" w:rsidR="004A3744" w:rsidRDefault="004A3744">
      <w:pPr>
        <w:pStyle w:val="GSRL6numberedclause"/>
      </w:pPr>
      <w:r>
        <w:t>delay reports;</w:t>
      </w:r>
    </w:p>
    <w:p w14:paraId="4A00AA41" w14:textId="368FBF7B" w:rsidR="004A3744" w:rsidRDefault="004A3744">
      <w:pPr>
        <w:pStyle w:val="GSRL6numberedclause"/>
      </w:pPr>
      <w:r>
        <w:t>reports relating to Testing and te</w:t>
      </w:r>
      <w:r w:rsidR="00B96484">
        <w:t>sts carried out under Schedule 21</w:t>
      </w:r>
      <w:r>
        <w:t xml:space="preserve"> (Security </w:t>
      </w:r>
      <w:r w:rsidR="00B96484">
        <w:t>Requirements and Plan) and Schedule 15</w:t>
      </w:r>
      <w:r>
        <w:t xml:space="preserve"> (</w:t>
      </w:r>
      <w:r w:rsidR="00347D34">
        <w:t>Service</w:t>
      </w:r>
      <w:r w:rsidR="00B96484">
        <w:t xml:space="preserve"> Continuity </w:t>
      </w:r>
      <w:r w:rsidR="00347D34">
        <w:t xml:space="preserve">Plan </w:t>
      </w:r>
      <w:r w:rsidR="00B96484">
        <w:t xml:space="preserve">and </w:t>
      </w:r>
      <w:r w:rsidR="00347D34">
        <w:t>Corporate Resolution Planning</w:t>
      </w:r>
      <w:r>
        <w:t>);</w:t>
      </w:r>
    </w:p>
    <w:p w14:paraId="16904D04" w14:textId="70C41B2D" w:rsidR="004A3744" w:rsidRDefault="004A3744">
      <w:pPr>
        <w:pStyle w:val="GSRL6numberedclause"/>
      </w:pPr>
      <w:r>
        <w:t xml:space="preserve">reports which the </w:t>
      </w:r>
      <w:r w:rsidR="00010038">
        <w:t>Provider</w:t>
      </w:r>
      <w:r>
        <w:t xml:space="preserve"> is required to supply as part of the Management Information;</w:t>
      </w:r>
    </w:p>
    <w:p w14:paraId="38E75E48" w14:textId="77777777" w:rsidR="004A3744" w:rsidRDefault="004A3744">
      <w:pPr>
        <w:pStyle w:val="GSRL6numberedclause"/>
      </w:pPr>
      <w:r>
        <w:t>annual reports on the Insurances;</w:t>
      </w:r>
    </w:p>
    <w:p w14:paraId="1F18C31B" w14:textId="77777777" w:rsidR="004A3744" w:rsidRDefault="004A3744">
      <w:pPr>
        <w:pStyle w:val="GSRL6numberedclause"/>
      </w:pPr>
      <w:r>
        <w:t>security reports; and</w:t>
      </w:r>
    </w:p>
    <w:p w14:paraId="14019936" w14:textId="77777777" w:rsidR="004A3744" w:rsidRDefault="004A3744">
      <w:pPr>
        <w:pStyle w:val="GSRL6numberedclause"/>
      </w:pPr>
      <w:r>
        <w:t>Force Majeure Event reports.</w:t>
      </w:r>
    </w:p>
    <w:p w14:paraId="2E85300C" w14:textId="77777777" w:rsidR="00B074CC" w:rsidRPr="001A1836" w:rsidRDefault="00B074CC">
      <w:pPr>
        <w:pStyle w:val="GSRL3heading"/>
      </w:pPr>
      <w:bookmarkStart w:id="2483" w:name="_Toc508870631"/>
      <w:bookmarkStart w:id="2484" w:name="_Toc521327128"/>
      <w:bookmarkStart w:id="2485" w:name="_Toc521333361"/>
      <w:bookmarkStart w:id="2486" w:name="_Toc521484092"/>
      <w:bookmarkStart w:id="2487" w:name="_Toc521484855"/>
      <w:bookmarkStart w:id="2488" w:name="_Toc521485186"/>
      <w:bookmarkStart w:id="2489" w:name="_Toc521496923"/>
      <w:bookmarkStart w:id="2490" w:name="_Toc521498365"/>
      <w:bookmarkStart w:id="2491" w:name="_Toc529346064"/>
      <w:bookmarkStart w:id="2492" w:name="_Toc129038277"/>
      <w:bookmarkStart w:id="2493" w:name="_Toc129038563"/>
      <w:bookmarkStart w:id="2494" w:name="_Toc132268137"/>
      <w:bookmarkStart w:id="2495" w:name="_Toc132268443"/>
      <w:bookmarkStart w:id="2496" w:name="_Toc136198693"/>
      <w:bookmarkStart w:id="2497" w:name="_Toc136198974"/>
      <w:r w:rsidRPr="001A1836">
        <w:t>Records</w:t>
      </w:r>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p>
    <w:p w14:paraId="4690FF58" w14:textId="77777777" w:rsidR="00B074CC" w:rsidRPr="001A1836" w:rsidRDefault="00B074CC">
      <w:pPr>
        <w:pStyle w:val="GSRL4numberedclause"/>
      </w:pPr>
      <w:r w:rsidRPr="001A1836">
        <w:t>The Provider shall retain and maintain all the records (including superseded records) referred to in Annex 2 to this Schedule 11:</w:t>
      </w:r>
    </w:p>
    <w:p w14:paraId="43A0BBA5" w14:textId="77777777" w:rsidR="00B074CC" w:rsidRPr="001A1836" w:rsidRDefault="00B074CC">
      <w:pPr>
        <w:pStyle w:val="GSRL5numberedclause"/>
      </w:pPr>
      <w:r w:rsidRPr="001A1836">
        <w:t xml:space="preserve">in accordance with Good Industry Practice; </w:t>
      </w:r>
    </w:p>
    <w:p w14:paraId="084B7945" w14:textId="77777777" w:rsidR="00B074CC" w:rsidRPr="001A1836" w:rsidRDefault="00B074CC">
      <w:pPr>
        <w:pStyle w:val="GSRL5numberedclause"/>
      </w:pPr>
      <w:r w:rsidRPr="001A1836">
        <w:t xml:space="preserve">in chronological order; </w:t>
      </w:r>
    </w:p>
    <w:p w14:paraId="5277F4C0" w14:textId="77777777" w:rsidR="00B074CC" w:rsidRPr="001A1836" w:rsidRDefault="00B074CC">
      <w:pPr>
        <w:pStyle w:val="GSRL5numberedclause"/>
      </w:pPr>
      <w:r w:rsidRPr="001A1836">
        <w:t xml:space="preserve">in a form that is capable of being audited; and </w:t>
      </w:r>
    </w:p>
    <w:p w14:paraId="5EF55BCA" w14:textId="77777777" w:rsidR="00B074CC" w:rsidRPr="001A1836" w:rsidRDefault="00B074CC">
      <w:pPr>
        <w:pStyle w:val="GSRL5numberedclause"/>
      </w:pPr>
      <w:r w:rsidRPr="001A1836">
        <w:t>at its own expense.</w:t>
      </w:r>
    </w:p>
    <w:p w14:paraId="05CF3FC2" w14:textId="77777777" w:rsidR="00B074CC" w:rsidRPr="001A1836" w:rsidRDefault="00B074CC">
      <w:pPr>
        <w:pStyle w:val="GSRL4numberedclause"/>
      </w:pPr>
      <w:r w:rsidRPr="001A1836">
        <w:lastRenderedPageBreak/>
        <w:t xml:space="preserve">The Provider shall make these records available for inspection to HSE on request subject to HSE giving reasonable notice. </w:t>
      </w:r>
    </w:p>
    <w:p w14:paraId="2B6FAB41" w14:textId="77777777" w:rsidR="004A3744" w:rsidRDefault="00B074CC">
      <w:pPr>
        <w:pStyle w:val="GSRL4numberedclause"/>
      </w:pPr>
      <w:r w:rsidRPr="001A1836">
        <w:t>Wherever practical, original records shall be retained and maintained in hard copy form.  True copies of the original records may be kept by the Provider where it is not practicable to retain original records.</w:t>
      </w:r>
    </w:p>
    <w:p w14:paraId="4672A02F" w14:textId="7130E994" w:rsidR="004A3744" w:rsidRPr="004A3744" w:rsidRDefault="004A3744">
      <w:pPr>
        <w:pStyle w:val="GSRL4numberedclause"/>
      </w:pPr>
      <w:r w:rsidRPr="004A3744">
        <w:t xml:space="preserve">Where Records are retained in electronic form, the original metadata shall be preserved together with all subsequent metadata in a format reasonably accessible to </w:t>
      </w:r>
      <w:r w:rsidR="002931FD">
        <w:t>HSE</w:t>
      </w:r>
      <w:r w:rsidRPr="004A3744">
        <w:t>.</w:t>
      </w:r>
    </w:p>
    <w:p w14:paraId="4083B70B" w14:textId="77777777" w:rsidR="00B074CC" w:rsidRPr="001A1836" w:rsidRDefault="00B074CC">
      <w:pPr>
        <w:pStyle w:val="GSRL4numberedclause"/>
      </w:pPr>
      <w:r w:rsidRPr="001A1836">
        <w:t xml:space="preserve">The Provider shall, during the Term and for a period of at least seven (7) years following the expiry or earlier termination of this Agreement, maintain or cause to be maintained complete and accurate documents and records in relation to the provision of the Services including but not limited to all records (whether in electronic format or otherwise) referred to in Annex 2 to this Schedule 11. </w:t>
      </w:r>
    </w:p>
    <w:p w14:paraId="1811FA3D" w14:textId="77C352A1" w:rsidR="00B074CC" w:rsidRDefault="002931FD">
      <w:pPr>
        <w:pStyle w:val="GSRL4numberedclause"/>
      </w:pPr>
      <w:r>
        <w:t>R</w:t>
      </w:r>
      <w:r w:rsidR="00B074CC" w:rsidRPr="001A1836">
        <w:t xml:space="preserve">ecords </w:t>
      </w:r>
      <w:r>
        <w:t xml:space="preserve">that contain financial information </w:t>
      </w:r>
      <w:r w:rsidR="00B074CC" w:rsidRPr="001A1836">
        <w:t xml:space="preserve">shall be retained and maintained in safe storage by the Provider for a period of at least </w:t>
      </w:r>
      <w:r>
        <w:t>seven</w:t>
      </w:r>
      <w:r w:rsidRPr="001A1836">
        <w:t xml:space="preserve"> </w:t>
      </w:r>
      <w:r w:rsidR="00B074CC" w:rsidRPr="001A1836">
        <w:t>(</w:t>
      </w:r>
      <w:r>
        <w:t>7</w:t>
      </w:r>
      <w:r w:rsidR="00B074CC" w:rsidRPr="001A1836">
        <w:t>) years after the expiry or earlier termination of this Agreement.</w:t>
      </w:r>
    </w:p>
    <w:p w14:paraId="00A7CF7E" w14:textId="1B1F64D5" w:rsidR="002931FD" w:rsidRDefault="002931FD">
      <w:pPr>
        <w:pStyle w:val="GSRL4numberedclause"/>
      </w:pPr>
      <w:r>
        <w:t>Without prejudice to the foregoing, the Provider shall provide HSE:</w:t>
      </w:r>
    </w:p>
    <w:p w14:paraId="40CFC9E6" w14:textId="77DDF27A" w:rsidR="002931FD" w:rsidRDefault="002931FD">
      <w:pPr>
        <w:pStyle w:val="GSRL5numberedclause"/>
      </w:pPr>
      <w:r>
        <w:t>as soon as they are available, and in any event within 60 Working Days after the end of the first 6 months of each financial year of the Provider during the Term, a copy, certified as a true copy by an authorised representative of the Provider, of its un-audited interim accounts and, if applicable, of consolidated un-audited interim accounts of the Provider and its Affiliates which would (if the Provider were listed on the London Stock Exchange (whether or not it is)) be required to be sent to shareholders as at the end of and for each such 6 month period; and</w:t>
      </w:r>
    </w:p>
    <w:p w14:paraId="7E814E13" w14:textId="42508F7A" w:rsidR="002931FD" w:rsidRDefault="002931FD">
      <w:pPr>
        <w:pStyle w:val="GSRL5numberedclause"/>
      </w:pPr>
      <w:r>
        <w:t>as soon as they shall have been sent to its shareholders in order to be laid before an annual general meeting of the Provider, but not later than 130 Working Days after the end of each accounting reference period of the Provider part or all of which falls during the Term, the Provider's audited accounts and if applicable, of the consolidated audited accounts of the Provider and its Affiliates in respect of that period together with copies of all related directors' and auditors' reports and all other notices/circulars to shareholders.</w:t>
      </w:r>
    </w:p>
    <w:p w14:paraId="686022B8" w14:textId="4CD011C8" w:rsidR="002931FD" w:rsidRDefault="002931FD">
      <w:pPr>
        <w:pStyle w:val="GSRL3heading"/>
      </w:pPr>
      <w:bookmarkStart w:id="2498" w:name="_Toc132268138"/>
      <w:bookmarkStart w:id="2499" w:name="_Toc132268444"/>
      <w:bookmarkStart w:id="2500" w:name="_Toc136198694"/>
      <w:bookmarkStart w:id="2501" w:name="_Toc136198975"/>
      <w:r>
        <w:t>Virtual Library</w:t>
      </w:r>
      <w:bookmarkEnd w:id="2498"/>
      <w:bookmarkEnd w:id="2499"/>
      <w:bookmarkEnd w:id="2500"/>
      <w:bookmarkEnd w:id="2501"/>
    </w:p>
    <w:p w14:paraId="24DF7F1B" w14:textId="06FCEAFC" w:rsidR="002931FD" w:rsidRDefault="002931FD">
      <w:pPr>
        <w:pStyle w:val="GSRL4numberedclause"/>
      </w:pPr>
      <w:r>
        <w:t xml:space="preserve">The </w:t>
      </w:r>
      <w:r w:rsidR="00716B73">
        <w:t>Provider</w:t>
      </w:r>
      <w:r>
        <w:t xml:space="preserve"> shall, no later than </w:t>
      </w:r>
      <w:r w:rsidR="00545402">
        <w:t xml:space="preserve">four </w:t>
      </w:r>
      <w:r>
        <w:t>(</w:t>
      </w:r>
      <w:r w:rsidR="00545402">
        <w:t>4</w:t>
      </w:r>
      <w:r>
        <w:t xml:space="preserve">) weeks prior to the Services </w:t>
      </w:r>
      <w:r w:rsidR="00716B73">
        <w:t>Start</w:t>
      </w:r>
      <w:r>
        <w:t xml:space="preserve"> Date and without charge to </w:t>
      </w:r>
      <w:r w:rsidR="00716B73">
        <w:t>HSE</w:t>
      </w:r>
      <w:r>
        <w:t xml:space="preserve">, create a Virtual Library on which the </w:t>
      </w:r>
      <w:r w:rsidR="00716B73">
        <w:t>Provider</w:t>
      </w:r>
      <w:r>
        <w:t xml:space="preserve"> shall (subject to any applicable legislation governing the use or processing of personal data) make information about this </w:t>
      </w:r>
      <w:r w:rsidR="00716B73">
        <w:t>Agreement</w:t>
      </w:r>
      <w:r>
        <w:t xml:space="preserve"> available in in accordance with the requirements outlined in this Schedule.</w:t>
      </w:r>
    </w:p>
    <w:p w14:paraId="2D1BE535" w14:textId="66178E0E" w:rsidR="002931FD" w:rsidRDefault="002931FD">
      <w:pPr>
        <w:pStyle w:val="GSRL4numberedclause"/>
      </w:pPr>
      <w:r>
        <w:t xml:space="preserve">The </w:t>
      </w:r>
      <w:r w:rsidR="00716B73">
        <w:t>Provider</w:t>
      </w:r>
      <w:r>
        <w:t xml:space="preserve"> shall ensure that the Virtual Library is:</w:t>
      </w:r>
    </w:p>
    <w:p w14:paraId="2234F726" w14:textId="3E3C7FE3" w:rsidR="002931FD" w:rsidRDefault="002931FD">
      <w:pPr>
        <w:pStyle w:val="GSRL5numberedclause"/>
      </w:pPr>
      <w:r>
        <w:t xml:space="preserve">capable of holding and allowing access to the </w:t>
      </w:r>
      <w:r w:rsidR="00716B73">
        <w:t>information described in Annex 4</w:t>
      </w:r>
      <w:r>
        <w:t xml:space="preserve"> of this Schedule and includes full and accurate file details of all uploaded items including date and time of upload, version number and the name of the uploader;</w:t>
      </w:r>
    </w:p>
    <w:p w14:paraId="64FA3EED" w14:textId="77777777" w:rsidR="002931FD" w:rsidRDefault="002931FD">
      <w:pPr>
        <w:pStyle w:val="GSRL5numberedclause"/>
      </w:pPr>
      <w:r>
        <w:t>structured so that each document uploaded has a unique identifier which is automatically assigned;</w:t>
      </w:r>
    </w:p>
    <w:p w14:paraId="6F4CE6EE" w14:textId="2267F671" w:rsidR="002931FD" w:rsidRDefault="002931FD">
      <w:pPr>
        <w:pStyle w:val="GSRL5numberedclause"/>
      </w:pPr>
      <w:r>
        <w:lastRenderedPageBreak/>
        <w:t xml:space="preserve">readily accessible by </w:t>
      </w:r>
      <w:r w:rsidR="00716B73">
        <w:t>HSE</w:t>
      </w:r>
      <w:r>
        <w:t xml:space="preserve"> at all times in full via a user-friendly, password protected interface to such nominated users as are notified to the </w:t>
      </w:r>
      <w:r w:rsidR="00716B73">
        <w:t>Provider</w:t>
      </w:r>
      <w:r>
        <w:t xml:space="preserve"> by </w:t>
      </w:r>
      <w:r w:rsidR="00716B73">
        <w:t>HSE</w:t>
      </w:r>
      <w:r>
        <w:t xml:space="preserve"> from time to time, </w:t>
      </w:r>
    </w:p>
    <w:p w14:paraId="74443AAF" w14:textId="5B2FA08F" w:rsidR="002931FD" w:rsidRDefault="002931FD">
      <w:pPr>
        <w:pStyle w:val="GSRL5numberedclause"/>
      </w:pPr>
      <w:r>
        <w:t>structured so as to allow nominated users to download either specific documents or the complete Virtual</w:t>
      </w:r>
      <w:r w:rsidR="00EA612A">
        <w:t xml:space="preserve"> Library (to the extent it has access p</w:t>
      </w:r>
      <w:r>
        <w:t>ermission</w:t>
      </w:r>
      <w:r w:rsidR="00EA612A">
        <w:t xml:space="preserve"> as stated in Annex 4</w:t>
      </w:r>
      <w:r>
        <w:t>) in bulk and store and view the content offline (on a regular and automated basis);</w:t>
      </w:r>
    </w:p>
    <w:p w14:paraId="788C4016" w14:textId="6AB5CF37" w:rsidR="002931FD" w:rsidRDefault="002931FD">
      <w:pPr>
        <w:pStyle w:val="GSRL5numberedclause"/>
      </w:pPr>
      <w:r>
        <w:t xml:space="preserve">structured and maintained in accordance with the security requirements as set out in </w:t>
      </w:r>
      <w:r w:rsidR="00010038">
        <w:t>this Agreement</w:t>
      </w:r>
      <w:r>
        <w:t xml:space="preserve"> inclu</w:t>
      </w:r>
      <w:r w:rsidR="00716B73">
        <w:t>ding those set out in Schedule 21</w:t>
      </w:r>
      <w:r>
        <w:t xml:space="preserve"> (Security </w:t>
      </w:r>
      <w:r w:rsidR="00716B73">
        <w:t>Requirements and Plan</w:t>
      </w:r>
      <w:r>
        <w:t>);</w:t>
      </w:r>
    </w:p>
    <w:p w14:paraId="37837737" w14:textId="279A6900" w:rsidR="002931FD" w:rsidRDefault="002931FD">
      <w:pPr>
        <w:pStyle w:val="GSRL5numberedclause"/>
      </w:pPr>
      <w:r>
        <w:t>created and based on open standards; and</w:t>
      </w:r>
    </w:p>
    <w:p w14:paraId="4981501F" w14:textId="77777777" w:rsidR="002931FD" w:rsidRDefault="002931FD">
      <w:pPr>
        <w:pStyle w:val="GSRL5numberedclause"/>
      </w:pPr>
      <w:r>
        <w:t>backed up on a secure off-site system.</w:t>
      </w:r>
    </w:p>
    <w:p w14:paraId="00EB989F" w14:textId="385273AB" w:rsidR="002931FD" w:rsidRDefault="002931FD">
      <w:pPr>
        <w:pStyle w:val="GSRL4numberedclause"/>
      </w:pPr>
      <w:r>
        <w:t xml:space="preserve">For the avoidance of doubt, the Virtual Library (excluding any Software used to host it) shall form a database which constitute </w:t>
      </w:r>
      <w:r w:rsidR="00E37389">
        <w:t>New IPR</w:t>
      </w:r>
      <w:r>
        <w:t xml:space="preserve"> which shall be </w:t>
      </w:r>
      <w:r w:rsidR="00F9043A">
        <w:t xml:space="preserve">owned by (and, where applicable, </w:t>
      </w:r>
      <w:r>
        <w:t xml:space="preserve">assigned to </w:t>
      </w:r>
      <w:r w:rsidR="00716B73">
        <w:t xml:space="preserve">HSE </w:t>
      </w:r>
      <w:r w:rsidR="00F9043A">
        <w:t xml:space="preserve">by the Provider </w:t>
      </w:r>
      <w:r w:rsidR="00716B73">
        <w:t xml:space="preserve">pursuant to </w:t>
      </w:r>
      <w:r w:rsidR="00E37389">
        <w:t>Clause 30</w:t>
      </w:r>
      <w:r>
        <w:t xml:space="preserve"> (Intellectual Property Rights) of this </w:t>
      </w:r>
      <w:r w:rsidR="00716B73">
        <w:t>Agreement</w:t>
      </w:r>
      <w:r>
        <w:t xml:space="preserve">.  </w:t>
      </w:r>
    </w:p>
    <w:p w14:paraId="694AB9B1" w14:textId="4F13670D" w:rsidR="002931FD" w:rsidRDefault="002931FD">
      <w:pPr>
        <w:pStyle w:val="GSRL4numberedclause"/>
      </w:pPr>
      <w:r>
        <w:t xml:space="preserve">The </w:t>
      </w:r>
      <w:r w:rsidR="00716B73">
        <w:t>Provider</w:t>
      </w:r>
      <w:r>
        <w:t xml:space="preserve"> shall upload complete and accurate </w:t>
      </w:r>
      <w:r w:rsidR="00716B73">
        <w:t>information specified in Annex 4</w:t>
      </w:r>
      <w:r>
        <w:t xml:space="preserve"> by the Initial Upload Date (except where prior to the launch of the Virtual Library in which case the date at which the Virtual Library is made availabl</w:t>
      </w:r>
      <w:r w:rsidR="00716B73">
        <w:t xml:space="preserve">e in accordance with </w:t>
      </w:r>
      <w:r w:rsidR="00A77559">
        <w:t>p</w:t>
      </w:r>
      <w:r w:rsidR="00716B73">
        <w:t>aragraph 5</w:t>
      </w:r>
      <w:r>
        <w:t>.1) onto Virtual Library in the format specified.</w:t>
      </w:r>
    </w:p>
    <w:p w14:paraId="2FDD2C53" w14:textId="30595AD4" w:rsidR="002931FD" w:rsidRDefault="000B0900" w:rsidP="00DF2F94">
      <w:pPr>
        <w:pStyle w:val="GSRL4numberedclause"/>
      </w:pPr>
      <w:r w:rsidRPr="000B0900">
        <w:t>Upon any document being uploaded to the Virtual Library, and where HSE has been granted access permission as stated in Annex 4 to that document, the Provider shall email on the same date as the upload, a copy of the document to the nominated HSE email address at: GSRcontractmanagement@hse.gov.uk</w:t>
      </w:r>
    </w:p>
    <w:p w14:paraId="52FA3D00" w14:textId="380D536D" w:rsidR="002931FD" w:rsidRDefault="002931FD">
      <w:pPr>
        <w:pStyle w:val="GSRL4numberedclause"/>
      </w:pPr>
      <w:r>
        <w:t xml:space="preserve">Except for notices under Clause </w:t>
      </w:r>
      <w:r w:rsidR="00EE7D6A">
        <w:t>22.1 or items covered by Clause 22</w:t>
      </w:r>
      <w:r>
        <w:t xml:space="preserve">.6, where the </w:t>
      </w:r>
      <w:r w:rsidR="00716B73">
        <w:t>Provider</w:t>
      </w:r>
      <w:r>
        <w:t xml:space="preserve"> is under an obligation to provide information to </w:t>
      </w:r>
      <w:r w:rsidR="00716B73">
        <w:t>HSE</w:t>
      </w:r>
      <w:r>
        <w:t xml:space="preserve"> in a provision under this </w:t>
      </w:r>
      <w:r w:rsidR="00EE7D6A">
        <w:t>Agreement</w:t>
      </w:r>
      <w:r>
        <w:t xml:space="preserve">, then the </w:t>
      </w:r>
      <w:r w:rsidR="00716B73">
        <w:t>Provider</w:t>
      </w:r>
      <w:r>
        <w:t xml:space="preserve">'s upload of that information onto the Virtual Library shall satisfy the </w:t>
      </w:r>
      <w:r w:rsidR="00716B73">
        <w:t>Provider</w:t>
      </w:r>
      <w:r>
        <w:t xml:space="preserve">'s obligation to provide </w:t>
      </w:r>
      <w:r w:rsidR="00716B73">
        <w:t>HSE</w:t>
      </w:r>
      <w:r>
        <w:t xml:space="preserve"> with that information provided that </w:t>
      </w:r>
      <w:r w:rsidR="00716B73">
        <w:t>HSE</w:t>
      </w:r>
      <w:r>
        <w:t xml:space="preserve"> has </w:t>
      </w:r>
      <w:r w:rsidR="00EE7D6A">
        <w:t>access in accordance with this paragraph 5</w:t>
      </w:r>
      <w:r>
        <w:t xml:space="preserve"> and the uploaded information meets the requirements more particularly specified in the relevant provision. </w:t>
      </w:r>
    </w:p>
    <w:p w14:paraId="65030276" w14:textId="5DB3B328" w:rsidR="002931FD" w:rsidRDefault="002931FD">
      <w:pPr>
        <w:pStyle w:val="GSRL4numberedclause"/>
      </w:pPr>
      <w:r>
        <w:t xml:space="preserve">Except to the extent that the requirements provide for earlier and more regular </w:t>
      </w:r>
      <w:r w:rsidR="00EE7D6A">
        <w:t>HSE</w:t>
      </w:r>
      <w:r>
        <w:t xml:space="preserve"> access to</w:t>
      </w:r>
      <w:r w:rsidR="00EE7D6A">
        <w:t xml:space="preserve"> up-to-date information, Annex 4</w:t>
      </w:r>
      <w:r>
        <w:t xml:space="preserve"> shall not take precedence over any other obligation to provide information in this </w:t>
      </w:r>
      <w:r w:rsidR="00EE7D6A">
        <w:t>Agreement</w:t>
      </w:r>
      <w:r>
        <w:t xml:space="preserve"> and the </w:t>
      </w:r>
      <w:r w:rsidR="00716B73">
        <w:t>Provider</w:t>
      </w:r>
      <w:r>
        <w:t xml:space="preserve"> shall refer to the applicable clause for further details as to the requirement.</w:t>
      </w:r>
    </w:p>
    <w:p w14:paraId="3F82646D" w14:textId="6620F18E" w:rsidR="002931FD" w:rsidRDefault="002931FD">
      <w:pPr>
        <w:pStyle w:val="GSRL4numberedclause"/>
      </w:pPr>
      <w:r>
        <w:t xml:space="preserve">The </w:t>
      </w:r>
      <w:r w:rsidR="00EE7D6A">
        <w:t>Provider</w:t>
      </w:r>
      <w:r>
        <w:t xml:space="preserve"> shall provide each specified person (as set out in </w:t>
      </w:r>
      <w:r w:rsidR="00EE7D6A">
        <w:t>column 6 of the table at Annex 4</w:t>
      </w:r>
      <w:r>
        <w:t>) access to view and download the specified information i</w:t>
      </w:r>
      <w:r w:rsidR="00EE7D6A">
        <w:t>n the Virtual Library in Annex 4</w:t>
      </w:r>
      <w:r>
        <w:t xml:space="preserve"> subject upon the occurrence of the event specified in the column mar</w:t>
      </w:r>
      <w:r w:rsidR="00EE7D6A">
        <w:t>ked Access Permission in Annex 4</w:t>
      </w:r>
      <w:r>
        <w:t xml:space="preserve"> to this Schedule.</w:t>
      </w:r>
    </w:p>
    <w:p w14:paraId="0853713C" w14:textId="7B2E19A7" w:rsidR="002931FD" w:rsidRDefault="002931FD">
      <w:pPr>
        <w:pStyle w:val="GSRL4numberedclause"/>
      </w:pPr>
      <w:r>
        <w:t xml:space="preserve">Where </w:t>
      </w:r>
      <w:r w:rsidR="00EA612A">
        <w:t>access permission</w:t>
      </w:r>
      <w:r>
        <w:t xml:space="preserve"> is not listed (in </w:t>
      </w:r>
      <w:r w:rsidR="00EE7D6A">
        <w:t>column 6 of the table at Annex 4</w:t>
      </w:r>
      <w:r>
        <w:t xml:space="preserve">) as being subject to the occurrence of a certain event the </w:t>
      </w:r>
      <w:r w:rsidR="00716B73">
        <w:t>Provider</w:t>
      </w:r>
      <w:r>
        <w:t xml:space="preserve"> shall grant access to the person and information specified (in </w:t>
      </w:r>
      <w:r w:rsidR="00EE7D6A">
        <w:t>column 6 of the table at Annex 4</w:t>
      </w:r>
      <w:r>
        <w:t xml:space="preserve">) from the Initial Upload Date. </w:t>
      </w:r>
    </w:p>
    <w:p w14:paraId="042BB0CA" w14:textId="682F87D2" w:rsidR="002931FD" w:rsidRDefault="002931FD">
      <w:pPr>
        <w:pStyle w:val="GSRL4numberedclause"/>
      </w:pPr>
      <w:r>
        <w:t xml:space="preserve">Where </w:t>
      </w:r>
      <w:r w:rsidR="00EA612A">
        <w:t>access permission</w:t>
      </w:r>
      <w:r>
        <w:t xml:space="preserve"> is specified </w:t>
      </w:r>
      <w:r w:rsidR="00EA612A">
        <w:t xml:space="preserve">in Annex 4 </w:t>
      </w:r>
      <w:r>
        <w:t xml:space="preserve">as being granted to </w:t>
      </w:r>
      <w:r w:rsidR="00716B73">
        <w:t>HSE</w:t>
      </w:r>
      <w:r w:rsidR="00EE7D6A">
        <w:t>'s third party a</w:t>
      </w:r>
      <w:r>
        <w:t xml:space="preserve">uditor (prior to </w:t>
      </w:r>
      <w:r w:rsidR="00716B73">
        <w:t>HSE</w:t>
      </w:r>
      <w:r>
        <w:t xml:space="preserve"> being granted access) it shall:</w:t>
      </w:r>
    </w:p>
    <w:p w14:paraId="1B29EC62" w14:textId="66FF79FC" w:rsidR="002931FD" w:rsidRDefault="002931FD">
      <w:pPr>
        <w:pStyle w:val="GSRL5numberedclause"/>
      </w:pPr>
      <w:r>
        <w:t xml:space="preserve">be entitled to access, view and download </w:t>
      </w:r>
      <w:r w:rsidR="00EE7D6A">
        <w:t>information specified in Annex 4</w:t>
      </w:r>
      <w:r>
        <w:t xml:space="preserve"> subject to it entering into a confidentiality agreement with the </w:t>
      </w:r>
      <w:r w:rsidR="00716B73">
        <w:t>Provider</w:t>
      </w:r>
      <w:r>
        <w:t xml:space="preserve"> to keep the contents confidential (except to the extent disclosure of the confidential informati</w:t>
      </w:r>
      <w:r w:rsidR="00EE7D6A">
        <w:t>on is required under paragraph 5.10.2</w:t>
      </w:r>
      <w:r>
        <w:t xml:space="preserve"> of this Schedule); and</w:t>
      </w:r>
    </w:p>
    <w:p w14:paraId="325E2B84" w14:textId="198D45F0" w:rsidR="002931FD" w:rsidRDefault="002931FD">
      <w:pPr>
        <w:pStyle w:val="GSRL5numberedclause"/>
      </w:pPr>
      <w:r>
        <w:lastRenderedPageBreak/>
        <w:t xml:space="preserve">report to </w:t>
      </w:r>
      <w:r w:rsidR="00716B73">
        <w:t>HSE</w:t>
      </w:r>
      <w:r>
        <w:t xml:space="preserve"> (at its request) as to the completeness and accuracy of the information but not the substance of the information. </w:t>
      </w:r>
    </w:p>
    <w:p w14:paraId="61B83E78" w14:textId="73DC798A" w:rsidR="002931FD" w:rsidRDefault="002931FD">
      <w:pPr>
        <w:pStyle w:val="GSRL4numberedclause"/>
      </w:pPr>
      <w:r>
        <w:t xml:space="preserve">The </w:t>
      </w:r>
      <w:r w:rsidR="00716B73">
        <w:t>Provider</w:t>
      </w:r>
      <w:r>
        <w:t xml:space="preserve"> shall ensure that the Virtual Library retains in an accessible form all historic or superseded records of t</w:t>
      </w:r>
      <w:r w:rsidR="00EE7D6A">
        <w:t>he information specified Annex 4.</w:t>
      </w:r>
      <w:r>
        <w:t xml:space="preserve"> In order to maintain the integrity of the historic archive of the information and documentation and for the purposes of maintaining a clear audit trail, the </w:t>
      </w:r>
      <w:r w:rsidR="00716B73">
        <w:t>Provider</w:t>
      </w:r>
      <w:r>
        <w:t xml:space="preserve"> shall not delete or overwrite any information that has been stored in the Virtual Library, except for the purposes of maintenance (provided no information is lost during maintenance) or to enable the </w:t>
      </w:r>
      <w:r w:rsidR="00716B73">
        <w:t>Provider</w:t>
      </w:r>
      <w:r>
        <w:t xml:space="preserve"> to comply with Data Protection Legislation.</w:t>
      </w:r>
    </w:p>
    <w:p w14:paraId="7441616D" w14:textId="087F107F" w:rsidR="002931FD" w:rsidRDefault="002931FD">
      <w:pPr>
        <w:pStyle w:val="GSRL4numberedclause"/>
      </w:pPr>
      <w:r>
        <w:t xml:space="preserve">The </w:t>
      </w:r>
      <w:r w:rsidR="00716B73">
        <w:t>Provider</w:t>
      </w:r>
      <w:r>
        <w:t xml:space="preserve"> warrants that the information uploaded to the Virtual Library is accurate, complete, up-to-date and in accordance with this </w:t>
      </w:r>
      <w:r w:rsidR="00EE7D6A">
        <w:t>Agreement</w:t>
      </w:r>
      <w:r>
        <w:t xml:space="preserve"> at the date of upload. </w:t>
      </w:r>
    </w:p>
    <w:p w14:paraId="0B4378A7" w14:textId="30B4F742" w:rsidR="002931FD" w:rsidRDefault="002931FD">
      <w:pPr>
        <w:pStyle w:val="GSRL4numberedclause"/>
      </w:pPr>
      <w:r>
        <w:t xml:space="preserve">Where the </w:t>
      </w:r>
      <w:r w:rsidR="00716B73">
        <w:t>Provider</w:t>
      </w:r>
      <w:r>
        <w:t xml:space="preserve"> becomes aware that any of the information provided on the Virtual Library is materially inaccurate, incomplete or out of date (other than in respect of historic versions of documents) the </w:t>
      </w:r>
      <w:r w:rsidR="00716B73">
        <w:t>Provider</w:t>
      </w:r>
      <w:r>
        <w:t xml:space="preserve"> shall provide an update to the information within fourteen (14) days unless already due to b</w:t>
      </w:r>
      <w:r w:rsidR="00EA612A">
        <w:t>e updated beforehand due to an update r</w:t>
      </w:r>
      <w:r>
        <w:t>equirement specified in Annex</w:t>
      </w:r>
      <w:r w:rsidR="00EE7D6A">
        <w:t xml:space="preserve"> 4</w:t>
      </w:r>
      <w:r>
        <w:t>.</w:t>
      </w:r>
    </w:p>
    <w:p w14:paraId="3678616E" w14:textId="7413E061" w:rsidR="002931FD" w:rsidRDefault="002931FD">
      <w:pPr>
        <w:pStyle w:val="GSRL4numberedclause"/>
      </w:pPr>
      <w:r>
        <w:t xml:space="preserve">In the event of a conflict between any requirement in </w:t>
      </w:r>
      <w:r w:rsidR="00EE7D6A">
        <w:t>this Agreement (excluding Annex 4</w:t>
      </w:r>
      <w:r>
        <w:t xml:space="preserve">) for the </w:t>
      </w:r>
      <w:r w:rsidR="00716B73">
        <w:t>Provider</w:t>
      </w:r>
      <w:r>
        <w:t xml:space="preserve"> to provide information to </w:t>
      </w:r>
      <w:r w:rsidR="00716B73">
        <w:t>HSE</w:t>
      </w:r>
      <w:r>
        <w:t xml:space="preserve"> and the</w:t>
      </w:r>
      <w:r w:rsidR="00EE7D6A">
        <w:t xml:space="preserve"> requirements set out in Annex 4</w:t>
      </w:r>
      <w:r>
        <w:t xml:space="preserve"> of this Schedule, the requirement elsewhere in this </w:t>
      </w:r>
      <w:r w:rsidR="00EE7D6A">
        <w:t>Agreement</w:t>
      </w:r>
      <w:r>
        <w:t xml:space="preserve"> shall prevail. </w:t>
      </w:r>
    </w:p>
    <w:p w14:paraId="433E8CBB" w14:textId="2C1F68EC" w:rsidR="002931FD" w:rsidRDefault="002931FD">
      <w:pPr>
        <w:pStyle w:val="GSRL4numberedclause"/>
      </w:pPr>
      <w:r>
        <w:t xml:space="preserve">The </w:t>
      </w:r>
      <w:r w:rsidR="00716B73">
        <w:t>Provider</w:t>
      </w:r>
      <w:r>
        <w:t xml:space="preserve"> shall ensure that all approved users of the Virtual Library are alerted by email each time that information in the Virtual Library is uploaded or updated as it occurs. </w:t>
      </w:r>
    </w:p>
    <w:p w14:paraId="51A9BE9E" w14:textId="70FF8A2F" w:rsidR="002931FD" w:rsidRDefault="002931FD">
      <w:pPr>
        <w:pStyle w:val="GSRL4numberedclause"/>
      </w:pPr>
      <w:r>
        <w:t xml:space="preserve">No later than </w:t>
      </w:r>
      <w:r w:rsidR="003B787E">
        <w:t xml:space="preserve">two </w:t>
      </w:r>
      <w:r>
        <w:t>(</w:t>
      </w:r>
      <w:r w:rsidR="003B787E">
        <w:t>2</w:t>
      </w:r>
      <w:r>
        <w:t xml:space="preserve">) </w:t>
      </w:r>
      <w:r w:rsidR="003B787E">
        <w:t>weeks</w:t>
      </w:r>
      <w:r>
        <w:t xml:space="preserve"> prior to the Services </w:t>
      </w:r>
      <w:r w:rsidR="00EE7D6A">
        <w:t>Start</w:t>
      </w:r>
      <w:r>
        <w:t xml:space="preserve"> Date, the </w:t>
      </w:r>
      <w:r w:rsidR="00716B73">
        <w:t>Provider</w:t>
      </w:r>
      <w:r>
        <w:t xml:space="preserve"> shall provide training manuals to </w:t>
      </w:r>
      <w:r w:rsidR="00716B73">
        <w:t>HSE</w:t>
      </w:r>
      <w:r>
        <w:t xml:space="preserve"> relating to the use of the Virtual Library.</w:t>
      </w:r>
    </w:p>
    <w:p w14:paraId="7802A7AF" w14:textId="1C2A31BA" w:rsidR="002931FD" w:rsidRDefault="002931FD">
      <w:pPr>
        <w:pStyle w:val="GSRL4numberedclause"/>
      </w:pPr>
      <w:r>
        <w:t xml:space="preserve">On request by </w:t>
      </w:r>
      <w:r w:rsidR="00716B73">
        <w:t>HSE</w:t>
      </w:r>
      <w:r>
        <w:t xml:space="preserve"> the </w:t>
      </w:r>
      <w:r w:rsidR="00716B73">
        <w:t>Provider</w:t>
      </w:r>
      <w:r>
        <w:t xml:space="preserve"> shall provide </w:t>
      </w:r>
      <w:r w:rsidR="00716B73">
        <w:t>HSE</w:t>
      </w:r>
      <w:r>
        <w:t xml:space="preserve">'s nominated users with a reasonable level of training and ongoing support to enable them to make use of the Virtual Library. </w:t>
      </w:r>
    </w:p>
    <w:p w14:paraId="0BA66E24" w14:textId="19EB9D77" w:rsidR="002931FD" w:rsidRDefault="002931FD">
      <w:pPr>
        <w:pStyle w:val="GSRL4numberedclause"/>
      </w:pPr>
      <w:r>
        <w:t xml:space="preserve">For the avoidance of doubt, the cost of any redactions, access restrictions or compliance with the Data Protection Legislation in respect of the information hosted on the Virtual Library shall be at the </w:t>
      </w:r>
      <w:r w:rsidR="00716B73">
        <w:t>Provider</w:t>
      </w:r>
      <w:r>
        <w:t>'s own cost and expense.</w:t>
      </w:r>
    </w:p>
    <w:p w14:paraId="5B9481ED" w14:textId="77777777" w:rsidR="002931FD" w:rsidRPr="002931FD" w:rsidRDefault="002931FD" w:rsidP="002931FD">
      <w:pPr>
        <w:rPr>
          <w:lang w:eastAsia="zh-CN"/>
        </w:rPr>
      </w:pPr>
    </w:p>
    <w:p w14:paraId="276DF5AD" w14:textId="77777777" w:rsidR="002931FD" w:rsidRPr="002931FD" w:rsidRDefault="002931FD" w:rsidP="002931FD">
      <w:pPr>
        <w:rPr>
          <w:lang w:eastAsia="zh-CN"/>
        </w:rPr>
      </w:pPr>
    </w:p>
    <w:p w14:paraId="04B9B674" w14:textId="77777777" w:rsidR="00B074CC" w:rsidRPr="001A1836" w:rsidRDefault="00B074CC" w:rsidP="00B073F9">
      <w:pPr>
        <w:pStyle w:val="GSRL2Sectionheading"/>
      </w:pPr>
      <w:r w:rsidRPr="001A1836">
        <w:br w:type="page"/>
      </w:r>
      <w:bookmarkStart w:id="2502" w:name="_Toc508870632"/>
      <w:bookmarkStart w:id="2503" w:name="_Toc521327129"/>
      <w:bookmarkStart w:id="2504" w:name="_Toc521333362"/>
      <w:bookmarkStart w:id="2505" w:name="_Toc521484093"/>
      <w:bookmarkStart w:id="2506" w:name="_Toc521484856"/>
      <w:bookmarkStart w:id="2507" w:name="_Toc521485187"/>
      <w:bookmarkStart w:id="2508" w:name="_Toc521496924"/>
      <w:bookmarkStart w:id="2509" w:name="_Toc521498366"/>
      <w:bookmarkStart w:id="2510" w:name="_Toc529346065"/>
      <w:bookmarkStart w:id="2511" w:name="_Toc129038278"/>
      <w:bookmarkStart w:id="2512" w:name="_Toc129038564"/>
      <w:bookmarkStart w:id="2513" w:name="_Toc132268139"/>
      <w:bookmarkStart w:id="2514" w:name="_Toc132268445"/>
      <w:bookmarkStart w:id="2515" w:name="_Toc136198695"/>
      <w:bookmarkStart w:id="2516" w:name="_Toc136198976"/>
      <w:r w:rsidRPr="001A1836">
        <w:lastRenderedPageBreak/>
        <w:t>Annex 1 – MI Reporting Template</w:t>
      </w:r>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r w:rsidRPr="001A1836">
        <w:t xml:space="preserve"> </w:t>
      </w:r>
    </w:p>
    <w:p w14:paraId="63992DC5" w14:textId="77777777" w:rsidR="00B074CC" w:rsidRPr="001A1836" w:rsidRDefault="00B074CC" w:rsidP="00626054">
      <w:pPr>
        <w:spacing w:after="0"/>
        <w:rPr>
          <w:sz w:val="20"/>
          <w:szCs w:val="24"/>
        </w:rPr>
      </w:pPr>
    </w:p>
    <w:tbl>
      <w:tblPr>
        <w:tblW w:w="92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
        <w:gridCol w:w="49"/>
        <w:gridCol w:w="1525"/>
        <w:gridCol w:w="34"/>
        <w:gridCol w:w="6804"/>
        <w:gridCol w:w="27"/>
      </w:tblGrid>
      <w:tr w:rsidR="00B074CC" w:rsidRPr="001A1836" w14:paraId="21EA65E9" w14:textId="77777777" w:rsidTr="004D790B">
        <w:trPr>
          <w:cantSplit/>
          <w:tblHeader/>
        </w:trPr>
        <w:tc>
          <w:tcPr>
            <w:tcW w:w="802" w:type="dxa"/>
            <w:tcBorders>
              <w:bottom w:val="single" w:sz="12" w:space="0" w:color="auto"/>
            </w:tcBorders>
            <w:shd w:val="clear" w:color="auto" w:fill="auto"/>
          </w:tcPr>
          <w:p w14:paraId="067DD029" w14:textId="77777777" w:rsidR="00B074CC" w:rsidRPr="001A1836" w:rsidRDefault="00B074CC" w:rsidP="00626054">
            <w:pPr>
              <w:rPr>
                <w:rFonts w:cs="Arial"/>
                <w:b/>
                <w:sz w:val="20"/>
              </w:rPr>
            </w:pPr>
            <w:r w:rsidRPr="001A1836">
              <w:rPr>
                <w:rFonts w:cs="Arial"/>
                <w:b/>
                <w:sz w:val="20"/>
              </w:rPr>
              <w:t>ID</w:t>
            </w:r>
          </w:p>
        </w:tc>
        <w:tc>
          <w:tcPr>
            <w:tcW w:w="1574" w:type="dxa"/>
            <w:gridSpan w:val="2"/>
            <w:tcBorders>
              <w:bottom w:val="single" w:sz="12" w:space="0" w:color="auto"/>
            </w:tcBorders>
            <w:shd w:val="clear" w:color="auto" w:fill="auto"/>
          </w:tcPr>
          <w:p w14:paraId="23A77675" w14:textId="77777777" w:rsidR="00B074CC" w:rsidRPr="001A1836" w:rsidRDefault="00B074CC" w:rsidP="00626054">
            <w:pPr>
              <w:rPr>
                <w:rFonts w:cs="Arial"/>
                <w:b/>
                <w:sz w:val="20"/>
              </w:rPr>
            </w:pPr>
            <w:r w:rsidRPr="001A1836">
              <w:rPr>
                <w:rFonts w:cs="Arial"/>
                <w:b/>
                <w:sz w:val="20"/>
              </w:rPr>
              <w:t>Service Level</w:t>
            </w:r>
          </w:p>
        </w:tc>
        <w:tc>
          <w:tcPr>
            <w:tcW w:w="6865" w:type="dxa"/>
            <w:gridSpan w:val="3"/>
            <w:tcBorders>
              <w:bottom w:val="single" w:sz="12" w:space="0" w:color="auto"/>
            </w:tcBorders>
            <w:shd w:val="clear" w:color="auto" w:fill="auto"/>
          </w:tcPr>
          <w:p w14:paraId="6A783DDE" w14:textId="77777777" w:rsidR="00B074CC" w:rsidRPr="001A1836" w:rsidRDefault="00B074CC" w:rsidP="00626054">
            <w:pPr>
              <w:rPr>
                <w:rFonts w:cs="Arial"/>
                <w:b/>
                <w:sz w:val="20"/>
              </w:rPr>
            </w:pPr>
            <w:r w:rsidRPr="001A1836">
              <w:rPr>
                <w:rFonts w:cs="Arial"/>
                <w:b/>
                <w:sz w:val="20"/>
              </w:rPr>
              <w:t>Management information</w:t>
            </w:r>
          </w:p>
        </w:tc>
      </w:tr>
      <w:tr w:rsidR="00B074CC" w:rsidRPr="001A1836" w14:paraId="0AA87B5E" w14:textId="77777777" w:rsidTr="004D790B">
        <w:trPr>
          <w:cantSplit/>
        </w:trPr>
        <w:tc>
          <w:tcPr>
            <w:tcW w:w="802" w:type="dxa"/>
            <w:tcBorders>
              <w:top w:val="single" w:sz="12" w:space="0" w:color="auto"/>
            </w:tcBorders>
            <w:shd w:val="clear" w:color="auto" w:fill="auto"/>
          </w:tcPr>
          <w:p w14:paraId="38546394" w14:textId="77777777" w:rsidR="00B074CC" w:rsidRPr="001A1836" w:rsidRDefault="00B074CC" w:rsidP="00626054">
            <w:pPr>
              <w:rPr>
                <w:rFonts w:cs="Arial"/>
                <w:b/>
                <w:sz w:val="24"/>
                <w:szCs w:val="24"/>
              </w:rPr>
            </w:pPr>
            <w:r w:rsidRPr="001A1836">
              <w:rPr>
                <w:rFonts w:cs="Arial"/>
                <w:b/>
                <w:sz w:val="24"/>
                <w:szCs w:val="24"/>
              </w:rPr>
              <w:t>1</w:t>
            </w:r>
          </w:p>
        </w:tc>
        <w:tc>
          <w:tcPr>
            <w:tcW w:w="8439" w:type="dxa"/>
            <w:gridSpan w:val="5"/>
            <w:tcBorders>
              <w:top w:val="single" w:sz="12" w:space="0" w:color="auto"/>
            </w:tcBorders>
            <w:shd w:val="clear" w:color="auto" w:fill="auto"/>
          </w:tcPr>
          <w:p w14:paraId="187CE6A1" w14:textId="77777777" w:rsidR="00B074CC" w:rsidRPr="001A1836" w:rsidRDefault="00B074CC" w:rsidP="00626054">
            <w:pPr>
              <w:rPr>
                <w:rFonts w:cs="Arial"/>
                <w:b/>
                <w:sz w:val="24"/>
                <w:szCs w:val="24"/>
              </w:rPr>
            </w:pPr>
            <w:r w:rsidRPr="001A1836">
              <w:rPr>
                <w:rFonts w:cs="Arial"/>
                <w:b/>
                <w:sz w:val="24"/>
                <w:szCs w:val="24"/>
              </w:rPr>
              <w:t>Registered businesses and engineers</w:t>
            </w:r>
          </w:p>
        </w:tc>
      </w:tr>
      <w:tr w:rsidR="00B074CC" w:rsidRPr="001A1836" w14:paraId="3C93DC84" w14:textId="77777777" w:rsidTr="004D790B">
        <w:trPr>
          <w:cantSplit/>
        </w:trPr>
        <w:tc>
          <w:tcPr>
            <w:tcW w:w="802" w:type="dxa"/>
            <w:shd w:val="clear" w:color="auto" w:fill="auto"/>
          </w:tcPr>
          <w:p w14:paraId="7C91868F" w14:textId="77777777" w:rsidR="00B074CC" w:rsidRPr="001A1836" w:rsidRDefault="00B074CC" w:rsidP="00626054">
            <w:pPr>
              <w:rPr>
                <w:rFonts w:cs="Arial"/>
                <w:sz w:val="20"/>
              </w:rPr>
            </w:pPr>
          </w:p>
        </w:tc>
        <w:tc>
          <w:tcPr>
            <w:tcW w:w="1574" w:type="dxa"/>
            <w:gridSpan w:val="2"/>
            <w:shd w:val="clear" w:color="auto" w:fill="auto"/>
          </w:tcPr>
          <w:p w14:paraId="75E40BBD" w14:textId="77777777" w:rsidR="00B074CC" w:rsidRPr="001A1836" w:rsidRDefault="00B074CC" w:rsidP="00626054">
            <w:pPr>
              <w:rPr>
                <w:rFonts w:cs="Arial"/>
                <w:sz w:val="20"/>
              </w:rPr>
            </w:pPr>
          </w:p>
        </w:tc>
        <w:tc>
          <w:tcPr>
            <w:tcW w:w="6865" w:type="dxa"/>
            <w:gridSpan w:val="3"/>
            <w:shd w:val="clear" w:color="auto" w:fill="auto"/>
          </w:tcPr>
          <w:p w14:paraId="48A35229" w14:textId="77777777" w:rsidR="00B074CC" w:rsidRPr="001A1836" w:rsidRDefault="00B074CC" w:rsidP="00626054">
            <w:pPr>
              <w:rPr>
                <w:rFonts w:cs="Arial"/>
                <w:b/>
                <w:sz w:val="20"/>
              </w:rPr>
            </w:pPr>
            <w:r w:rsidRPr="001A1836">
              <w:rPr>
                <w:rFonts w:cs="Arial"/>
                <w:b/>
                <w:sz w:val="20"/>
              </w:rPr>
              <w:t>Registration numbers</w:t>
            </w:r>
          </w:p>
        </w:tc>
      </w:tr>
      <w:tr w:rsidR="00B074CC" w:rsidRPr="001A1836" w14:paraId="761CED98" w14:textId="77777777" w:rsidTr="004D790B">
        <w:trPr>
          <w:cantSplit/>
        </w:trPr>
        <w:tc>
          <w:tcPr>
            <w:tcW w:w="802" w:type="dxa"/>
            <w:shd w:val="clear" w:color="auto" w:fill="auto"/>
          </w:tcPr>
          <w:p w14:paraId="0F7F83D4" w14:textId="77777777" w:rsidR="00B074CC" w:rsidRPr="001A1836" w:rsidRDefault="00B074CC" w:rsidP="00626054">
            <w:pPr>
              <w:rPr>
                <w:rFonts w:cs="Arial"/>
                <w:sz w:val="20"/>
              </w:rPr>
            </w:pPr>
            <w:r w:rsidRPr="001A1836">
              <w:rPr>
                <w:rFonts w:cs="Arial"/>
                <w:sz w:val="20"/>
              </w:rPr>
              <w:t>1.01</w:t>
            </w:r>
          </w:p>
        </w:tc>
        <w:tc>
          <w:tcPr>
            <w:tcW w:w="1574" w:type="dxa"/>
            <w:gridSpan w:val="2"/>
            <w:shd w:val="clear" w:color="auto" w:fill="auto"/>
          </w:tcPr>
          <w:p w14:paraId="29F1279F" w14:textId="77777777" w:rsidR="00B074CC" w:rsidRPr="001A1836" w:rsidRDefault="00B074CC" w:rsidP="00626054">
            <w:pPr>
              <w:rPr>
                <w:rFonts w:cs="Arial"/>
                <w:sz w:val="20"/>
              </w:rPr>
            </w:pPr>
          </w:p>
        </w:tc>
        <w:tc>
          <w:tcPr>
            <w:tcW w:w="6865" w:type="dxa"/>
            <w:gridSpan w:val="3"/>
            <w:shd w:val="clear" w:color="auto" w:fill="auto"/>
          </w:tcPr>
          <w:p w14:paraId="2389BCCE" w14:textId="77777777" w:rsidR="00B074CC" w:rsidRPr="001A1836" w:rsidRDefault="00B074CC" w:rsidP="00626054">
            <w:pPr>
              <w:rPr>
                <w:rFonts w:cs="Arial"/>
                <w:sz w:val="20"/>
              </w:rPr>
            </w:pPr>
            <w:r w:rsidRPr="001A1836">
              <w:rPr>
                <w:rFonts w:cs="Arial"/>
                <w:sz w:val="20"/>
              </w:rPr>
              <w:t>Number of registered businesses</w:t>
            </w:r>
          </w:p>
        </w:tc>
      </w:tr>
      <w:tr w:rsidR="00B074CC" w:rsidRPr="001A1836" w14:paraId="42107111" w14:textId="77777777" w:rsidTr="004D790B">
        <w:trPr>
          <w:cantSplit/>
        </w:trPr>
        <w:tc>
          <w:tcPr>
            <w:tcW w:w="802" w:type="dxa"/>
            <w:shd w:val="clear" w:color="auto" w:fill="auto"/>
          </w:tcPr>
          <w:p w14:paraId="4ED3DA5A" w14:textId="77777777" w:rsidR="00B074CC" w:rsidRPr="001A1836" w:rsidRDefault="00B074CC" w:rsidP="00626054">
            <w:pPr>
              <w:rPr>
                <w:rFonts w:cs="Arial"/>
                <w:sz w:val="20"/>
              </w:rPr>
            </w:pPr>
            <w:r w:rsidRPr="001A1836">
              <w:rPr>
                <w:rFonts w:cs="Arial"/>
                <w:sz w:val="20"/>
              </w:rPr>
              <w:t>1.02</w:t>
            </w:r>
          </w:p>
        </w:tc>
        <w:tc>
          <w:tcPr>
            <w:tcW w:w="1574" w:type="dxa"/>
            <w:gridSpan w:val="2"/>
            <w:shd w:val="clear" w:color="auto" w:fill="auto"/>
          </w:tcPr>
          <w:p w14:paraId="306C8B88" w14:textId="77777777" w:rsidR="00B074CC" w:rsidRPr="001A1836" w:rsidRDefault="00B074CC" w:rsidP="00626054">
            <w:pPr>
              <w:rPr>
                <w:rFonts w:cs="Arial"/>
                <w:sz w:val="20"/>
              </w:rPr>
            </w:pPr>
          </w:p>
        </w:tc>
        <w:tc>
          <w:tcPr>
            <w:tcW w:w="6865" w:type="dxa"/>
            <w:gridSpan w:val="3"/>
            <w:shd w:val="clear" w:color="auto" w:fill="auto"/>
          </w:tcPr>
          <w:p w14:paraId="4F31BC45" w14:textId="77777777" w:rsidR="00B074CC" w:rsidRPr="001A1836" w:rsidRDefault="00B074CC" w:rsidP="00626054">
            <w:pPr>
              <w:rPr>
                <w:rFonts w:cs="Arial"/>
                <w:sz w:val="20"/>
              </w:rPr>
            </w:pPr>
            <w:r w:rsidRPr="001A1836">
              <w:rPr>
                <w:rFonts w:cs="Arial"/>
                <w:sz w:val="20"/>
              </w:rPr>
              <w:t>Number of registered engineers</w:t>
            </w:r>
          </w:p>
        </w:tc>
      </w:tr>
      <w:tr w:rsidR="00B074CC" w:rsidRPr="001A1836" w14:paraId="6BC6B3CD" w14:textId="77777777" w:rsidTr="004D790B">
        <w:trPr>
          <w:cantSplit/>
        </w:trPr>
        <w:tc>
          <w:tcPr>
            <w:tcW w:w="802" w:type="dxa"/>
            <w:shd w:val="clear" w:color="auto" w:fill="auto"/>
          </w:tcPr>
          <w:p w14:paraId="0BCE7664" w14:textId="77777777" w:rsidR="00B074CC" w:rsidRPr="001A1836" w:rsidRDefault="00B074CC" w:rsidP="00626054">
            <w:pPr>
              <w:rPr>
                <w:rFonts w:cs="Arial"/>
                <w:sz w:val="20"/>
              </w:rPr>
            </w:pPr>
            <w:r w:rsidRPr="001A1836">
              <w:rPr>
                <w:rFonts w:cs="Arial"/>
                <w:sz w:val="20"/>
              </w:rPr>
              <w:t>1.03</w:t>
            </w:r>
          </w:p>
        </w:tc>
        <w:tc>
          <w:tcPr>
            <w:tcW w:w="1574" w:type="dxa"/>
            <w:gridSpan w:val="2"/>
            <w:shd w:val="clear" w:color="auto" w:fill="auto"/>
          </w:tcPr>
          <w:p w14:paraId="0AA08C4F" w14:textId="77777777" w:rsidR="00B074CC" w:rsidRPr="001A1836" w:rsidRDefault="00B074CC" w:rsidP="00626054">
            <w:pPr>
              <w:rPr>
                <w:rFonts w:cs="Arial"/>
                <w:sz w:val="20"/>
              </w:rPr>
            </w:pPr>
          </w:p>
        </w:tc>
        <w:tc>
          <w:tcPr>
            <w:tcW w:w="6865" w:type="dxa"/>
            <w:gridSpan w:val="3"/>
            <w:shd w:val="clear" w:color="auto" w:fill="auto"/>
          </w:tcPr>
          <w:p w14:paraId="4C336C18" w14:textId="77777777" w:rsidR="00B074CC" w:rsidRPr="001A1836" w:rsidRDefault="00B074CC" w:rsidP="00626054">
            <w:pPr>
              <w:rPr>
                <w:rFonts w:cs="Arial"/>
                <w:sz w:val="20"/>
              </w:rPr>
            </w:pPr>
            <w:r w:rsidRPr="001A1836">
              <w:rPr>
                <w:rFonts w:cs="Arial"/>
                <w:sz w:val="20"/>
              </w:rPr>
              <w:t>Number of unique registered engineers</w:t>
            </w:r>
          </w:p>
        </w:tc>
      </w:tr>
      <w:tr w:rsidR="00B074CC" w:rsidRPr="001A1836" w14:paraId="5F1F3E46" w14:textId="77777777" w:rsidTr="004D790B">
        <w:trPr>
          <w:cantSplit/>
        </w:trPr>
        <w:tc>
          <w:tcPr>
            <w:tcW w:w="802" w:type="dxa"/>
            <w:shd w:val="clear" w:color="auto" w:fill="auto"/>
          </w:tcPr>
          <w:p w14:paraId="40ECAC92" w14:textId="77777777" w:rsidR="00B074CC" w:rsidRPr="001A1836" w:rsidRDefault="00B074CC" w:rsidP="00626054">
            <w:pPr>
              <w:rPr>
                <w:rFonts w:cs="Arial"/>
                <w:sz w:val="20"/>
              </w:rPr>
            </w:pPr>
            <w:r w:rsidRPr="001A1836">
              <w:rPr>
                <w:rFonts w:cs="Arial"/>
                <w:sz w:val="20"/>
              </w:rPr>
              <w:t>1.04</w:t>
            </w:r>
          </w:p>
        </w:tc>
        <w:tc>
          <w:tcPr>
            <w:tcW w:w="1574" w:type="dxa"/>
            <w:gridSpan w:val="2"/>
            <w:shd w:val="clear" w:color="auto" w:fill="auto"/>
          </w:tcPr>
          <w:p w14:paraId="52A5227F" w14:textId="77777777" w:rsidR="00B074CC" w:rsidRPr="001A1836" w:rsidRDefault="00B074CC" w:rsidP="00626054">
            <w:pPr>
              <w:rPr>
                <w:rFonts w:cs="Arial"/>
                <w:sz w:val="20"/>
              </w:rPr>
            </w:pPr>
          </w:p>
        </w:tc>
        <w:tc>
          <w:tcPr>
            <w:tcW w:w="6865" w:type="dxa"/>
            <w:gridSpan w:val="3"/>
            <w:shd w:val="clear" w:color="auto" w:fill="auto"/>
          </w:tcPr>
          <w:p w14:paraId="24294A97" w14:textId="77777777" w:rsidR="00B074CC" w:rsidRPr="001A1836" w:rsidRDefault="00B074CC" w:rsidP="00626054">
            <w:pPr>
              <w:rPr>
                <w:rFonts w:cs="Arial"/>
                <w:sz w:val="20"/>
              </w:rPr>
            </w:pPr>
            <w:r w:rsidRPr="001A1836">
              <w:rPr>
                <w:rFonts w:cs="Arial"/>
                <w:sz w:val="20"/>
              </w:rPr>
              <w:t>Number of operative registrations (inc in-year changes)</w:t>
            </w:r>
          </w:p>
        </w:tc>
      </w:tr>
      <w:tr w:rsidR="00B074CC" w:rsidRPr="001A1836" w14:paraId="03650A5C" w14:textId="77777777" w:rsidTr="004D790B">
        <w:trPr>
          <w:cantSplit/>
        </w:trPr>
        <w:tc>
          <w:tcPr>
            <w:tcW w:w="802" w:type="dxa"/>
            <w:shd w:val="clear" w:color="auto" w:fill="auto"/>
          </w:tcPr>
          <w:p w14:paraId="4CA4DED7" w14:textId="77777777" w:rsidR="00B074CC" w:rsidRPr="001A1836" w:rsidRDefault="00B074CC" w:rsidP="00626054">
            <w:pPr>
              <w:rPr>
                <w:rFonts w:cs="Arial"/>
                <w:sz w:val="20"/>
              </w:rPr>
            </w:pPr>
          </w:p>
        </w:tc>
        <w:tc>
          <w:tcPr>
            <w:tcW w:w="1574" w:type="dxa"/>
            <w:gridSpan w:val="2"/>
            <w:shd w:val="clear" w:color="auto" w:fill="auto"/>
          </w:tcPr>
          <w:p w14:paraId="6C05CF05" w14:textId="77777777" w:rsidR="00B074CC" w:rsidRPr="001A1836" w:rsidRDefault="00B074CC" w:rsidP="00626054">
            <w:pPr>
              <w:rPr>
                <w:rFonts w:cs="Arial"/>
                <w:sz w:val="20"/>
              </w:rPr>
            </w:pPr>
          </w:p>
        </w:tc>
        <w:tc>
          <w:tcPr>
            <w:tcW w:w="6865" w:type="dxa"/>
            <w:gridSpan w:val="3"/>
            <w:shd w:val="clear" w:color="auto" w:fill="auto"/>
          </w:tcPr>
          <w:p w14:paraId="35E3E8C1" w14:textId="77777777" w:rsidR="00B074CC" w:rsidRPr="001A1836" w:rsidRDefault="00B074CC" w:rsidP="00626054">
            <w:pPr>
              <w:rPr>
                <w:rFonts w:cs="Arial"/>
                <w:b/>
                <w:sz w:val="20"/>
              </w:rPr>
            </w:pPr>
            <w:r w:rsidRPr="001A1836">
              <w:rPr>
                <w:rFonts w:cs="Arial"/>
                <w:b/>
                <w:sz w:val="20"/>
              </w:rPr>
              <w:t>Probationary businesses &amp; new engineer registrations</w:t>
            </w:r>
          </w:p>
        </w:tc>
      </w:tr>
      <w:tr w:rsidR="00B074CC" w:rsidRPr="001A1836" w14:paraId="68C97D30" w14:textId="77777777" w:rsidTr="004D790B">
        <w:trPr>
          <w:cantSplit/>
        </w:trPr>
        <w:tc>
          <w:tcPr>
            <w:tcW w:w="802" w:type="dxa"/>
            <w:shd w:val="clear" w:color="auto" w:fill="auto"/>
          </w:tcPr>
          <w:p w14:paraId="564B2185" w14:textId="77777777" w:rsidR="00B074CC" w:rsidRPr="001A1836" w:rsidRDefault="00B074CC" w:rsidP="00626054">
            <w:pPr>
              <w:rPr>
                <w:rFonts w:cs="Arial"/>
                <w:sz w:val="20"/>
              </w:rPr>
            </w:pPr>
            <w:r w:rsidRPr="001A1836">
              <w:rPr>
                <w:rFonts w:cs="Arial"/>
                <w:sz w:val="20"/>
              </w:rPr>
              <w:t>1.05</w:t>
            </w:r>
          </w:p>
        </w:tc>
        <w:tc>
          <w:tcPr>
            <w:tcW w:w="1574" w:type="dxa"/>
            <w:gridSpan w:val="2"/>
            <w:shd w:val="clear" w:color="auto" w:fill="auto"/>
          </w:tcPr>
          <w:p w14:paraId="1B51CAB4" w14:textId="77777777" w:rsidR="00B074CC" w:rsidRPr="001A1836" w:rsidRDefault="00B074CC" w:rsidP="00626054">
            <w:pPr>
              <w:rPr>
                <w:rFonts w:cs="Arial"/>
                <w:sz w:val="20"/>
              </w:rPr>
            </w:pPr>
          </w:p>
        </w:tc>
        <w:tc>
          <w:tcPr>
            <w:tcW w:w="6865" w:type="dxa"/>
            <w:gridSpan w:val="3"/>
            <w:shd w:val="clear" w:color="auto" w:fill="auto"/>
          </w:tcPr>
          <w:p w14:paraId="2BDA17A2" w14:textId="77777777" w:rsidR="00B074CC" w:rsidRPr="001A1836" w:rsidRDefault="00B074CC" w:rsidP="00626054">
            <w:pPr>
              <w:rPr>
                <w:rFonts w:cs="Arial"/>
                <w:sz w:val="20"/>
              </w:rPr>
            </w:pPr>
            <w:r w:rsidRPr="001A1836">
              <w:rPr>
                <w:rFonts w:cs="Arial"/>
                <w:sz w:val="20"/>
              </w:rPr>
              <w:t>Number of first-time registered engineers</w:t>
            </w:r>
          </w:p>
        </w:tc>
      </w:tr>
      <w:tr w:rsidR="00B074CC" w:rsidRPr="001A1836" w14:paraId="28C75495" w14:textId="77777777" w:rsidTr="004D790B">
        <w:trPr>
          <w:cantSplit/>
        </w:trPr>
        <w:tc>
          <w:tcPr>
            <w:tcW w:w="802" w:type="dxa"/>
            <w:shd w:val="clear" w:color="auto" w:fill="auto"/>
          </w:tcPr>
          <w:p w14:paraId="14D48464" w14:textId="77777777" w:rsidR="00B074CC" w:rsidRPr="001A1836" w:rsidRDefault="00B074CC" w:rsidP="00626054">
            <w:pPr>
              <w:rPr>
                <w:rFonts w:cs="Arial"/>
                <w:sz w:val="20"/>
              </w:rPr>
            </w:pPr>
            <w:r w:rsidRPr="001A1836">
              <w:rPr>
                <w:rFonts w:cs="Arial"/>
                <w:sz w:val="20"/>
              </w:rPr>
              <w:t>1.06</w:t>
            </w:r>
          </w:p>
        </w:tc>
        <w:tc>
          <w:tcPr>
            <w:tcW w:w="1574" w:type="dxa"/>
            <w:gridSpan w:val="2"/>
            <w:shd w:val="clear" w:color="auto" w:fill="auto"/>
          </w:tcPr>
          <w:p w14:paraId="37E79DA9" w14:textId="77777777" w:rsidR="00B074CC" w:rsidRPr="001A1836" w:rsidRDefault="00B074CC" w:rsidP="00626054">
            <w:pPr>
              <w:rPr>
                <w:rFonts w:cs="Arial"/>
                <w:sz w:val="20"/>
              </w:rPr>
            </w:pPr>
          </w:p>
        </w:tc>
        <w:tc>
          <w:tcPr>
            <w:tcW w:w="6865" w:type="dxa"/>
            <w:gridSpan w:val="3"/>
            <w:shd w:val="clear" w:color="auto" w:fill="auto"/>
          </w:tcPr>
          <w:p w14:paraId="4B98321D" w14:textId="77777777" w:rsidR="00B074CC" w:rsidRPr="001A1836" w:rsidRDefault="00B074CC" w:rsidP="00626054">
            <w:pPr>
              <w:rPr>
                <w:rFonts w:cs="Arial"/>
                <w:sz w:val="20"/>
              </w:rPr>
            </w:pPr>
            <w:r w:rsidRPr="001A1836">
              <w:rPr>
                <w:rFonts w:cs="Arial"/>
                <w:sz w:val="20"/>
              </w:rPr>
              <w:t>Number of new businesses accepted on to register</w:t>
            </w:r>
          </w:p>
        </w:tc>
      </w:tr>
      <w:tr w:rsidR="00B074CC" w:rsidRPr="001A1836" w14:paraId="2BE9F1B1" w14:textId="77777777" w:rsidTr="004D790B">
        <w:trPr>
          <w:cantSplit/>
        </w:trPr>
        <w:tc>
          <w:tcPr>
            <w:tcW w:w="802" w:type="dxa"/>
            <w:shd w:val="clear" w:color="auto" w:fill="auto"/>
          </w:tcPr>
          <w:p w14:paraId="0204AE00" w14:textId="77777777" w:rsidR="00B074CC" w:rsidRPr="001A1836" w:rsidRDefault="00B074CC" w:rsidP="00626054">
            <w:pPr>
              <w:rPr>
                <w:rFonts w:cs="Arial"/>
                <w:sz w:val="20"/>
              </w:rPr>
            </w:pPr>
            <w:r w:rsidRPr="001A1836">
              <w:rPr>
                <w:rFonts w:cs="Arial"/>
                <w:sz w:val="20"/>
              </w:rPr>
              <w:t>1.07</w:t>
            </w:r>
          </w:p>
        </w:tc>
        <w:tc>
          <w:tcPr>
            <w:tcW w:w="1574" w:type="dxa"/>
            <w:gridSpan w:val="2"/>
            <w:shd w:val="clear" w:color="auto" w:fill="auto"/>
          </w:tcPr>
          <w:p w14:paraId="0893EFA0" w14:textId="77777777" w:rsidR="00B074CC" w:rsidRPr="001A1836" w:rsidRDefault="00B074CC" w:rsidP="00626054">
            <w:pPr>
              <w:rPr>
                <w:rFonts w:cs="Arial"/>
                <w:sz w:val="20"/>
              </w:rPr>
            </w:pPr>
          </w:p>
        </w:tc>
        <w:tc>
          <w:tcPr>
            <w:tcW w:w="6865" w:type="dxa"/>
            <w:gridSpan w:val="3"/>
            <w:shd w:val="clear" w:color="auto" w:fill="auto"/>
          </w:tcPr>
          <w:p w14:paraId="2E5C7464" w14:textId="77777777" w:rsidR="00B074CC" w:rsidRPr="001A1836" w:rsidRDefault="00B074CC" w:rsidP="00626054">
            <w:pPr>
              <w:rPr>
                <w:rFonts w:cs="Arial"/>
                <w:sz w:val="20"/>
              </w:rPr>
            </w:pPr>
            <w:r w:rsidRPr="001A1836">
              <w:rPr>
                <w:rFonts w:cs="Arial"/>
                <w:sz w:val="20"/>
              </w:rPr>
              <w:t>Number of new businesses - previously registered</w:t>
            </w:r>
          </w:p>
        </w:tc>
      </w:tr>
      <w:tr w:rsidR="00B074CC" w:rsidRPr="001A1836" w14:paraId="0378A726" w14:textId="77777777" w:rsidTr="004D790B">
        <w:trPr>
          <w:cantSplit/>
        </w:trPr>
        <w:tc>
          <w:tcPr>
            <w:tcW w:w="802" w:type="dxa"/>
            <w:shd w:val="clear" w:color="auto" w:fill="auto"/>
          </w:tcPr>
          <w:p w14:paraId="48E9E7EF" w14:textId="77777777" w:rsidR="00B074CC" w:rsidRPr="001A1836" w:rsidRDefault="00B074CC" w:rsidP="00626054">
            <w:pPr>
              <w:rPr>
                <w:rFonts w:cs="Arial"/>
                <w:sz w:val="20"/>
              </w:rPr>
            </w:pPr>
            <w:r w:rsidRPr="001A1836">
              <w:rPr>
                <w:rFonts w:cs="Arial"/>
                <w:sz w:val="20"/>
              </w:rPr>
              <w:t>1.08</w:t>
            </w:r>
          </w:p>
        </w:tc>
        <w:tc>
          <w:tcPr>
            <w:tcW w:w="1574" w:type="dxa"/>
            <w:gridSpan w:val="2"/>
            <w:shd w:val="clear" w:color="auto" w:fill="auto"/>
          </w:tcPr>
          <w:p w14:paraId="507388BD" w14:textId="77777777" w:rsidR="00B074CC" w:rsidRPr="001A1836" w:rsidRDefault="00B074CC" w:rsidP="00626054">
            <w:pPr>
              <w:rPr>
                <w:rFonts w:cs="Arial"/>
                <w:sz w:val="20"/>
              </w:rPr>
            </w:pPr>
          </w:p>
        </w:tc>
        <w:tc>
          <w:tcPr>
            <w:tcW w:w="6865" w:type="dxa"/>
            <w:gridSpan w:val="3"/>
            <w:shd w:val="clear" w:color="auto" w:fill="auto"/>
          </w:tcPr>
          <w:p w14:paraId="7B5192C6" w14:textId="77777777" w:rsidR="00B074CC" w:rsidRPr="001A1836" w:rsidRDefault="00B074CC" w:rsidP="00626054">
            <w:pPr>
              <w:rPr>
                <w:rFonts w:cs="Arial"/>
                <w:sz w:val="20"/>
              </w:rPr>
            </w:pPr>
            <w:r w:rsidRPr="001A1836">
              <w:rPr>
                <w:rFonts w:cs="Arial"/>
                <w:sz w:val="20"/>
              </w:rPr>
              <w:t>Number of new businesses - new entrants</w:t>
            </w:r>
          </w:p>
        </w:tc>
      </w:tr>
      <w:tr w:rsidR="00B074CC" w:rsidRPr="001A1836" w14:paraId="620CBCDC" w14:textId="77777777" w:rsidTr="004D790B">
        <w:trPr>
          <w:cantSplit/>
        </w:trPr>
        <w:tc>
          <w:tcPr>
            <w:tcW w:w="802" w:type="dxa"/>
            <w:shd w:val="clear" w:color="auto" w:fill="auto"/>
          </w:tcPr>
          <w:p w14:paraId="46B121F7" w14:textId="77777777" w:rsidR="00B074CC" w:rsidRPr="001A1836" w:rsidRDefault="00B074CC" w:rsidP="00626054">
            <w:pPr>
              <w:rPr>
                <w:rFonts w:cs="Arial"/>
                <w:sz w:val="20"/>
              </w:rPr>
            </w:pPr>
            <w:r w:rsidRPr="001A1836">
              <w:rPr>
                <w:rFonts w:cs="Arial"/>
                <w:sz w:val="20"/>
              </w:rPr>
              <w:t>1.09</w:t>
            </w:r>
          </w:p>
        </w:tc>
        <w:tc>
          <w:tcPr>
            <w:tcW w:w="1574" w:type="dxa"/>
            <w:gridSpan w:val="2"/>
            <w:shd w:val="clear" w:color="auto" w:fill="auto"/>
          </w:tcPr>
          <w:p w14:paraId="1470CD4F" w14:textId="77777777" w:rsidR="00B074CC" w:rsidRPr="001A1836" w:rsidRDefault="00B074CC" w:rsidP="00626054">
            <w:pPr>
              <w:rPr>
                <w:rFonts w:cs="Arial"/>
                <w:sz w:val="20"/>
              </w:rPr>
            </w:pPr>
          </w:p>
        </w:tc>
        <w:tc>
          <w:tcPr>
            <w:tcW w:w="6865" w:type="dxa"/>
            <w:gridSpan w:val="3"/>
            <w:shd w:val="clear" w:color="auto" w:fill="auto"/>
          </w:tcPr>
          <w:p w14:paraId="46811B9A" w14:textId="77777777" w:rsidR="00B074CC" w:rsidRPr="001A1836" w:rsidRDefault="00B074CC" w:rsidP="00626054">
            <w:pPr>
              <w:rPr>
                <w:rFonts w:cs="Arial"/>
                <w:sz w:val="20"/>
              </w:rPr>
            </w:pPr>
            <w:r w:rsidRPr="001A1836">
              <w:rPr>
                <w:rFonts w:cs="Arial"/>
                <w:sz w:val="20"/>
              </w:rPr>
              <w:t>Number of new large business registrations (employing 10+ engineers)</w:t>
            </w:r>
          </w:p>
        </w:tc>
      </w:tr>
      <w:tr w:rsidR="00B074CC" w:rsidRPr="001A1836" w14:paraId="28F0253E" w14:textId="77777777" w:rsidTr="004D790B">
        <w:trPr>
          <w:cantSplit/>
        </w:trPr>
        <w:tc>
          <w:tcPr>
            <w:tcW w:w="802" w:type="dxa"/>
            <w:shd w:val="clear" w:color="auto" w:fill="auto"/>
          </w:tcPr>
          <w:p w14:paraId="1DB61C91" w14:textId="77777777" w:rsidR="00B074CC" w:rsidRPr="001A1836" w:rsidRDefault="00B074CC" w:rsidP="00626054">
            <w:pPr>
              <w:rPr>
                <w:rFonts w:cs="Arial"/>
                <w:sz w:val="20"/>
              </w:rPr>
            </w:pPr>
          </w:p>
        </w:tc>
        <w:tc>
          <w:tcPr>
            <w:tcW w:w="1574" w:type="dxa"/>
            <w:gridSpan w:val="2"/>
            <w:shd w:val="clear" w:color="auto" w:fill="auto"/>
          </w:tcPr>
          <w:p w14:paraId="6E729594" w14:textId="77777777" w:rsidR="00B074CC" w:rsidRPr="001A1836" w:rsidRDefault="00B074CC" w:rsidP="00626054">
            <w:pPr>
              <w:rPr>
                <w:rFonts w:cs="Arial"/>
                <w:sz w:val="20"/>
              </w:rPr>
            </w:pPr>
          </w:p>
        </w:tc>
        <w:tc>
          <w:tcPr>
            <w:tcW w:w="6865" w:type="dxa"/>
            <w:gridSpan w:val="3"/>
            <w:shd w:val="clear" w:color="auto" w:fill="auto"/>
          </w:tcPr>
          <w:p w14:paraId="3CE143BB" w14:textId="77777777" w:rsidR="00B074CC" w:rsidRPr="001A1836" w:rsidRDefault="00B074CC" w:rsidP="00626054">
            <w:pPr>
              <w:rPr>
                <w:rFonts w:cs="Arial"/>
                <w:b/>
                <w:sz w:val="20"/>
              </w:rPr>
            </w:pPr>
            <w:r w:rsidRPr="001A1836">
              <w:rPr>
                <w:rFonts w:cs="Arial"/>
                <w:b/>
                <w:sz w:val="20"/>
              </w:rPr>
              <w:t>Sanctions</w:t>
            </w:r>
          </w:p>
        </w:tc>
      </w:tr>
      <w:tr w:rsidR="00B074CC" w:rsidRPr="001A1836" w14:paraId="6F35D400" w14:textId="77777777" w:rsidTr="004D790B">
        <w:trPr>
          <w:cantSplit/>
        </w:trPr>
        <w:tc>
          <w:tcPr>
            <w:tcW w:w="802" w:type="dxa"/>
            <w:shd w:val="clear" w:color="auto" w:fill="auto"/>
          </w:tcPr>
          <w:p w14:paraId="1FD179DE" w14:textId="77777777" w:rsidR="00B074CC" w:rsidRPr="001A1836" w:rsidRDefault="00B074CC" w:rsidP="00626054">
            <w:pPr>
              <w:rPr>
                <w:rFonts w:cs="Arial"/>
                <w:sz w:val="20"/>
              </w:rPr>
            </w:pPr>
            <w:r w:rsidRPr="001A1836">
              <w:rPr>
                <w:rFonts w:cs="Arial"/>
                <w:sz w:val="20"/>
              </w:rPr>
              <w:t>1.10</w:t>
            </w:r>
          </w:p>
        </w:tc>
        <w:tc>
          <w:tcPr>
            <w:tcW w:w="1574" w:type="dxa"/>
            <w:gridSpan w:val="2"/>
            <w:shd w:val="clear" w:color="auto" w:fill="auto"/>
          </w:tcPr>
          <w:p w14:paraId="423CF1EB" w14:textId="77777777" w:rsidR="00B074CC" w:rsidRPr="001A1836" w:rsidRDefault="00B074CC" w:rsidP="00626054">
            <w:pPr>
              <w:rPr>
                <w:rFonts w:cs="Arial"/>
                <w:sz w:val="20"/>
              </w:rPr>
            </w:pPr>
          </w:p>
        </w:tc>
        <w:tc>
          <w:tcPr>
            <w:tcW w:w="6865" w:type="dxa"/>
            <w:gridSpan w:val="3"/>
            <w:shd w:val="clear" w:color="auto" w:fill="auto"/>
          </w:tcPr>
          <w:p w14:paraId="3719AE05" w14:textId="77777777" w:rsidR="00B074CC" w:rsidRPr="001A1836" w:rsidRDefault="00B074CC" w:rsidP="00626054">
            <w:pPr>
              <w:rPr>
                <w:rFonts w:cs="Arial"/>
                <w:sz w:val="20"/>
              </w:rPr>
            </w:pPr>
            <w:r w:rsidRPr="001A1836">
              <w:rPr>
                <w:rFonts w:cs="Arial"/>
                <w:sz w:val="20"/>
              </w:rPr>
              <w:t>Number of business suspensions issued</w:t>
            </w:r>
          </w:p>
        </w:tc>
      </w:tr>
      <w:tr w:rsidR="00B074CC" w:rsidRPr="001A1836" w14:paraId="1B431A21" w14:textId="77777777" w:rsidTr="004D790B">
        <w:trPr>
          <w:cantSplit/>
        </w:trPr>
        <w:tc>
          <w:tcPr>
            <w:tcW w:w="802" w:type="dxa"/>
            <w:shd w:val="clear" w:color="auto" w:fill="auto"/>
          </w:tcPr>
          <w:p w14:paraId="7F12EA33" w14:textId="77777777" w:rsidR="00B074CC" w:rsidRPr="001A1836" w:rsidRDefault="00B074CC" w:rsidP="00626054">
            <w:pPr>
              <w:rPr>
                <w:rFonts w:cs="Arial"/>
                <w:sz w:val="20"/>
              </w:rPr>
            </w:pPr>
            <w:r w:rsidRPr="001A1836">
              <w:rPr>
                <w:rFonts w:cs="Arial"/>
                <w:sz w:val="20"/>
              </w:rPr>
              <w:t>1.11</w:t>
            </w:r>
          </w:p>
        </w:tc>
        <w:tc>
          <w:tcPr>
            <w:tcW w:w="1574" w:type="dxa"/>
            <w:gridSpan w:val="2"/>
            <w:shd w:val="clear" w:color="auto" w:fill="auto"/>
          </w:tcPr>
          <w:p w14:paraId="13AF9D71" w14:textId="77777777" w:rsidR="00B074CC" w:rsidRPr="001A1836" w:rsidRDefault="00B074CC" w:rsidP="00626054">
            <w:pPr>
              <w:rPr>
                <w:rFonts w:cs="Arial"/>
                <w:sz w:val="20"/>
              </w:rPr>
            </w:pPr>
          </w:p>
        </w:tc>
        <w:tc>
          <w:tcPr>
            <w:tcW w:w="6865" w:type="dxa"/>
            <w:gridSpan w:val="3"/>
            <w:shd w:val="clear" w:color="auto" w:fill="auto"/>
          </w:tcPr>
          <w:p w14:paraId="5337B5B7" w14:textId="77777777" w:rsidR="00B074CC" w:rsidRPr="001A1836" w:rsidRDefault="00B074CC" w:rsidP="00626054">
            <w:pPr>
              <w:rPr>
                <w:rFonts w:cs="Arial"/>
                <w:sz w:val="20"/>
              </w:rPr>
            </w:pPr>
            <w:r w:rsidRPr="001A1836">
              <w:rPr>
                <w:rFonts w:cs="Arial"/>
                <w:sz w:val="20"/>
              </w:rPr>
              <w:t>Number of engineer suspensions issued</w:t>
            </w:r>
          </w:p>
        </w:tc>
      </w:tr>
      <w:tr w:rsidR="00B074CC" w:rsidRPr="001A1836" w14:paraId="1CF27043" w14:textId="77777777" w:rsidTr="004D790B">
        <w:trPr>
          <w:cantSplit/>
        </w:trPr>
        <w:tc>
          <w:tcPr>
            <w:tcW w:w="802" w:type="dxa"/>
            <w:shd w:val="clear" w:color="auto" w:fill="auto"/>
          </w:tcPr>
          <w:p w14:paraId="784E25FF" w14:textId="77777777" w:rsidR="00B074CC" w:rsidRPr="001A1836" w:rsidRDefault="00B074CC" w:rsidP="00626054">
            <w:pPr>
              <w:rPr>
                <w:rFonts w:cs="Arial"/>
                <w:sz w:val="20"/>
              </w:rPr>
            </w:pPr>
            <w:r w:rsidRPr="001A1836">
              <w:rPr>
                <w:rFonts w:cs="Arial"/>
                <w:sz w:val="20"/>
              </w:rPr>
              <w:t>1.12</w:t>
            </w:r>
          </w:p>
        </w:tc>
        <w:tc>
          <w:tcPr>
            <w:tcW w:w="1574" w:type="dxa"/>
            <w:gridSpan w:val="2"/>
            <w:shd w:val="clear" w:color="auto" w:fill="auto"/>
          </w:tcPr>
          <w:p w14:paraId="6914A8D0" w14:textId="77777777" w:rsidR="00B074CC" w:rsidRPr="001A1836" w:rsidRDefault="00B074CC" w:rsidP="00626054">
            <w:pPr>
              <w:rPr>
                <w:rFonts w:cs="Arial"/>
                <w:sz w:val="20"/>
              </w:rPr>
            </w:pPr>
          </w:p>
        </w:tc>
        <w:tc>
          <w:tcPr>
            <w:tcW w:w="6865" w:type="dxa"/>
            <w:gridSpan w:val="3"/>
            <w:shd w:val="clear" w:color="auto" w:fill="auto"/>
          </w:tcPr>
          <w:p w14:paraId="589D1318" w14:textId="77777777" w:rsidR="00B074CC" w:rsidRPr="001A1836" w:rsidRDefault="00B074CC" w:rsidP="00626054">
            <w:pPr>
              <w:rPr>
                <w:rFonts w:cs="Arial"/>
                <w:sz w:val="20"/>
              </w:rPr>
            </w:pPr>
            <w:r w:rsidRPr="001A1836">
              <w:rPr>
                <w:rFonts w:cs="Arial"/>
                <w:sz w:val="20"/>
              </w:rPr>
              <w:t>Number of businesses removed</w:t>
            </w:r>
          </w:p>
        </w:tc>
      </w:tr>
      <w:tr w:rsidR="00B074CC" w:rsidRPr="001A1836" w14:paraId="7DF6DE3F" w14:textId="77777777" w:rsidTr="004D790B">
        <w:trPr>
          <w:cantSplit/>
        </w:trPr>
        <w:tc>
          <w:tcPr>
            <w:tcW w:w="802" w:type="dxa"/>
            <w:shd w:val="clear" w:color="auto" w:fill="auto"/>
          </w:tcPr>
          <w:p w14:paraId="1BC98D70" w14:textId="77777777" w:rsidR="00B074CC" w:rsidRPr="001A1836" w:rsidRDefault="00B074CC" w:rsidP="00626054">
            <w:pPr>
              <w:rPr>
                <w:rFonts w:cs="Arial"/>
                <w:sz w:val="20"/>
              </w:rPr>
            </w:pPr>
            <w:r w:rsidRPr="001A1836">
              <w:rPr>
                <w:rFonts w:cs="Arial"/>
                <w:sz w:val="20"/>
              </w:rPr>
              <w:t>1.13</w:t>
            </w:r>
          </w:p>
        </w:tc>
        <w:tc>
          <w:tcPr>
            <w:tcW w:w="1574" w:type="dxa"/>
            <w:gridSpan w:val="2"/>
            <w:shd w:val="clear" w:color="auto" w:fill="auto"/>
          </w:tcPr>
          <w:p w14:paraId="1E43C606" w14:textId="77777777" w:rsidR="00B074CC" w:rsidRPr="001A1836" w:rsidRDefault="00B074CC" w:rsidP="00626054">
            <w:pPr>
              <w:rPr>
                <w:rFonts w:cs="Arial"/>
                <w:sz w:val="20"/>
              </w:rPr>
            </w:pPr>
          </w:p>
        </w:tc>
        <w:tc>
          <w:tcPr>
            <w:tcW w:w="6865" w:type="dxa"/>
            <w:gridSpan w:val="3"/>
            <w:shd w:val="clear" w:color="auto" w:fill="auto"/>
          </w:tcPr>
          <w:p w14:paraId="2910A0D5" w14:textId="77777777" w:rsidR="00B074CC" w:rsidRPr="001A1836" w:rsidRDefault="00B074CC" w:rsidP="00626054">
            <w:pPr>
              <w:rPr>
                <w:rFonts w:cs="Arial"/>
                <w:sz w:val="20"/>
              </w:rPr>
            </w:pPr>
            <w:r w:rsidRPr="001A1836">
              <w:rPr>
                <w:rFonts w:cs="Arial"/>
                <w:sz w:val="20"/>
              </w:rPr>
              <w:t>Number of engineers removed</w:t>
            </w:r>
          </w:p>
        </w:tc>
      </w:tr>
      <w:tr w:rsidR="00B074CC" w:rsidRPr="001A1836" w14:paraId="55F73CFE" w14:textId="77777777" w:rsidTr="004D790B">
        <w:trPr>
          <w:cantSplit/>
        </w:trPr>
        <w:tc>
          <w:tcPr>
            <w:tcW w:w="802" w:type="dxa"/>
            <w:shd w:val="clear" w:color="auto" w:fill="auto"/>
          </w:tcPr>
          <w:p w14:paraId="02B9130C" w14:textId="77777777" w:rsidR="00B074CC" w:rsidRPr="001A1836" w:rsidRDefault="00B074CC" w:rsidP="00626054">
            <w:pPr>
              <w:rPr>
                <w:rFonts w:cs="Arial"/>
                <w:sz w:val="20"/>
              </w:rPr>
            </w:pPr>
            <w:r w:rsidRPr="001A1836">
              <w:rPr>
                <w:rFonts w:cs="Arial"/>
                <w:sz w:val="20"/>
              </w:rPr>
              <w:t>1.14</w:t>
            </w:r>
          </w:p>
        </w:tc>
        <w:tc>
          <w:tcPr>
            <w:tcW w:w="1574" w:type="dxa"/>
            <w:gridSpan w:val="2"/>
            <w:shd w:val="clear" w:color="auto" w:fill="auto"/>
          </w:tcPr>
          <w:p w14:paraId="111C6617" w14:textId="77777777" w:rsidR="00B074CC" w:rsidRPr="001A1836" w:rsidRDefault="00B074CC" w:rsidP="00626054">
            <w:pPr>
              <w:rPr>
                <w:rFonts w:cs="Arial"/>
                <w:sz w:val="20"/>
              </w:rPr>
            </w:pPr>
          </w:p>
        </w:tc>
        <w:tc>
          <w:tcPr>
            <w:tcW w:w="6865" w:type="dxa"/>
            <w:gridSpan w:val="3"/>
            <w:shd w:val="clear" w:color="auto" w:fill="auto"/>
          </w:tcPr>
          <w:p w14:paraId="098532B7" w14:textId="77777777" w:rsidR="00B074CC" w:rsidRPr="001A1836" w:rsidRDefault="00B074CC" w:rsidP="00626054">
            <w:pPr>
              <w:rPr>
                <w:rFonts w:cs="Arial"/>
                <w:sz w:val="20"/>
              </w:rPr>
            </w:pPr>
            <w:r w:rsidRPr="001A1836">
              <w:rPr>
                <w:rFonts w:cs="Arial"/>
                <w:sz w:val="20"/>
              </w:rPr>
              <w:t>Number of appeals against sanctions</w:t>
            </w:r>
          </w:p>
        </w:tc>
      </w:tr>
      <w:tr w:rsidR="00B074CC" w:rsidRPr="001A1836" w14:paraId="0467B7E3" w14:textId="77777777" w:rsidTr="004D790B">
        <w:trPr>
          <w:cantSplit/>
        </w:trPr>
        <w:tc>
          <w:tcPr>
            <w:tcW w:w="802" w:type="dxa"/>
            <w:shd w:val="clear" w:color="auto" w:fill="auto"/>
          </w:tcPr>
          <w:p w14:paraId="08EBC40E" w14:textId="77777777" w:rsidR="00B074CC" w:rsidRPr="001A1836" w:rsidRDefault="00B074CC" w:rsidP="00626054">
            <w:pPr>
              <w:rPr>
                <w:rFonts w:cs="Arial"/>
                <w:sz w:val="20"/>
              </w:rPr>
            </w:pPr>
            <w:r w:rsidRPr="001A1836">
              <w:rPr>
                <w:rFonts w:cs="Arial"/>
                <w:sz w:val="20"/>
              </w:rPr>
              <w:t>1.15</w:t>
            </w:r>
          </w:p>
        </w:tc>
        <w:tc>
          <w:tcPr>
            <w:tcW w:w="1574" w:type="dxa"/>
            <w:gridSpan w:val="2"/>
            <w:shd w:val="clear" w:color="auto" w:fill="auto"/>
          </w:tcPr>
          <w:p w14:paraId="57CCF027" w14:textId="77777777" w:rsidR="00B074CC" w:rsidRPr="001A1836" w:rsidRDefault="00B074CC" w:rsidP="00626054">
            <w:pPr>
              <w:rPr>
                <w:rFonts w:cs="Arial"/>
                <w:sz w:val="20"/>
              </w:rPr>
            </w:pPr>
          </w:p>
        </w:tc>
        <w:tc>
          <w:tcPr>
            <w:tcW w:w="6865" w:type="dxa"/>
            <w:gridSpan w:val="3"/>
            <w:shd w:val="clear" w:color="auto" w:fill="auto"/>
          </w:tcPr>
          <w:p w14:paraId="6C25E24E" w14:textId="77777777" w:rsidR="00B074CC" w:rsidRPr="001A1836" w:rsidRDefault="00B074CC" w:rsidP="00626054">
            <w:pPr>
              <w:rPr>
                <w:rFonts w:cs="Arial"/>
                <w:sz w:val="20"/>
              </w:rPr>
            </w:pPr>
            <w:r w:rsidRPr="001A1836">
              <w:rPr>
                <w:rFonts w:cs="Arial"/>
                <w:sz w:val="20"/>
              </w:rPr>
              <w:t>Number of appeals against sanctions where appeal upheld</w:t>
            </w:r>
          </w:p>
        </w:tc>
      </w:tr>
      <w:tr w:rsidR="00B074CC" w:rsidRPr="001A1836" w14:paraId="15F554F7" w14:textId="77777777" w:rsidTr="004D790B">
        <w:trPr>
          <w:cantSplit/>
        </w:trPr>
        <w:tc>
          <w:tcPr>
            <w:tcW w:w="802" w:type="dxa"/>
            <w:shd w:val="clear" w:color="auto" w:fill="auto"/>
          </w:tcPr>
          <w:p w14:paraId="1A062229" w14:textId="77777777" w:rsidR="00B074CC" w:rsidRPr="001A1836" w:rsidRDefault="00B074CC" w:rsidP="00626054">
            <w:pPr>
              <w:rPr>
                <w:rFonts w:cs="Arial"/>
                <w:sz w:val="20"/>
              </w:rPr>
            </w:pPr>
            <w:r w:rsidRPr="001A1836">
              <w:rPr>
                <w:rFonts w:cs="Arial"/>
                <w:sz w:val="20"/>
              </w:rPr>
              <w:t>1.16</w:t>
            </w:r>
          </w:p>
        </w:tc>
        <w:tc>
          <w:tcPr>
            <w:tcW w:w="1574" w:type="dxa"/>
            <w:gridSpan w:val="2"/>
            <w:shd w:val="clear" w:color="auto" w:fill="auto"/>
          </w:tcPr>
          <w:p w14:paraId="78593630" w14:textId="77777777" w:rsidR="00B074CC" w:rsidRPr="001A1836" w:rsidRDefault="00B074CC" w:rsidP="00626054">
            <w:pPr>
              <w:rPr>
                <w:rFonts w:cs="Arial"/>
                <w:sz w:val="20"/>
              </w:rPr>
            </w:pPr>
          </w:p>
        </w:tc>
        <w:tc>
          <w:tcPr>
            <w:tcW w:w="6865" w:type="dxa"/>
            <w:gridSpan w:val="3"/>
            <w:shd w:val="clear" w:color="auto" w:fill="auto"/>
          </w:tcPr>
          <w:p w14:paraId="1180D197" w14:textId="77777777" w:rsidR="00B074CC" w:rsidRPr="001A1836" w:rsidRDefault="00B074CC" w:rsidP="00626054">
            <w:pPr>
              <w:rPr>
                <w:rFonts w:cs="Arial"/>
                <w:sz w:val="20"/>
              </w:rPr>
            </w:pPr>
            <w:r w:rsidRPr="001A1836">
              <w:rPr>
                <w:rFonts w:cs="Arial"/>
                <w:sz w:val="20"/>
              </w:rPr>
              <w:t>Number of appeals against sanctions where appeal rejected</w:t>
            </w:r>
          </w:p>
        </w:tc>
      </w:tr>
      <w:tr w:rsidR="004D790B" w:rsidRPr="001A1836" w14:paraId="0A4B2742" w14:textId="77777777" w:rsidTr="004D790B">
        <w:trPr>
          <w:gridAfter w:val="1"/>
          <w:wAfter w:w="27" w:type="dxa"/>
          <w:cantSplit/>
        </w:trPr>
        <w:tc>
          <w:tcPr>
            <w:tcW w:w="851" w:type="dxa"/>
            <w:gridSpan w:val="2"/>
            <w:shd w:val="clear" w:color="auto" w:fill="auto"/>
          </w:tcPr>
          <w:p w14:paraId="563AA078" w14:textId="77777777" w:rsidR="004D790B" w:rsidRPr="001A1836" w:rsidRDefault="004D790B" w:rsidP="006110D6">
            <w:pPr>
              <w:rPr>
                <w:rFonts w:cs="Arial"/>
                <w:sz w:val="20"/>
              </w:rPr>
            </w:pPr>
            <w:r>
              <w:rPr>
                <w:rFonts w:cs="Arial"/>
                <w:sz w:val="20"/>
              </w:rPr>
              <w:t>1.17</w:t>
            </w:r>
          </w:p>
        </w:tc>
        <w:tc>
          <w:tcPr>
            <w:tcW w:w="1559" w:type="dxa"/>
            <w:gridSpan w:val="2"/>
            <w:shd w:val="clear" w:color="auto" w:fill="auto"/>
          </w:tcPr>
          <w:p w14:paraId="222AEC5E" w14:textId="77777777" w:rsidR="004D790B" w:rsidRPr="001A1836" w:rsidRDefault="004D790B" w:rsidP="006110D6">
            <w:pPr>
              <w:rPr>
                <w:rFonts w:cs="Arial"/>
                <w:sz w:val="20"/>
              </w:rPr>
            </w:pPr>
          </w:p>
        </w:tc>
        <w:tc>
          <w:tcPr>
            <w:tcW w:w="6804" w:type="dxa"/>
            <w:shd w:val="clear" w:color="auto" w:fill="auto"/>
          </w:tcPr>
          <w:p w14:paraId="63BAA4A5" w14:textId="77777777" w:rsidR="004D790B" w:rsidRPr="001A1836" w:rsidRDefault="004D790B" w:rsidP="006110D6">
            <w:pPr>
              <w:rPr>
                <w:rFonts w:cs="Arial"/>
                <w:sz w:val="20"/>
              </w:rPr>
            </w:pPr>
            <w:r>
              <w:rPr>
                <w:rFonts w:cs="Arial"/>
                <w:sz w:val="20"/>
              </w:rPr>
              <w:t>Number of businesses under tightened inspection</w:t>
            </w:r>
          </w:p>
        </w:tc>
      </w:tr>
      <w:tr w:rsidR="004D790B" w:rsidRPr="001A1836" w14:paraId="334B6BDC" w14:textId="77777777" w:rsidTr="004D790B">
        <w:trPr>
          <w:gridAfter w:val="1"/>
          <w:wAfter w:w="27" w:type="dxa"/>
          <w:cantSplit/>
        </w:trPr>
        <w:tc>
          <w:tcPr>
            <w:tcW w:w="851" w:type="dxa"/>
            <w:gridSpan w:val="2"/>
            <w:shd w:val="clear" w:color="auto" w:fill="auto"/>
          </w:tcPr>
          <w:p w14:paraId="002DD63D" w14:textId="77777777" w:rsidR="004D790B" w:rsidRPr="001A1836" w:rsidRDefault="004D790B" w:rsidP="006110D6">
            <w:pPr>
              <w:rPr>
                <w:rFonts w:cs="Arial"/>
                <w:sz w:val="20"/>
              </w:rPr>
            </w:pPr>
            <w:r>
              <w:rPr>
                <w:rFonts w:cs="Arial"/>
                <w:sz w:val="20"/>
              </w:rPr>
              <w:t>1.18</w:t>
            </w:r>
          </w:p>
        </w:tc>
        <w:tc>
          <w:tcPr>
            <w:tcW w:w="1559" w:type="dxa"/>
            <w:gridSpan w:val="2"/>
            <w:shd w:val="clear" w:color="auto" w:fill="auto"/>
          </w:tcPr>
          <w:p w14:paraId="79808BAB" w14:textId="77777777" w:rsidR="004D790B" w:rsidRPr="001A1836" w:rsidRDefault="004D790B" w:rsidP="006110D6">
            <w:pPr>
              <w:rPr>
                <w:rFonts w:cs="Arial"/>
                <w:sz w:val="20"/>
              </w:rPr>
            </w:pPr>
          </w:p>
        </w:tc>
        <w:tc>
          <w:tcPr>
            <w:tcW w:w="6804" w:type="dxa"/>
            <w:shd w:val="clear" w:color="auto" w:fill="auto"/>
          </w:tcPr>
          <w:p w14:paraId="537B1116" w14:textId="77777777" w:rsidR="004D790B" w:rsidRPr="001A1836" w:rsidRDefault="004D790B" w:rsidP="006110D6">
            <w:pPr>
              <w:rPr>
                <w:rFonts w:cs="Arial"/>
                <w:sz w:val="20"/>
              </w:rPr>
            </w:pPr>
            <w:r>
              <w:rPr>
                <w:rFonts w:cs="Arial"/>
                <w:sz w:val="20"/>
              </w:rPr>
              <w:t>Number of businesses required to attend Mandatory Attendance Events</w:t>
            </w:r>
          </w:p>
        </w:tc>
      </w:tr>
      <w:tr w:rsidR="004D790B" w:rsidRPr="001A1836" w14:paraId="32227EB5" w14:textId="77777777" w:rsidTr="004D790B">
        <w:trPr>
          <w:gridAfter w:val="1"/>
          <w:wAfter w:w="27" w:type="dxa"/>
          <w:cantSplit/>
        </w:trPr>
        <w:tc>
          <w:tcPr>
            <w:tcW w:w="851" w:type="dxa"/>
            <w:gridSpan w:val="2"/>
            <w:shd w:val="clear" w:color="auto" w:fill="auto"/>
          </w:tcPr>
          <w:p w14:paraId="6F759BDA" w14:textId="77777777" w:rsidR="004D790B" w:rsidRPr="001A1836" w:rsidRDefault="004D790B" w:rsidP="006110D6">
            <w:pPr>
              <w:rPr>
                <w:rFonts w:cs="Arial"/>
                <w:sz w:val="20"/>
              </w:rPr>
            </w:pPr>
            <w:r>
              <w:rPr>
                <w:rFonts w:cs="Arial"/>
                <w:sz w:val="20"/>
              </w:rPr>
              <w:t>1.19</w:t>
            </w:r>
          </w:p>
        </w:tc>
        <w:tc>
          <w:tcPr>
            <w:tcW w:w="1559" w:type="dxa"/>
            <w:gridSpan w:val="2"/>
            <w:shd w:val="clear" w:color="auto" w:fill="auto"/>
          </w:tcPr>
          <w:p w14:paraId="0DE8FE99" w14:textId="77777777" w:rsidR="004D790B" w:rsidRPr="001A1836" w:rsidRDefault="004D790B" w:rsidP="006110D6">
            <w:pPr>
              <w:rPr>
                <w:rFonts w:cs="Arial"/>
                <w:sz w:val="20"/>
              </w:rPr>
            </w:pPr>
          </w:p>
        </w:tc>
        <w:tc>
          <w:tcPr>
            <w:tcW w:w="6804" w:type="dxa"/>
            <w:shd w:val="clear" w:color="auto" w:fill="auto"/>
          </w:tcPr>
          <w:p w14:paraId="3E7BE58F" w14:textId="77777777" w:rsidR="004D790B" w:rsidRPr="001A1836" w:rsidRDefault="004D790B" w:rsidP="006110D6">
            <w:pPr>
              <w:rPr>
                <w:rFonts w:cs="Arial"/>
                <w:sz w:val="20"/>
              </w:rPr>
            </w:pPr>
            <w:r>
              <w:rPr>
                <w:rFonts w:cs="Arial"/>
                <w:sz w:val="20"/>
              </w:rPr>
              <w:t>Number of businesses where special conditions are applied</w:t>
            </w:r>
          </w:p>
        </w:tc>
      </w:tr>
      <w:tr w:rsidR="004D790B" w:rsidRPr="001A1836" w14:paraId="66F4A7C3" w14:textId="77777777" w:rsidTr="004D790B">
        <w:trPr>
          <w:gridAfter w:val="1"/>
          <w:wAfter w:w="27" w:type="dxa"/>
          <w:cantSplit/>
        </w:trPr>
        <w:tc>
          <w:tcPr>
            <w:tcW w:w="851" w:type="dxa"/>
            <w:gridSpan w:val="2"/>
            <w:shd w:val="clear" w:color="auto" w:fill="auto"/>
          </w:tcPr>
          <w:p w14:paraId="7063C4D6" w14:textId="77777777" w:rsidR="004D790B" w:rsidRPr="001A1836" w:rsidRDefault="004D790B" w:rsidP="006110D6">
            <w:pPr>
              <w:rPr>
                <w:rFonts w:cs="Arial"/>
                <w:sz w:val="20"/>
              </w:rPr>
            </w:pPr>
            <w:r>
              <w:rPr>
                <w:rFonts w:cs="Arial"/>
                <w:sz w:val="20"/>
              </w:rPr>
              <w:t>1.20</w:t>
            </w:r>
          </w:p>
        </w:tc>
        <w:tc>
          <w:tcPr>
            <w:tcW w:w="1559" w:type="dxa"/>
            <w:gridSpan w:val="2"/>
            <w:shd w:val="clear" w:color="auto" w:fill="auto"/>
          </w:tcPr>
          <w:p w14:paraId="3E8332D7" w14:textId="77777777" w:rsidR="004D790B" w:rsidRPr="001A1836" w:rsidRDefault="004D790B" w:rsidP="006110D6">
            <w:pPr>
              <w:rPr>
                <w:rFonts w:cs="Arial"/>
                <w:sz w:val="20"/>
              </w:rPr>
            </w:pPr>
          </w:p>
        </w:tc>
        <w:tc>
          <w:tcPr>
            <w:tcW w:w="6804" w:type="dxa"/>
            <w:shd w:val="clear" w:color="auto" w:fill="auto"/>
          </w:tcPr>
          <w:p w14:paraId="4A422790" w14:textId="77777777" w:rsidR="004D790B" w:rsidRPr="001A1836" w:rsidRDefault="004D790B" w:rsidP="006110D6">
            <w:pPr>
              <w:rPr>
                <w:rFonts w:cs="Arial"/>
                <w:sz w:val="20"/>
              </w:rPr>
            </w:pPr>
            <w:r>
              <w:rPr>
                <w:rFonts w:cs="Arial"/>
                <w:sz w:val="20"/>
              </w:rPr>
              <w:t xml:space="preserve">Number of businesses where penalty fees are applied </w:t>
            </w:r>
          </w:p>
        </w:tc>
      </w:tr>
      <w:tr w:rsidR="004D790B" w:rsidRPr="001A1836" w14:paraId="0488157F" w14:textId="77777777" w:rsidTr="004D790B">
        <w:trPr>
          <w:gridAfter w:val="1"/>
          <w:wAfter w:w="27" w:type="dxa"/>
          <w:cantSplit/>
        </w:trPr>
        <w:tc>
          <w:tcPr>
            <w:tcW w:w="851" w:type="dxa"/>
            <w:gridSpan w:val="2"/>
            <w:shd w:val="clear" w:color="auto" w:fill="auto"/>
          </w:tcPr>
          <w:p w14:paraId="52D4C59F" w14:textId="77777777" w:rsidR="004D790B" w:rsidRPr="001A1836" w:rsidRDefault="004D790B" w:rsidP="006110D6">
            <w:pPr>
              <w:rPr>
                <w:rFonts w:cs="Arial"/>
                <w:sz w:val="20"/>
              </w:rPr>
            </w:pPr>
            <w:r>
              <w:rPr>
                <w:rFonts w:cs="Arial"/>
                <w:sz w:val="20"/>
              </w:rPr>
              <w:t>1.21</w:t>
            </w:r>
          </w:p>
        </w:tc>
        <w:tc>
          <w:tcPr>
            <w:tcW w:w="1559" w:type="dxa"/>
            <w:gridSpan w:val="2"/>
            <w:shd w:val="clear" w:color="auto" w:fill="auto"/>
          </w:tcPr>
          <w:p w14:paraId="47AE402D" w14:textId="77777777" w:rsidR="004D790B" w:rsidRPr="001A1836" w:rsidRDefault="004D790B" w:rsidP="006110D6">
            <w:pPr>
              <w:rPr>
                <w:rFonts w:cs="Arial"/>
                <w:sz w:val="20"/>
              </w:rPr>
            </w:pPr>
          </w:p>
        </w:tc>
        <w:tc>
          <w:tcPr>
            <w:tcW w:w="6804" w:type="dxa"/>
            <w:shd w:val="clear" w:color="auto" w:fill="auto"/>
          </w:tcPr>
          <w:p w14:paraId="02E0C8E8" w14:textId="77777777" w:rsidR="004D790B" w:rsidRPr="001A1836" w:rsidRDefault="004D790B" w:rsidP="006110D6">
            <w:pPr>
              <w:rPr>
                <w:rFonts w:cs="Arial"/>
                <w:sz w:val="20"/>
              </w:rPr>
            </w:pPr>
            <w:r>
              <w:rPr>
                <w:rFonts w:cs="Arial"/>
                <w:sz w:val="20"/>
              </w:rPr>
              <w:t>Number of businesses suspended for individual work categories</w:t>
            </w:r>
          </w:p>
        </w:tc>
      </w:tr>
      <w:tr w:rsidR="004D790B" w:rsidRPr="00792D0C" w14:paraId="461403A5" w14:textId="77777777" w:rsidTr="004D790B">
        <w:trPr>
          <w:gridAfter w:val="1"/>
          <w:wAfter w:w="27" w:type="dxa"/>
          <w:cantSplit/>
        </w:trPr>
        <w:tc>
          <w:tcPr>
            <w:tcW w:w="851" w:type="dxa"/>
            <w:gridSpan w:val="2"/>
            <w:shd w:val="clear" w:color="auto" w:fill="auto"/>
          </w:tcPr>
          <w:p w14:paraId="73AD58DE" w14:textId="77777777" w:rsidR="004D790B" w:rsidRPr="001A1836" w:rsidRDefault="004D790B" w:rsidP="006110D6">
            <w:pPr>
              <w:rPr>
                <w:rFonts w:cs="Arial"/>
                <w:sz w:val="20"/>
              </w:rPr>
            </w:pPr>
          </w:p>
        </w:tc>
        <w:tc>
          <w:tcPr>
            <w:tcW w:w="1559" w:type="dxa"/>
            <w:gridSpan w:val="2"/>
            <w:shd w:val="clear" w:color="auto" w:fill="auto"/>
          </w:tcPr>
          <w:p w14:paraId="5C37222A" w14:textId="77777777" w:rsidR="004D790B" w:rsidRPr="001A1836" w:rsidRDefault="004D790B" w:rsidP="006110D6">
            <w:pPr>
              <w:rPr>
                <w:rFonts w:cs="Arial"/>
                <w:sz w:val="20"/>
              </w:rPr>
            </w:pPr>
          </w:p>
        </w:tc>
        <w:tc>
          <w:tcPr>
            <w:tcW w:w="6804" w:type="dxa"/>
            <w:shd w:val="clear" w:color="auto" w:fill="auto"/>
          </w:tcPr>
          <w:p w14:paraId="4A269AF8" w14:textId="77777777" w:rsidR="004D790B" w:rsidRPr="00792D0C" w:rsidRDefault="004D790B" w:rsidP="006110D6">
            <w:pPr>
              <w:rPr>
                <w:rFonts w:cs="Arial"/>
                <w:b/>
                <w:sz w:val="20"/>
              </w:rPr>
            </w:pPr>
            <w:r>
              <w:rPr>
                <w:rFonts w:cs="Arial"/>
                <w:b/>
                <w:sz w:val="20"/>
              </w:rPr>
              <w:t>Number of suspensions issued by category (more than one may be applied to a single suspension)</w:t>
            </w:r>
          </w:p>
        </w:tc>
      </w:tr>
      <w:tr w:rsidR="004D790B" w:rsidRPr="001A1836" w14:paraId="38ED3459" w14:textId="77777777" w:rsidTr="004D790B">
        <w:trPr>
          <w:gridAfter w:val="1"/>
          <w:wAfter w:w="27" w:type="dxa"/>
          <w:cantSplit/>
        </w:trPr>
        <w:tc>
          <w:tcPr>
            <w:tcW w:w="851" w:type="dxa"/>
            <w:gridSpan w:val="2"/>
            <w:shd w:val="clear" w:color="auto" w:fill="auto"/>
          </w:tcPr>
          <w:p w14:paraId="08DCABD5" w14:textId="77777777" w:rsidR="004D790B" w:rsidRPr="001A1836" w:rsidRDefault="004D790B" w:rsidP="006110D6">
            <w:pPr>
              <w:rPr>
                <w:rFonts w:cs="Arial"/>
                <w:sz w:val="20"/>
              </w:rPr>
            </w:pPr>
            <w:r>
              <w:rPr>
                <w:rFonts w:cs="Arial"/>
                <w:sz w:val="20"/>
              </w:rPr>
              <w:t>1.22</w:t>
            </w:r>
          </w:p>
        </w:tc>
        <w:tc>
          <w:tcPr>
            <w:tcW w:w="1559" w:type="dxa"/>
            <w:gridSpan w:val="2"/>
            <w:shd w:val="clear" w:color="auto" w:fill="auto"/>
          </w:tcPr>
          <w:p w14:paraId="14B8CA85" w14:textId="77777777" w:rsidR="004D790B" w:rsidRPr="001A1836" w:rsidRDefault="004D790B" w:rsidP="006110D6">
            <w:pPr>
              <w:rPr>
                <w:rFonts w:cs="Arial"/>
                <w:sz w:val="20"/>
              </w:rPr>
            </w:pPr>
          </w:p>
        </w:tc>
        <w:tc>
          <w:tcPr>
            <w:tcW w:w="6804" w:type="dxa"/>
            <w:shd w:val="clear" w:color="auto" w:fill="auto"/>
          </w:tcPr>
          <w:p w14:paraId="103E1661" w14:textId="77777777" w:rsidR="004D790B" w:rsidRPr="001A1836" w:rsidRDefault="004D790B" w:rsidP="006110D6">
            <w:pPr>
              <w:rPr>
                <w:rFonts w:cs="Arial"/>
                <w:sz w:val="20"/>
              </w:rPr>
            </w:pPr>
            <w:r>
              <w:rPr>
                <w:rFonts w:cs="Arial"/>
                <w:sz w:val="20"/>
              </w:rPr>
              <w:t>Failure to demonstrate and apply competence</w:t>
            </w:r>
          </w:p>
        </w:tc>
      </w:tr>
      <w:tr w:rsidR="004D790B" w:rsidRPr="001A1836" w14:paraId="33995CD0" w14:textId="77777777" w:rsidTr="004D790B">
        <w:trPr>
          <w:gridAfter w:val="1"/>
          <w:wAfter w:w="27" w:type="dxa"/>
          <w:cantSplit/>
        </w:trPr>
        <w:tc>
          <w:tcPr>
            <w:tcW w:w="851" w:type="dxa"/>
            <w:gridSpan w:val="2"/>
            <w:shd w:val="clear" w:color="auto" w:fill="auto"/>
          </w:tcPr>
          <w:p w14:paraId="7EFDFB24" w14:textId="77777777" w:rsidR="004D790B" w:rsidRPr="001A1836" w:rsidRDefault="004D790B" w:rsidP="006110D6">
            <w:pPr>
              <w:rPr>
                <w:rFonts w:cs="Arial"/>
                <w:sz w:val="20"/>
              </w:rPr>
            </w:pPr>
            <w:r>
              <w:rPr>
                <w:rFonts w:cs="Arial"/>
                <w:sz w:val="20"/>
              </w:rPr>
              <w:t>1.23</w:t>
            </w:r>
          </w:p>
        </w:tc>
        <w:tc>
          <w:tcPr>
            <w:tcW w:w="1559" w:type="dxa"/>
            <w:gridSpan w:val="2"/>
            <w:shd w:val="clear" w:color="auto" w:fill="auto"/>
          </w:tcPr>
          <w:p w14:paraId="709898D9" w14:textId="77777777" w:rsidR="004D790B" w:rsidRPr="001A1836" w:rsidRDefault="004D790B" w:rsidP="006110D6">
            <w:pPr>
              <w:rPr>
                <w:rFonts w:cs="Arial"/>
                <w:sz w:val="20"/>
              </w:rPr>
            </w:pPr>
          </w:p>
        </w:tc>
        <w:tc>
          <w:tcPr>
            <w:tcW w:w="6804" w:type="dxa"/>
            <w:shd w:val="clear" w:color="auto" w:fill="auto"/>
          </w:tcPr>
          <w:p w14:paraId="292CB7F1" w14:textId="77777777" w:rsidR="004D790B" w:rsidRPr="001A1836" w:rsidRDefault="004D790B" w:rsidP="006110D6">
            <w:pPr>
              <w:rPr>
                <w:rFonts w:cs="Arial"/>
                <w:sz w:val="20"/>
              </w:rPr>
            </w:pPr>
            <w:r>
              <w:rPr>
                <w:rFonts w:cs="Arial"/>
                <w:sz w:val="20"/>
              </w:rPr>
              <w:t>Failure to comply with the Rules of Registration</w:t>
            </w:r>
          </w:p>
        </w:tc>
      </w:tr>
      <w:tr w:rsidR="004D790B" w:rsidRPr="001A1836" w14:paraId="672EA411" w14:textId="77777777" w:rsidTr="004D790B">
        <w:trPr>
          <w:gridAfter w:val="1"/>
          <w:wAfter w:w="27" w:type="dxa"/>
          <w:cantSplit/>
        </w:trPr>
        <w:tc>
          <w:tcPr>
            <w:tcW w:w="851" w:type="dxa"/>
            <w:gridSpan w:val="2"/>
            <w:shd w:val="clear" w:color="auto" w:fill="auto"/>
          </w:tcPr>
          <w:p w14:paraId="1D8A5D40" w14:textId="77777777" w:rsidR="004D790B" w:rsidRPr="001A1836" w:rsidRDefault="004D790B" w:rsidP="006110D6">
            <w:pPr>
              <w:rPr>
                <w:rFonts w:cs="Arial"/>
                <w:sz w:val="20"/>
              </w:rPr>
            </w:pPr>
            <w:r>
              <w:rPr>
                <w:rFonts w:cs="Arial"/>
                <w:sz w:val="20"/>
              </w:rPr>
              <w:t>1.24</w:t>
            </w:r>
          </w:p>
        </w:tc>
        <w:tc>
          <w:tcPr>
            <w:tcW w:w="1559" w:type="dxa"/>
            <w:gridSpan w:val="2"/>
            <w:shd w:val="clear" w:color="auto" w:fill="auto"/>
          </w:tcPr>
          <w:p w14:paraId="602810E0" w14:textId="77777777" w:rsidR="004D790B" w:rsidRPr="001A1836" w:rsidRDefault="004D790B" w:rsidP="006110D6">
            <w:pPr>
              <w:rPr>
                <w:rFonts w:cs="Arial"/>
                <w:sz w:val="20"/>
              </w:rPr>
            </w:pPr>
          </w:p>
        </w:tc>
        <w:tc>
          <w:tcPr>
            <w:tcW w:w="6804" w:type="dxa"/>
            <w:shd w:val="clear" w:color="auto" w:fill="auto"/>
          </w:tcPr>
          <w:p w14:paraId="7C1C5D27" w14:textId="77777777" w:rsidR="004D790B" w:rsidRPr="001A1836" w:rsidRDefault="004D790B" w:rsidP="006110D6">
            <w:pPr>
              <w:rPr>
                <w:rFonts w:cs="Arial"/>
                <w:sz w:val="20"/>
              </w:rPr>
            </w:pPr>
            <w:r>
              <w:rPr>
                <w:rFonts w:cs="Arial"/>
                <w:sz w:val="20"/>
              </w:rPr>
              <w:t>Failure to rectify defects</w:t>
            </w:r>
          </w:p>
        </w:tc>
      </w:tr>
      <w:tr w:rsidR="004D790B" w:rsidRPr="001A1836" w14:paraId="559DDFBE" w14:textId="77777777" w:rsidTr="004D790B">
        <w:trPr>
          <w:gridAfter w:val="1"/>
          <w:wAfter w:w="27" w:type="dxa"/>
          <w:cantSplit/>
        </w:trPr>
        <w:tc>
          <w:tcPr>
            <w:tcW w:w="851" w:type="dxa"/>
            <w:gridSpan w:val="2"/>
            <w:shd w:val="clear" w:color="auto" w:fill="auto"/>
          </w:tcPr>
          <w:p w14:paraId="0359069B" w14:textId="77777777" w:rsidR="004D790B" w:rsidRPr="001A1836" w:rsidRDefault="004D790B" w:rsidP="006110D6">
            <w:pPr>
              <w:rPr>
                <w:rFonts w:cs="Arial"/>
                <w:sz w:val="20"/>
              </w:rPr>
            </w:pPr>
            <w:r>
              <w:rPr>
                <w:rFonts w:cs="Arial"/>
                <w:sz w:val="20"/>
              </w:rPr>
              <w:t>1.25</w:t>
            </w:r>
          </w:p>
        </w:tc>
        <w:tc>
          <w:tcPr>
            <w:tcW w:w="1559" w:type="dxa"/>
            <w:gridSpan w:val="2"/>
            <w:shd w:val="clear" w:color="auto" w:fill="auto"/>
          </w:tcPr>
          <w:p w14:paraId="095F2767" w14:textId="77777777" w:rsidR="004D790B" w:rsidRPr="001A1836" w:rsidRDefault="004D790B" w:rsidP="006110D6">
            <w:pPr>
              <w:rPr>
                <w:rFonts w:cs="Arial"/>
                <w:sz w:val="20"/>
              </w:rPr>
            </w:pPr>
          </w:p>
        </w:tc>
        <w:tc>
          <w:tcPr>
            <w:tcW w:w="6804" w:type="dxa"/>
            <w:shd w:val="clear" w:color="auto" w:fill="auto"/>
          </w:tcPr>
          <w:p w14:paraId="22774BA6" w14:textId="77777777" w:rsidR="004D790B" w:rsidRPr="001A1836" w:rsidRDefault="004D790B" w:rsidP="006110D6">
            <w:pPr>
              <w:rPr>
                <w:rFonts w:cs="Arial"/>
                <w:sz w:val="20"/>
              </w:rPr>
            </w:pPr>
            <w:r>
              <w:rPr>
                <w:rFonts w:cs="Arial"/>
                <w:sz w:val="20"/>
              </w:rPr>
              <w:t>Using an unregistered operative</w:t>
            </w:r>
          </w:p>
        </w:tc>
      </w:tr>
      <w:tr w:rsidR="004D790B" w:rsidRPr="001A1836" w14:paraId="7DAD66D0" w14:textId="77777777" w:rsidTr="004D790B">
        <w:trPr>
          <w:gridAfter w:val="1"/>
          <w:wAfter w:w="27" w:type="dxa"/>
          <w:cantSplit/>
        </w:trPr>
        <w:tc>
          <w:tcPr>
            <w:tcW w:w="851" w:type="dxa"/>
            <w:gridSpan w:val="2"/>
            <w:shd w:val="clear" w:color="auto" w:fill="auto"/>
          </w:tcPr>
          <w:p w14:paraId="249D5DF5" w14:textId="77777777" w:rsidR="004D790B" w:rsidRPr="001A1836" w:rsidRDefault="004D790B" w:rsidP="006110D6">
            <w:pPr>
              <w:rPr>
                <w:rFonts w:cs="Arial"/>
                <w:sz w:val="20"/>
              </w:rPr>
            </w:pPr>
            <w:r>
              <w:rPr>
                <w:rFonts w:cs="Arial"/>
                <w:sz w:val="20"/>
              </w:rPr>
              <w:t>1.26</w:t>
            </w:r>
          </w:p>
        </w:tc>
        <w:tc>
          <w:tcPr>
            <w:tcW w:w="1559" w:type="dxa"/>
            <w:gridSpan w:val="2"/>
            <w:shd w:val="clear" w:color="auto" w:fill="auto"/>
          </w:tcPr>
          <w:p w14:paraId="442A42FD" w14:textId="77777777" w:rsidR="004D790B" w:rsidRPr="001A1836" w:rsidRDefault="004D790B" w:rsidP="006110D6">
            <w:pPr>
              <w:rPr>
                <w:rFonts w:cs="Arial"/>
                <w:sz w:val="20"/>
              </w:rPr>
            </w:pPr>
          </w:p>
        </w:tc>
        <w:tc>
          <w:tcPr>
            <w:tcW w:w="6804" w:type="dxa"/>
            <w:shd w:val="clear" w:color="auto" w:fill="auto"/>
          </w:tcPr>
          <w:p w14:paraId="2458CC96" w14:textId="77777777" w:rsidR="004D790B" w:rsidRPr="001A1836" w:rsidRDefault="004D790B" w:rsidP="006110D6">
            <w:pPr>
              <w:rPr>
                <w:rFonts w:cs="Arial"/>
                <w:sz w:val="20"/>
              </w:rPr>
            </w:pPr>
            <w:r>
              <w:rPr>
                <w:rFonts w:cs="Arial"/>
                <w:sz w:val="20"/>
              </w:rPr>
              <w:t>Bringing the Register into disrepute</w:t>
            </w:r>
          </w:p>
        </w:tc>
      </w:tr>
      <w:tr w:rsidR="004D790B" w:rsidRPr="001A1836" w14:paraId="54BAD781" w14:textId="77777777" w:rsidTr="004D790B">
        <w:trPr>
          <w:gridAfter w:val="1"/>
          <w:wAfter w:w="27" w:type="dxa"/>
          <w:cantSplit/>
        </w:trPr>
        <w:tc>
          <w:tcPr>
            <w:tcW w:w="851" w:type="dxa"/>
            <w:gridSpan w:val="2"/>
            <w:shd w:val="clear" w:color="auto" w:fill="auto"/>
          </w:tcPr>
          <w:p w14:paraId="004E2EFB" w14:textId="77777777" w:rsidR="004D790B" w:rsidRPr="001A1836" w:rsidRDefault="004D790B" w:rsidP="006110D6">
            <w:pPr>
              <w:rPr>
                <w:rFonts w:cs="Arial"/>
                <w:sz w:val="20"/>
              </w:rPr>
            </w:pPr>
            <w:r>
              <w:rPr>
                <w:rFonts w:cs="Arial"/>
                <w:sz w:val="20"/>
              </w:rPr>
              <w:t>1.27</w:t>
            </w:r>
          </w:p>
        </w:tc>
        <w:tc>
          <w:tcPr>
            <w:tcW w:w="1559" w:type="dxa"/>
            <w:gridSpan w:val="2"/>
            <w:shd w:val="clear" w:color="auto" w:fill="auto"/>
          </w:tcPr>
          <w:p w14:paraId="526CF892" w14:textId="77777777" w:rsidR="004D790B" w:rsidRPr="001A1836" w:rsidRDefault="004D790B" w:rsidP="006110D6">
            <w:pPr>
              <w:rPr>
                <w:rFonts w:cs="Arial"/>
                <w:sz w:val="20"/>
              </w:rPr>
            </w:pPr>
          </w:p>
        </w:tc>
        <w:tc>
          <w:tcPr>
            <w:tcW w:w="6804" w:type="dxa"/>
            <w:shd w:val="clear" w:color="auto" w:fill="auto"/>
          </w:tcPr>
          <w:p w14:paraId="3988EB62" w14:textId="77777777" w:rsidR="004D790B" w:rsidRPr="001A1836" w:rsidRDefault="004D790B" w:rsidP="006110D6">
            <w:pPr>
              <w:rPr>
                <w:rFonts w:cs="Arial"/>
                <w:sz w:val="20"/>
              </w:rPr>
            </w:pPr>
            <w:r>
              <w:rPr>
                <w:rFonts w:cs="Arial"/>
                <w:sz w:val="20"/>
              </w:rPr>
              <w:t>Failure to hold the relevant certificates of competence for work undertaken</w:t>
            </w:r>
          </w:p>
        </w:tc>
      </w:tr>
      <w:tr w:rsidR="004D790B" w:rsidRPr="001A1836" w14:paraId="05136890" w14:textId="77777777" w:rsidTr="004D790B">
        <w:trPr>
          <w:gridAfter w:val="1"/>
          <w:wAfter w:w="27" w:type="dxa"/>
          <w:cantSplit/>
        </w:trPr>
        <w:tc>
          <w:tcPr>
            <w:tcW w:w="851" w:type="dxa"/>
            <w:gridSpan w:val="2"/>
            <w:shd w:val="clear" w:color="auto" w:fill="auto"/>
          </w:tcPr>
          <w:p w14:paraId="1EEA65F4" w14:textId="77777777" w:rsidR="004D790B" w:rsidRPr="001A1836" w:rsidRDefault="004D790B" w:rsidP="006110D6">
            <w:pPr>
              <w:rPr>
                <w:rFonts w:cs="Arial"/>
                <w:sz w:val="20"/>
              </w:rPr>
            </w:pPr>
            <w:r>
              <w:rPr>
                <w:rFonts w:cs="Arial"/>
                <w:sz w:val="20"/>
              </w:rPr>
              <w:t>1.28</w:t>
            </w:r>
          </w:p>
        </w:tc>
        <w:tc>
          <w:tcPr>
            <w:tcW w:w="1559" w:type="dxa"/>
            <w:gridSpan w:val="2"/>
            <w:shd w:val="clear" w:color="auto" w:fill="auto"/>
          </w:tcPr>
          <w:p w14:paraId="2155FF4F" w14:textId="77777777" w:rsidR="004D790B" w:rsidRPr="001A1836" w:rsidRDefault="004D790B" w:rsidP="006110D6">
            <w:pPr>
              <w:rPr>
                <w:rFonts w:cs="Arial"/>
                <w:sz w:val="20"/>
              </w:rPr>
            </w:pPr>
          </w:p>
        </w:tc>
        <w:tc>
          <w:tcPr>
            <w:tcW w:w="6804" w:type="dxa"/>
            <w:shd w:val="clear" w:color="auto" w:fill="auto"/>
          </w:tcPr>
          <w:p w14:paraId="7B303FFB" w14:textId="77777777" w:rsidR="004D790B" w:rsidRPr="001A1836" w:rsidRDefault="004D790B" w:rsidP="006110D6">
            <w:pPr>
              <w:rPr>
                <w:rFonts w:cs="Arial"/>
                <w:sz w:val="20"/>
              </w:rPr>
            </w:pPr>
            <w:r>
              <w:rPr>
                <w:rFonts w:cs="Arial"/>
                <w:sz w:val="20"/>
              </w:rPr>
              <w:t>Failure to allow a work inspection</w:t>
            </w:r>
          </w:p>
        </w:tc>
      </w:tr>
      <w:tr w:rsidR="004D790B" w:rsidRPr="001A1836" w14:paraId="6B48BD75" w14:textId="77777777" w:rsidTr="004D790B">
        <w:trPr>
          <w:gridAfter w:val="1"/>
          <w:wAfter w:w="27" w:type="dxa"/>
          <w:cantSplit/>
        </w:trPr>
        <w:tc>
          <w:tcPr>
            <w:tcW w:w="851" w:type="dxa"/>
            <w:gridSpan w:val="2"/>
            <w:shd w:val="clear" w:color="auto" w:fill="auto"/>
          </w:tcPr>
          <w:p w14:paraId="549F10D6" w14:textId="77777777" w:rsidR="004D790B" w:rsidRPr="001A1836" w:rsidRDefault="004D790B" w:rsidP="006110D6">
            <w:pPr>
              <w:rPr>
                <w:rFonts w:cs="Arial"/>
                <w:sz w:val="20"/>
              </w:rPr>
            </w:pPr>
            <w:r>
              <w:rPr>
                <w:rFonts w:cs="Arial"/>
                <w:sz w:val="20"/>
              </w:rPr>
              <w:t>1.29</w:t>
            </w:r>
          </w:p>
        </w:tc>
        <w:tc>
          <w:tcPr>
            <w:tcW w:w="1559" w:type="dxa"/>
            <w:gridSpan w:val="2"/>
            <w:shd w:val="clear" w:color="auto" w:fill="auto"/>
          </w:tcPr>
          <w:p w14:paraId="7555C83E" w14:textId="77777777" w:rsidR="004D790B" w:rsidRPr="001A1836" w:rsidRDefault="004D790B" w:rsidP="006110D6">
            <w:pPr>
              <w:rPr>
                <w:rFonts w:cs="Arial"/>
                <w:sz w:val="20"/>
              </w:rPr>
            </w:pPr>
          </w:p>
        </w:tc>
        <w:tc>
          <w:tcPr>
            <w:tcW w:w="6804" w:type="dxa"/>
            <w:shd w:val="clear" w:color="auto" w:fill="auto"/>
          </w:tcPr>
          <w:p w14:paraId="76EFDEF1" w14:textId="77777777" w:rsidR="004D790B" w:rsidRPr="001A1836" w:rsidRDefault="004D790B" w:rsidP="006110D6">
            <w:pPr>
              <w:rPr>
                <w:rFonts w:cs="Arial"/>
                <w:sz w:val="20"/>
              </w:rPr>
            </w:pPr>
            <w:r>
              <w:rPr>
                <w:rFonts w:cs="Arial"/>
                <w:sz w:val="20"/>
              </w:rPr>
              <w:t>Failure to notify whilst in the probationary period</w:t>
            </w:r>
          </w:p>
        </w:tc>
      </w:tr>
      <w:tr w:rsidR="004D790B" w:rsidRPr="001A1836" w14:paraId="32EAD583" w14:textId="77777777" w:rsidTr="004D790B">
        <w:trPr>
          <w:gridAfter w:val="1"/>
          <w:wAfter w:w="27" w:type="dxa"/>
          <w:cantSplit/>
        </w:trPr>
        <w:tc>
          <w:tcPr>
            <w:tcW w:w="851" w:type="dxa"/>
            <w:gridSpan w:val="2"/>
            <w:shd w:val="clear" w:color="auto" w:fill="auto"/>
          </w:tcPr>
          <w:p w14:paraId="60991FB9" w14:textId="77777777" w:rsidR="004D790B" w:rsidRPr="001A1836" w:rsidRDefault="004D790B" w:rsidP="006110D6">
            <w:pPr>
              <w:rPr>
                <w:rFonts w:cs="Arial"/>
                <w:sz w:val="20"/>
              </w:rPr>
            </w:pPr>
            <w:r>
              <w:rPr>
                <w:rFonts w:cs="Arial"/>
                <w:sz w:val="20"/>
              </w:rPr>
              <w:lastRenderedPageBreak/>
              <w:t>1.30</w:t>
            </w:r>
          </w:p>
        </w:tc>
        <w:tc>
          <w:tcPr>
            <w:tcW w:w="1559" w:type="dxa"/>
            <w:gridSpan w:val="2"/>
            <w:shd w:val="clear" w:color="auto" w:fill="auto"/>
          </w:tcPr>
          <w:p w14:paraId="6D62DD89" w14:textId="77777777" w:rsidR="004D790B" w:rsidRPr="001A1836" w:rsidRDefault="004D790B" w:rsidP="006110D6">
            <w:pPr>
              <w:rPr>
                <w:rFonts w:cs="Arial"/>
                <w:sz w:val="20"/>
              </w:rPr>
            </w:pPr>
          </w:p>
        </w:tc>
        <w:tc>
          <w:tcPr>
            <w:tcW w:w="6804" w:type="dxa"/>
            <w:shd w:val="clear" w:color="auto" w:fill="auto"/>
          </w:tcPr>
          <w:p w14:paraId="04D9CF1A" w14:textId="77777777" w:rsidR="004D790B" w:rsidRPr="001A1836" w:rsidRDefault="004D790B" w:rsidP="006110D6">
            <w:pPr>
              <w:rPr>
                <w:rFonts w:cs="Arial"/>
                <w:sz w:val="20"/>
              </w:rPr>
            </w:pPr>
            <w:r>
              <w:rPr>
                <w:rFonts w:cs="Arial"/>
                <w:sz w:val="20"/>
              </w:rPr>
              <w:t>Failure to comply with any sanction applied</w:t>
            </w:r>
          </w:p>
        </w:tc>
      </w:tr>
      <w:tr w:rsidR="004D790B" w:rsidRPr="001A1836" w14:paraId="0DFF4D7A" w14:textId="77777777" w:rsidTr="004D790B">
        <w:trPr>
          <w:gridAfter w:val="1"/>
          <w:wAfter w:w="27" w:type="dxa"/>
          <w:cantSplit/>
        </w:trPr>
        <w:tc>
          <w:tcPr>
            <w:tcW w:w="851" w:type="dxa"/>
            <w:gridSpan w:val="2"/>
            <w:shd w:val="clear" w:color="auto" w:fill="auto"/>
          </w:tcPr>
          <w:p w14:paraId="760DDDD9" w14:textId="77777777" w:rsidR="004D790B" w:rsidRPr="001A1836" w:rsidRDefault="004D790B" w:rsidP="006110D6">
            <w:pPr>
              <w:rPr>
                <w:rFonts w:cs="Arial"/>
                <w:sz w:val="20"/>
              </w:rPr>
            </w:pPr>
            <w:r>
              <w:rPr>
                <w:rFonts w:cs="Arial"/>
                <w:sz w:val="20"/>
              </w:rPr>
              <w:t>1.31</w:t>
            </w:r>
          </w:p>
        </w:tc>
        <w:tc>
          <w:tcPr>
            <w:tcW w:w="1559" w:type="dxa"/>
            <w:gridSpan w:val="2"/>
            <w:shd w:val="clear" w:color="auto" w:fill="auto"/>
          </w:tcPr>
          <w:p w14:paraId="0D04D72E" w14:textId="77777777" w:rsidR="004D790B" w:rsidRPr="001A1836" w:rsidRDefault="004D790B" w:rsidP="006110D6">
            <w:pPr>
              <w:rPr>
                <w:rFonts w:cs="Arial"/>
                <w:sz w:val="20"/>
              </w:rPr>
            </w:pPr>
          </w:p>
        </w:tc>
        <w:tc>
          <w:tcPr>
            <w:tcW w:w="6804" w:type="dxa"/>
            <w:shd w:val="clear" w:color="auto" w:fill="auto"/>
          </w:tcPr>
          <w:p w14:paraId="0DBFB13E" w14:textId="77777777" w:rsidR="004D790B" w:rsidRPr="001A1836" w:rsidRDefault="004D790B" w:rsidP="006110D6">
            <w:pPr>
              <w:rPr>
                <w:rFonts w:cs="Arial"/>
                <w:sz w:val="20"/>
              </w:rPr>
            </w:pPr>
            <w:r>
              <w:rPr>
                <w:rFonts w:cs="Arial"/>
                <w:sz w:val="20"/>
              </w:rPr>
              <w:t>Service of a notice of contravention, IN or PN</w:t>
            </w:r>
          </w:p>
        </w:tc>
      </w:tr>
      <w:tr w:rsidR="004D790B" w:rsidRPr="001A1836" w14:paraId="7FA94CF2" w14:textId="77777777" w:rsidTr="004D790B">
        <w:trPr>
          <w:gridAfter w:val="1"/>
          <w:wAfter w:w="27" w:type="dxa"/>
          <w:cantSplit/>
        </w:trPr>
        <w:tc>
          <w:tcPr>
            <w:tcW w:w="851" w:type="dxa"/>
            <w:gridSpan w:val="2"/>
            <w:shd w:val="clear" w:color="auto" w:fill="auto"/>
          </w:tcPr>
          <w:p w14:paraId="164BEC68" w14:textId="77777777" w:rsidR="004D790B" w:rsidRPr="001A1836" w:rsidRDefault="004D790B" w:rsidP="006110D6">
            <w:pPr>
              <w:rPr>
                <w:rFonts w:cs="Arial"/>
                <w:sz w:val="20"/>
              </w:rPr>
            </w:pPr>
            <w:r>
              <w:rPr>
                <w:rFonts w:cs="Arial"/>
                <w:sz w:val="20"/>
              </w:rPr>
              <w:t>1.32</w:t>
            </w:r>
          </w:p>
        </w:tc>
        <w:tc>
          <w:tcPr>
            <w:tcW w:w="1559" w:type="dxa"/>
            <w:gridSpan w:val="2"/>
            <w:shd w:val="clear" w:color="auto" w:fill="auto"/>
          </w:tcPr>
          <w:p w14:paraId="79B91643" w14:textId="77777777" w:rsidR="004D790B" w:rsidRPr="001A1836" w:rsidRDefault="004D790B" w:rsidP="006110D6">
            <w:pPr>
              <w:rPr>
                <w:rFonts w:cs="Arial"/>
                <w:sz w:val="20"/>
              </w:rPr>
            </w:pPr>
          </w:p>
        </w:tc>
        <w:tc>
          <w:tcPr>
            <w:tcW w:w="6804" w:type="dxa"/>
            <w:shd w:val="clear" w:color="auto" w:fill="auto"/>
          </w:tcPr>
          <w:p w14:paraId="4C98094A" w14:textId="77777777" w:rsidR="004D790B" w:rsidRPr="001A1836" w:rsidRDefault="004D790B" w:rsidP="006110D6">
            <w:pPr>
              <w:rPr>
                <w:rFonts w:cs="Arial"/>
                <w:sz w:val="20"/>
              </w:rPr>
            </w:pPr>
            <w:r>
              <w:rPr>
                <w:rFonts w:cs="Arial"/>
                <w:sz w:val="20"/>
              </w:rPr>
              <w:t>Working outside the scope of registered work categories</w:t>
            </w:r>
          </w:p>
        </w:tc>
      </w:tr>
      <w:tr w:rsidR="004D790B" w:rsidRPr="001A1836" w14:paraId="607B661F" w14:textId="77777777" w:rsidTr="004D790B">
        <w:trPr>
          <w:gridAfter w:val="1"/>
          <w:wAfter w:w="27" w:type="dxa"/>
          <w:cantSplit/>
        </w:trPr>
        <w:tc>
          <w:tcPr>
            <w:tcW w:w="851" w:type="dxa"/>
            <w:gridSpan w:val="2"/>
            <w:shd w:val="clear" w:color="auto" w:fill="auto"/>
          </w:tcPr>
          <w:p w14:paraId="1CF9E3CA" w14:textId="77777777" w:rsidR="004D790B" w:rsidRPr="001A1836" w:rsidRDefault="004D790B" w:rsidP="006110D6">
            <w:pPr>
              <w:rPr>
                <w:rFonts w:cs="Arial"/>
                <w:sz w:val="20"/>
              </w:rPr>
            </w:pPr>
            <w:r>
              <w:rPr>
                <w:rFonts w:cs="Arial"/>
                <w:sz w:val="20"/>
              </w:rPr>
              <w:t>1.33</w:t>
            </w:r>
          </w:p>
        </w:tc>
        <w:tc>
          <w:tcPr>
            <w:tcW w:w="1559" w:type="dxa"/>
            <w:gridSpan w:val="2"/>
            <w:shd w:val="clear" w:color="auto" w:fill="auto"/>
          </w:tcPr>
          <w:p w14:paraId="39A48A3C" w14:textId="77777777" w:rsidR="004D790B" w:rsidRPr="001A1836" w:rsidRDefault="004D790B" w:rsidP="006110D6">
            <w:pPr>
              <w:rPr>
                <w:rFonts w:cs="Arial"/>
                <w:sz w:val="20"/>
              </w:rPr>
            </w:pPr>
          </w:p>
        </w:tc>
        <w:tc>
          <w:tcPr>
            <w:tcW w:w="6804" w:type="dxa"/>
            <w:shd w:val="clear" w:color="auto" w:fill="auto"/>
          </w:tcPr>
          <w:p w14:paraId="7857EF11" w14:textId="77777777" w:rsidR="004D790B" w:rsidRPr="001A1836" w:rsidRDefault="004D790B" w:rsidP="006110D6">
            <w:pPr>
              <w:rPr>
                <w:rFonts w:cs="Arial"/>
                <w:sz w:val="20"/>
              </w:rPr>
            </w:pPr>
            <w:r>
              <w:rPr>
                <w:rFonts w:cs="Arial"/>
                <w:sz w:val="20"/>
              </w:rPr>
              <w:t>Aggressive behaviour towards Register staff</w:t>
            </w:r>
          </w:p>
        </w:tc>
      </w:tr>
      <w:tr w:rsidR="004D790B" w:rsidRPr="00AA29C2" w14:paraId="14E53B61" w14:textId="77777777" w:rsidTr="004D790B">
        <w:trPr>
          <w:gridAfter w:val="1"/>
          <w:wAfter w:w="27" w:type="dxa"/>
          <w:cantSplit/>
        </w:trPr>
        <w:tc>
          <w:tcPr>
            <w:tcW w:w="851" w:type="dxa"/>
            <w:gridSpan w:val="2"/>
            <w:shd w:val="clear" w:color="auto" w:fill="auto"/>
          </w:tcPr>
          <w:p w14:paraId="79099258" w14:textId="77777777" w:rsidR="004D790B" w:rsidRPr="001A1836" w:rsidRDefault="004D790B" w:rsidP="006110D6">
            <w:pPr>
              <w:rPr>
                <w:rFonts w:cs="Arial"/>
                <w:sz w:val="20"/>
              </w:rPr>
            </w:pPr>
          </w:p>
        </w:tc>
        <w:tc>
          <w:tcPr>
            <w:tcW w:w="1559" w:type="dxa"/>
            <w:gridSpan w:val="2"/>
            <w:shd w:val="clear" w:color="auto" w:fill="auto"/>
          </w:tcPr>
          <w:p w14:paraId="7F402710" w14:textId="77777777" w:rsidR="004D790B" w:rsidRPr="001A1836" w:rsidRDefault="004D790B" w:rsidP="006110D6">
            <w:pPr>
              <w:rPr>
                <w:rFonts w:cs="Arial"/>
                <w:sz w:val="20"/>
              </w:rPr>
            </w:pPr>
          </w:p>
        </w:tc>
        <w:tc>
          <w:tcPr>
            <w:tcW w:w="6804" w:type="dxa"/>
            <w:shd w:val="clear" w:color="auto" w:fill="auto"/>
          </w:tcPr>
          <w:p w14:paraId="5B277CA2" w14:textId="77777777" w:rsidR="004D790B" w:rsidRPr="00AA29C2" w:rsidRDefault="004D790B" w:rsidP="006110D6">
            <w:pPr>
              <w:rPr>
                <w:rFonts w:cs="Arial"/>
                <w:b/>
                <w:sz w:val="20"/>
              </w:rPr>
            </w:pPr>
            <w:r>
              <w:rPr>
                <w:rFonts w:cs="Arial"/>
                <w:b/>
                <w:sz w:val="20"/>
              </w:rPr>
              <w:t>Numbers of removals by category (more than one may be applied to a single removal)</w:t>
            </w:r>
          </w:p>
        </w:tc>
      </w:tr>
      <w:tr w:rsidR="004D790B" w:rsidRPr="001A1836" w14:paraId="7E2DE685" w14:textId="77777777" w:rsidTr="004D790B">
        <w:trPr>
          <w:gridAfter w:val="1"/>
          <w:wAfter w:w="27" w:type="dxa"/>
          <w:cantSplit/>
        </w:trPr>
        <w:tc>
          <w:tcPr>
            <w:tcW w:w="851" w:type="dxa"/>
            <w:gridSpan w:val="2"/>
            <w:shd w:val="clear" w:color="auto" w:fill="auto"/>
          </w:tcPr>
          <w:p w14:paraId="3923BAA0" w14:textId="77777777" w:rsidR="004D790B" w:rsidRPr="001A1836" w:rsidRDefault="004D790B" w:rsidP="006110D6">
            <w:pPr>
              <w:rPr>
                <w:rFonts w:cs="Arial"/>
                <w:sz w:val="20"/>
              </w:rPr>
            </w:pPr>
            <w:r>
              <w:rPr>
                <w:rFonts w:cs="Arial"/>
                <w:sz w:val="20"/>
              </w:rPr>
              <w:t>1.34</w:t>
            </w:r>
          </w:p>
        </w:tc>
        <w:tc>
          <w:tcPr>
            <w:tcW w:w="1559" w:type="dxa"/>
            <w:gridSpan w:val="2"/>
            <w:shd w:val="clear" w:color="auto" w:fill="auto"/>
          </w:tcPr>
          <w:p w14:paraId="2ABB636B" w14:textId="77777777" w:rsidR="004D790B" w:rsidRPr="001A1836" w:rsidRDefault="004D790B" w:rsidP="006110D6">
            <w:pPr>
              <w:rPr>
                <w:rFonts w:cs="Arial"/>
                <w:sz w:val="20"/>
              </w:rPr>
            </w:pPr>
          </w:p>
        </w:tc>
        <w:tc>
          <w:tcPr>
            <w:tcW w:w="6804" w:type="dxa"/>
            <w:shd w:val="clear" w:color="auto" w:fill="auto"/>
          </w:tcPr>
          <w:p w14:paraId="71E1CACC" w14:textId="77777777" w:rsidR="004D790B" w:rsidRPr="001A1836" w:rsidRDefault="004D790B" w:rsidP="006110D6">
            <w:pPr>
              <w:rPr>
                <w:rFonts w:cs="Arial"/>
                <w:sz w:val="20"/>
              </w:rPr>
            </w:pPr>
            <w:r>
              <w:rPr>
                <w:rFonts w:cs="Arial"/>
                <w:sz w:val="20"/>
              </w:rPr>
              <w:t>Unsafe gas work</w:t>
            </w:r>
          </w:p>
        </w:tc>
      </w:tr>
      <w:tr w:rsidR="004D790B" w:rsidRPr="001A1836" w14:paraId="011CE236" w14:textId="77777777" w:rsidTr="004D790B">
        <w:trPr>
          <w:gridAfter w:val="1"/>
          <w:wAfter w:w="27" w:type="dxa"/>
          <w:cantSplit/>
        </w:trPr>
        <w:tc>
          <w:tcPr>
            <w:tcW w:w="851" w:type="dxa"/>
            <w:gridSpan w:val="2"/>
            <w:shd w:val="clear" w:color="auto" w:fill="auto"/>
          </w:tcPr>
          <w:p w14:paraId="41F18A9B" w14:textId="77777777" w:rsidR="004D790B" w:rsidRPr="001A1836" w:rsidRDefault="004D790B" w:rsidP="006110D6">
            <w:pPr>
              <w:rPr>
                <w:rFonts w:cs="Arial"/>
                <w:sz w:val="20"/>
              </w:rPr>
            </w:pPr>
            <w:r>
              <w:rPr>
                <w:rFonts w:cs="Arial"/>
                <w:sz w:val="20"/>
              </w:rPr>
              <w:t>1.35</w:t>
            </w:r>
          </w:p>
        </w:tc>
        <w:tc>
          <w:tcPr>
            <w:tcW w:w="1559" w:type="dxa"/>
            <w:gridSpan w:val="2"/>
            <w:shd w:val="clear" w:color="auto" w:fill="auto"/>
          </w:tcPr>
          <w:p w14:paraId="6A5F33BF" w14:textId="77777777" w:rsidR="004D790B" w:rsidRPr="001A1836" w:rsidRDefault="004D790B" w:rsidP="006110D6">
            <w:pPr>
              <w:rPr>
                <w:rFonts w:cs="Arial"/>
                <w:sz w:val="20"/>
              </w:rPr>
            </w:pPr>
          </w:p>
        </w:tc>
        <w:tc>
          <w:tcPr>
            <w:tcW w:w="6804" w:type="dxa"/>
            <w:shd w:val="clear" w:color="auto" w:fill="auto"/>
          </w:tcPr>
          <w:p w14:paraId="6151259D" w14:textId="77777777" w:rsidR="004D790B" w:rsidRPr="001A1836" w:rsidRDefault="004D790B" w:rsidP="006110D6">
            <w:pPr>
              <w:rPr>
                <w:rFonts w:cs="Arial"/>
                <w:sz w:val="20"/>
              </w:rPr>
            </w:pPr>
            <w:r>
              <w:rPr>
                <w:rFonts w:cs="Arial"/>
                <w:sz w:val="20"/>
              </w:rPr>
              <w:t>Failure to comply with the Rules of Registration</w:t>
            </w:r>
          </w:p>
        </w:tc>
      </w:tr>
      <w:tr w:rsidR="004D790B" w:rsidRPr="001A1836" w14:paraId="73FBF939" w14:textId="77777777" w:rsidTr="004D790B">
        <w:trPr>
          <w:gridAfter w:val="1"/>
          <w:wAfter w:w="27" w:type="dxa"/>
          <w:cantSplit/>
        </w:trPr>
        <w:tc>
          <w:tcPr>
            <w:tcW w:w="851" w:type="dxa"/>
            <w:gridSpan w:val="2"/>
            <w:shd w:val="clear" w:color="auto" w:fill="auto"/>
          </w:tcPr>
          <w:p w14:paraId="4C1EF3DA" w14:textId="77777777" w:rsidR="004D790B" w:rsidRPr="001A1836" w:rsidRDefault="004D790B" w:rsidP="006110D6">
            <w:pPr>
              <w:rPr>
                <w:rFonts w:cs="Arial"/>
                <w:sz w:val="20"/>
              </w:rPr>
            </w:pPr>
            <w:r>
              <w:rPr>
                <w:rFonts w:cs="Arial"/>
                <w:sz w:val="20"/>
              </w:rPr>
              <w:t>1.36</w:t>
            </w:r>
          </w:p>
        </w:tc>
        <w:tc>
          <w:tcPr>
            <w:tcW w:w="1559" w:type="dxa"/>
            <w:gridSpan w:val="2"/>
            <w:shd w:val="clear" w:color="auto" w:fill="auto"/>
          </w:tcPr>
          <w:p w14:paraId="5A7DE1EA" w14:textId="77777777" w:rsidR="004D790B" w:rsidRPr="001A1836" w:rsidRDefault="004D790B" w:rsidP="006110D6">
            <w:pPr>
              <w:rPr>
                <w:rFonts w:cs="Arial"/>
                <w:sz w:val="20"/>
              </w:rPr>
            </w:pPr>
          </w:p>
        </w:tc>
        <w:tc>
          <w:tcPr>
            <w:tcW w:w="6804" w:type="dxa"/>
            <w:shd w:val="clear" w:color="auto" w:fill="auto"/>
          </w:tcPr>
          <w:p w14:paraId="2A50ACA5" w14:textId="77777777" w:rsidR="004D790B" w:rsidRPr="001A1836" w:rsidRDefault="004D790B" w:rsidP="006110D6">
            <w:pPr>
              <w:rPr>
                <w:rFonts w:cs="Arial"/>
                <w:sz w:val="20"/>
              </w:rPr>
            </w:pPr>
            <w:r>
              <w:rPr>
                <w:rFonts w:cs="Arial"/>
                <w:sz w:val="20"/>
              </w:rPr>
              <w:t>Bringing the Register into disrepute</w:t>
            </w:r>
          </w:p>
        </w:tc>
      </w:tr>
      <w:tr w:rsidR="004D790B" w:rsidRPr="001A1836" w14:paraId="7B9FD8CC" w14:textId="77777777" w:rsidTr="004D790B">
        <w:trPr>
          <w:gridAfter w:val="1"/>
          <w:wAfter w:w="27" w:type="dxa"/>
          <w:cantSplit/>
        </w:trPr>
        <w:tc>
          <w:tcPr>
            <w:tcW w:w="851" w:type="dxa"/>
            <w:gridSpan w:val="2"/>
            <w:shd w:val="clear" w:color="auto" w:fill="auto"/>
          </w:tcPr>
          <w:p w14:paraId="24950442" w14:textId="77777777" w:rsidR="004D790B" w:rsidRPr="001A1836" w:rsidRDefault="004D790B" w:rsidP="006110D6">
            <w:pPr>
              <w:rPr>
                <w:rFonts w:cs="Arial"/>
                <w:sz w:val="20"/>
              </w:rPr>
            </w:pPr>
            <w:r>
              <w:rPr>
                <w:rFonts w:cs="Arial"/>
                <w:sz w:val="20"/>
              </w:rPr>
              <w:t>1.37</w:t>
            </w:r>
          </w:p>
        </w:tc>
        <w:tc>
          <w:tcPr>
            <w:tcW w:w="1559" w:type="dxa"/>
            <w:gridSpan w:val="2"/>
            <w:shd w:val="clear" w:color="auto" w:fill="auto"/>
          </w:tcPr>
          <w:p w14:paraId="03D117E5" w14:textId="77777777" w:rsidR="004D790B" w:rsidRPr="001A1836" w:rsidRDefault="004D790B" w:rsidP="006110D6">
            <w:pPr>
              <w:rPr>
                <w:rFonts w:cs="Arial"/>
                <w:sz w:val="20"/>
              </w:rPr>
            </w:pPr>
          </w:p>
        </w:tc>
        <w:tc>
          <w:tcPr>
            <w:tcW w:w="6804" w:type="dxa"/>
            <w:shd w:val="clear" w:color="auto" w:fill="auto"/>
          </w:tcPr>
          <w:p w14:paraId="078E5D59" w14:textId="77777777" w:rsidR="004D790B" w:rsidRPr="001A1836" w:rsidRDefault="004D790B" w:rsidP="006110D6">
            <w:pPr>
              <w:rPr>
                <w:rFonts w:cs="Arial"/>
                <w:sz w:val="20"/>
              </w:rPr>
            </w:pPr>
            <w:r>
              <w:rPr>
                <w:rFonts w:cs="Arial"/>
                <w:sz w:val="20"/>
              </w:rPr>
              <w:t>Failure to comply with any sanction applied</w:t>
            </w:r>
          </w:p>
        </w:tc>
      </w:tr>
      <w:tr w:rsidR="004D790B" w:rsidRPr="001A1836" w14:paraId="73D0D3FE" w14:textId="77777777" w:rsidTr="004D790B">
        <w:trPr>
          <w:gridAfter w:val="1"/>
          <w:wAfter w:w="27" w:type="dxa"/>
          <w:cantSplit/>
        </w:trPr>
        <w:tc>
          <w:tcPr>
            <w:tcW w:w="851" w:type="dxa"/>
            <w:gridSpan w:val="2"/>
            <w:shd w:val="clear" w:color="auto" w:fill="auto"/>
          </w:tcPr>
          <w:p w14:paraId="3E4D1687" w14:textId="77777777" w:rsidR="004D790B" w:rsidRPr="001A1836" w:rsidRDefault="004D790B" w:rsidP="006110D6">
            <w:pPr>
              <w:rPr>
                <w:rFonts w:cs="Arial"/>
                <w:sz w:val="20"/>
              </w:rPr>
            </w:pPr>
            <w:r>
              <w:rPr>
                <w:rFonts w:cs="Arial"/>
                <w:sz w:val="20"/>
              </w:rPr>
              <w:t>1.38</w:t>
            </w:r>
          </w:p>
        </w:tc>
        <w:tc>
          <w:tcPr>
            <w:tcW w:w="1559" w:type="dxa"/>
            <w:gridSpan w:val="2"/>
            <w:shd w:val="clear" w:color="auto" w:fill="auto"/>
          </w:tcPr>
          <w:p w14:paraId="2E65FBCE" w14:textId="77777777" w:rsidR="004D790B" w:rsidRPr="001A1836" w:rsidRDefault="004D790B" w:rsidP="006110D6">
            <w:pPr>
              <w:rPr>
                <w:rFonts w:cs="Arial"/>
                <w:sz w:val="20"/>
              </w:rPr>
            </w:pPr>
          </w:p>
        </w:tc>
        <w:tc>
          <w:tcPr>
            <w:tcW w:w="6804" w:type="dxa"/>
            <w:shd w:val="clear" w:color="auto" w:fill="auto"/>
          </w:tcPr>
          <w:p w14:paraId="1979E19C" w14:textId="77777777" w:rsidR="004D790B" w:rsidRPr="001A1836" w:rsidRDefault="004D790B" w:rsidP="006110D6">
            <w:pPr>
              <w:rPr>
                <w:rFonts w:cs="Arial"/>
                <w:sz w:val="20"/>
              </w:rPr>
            </w:pPr>
            <w:r>
              <w:rPr>
                <w:rFonts w:cs="Arial"/>
                <w:sz w:val="20"/>
              </w:rPr>
              <w:t>Prosecution for any gas-related health and safety offence resulting in a custodial or suspended sentence</w:t>
            </w:r>
          </w:p>
        </w:tc>
      </w:tr>
      <w:tr w:rsidR="004D790B" w:rsidRPr="001A1836" w14:paraId="759550BD" w14:textId="77777777" w:rsidTr="004D790B">
        <w:trPr>
          <w:gridAfter w:val="1"/>
          <w:wAfter w:w="27" w:type="dxa"/>
          <w:cantSplit/>
        </w:trPr>
        <w:tc>
          <w:tcPr>
            <w:tcW w:w="851" w:type="dxa"/>
            <w:gridSpan w:val="2"/>
            <w:shd w:val="clear" w:color="auto" w:fill="auto"/>
          </w:tcPr>
          <w:p w14:paraId="2D61AB90" w14:textId="77777777" w:rsidR="004D790B" w:rsidRPr="001A1836" w:rsidRDefault="004D790B" w:rsidP="006110D6">
            <w:pPr>
              <w:rPr>
                <w:rFonts w:cs="Arial"/>
                <w:sz w:val="20"/>
              </w:rPr>
            </w:pPr>
            <w:r>
              <w:rPr>
                <w:rFonts w:cs="Arial"/>
                <w:sz w:val="20"/>
              </w:rPr>
              <w:t>1.39</w:t>
            </w:r>
          </w:p>
        </w:tc>
        <w:tc>
          <w:tcPr>
            <w:tcW w:w="1559" w:type="dxa"/>
            <w:gridSpan w:val="2"/>
            <w:shd w:val="clear" w:color="auto" w:fill="auto"/>
          </w:tcPr>
          <w:p w14:paraId="16FF898F" w14:textId="77777777" w:rsidR="004D790B" w:rsidRPr="001A1836" w:rsidRDefault="004D790B" w:rsidP="006110D6">
            <w:pPr>
              <w:rPr>
                <w:rFonts w:cs="Arial"/>
                <w:sz w:val="20"/>
              </w:rPr>
            </w:pPr>
          </w:p>
        </w:tc>
        <w:tc>
          <w:tcPr>
            <w:tcW w:w="6804" w:type="dxa"/>
            <w:shd w:val="clear" w:color="auto" w:fill="auto"/>
          </w:tcPr>
          <w:p w14:paraId="644CE90C" w14:textId="77777777" w:rsidR="004D790B" w:rsidRPr="001A1836" w:rsidRDefault="004D790B" w:rsidP="006110D6">
            <w:pPr>
              <w:rPr>
                <w:rFonts w:cs="Arial"/>
                <w:sz w:val="20"/>
              </w:rPr>
            </w:pPr>
            <w:r>
              <w:rPr>
                <w:rFonts w:cs="Arial"/>
                <w:sz w:val="20"/>
              </w:rPr>
              <w:t>Failure to pay the appropriate fees</w:t>
            </w:r>
          </w:p>
        </w:tc>
      </w:tr>
      <w:tr w:rsidR="004D790B" w:rsidRPr="001A1836" w14:paraId="62D95982" w14:textId="77777777" w:rsidTr="004D790B">
        <w:trPr>
          <w:gridAfter w:val="1"/>
          <w:wAfter w:w="27" w:type="dxa"/>
          <w:cantSplit/>
        </w:trPr>
        <w:tc>
          <w:tcPr>
            <w:tcW w:w="851" w:type="dxa"/>
            <w:gridSpan w:val="2"/>
            <w:shd w:val="clear" w:color="auto" w:fill="auto"/>
          </w:tcPr>
          <w:p w14:paraId="7C476BA0" w14:textId="77777777" w:rsidR="004D790B" w:rsidRPr="001A1836" w:rsidRDefault="004D790B" w:rsidP="006110D6">
            <w:pPr>
              <w:rPr>
                <w:rFonts w:cs="Arial"/>
                <w:sz w:val="20"/>
              </w:rPr>
            </w:pPr>
            <w:r>
              <w:rPr>
                <w:rFonts w:cs="Arial"/>
                <w:sz w:val="20"/>
              </w:rPr>
              <w:t>1.40</w:t>
            </w:r>
          </w:p>
        </w:tc>
        <w:tc>
          <w:tcPr>
            <w:tcW w:w="1559" w:type="dxa"/>
            <w:gridSpan w:val="2"/>
            <w:shd w:val="clear" w:color="auto" w:fill="auto"/>
          </w:tcPr>
          <w:p w14:paraId="5AF8DAD3" w14:textId="77777777" w:rsidR="004D790B" w:rsidRPr="001A1836" w:rsidRDefault="004D790B" w:rsidP="006110D6">
            <w:pPr>
              <w:rPr>
                <w:rFonts w:cs="Arial"/>
                <w:sz w:val="20"/>
              </w:rPr>
            </w:pPr>
          </w:p>
        </w:tc>
        <w:tc>
          <w:tcPr>
            <w:tcW w:w="6804" w:type="dxa"/>
            <w:shd w:val="clear" w:color="auto" w:fill="auto"/>
          </w:tcPr>
          <w:p w14:paraId="17EFBAAE" w14:textId="77777777" w:rsidR="004D790B" w:rsidRPr="001A1836" w:rsidRDefault="004D790B" w:rsidP="006110D6">
            <w:pPr>
              <w:rPr>
                <w:rFonts w:cs="Arial"/>
                <w:sz w:val="20"/>
              </w:rPr>
            </w:pPr>
            <w:r>
              <w:rPr>
                <w:rFonts w:cs="Arial"/>
                <w:sz w:val="20"/>
              </w:rPr>
              <w:t>Repeatedly working outside the scope of registered work categories</w:t>
            </w:r>
          </w:p>
        </w:tc>
      </w:tr>
      <w:tr w:rsidR="004D790B" w:rsidRPr="001A1836" w14:paraId="7D5DC771" w14:textId="77777777" w:rsidTr="004D790B">
        <w:trPr>
          <w:gridAfter w:val="1"/>
          <w:wAfter w:w="27" w:type="dxa"/>
          <w:cantSplit/>
        </w:trPr>
        <w:tc>
          <w:tcPr>
            <w:tcW w:w="851" w:type="dxa"/>
            <w:gridSpan w:val="2"/>
            <w:shd w:val="clear" w:color="auto" w:fill="auto"/>
          </w:tcPr>
          <w:p w14:paraId="474BC830" w14:textId="77777777" w:rsidR="004D790B" w:rsidRPr="001A1836" w:rsidRDefault="004D790B" w:rsidP="006110D6">
            <w:pPr>
              <w:rPr>
                <w:rFonts w:cs="Arial"/>
                <w:sz w:val="20"/>
              </w:rPr>
            </w:pPr>
            <w:r>
              <w:rPr>
                <w:rFonts w:cs="Arial"/>
                <w:sz w:val="20"/>
              </w:rPr>
              <w:t>1.41</w:t>
            </w:r>
          </w:p>
        </w:tc>
        <w:tc>
          <w:tcPr>
            <w:tcW w:w="1559" w:type="dxa"/>
            <w:gridSpan w:val="2"/>
            <w:shd w:val="clear" w:color="auto" w:fill="auto"/>
          </w:tcPr>
          <w:p w14:paraId="414BABDC" w14:textId="77777777" w:rsidR="004D790B" w:rsidRPr="001A1836" w:rsidRDefault="004D790B" w:rsidP="006110D6">
            <w:pPr>
              <w:rPr>
                <w:rFonts w:cs="Arial"/>
                <w:sz w:val="20"/>
              </w:rPr>
            </w:pPr>
          </w:p>
        </w:tc>
        <w:tc>
          <w:tcPr>
            <w:tcW w:w="6804" w:type="dxa"/>
            <w:shd w:val="clear" w:color="auto" w:fill="auto"/>
          </w:tcPr>
          <w:p w14:paraId="0F0CE945" w14:textId="77777777" w:rsidR="004D790B" w:rsidRPr="001A1836" w:rsidRDefault="004D790B" w:rsidP="006110D6">
            <w:pPr>
              <w:rPr>
                <w:rFonts w:cs="Arial"/>
                <w:sz w:val="20"/>
              </w:rPr>
            </w:pPr>
            <w:r>
              <w:rPr>
                <w:rFonts w:cs="Arial"/>
                <w:sz w:val="20"/>
              </w:rPr>
              <w:t>Aggressive behaviour towards Register staff</w:t>
            </w:r>
          </w:p>
        </w:tc>
      </w:tr>
      <w:tr w:rsidR="00B074CC" w:rsidRPr="001A1836" w14:paraId="142AFF77" w14:textId="77777777" w:rsidTr="004D790B">
        <w:trPr>
          <w:cantSplit/>
        </w:trPr>
        <w:tc>
          <w:tcPr>
            <w:tcW w:w="802" w:type="dxa"/>
            <w:shd w:val="clear" w:color="auto" w:fill="auto"/>
          </w:tcPr>
          <w:p w14:paraId="7FC949AA" w14:textId="77777777" w:rsidR="00B074CC" w:rsidRPr="001A1836" w:rsidRDefault="00B074CC" w:rsidP="00626054">
            <w:pPr>
              <w:rPr>
                <w:rFonts w:cs="Arial"/>
                <w:b/>
                <w:sz w:val="24"/>
                <w:szCs w:val="24"/>
              </w:rPr>
            </w:pPr>
            <w:r w:rsidRPr="001A1836">
              <w:rPr>
                <w:rFonts w:cs="Arial"/>
                <w:b/>
                <w:sz w:val="24"/>
                <w:szCs w:val="24"/>
              </w:rPr>
              <w:t>2</w:t>
            </w:r>
          </w:p>
        </w:tc>
        <w:tc>
          <w:tcPr>
            <w:tcW w:w="8439" w:type="dxa"/>
            <w:gridSpan w:val="5"/>
            <w:shd w:val="clear" w:color="auto" w:fill="auto"/>
          </w:tcPr>
          <w:p w14:paraId="681BF8F7" w14:textId="77777777" w:rsidR="00B074CC" w:rsidRPr="001A1836" w:rsidRDefault="00B074CC" w:rsidP="00626054">
            <w:pPr>
              <w:rPr>
                <w:rFonts w:cs="Arial"/>
                <w:b/>
                <w:sz w:val="24"/>
                <w:szCs w:val="24"/>
              </w:rPr>
            </w:pPr>
            <w:r w:rsidRPr="001A1836">
              <w:rPr>
                <w:rFonts w:cs="Arial"/>
                <w:b/>
                <w:sz w:val="24"/>
                <w:szCs w:val="24"/>
              </w:rPr>
              <w:t>Building Regulations notifications</w:t>
            </w:r>
          </w:p>
        </w:tc>
      </w:tr>
      <w:tr w:rsidR="00B074CC" w:rsidRPr="001A1836" w14:paraId="76639599" w14:textId="77777777" w:rsidTr="004D790B">
        <w:trPr>
          <w:cantSplit/>
        </w:trPr>
        <w:tc>
          <w:tcPr>
            <w:tcW w:w="802" w:type="dxa"/>
            <w:shd w:val="clear" w:color="auto" w:fill="auto"/>
          </w:tcPr>
          <w:p w14:paraId="509722A4" w14:textId="77777777" w:rsidR="00B074CC" w:rsidRPr="001A1836" w:rsidRDefault="00B074CC" w:rsidP="00626054">
            <w:pPr>
              <w:rPr>
                <w:rFonts w:cs="Arial"/>
                <w:sz w:val="20"/>
              </w:rPr>
            </w:pPr>
          </w:p>
        </w:tc>
        <w:tc>
          <w:tcPr>
            <w:tcW w:w="1574" w:type="dxa"/>
            <w:gridSpan w:val="2"/>
            <w:shd w:val="clear" w:color="auto" w:fill="auto"/>
          </w:tcPr>
          <w:p w14:paraId="5118C013" w14:textId="77777777" w:rsidR="00B074CC" w:rsidRPr="001A1836" w:rsidRDefault="00B074CC" w:rsidP="00626054">
            <w:pPr>
              <w:rPr>
                <w:rFonts w:cs="Arial"/>
                <w:sz w:val="20"/>
              </w:rPr>
            </w:pPr>
          </w:p>
        </w:tc>
        <w:tc>
          <w:tcPr>
            <w:tcW w:w="6865" w:type="dxa"/>
            <w:gridSpan w:val="3"/>
            <w:shd w:val="clear" w:color="auto" w:fill="auto"/>
          </w:tcPr>
          <w:p w14:paraId="3D8D7238" w14:textId="77777777" w:rsidR="00B074CC" w:rsidRPr="001A1836" w:rsidRDefault="00B074CC" w:rsidP="00626054">
            <w:pPr>
              <w:rPr>
                <w:rFonts w:cs="Arial"/>
                <w:b/>
                <w:sz w:val="20"/>
              </w:rPr>
            </w:pPr>
            <w:r w:rsidRPr="001A1836">
              <w:rPr>
                <w:rFonts w:cs="Arial"/>
                <w:b/>
                <w:sz w:val="20"/>
              </w:rPr>
              <w:t>Building Regulations notifications</w:t>
            </w:r>
          </w:p>
        </w:tc>
      </w:tr>
      <w:tr w:rsidR="00B074CC" w:rsidRPr="001A1836" w14:paraId="5677B67D" w14:textId="77777777" w:rsidTr="004D790B">
        <w:trPr>
          <w:cantSplit/>
        </w:trPr>
        <w:tc>
          <w:tcPr>
            <w:tcW w:w="802" w:type="dxa"/>
            <w:shd w:val="clear" w:color="auto" w:fill="auto"/>
          </w:tcPr>
          <w:p w14:paraId="656F04D1" w14:textId="77777777" w:rsidR="00B074CC" w:rsidRPr="001A1836" w:rsidRDefault="00B074CC" w:rsidP="00626054">
            <w:pPr>
              <w:rPr>
                <w:rFonts w:cs="Arial"/>
                <w:sz w:val="20"/>
              </w:rPr>
            </w:pPr>
            <w:r w:rsidRPr="001A1836">
              <w:rPr>
                <w:rFonts w:cs="Arial"/>
                <w:sz w:val="20"/>
              </w:rPr>
              <w:t>2.01</w:t>
            </w:r>
          </w:p>
        </w:tc>
        <w:tc>
          <w:tcPr>
            <w:tcW w:w="1574" w:type="dxa"/>
            <w:gridSpan w:val="2"/>
            <w:shd w:val="clear" w:color="auto" w:fill="auto"/>
          </w:tcPr>
          <w:p w14:paraId="6F18B80A" w14:textId="77777777" w:rsidR="00B074CC" w:rsidRPr="001A1836" w:rsidRDefault="00B074CC" w:rsidP="00626054">
            <w:pPr>
              <w:rPr>
                <w:rFonts w:cs="Arial"/>
                <w:sz w:val="20"/>
              </w:rPr>
            </w:pPr>
          </w:p>
        </w:tc>
        <w:tc>
          <w:tcPr>
            <w:tcW w:w="6865" w:type="dxa"/>
            <w:gridSpan w:val="3"/>
            <w:shd w:val="clear" w:color="auto" w:fill="auto"/>
          </w:tcPr>
          <w:p w14:paraId="225949FA" w14:textId="77777777" w:rsidR="00B074CC" w:rsidRPr="001A1836" w:rsidRDefault="00B074CC" w:rsidP="00626054">
            <w:pPr>
              <w:rPr>
                <w:rFonts w:cs="Arial"/>
                <w:sz w:val="20"/>
              </w:rPr>
            </w:pPr>
            <w:r w:rsidRPr="001A1836">
              <w:rPr>
                <w:rFonts w:cs="Arial"/>
                <w:sz w:val="20"/>
              </w:rPr>
              <w:t>Total number of work notifications</w:t>
            </w:r>
          </w:p>
        </w:tc>
      </w:tr>
      <w:tr w:rsidR="00B074CC" w:rsidRPr="001A1836" w14:paraId="0B62C32C" w14:textId="77777777" w:rsidTr="004D790B">
        <w:trPr>
          <w:cantSplit/>
        </w:trPr>
        <w:tc>
          <w:tcPr>
            <w:tcW w:w="802" w:type="dxa"/>
            <w:shd w:val="clear" w:color="auto" w:fill="auto"/>
          </w:tcPr>
          <w:p w14:paraId="49A0BBDE" w14:textId="77777777" w:rsidR="00B074CC" w:rsidRPr="001A1836" w:rsidRDefault="00B074CC" w:rsidP="00626054">
            <w:pPr>
              <w:rPr>
                <w:rFonts w:cs="Arial"/>
                <w:sz w:val="20"/>
              </w:rPr>
            </w:pPr>
            <w:r w:rsidRPr="001A1836">
              <w:rPr>
                <w:rFonts w:cs="Arial"/>
                <w:sz w:val="20"/>
              </w:rPr>
              <w:t>2.02</w:t>
            </w:r>
          </w:p>
        </w:tc>
        <w:tc>
          <w:tcPr>
            <w:tcW w:w="1574" w:type="dxa"/>
            <w:gridSpan w:val="2"/>
            <w:shd w:val="clear" w:color="auto" w:fill="auto"/>
          </w:tcPr>
          <w:p w14:paraId="3654010D" w14:textId="77777777" w:rsidR="00B074CC" w:rsidRPr="001A1836" w:rsidRDefault="00B074CC" w:rsidP="00626054">
            <w:pPr>
              <w:rPr>
                <w:rFonts w:cs="Arial"/>
                <w:sz w:val="20"/>
              </w:rPr>
            </w:pPr>
          </w:p>
        </w:tc>
        <w:tc>
          <w:tcPr>
            <w:tcW w:w="6865" w:type="dxa"/>
            <w:gridSpan w:val="3"/>
            <w:shd w:val="clear" w:color="auto" w:fill="auto"/>
          </w:tcPr>
          <w:p w14:paraId="4FB91B8D" w14:textId="77777777" w:rsidR="00B074CC" w:rsidRPr="001A1836" w:rsidRDefault="00B074CC" w:rsidP="00626054">
            <w:pPr>
              <w:rPr>
                <w:rFonts w:cs="Arial"/>
                <w:sz w:val="20"/>
              </w:rPr>
            </w:pPr>
            <w:r w:rsidRPr="001A1836">
              <w:rPr>
                <w:rFonts w:cs="Arial"/>
                <w:sz w:val="20"/>
              </w:rPr>
              <w:t>Number of work notifications by phone</w:t>
            </w:r>
          </w:p>
        </w:tc>
      </w:tr>
      <w:tr w:rsidR="00B074CC" w:rsidRPr="001A1836" w14:paraId="137A4FD1" w14:textId="77777777" w:rsidTr="004D790B">
        <w:trPr>
          <w:cantSplit/>
        </w:trPr>
        <w:tc>
          <w:tcPr>
            <w:tcW w:w="802" w:type="dxa"/>
            <w:shd w:val="clear" w:color="auto" w:fill="auto"/>
          </w:tcPr>
          <w:p w14:paraId="66E62561" w14:textId="77777777" w:rsidR="00B074CC" w:rsidRPr="001A1836" w:rsidRDefault="00B074CC" w:rsidP="00626054">
            <w:pPr>
              <w:rPr>
                <w:rFonts w:cs="Arial"/>
                <w:sz w:val="20"/>
              </w:rPr>
            </w:pPr>
            <w:r w:rsidRPr="001A1836">
              <w:rPr>
                <w:rFonts w:cs="Arial"/>
                <w:sz w:val="20"/>
              </w:rPr>
              <w:t>2.03</w:t>
            </w:r>
          </w:p>
        </w:tc>
        <w:tc>
          <w:tcPr>
            <w:tcW w:w="1574" w:type="dxa"/>
            <w:gridSpan w:val="2"/>
            <w:shd w:val="clear" w:color="auto" w:fill="auto"/>
          </w:tcPr>
          <w:p w14:paraId="2634F57F" w14:textId="77777777" w:rsidR="00B074CC" w:rsidRPr="001A1836" w:rsidRDefault="00B074CC" w:rsidP="00626054">
            <w:pPr>
              <w:rPr>
                <w:rFonts w:cs="Arial"/>
                <w:sz w:val="20"/>
              </w:rPr>
            </w:pPr>
          </w:p>
        </w:tc>
        <w:tc>
          <w:tcPr>
            <w:tcW w:w="6865" w:type="dxa"/>
            <w:gridSpan w:val="3"/>
            <w:shd w:val="clear" w:color="auto" w:fill="auto"/>
          </w:tcPr>
          <w:p w14:paraId="58BADB42" w14:textId="77777777" w:rsidR="00B074CC" w:rsidRPr="001A1836" w:rsidRDefault="00B074CC" w:rsidP="00626054">
            <w:pPr>
              <w:rPr>
                <w:rFonts w:cs="Arial"/>
                <w:sz w:val="20"/>
              </w:rPr>
            </w:pPr>
            <w:r w:rsidRPr="001A1836">
              <w:rPr>
                <w:rFonts w:cs="Arial"/>
                <w:sz w:val="20"/>
              </w:rPr>
              <w:t>Number of work notifications via the website</w:t>
            </w:r>
          </w:p>
        </w:tc>
      </w:tr>
      <w:tr w:rsidR="00B074CC" w:rsidRPr="001A1836" w14:paraId="5FD6C316" w14:textId="77777777" w:rsidTr="004D790B">
        <w:trPr>
          <w:cantSplit/>
        </w:trPr>
        <w:tc>
          <w:tcPr>
            <w:tcW w:w="802" w:type="dxa"/>
            <w:shd w:val="clear" w:color="auto" w:fill="auto"/>
          </w:tcPr>
          <w:p w14:paraId="5654BA6C" w14:textId="77777777" w:rsidR="00B074CC" w:rsidRPr="001A1836" w:rsidRDefault="00B074CC" w:rsidP="00626054">
            <w:pPr>
              <w:rPr>
                <w:rFonts w:cs="Arial"/>
                <w:sz w:val="20"/>
              </w:rPr>
            </w:pPr>
            <w:r w:rsidRPr="001A1836">
              <w:rPr>
                <w:rFonts w:cs="Arial"/>
                <w:sz w:val="20"/>
              </w:rPr>
              <w:t>2.04</w:t>
            </w:r>
          </w:p>
        </w:tc>
        <w:tc>
          <w:tcPr>
            <w:tcW w:w="1574" w:type="dxa"/>
            <w:gridSpan w:val="2"/>
            <w:shd w:val="clear" w:color="auto" w:fill="auto"/>
          </w:tcPr>
          <w:p w14:paraId="0B80B59A" w14:textId="77777777" w:rsidR="00B074CC" w:rsidRPr="001A1836" w:rsidRDefault="00B074CC" w:rsidP="00626054">
            <w:pPr>
              <w:rPr>
                <w:rFonts w:cs="Arial"/>
                <w:sz w:val="20"/>
              </w:rPr>
            </w:pPr>
          </w:p>
        </w:tc>
        <w:tc>
          <w:tcPr>
            <w:tcW w:w="6865" w:type="dxa"/>
            <w:gridSpan w:val="3"/>
            <w:shd w:val="clear" w:color="auto" w:fill="auto"/>
          </w:tcPr>
          <w:p w14:paraId="63C38BCA" w14:textId="77777777" w:rsidR="00B074CC" w:rsidRPr="001A1836" w:rsidRDefault="00B074CC" w:rsidP="00626054">
            <w:pPr>
              <w:rPr>
                <w:rFonts w:cs="Arial"/>
                <w:sz w:val="20"/>
              </w:rPr>
            </w:pPr>
            <w:r w:rsidRPr="001A1836">
              <w:rPr>
                <w:rFonts w:cs="Arial"/>
                <w:sz w:val="20"/>
              </w:rPr>
              <w:t>Number of work notifications via third parties</w:t>
            </w:r>
          </w:p>
        </w:tc>
      </w:tr>
      <w:tr w:rsidR="00B074CC" w:rsidRPr="001A1836" w14:paraId="30F253C8" w14:textId="77777777" w:rsidTr="004D790B">
        <w:trPr>
          <w:cantSplit/>
        </w:trPr>
        <w:tc>
          <w:tcPr>
            <w:tcW w:w="802" w:type="dxa"/>
            <w:shd w:val="clear" w:color="auto" w:fill="auto"/>
          </w:tcPr>
          <w:p w14:paraId="4D0702C0" w14:textId="77777777" w:rsidR="00B074CC" w:rsidRPr="001A1836" w:rsidRDefault="00B074CC" w:rsidP="00626054">
            <w:pPr>
              <w:rPr>
                <w:rFonts w:cs="Arial"/>
                <w:sz w:val="20"/>
              </w:rPr>
            </w:pPr>
            <w:r w:rsidRPr="001A1836">
              <w:rPr>
                <w:rFonts w:cs="Arial"/>
                <w:sz w:val="20"/>
              </w:rPr>
              <w:t>2.05</w:t>
            </w:r>
          </w:p>
        </w:tc>
        <w:tc>
          <w:tcPr>
            <w:tcW w:w="1574" w:type="dxa"/>
            <w:gridSpan w:val="2"/>
            <w:shd w:val="clear" w:color="auto" w:fill="auto"/>
          </w:tcPr>
          <w:p w14:paraId="21015ED6" w14:textId="77777777" w:rsidR="00B074CC" w:rsidRPr="001A1836" w:rsidRDefault="00B074CC" w:rsidP="00626054">
            <w:pPr>
              <w:rPr>
                <w:rFonts w:cs="Arial"/>
                <w:sz w:val="20"/>
              </w:rPr>
            </w:pPr>
          </w:p>
        </w:tc>
        <w:tc>
          <w:tcPr>
            <w:tcW w:w="6865" w:type="dxa"/>
            <w:gridSpan w:val="3"/>
            <w:shd w:val="clear" w:color="auto" w:fill="auto"/>
          </w:tcPr>
          <w:p w14:paraId="4C9FFE79" w14:textId="77777777" w:rsidR="00B074CC" w:rsidRPr="001A1836" w:rsidRDefault="00B074CC" w:rsidP="00626054">
            <w:pPr>
              <w:rPr>
                <w:rFonts w:cs="Arial"/>
                <w:sz w:val="20"/>
              </w:rPr>
            </w:pPr>
            <w:r w:rsidRPr="001A1836">
              <w:rPr>
                <w:rFonts w:cs="Arial"/>
                <w:sz w:val="20"/>
              </w:rPr>
              <w:t>Total number of duplicate notification certificates requested</w:t>
            </w:r>
          </w:p>
        </w:tc>
      </w:tr>
      <w:tr w:rsidR="00B074CC" w:rsidRPr="001A1836" w14:paraId="04DF02CF" w14:textId="77777777" w:rsidTr="004D790B">
        <w:trPr>
          <w:cantSplit/>
        </w:trPr>
        <w:tc>
          <w:tcPr>
            <w:tcW w:w="802" w:type="dxa"/>
            <w:shd w:val="clear" w:color="auto" w:fill="auto"/>
          </w:tcPr>
          <w:p w14:paraId="5B84E1BE" w14:textId="77777777" w:rsidR="00B074CC" w:rsidRPr="001A1836" w:rsidRDefault="00B074CC" w:rsidP="00626054">
            <w:pPr>
              <w:rPr>
                <w:rFonts w:cs="Arial"/>
                <w:sz w:val="20"/>
              </w:rPr>
            </w:pPr>
            <w:r w:rsidRPr="001A1836">
              <w:rPr>
                <w:rFonts w:cs="Arial"/>
                <w:sz w:val="20"/>
              </w:rPr>
              <w:t>2.06</w:t>
            </w:r>
          </w:p>
        </w:tc>
        <w:tc>
          <w:tcPr>
            <w:tcW w:w="1574" w:type="dxa"/>
            <w:gridSpan w:val="2"/>
            <w:shd w:val="clear" w:color="auto" w:fill="auto"/>
          </w:tcPr>
          <w:p w14:paraId="13D517CF" w14:textId="77777777" w:rsidR="00B074CC" w:rsidRPr="001A1836" w:rsidRDefault="00B074CC" w:rsidP="00626054">
            <w:pPr>
              <w:rPr>
                <w:rFonts w:cs="Arial"/>
                <w:sz w:val="20"/>
              </w:rPr>
            </w:pPr>
          </w:p>
        </w:tc>
        <w:tc>
          <w:tcPr>
            <w:tcW w:w="6865" w:type="dxa"/>
            <w:gridSpan w:val="3"/>
            <w:shd w:val="clear" w:color="auto" w:fill="auto"/>
          </w:tcPr>
          <w:p w14:paraId="70FF153F" w14:textId="77777777" w:rsidR="00B074CC" w:rsidRPr="001A1836" w:rsidRDefault="00B074CC" w:rsidP="00626054">
            <w:pPr>
              <w:rPr>
                <w:rFonts w:cs="Arial"/>
                <w:sz w:val="20"/>
              </w:rPr>
            </w:pPr>
            <w:r w:rsidRPr="001A1836">
              <w:rPr>
                <w:rFonts w:cs="Arial"/>
                <w:sz w:val="20"/>
              </w:rPr>
              <w:t>Number of duplicate notification certificates requested by phone</w:t>
            </w:r>
          </w:p>
        </w:tc>
      </w:tr>
      <w:tr w:rsidR="00B074CC" w:rsidRPr="001A1836" w14:paraId="0C3FC539" w14:textId="77777777" w:rsidTr="004D790B">
        <w:trPr>
          <w:cantSplit/>
        </w:trPr>
        <w:tc>
          <w:tcPr>
            <w:tcW w:w="802" w:type="dxa"/>
            <w:shd w:val="clear" w:color="auto" w:fill="auto"/>
          </w:tcPr>
          <w:p w14:paraId="7A7B687B" w14:textId="77777777" w:rsidR="00B074CC" w:rsidRPr="001A1836" w:rsidRDefault="00B074CC" w:rsidP="00626054">
            <w:pPr>
              <w:rPr>
                <w:rFonts w:cs="Arial"/>
                <w:sz w:val="20"/>
              </w:rPr>
            </w:pPr>
            <w:r w:rsidRPr="001A1836">
              <w:rPr>
                <w:rFonts w:cs="Arial"/>
                <w:sz w:val="20"/>
              </w:rPr>
              <w:t>2.07</w:t>
            </w:r>
          </w:p>
        </w:tc>
        <w:tc>
          <w:tcPr>
            <w:tcW w:w="1574" w:type="dxa"/>
            <w:gridSpan w:val="2"/>
            <w:shd w:val="clear" w:color="auto" w:fill="auto"/>
          </w:tcPr>
          <w:p w14:paraId="6B643A1B" w14:textId="77777777" w:rsidR="00B074CC" w:rsidRPr="001A1836" w:rsidRDefault="00B074CC" w:rsidP="00626054">
            <w:pPr>
              <w:rPr>
                <w:rFonts w:cs="Arial"/>
                <w:sz w:val="20"/>
              </w:rPr>
            </w:pPr>
          </w:p>
        </w:tc>
        <w:tc>
          <w:tcPr>
            <w:tcW w:w="6865" w:type="dxa"/>
            <w:gridSpan w:val="3"/>
            <w:shd w:val="clear" w:color="auto" w:fill="auto"/>
          </w:tcPr>
          <w:p w14:paraId="7F160EB9" w14:textId="77777777" w:rsidR="00B074CC" w:rsidRPr="001A1836" w:rsidRDefault="00B074CC" w:rsidP="00626054">
            <w:pPr>
              <w:rPr>
                <w:rFonts w:cs="Arial"/>
                <w:sz w:val="20"/>
              </w:rPr>
            </w:pPr>
            <w:r w:rsidRPr="001A1836">
              <w:rPr>
                <w:rFonts w:cs="Arial"/>
                <w:sz w:val="20"/>
              </w:rPr>
              <w:t>Number of duplicate notification certificates requested online</w:t>
            </w:r>
          </w:p>
        </w:tc>
      </w:tr>
      <w:tr w:rsidR="00B074CC" w:rsidRPr="001A1836" w14:paraId="4459C871" w14:textId="77777777" w:rsidTr="004D790B">
        <w:trPr>
          <w:cantSplit/>
        </w:trPr>
        <w:tc>
          <w:tcPr>
            <w:tcW w:w="802" w:type="dxa"/>
            <w:shd w:val="clear" w:color="auto" w:fill="auto"/>
          </w:tcPr>
          <w:p w14:paraId="057DD27C" w14:textId="77777777" w:rsidR="00B074CC" w:rsidRPr="001A1836" w:rsidRDefault="00B074CC" w:rsidP="00626054">
            <w:pPr>
              <w:rPr>
                <w:rFonts w:cs="Arial"/>
                <w:sz w:val="20"/>
              </w:rPr>
            </w:pPr>
            <w:r w:rsidRPr="001A1836">
              <w:rPr>
                <w:rFonts w:cs="Arial"/>
                <w:sz w:val="20"/>
              </w:rPr>
              <w:t>2.08</w:t>
            </w:r>
          </w:p>
        </w:tc>
        <w:tc>
          <w:tcPr>
            <w:tcW w:w="1574" w:type="dxa"/>
            <w:gridSpan w:val="2"/>
            <w:shd w:val="clear" w:color="auto" w:fill="auto"/>
          </w:tcPr>
          <w:p w14:paraId="47008A0E" w14:textId="77777777" w:rsidR="00B074CC" w:rsidRPr="001A1836" w:rsidRDefault="00B074CC" w:rsidP="00626054">
            <w:pPr>
              <w:rPr>
                <w:rFonts w:cs="Arial"/>
                <w:sz w:val="20"/>
              </w:rPr>
            </w:pPr>
          </w:p>
        </w:tc>
        <w:tc>
          <w:tcPr>
            <w:tcW w:w="6865" w:type="dxa"/>
            <w:gridSpan w:val="3"/>
            <w:shd w:val="clear" w:color="auto" w:fill="auto"/>
          </w:tcPr>
          <w:p w14:paraId="7ABD1EF6" w14:textId="77777777" w:rsidR="00B074CC" w:rsidRPr="001A1836" w:rsidRDefault="00B074CC" w:rsidP="00626054">
            <w:pPr>
              <w:rPr>
                <w:rFonts w:cs="Arial"/>
                <w:sz w:val="20"/>
              </w:rPr>
            </w:pPr>
            <w:r w:rsidRPr="001A1836">
              <w:rPr>
                <w:rFonts w:cs="Arial"/>
                <w:sz w:val="20"/>
              </w:rPr>
              <w:t>Number of duplicate notification certificates requested by letter</w:t>
            </w:r>
          </w:p>
        </w:tc>
      </w:tr>
      <w:tr w:rsidR="00B074CC" w:rsidRPr="001A1836" w14:paraId="256365E1" w14:textId="77777777" w:rsidTr="004D790B">
        <w:trPr>
          <w:cantSplit/>
        </w:trPr>
        <w:tc>
          <w:tcPr>
            <w:tcW w:w="802" w:type="dxa"/>
            <w:shd w:val="clear" w:color="auto" w:fill="auto"/>
          </w:tcPr>
          <w:p w14:paraId="436B614E" w14:textId="77777777" w:rsidR="00B074CC" w:rsidRPr="001A1836" w:rsidRDefault="00B074CC" w:rsidP="00626054">
            <w:pPr>
              <w:rPr>
                <w:rFonts w:cs="Arial"/>
                <w:sz w:val="20"/>
              </w:rPr>
            </w:pPr>
            <w:r w:rsidRPr="001A1836">
              <w:rPr>
                <w:rFonts w:cs="Arial"/>
                <w:sz w:val="20"/>
              </w:rPr>
              <w:t>2.09</w:t>
            </w:r>
          </w:p>
        </w:tc>
        <w:tc>
          <w:tcPr>
            <w:tcW w:w="1574" w:type="dxa"/>
            <w:gridSpan w:val="2"/>
            <w:shd w:val="clear" w:color="auto" w:fill="auto"/>
          </w:tcPr>
          <w:p w14:paraId="0980C767" w14:textId="77777777" w:rsidR="00B074CC" w:rsidRPr="001A1836" w:rsidRDefault="00B074CC" w:rsidP="00626054">
            <w:pPr>
              <w:rPr>
                <w:rFonts w:cs="Arial"/>
                <w:sz w:val="20"/>
              </w:rPr>
            </w:pPr>
          </w:p>
        </w:tc>
        <w:tc>
          <w:tcPr>
            <w:tcW w:w="6865" w:type="dxa"/>
            <w:gridSpan w:val="3"/>
            <w:shd w:val="clear" w:color="auto" w:fill="auto"/>
          </w:tcPr>
          <w:p w14:paraId="2C6E7AA2" w14:textId="77777777" w:rsidR="00B074CC" w:rsidRPr="001A1836" w:rsidRDefault="00B074CC" w:rsidP="00626054">
            <w:pPr>
              <w:rPr>
                <w:rFonts w:cs="Arial"/>
                <w:sz w:val="20"/>
              </w:rPr>
            </w:pPr>
            <w:r w:rsidRPr="001A1836">
              <w:rPr>
                <w:rFonts w:cs="Arial"/>
                <w:sz w:val="20"/>
              </w:rPr>
              <w:t>Number of duplicate notification certificates requested by email</w:t>
            </w:r>
          </w:p>
        </w:tc>
      </w:tr>
      <w:tr w:rsidR="00B074CC" w:rsidRPr="001A1836" w14:paraId="62A22E88" w14:textId="77777777" w:rsidTr="004D790B">
        <w:trPr>
          <w:cantSplit/>
        </w:trPr>
        <w:tc>
          <w:tcPr>
            <w:tcW w:w="802" w:type="dxa"/>
            <w:shd w:val="clear" w:color="auto" w:fill="auto"/>
          </w:tcPr>
          <w:p w14:paraId="71483816" w14:textId="77777777" w:rsidR="00B074CC" w:rsidRPr="001A1836" w:rsidRDefault="00B074CC" w:rsidP="00626054">
            <w:pPr>
              <w:rPr>
                <w:rFonts w:cs="Arial"/>
                <w:b/>
                <w:sz w:val="24"/>
                <w:szCs w:val="24"/>
              </w:rPr>
            </w:pPr>
            <w:r w:rsidRPr="001A1836">
              <w:rPr>
                <w:rFonts w:cs="Arial"/>
                <w:b/>
                <w:sz w:val="24"/>
                <w:szCs w:val="24"/>
              </w:rPr>
              <w:t>3.00</w:t>
            </w:r>
          </w:p>
        </w:tc>
        <w:tc>
          <w:tcPr>
            <w:tcW w:w="8439" w:type="dxa"/>
            <w:gridSpan w:val="5"/>
            <w:shd w:val="clear" w:color="auto" w:fill="auto"/>
          </w:tcPr>
          <w:p w14:paraId="7A9C8B8A" w14:textId="77777777" w:rsidR="00B074CC" w:rsidRPr="001A1836" w:rsidRDefault="00B074CC" w:rsidP="00626054">
            <w:pPr>
              <w:rPr>
                <w:rFonts w:cs="Arial"/>
                <w:b/>
                <w:sz w:val="24"/>
                <w:szCs w:val="24"/>
              </w:rPr>
            </w:pPr>
            <w:r w:rsidRPr="001A1836">
              <w:rPr>
                <w:rFonts w:cs="Arial"/>
                <w:b/>
                <w:sz w:val="24"/>
                <w:szCs w:val="24"/>
              </w:rPr>
              <w:t>Inspections</w:t>
            </w:r>
          </w:p>
        </w:tc>
      </w:tr>
      <w:tr w:rsidR="00B074CC" w:rsidRPr="001A1836" w14:paraId="3A12C905" w14:textId="77777777" w:rsidTr="004D790B">
        <w:trPr>
          <w:cantSplit/>
        </w:trPr>
        <w:tc>
          <w:tcPr>
            <w:tcW w:w="802" w:type="dxa"/>
            <w:shd w:val="clear" w:color="auto" w:fill="auto"/>
          </w:tcPr>
          <w:p w14:paraId="02E00BEC" w14:textId="77777777" w:rsidR="00B074CC" w:rsidRPr="001A1836" w:rsidRDefault="00B074CC" w:rsidP="00626054">
            <w:pPr>
              <w:rPr>
                <w:rFonts w:cs="Arial"/>
                <w:sz w:val="20"/>
              </w:rPr>
            </w:pPr>
          </w:p>
        </w:tc>
        <w:tc>
          <w:tcPr>
            <w:tcW w:w="1574" w:type="dxa"/>
            <w:gridSpan w:val="2"/>
            <w:shd w:val="clear" w:color="auto" w:fill="auto"/>
          </w:tcPr>
          <w:p w14:paraId="68362184" w14:textId="77777777" w:rsidR="00B074CC" w:rsidRPr="001A1836" w:rsidRDefault="00B074CC" w:rsidP="00626054">
            <w:pPr>
              <w:rPr>
                <w:rFonts w:cs="Arial"/>
                <w:sz w:val="20"/>
              </w:rPr>
            </w:pPr>
          </w:p>
        </w:tc>
        <w:tc>
          <w:tcPr>
            <w:tcW w:w="6865" w:type="dxa"/>
            <w:gridSpan w:val="3"/>
            <w:shd w:val="clear" w:color="auto" w:fill="auto"/>
          </w:tcPr>
          <w:p w14:paraId="7FB0BB6A" w14:textId="77777777" w:rsidR="00B074CC" w:rsidRPr="001A1836" w:rsidRDefault="00B074CC" w:rsidP="00626054">
            <w:pPr>
              <w:rPr>
                <w:rFonts w:cs="Arial"/>
                <w:b/>
                <w:sz w:val="20"/>
              </w:rPr>
            </w:pPr>
            <w:r w:rsidRPr="001A1836">
              <w:rPr>
                <w:rFonts w:cs="Arial"/>
                <w:b/>
                <w:sz w:val="20"/>
              </w:rPr>
              <w:t>Inspection targets</w:t>
            </w:r>
          </w:p>
        </w:tc>
      </w:tr>
      <w:tr w:rsidR="00B074CC" w:rsidRPr="001A1836" w14:paraId="4042376D" w14:textId="77777777" w:rsidTr="004D790B">
        <w:trPr>
          <w:cantSplit/>
        </w:trPr>
        <w:tc>
          <w:tcPr>
            <w:tcW w:w="802" w:type="dxa"/>
            <w:shd w:val="clear" w:color="auto" w:fill="auto"/>
          </w:tcPr>
          <w:p w14:paraId="7DB693DD" w14:textId="77777777" w:rsidR="00B074CC" w:rsidRPr="001A1836" w:rsidRDefault="00B074CC" w:rsidP="00626054">
            <w:pPr>
              <w:rPr>
                <w:rFonts w:cs="Arial"/>
                <w:sz w:val="20"/>
              </w:rPr>
            </w:pPr>
            <w:r w:rsidRPr="001A1836">
              <w:rPr>
                <w:rFonts w:cs="Arial"/>
                <w:sz w:val="20"/>
              </w:rPr>
              <w:t>3.01</w:t>
            </w:r>
          </w:p>
        </w:tc>
        <w:tc>
          <w:tcPr>
            <w:tcW w:w="1574" w:type="dxa"/>
            <w:gridSpan w:val="2"/>
            <w:shd w:val="clear" w:color="auto" w:fill="auto"/>
          </w:tcPr>
          <w:p w14:paraId="60537753" w14:textId="77777777" w:rsidR="00B074CC" w:rsidRPr="001A1836" w:rsidRDefault="00B074CC" w:rsidP="00626054">
            <w:pPr>
              <w:rPr>
                <w:rFonts w:cs="Arial"/>
                <w:sz w:val="20"/>
              </w:rPr>
            </w:pPr>
            <w:r w:rsidRPr="001A1836">
              <w:rPr>
                <w:rFonts w:cs="Arial"/>
                <w:sz w:val="20"/>
              </w:rPr>
              <w:t>SL01</w:t>
            </w:r>
          </w:p>
        </w:tc>
        <w:tc>
          <w:tcPr>
            <w:tcW w:w="6865" w:type="dxa"/>
            <w:gridSpan w:val="3"/>
            <w:shd w:val="clear" w:color="auto" w:fill="auto"/>
          </w:tcPr>
          <w:p w14:paraId="7D1596AC" w14:textId="0860E8F5" w:rsidR="00B074CC" w:rsidRPr="001A1836" w:rsidRDefault="00B074CC" w:rsidP="00626054">
            <w:pPr>
              <w:rPr>
                <w:rFonts w:cs="Arial"/>
                <w:sz w:val="20"/>
              </w:rPr>
            </w:pPr>
            <w:r w:rsidRPr="001A1836">
              <w:rPr>
                <w:rFonts w:cs="Arial"/>
                <w:sz w:val="20"/>
              </w:rPr>
              <w:t>Total number of</w:t>
            </w:r>
            <w:r w:rsidR="00AC7257">
              <w:rPr>
                <w:rFonts w:cs="Arial"/>
                <w:sz w:val="20"/>
              </w:rPr>
              <w:t xml:space="preserve"> Competency Checks</w:t>
            </w:r>
            <w:r w:rsidRPr="001A1836">
              <w:rPr>
                <w:rFonts w:cs="Arial"/>
                <w:sz w:val="20"/>
              </w:rPr>
              <w:t xml:space="preserve"> </w:t>
            </w:r>
          </w:p>
        </w:tc>
      </w:tr>
      <w:tr w:rsidR="00B074CC" w:rsidRPr="001A1836" w14:paraId="1F74EA7B" w14:textId="77777777" w:rsidTr="004D790B">
        <w:trPr>
          <w:cantSplit/>
        </w:trPr>
        <w:tc>
          <w:tcPr>
            <w:tcW w:w="802" w:type="dxa"/>
            <w:shd w:val="clear" w:color="auto" w:fill="auto"/>
          </w:tcPr>
          <w:p w14:paraId="47551CA6" w14:textId="77777777" w:rsidR="00B074CC" w:rsidRPr="001A1836" w:rsidRDefault="00B074CC" w:rsidP="00626054">
            <w:pPr>
              <w:rPr>
                <w:rFonts w:cs="Arial"/>
                <w:sz w:val="20"/>
              </w:rPr>
            </w:pPr>
            <w:r w:rsidRPr="001A1836">
              <w:rPr>
                <w:rFonts w:cs="Arial"/>
                <w:sz w:val="20"/>
              </w:rPr>
              <w:t>3.02</w:t>
            </w:r>
          </w:p>
        </w:tc>
        <w:tc>
          <w:tcPr>
            <w:tcW w:w="1574" w:type="dxa"/>
            <w:gridSpan w:val="2"/>
            <w:shd w:val="clear" w:color="auto" w:fill="auto"/>
          </w:tcPr>
          <w:p w14:paraId="2738F428" w14:textId="77777777" w:rsidR="00B074CC" w:rsidRPr="001A1836" w:rsidRDefault="00B074CC" w:rsidP="00626054">
            <w:pPr>
              <w:rPr>
                <w:rFonts w:cs="Arial"/>
                <w:sz w:val="20"/>
              </w:rPr>
            </w:pPr>
          </w:p>
        </w:tc>
        <w:tc>
          <w:tcPr>
            <w:tcW w:w="6865" w:type="dxa"/>
            <w:gridSpan w:val="3"/>
            <w:shd w:val="clear" w:color="auto" w:fill="auto"/>
          </w:tcPr>
          <w:p w14:paraId="4EFB72EE" w14:textId="07A31C14" w:rsidR="00B074CC" w:rsidRPr="001A1836" w:rsidRDefault="00B074CC" w:rsidP="00626054">
            <w:pPr>
              <w:rPr>
                <w:rFonts w:cs="Arial"/>
                <w:sz w:val="20"/>
              </w:rPr>
            </w:pPr>
            <w:r w:rsidRPr="001A1836">
              <w:rPr>
                <w:rFonts w:cs="Arial"/>
                <w:sz w:val="20"/>
              </w:rPr>
              <w:t xml:space="preserve">Number of </w:t>
            </w:r>
            <w:r w:rsidR="00AC7257">
              <w:rPr>
                <w:rFonts w:cs="Arial"/>
                <w:sz w:val="20"/>
              </w:rPr>
              <w:t xml:space="preserve">Competency Checks </w:t>
            </w:r>
            <w:r w:rsidRPr="001A1836">
              <w:rPr>
                <w:rFonts w:cs="Arial"/>
                <w:sz w:val="20"/>
              </w:rPr>
              <w:t>- Risk based - low risk</w:t>
            </w:r>
          </w:p>
        </w:tc>
      </w:tr>
      <w:tr w:rsidR="00B074CC" w:rsidRPr="001A1836" w14:paraId="30C0EEBE" w14:textId="77777777" w:rsidTr="004D790B">
        <w:trPr>
          <w:cantSplit/>
        </w:trPr>
        <w:tc>
          <w:tcPr>
            <w:tcW w:w="802" w:type="dxa"/>
            <w:shd w:val="clear" w:color="auto" w:fill="auto"/>
          </w:tcPr>
          <w:p w14:paraId="6354383D" w14:textId="77777777" w:rsidR="00B074CC" w:rsidRPr="001A1836" w:rsidRDefault="00B074CC" w:rsidP="00626054">
            <w:pPr>
              <w:rPr>
                <w:rFonts w:cs="Arial"/>
                <w:sz w:val="20"/>
              </w:rPr>
            </w:pPr>
            <w:r w:rsidRPr="001A1836">
              <w:rPr>
                <w:rFonts w:cs="Arial"/>
                <w:sz w:val="20"/>
              </w:rPr>
              <w:t>3.03</w:t>
            </w:r>
          </w:p>
        </w:tc>
        <w:tc>
          <w:tcPr>
            <w:tcW w:w="1574" w:type="dxa"/>
            <w:gridSpan w:val="2"/>
            <w:shd w:val="clear" w:color="auto" w:fill="auto"/>
          </w:tcPr>
          <w:p w14:paraId="30FE67E9" w14:textId="77777777" w:rsidR="00B074CC" w:rsidRPr="001A1836" w:rsidRDefault="00B074CC" w:rsidP="00626054">
            <w:pPr>
              <w:rPr>
                <w:rFonts w:cs="Arial"/>
                <w:sz w:val="20"/>
              </w:rPr>
            </w:pPr>
          </w:p>
        </w:tc>
        <w:tc>
          <w:tcPr>
            <w:tcW w:w="6865" w:type="dxa"/>
            <w:gridSpan w:val="3"/>
            <w:shd w:val="clear" w:color="auto" w:fill="auto"/>
          </w:tcPr>
          <w:p w14:paraId="2AE510C4" w14:textId="1153E43A" w:rsidR="00B074CC" w:rsidRPr="001A1836" w:rsidRDefault="00B074CC" w:rsidP="00626054">
            <w:pPr>
              <w:rPr>
                <w:rFonts w:cs="Arial"/>
                <w:sz w:val="20"/>
              </w:rPr>
            </w:pPr>
            <w:r w:rsidRPr="001A1836">
              <w:rPr>
                <w:rFonts w:cs="Arial"/>
                <w:sz w:val="20"/>
              </w:rPr>
              <w:t>Number of</w:t>
            </w:r>
            <w:r w:rsidR="00AC7257">
              <w:rPr>
                <w:rFonts w:cs="Arial"/>
                <w:sz w:val="20"/>
              </w:rPr>
              <w:t xml:space="preserve"> Competency Checks</w:t>
            </w:r>
            <w:r w:rsidRPr="001A1836">
              <w:rPr>
                <w:rFonts w:cs="Arial"/>
                <w:sz w:val="20"/>
              </w:rPr>
              <w:t xml:space="preserve"> - Risk based - medium risk</w:t>
            </w:r>
          </w:p>
        </w:tc>
      </w:tr>
      <w:tr w:rsidR="00B074CC" w:rsidRPr="001A1836" w14:paraId="30EE92E7" w14:textId="77777777" w:rsidTr="004D790B">
        <w:trPr>
          <w:cantSplit/>
        </w:trPr>
        <w:tc>
          <w:tcPr>
            <w:tcW w:w="802" w:type="dxa"/>
            <w:shd w:val="clear" w:color="auto" w:fill="auto"/>
          </w:tcPr>
          <w:p w14:paraId="7493CA0F" w14:textId="77777777" w:rsidR="00B074CC" w:rsidRPr="001A1836" w:rsidRDefault="00B074CC" w:rsidP="00626054">
            <w:pPr>
              <w:rPr>
                <w:rFonts w:cs="Arial"/>
                <w:sz w:val="20"/>
              </w:rPr>
            </w:pPr>
            <w:r w:rsidRPr="001A1836">
              <w:rPr>
                <w:rFonts w:cs="Arial"/>
                <w:sz w:val="20"/>
              </w:rPr>
              <w:t>3.04</w:t>
            </w:r>
          </w:p>
        </w:tc>
        <w:tc>
          <w:tcPr>
            <w:tcW w:w="1574" w:type="dxa"/>
            <w:gridSpan w:val="2"/>
            <w:shd w:val="clear" w:color="auto" w:fill="auto"/>
          </w:tcPr>
          <w:p w14:paraId="64BB95E3" w14:textId="77777777" w:rsidR="00B074CC" w:rsidRPr="001A1836" w:rsidRDefault="00B074CC" w:rsidP="00626054">
            <w:pPr>
              <w:rPr>
                <w:rFonts w:cs="Arial"/>
                <w:sz w:val="20"/>
              </w:rPr>
            </w:pPr>
          </w:p>
        </w:tc>
        <w:tc>
          <w:tcPr>
            <w:tcW w:w="6865" w:type="dxa"/>
            <w:gridSpan w:val="3"/>
            <w:shd w:val="clear" w:color="auto" w:fill="auto"/>
          </w:tcPr>
          <w:p w14:paraId="0B7209CC" w14:textId="522E6D41" w:rsidR="00B074CC" w:rsidRPr="001A1836" w:rsidRDefault="00B074CC" w:rsidP="00626054">
            <w:pPr>
              <w:rPr>
                <w:rFonts w:cs="Arial"/>
                <w:sz w:val="20"/>
              </w:rPr>
            </w:pPr>
            <w:r w:rsidRPr="001A1836">
              <w:rPr>
                <w:rFonts w:cs="Arial"/>
                <w:sz w:val="20"/>
              </w:rPr>
              <w:t>Number of</w:t>
            </w:r>
            <w:r w:rsidR="009D1A2D">
              <w:rPr>
                <w:rFonts w:cs="Arial"/>
                <w:sz w:val="20"/>
              </w:rPr>
              <w:t xml:space="preserve"> </w:t>
            </w:r>
            <w:r w:rsidR="00AC7257">
              <w:rPr>
                <w:rFonts w:cs="Arial"/>
                <w:sz w:val="20"/>
              </w:rPr>
              <w:t>Competency Checks</w:t>
            </w:r>
            <w:r w:rsidRPr="001A1836">
              <w:rPr>
                <w:rFonts w:cs="Arial"/>
                <w:sz w:val="20"/>
              </w:rPr>
              <w:t xml:space="preserve"> - Risk based - high risk</w:t>
            </w:r>
          </w:p>
        </w:tc>
      </w:tr>
      <w:tr w:rsidR="00B074CC" w:rsidRPr="001A1836" w14:paraId="1A532F1F" w14:textId="77777777" w:rsidTr="004D790B">
        <w:trPr>
          <w:cantSplit/>
        </w:trPr>
        <w:tc>
          <w:tcPr>
            <w:tcW w:w="802" w:type="dxa"/>
            <w:shd w:val="clear" w:color="auto" w:fill="auto"/>
          </w:tcPr>
          <w:p w14:paraId="4B867FCF" w14:textId="77777777" w:rsidR="00B074CC" w:rsidRPr="001A1836" w:rsidRDefault="00B074CC" w:rsidP="00626054">
            <w:pPr>
              <w:rPr>
                <w:rFonts w:cs="Arial"/>
                <w:sz w:val="20"/>
              </w:rPr>
            </w:pPr>
            <w:r w:rsidRPr="001A1836">
              <w:rPr>
                <w:rFonts w:cs="Arial"/>
                <w:sz w:val="20"/>
              </w:rPr>
              <w:t>3.05</w:t>
            </w:r>
          </w:p>
        </w:tc>
        <w:tc>
          <w:tcPr>
            <w:tcW w:w="1574" w:type="dxa"/>
            <w:gridSpan w:val="2"/>
            <w:shd w:val="clear" w:color="auto" w:fill="auto"/>
          </w:tcPr>
          <w:p w14:paraId="01E20484" w14:textId="77777777" w:rsidR="00B074CC" w:rsidRPr="001A1836" w:rsidRDefault="00B074CC" w:rsidP="00626054">
            <w:pPr>
              <w:rPr>
                <w:rFonts w:cs="Arial"/>
                <w:sz w:val="20"/>
              </w:rPr>
            </w:pPr>
          </w:p>
        </w:tc>
        <w:tc>
          <w:tcPr>
            <w:tcW w:w="6865" w:type="dxa"/>
            <w:gridSpan w:val="3"/>
            <w:shd w:val="clear" w:color="auto" w:fill="auto"/>
          </w:tcPr>
          <w:p w14:paraId="56D3E709" w14:textId="4AA83C08" w:rsidR="00B074CC" w:rsidRPr="001A1836" w:rsidRDefault="00B074CC" w:rsidP="00626054">
            <w:pPr>
              <w:rPr>
                <w:rFonts w:cs="Arial"/>
                <w:sz w:val="20"/>
              </w:rPr>
            </w:pPr>
            <w:r w:rsidRPr="001A1836">
              <w:rPr>
                <w:rFonts w:cs="Arial"/>
                <w:sz w:val="20"/>
              </w:rPr>
              <w:t>Number of</w:t>
            </w:r>
            <w:r w:rsidR="00625A44">
              <w:rPr>
                <w:rFonts w:cs="Arial"/>
                <w:sz w:val="20"/>
              </w:rPr>
              <w:t xml:space="preserve"> Competency Checks</w:t>
            </w:r>
            <w:r w:rsidRPr="001A1836">
              <w:rPr>
                <w:rFonts w:cs="Arial"/>
                <w:sz w:val="20"/>
              </w:rPr>
              <w:t xml:space="preserve"> - Risk based - targeted intervention</w:t>
            </w:r>
          </w:p>
        </w:tc>
      </w:tr>
      <w:tr w:rsidR="00B074CC" w:rsidRPr="001A1836" w14:paraId="55F04E91" w14:textId="77777777" w:rsidTr="004D790B">
        <w:trPr>
          <w:cantSplit/>
        </w:trPr>
        <w:tc>
          <w:tcPr>
            <w:tcW w:w="802" w:type="dxa"/>
            <w:shd w:val="clear" w:color="auto" w:fill="auto"/>
          </w:tcPr>
          <w:p w14:paraId="0443837E" w14:textId="77777777" w:rsidR="00B074CC" w:rsidRPr="001A1836" w:rsidRDefault="00B074CC" w:rsidP="00626054">
            <w:pPr>
              <w:rPr>
                <w:rFonts w:cs="Arial"/>
                <w:sz w:val="20"/>
              </w:rPr>
            </w:pPr>
            <w:r w:rsidRPr="001A1836">
              <w:rPr>
                <w:rFonts w:cs="Arial"/>
                <w:sz w:val="20"/>
              </w:rPr>
              <w:t>3.06</w:t>
            </w:r>
          </w:p>
        </w:tc>
        <w:tc>
          <w:tcPr>
            <w:tcW w:w="1574" w:type="dxa"/>
            <w:gridSpan w:val="2"/>
            <w:shd w:val="clear" w:color="auto" w:fill="auto"/>
          </w:tcPr>
          <w:p w14:paraId="2D183A56" w14:textId="77777777" w:rsidR="00B074CC" w:rsidRPr="001A1836" w:rsidRDefault="00B074CC" w:rsidP="00626054">
            <w:pPr>
              <w:rPr>
                <w:rFonts w:cs="Arial"/>
                <w:sz w:val="20"/>
              </w:rPr>
            </w:pPr>
          </w:p>
        </w:tc>
        <w:tc>
          <w:tcPr>
            <w:tcW w:w="6865" w:type="dxa"/>
            <w:gridSpan w:val="3"/>
            <w:shd w:val="clear" w:color="auto" w:fill="auto"/>
          </w:tcPr>
          <w:p w14:paraId="1582CC9D" w14:textId="1A58159B" w:rsidR="00B074CC" w:rsidRPr="001A1836" w:rsidRDefault="00B074CC" w:rsidP="00626054">
            <w:pPr>
              <w:rPr>
                <w:rFonts w:cs="Arial"/>
                <w:sz w:val="20"/>
              </w:rPr>
            </w:pPr>
            <w:r w:rsidRPr="001A1836">
              <w:rPr>
                <w:rFonts w:cs="Arial"/>
                <w:sz w:val="20"/>
              </w:rPr>
              <w:t>Number of</w:t>
            </w:r>
            <w:r w:rsidR="00625A44">
              <w:rPr>
                <w:rFonts w:cs="Arial"/>
                <w:sz w:val="20"/>
              </w:rPr>
              <w:t xml:space="preserve"> Competency Checks</w:t>
            </w:r>
            <w:r w:rsidRPr="001A1836">
              <w:rPr>
                <w:rFonts w:cs="Arial"/>
                <w:sz w:val="20"/>
              </w:rPr>
              <w:t xml:space="preserve"> - Probationary</w:t>
            </w:r>
          </w:p>
        </w:tc>
      </w:tr>
      <w:tr w:rsidR="00B074CC" w:rsidRPr="001A1836" w14:paraId="17A35768" w14:textId="77777777" w:rsidTr="004D790B">
        <w:trPr>
          <w:cantSplit/>
        </w:trPr>
        <w:tc>
          <w:tcPr>
            <w:tcW w:w="802" w:type="dxa"/>
            <w:shd w:val="clear" w:color="auto" w:fill="auto"/>
          </w:tcPr>
          <w:p w14:paraId="7F02FEF7" w14:textId="77777777" w:rsidR="00B074CC" w:rsidRPr="001A1836" w:rsidRDefault="00B074CC" w:rsidP="00626054">
            <w:pPr>
              <w:rPr>
                <w:rFonts w:cs="Arial"/>
                <w:sz w:val="20"/>
              </w:rPr>
            </w:pPr>
            <w:r w:rsidRPr="001A1836">
              <w:rPr>
                <w:rFonts w:cs="Arial"/>
                <w:sz w:val="20"/>
              </w:rPr>
              <w:t>3.07</w:t>
            </w:r>
          </w:p>
        </w:tc>
        <w:tc>
          <w:tcPr>
            <w:tcW w:w="1574" w:type="dxa"/>
            <w:gridSpan w:val="2"/>
            <w:shd w:val="clear" w:color="auto" w:fill="auto"/>
          </w:tcPr>
          <w:p w14:paraId="30FC5852" w14:textId="77777777" w:rsidR="00B074CC" w:rsidRPr="001A1836" w:rsidRDefault="00B074CC" w:rsidP="00626054">
            <w:pPr>
              <w:rPr>
                <w:rFonts w:cs="Arial"/>
                <w:sz w:val="20"/>
              </w:rPr>
            </w:pPr>
          </w:p>
        </w:tc>
        <w:tc>
          <w:tcPr>
            <w:tcW w:w="6865" w:type="dxa"/>
            <w:gridSpan w:val="3"/>
            <w:shd w:val="clear" w:color="auto" w:fill="auto"/>
          </w:tcPr>
          <w:p w14:paraId="5BD50EBD" w14:textId="51495FE7" w:rsidR="00B074CC" w:rsidRPr="001A1836" w:rsidRDefault="00B074CC" w:rsidP="008C4BC2">
            <w:pPr>
              <w:rPr>
                <w:rFonts w:cs="Arial"/>
                <w:sz w:val="20"/>
              </w:rPr>
            </w:pPr>
            <w:r w:rsidRPr="001A1836">
              <w:rPr>
                <w:rFonts w:cs="Arial"/>
                <w:sz w:val="20"/>
              </w:rPr>
              <w:t>Number of</w:t>
            </w:r>
            <w:r w:rsidR="00625A44">
              <w:rPr>
                <w:rFonts w:cs="Arial"/>
                <w:sz w:val="20"/>
              </w:rPr>
              <w:t xml:space="preserve"> </w:t>
            </w:r>
            <w:r w:rsidRPr="001A1836">
              <w:rPr>
                <w:rFonts w:cs="Arial"/>
                <w:sz w:val="20"/>
              </w:rPr>
              <w:t>Complaint</w:t>
            </w:r>
            <w:r w:rsidR="008C4BC2">
              <w:rPr>
                <w:rFonts w:cs="Arial"/>
                <w:sz w:val="20"/>
              </w:rPr>
              <w:t xml:space="preserve"> Inspections</w:t>
            </w:r>
          </w:p>
        </w:tc>
      </w:tr>
      <w:tr w:rsidR="00B074CC" w:rsidRPr="001A1836" w14:paraId="65A9D125" w14:textId="77777777" w:rsidTr="004D790B">
        <w:trPr>
          <w:cantSplit/>
        </w:trPr>
        <w:tc>
          <w:tcPr>
            <w:tcW w:w="802" w:type="dxa"/>
            <w:shd w:val="clear" w:color="auto" w:fill="auto"/>
          </w:tcPr>
          <w:p w14:paraId="705CF616" w14:textId="77777777" w:rsidR="00B074CC" w:rsidRPr="001A1836" w:rsidRDefault="00B074CC" w:rsidP="00626054">
            <w:pPr>
              <w:rPr>
                <w:rFonts w:cs="Arial"/>
                <w:sz w:val="20"/>
              </w:rPr>
            </w:pPr>
            <w:r w:rsidRPr="001A1836">
              <w:rPr>
                <w:rFonts w:cs="Arial"/>
                <w:sz w:val="20"/>
              </w:rPr>
              <w:t>3.08</w:t>
            </w:r>
          </w:p>
        </w:tc>
        <w:tc>
          <w:tcPr>
            <w:tcW w:w="1574" w:type="dxa"/>
            <w:gridSpan w:val="2"/>
            <w:shd w:val="clear" w:color="auto" w:fill="auto"/>
          </w:tcPr>
          <w:p w14:paraId="3959AADF" w14:textId="77777777" w:rsidR="00B074CC" w:rsidRPr="001A1836" w:rsidRDefault="00B074CC" w:rsidP="00626054">
            <w:pPr>
              <w:rPr>
                <w:rFonts w:cs="Arial"/>
                <w:sz w:val="20"/>
              </w:rPr>
            </w:pPr>
          </w:p>
        </w:tc>
        <w:tc>
          <w:tcPr>
            <w:tcW w:w="6865" w:type="dxa"/>
            <w:gridSpan w:val="3"/>
            <w:shd w:val="clear" w:color="auto" w:fill="auto"/>
          </w:tcPr>
          <w:p w14:paraId="3FFCF0AC" w14:textId="1BFA87E8" w:rsidR="00B074CC" w:rsidRPr="001A1836" w:rsidRDefault="00B074CC" w:rsidP="00626054">
            <w:pPr>
              <w:rPr>
                <w:rFonts w:cs="Arial"/>
                <w:sz w:val="20"/>
              </w:rPr>
            </w:pPr>
            <w:r w:rsidRPr="001A1836">
              <w:rPr>
                <w:rFonts w:cs="Arial"/>
                <w:sz w:val="20"/>
              </w:rPr>
              <w:t>Number of</w:t>
            </w:r>
            <w:r w:rsidR="00625A44">
              <w:rPr>
                <w:rFonts w:cs="Arial"/>
                <w:sz w:val="20"/>
              </w:rPr>
              <w:t xml:space="preserve"> Competency Checks </w:t>
            </w:r>
            <w:r w:rsidRPr="001A1836">
              <w:rPr>
                <w:rFonts w:cs="Arial"/>
                <w:sz w:val="20"/>
              </w:rPr>
              <w:t xml:space="preserve"> - Large business</w:t>
            </w:r>
          </w:p>
        </w:tc>
      </w:tr>
      <w:tr w:rsidR="00B074CC" w:rsidRPr="001A1836" w14:paraId="37920885" w14:textId="77777777" w:rsidTr="004D790B">
        <w:trPr>
          <w:cantSplit/>
        </w:trPr>
        <w:tc>
          <w:tcPr>
            <w:tcW w:w="802" w:type="dxa"/>
            <w:shd w:val="clear" w:color="auto" w:fill="auto"/>
          </w:tcPr>
          <w:p w14:paraId="3EC97067" w14:textId="77777777" w:rsidR="00B074CC" w:rsidRPr="001A1836" w:rsidRDefault="00B074CC" w:rsidP="00626054">
            <w:pPr>
              <w:rPr>
                <w:rFonts w:cs="Arial"/>
                <w:sz w:val="20"/>
              </w:rPr>
            </w:pPr>
            <w:r w:rsidRPr="001A1836">
              <w:rPr>
                <w:rFonts w:cs="Arial"/>
                <w:sz w:val="20"/>
              </w:rPr>
              <w:t>3.09</w:t>
            </w:r>
          </w:p>
        </w:tc>
        <w:tc>
          <w:tcPr>
            <w:tcW w:w="1574" w:type="dxa"/>
            <w:gridSpan w:val="2"/>
            <w:shd w:val="clear" w:color="auto" w:fill="auto"/>
          </w:tcPr>
          <w:p w14:paraId="50E9F1D7" w14:textId="77777777" w:rsidR="00B074CC" w:rsidRPr="001A1836" w:rsidRDefault="00B074CC" w:rsidP="00626054">
            <w:pPr>
              <w:rPr>
                <w:rFonts w:cs="Arial"/>
                <w:sz w:val="20"/>
              </w:rPr>
            </w:pPr>
          </w:p>
        </w:tc>
        <w:tc>
          <w:tcPr>
            <w:tcW w:w="6865" w:type="dxa"/>
            <w:gridSpan w:val="3"/>
            <w:shd w:val="clear" w:color="auto" w:fill="auto"/>
          </w:tcPr>
          <w:p w14:paraId="39EF9774" w14:textId="292FF8C3" w:rsidR="00B074CC" w:rsidRPr="001A1836" w:rsidRDefault="00B074CC" w:rsidP="009D1A2D">
            <w:pPr>
              <w:rPr>
                <w:rFonts w:cs="Arial"/>
                <w:sz w:val="20"/>
              </w:rPr>
            </w:pPr>
            <w:r w:rsidRPr="001A1836">
              <w:rPr>
                <w:rFonts w:cs="Arial"/>
                <w:sz w:val="20"/>
              </w:rPr>
              <w:t xml:space="preserve">Number of </w:t>
            </w:r>
            <w:r w:rsidR="009D1A2D">
              <w:rPr>
                <w:rFonts w:cs="Arial"/>
                <w:sz w:val="20"/>
              </w:rPr>
              <w:t xml:space="preserve">Complaint Inspections, Illegal Gas Work </w:t>
            </w:r>
            <w:r w:rsidR="009D1A2D" w:rsidRPr="009D1A2D">
              <w:rPr>
                <w:rFonts w:cs="Arial"/>
                <w:sz w:val="20"/>
              </w:rPr>
              <w:t>Investigations</w:t>
            </w:r>
            <w:r w:rsidR="009D1A2D">
              <w:rPr>
                <w:rFonts w:cs="Arial"/>
                <w:sz w:val="20"/>
              </w:rPr>
              <w:t xml:space="preserve"> and </w:t>
            </w:r>
            <w:r w:rsidR="009D1A2D" w:rsidRPr="009D1A2D">
              <w:rPr>
                <w:rFonts w:cs="Arial"/>
                <w:sz w:val="20"/>
              </w:rPr>
              <w:t>Support Inv</w:t>
            </w:r>
            <w:r w:rsidR="009D1A2D">
              <w:rPr>
                <w:rFonts w:cs="Arial"/>
                <w:sz w:val="20"/>
              </w:rPr>
              <w:t>estigations</w:t>
            </w:r>
          </w:p>
        </w:tc>
      </w:tr>
      <w:tr w:rsidR="00B074CC" w:rsidRPr="001A1836" w14:paraId="2B75B067" w14:textId="77777777" w:rsidTr="004D790B">
        <w:trPr>
          <w:cantSplit/>
        </w:trPr>
        <w:tc>
          <w:tcPr>
            <w:tcW w:w="802" w:type="dxa"/>
            <w:shd w:val="clear" w:color="auto" w:fill="auto"/>
          </w:tcPr>
          <w:p w14:paraId="785DA5D0" w14:textId="77777777" w:rsidR="00B074CC" w:rsidRPr="001A1836" w:rsidRDefault="00B074CC" w:rsidP="00626054">
            <w:pPr>
              <w:rPr>
                <w:rFonts w:cs="Arial"/>
                <w:sz w:val="20"/>
              </w:rPr>
            </w:pPr>
            <w:r w:rsidRPr="001A1836">
              <w:rPr>
                <w:rFonts w:cs="Arial"/>
                <w:sz w:val="20"/>
              </w:rPr>
              <w:lastRenderedPageBreak/>
              <w:t>3.10</w:t>
            </w:r>
          </w:p>
        </w:tc>
        <w:tc>
          <w:tcPr>
            <w:tcW w:w="1574" w:type="dxa"/>
            <w:gridSpan w:val="2"/>
            <w:shd w:val="clear" w:color="auto" w:fill="auto"/>
          </w:tcPr>
          <w:p w14:paraId="3BAF120D" w14:textId="77777777" w:rsidR="00B074CC" w:rsidRPr="001A1836" w:rsidRDefault="00B074CC" w:rsidP="00626054">
            <w:pPr>
              <w:rPr>
                <w:rFonts w:cs="Arial"/>
                <w:sz w:val="20"/>
              </w:rPr>
            </w:pPr>
            <w:r w:rsidRPr="001A1836">
              <w:rPr>
                <w:rFonts w:cs="Arial"/>
                <w:sz w:val="20"/>
              </w:rPr>
              <w:t>SL02</w:t>
            </w:r>
          </w:p>
        </w:tc>
        <w:tc>
          <w:tcPr>
            <w:tcW w:w="6865" w:type="dxa"/>
            <w:gridSpan w:val="3"/>
            <w:shd w:val="clear" w:color="auto" w:fill="auto"/>
          </w:tcPr>
          <w:p w14:paraId="46544F5E" w14:textId="77777777" w:rsidR="00B074CC" w:rsidRPr="001A1836" w:rsidRDefault="00B074CC" w:rsidP="00626054">
            <w:pPr>
              <w:rPr>
                <w:rFonts w:cs="Arial"/>
                <w:sz w:val="20"/>
              </w:rPr>
            </w:pPr>
            <w:r w:rsidRPr="001A1836">
              <w:rPr>
                <w:rFonts w:cs="Arial"/>
                <w:sz w:val="20"/>
              </w:rPr>
              <w:t>Number of businesses unseen since start of SCA</w:t>
            </w:r>
          </w:p>
        </w:tc>
      </w:tr>
      <w:tr w:rsidR="00B074CC" w:rsidRPr="001A1836" w14:paraId="2888C160" w14:textId="77777777" w:rsidTr="004D790B">
        <w:trPr>
          <w:cantSplit/>
        </w:trPr>
        <w:tc>
          <w:tcPr>
            <w:tcW w:w="802" w:type="dxa"/>
            <w:shd w:val="clear" w:color="auto" w:fill="auto"/>
          </w:tcPr>
          <w:p w14:paraId="5CFD1E6E" w14:textId="77777777" w:rsidR="00B074CC" w:rsidRPr="001A1836" w:rsidRDefault="00B074CC" w:rsidP="00626054">
            <w:pPr>
              <w:rPr>
                <w:rFonts w:cs="Arial"/>
                <w:sz w:val="20"/>
              </w:rPr>
            </w:pPr>
          </w:p>
        </w:tc>
        <w:tc>
          <w:tcPr>
            <w:tcW w:w="1574" w:type="dxa"/>
            <w:gridSpan w:val="2"/>
            <w:shd w:val="clear" w:color="auto" w:fill="auto"/>
          </w:tcPr>
          <w:p w14:paraId="758558F2" w14:textId="77777777" w:rsidR="00B074CC" w:rsidRPr="001A1836" w:rsidRDefault="00B074CC" w:rsidP="00626054">
            <w:pPr>
              <w:rPr>
                <w:rFonts w:cs="Arial"/>
                <w:sz w:val="20"/>
              </w:rPr>
            </w:pPr>
          </w:p>
        </w:tc>
        <w:tc>
          <w:tcPr>
            <w:tcW w:w="6865" w:type="dxa"/>
            <w:gridSpan w:val="3"/>
            <w:shd w:val="clear" w:color="auto" w:fill="auto"/>
          </w:tcPr>
          <w:p w14:paraId="17B226D7" w14:textId="30036089" w:rsidR="00B074CC" w:rsidRPr="001A1836" w:rsidRDefault="00B074CC" w:rsidP="00626054">
            <w:pPr>
              <w:rPr>
                <w:rFonts w:cs="Arial"/>
                <w:b/>
                <w:sz w:val="20"/>
              </w:rPr>
            </w:pPr>
            <w:r w:rsidRPr="001A1836">
              <w:rPr>
                <w:rFonts w:cs="Arial"/>
                <w:b/>
                <w:sz w:val="20"/>
              </w:rPr>
              <w:t>Probationary</w:t>
            </w:r>
            <w:r w:rsidR="00625A44">
              <w:rPr>
                <w:rFonts w:cs="Arial"/>
                <w:b/>
                <w:sz w:val="20"/>
              </w:rPr>
              <w:t xml:space="preserve"> Competency Checks</w:t>
            </w:r>
            <w:r w:rsidRPr="001A1836">
              <w:rPr>
                <w:rFonts w:cs="Arial"/>
                <w:b/>
                <w:sz w:val="20"/>
              </w:rPr>
              <w:t xml:space="preserve"> </w:t>
            </w:r>
          </w:p>
        </w:tc>
      </w:tr>
      <w:tr w:rsidR="00B074CC" w:rsidRPr="001A1836" w14:paraId="611642B7" w14:textId="77777777" w:rsidTr="004D790B">
        <w:trPr>
          <w:cantSplit/>
        </w:trPr>
        <w:tc>
          <w:tcPr>
            <w:tcW w:w="802" w:type="dxa"/>
            <w:shd w:val="clear" w:color="auto" w:fill="auto"/>
          </w:tcPr>
          <w:p w14:paraId="216F4D5A" w14:textId="77777777" w:rsidR="00B074CC" w:rsidRPr="001A1836" w:rsidRDefault="00B074CC" w:rsidP="00626054">
            <w:pPr>
              <w:rPr>
                <w:rFonts w:cs="Arial"/>
                <w:sz w:val="20"/>
              </w:rPr>
            </w:pPr>
            <w:r w:rsidRPr="001A1836">
              <w:rPr>
                <w:rFonts w:cs="Arial"/>
                <w:sz w:val="20"/>
              </w:rPr>
              <w:t>3.11</w:t>
            </w:r>
          </w:p>
        </w:tc>
        <w:tc>
          <w:tcPr>
            <w:tcW w:w="1574" w:type="dxa"/>
            <w:gridSpan w:val="2"/>
            <w:shd w:val="clear" w:color="auto" w:fill="auto"/>
          </w:tcPr>
          <w:p w14:paraId="45F7487E" w14:textId="77777777" w:rsidR="00B074CC" w:rsidRPr="001A1836" w:rsidRDefault="00B074CC" w:rsidP="00626054">
            <w:pPr>
              <w:rPr>
                <w:rFonts w:cs="Arial"/>
                <w:sz w:val="20"/>
              </w:rPr>
            </w:pPr>
          </w:p>
        </w:tc>
        <w:tc>
          <w:tcPr>
            <w:tcW w:w="6865" w:type="dxa"/>
            <w:gridSpan w:val="3"/>
            <w:shd w:val="clear" w:color="auto" w:fill="auto"/>
          </w:tcPr>
          <w:p w14:paraId="3AA4D899" w14:textId="77777777" w:rsidR="00B074CC" w:rsidRPr="001A1836" w:rsidRDefault="00B074CC" w:rsidP="00626054">
            <w:pPr>
              <w:rPr>
                <w:rFonts w:cs="Arial"/>
                <w:sz w:val="20"/>
              </w:rPr>
            </w:pPr>
            <w:r w:rsidRPr="001A1836">
              <w:rPr>
                <w:rFonts w:cs="Arial"/>
                <w:sz w:val="20"/>
              </w:rPr>
              <w:t xml:space="preserve">% of new entrants (no previous registration) seen within one month </w:t>
            </w:r>
          </w:p>
        </w:tc>
      </w:tr>
      <w:tr w:rsidR="00B074CC" w:rsidRPr="001A1836" w14:paraId="3E278E1B" w14:textId="77777777" w:rsidTr="004D790B">
        <w:trPr>
          <w:cantSplit/>
        </w:trPr>
        <w:tc>
          <w:tcPr>
            <w:tcW w:w="802" w:type="dxa"/>
            <w:shd w:val="clear" w:color="auto" w:fill="auto"/>
          </w:tcPr>
          <w:p w14:paraId="2E0A5E38" w14:textId="77777777" w:rsidR="00B074CC" w:rsidRPr="001A1836" w:rsidRDefault="00B074CC" w:rsidP="00626054">
            <w:pPr>
              <w:rPr>
                <w:rFonts w:cs="Arial"/>
                <w:sz w:val="20"/>
              </w:rPr>
            </w:pPr>
            <w:r w:rsidRPr="001A1836">
              <w:rPr>
                <w:rFonts w:cs="Arial"/>
                <w:sz w:val="20"/>
              </w:rPr>
              <w:t>3.12</w:t>
            </w:r>
          </w:p>
        </w:tc>
        <w:tc>
          <w:tcPr>
            <w:tcW w:w="1574" w:type="dxa"/>
            <w:gridSpan w:val="2"/>
            <w:shd w:val="clear" w:color="auto" w:fill="auto"/>
          </w:tcPr>
          <w:p w14:paraId="5ECD47DC" w14:textId="77777777" w:rsidR="00B074CC" w:rsidRPr="001A1836" w:rsidRDefault="00B074CC" w:rsidP="00626054">
            <w:pPr>
              <w:rPr>
                <w:rFonts w:cs="Arial"/>
                <w:sz w:val="20"/>
              </w:rPr>
            </w:pPr>
          </w:p>
        </w:tc>
        <w:tc>
          <w:tcPr>
            <w:tcW w:w="6865" w:type="dxa"/>
            <w:gridSpan w:val="3"/>
            <w:shd w:val="clear" w:color="auto" w:fill="auto"/>
          </w:tcPr>
          <w:p w14:paraId="044AA1A3" w14:textId="77777777" w:rsidR="00B074CC" w:rsidRPr="001A1836" w:rsidRDefault="00B074CC" w:rsidP="00626054">
            <w:pPr>
              <w:rPr>
                <w:rFonts w:cs="Arial"/>
                <w:sz w:val="20"/>
              </w:rPr>
            </w:pPr>
            <w:r w:rsidRPr="001A1836">
              <w:rPr>
                <w:rFonts w:cs="Arial"/>
                <w:sz w:val="20"/>
              </w:rPr>
              <w:t>% of all probationary businesses seen within probationary period (3 months)</w:t>
            </w:r>
          </w:p>
        </w:tc>
      </w:tr>
      <w:tr w:rsidR="00B074CC" w:rsidRPr="001A1836" w14:paraId="130F4674" w14:textId="77777777" w:rsidTr="004D790B">
        <w:trPr>
          <w:cantSplit/>
        </w:trPr>
        <w:tc>
          <w:tcPr>
            <w:tcW w:w="802" w:type="dxa"/>
            <w:shd w:val="clear" w:color="auto" w:fill="auto"/>
          </w:tcPr>
          <w:p w14:paraId="0E837BE0" w14:textId="77777777" w:rsidR="00B074CC" w:rsidRPr="001A1836" w:rsidRDefault="00B074CC" w:rsidP="00626054">
            <w:pPr>
              <w:rPr>
                <w:rFonts w:cs="Arial"/>
                <w:sz w:val="20"/>
              </w:rPr>
            </w:pPr>
            <w:r w:rsidRPr="001A1836">
              <w:rPr>
                <w:rFonts w:cs="Arial"/>
                <w:sz w:val="20"/>
              </w:rPr>
              <w:t>3.13</w:t>
            </w:r>
          </w:p>
        </w:tc>
        <w:tc>
          <w:tcPr>
            <w:tcW w:w="1574" w:type="dxa"/>
            <w:gridSpan w:val="2"/>
            <w:shd w:val="clear" w:color="auto" w:fill="auto"/>
          </w:tcPr>
          <w:p w14:paraId="65340096" w14:textId="77777777" w:rsidR="00B074CC" w:rsidRPr="001A1836" w:rsidRDefault="00B074CC" w:rsidP="00626054">
            <w:pPr>
              <w:rPr>
                <w:rFonts w:cs="Arial"/>
                <w:sz w:val="20"/>
              </w:rPr>
            </w:pPr>
          </w:p>
        </w:tc>
        <w:tc>
          <w:tcPr>
            <w:tcW w:w="6865" w:type="dxa"/>
            <w:gridSpan w:val="3"/>
            <w:shd w:val="clear" w:color="auto" w:fill="auto"/>
          </w:tcPr>
          <w:p w14:paraId="17076DE2" w14:textId="37AFF7B2" w:rsidR="00B074CC" w:rsidRPr="001A1836" w:rsidRDefault="00B074CC" w:rsidP="00626054">
            <w:pPr>
              <w:rPr>
                <w:rFonts w:cs="Arial"/>
                <w:sz w:val="20"/>
              </w:rPr>
            </w:pPr>
            <w:r w:rsidRPr="001A1836">
              <w:rPr>
                <w:rFonts w:cs="Arial"/>
                <w:sz w:val="20"/>
              </w:rPr>
              <w:t xml:space="preserve">% of businesses with probationary </w:t>
            </w:r>
            <w:r w:rsidR="00733E67">
              <w:rPr>
                <w:rFonts w:cs="Arial"/>
                <w:sz w:val="20"/>
              </w:rPr>
              <w:t xml:space="preserve">Competency Checks </w:t>
            </w:r>
            <w:r w:rsidRPr="001A1836">
              <w:rPr>
                <w:rFonts w:cs="Arial"/>
                <w:sz w:val="20"/>
              </w:rPr>
              <w:t>booked to take place within 3 months of registration</w:t>
            </w:r>
          </w:p>
        </w:tc>
      </w:tr>
      <w:tr w:rsidR="00B074CC" w:rsidRPr="001A1836" w14:paraId="681092CA" w14:textId="77777777" w:rsidTr="004D790B">
        <w:trPr>
          <w:cantSplit/>
        </w:trPr>
        <w:tc>
          <w:tcPr>
            <w:tcW w:w="802" w:type="dxa"/>
            <w:shd w:val="clear" w:color="auto" w:fill="auto"/>
          </w:tcPr>
          <w:p w14:paraId="4C0E9154" w14:textId="77777777" w:rsidR="00B074CC" w:rsidRPr="001A1836" w:rsidRDefault="00B074CC" w:rsidP="00626054">
            <w:pPr>
              <w:rPr>
                <w:rFonts w:cs="Arial"/>
                <w:sz w:val="20"/>
              </w:rPr>
            </w:pPr>
            <w:r w:rsidRPr="001A1836">
              <w:rPr>
                <w:rFonts w:cs="Arial"/>
                <w:sz w:val="20"/>
              </w:rPr>
              <w:t>3.14</w:t>
            </w:r>
          </w:p>
        </w:tc>
        <w:tc>
          <w:tcPr>
            <w:tcW w:w="1574" w:type="dxa"/>
            <w:gridSpan w:val="2"/>
            <w:shd w:val="clear" w:color="auto" w:fill="auto"/>
          </w:tcPr>
          <w:p w14:paraId="65EA1E67" w14:textId="77777777" w:rsidR="00B074CC" w:rsidRPr="001A1836" w:rsidRDefault="00B074CC" w:rsidP="00626054">
            <w:pPr>
              <w:rPr>
                <w:rFonts w:cs="Arial"/>
                <w:sz w:val="20"/>
              </w:rPr>
            </w:pPr>
          </w:p>
        </w:tc>
        <w:tc>
          <w:tcPr>
            <w:tcW w:w="6865" w:type="dxa"/>
            <w:gridSpan w:val="3"/>
            <w:shd w:val="clear" w:color="auto" w:fill="auto"/>
          </w:tcPr>
          <w:p w14:paraId="619D3BEB" w14:textId="46BC692B" w:rsidR="00B074CC" w:rsidRPr="001A1836" w:rsidRDefault="00B074CC" w:rsidP="00626054">
            <w:pPr>
              <w:rPr>
                <w:rFonts w:cs="Arial"/>
                <w:sz w:val="20"/>
              </w:rPr>
            </w:pPr>
            <w:r w:rsidRPr="001A1836">
              <w:rPr>
                <w:rFonts w:cs="Arial"/>
                <w:sz w:val="20"/>
              </w:rPr>
              <w:t>Number of businesses coming off probation this month</w:t>
            </w:r>
          </w:p>
        </w:tc>
      </w:tr>
      <w:tr w:rsidR="00B074CC" w:rsidRPr="001A1836" w14:paraId="56F3584B" w14:textId="77777777" w:rsidTr="004D790B">
        <w:trPr>
          <w:cantSplit/>
        </w:trPr>
        <w:tc>
          <w:tcPr>
            <w:tcW w:w="802" w:type="dxa"/>
            <w:shd w:val="clear" w:color="auto" w:fill="auto"/>
          </w:tcPr>
          <w:p w14:paraId="5EDC4937" w14:textId="77777777" w:rsidR="00B074CC" w:rsidRPr="001A1836" w:rsidRDefault="00B074CC" w:rsidP="00626054">
            <w:pPr>
              <w:rPr>
                <w:rFonts w:cs="Arial"/>
                <w:sz w:val="20"/>
              </w:rPr>
            </w:pPr>
            <w:r w:rsidRPr="001A1836">
              <w:rPr>
                <w:rFonts w:cs="Arial"/>
                <w:sz w:val="20"/>
              </w:rPr>
              <w:t>3.15</w:t>
            </w:r>
          </w:p>
        </w:tc>
        <w:tc>
          <w:tcPr>
            <w:tcW w:w="1574" w:type="dxa"/>
            <w:gridSpan w:val="2"/>
            <w:shd w:val="clear" w:color="auto" w:fill="auto"/>
          </w:tcPr>
          <w:p w14:paraId="43F1AA28" w14:textId="77777777" w:rsidR="00B074CC" w:rsidRPr="001A1836" w:rsidRDefault="00B074CC" w:rsidP="00626054">
            <w:pPr>
              <w:rPr>
                <w:rFonts w:cs="Arial"/>
                <w:sz w:val="20"/>
              </w:rPr>
            </w:pPr>
          </w:p>
        </w:tc>
        <w:tc>
          <w:tcPr>
            <w:tcW w:w="6865" w:type="dxa"/>
            <w:gridSpan w:val="3"/>
            <w:shd w:val="clear" w:color="auto" w:fill="auto"/>
          </w:tcPr>
          <w:p w14:paraId="29199EF1" w14:textId="77777777" w:rsidR="00B074CC" w:rsidRPr="001A1836" w:rsidRDefault="00B074CC" w:rsidP="00626054">
            <w:pPr>
              <w:rPr>
                <w:rFonts w:cs="Arial"/>
                <w:sz w:val="20"/>
              </w:rPr>
            </w:pPr>
            <w:r w:rsidRPr="001A1836">
              <w:rPr>
                <w:rFonts w:cs="Arial"/>
                <w:sz w:val="20"/>
              </w:rPr>
              <w:t>% of probationary businesses with probationary status lifted this month</w:t>
            </w:r>
          </w:p>
        </w:tc>
      </w:tr>
      <w:tr w:rsidR="00B074CC" w:rsidRPr="001A1836" w14:paraId="035D9440" w14:textId="77777777" w:rsidTr="004D790B">
        <w:trPr>
          <w:cantSplit/>
        </w:trPr>
        <w:tc>
          <w:tcPr>
            <w:tcW w:w="802" w:type="dxa"/>
            <w:shd w:val="clear" w:color="auto" w:fill="auto"/>
          </w:tcPr>
          <w:p w14:paraId="508F1FCB" w14:textId="77777777" w:rsidR="00B074CC" w:rsidRPr="001A1836" w:rsidRDefault="00B074CC" w:rsidP="00626054">
            <w:pPr>
              <w:rPr>
                <w:rFonts w:cs="Arial"/>
                <w:sz w:val="20"/>
              </w:rPr>
            </w:pPr>
            <w:r w:rsidRPr="001A1836">
              <w:rPr>
                <w:rFonts w:cs="Arial"/>
                <w:sz w:val="20"/>
              </w:rPr>
              <w:t>3.16</w:t>
            </w:r>
          </w:p>
        </w:tc>
        <w:tc>
          <w:tcPr>
            <w:tcW w:w="1574" w:type="dxa"/>
            <w:gridSpan w:val="2"/>
            <w:shd w:val="clear" w:color="auto" w:fill="auto"/>
          </w:tcPr>
          <w:p w14:paraId="1DC393D4" w14:textId="77777777" w:rsidR="00B074CC" w:rsidRPr="001A1836" w:rsidRDefault="00B074CC" w:rsidP="00626054">
            <w:pPr>
              <w:rPr>
                <w:rFonts w:cs="Arial"/>
                <w:sz w:val="20"/>
              </w:rPr>
            </w:pPr>
          </w:p>
        </w:tc>
        <w:tc>
          <w:tcPr>
            <w:tcW w:w="6865" w:type="dxa"/>
            <w:gridSpan w:val="3"/>
            <w:shd w:val="clear" w:color="auto" w:fill="auto"/>
          </w:tcPr>
          <w:p w14:paraId="730AE0C3" w14:textId="77777777" w:rsidR="00B074CC" w:rsidRPr="001A1836" w:rsidRDefault="00B074CC" w:rsidP="00626054">
            <w:pPr>
              <w:rPr>
                <w:rFonts w:cs="Arial"/>
                <w:sz w:val="20"/>
              </w:rPr>
            </w:pPr>
            <w:r w:rsidRPr="001A1836">
              <w:rPr>
                <w:rFonts w:cs="Arial"/>
                <w:sz w:val="20"/>
              </w:rPr>
              <w:t>Number of probationary businesses suspended for having shown no work in 3-month period</w:t>
            </w:r>
          </w:p>
        </w:tc>
      </w:tr>
      <w:tr w:rsidR="00B074CC" w:rsidRPr="001A1836" w14:paraId="12482645" w14:textId="77777777" w:rsidTr="004D790B">
        <w:trPr>
          <w:cantSplit/>
        </w:trPr>
        <w:tc>
          <w:tcPr>
            <w:tcW w:w="802" w:type="dxa"/>
            <w:shd w:val="clear" w:color="auto" w:fill="auto"/>
          </w:tcPr>
          <w:p w14:paraId="380D1505" w14:textId="77777777" w:rsidR="00B074CC" w:rsidRPr="001A1836" w:rsidRDefault="00B074CC" w:rsidP="00626054">
            <w:pPr>
              <w:rPr>
                <w:rFonts w:cs="Arial"/>
                <w:sz w:val="20"/>
              </w:rPr>
            </w:pPr>
            <w:r w:rsidRPr="001A1836">
              <w:rPr>
                <w:rFonts w:cs="Arial"/>
                <w:sz w:val="20"/>
              </w:rPr>
              <w:t>3.17</w:t>
            </w:r>
          </w:p>
        </w:tc>
        <w:tc>
          <w:tcPr>
            <w:tcW w:w="1574" w:type="dxa"/>
            <w:gridSpan w:val="2"/>
            <w:shd w:val="clear" w:color="auto" w:fill="auto"/>
          </w:tcPr>
          <w:p w14:paraId="68EC3C60" w14:textId="77777777" w:rsidR="00B074CC" w:rsidRPr="001A1836" w:rsidRDefault="00B074CC" w:rsidP="00626054">
            <w:pPr>
              <w:rPr>
                <w:rFonts w:cs="Arial"/>
                <w:sz w:val="20"/>
              </w:rPr>
            </w:pPr>
          </w:p>
        </w:tc>
        <w:tc>
          <w:tcPr>
            <w:tcW w:w="6865" w:type="dxa"/>
            <w:gridSpan w:val="3"/>
            <w:shd w:val="clear" w:color="auto" w:fill="auto"/>
          </w:tcPr>
          <w:p w14:paraId="49D52DBA" w14:textId="6FF427EE" w:rsidR="00B074CC" w:rsidRPr="001A1836" w:rsidRDefault="00B074CC" w:rsidP="00626054">
            <w:pPr>
              <w:rPr>
                <w:rFonts w:cs="Arial"/>
                <w:sz w:val="20"/>
              </w:rPr>
            </w:pPr>
            <w:r w:rsidRPr="001A1836">
              <w:rPr>
                <w:rFonts w:cs="Arial"/>
                <w:sz w:val="20"/>
              </w:rPr>
              <w:t>Average number of probationary</w:t>
            </w:r>
            <w:r w:rsidR="00733E67">
              <w:rPr>
                <w:rFonts w:cs="Arial"/>
                <w:sz w:val="20"/>
              </w:rPr>
              <w:t xml:space="preserve"> Competency Checks</w:t>
            </w:r>
            <w:r w:rsidRPr="001A1836">
              <w:rPr>
                <w:rFonts w:cs="Arial"/>
                <w:sz w:val="20"/>
              </w:rPr>
              <w:t xml:space="preserve"> prior to probation being lifted per business</w:t>
            </w:r>
          </w:p>
        </w:tc>
      </w:tr>
      <w:tr w:rsidR="00B074CC" w:rsidRPr="001A1836" w14:paraId="42B845F2" w14:textId="77777777" w:rsidTr="004D790B">
        <w:trPr>
          <w:cantSplit/>
        </w:trPr>
        <w:tc>
          <w:tcPr>
            <w:tcW w:w="802" w:type="dxa"/>
            <w:shd w:val="clear" w:color="auto" w:fill="auto"/>
          </w:tcPr>
          <w:p w14:paraId="74F0D58B" w14:textId="77777777" w:rsidR="00B074CC" w:rsidRPr="001A1836" w:rsidRDefault="00B074CC" w:rsidP="00626054">
            <w:pPr>
              <w:rPr>
                <w:rFonts w:cs="Arial"/>
                <w:sz w:val="20"/>
              </w:rPr>
            </w:pPr>
            <w:r w:rsidRPr="001A1836">
              <w:rPr>
                <w:rFonts w:cs="Arial"/>
                <w:sz w:val="20"/>
              </w:rPr>
              <w:t>3.18</w:t>
            </w:r>
          </w:p>
        </w:tc>
        <w:tc>
          <w:tcPr>
            <w:tcW w:w="1574" w:type="dxa"/>
            <w:gridSpan w:val="2"/>
            <w:shd w:val="clear" w:color="auto" w:fill="auto"/>
          </w:tcPr>
          <w:p w14:paraId="563D2357" w14:textId="77777777" w:rsidR="00B074CC" w:rsidRPr="001A1836" w:rsidRDefault="00B074CC" w:rsidP="00626054">
            <w:pPr>
              <w:rPr>
                <w:rFonts w:cs="Arial"/>
                <w:sz w:val="20"/>
              </w:rPr>
            </w:pPr>
          </w:p>
        </w:tc>
        <w:tc>
          <w:tcPr>
            <w:tcW w:w="6865" w:type="dxa"/>
            <w:gridSpan w:val="3"/>
            <w:shd w:val="clear" w:color="auto" w:fill="auto"/>
          </w:tcPr>
          <w:p w14:paraId="0281A58A" w14:textId="77777777" w:rsidR="00B074CC" w:rsidRPr="001A1836" w:rsidRDefault="00B074CC" w:rsidP="00626054">
            <w:pPr>
              <w:rPr>
                <w:rFonts w:cs="Arial"/>
                <w:sz w:val="20"/>
              </w:rPr>
            </w:pPr>
            <w:r w:rsidRPr="001A1836">
              <w:rPr>
                <w:rFonts w:cs="Arial"/>
                <w:sz w:val="20"/>
              </w:rPr>
              <w:t>Number of businesses with extended probationary period (inspector request)</w:t>
            </w:r>
          </w:p>
        </w:tc>
      </w:tr>
      <w:tr w:rsidR="00B074CC" w:rsidRPr="001A1836" w14:paraId="61CF5321" w14:textId="77777777" w:rsidTr="004D790B">
        <w:trPr>
          <w:cantSplit/>
        </w:trPr>
        <w:tc>
          <w:tcPr>
            <w:tcW w:w="802" w:type="dxa"/>
            <w:shd w:val="clear" w:color="auto" w:fill="auto"/>
          </w:tcPr>
          <w:p w14:paraId="32603234" w14:textId="77777777" w:rsidR="00B074CC" w:rsidRPr="001A1836" w:rsidRDefault="00B074CC" w:rsidP="00626054">
            <w:pPr>
              <w:rPr>
                <w:rFonts w:cs="Arial"/>
                <w:sz w:val="20"/>
              </w:rPr>
            </w:pPr>
            <w:r w:rsidRPr="001A1836">
              <w:rPr>
                <w:rFonts w:cs="Arial"/>
                <w:sz w:val="20"/>
              </w:rPr>
              <w:t>3.19</w:t>
            </w:r>
          </w:p>
        </w:tc>
        <w:tc>
          <w:tcPr>
            <w:tcW w:w="1574" w:type="dxa"/>
            <w:gridSpan w:val="2"/>
            <w:shd w:val="clear" w:color="auto" w:fill="auto"/>
          </w:tcPr>
          <w:p w14:paraId="2F72C4D7" w14:textId="77777777" w:rsidR="00B074CC" w:rsidRPr="001A1836" w:rsidRDefault="00B074CC" w:rsidP="00626054">
            <w:pPr>
              <w:rPr>
                <w:rFonts w:cs="Arial"/>
                <w:sz w:val="20"/>
              </w:rPr>
            </w:pPr>
          </w:p>
        </w:tc>
        <w:tc>
          <w:tcPr>
            <w:tcW w:w="6865" w:type="dxa"/>
            <w:gridSpan w:val="3"/>
            <w:shd w:val="clear" w:color="auto" w:fill="auto"/>
          </w:tcPr>
          <w:p w14:paraId="60F63EAD" w14:textId="04ACB79F" w:rsidR="00B074CC" w:rsidRPr="001A1836" w:rsidRDefault="00B074CC" w:rsidP="00626054">
            <w:pPr>
              <w:rPr>
                <w:rFonts w:cs="Arial"/>
                <w:sz w:val="20"/>
              </w:rPr>
            </w:pPr>
            <w:r w:rsidRPr="001A1836">
              <w:rPr>
                <w:rFonts w:cs="Arial"/>
                <w:sz w:val="20"/>
              </w:rPr>
              <w:t xml:space="preserve">Number of probationary businesses with unsafe (AR/ID) </w:t>
            </w:r>
            <w:r w:rsidR="00435F96">
              <w:rPr>
                <w:rFonts w:cs="Arial"/>
                <w:sz w:val="20"/>
              </w:rPr>
              <w:t>I</w:t>
            </w:r>
            <w:r w:rsidRPr="001A1836">
              <w:rPr>
                <w:rFonts w:cs="Arial"/>
                <w:sz w:val="20"/>
              </w:rPr>
              <w:t>nspection result</w:t>
            </w:r>
          </w:p>
        </w:tc>
      </w:tr>
      <w:tr w:rsidR="00B074CC" w:rsidRPr="001A1836" w14:paraId="0A75141F" w14:textId="77777777" w:rsidTr="004D790B">
        <w:trPr>
          <w:cantSplit/>
        </w:trPr>
        <w:tc>
          <w:tcPr>
            <w:tcW w:w="802" w:type="dxa"/>
            <w:shd w:val="clear" w:color="auto" w:fill="auto"/>
          </w:tcPr>
          <w:p w14:paraId="69B5027C" w14:textId="77777777" w:rsidR="00B074CC" w:rsidRPr="001A1836" w:rsidRDefault="00B074CC" w:rsidP="00626054">
            <w:pPr>
              <w:rPr>
                <w:rFonts w:cs="Arial"/>
                <w:sz w:val="20"/>
              </w:rPr>
            </w:pPr>
            <w:r w:rsidRPr="001A1836">
              <w:rPr>
                <w:rFonts w:cs="Arial"/>
                <w:sz w:val="20"/>
              </w:rPr>
              <w:t>3.20</w:t>
            </w:r>
          </w:p>
        </w:tc>
        <w:tc>
          <w:tcPr>
            <w:tcW w:w="1574" w:type="dxa"/>
            <w:gridSpan w:val="2"/>
            <w:shd w:val="clear" w:color="auto" w:fill="auto"/>
          </w:tcPr>
          <w:p w14:paraId="602D45A8" w14:textId="77777777" w:rsidR="00B074CC" w:rsidRPr="001A1836" w:rsidRDefault="00B074CC" w:rsidP="00626054">
            <w:pPr>
              <w:rPr>
                <w:rFonts w:cs="Arial"/>
                <w:sz w:val="20"/>
              </w:rPr>
            </w:pPr>
          </w:p>
        </w:tc>
        <w:tc>
          <w:tcPr>
            <w:tcW w:w="6865" w:type="dxa"/>
            <w:gridSpan w:val="3"/>
            <w:shd w:val="clear" w:color="auto" w:fill="auto"/>
          </w:tcPr>
          <w:p w14:paraId="43D62C7A" w14:textId="710D0070" w:rsidR="00B074CC" w:rsidRPr="001A1836" w:rsidRDefault="00B074CC" w:rsidP="00626054">
            <w:pPr>
              <w:rPr>
                <w:rFonts w:cs="Arial"/>
                <w:sz w:val="20"/>
              </w:rPr>
            </w:pPr>
            <w:r w:rsidRPr="001A1836">
              <w:rPr>
                <w:rFonts w:cs="Arial"/>
                <w:sz w:val="20"/>
              </w:rPr>
              <w:t xml:space="preserve">% of probationary businesses with unsafe (AR/ID) </w:t>
            </w:r>
            <w:r w:rsidR="00435F96">
              <w:rPr>
                <w:rFonts w:cs="Arial"/>
                <w:sz w:val="20"/>
              </w:rPr>
              <w:t>I</w:t>
            </w:r>
            <w:r w:rsidRPr="001A1836">
              <w:rPr>
                <w:rFonts w:cs="Arial"/>
                <w:sz w:val="20"/>
              </w:rPr>
              <w:t>nspection result</w:t>
            </w:r>
          </w:p>
        </w:tc>
      </w:tr>
      <w:tr w:rsidR="00B074CC" w:rsidRPr="001A1836" w14:paraId="0283B1BB" w14:textId="77777777" w:rsidTr="004D790B">
        <w:trPr>
          <w:cantSplit/>
        </w:trPr>
        <w:tc>
          <w:tcPr>
            <w:tcW w:w="802" w:type="dxa"/>
            <w:shd w:val="clear" w:color="auto" w:fill="auto"/>
          </w:tcPr>
          <w:p w14:paraId="4891ADE5" w14:textId="77777777" w:rsidR="00B074CC" w:rsidRPr="001A1836" w:rsidRDefault="00B074CC" w:rsidP="00626054">
            <w:pPr>
              <w:rPr>
                <w:rFonts w:cs="Arial"/>
                <w:sz w:val="20"/>
              </w:rPr>
            </w:pPr>
            <w:r w:rsidRPr="001A1836">
              <w:rPr>
                <w:rFonts w:cs="Arial"/>
                <w:sz w:val="20"/>
              </w:rPr>
              <w:t>3.21</w:t>
            </w:r>
          </w:p>
        </w:tc>
        <w:tc>
          <w:tcPr>
            <w:tcW w:w="1574" w:type="dxa"/>
            <w:gridSpan w:val="2"/>
            <w:shd w:val="clear" w:color="auto" w:fill="auto"/>
          </w:tcPr>
          <w:p w14:paraId="17C912B8" w14:textId="77777777" w:rsidR="00B074CC" w:rsidRPr="001A1836" w:rsidRDefault="00B074CC" w:rsidP="00626054">
            <w:pPr>
              <w:rPr>
                <w:rFonts w:cs="Arial"/>
                <w:sz w:val="20"/>
              </w:rPr>
            </w:pPr>
          </w:p>
        </w:tc>
        <w:tc>
          <w:tcPr>
            <w:tcW w:w="6865" w:type="dxa"/>
            <w:gridSpan w:val="3"/>
            <w:shd w:val="clear" w:color="auto" w:fill="auto"/>
          </w:tcPr>
          <w:p w14:paraId="17DFDF3C" w14:textId="1A5329AB" w:rsidR="00B074CC" w:rsidRPr="001A1836" w:rsidRDefault="00B074CC" w:rsidP="00626054">
            <w:pPr>
              <w:rPr>
                <w:rFonts w:cs="Arial"/>
                <w:sz w:val="20"/>
              </w:rPr>
            </w:pPr>
            <w:r w:rsidRPr="001A1836">
              <w:rPr>
                <w:rFonts w:cs="Arial"/>
                <w:sz w:val="20"/>
              </w:rPr>
              <w:t>Number of probationary</w:t>
            </w:r>
            <w:r w:rsidR="00733E67">
              <w:rPr>
                <w:rFonts w:cs="Arial"/>
                <w:sz w:val="20"/>
              </w:rPr>
              <w:t xml:space="preserve"> Competency Checks</w:t>
            </w:r>
            <w:r w:rsidRPr="001A1836">
              <w:rPr>
                <w:rFonts w:cs="Arial"/>
                <w:sz w:val="20"/>
              </w:rPr>
              <w:t xml:space="preserve"> where highest defect was ID</w:t>
            </w:r>
          </w:p>
        </w:tc>
      </w:tr>
      <w:tr w:rsidR="00B074CC" w:rsidRPr="001A1836" w14:paraId="0938839A" w14:textId="77777777" w:rsidTr="004D790B">
        <w:trPr>
          <w:cantSplit/>
        </w:trPr>
        <w:tc>
          <w:tcPr>
            <w:tcW w:w="802" w:type="dxa"/>
            <w:shd w:val="clear" w:color="auto" w:fill="auto"/>
          </w:tcPr>
          <w:p w14:paraId="1145F780" w14:textId="77777777" w:rsidR="00B074CC" w:rsidRPr="001A1836" w:rsidRDefault="00B074CC" w:rsidP="00626054">
            <w:pPr>
              <w:rPr>
                <w:rFonts w:cs="Arial"/>
                <w:sz w:val="20"/>
              </w:rPr>
            </w:pPr>
            <w:r w:rsidRPr="001A1836">
              <w:rPr>
                <w:rFonts w:cs="Arial"/>
                <w:sz w:val="20"/>
              </w:rPr>
              <w:t>3.22</w:t>
            </w:r>
          </w:p>
        </w:tc>
        <w:tc>
          <w:tcPr>
            <w:tcW w:w="1574" w:type="dxa"/>
            <w:gridSpan w:val="2"/>
            <w:shd w:val="clear" w:color="auto" w:fill="auto"/>
          </w:tcPr>
          <w:p w14:paraId="4434B58E" w14:textId="77777777" w:rsidR="00B074CC" w:rsidRPr="001A1836" w:rsidRDefault="00B074CC" w:rsidP="00626054">
            <w:pPr>
              <w:rPr>
                <w:rFonts w:cs="Arial"/>
                <w:sz w:val="20"/>
              </w:rPr>
            </w:pPr>
          </w:p>
        </w:tc>
        <w:tc>
          <w:tcPr>
            <w:tcW w:w="6865" w:type="dxa"/>
            <w:gridSpan w:val="3"/>
            <w:shd w:val="clear" w:color="auto" w:fill="auto"/>
          </w:tcPr>
          <w:p w14:paraId="3525E114" w14:textId="10EA7B3D" w:rsidR="00B074CC" w:rsidRPr="001A1836" w:rsidRDefault="00B074CC" w:rsidP="00626054">
            <w:pPr>
              <w:rPr>
                <w:rFonts w:cs="Arial"/>
                <w:sz w:val="20"/>
              </w:rPr>
            </w:pPr>
            <w:r w:rsidRPr="001A1836">
              <w:rPr>
                <w:rFonts w:cs="Arial"/>
                <w:sz w:val="20"/>
              </w:rPr>
              <w:t>Number of probationary</w:t>
            </w:r>
            <w:r w:rsidR="00733E67">
              <w:rPr>
                <w:rFonts w:cs="Arial"/>
                <w:sz w:val="20"/>
              </w:rPr>
              <w:t xml:space="preserve"> Competency Checks</w:t>
            </w:r>
            <w:r w:rsidRPr="001A1836">
              <w:rPr>
                <w:rFonts w:cs="Arial"/>
                <w:sz w:val="20"/>
              </w:rPr>
              <w:t xml:space="preserve"> where highest defect was AR</w:t>
            </w:r>
          </w:p>
        </w:tc>
      </w:tr>
      <w:tr w:rsidR="00B074CC" w:rsidRPr="001A1836" w14:paraId="5F9BEBAC" w14:textId="77777777" w:rsidTr="004D790B">
        <w:trPr>
          <w:cantSplit/>
        </w:trPr>
        <w:tc>
          <w:tcPr>
            <w:tcW w:w="802" w:type="dxa"/>
            <w:shd w:val="clear" w:color="auto" w:fill="auto"/>
          </w:tcPr>
          <w:p w14:paraId="581D5B6C" w14:textId="77777777" w:rsidR="00B074CC" w:rsidRPr="001A1836" w:rsidRDefault="00B074CC" w:rsidP="00626054">
            <w:pPr>
              <w:rPr>
                <w:rFonts w:cs="Arial"/>
                <w:sz w:val="20"/>
              </w:rPr>
            </w:pPr>
            <w:r w:rsidRPr="001A1836">
              <w:rPr>
                <w:rFonts w:cs="Arial"/>
                <w:sz w:val="20"/>
              </w:rPr>
              <w:t>3.23</w:t>
            </w:r>
          </w:p>
        </w:tc>
        <w:tc>
          <w:tcPr>
            <w:tcW w:w="1574" w:type="dxa"/>
            <w:gridSpan w:val="2"/>
            <w:shd w:val="clear" w:color="auto" w:fill="auto"/>
          </w:tcPr>
          <w:p w14:paraId="79492C13" w14:textId="77777777" w:rsidR="00B074CC" w:rsidRPr="001A1836" w:rsidRDefault="00B074CC" w:rsidP="00626054">
            <w:pPr>
              <w:rPr>
                <w:rFonts w:cs="Arial"/>
                <w:sz w:val="20"/>
              </w:rPr>
            </w:pPr>
          </w:p>
        </w:tc>
        <w:tc>
          <w:tcPr>
            <w:tcW w:w="6865" w:type="dxa"/>
            <w:gridSpan w:val="3"/>
            <w:shd w:val="clear" w:color="auto" w:fill="auto"/>
          </w:tcPr>
          <w:p w14:paraId="072CE00C" w14:textId="58C599F3" w:rsidR="00B074CC" w:rsidRPr="001A1836" w:rsidRDefault="00B074CC" w:rsidP="00626054">
            <w:pPr>
              <w:rPr>
                <w:rFonts w:cs="Arial"/>
                <w:sz w:val="20"/>
              </w:rPr>
            </w:pPr>
            <w:r w:rsidRPr="001A1836">
              <w:rPr>
                <w:rFonts w:cs="Arial"/>
                <w:sz w:val="20"/>
              </w:rPr>
              <w:t>Number of probationary</w:t>
            </w:r>
            <w:r w:rsidR="00733E67">
              <w:rPr>
                <w:rFonts w:cs="Arial"/>
                <w:sz w:val="20"/>
              </w:rPr>
              <w:t xml:space="preserve"> Competency Checks</w:t>
            </w:r>
            <w:r w:rsidRPr="001A1836">
              <w:rPr>
                <w:rFonts w:cs="Arial"/>
                <w:sz w:val="20"/>
              </w:rPr>
              <w:t xml:space="preserve"> where highest defect was NCS</w:t>
            </w:r>
          </w:p>
        </w:tc>
      </w:tr>
      <w:tr w:rsidR="00B074CC" w:rsidRPr="001A1836" w14:paraId="72ACF294" w14:textId="77777777" w:rsidTr="004D790B">
        <w:trPr>
          <w:cantSplit/>
        </w:trPr>
        <w:tc>
          <w:tcPr>
            <w:tcW w:w="802" w:type="dxa"/>
            <w:shd w:val="clear" w:color="auto" w:fill="auto"/>
          </w:tcPr>
          <w:p w14:paraId="7BAD11FA" w14:textId="77777777" w:rsidR="00B074CC" w:rsidRPr="001A1836" w:rsidRDefault="00B074CC" w:rsidP="00626054">
            <w:pPr>
              <w:rPr>
                <w:rFonts w:cs="Arial"/>
                <w:sz w:val="20"/>
              </w:rPr>
            </w:pPr>
            <w:r w:rsidRPr="001A1836">
              <w:rPr>
                <w:rFonts w:cs="Arial"/>
                <w:sz w:val="20"/>
              </w:rPr>
              <w:t>3.24</w:t>
            </w:r>
          </w:p>
        </w:tc>
        <w:tc>
          <w:tcPr>
            <w:tcW w:w="1574" w:type="dxa"/>
            <w:gridSpan w:val="2"/>
            <w:shd w:val="clear" w:color="auto" w:fill="auto"/>
          </w:tcPr>
          <w:p w14:paraId="3997A49F" w14:textId="77777777" w:rsidR="00B074CC" w:rsidRPr="001A1836" w:rsidRDefault="00B074CC" w:rsidP="00626054">
            <w:pPr>
              <w:rPr>
                <w:rFonts w:cs="Arial"/>
                <w:sz w:val="20"/>
              </w:rPr>
            </w:pPr>
          </w:p>
        </w:tc>
        <w:tc>
          <w:tcPr>
            <w:tcW w:w="6865" w:type="dxa"/>
            <w:gridSpan w:val="3"/>
            <w:shd w:val="clear" w:color="auto" w:fill="auto"/>
          </w:tcPr>
          <w:p w14:paraId="09934AE5" w14:textId="77777777" w:rsidR="00B074CC" w:rsidRPr="001A1836" w:rsidRDefault="00B074CC" w:rsidP="00626054">
            <w:pPr>
              <w:rPr>
                <w:rFonts w:cs="Arial"/>
                <w:sz w:val="20"/>
              </w:rPr>
            </w:pPr>
            <w:r w:rsidRPr="001A1836">
              <w:rPr>
                <w:rFonts w:cs="Arial"/>
                <w:sz w:val="20"/>
              </w:rPr>
              <w:t>Number of probationary businesses suspended for unsafe work</w:t>
            </w:r>
          </w:p>
        </w:tc>
      </w:tr>
      <w:tr w:rsidR="00B074CC" w:rsidRPr="001A1836" w14:paraId="0F5A7AD0" w14:textId="77777777" w:rsidTr="004D790B">
        <w:trPr>
          <w:cantSplit/>
        </w:trPr>
        <w:tc>
          <w:tcPr>
            <w:tcW w:w="802" w:type="dxa"/>
            <w:shd w:val="clear" w:color="auto" w:fill="auto"/>
          </w:tcPr>
          <w:p w14:paraId="6FE30B3A" w14:textId="77777777" w:rsidR="00B074CC" w:rsidRPr="001A1836" w:rsidRDefault="00B074CC" w:rsidP="00626054">
            <w:pPr>
              <w:rPr>
                <w:rFonts w:cs="Arial"/>
                <w:sz w:val="20"/>
              </w:rPr>
            </w:pPr>
            <w:r w:rsidRPr="001A1836">
              <w:rPr>
                <w:rFonts w:cs="Arial"/>
                <w:sz w:val="20"/>
              </w:rPr>
              <w:t>3.25</w:t>
            </w:r>
          </w:p>
        </w:tc>
        <w:tc>
          <w:tcPr>
            <w:tcW w:w="1574" w:type="dxa"/>
            <w:gridSpan w:val="2"/>
            <w:shd w:val="clear" w:color="auto" w:fill="auto"/>
          </w:tcPr>
          <w:p w14:paraId="7432ACD3" w14:textId="77777777" w:rsidR="00B074CC" w:rsidRPr="001A1836" w:rsidRDefault="00B074CC" w:rsidP="00626054">
            <w:pPr>
              <w:rPr>
                <w:rFonts w:cs="Arial"/>
                <w:sz w:val="20"/>
              </w:rPr>
            </w:pPr>
          </w:p>
        </w:tc>
        <w:tc>
          <w:tcPr>
            <w:tcW w:w="6865" w:type="dxa"/>
            <w:gridSpan w:val="3"/>
            <w:shd w:val="clear" w:color="auto" w:fill="auto"/>
          </w:tcPr>
          <w:p w14:paraId="571D0520" w14:textId="77777777" w:rsidR="00B074CC" w:rsidRPr="001A1836" w:rsidRDefault="00B074CC" w:rsidP="00626054">
            <w:pPr>
              <w:rPr>
                <w:rFonts w:cs="Arial"/>
                <w:sz w:val="20"/>
              </w:rPr>
            </w:pPr>
            <w:r w:rsidRPr="001A1836">
              <w:rPr>
                <w:rFonts w:cs="Arial"/>
                <w:sz w:val="20"/>
              </w:rPr>
              <w:t>% of probationary businesses suspended for unsafe work</w:t>
            </w:r>
          </w:p>
        </w:tc>
      </w:tr>
      <w:tr w:rsidR="00B074CC" w:rsidRPr="001A1836" w14:paraId="41A9B241" w14:textId="77777777" w:rsidTr="004D790B">
        <w:trPr>
          <w:cantSplit/>
        </w:trPr>
        <w:tc>
          <w:tcPr>
            <w:tcW w:w="802" w:type="dxa"/>
            <w:shd w:val="clear" w:color="auto" w:fill="auto"/>
          </w:tcPr>
          <w:p w14:paraId="1D263D67" w14:textId="77777777" w:rsidR="00B074CC" w:rsidRPr="001A1836" w:rsidRDefault="00B074CC" w:rsidP="00626054">
            <w:pPr>
              <w:rPr>
                <w:rFonts w:cs="Arial"/>
                <w:sz w:val="20"/>
              </w:rPr>
            </w:pPr>
          </w:p>
        </w:tc>
        <w:tc>
          <w:tcPr>
            <w:tcW w:w="1574" w:type="dxa"/>
            <w:gridSpan w:val="2"/>
            <w:shd w:val="clear" w:color="auto" w:fill="auto"/>
          </w:tcPr>
          <w:p w14:paraId="5F0E68F7" w14:textId="77777777" w:rsidR="00B074CC" w:rsidRPr="001A1836" w:rsidRDefault="00B074CC" w:rsidP="00626054">
            <w:pPr>
              <w:rPr>
                <w:rFonts w:cs="Arial"/>
                <w:sz w:val="20"/>
              </w:rPr>
            </w:pPr>
          </w:p>
        </w:tc>
        <w:tc>
          <w:tcPr>
            <w:tcW w:w="6865" w:type="dxa"/>
            <w:gridSpan w:val="3"/>
            <w:shd w:val="clear" w:color="auto" w:fill="auto"/>
          </w:tcPr>
          <w:p w14:paraId="46DDAFAF" w14:textId="5FEF1C4E" w:rsidR="00B074CC" w:rsidRPr="001A1836" w:rsidRDefault="00B074CC" w:rsidP="00626054">
            <w:pPr>
              <w:rPr>
                <w:rFonts w:cs="Arial"/>
                <w:b/>
                <w:sz w:val="20"/>
              </w:rPr>
            </w:pPr>
            <w:r w:rsidRPr="001A1836">
              <w:rPr>
                <w:rFonts w:cs="Arial"/>
                <w:b/>
                <w:sz w:val="20"/>
              </w:rPr>
              <w:t xml:space="preserve">Complaints about registrants &amp; </w:t>
            </w:r>
            <w:r w:rsidR="00852996">
              <w:rPr>
                <w:rFonts w:cs="Arial"/>
                <w:b/>
                <w:sz w:val="20"/>
              </w:rPr>
              <w:t>C</w:t>
            </w:r>
            <w:r w:rsidRPr="001A1836">
              <w:rPr>
                <w:rFonts w:cs="Arial"/>
                <w:b/>
                <w:sz w:val="20"/>
              </w:rPr>
              <w:t xml:space="preserve">omplaint </w:t>
            </w:r>
            <w:r w:rsidR="00435F96">
              <w:rPr>
                <w:rFonts w:cs="Arial"/>
                <w:b/>
                <w:sz w:val="20"/>
              </w:rPr>
              <w:t>I</w:t>
            </w:r>
            <w:r w:rsidRPr="001A1836">
              <w:rPr>
                <w:rFonts w:cs="Arial"/>
                <w:b/>
                <w:sz w:val="20"/>
              </w:rPr>
              <w:t>nspections</w:t>
            </w:r>
          </w:p>
        </w:tc>
      </w:tr>
      <w:tr w:rsidR="00B074CC" w:rsidRPr="001A1836" w14:paraId="074EBDB1" w14:textId="77777777" w:rsidTr="004D790B">
        <w:trPr>
          <w:cantSplit/>
        </w:trPr>
        <w:tc>
          <w:tcPr>
            <w:tcW w:w="802" w:type="dxa"/>
            <w:shd w:val="clear" w:color="auto" w:fill="auto"/>
          </w:tcPr>
          <w:p w14:paraId="26282DC0" w14:textId="77777777" w:rsidR="00B074CC" w:rsidRPr="001A1836" w:rsidRDefault="00B074CC" w:rsidP="00626054">
            <w:pPr>
              <w:rPr>
                <w:rFonts w:cs="Arial"/>
                <w:sz w:val="20"/>
              </w:rPr>
            </w:pPr>
            <w:r w:rsidRPr="001A1836">
              <w:rPr>
                <w:rFonts w:cs="Arial"/>
                <w:sz w:val="20"/>
              </w:rPr>
              <w:t>3.26</w:t>
            </w:r>
          </w:p>
        </w:tc>
        <w:tc>
          <w:tcPr>
            <w:tcW w:w="1574" w:type="dxa"/>
            <w:gridSpan w:val="2"/>
            <w:shd w:val="clear" w:color="auto" w:fill="auto"/>
          </w:tcPr>
          <w:p w14:paraId="6E6FD2D3" w14:textId="77777777" w:rsidR="00B074CC" w:rsidRPr="001A1836" w:rsidRDefault="00B074CC" w:rsidP="00626054">
            <w:pPr>
              <w:rPr>
                <w:rFonts w:cs="Arial"/>
                <w:sz w:val="20"/>
              </w:rPr>
            </w:pPr>
          </w:p>
        </w:tc>
        <w:tc>
          <w:tcPr>
            <w:tcW w:w="6865" w:type="dxa"/>
            <w:gridSpan w:val="3"/>
            <w:shd w:val="clear" w:color="auto" w:fill="auto"/>
          </w:tcPr>
          <w:p w14:paraId="52F7CBB5" w14:textId="77777777" w:rsidR="00B074CC" w:rsidRPr="001A1836" w:rsidRDefault="00B074CC" w:rsidP="00626054">
            <w:pPr>
              <w:rPr>
                <w:rFonts w:cs="Arial"/>
                <w:sz w:val="20"/>
              </w:rPr>
            </w:pPr>
            <w:r w:rsidRPr="001A1836">
              <w:rPr>
                <w:rFonts w:cs="Arial"/>
                <w:sz w:val="20"/>
              </w:rPr>
              <w:t>Number of consumer complaints about registrants</w:t>
            </w:r>
          </w:p>
        </w:tc>
      </w:tr>
      <w:tr w:rsidR="00B074CC" w:rsidRPr="001A1836" w14:paraId="259A3FC2" w14:textId="77777777" w:rsidTr="004D790B">
        <w:trPr>
          <w:cantSplit/>
        </w:trPr>
        <w:tc>
          <w:tcPr>
            <w:tcW w:w="802" w:type="dxa"/>
            <w:shd w:val="clear" w:color="auto" w:fill="auto"/>
          </w:tcPr>
          <w:p w14:paraId="72CFE818" w14:textId="77777777" w:rsidR="00B074CC" w:rsidRPr="001A1836" w:rsidRDefault="00B074CC" w:rsidP="00626054">
            <w:pPr>
              <w:rPr>
                <w:rFonts w:cs="Arial"/>
                <w:sz w:val="20"/>
              </w:rPr>
            </w:pPr>
            <w:r w:rsidRPr="001A1836">
              <w:rPr>
                <w:rFonts w:cs="Arial"/>
                <w:sz w:val="20"/>
              </w:rPr>
              <w:t>3.27</w:t>
            </w:r>
          </w:p>
        </w:tc>
        <w:tc>
          <w:tcPr>
            <w:tcW w:w="1574" w:type="dxa"/>
            <w:gridSpan w:val="2"/>
            <w:shd w:val="clear" w:color="auto" w:fill="auto"/>
          </w:tcPr>
          <w:p w14:paraId="2D07D4C9" w14:textId="77777777" w:rsidR="00B074CC" w:rsidRPr="001A1836" w:rsidRDefault="00B074CC" w:rsidP="00626054">
            <w:pPr>
              <w:rPr>
                <w:rFonts w:cs="Arial"/>
                <w:sz w:val="20"/>
              </w:rPr>
            </w:pPr>
          </w:p>
        </w:tc>
        <w:tc>
          <w:tcPr>
            <w:tcW w:w="6865" w:type="dxa"/>
            <w:gridSpan w:val="3"/>
            <w:shd w:val="clear" w:color="auto" w:fill="auto"/>
          </w:tcPr>
          <w:p w14:paraId="207AE46F" w14:textId="77777777" w:rsidR="00B074CC" w:rsidRPr="001A1836" w:rsidRDefault="00B074CC" w:rsidP="00626054">
            <w:pPr>
              <w:rPr>
                <w:rFonts w:cs="Arial"/>
                <w:sz w:val="20"/>
              </w:rPr>
            </w:pPr>
            <w:r w:rsidRPr="001A1836">
              <w:rPr>
                <w:rFonts w:cs="Arial"/>
                <w:sz w:val="20"/>
              </w:rPr>
              <w:t>Number of consumer complaints with no apparent safety issue</w:t>
            </w:r>
          </w:p>
        </w:tc>
      </w:tr>
      <w:tr w:rsidR="00B074CC" w:rsidRPr="001A1836" w14:paraId="4838692D" w14:textId="77777777" w:rsidTr="004D790B">
        <w:trPr>
          <w:cantSplit/>
        </w:trPr>
        <w:tc>
          <w:tcPr>
            <w:tcW w:w="802" w:type="dxa"/>
            <w:shd w:val="clear" w:color="auto" w:fill="auto"/>
          </w:tcPr>
          <w:p w14:paraId="298CA941" w14:textId="77777777" w:rsidR="00B074CC" w:rsidRPr="001A1836" w:rsidRDefault="00B074CC" w:rsidP="00626054">
            <w:pPr>
              <w:rPr>
                <w:rFonts w:cs="Arial"/>
                <w:sz w:val="20"/>
              </w:rPr>
            </w:pPr>
            <w:r w:rsidRPr="001A1836">
              <w:rPr>
                <w:rFonts w:cs="Arial"/>
                <w:sz w:val="20"/>
              </w:rPr>
              <w:t>3.28</w:t>
            </w:r>
          </w:p>
        </w:tc>
        <w:tc>
          <w:tcPr>
            <w:tcW w:w="1574" w:type="dxa"/>
            <w:gridSpan w:val="2"/>
            <w:shd w:val="clear" w:color="auto" w:fill="auto"/>
          </w:tcPr>
          <w:p w14:paraId="1445E9CC" w14:textId="77777777" w:rsidR="00B074CC" w:rsidRPr="001A1836" w:rsidRDefault="00B074CC" w:rsidP="00626054">
            <w:pPr>
              <w:rPr>
                <w:rFonts w:cs="Arial"/>
                <w:sz w:val="20"/>
              </w:rPr>
            </w:pPr>
          </w:p>
        </w:tc>
        <w:tc>
          <w:tcPr>
            <w:tcW w:w="6865" w:type="dxa"/>
            <w:gridSpan w:val="3"/>
            <w:shd w:val="clear" w:color="auto" w:fill="auto"/>
          </w:tcPr>
          <w:p w14:paraId="59270003" w14:textId="14173766" w:rsidR="00B074CC" w:rsidRPr="001A1836" w:rsidRDefault="00B074CC" w:rsidP="00626054">
            <w:pPr>
              <w:rPr>
                <w:rFonts w:cs="Arial"/>
                <w:sz w:val="20"/>
              </w:rPr>
            </w:pPr>
            <w:r w:rsidRPr="001A1836">
              <w:rPr>
                <w:rFonts w:cs="Arial"/>
                <w:sz w:val="20"/>
              </w:rPr>
              <w:t xml:space="preserve">Number of </w:t>
            </w:r>
            <w:r w:rsidR="009D1A2D">
              <w:rPr>
                <w:rFonts w:cs="Arial"/>
                <w:sz w:val="20"/>
              </w:rPr>
              <w:t>C</w:t>
            </w:r>
            <w:r w:rsidRPr="001A1836">
              <w:rPr>
                <w:rFonts w:cs="Arial"/>
                <w:sz w:val="20"/>
              </w:rPr>
              <w:t>omplaint</w:t>
            </w:r>
            <w:r w:rsidR="009D1A2D">
              <w:rPr>
                <w:rFonts w:cs="Arial"/>
                <w:sz w:val="20"/>
              </w:rPr>
              <w:t xml:space="preserve"> Inspections</w:t>
            </w:r>
            <w:r w:rsidRPr="001A1836">
              <w:rPr>
                <w:rFonts w:cs="Arial"/>
                <w:sz w:val="20"/>
              </w:rPr>
              <w:t xml:space="preserve"> visited</w:t>
            </w:r>
          </w:p>
        </w:tc>
      </w:tr>
      <w:tr w:rsidR="00B074CC" w:rsidRPr="001A1836" w14:paraId="64DC091D" w14:textId="77777777" w:rsidTr="004D790B">
        <w:trPr>
          <w:cantSplit/>
        </w:trPr>
        <w:tc>
          <w:tcPr>
            <w:tcW w:w="802" w:type="dxa"/>
            <w:shd w:val="clear" w:color="auto" w:fill="auto"/>
          </w:tcPr>
          <w:p w14:paraId="3727C761" w14:textId="77777777" w:rsidR="00B074CC" w:rsidRPr="001A1836" w:rsidRDefault="00B074CC" w:rsidP="00626054">
            <w:pPr>
              <w:rPr>
                <w:rFonts w:cs="Arial"/>
                <w:sz w:val="20"/>
              </w:rPr>
            </w:pPr>
            <w:r w:rsidRPr="001A1836">
              <w:rPr>
                <w:rFonts w:cs="Arial"/>
                <w:sz w:val="20"/>
              </w:rPr>
              <w:t>3.29</w:t>
            </w:r>
          </w:p>
        </w:tc>
        <w:tc>
          <w:tcPr>
            <w:tcW w:w="1574" w:type="dxa"/>
            <w:gridSpan w:val="2"/>
            <w:shd w:val="clear" w:color="auto" w:fill="auto"/>
          </w:tcPr>
          <w:p w14:paraId="0C189A86" w14:textId="77777777" w:rsidR="00B074CC" w:rsidRPr="001A1836" w:rsidRDefault="00B074CC" w:rsidP="00626054">
            <w:pPr>
              <w:rPr>
                <w:rFonts w:cs="Arial"/>
                <w:sz w:val="20"/>
              </w:rPr>
            </w:pPr>
            <w:r w:rsidRPr="001A1836">
              <w:rPr>
                <w:rFonts w:cs="Arial"/>
                <w:sz w:val="20"/>
              </w:rPr>
              <w:t>SL03</w:t>
            </w:r>
          </w:p>
        </w:tc>
        <w:tc>
          <w:tcPr>
            <w:tcW w:w="6865" w:type="dxa"/>
            <w:gridSpan w:val="3"/>
            <w:shd w:val="clear" w:color="auto" w:fill="auto"/>
          </w:tcPr>
          <w:p w14:paraId="26ECC8B2" w14:textId="0446E008" w:rsidR="00B074CC" w:rsidRPr="001A1836" w:rsidRDefault="00B074CC" w:rsidP="00626054">
            <w:pPr>
              <w:rPr>
                <w:rFonts w:cs="Arial"/>
                <w:sz w:val="20"/>
              </w:rPr>
            </w:pPr>
            <w:r w:rsidRPr="001A1836">
              <w:rPr>
                <w:rFonts w:cs="Arial"/>
                <w:sz w:val="20"/>
              </w:rPr>
              <w:t xml:space="preserve">% of </w:t>
            </w:r>
            <w:r w:rsidR="009D1A2D">
              <w:rPr>
                <w:rFonts w:cs="Arial"/>
                <w:sz w:val="20"/>
              </w:rPr>
              <w:t>C</w:t>
            </w:r>
            <w:r w:rsidRPr="001A1836">
              <w:rPr>
                <w:rFonts w:cs="Arial"/>
                <w:sz w:val="20"/>
              </w:rPr>
              <w:t xml:space="preserve">omplaint </w:t>
            </w:r>
            <w:r w:rsidR="009D1A2D">
              <w:rPr>
                <w:rFonts w:cs="Arial"/>
                <w:sz w:val="20"/>
              </w:rPr>
              <w:t xml:space="preserve">Inspection </w:t>
            </w:r>
            <w:r w:rsidRPr="001A1836">
              <w:rPr>
                <w:rFonts w:cs="Arial"/>
                <w:sz w:val="20"/>
              </w:rPr>
              <w:t xml:space="preserve">visits carried out within 10 </w:t>
            </w:r>
            <w:r w:rsidR="000C1F5C" w:rsidRPr="001A1836">
              <w:rPr>
                <w:rFonts w:cs="Arial"/>
                <w:sz w:val="20"/>
              </w:rPr>
              <w:t>W</w:t>
            </w:r>
            <w:r w:rsidRPr="001A1836">
              <w:rPr>
                <w:rFonts w:cs="Arial"/>
                <w:sz w:val="20"/>
              </w:rPr>
              <w:t xml:space="preserve">orking </w:t>
            </w:r>
            <w:r w:rsidR="000C1F5C" w:rsidRPr="001A1836">
              <w:rPr>
                <w:rFonts w:cs="Arial"/>
                <w:sz w:val="20"/>
              </w:rPr>
              <w:t>D</w:t>
            </w:r>
            <w:r w:rsidRPr="001A1836">
              <w:rPr>
                <w:rFonts w:cs="Arial"/>
                <w:sz w:val="20"/>
              </w:rPr>
              <w:t>ays of complaint being received</w:t>
            </w:r>
          </w:p>
        </w:tc>
      </w:tr>
      <w:tr w:rsidR="00B074CC" w:rsidRPr="001A1836" w14:paraId="4BE85FE3" w14:textId="77777777" w:rsidTr="004D790B">
        <w:trPr>
          <w:cantSplit/>
        </w:trPr>
        <w:tc>
          <w:tcPr>
            <w:tcW w:w="802" w:type="dxa"/>
            <w:shd w:val="clear" w:color="auto" w:fill="auto"/>
          </w:tcPr>
          <w:p w14:paraId="68567D11" w14:textId="77777777" w:rsidR="00B074CC" w:rsidRPr="001A1836" w:rsidRDefault="00B074CC" w:rsidP="00626054">
            <w:pPr>
              <w:rPr>
                <w:rFonts w:cs="Arial"/>
                <w:sz w:val="20"/>
              </w:rPr>
            </w:pPr>
            <w:r w:rsidRPr="001A1836">
              <w:rPr>
                <w:rFonts w:cs="Arial"/>
                <w:sz w:val="20"/>
              </w:rPr>
              <w:t>3.30</w:t>
            </w:r>
          </w:p>
        </w:tc>
        <w:tc>
          <w:tcPr>
            <w:tcW w:w="1574" w:type="dxa"/>
            <w:gridSpan w:val="2"/>
            <w:shd w:val="clear" w:color="auto" w:fill="auto"/>
          </w:tcPr>
          <w:p w14:paraId="5908E5B8" w14:textId="77777777" w:rsidR="00B074CC" w:rsidRPr="001A1836" w:rsidRDefault="00B074CC" w:rsidP="00626054">
            <w:pPr>
              <w:rPr>
                <w:rFonts w:cs="Arial"/>
                <w:sz w:val="20"/>
              </w:rPr>
            </w:pPr>
          </w:p>
        </w:tc>
        <w:tc>
          <w:tcPr>
            <w:tcW w:w="6865" w:type="dxa"/>
            <w:gridSpan w:val="3"/>
            <w:shd w:val="clear" w:color="auto" w:fill="auto"/>
          </w:tcPr>
          <w:p w14:paraId="456196F0" w14:textId="789800D5" w:rsidR="00B074CC" w:rsidRPr="001A1836" w:rsidRDefault="00B074CC" w:rsidP="00626054">
            <w:pPr>
              <w:rPr>
                <w:rFonts w:cs="Arial"/>
                <w:sz w:val="20"/>
              </w:rPr>
            </w:pPr>
            <w:r w:rsidRPr="001A1836">
              <w:rPr>
                <w:rFonts w:cs="Arial"/>
                <w:sz w:val="20"/>
              </w:rPr>
              <w:t xml:space="preserve">Number of </w:t>
            </w:r>
            <w:r w:rsidR="009D1A2D">
              <w:rPr>
                <w:rFonts w:cs="Arial"/>
                <w:sz w:val="20"/>
              </w:rPr>
              <w:t>C</w:t>
            </w:r>
            <w:r w:rsidRPr="001A1836">
              <w:rPr>
                <w:rFonts w:cs="Arial"/>
                <w:sz w:val="20"/>
              </w:rPr>
              <w:t xml:space="preserve">omplaint </w:t>
            </w:r>
            <w:r w:rsidR="009D1A2D">
              <w:rPr>
                <w:rFonts w:cs="Arial"/>
                <w:sz w:val="20"/>
              </w:rPr>
              <w:t xml:space="preserve">Inspection </w:t>
            </w:r>
            <w:r w:rsidRPr="001A1836">
              <w:rPr>
                <w:rFonts w:cs="Arial"/>
                <w:sz w:val="20"/>
              </w:rPr>
              <w:t xml:space="preserve">visits where unsafe (AR/ID) </w:t>
            </w:r>
            <w:r w:rsidR="000C1F5C" w:rsidRPr="001A1836">
              <w:rPr>
                <w:rFonts w:cs="Arial"/>
                <w:sz w:val="20"/>
              </w:rPr>
              <w:t>Gas Work</w:t>
            </w:r>
            <w:r w:rsidRPr="001A1836">
              <w:rPr>
                <w:rFonts w:cs="Arial"/>
                <w:sz w:val="20"/>
              </w:rPr>
              <w:t xml:space="preserve"> found</w:t>
            </w:r>
          </w:p>
        </w:tc>
      </w:tr>
      <w:tr w:rsidR="00B074CC" w:rsidRPr="001A1836" w14:paraId="7085EE82" w14:textId="77777777" w:rsidTr="004D790B">
        <w:trPr>
          <w:cantSplit/>
        </w:trPr>
        <w:tc>
          <w:tcPr>
            <w:tcW w:w="802" w:type="dxa"/>
            <w:shd w:val="clear" w:color="auto" w:fill="auto"/>
          </w:tcPr>
          <w:p w14:paraId="2CB3541E" w14:textId="77777777" w:rsidR="00B074CC" w:rsidRPr="001A1836" w:rsidRDefault="00B074CC" w:rsidP="00626054">
            <w:pPr>
              <w:rPr>
                <w:rFonts w:cs="Arial"/>
                <w:sz w:val="20"/>
              </w:rPr>
            </w:pPr>
            <w:r w:rsidRPr="001A1836">
              <w:rPr>
                <w:rFonts w:cs="Arial"/>
                <w:sz w:val="20"/>
              </w:rPr>
              <w:t>3.31</w:t>
            </w:r>
          </w:p>
        </w:tc>
        <w:tc>
          <w:tcPr>
            <w:tcW w:w="1574" w:type="dxa"/>
            <w:gridSpan w:val="2"/>
            <w:shd w:val="clear" w:color="auto" w:fill="auto"/>
          </w:tcPr>
          <w:p w14:paraId="76AED5C4" w14:textId="77777777" w:rsidR="00B074CC" w:rsidRPr="001A1836" w:rsidRDefault="00B074CC" w:rsidP="00626054">
            <w:pPr>
              <w:rPr>
                <w:rFonts w:cs="Arial"/>
                <w:sz w:val="20"/>
              </w:rPr>
            </w:pPr>
          </w:p>
        </w:tc>
        <w:tc>
          <w:tcPr>
            <w:tcW w:w="6865" w:type="dxa"/>
            <w:gridSpan w:val="3"/>
            <w:shd w:val="clear" w:color="auto" w:fill="auto"/>
          </w:tcPr>
          <w:p w14:paraId="2C4BBC5C" w14:textId="2DAAA925" w:rsidR="00B074CC" w:rsidRPr="001A1836" w:rsidRDefault="00B074CC" w:rsidP="00626054">
            <w:pPr>
              <w:rPr>
                <w:rFonts w:cs="Arial"/>
                <w:sz w:val="20"/>
              </w:rPr>
            </w:pPr>
            <w:r w:rsidRPr="001A1836">
              <w:rPr>
                <w:rFonts w:cs="Arial"/>
                <w:sz w:val="20"/>
              </w:rPr>
              <w:t xml:space="preserve">% of </w:t>
            </w:r>
            <w:r w:rsidR="009D1A2D">
              <w:rPr>
                <w:rFonts w:cs="Arial"/>
                <w:sz w:val="20"/>
              </w:rPr>
              <w:t>C</w:t>
            </w:r>
            <w:r w:rsidRPr="001A1836">
              <w:rPr>
                <w:rFonts w:cs="Arial"/>
                <w:sz w:val="20"/>
              </w:rPr>
              <w:t xml:space="preserve">omplaint </w:t>
            </w:r>
            <w:r w:rsidR="009D1A2D">
              <w:rPr>
                <w:rFonts w:cs="Arial"/>
                <w:sz w:val="20"/>
              </w:rPr>
              <w:t xml:space="preserve">Inspection </w:t>
            </w:r>
            <w:r w:rsidRPr="001A1836">
              <w:rPr>
                <w:rFonts w:cs="Arial"/>
                <w:sz w:val="20"/>
              </w:rPr>
              <w:t xml:space="preserve">visits where unsafe AR/ID </w:t>
            </w:r>
            <w:r w:rsidR="000C1F5C" w:rsidRPr="001A1836">
              <w:rPr>
                <w:rFonts w:cs="Arial"/>
                <w:sz w:val="20"/>
              </w:rPr>
              <w:t>Gas Work</w:t>
            </w:r>
            <w:r w:rsidRPr="001A1836">
              <w:rPr>
                <w:rFonts w:cs="Arial"/>
                <w:sz w:val="20"/>
              </w:rPr>
              <w:t xml:space="preserve"> found</w:t>
            </w:r>
          </w:p>
        </w:tc>
      </w:tr>
      <w:tr w:rsidR="00B074CC" w:rsidRPr="001A1836" w14:paraId="70882FB4" w14:textId="77777777" w:rsidTr="004D790B">
        <w:trPr>
          <w:cantSplit/>
        </w:trPr>
        <w:tc>
          <w:tcPr>
            <w:tcW w:w="802" w:type="dxa"/>
            <w:shd w:val="clear" w:color="auto" w:fill="auto"/>
          </w:tcPr>
          <w:p w14:paraId="5D1BF04E" w14:textId="77777777" w:rsidR="00B074CC" w:rsidRPr="001A1836" w:rsidRDefault="00B074CC" w:rsidP="00626054">
            <w:pPr>
              <w:rPr>
                <w:rFonts w:cs="Arial"/>
                <w:sz w:val="20"/>
              </w:rPr>
            </w:pPr>
            <w:r w:rsidRPr="001A1836">
              <w:rPr>
                <w:rFonts w:cs="Arial"/>
                <w:sz w:val="20"/>
              </w:rPr>
              <w:t>3.32</w:t>
            </w:r>
          </w:p>
        </w:tc>
        <w:tc>
          <w:tcPr>
            <w:tcW w:w="1574" w:type="dxa"/>
            <w:gridSpan w:val="2"/>
            <w:shd w:val="clear" w:color="auto" w:fill="auto"/>
          </w:tcPr>
          <w:p w14:paraId="13DEBC93" w14:textId="77777777" w:rsidR="00B074CC" w:rsidRPr="001A1836" w:rsidRDefault="00B074CC" w:rsidP="00626054">
            <w:pPr>
              <w:rPr>
                <w:rFonts w:cs="Arial"/>
                <w:sz w:val="20"/>
              </w:rPr>
            </w:pPr>
          </w:p>
        </w:tc>
        <w:tc>
          <w:tcPr>
            <w:tcW w:w="6865" w:type="dxa"/>
            <w:gridSpan w:val="3"/>
            <w:shd w:val="clear" w:color="auto" w:fill="auto"/>
          </w:tcPr>
          <w:p w14:paraId="62F51DE1" w14:textId="3F477D09" w:rsidR="00B074CC" w:rsidRPr="001A1836" w:rsidRDefault="00B074CC" w:rsidP="009D1A2D">
            <w:pPr>
              <w:rPr>
                <w:rFonts w:cs="Arial"/>
                <w:sz w:val="20"/>
              </w:rPr>
            </w:pPr>
            <w:r w:rsidRPr="001A1836">
              <w:rPr>
                <w:rFonts w:cs="Arial"/>
                <w:sz w:val="20"/>
              </w:rPr>
              <w:t xml:space="preserve">Number of </w:t>
            </w:r>
            <w:r w:rsidR="009D1A2D">
              <w:rPr>
                <w:rFonts w:cs="Arial"/>
                <w:sz w:val="20"/>
              </w:rPr>
              <w:t>C</w:t>
            </w:r>
            <w:r w:rsidRPr="001A1836">
              <w:rPr>
                <w:rFonts w:cs="Arial"/>
                <w:sz w:val="20"/>
              </w:rPr>
              <w:t>omplaint</w:t>
            </w:r>
            <w:r w:rsidR="00415272">
              <w:rPr>
                <w:rFonts w:cs="Arial"/>
                <w:sz w:val="20"/>
              </w:rPr>
              <w:t xml:space="preserve"> </w:t>
            </w:r>
            <w:r w:rsidR="009D1A2D">
              <w:rPr>
                <w:rFonts w:cs="Arial"/>
                <w:sz w:val="20"/>
              </w:rPr>
              <w:t>Inspections</w:t>
            </w:r>
            <w:r w:rsidRPr="001A1836">
              <w:rPr>
                <w:rFonts w:cs="Arial"/>
                <w:sz w:val="20"/>
              </w:rPr>
              <w:t xml:space="preserve"> where highest defect was ID</w:t>
            </w:r>
          </w:p>
        </w:tc>
      </w:tr>
      <w:tr w:rsidR="00B074CC" w:rsidRPr="001A1836" w14:paraId="0BD0CB96" w14:textId="77777777" w:rsidTr="004D790B">
        <w:trPr>
          <w:cantSplit/>
        </w:trPr>
        <w:tc>
          <w:tcPr>
            <w:tcW w:w="802" w:type="dxa"/>
            <w:shd w:val="clear" w:color="auto" w:fill="auto"/>
          </w:tcPr>
          <w:p w14:paraId="339B0CF8" w14:textId="77777777" w:rsidR="00B074CC" w:rsidRPr="001A1836" w:rsidRDefault="00B074CC" w:rsidP="00626054">
            <w:pPr>
              <w:rPr>
                <w:rFonts w:cs="Arial"/>
                <w:sz w:val="20"/>
              </w:rPr>
            </w:pPr>
            <w:r w:rsidRPr="001A1836">
              <w:rPr>
                <w:rFonts w:cs="Arial"/>
                <w:sz w:val="20"/>
              </w:rPr>
              <w:t>3.33</w:t>
            </w:r>
          </w:p>
        </w:tc>
        <w:tc>
          <w:tcPr>
            <w:tcW w:w="1574" w:type="dxa"/>
            <w:gridSpan w:val="2"/>
            <w:shd w:val="clear" w:color="auto" w:fill="auto"/>
          </w:tcPr>
          <w:p w14:paraId="5E4D543E" w14:textId="77777777" w:rsidR="00B074CC" w:rsidRPr="001A1836" w:rsidRDefault="00B074CC" w:rsidP="00626054">
            <w:pPr>
              <w:rPr>
                <w:rFonts w:cs="Arial"/>
                <w:sz w:val="20"/>
              </w:rPr>
            </w:pPr>
          </w:p>
        </w:tc>
        <w:tc>
          <w:tcPr>
            <w:tcW w:w="6865" w:type="dxa"/>
            <w:gridSpan w:val="3"/>
            <w:shd w:val="clear" w:color="auto" w:fill="auto"/>
          </w:tcPr>
          <w:p w14:paraId="57A5B9AB" w14:textId="01343B44" w:rsidR="00B074CC" w:rsidRPr="001A1836" w:rsidRDefault="00B074CC" w:rsidP="009D1A2D">
            <w:pPr>
              <w:rPr>
                <w:rFonts w:cs="Arial"/>
                <w:sz w:val="20"/>
              </w:rPr>
            </w:pPr>
            <w:r w:rsidRPr="001A1836">
              <w:rPr>
                <w:rFonts w:cs="Arial"/>
                <w:sz w:val="20"/>
              </w:rPr>
              <w:t xml:space="preserve">Number of </w:t>
            </w:r>
            <w:r w:rsidR="009D1A2D">
              <w:rPr>
                <w:rFonts w:cs="Arial"/>
                <w:sz w:val="20"/>
              </w:rPr>
              <w:t>C</w:t>
            </w:r>
            <w:r w:rsidRPr="001A1836">
              <w:rPr>
                <w:rFonts w:cs="Arial"/>
                <w:sz w:val="20"/>
              </w:rPr>
              <w:t>omplain</w:t>
            </w:r>
            <w:r w:rsidR="009D1A2D">
              <w:rPr>
                <w:rFonts w:cs="Arial"/>
                <w:sz w:val="20"/>
              </w:rPr>
              <w:t>t</w:t>
            </w:r>
            <w:r w:rsidR="00415272">
              <w:rPr>
                <w:rFonts w:cs="Arial"/>
                <w:sz w:val="20"/>
              </w:rPr>
              <w:t xml:space="preserve"> </w:t>
            </w:r>
            <w:r w:rsidR="009D1A2D">
              <w:rPr>
                <w:rFonts w:cs="Arial"/>
                <w:sz w:val="20"/>
              </w:rPr>
              <w:t>Inspections</w:t>
            </w:r>
            <w:r w:rsidR="00415272">
              <w:rPr>
                <w:rFonts w:cs="Arial"/>
                <w:sz w:val="20"/>
              </w:rPr>
              <w:t xml:space="preserve"> </w:t>
            </w:r>
            <w:r w:rsidRPr="001A1836">
              <w:rPr>
                <w:rFonts w:cs="Arial"/>
                <w:sz w:val="20"/>
              </w:rPr>
              <w:t>where highest defect was AR</w:t>
            </w:r>
          </w:p>
        </w:tc>
      </w:tr>
      <w:tr w:rsidR="00B074CC" w:rsidRPr="001A1836" w14:paraId="09D97E7E" w14:textId="77777777" w:rsidTr="004D790B">
        <w:trPr>
          <w:cantSplit/>
        </w:trPr>
        <w:tc>
          <w:tcPr>
            <w:tcW w:w="802" w:type="dxa"/>
            <w:shd w:val="clear" w:color="auto" w:fill="auto"/>
          </w:tcPr>
          <w:p w14:paraId="641EF3A2" w14:textId="77777777" w:rsidR="00B074CC" w:rsidRPr="001A1836" w:rsidRDefault="00B074CC" w:rsidP="00626054">
            <w:pPr>
              <w:rPr>
                <w:rFonts w:cs="Arial"/>
                <w:sz w:val="20"/>
              </w:rPr>
            </w:pPr>
            <w:r w:rsidRPr="001A1836">
              <w:rPr>
                <w:rFonts w:cs="Arial"/>
                <w:sz w:val="20"/>
              </w:rPr>
              <w:t>3.34</w:t>
            </w:r>
          </w:p>
        </w:tc>
        <w:tc>
          <w:tcPr>
            <w:tcW w:w="1574" w:type="dxa"/>
            <w:gridSpan w:val="2"/>
            <w:shd w:val="clear" w:color="auto" w:fill="auto"/>
          </w:tcPr>
          <w:p w14:paraId="12758C42" w14:textId="77777777" w:rsidR="00B074CC" w:rsidRPr="001A1836" w:rsidRDefault="00B074CC" w:rsidP="00626054">
            <w:pPr>
              <w:rPr>
                <w:rFonts w:cs="Arial"/>
                <w:sz w:val="20"/>
              </w:rPr>
            </w:pPr>
          </w:p>
        </w:tc>
        <w:tc>
          <w:tcPr>
            <w:tcW w:w="6865" w:type="dxa"/>
            <w:gridSpan w:val="3"/>
            <w:shd w:val="clear" w:color="auto" w:fill="auto"/>
          </w:tcPr>
          <w:p w14:paraId="429283DD" w14:textId="58F8C146" w:rsidR="00B074CC" w:rsidRPr="001A1836" w:rsidRDefault="00B074CC" w:rsidP="009D1A2D">
            <w:pPr>
              <w:rPr>
                <w:rFonts w:cs="Arial"/>
                <w:sz w:val="20"/>
              </w:rPr>
            </w:pPr>
            <w:r w:rsidRPr="001A1836">
              <w:rPr>
                <w:rFonts w:cs="Arial"/>
                <w:sz w:val="20"/>
              </w:rPr>
              <w:t xml:space="preserve">Number of </w:t>
            </w:r>
            <w:r w:rsidR="009D1A2D">
              <w:rPr>
                <w:rFonts w:cs="Arial"/>
                <w:sz w:val="20"/>
              </w:rPr>
              <w:t>C</w:t>
            </w:r>
            <w:r w:rsidRPr="001A1836">
              <w:rPr>
                <w:rFonts w:cs="Arial"/>
                <w:sz w:val="20"/>
              </w:rPr>
              <w:t>omplaint</w:t>
            </w:r>
            <w:r w:rsidR="00415272">
              <w:rPr>
                <w:rFonts w:cs="Arial"/>
                <w:sz w:val="20"/>
              </w:rPr>
              <w:t xml:space="preserve"> </w:t>
            </w:r>
            <w:r w:rsidR="009D1A2D">
              <w:rPr>
                <w:rFonts w:cs="Arial"/>
                <w:sz w:val="20"/>
              </w:rPr>
              <w:t>Inspections</w:t>
            </w:r>
            <w:r w:rsidRPr="001A1836">
              <w:rPr>
                <w:rFonts w:cs="Arial"/>
                <w:sz w:val="20"/>
              </w:rPr>
              <w:t xml:space="preserve"> where highest defect was NCS</w:t>
            </w:r>
          </w:p>
        </w:tc>
      </w:tr>
      <w:tr w:rsidR="00B074CC" w:rsidRPr="001A1836" w14:paraId="681023D9" w14:textId="77777777" w:rsidTr="004D790B">
        <w:trPr>
          <w:cantSplit/>
        </w:trPr>
        <w:tc>
          <w:tcPr>
            <w:tcW w:w="802" w:type="dxa"/>
            <w:shd w:val="clear" w:color="auto" w:fill="auto"/>
          </w:tcPr>
          <w:p w14:paraId="77D66D01" w14:textId="77777777" w:rsidR="00B074CC" w:rsidRPr="001A1836" w:rsidRDefault="00B074CC" w:rsidP="00626054">
            <w:pPr>
              <w:rPr>
                <w:rFonts w:cs="Arial"/>
                <w:sz w:val="20"/>
              </w:rPr>
            </w:pPr>
            <w:r w:rsidRPr="001A1836">
              <w:rPr>
                <w:rFonts w:cs="Arial"/>
                <w:sz w:val="20"/>
              </w:rPr>
              <w:t>3.35</w:t>
            </w:r>
          </w:p>
        </w:tc>
        <w:tc>
          <w:tcPr>
            <w:tcW w:w="1574" w:type="dxa"/>
            <w:gridSpan w:val="2"/>
            <w:shd w:val="clear" w:color="auto" w:fill="auto"/>
          </w:tcPr>
          <w:p w14:paraId="7820B945" w14:textId="77777777" w:rsidR="00B074CC" w:rsidRPr="001A1836" w:rsidRDefault="00B074CC" w:rsidP="00626054">
            <w:pPr>
              <w:rPr>
                <w:rFonts w:cs="Arial"/>
                <w:sz w:val="20"/>
              </w:rPr>
            </w:pPr>
          </w:p>
        </w:tc>
        <w:tc>
          <w:tcPr>
            <w:tcW w:w="6865" w:type="dxa"/>
            <w:gridSpan w:val="3"/>
            <w:shd w:val="clear" w:color="auto" w:fill="auto"/>
          </w:tcPr>
          <w:p w14:paraId="1A707A4A" w14:textId="13E2B2BC" w:rsidR="00B074CC" w:rsidRPr="001A1836" w:rsidRDefault="00B074CC" w:rsidP="009D1A2D">
            <w:pPr>
              <w:rPr>
                <w:rFonts w:cs="Arial"/>
                <w:sz w:val="20"/>
              </w:rPr>
            </w:pPr>
            <w:r w:rsidRPr="001A1836">
              <w:rPr>
                <w:rFonts w:cs="Arial"/>
                <w:sz w:val="20"/>
              </w:rPr>
              <w:t xml:space="preserve">Number of </w:t>
            </w:r>
            <w:r w:rsidR="009D1A2D">
              <w:rPr>
                <w:rFonts w:cs="Arial"/>
                <w:sz w:val="20"/>
              </w:rPr>
              <w:t>C</w:t>
            </w:r>
            <w:r w:rsidRPr="001A1836">
              <w:rPr>
                <w:rFonts w:cs="Arial"/>
                <w:sz w:val="20"/>
              </w:rPr>
              <w:t xml:space="preserve">omplaint </w:t>
            </w:r>
            <w:r w:rsidR="009D1A2D">
              <w:rPr>
                <w:rFonts w:cs="Arial"/>
                <w:sz w:val="20"/>
              </w:rPr>
              <w:t xml:space="preserve">Inspections </w:t>
            </w:r>
            <w:r w:rsidRPr="001A1836">
              <w:rPr>
                <w:rFonts w:cs="Arial"/>
                <w:sz w:val="20"/>
              </w:rPr>
              <w:t xml:space="preserve">where NCS or Building Regulations defect found </w:t>
            </w:r>
          </w:p>
        </w:tc>
      </w:tr>
      <w:tr w:rsidR="00B074CC" w:rsidRPr="001A1836" w14:paraId="01389AB6" w14:textId="77777777" w:rsidTr="004D790B">
        <w:trPr>
          <w:cantSplit/>
        </w:trPr>
        <w:tc>
          <w:tcPr>
            <w:tcW w:w="802" w:type="dxa"/>
            <w:shd w:val="clear" w:color="auto" w:fill="auto"/>
          </w:tcPr>
          <w:p w14:paraId="4E3C3A29" w14:textId="77777777" w:rsidR="00B074CC" w:rsidRPr="001A1836" w:rsidRDefault="00B074CC" w:rsidP="00626054">
            <w:pPr>
              <w:rPr>
                <w:rFonts w:cs="Arial"/>
                <w:sz w:val="20"/>
              </w:rPr>
            </w:pPr>
            <w:r w:rsidRPr="001A1836">
              <w:rPr>
                <w:rFonts w:cs="Arial"/>
                <w:sz w:val="20"/>
              </w:rPr>
              <w:t>3.36</w:t>
            </w:r>
          </w:p>
        </w:tc>
        <w:tc>
          <w:tcPr>
            <w:tcW w:w="1574" w:type="dxa"/>
            <w:gridSpan w:val="2"/>
            <w:shd w:val="clear" w:color="auto" w:fill="auto"/>
          </w:tcPr>
          <w:p w14:paraId="77901A2C" w14:textId="77777777" w:rsidR="00B074CC" w:rsidRPr="001A1836" w:rsidRDefault="00B074CC" w:rsidP="00626054">
            <w:pPr>
              <w:rPr>
                <w:rFonts w:cs="Arial"/>
                <w:sz w:val="20"/>
              </w:rPr>
            </w:pPr>
          </w:p>
        </w:tc>
        <w:tc>
          <w:tcPr>
            <w:tcW w:w="6865" w:type="dxa"/>
            <w:gridSpan w:val="3"/>
            <w:shd w:val="clear" w:color="auto" w:fill="auto"/>
          </w:tcPr>
          <w:p w14:paraId="6E48FDAC" w14:textId="77777777" w:rsidR="00B074CC" w:rsidRPr="001A1836" w:rsidRDefault="00B074CC" w:rsidP="00626054">
            <w:pPr>
              <w:rPr>
                <w:rFonts w:cs="Arial"/>
                <w:sz w:val="20"/>
              </w:rPr>
            </w:pPr>
            <w:r w:rsidRPr="001A1836">
              <w:rPr>
                <w:rFonts w:cs="Arial"/>
                <w:sz w:val="20"/>
              </w:rPr>
              <w:t xml:space="preserve">% of complaint visits where NCS or Building Regulations defect found </w:t>
            </w:r>
          </w:p>
        </w:tc>
      </w:tr>
      <w:tr w:rsidR="00B074CC" w:rsidRPr="001A1836" w14:paraId="0166FA5B" w14:textId="77777777" w:rsidTr="004D790B">
        <w:trPr>
          <w:cantSplit/>
        </w:trPr>
        <w:tc>
          <w:tcPr>
            <w:tcW w:w="802" w:type="dxa"/>
            <w:shd w:val="clear" w:color="auto" w:fill="auto"/>
          </w:tcPr>
          <w:p w14:paraId="7393E8E5" w14:textId="77777777" w:rsidR="00B074CC" w:rsidRPr="001A1836" w:rsidRDefault="00B074CC" w:rsidP="00626054">
            <w:pPr>
              <w:rPr>
                <w:rFonts w:cs="Arial"/>
                <w:sz w:val="20"/>
              </w:rPr>
            </w:pPr>
          </w:p>
        </w:tc>
        <w:tc>
          <w:tcPr>
            <w:tcW w:w="1574" w:type="dxa"/>
            <w:gridSpan w:val="2"/>
            <w:shd w:val="clear" w:color="auto" w:fill="auto"/>
          </w:tcPr>
          <w:p w14:paraId="0C5A7C8D" w14:textId="77777777" w:rsidR="00B074CC" w:rsidRPr="001A1836" w:rsidRDefault="00B074CC" w:rsidP="00626054">
            <w:pPr>
              <w:rPr>
                <w:rFonts w:cs="Arial"/>
                <w:sz w:val="20"/>
              </w:rPr>
            </w:pPr>
          </w:p>
        </w:tc>
        <w:tc>
          <w:tcPr>
            <w:tcW w:w="6865" w:type="dxa"/>
            <w:gridSpan w:val="3"/>
            <w:shd w:val="clear" w:color="auto" w:fill="auto"/>
          </w:tcPr>
          <w:p w14:paraId="0668E6B2" w14:textId="6C9007FE" w:rsidR="00B074CC" w:rsidRPr="001A1836" w:rsidRDefault="00B074CC" w:rsidP="00626054">
            <w:pPr>
              <w:rPr>
                <w:rFonts w:cs="Arial"/>
                <w:b/>
                <w:sz w:val="20"/>
              </w:rPr>
            </w:pPr>
            <w:r w:rsidRPr="001A1836">
              <w:rPr>
                <w:rFonts w:cs="Arial"/>
                <w:b/>
                <w:sz w:val="20"/>
              </w:rPr>
              <w:t>Risk-based</w:t>
            </w:r>
            <w:r w:rsidR="00415272">
              <w:rPr>
                <w:rFonts w:cs="Arial"/>
                <w:b/>
                <w:sz w:val="20"/>
              </w:rPr>
              <w:t xml:space="preserve"> Competency Checks</w:t>
            </w:r>
            <w:r w:rsidRPr="001A1836">
              <w:rPr>
                <w:rFonts w:cs="Arial"/>
                <w:b/>
                <w:sz w:val="20"/>
              </w:rPr>
              <w:t xml:space="preserve"> (excludes </w:t>
            </w:r>
            <w:r w:rsidR="009D1A2D">
              <w:rPr>
                <w:rFonts w:cs="Arial"/>
                <w:b/>
                <w:sz w:val="20"/>
              </w:rPr>
              <w:t>C</w:t>
            </w:r>
            <w:r w:rsidRPr="001A1836">
              <w:rPr>
                <w:rFonts w:cs="Arial"/>
                <w:b/>
                <w:sz w:val="20"/>
              </w:rPr>
              <w:t xml:space="preserve">omplaint </w:t>
            </w:r>
            <w:r w:rsidR="00435F96">
              <w:rPr>
                <w:rFonts w:cs="Arial"/>
                <w:b/>
                <w:sz w:val="20"/>
              </w:rPr>
              <w:t>I</w:t>
            </w:r>
            <w:r w:rsidRPr="001A1836">
              <w:rPr>
                <w:rFonts w:cs="Arial"/>
                <w:b/>
                <w:sz w:val="20"/>
              </w:rPr>
              <w:t>nspections)</w:t>
            </w:r>
          </w:p>
        </w:tc>
      </w:tr>
      <w:tr w:rsidR="00B074CC" w:rsidRPr="001A1836" w14:paraId="1FCE2373" w14:textId="77777777" w:rsidTr="004D790B">
        <w:trPr>
          <w:cantSplit/>
        </w:trPr>
        <w:tc>
          <w:tcPr>
            <w:tcW w:w="802" w:type="dxa"/>
            <w:shd w:val="clear" w:color="auto" w:fill="auto"/>
          </w:tcPr>
          <w:p w14:paraId="669F37AB" w14:textId="77777777" w:rsidR="00B074CC" w:rsidRPr="001A1836" w:rsidRDefault="00B074CC" w:rsidP="00626054">
            <w:pPr>
              <w:rPr>
                <w:rFonts w:cs="Arial"/>
                <w:sz w:val="20"/>
              </w:rPr>
            </w:pPr>
            <w:r w:rsidRPr="001A1836">
              <w:rPr>
                <w:rFonts w:cs="Arial"/>
                <w:sz w:val="20"/>
              </w:rPr>
              <w:t>3.37</w:t>
            </w:r>
          </w:p>
        </w:tc>
        <w:tc>
          <w:tcPr>
            <w:tcW w:w="1574" w:type="dxa"/>
            <w:gridSpan w:val="2"/>
            <w:shd w:val="clear" w:color="auto" w:fill="auto"/>
          </w:tcPr>
          <w:p w14:paraId="05278753" w14:textId="77777777" w:rsidR="00B074CC" w:rsidRPr="001A1836" w:rsidRDefault="00B074CC" w:rsidP="00626054">
            <w:pPr>
              <w:rPr>
                <w:rFonts w:cs="Arial"/>
                <w:sz w:val="20"/>
              </w:rPr>
            </w:pPr>
          </w:p>
        </w:tc>
        <w:tc>
          <w:tcPr>
            <w:tcW w:w="6865" w:type="dxa"/>
            <w:gridSpan w:val="3"/>
            <w:shd w:val="clear" w:color="auto" w:fill="auto"/>
          </w:tcPr>
          <w:p w14:paraId="587F1ED1" w14:textId="59BFDEDB" w:rsidR="00B074CC" w:rsidRPr="001A1836" w:rsidRDefault="00B074CC" w:rsidP="00626054">
            <w:pPr>
              <w:rPr>
                <w:rFonts w:cs="Arial"/>
                <w:sz w:val="20"/>
              </w:rPr>
            </w:pPr>
            <w:r w:rsidRPr="001A1836">
              <w:rPr>
                <w:rFonts w:cs="Arial"/>
                <w:sz w:val="20"/>
              </w:rPr>
              <w:t>Total number of risk-based</w:t>
            </w:r>
            <w:r w:rsidR="00415272">
              <w:rPr>
                <w:rFonts w:cs="Arial"/>
                <w:sz w:val="20"/>
              </w:rPr>
              <w:t xml:space="preserve"> Competency Checks</w:t>
            </w:r>
          </w:p>
        </w:tc>
      </w:tr>
      <w:tr w:rsidR="00B074CC" w:rsidRPr="001A1836" w14:paraId="177D36CD" w14:textId="77777777" w:rsidTr="004D790B">
        <w:trPr>
          <w:cantSplit/>
        </w:trPr>
        <w:tc>
          <w:tcPr>
            <w:tcW w:w="802" w:type="dxa"/>
            <w:shd w:val="clear" w:color="auto" w:fill="auto"/>
          </w:tcPr>
          <w:p w14:paraId="4232BF5B" w14:textId="77777777" w:rsidR="00B074CC" w:rsidRPr="001A1836" w:rsidRDefault="00B074CC" w:rsidP="00626054">
            <w:pPr>
              <w:rPr>
                <w:rFonts w:cs="Arial"/>
                <w:sz w:val="20"/>
              </w:rPr>
            </w:pPr>
            <w:r w:rsidRPr="001A1836">
              <w:rPr>
                <w:rFonts w:cs="Arial"/>
                <w:sz w:val="20"/>
              </w:rPr>
              <w:lastRenderedPageBreak/>
              <w:t>3.38</w:t>
            </w:r>
          </w:p>
        </w:tc>
        <w:tc>
          <w:tcPr>
            <w:tcW w:w="1574" w:type="dxa"/>
            <w:gridSpan w:val="2"/>
            <w:shd w:val="clear" w:color="auto" w:fill="auto"/>
          </w:tcPr>
          <w:p w14:paraId="2FE3D1F6" w14:textId="77777777" w:rsidR="00B074CC" w:rsidRPr="001A1836" w:rsidRDefault="00B074CC" w:rsidP="00626054">
            <w:pPr>
              <w:rPr>
                <w:rFonts w:cs="Arial"/>
                <w:sz w:val="20"/>
              </w:rPr>
            </w:pPr>
          </w:p>
        </w:tc>
        <w:tc>
          <w:tcPr>
            <w:tcW w:w="6865" w:type="dxa"/>
            <w:gridSpan w:val="3"/>
            <w:shd w:val="clear" w:color="auto" w:fill="auto"/>
          </w:tcPr>
          <w:p w14:paraId="51FAA448" w14:textId="1ACF3283" w:rsidR="00B074CC" w:rsidRPr="001A1836" w:rsidRDefault="00B074CC" w:rsidP="001E2AB2">
            <w:pPr>
              <w:rPr>
                <w:rFonts w:cs="Arial"/>
                <w:sz w:val="20"/>
              </w:rPr>
            </w:pPr>
            <w:r w:rsidRPr="001A1836">
              <w:rPr>
                <w:rFonts w:cs="Arial"/>
                <w:sz w:val="20"/>
              </w:rPr>
              <w:t xml:space="preserve">Total number of risk-based </w:t>
            </w:r>
            <w:r w:rsidR="001E2AB2">
              <w:rPr>
                <w:rFonts w:cs="Arial"/>
                <w:sz w:val="20"/>
              </w:rPr>
              <w:t>Competency Checks</w:t>
            </w:r>
            <w:r w:rsidR="001E2AB2" w:rsidRPr="001A1836">
              <w:rPr>
                <w:rFonts w:cs="Arial"/>
                <w:sz w:val="20"/>
              </w:rPr>
              <w:t xml:space="preserve"> </w:t>
            </w:r>
            <w:r w:rsidRPr="001A1836">
              <w:rPr>
                <w:rFonts w:cs="Arial"/>
                <w:sz w:val="20"/>
              </w:rPr>
              <w:t xml:space="preserve">where unsafe (AR/ID) </w:t>
            </w:r>
            <w:r w:rsidR="000C1F5C" w:rsidRPr="001A1836">
              <w:rPr>
                <w:rFonts w:cs="Arial"/>
                <w:sz w:val="20"/>
              </w:rPr>
              <w:t>Gas Work</w:t>
            </w:r>
            <w:r w:rsidRPr="001A1836">
              <w:rPr>
                <w:rFonts w:cs="Arial"/>
                <w:sz w:val="20"/>
              </w:rPr>
              <w:t xml:space="preserve"> found</w:t>
            </w:r>
          </w:p>
        </w:tc>
      </w:tr>
      <w:tr w:rsidR="00B074CC" w:rsidRPr="001A1836" w14:paraId="2C6928FB" w14:textId="77777777" w:rsidTr="004D790B">
        <w:trPr>
          <w:cantSplit/>
        </w:trPr>
        <w:tc>
          <w:tcPr>
            <w:tcW w:w="802" w:type="dxa"/>
            <w:shd w:val="clear" w:color="auto" w:fill="auto"/>
          </w:tcPr>
          <w:p w14:paraId="39AC0561" w14:textId="77777777" w:rsidR="00B074CC" w:rsidRPr="001A1836" w:rsidRDefault="00B074CC" w:rsidP="00626054">
            <w:pPr>
              <w:rPr>
                <w:rFonts w:cs="Arial"/>
                <w:sz w:val="20"/>
              </w:rPr>
            </w:pPr>
            <w:r w:rsidRPr="001A1836">
              <w:rPr>
                <w:rFonts w:cs="Arial"/>
                <w:sz w:val="20"/>
              </w:rPr>
              <w:t>3.39</w:t>
            </w:r>
          </w:p>
        </w:tc>
        <w:tc>
          <w:tcPr>
            <w:tcW w:w="1574" w:type="dxa"/>
            <w:gridSpan w:val="2"/>
            <w:shd w:val="clear" w:color="auto" w:fill="auto"/>
          </w:tcPr>
          <w:p w14:paraId="175728D7" w14:textId="77777777" w:rsidR="00B074CC" w:rsidRPr="001A1836" w:rsidRDefault="00B074CC" w:rsidP="00626054">
            <w:pPr>
              <w:rPr>
                <w:rFonts w:cs="Arial"/>
                <w:sz w:val="20"/>
              </w:rPr>
            </w:pPr>
          </w:p>
        </w:tc>
        <w:tc>
          <w:tcPr>
            <w:tcW w:w="6865" w:type="dxa"/>
            <w:gridSpan w:val="3"/>
            <w:shd w:val="clear" w:color="auto" w:fill="auto"/>
          </w:tcPr>
          <w:p w14:paraId="05C68857" w14:textId="3B3FCEEC" w:rsidR="00B074CC" w:rsidRPr="001A1836" w:rsidRDefault="00B074CC" w:rsidP="00626054">
            <w:pPr>
              <w:rPr>
                <w:rFonts w:cs="Arial"/>
                <w:sz w:val="20"/>
              </w:rPr>
            </w:pPr>
            <w:r w:rsidRPr="001A1836">
              <w:rPr>
                <w:rFonts w:cs="Arial"/>
                <w:sz w:val="20"/>
              </w:rPr>
              <w:t xml:space="preserve">Number of risk-based </w:t>
            </w:r>
            <w:r w:rsidR="001E2AB2">
              <w:rPr>
                <w:rFonts w:cs="Arial"/>
                <w:sz w:val="20"/>
              </w:rPr>
              <w:t>Competency Checks</w:t>
            </w:r>
            <w:r w:rsidRPr="001A1836">
              <w:rPr>
                <w:rFonts w:cs="Arial"/>
                <w:sz w:val="20"/>
              </w:rPr>
              <w:t xml:space="preserve"> where unsafe (AR/ID) </w:t>
            </w:r>
            <w:r w:rsidR="000C1F5C" w:rsidRPr="001A1836">
              <w:rPr>
                <w:rFonts w:cs="Arial"/>
                <w:sz w:val="20"/>
              </w:rPr>
              <w:t>Gas Work</w:t>
            </w:r>
            <w:r w:rsidRPr="001A1836">
              <w:rPr>
                <w:rFonts w:cs="Arial"/>
                <w:sz w:val="20"/>
              </w:rPr>
              <w:t xml:space="preserve"> found - Low risk businesses</w:t>
            </w:r>
          </w:p>
        </w:tc>
      </w:tr>
      <w:tr w:rsidR="00B074CC" w:rsidRPr="001A1836" w14:paraId="2DE2C708" w14:textId="77777777" w:rsidTr="004D790B">
        <w:trPr>
          <w:cantSplit/>
        </w:trPr>
        <w:tc>
          <w:tcPr>
            <w:tcW w:w="802" w:type="dxa"/>
            <w:shd w:val="clear" w:color="auto" w:fill="auto"/>
          </w:tcPr>
          <w:p w14:paraId="5955E193" w14:textId="77777777" w:rsidR="00B074CC" w:rsidRPr="001A1836" w:rsidRDefault="00B074CC" w:rsidP="00626054">
            <w:pPr>
              <w:rPr>
                <w:rFonts w:cs="Arial"/>
                <w:sz w:val="20"/>
              </w:rPr>
            </w:pPr>
            <w:r w:rsidRPr="001A1836">
              <w:rPr>
                <w:rFonts w:cs="Arial"/>
                <w:sz w:val="20"/>
              </w:rPr>
              <w:t>3.40</w:t>
            </w:r>
          </w:p>
        </w:tc>
        <w:tc>
          <w:tcPr>
            <w:tcW w:w="1574" w:type="dxa"/>
            <w:gridSpan w:val="2"/>
            <w:shd w:val="clear" w:color="auto" w:fill="auto"/>
          </w:tcPr>
          <w:p w14:paraId="4EBBADAD" w14:textId="77777777" w:rsidR="00B074CC" w:rsidRPr="001A1836" w:rsidRDefault="00B074CC" w:rsidP="00626054">
            <w:pPr>
              <w:rPr>
                <w:rFonts w:cs="Arial"/>
                <w:sz w:val="20"/>
              </w:rPr>
            </w:pPr>
          </w:p>
        </w:tc>
        <w:tc>
          <w:tcPr>
            <w:tcW w:w="6865" w:type="dxa"/>
            <w:gridSpan w:val="3"/>
            <w:shd w:val="clear" w:color="auto" w:fill="auto"/>
          </w:tcPr>
          <w:p w14:paraId="1102A78F" w14:textId="450787D0" w:rsidR="00B074CC" w:rsidRPr="001A1836" w:rsidRDefault="00B074CC" w:rsidP="00626054">
            <w:pPr>
              <w:rPr>
                <w:rFonts w:cs="Arial"/>
                <w:sz w:val="20"/>
              </w:rPr>
            </w:pPr>
            <w:r w:rsidRPr="001A1836">
              <w:rPr>
                <w:rFonts w:cs="Arial"/>
                <w:sz w:val="20"/>
              </w:rPr>
              <w:t xml:space="preserve">Number of risk-based </w:t>
            </w:r>
            <w:r w:rsidR="001E2AB2">
              <w:rPr>
                <w:rFonts w:cs="Arial"/>
                <w:sz w:val="20"/>
              </w:rPr>
              <w:t>Competency Checks</w:t>
            </w:r>
            <w:r w:rsidRPr="001A1836">
              <w:rPr>
                <w:rFonts w:cs="Arial"/>
                <w:sz w:val="20"/>
              </w:rPr>
              <w:t xml:space="preserve"> where unsafe (AR/ID) </w:t>
            </w:r>
            <w:r w:rsidR="000C1F5C" w:rsidRPr="001A1836">
              <w:rPr>
                <w:rFonts w:cs="Arial"/>
                <w:sz w:val="20"/>
              </w:rPr>
              <w:t>Gas Work</w:t>
            </w:r>
            <w:r w:rsidRPr="001A1836">
              <w:rPr>
                <w:rFonts w:cs="Arial"/>
                <w:sz w:val="20"/>
              </w:rPr>
              <w:t xml:space="preserve"> found - Medium risk businesses</w:t>
            </w:r>
          </w:p>
        </w:tc>
      </w:tr>
      <w:tr w:rsidR="00B074CC" w:rsidRPr="001A1836" w14:paraId="75A35C10" w14:textId="77777777" w:rsidTr="004D790B">
        <w:trPr>
          <w:cantSplit/>
        </w:trPr>
        <w:tc>
          <w:tcPr>
            <w:tcW w:w="802" w:type="dxa"/>
            <w:shd w:val="clear" w:color="auto" w:fill="auto"/>
          </w:tcPr>
          <w:p w14:paraId="6FFA4C94" w14:textId="77777777" w:rsidR="00B074CC" w:rsidRPr="001A1836" w:rsidRDefault="00B074CC" w:rsidP="00626054">
            <w:pPr>
              <w:rPr>
                <w:rFonts w:cs="Arial"/>
                <w:sz w:val="20"/>
              </w:rPr>
            </w:pPr>
            <w:r w:rsidRPr="001A1836">
              <w:rPr>
                <w:rFonts w:cs="Arial"/>
                <w:sz w:val="20"/>
              </w:rPr>
              <w:t>3.41</w:t>
            </w:r>
          </w:p>
        </w:tc>
        <w:tc>
          <w:tcPr>
            <w:tcW w:w="1574" w:type="dxa"/>
            <w:gridSpan w:val="2"/>
            <w:shd w:val="clear" w:color="auto" w:fill="auto"/>
          </w:tcPr>
          <w:p w14:paraId="7058BF53" w14:textId="77777777" w:rsidR="00B074CC" w:rsidRPr="001A1836" w:rsidRDefault="00B074CC" w:rsidP="00626054">
            <w:pPr>
              <w:rPr>
                <w:rFonts w:cs="Arial"/>
                <w:sz w:val="20"/>
              </w:rPr>
            </w:pPr>
          </w:p>
        </w:tc>
        <w:tc>
          <w:tcPr>
            <w:tcW w:w="6865" w:type="dxa"/>
            <w:gridSpan w:val="3"/>
            <w:shd w:val="clear" w:color="auto" w:fill="auto"/>
          </w:tcPr>
          <w:p w14:paraId="17B0D335" w14:textId="58BD6F75" w:rsidR="00B074CC" w:rsidRPr="001A1836" w:rsidRDefault="00B074CC" w:rsidP="00626054">
            <w:pPr>
              <w:rPr>
                <w:rFonts w:cs="Arial"/>
                <w:sz w:val="20"/>
              </w:rPr>
            </w:pPr>
            <w:r w:rsidRPr="001A1836">
              <w:rPr>
                <w:rFonts w:cs="Arial"/>
                <w:sz w:val="20"/>
              </w:rPr>
              <w:t xml:space="preserve">Number of risk-based </w:t>
            </w:r>
            <w:r w:rsidR="001E2AB2">
              <w:rPr>
                <w:rFonts w:cs="Arial"/>
                <w:sz w:val="20"/>
              </w:rPr>
              <w:t>Competency Checks</w:t>
            </w:r>
            <w:r w:rsidRPr="001A1836">
              <w:rPr>
                <w:rFonts w:cs="Arial"/>
                <w:sz w:val="20"/>
              </w:rPr>
              <w:t xml:space="preserve"> where unsafe (AR/ID) </w:t>
            </w:r>
            <w:r w:rsidR="000C1F5C" w:rsidRPr="001A1836">
              <w:rPr>
                <w:rFonts w:cs="Arial"/>
                <w:sz w:val="20"/>
              </w:rPr>
              <w:t>Gas Work</w:t>
            </w:r>
            <w:r w:rsidRPr="001A1836">
              <w:rPr>
                <w:rFonts w:cs="Arial"/>
                <w:sz w:val="20"/>
              </w:rPr>
              <w:t xml:space="preserve"> found - high risk and targeted businesses</w:t>
            </w:r>
          </w:p>
        </w:tc>
      </w:tr>
      <w:tr w:rsidR="00B074CC" w:rsidRPr="001A1836" w14:paraId="5FF4C5CE" w14:textId="77777777" w:rsidTr="004D790B">
        <w:trPr>
          <w:cantSplit/>
        </w:trPr>
        <w:tc>
          <w:tcPr>
            <w:tcW w:w="802" w:type="dxa"/>
            <w:shd w:val="clear" w:color="auto" w:fill="auto"/>
          </w:tcPr>
          <w:p w14:paraId="170FBA6A" w14:textId="77777777" w:rsidR="00B074CC" w:rsidRPr="001A1836" w:rsidRDefault="00B074CC" w:rsidP="00626054">
            <w:pPr>
              <w:rPr>
                <w:rFonts w:cs="Arial"/>
                <w:sz w:val="20"/>
              </w:rPr>
            </w:pPr>
            <w:r w:rsidRPr="001A1836">
              <w:rPr>
                <w:rFonts w:cs="Arial"/>
                <w:sz w:val="20"/>
              </w:rPr>
              <w:t>3.42</w:t>
            </w:r>
          </w:p>
        </w:tc>
        <w:tc>
          <w:tcPr>
            <w:tcW w:w="1574" w:type="dxa"/>
            <w:gridSpan w:val="2"/>
            <w:shd w:val="clear" w:color="auto" w:fill="auto"/>
          </w:tcPr>
          <w:p w14:paraId="516F3DDD" w14:textId="77777777" w:rsidR="00B074CC" w:rsidRPr="001A1836" w:rsidRDefault="00B074CC" w:rsidP="00626054">
            <w:pPr>
              <w:rPr>
                <w:rFonts w:cs="Arial"/>
                <w:sz w:val="20"/>
              </w:rPr>
            </w:pPr>
          </w:p>
        </w:tc>
        <w:tc>
          <w:tcPr>
            <w:tcW w:w="6865" w:type="dxa"/>
            <w:gridSpan w:val="3"/>
            <w:shd w:val="clear" w:color="auto" w:fill="auto"/>
          </w:tcPr>
          <w:p w14:paraId="33A51A75" w14:textId="27E7A47E" w:rsidR="00B074CC" w:rsidRPr="001A1836" w:rsidRDefault="00B074CC" w:rsidP="00626054">
            <w:pPr>
              <w:rPr>
                <w:rFonts w:cs="Arial"/>
                <w:sz w:val="20"/>
              </w:rPr>
            </w:pPr>
            <w:r w:rsidRPr="001A1836">
              <w:rPr>
                <w:rFonts w:cs="Arial"/>
                <w:sz w:val="20"/>
              </w:rPr>
              <w:t xml:space="preserve">% of all risk-based </w:t>
            </w:r>
            <w:r w:rsidR="001E2AB2">
              <w:rPr>
                <w:rFonts w:cs="Arial"/>
                <w:sz w:val="20"/>
              </w:rPr>
              <w:t>Competency Checks</w:t>
            </w:r>
            <w:r w:rsidRPr="001A1836">
              <w:rPr>
                <w:rFonts w:cs="Arial"/>
                <w:sz w:val="20"/>
              </w:rPr>
              <w:t xml:space="preserve"> where unsafe </w:t>
            </w:r>
            <w:r w:rsidR="000C1F5C" w:rsidRPr="001A1836">
              <w:rPr>
                <w:rFonts w:cs="Arial"/>
                <w:sz w:val="20"/>
              </w:rPr>
              <w:t>Gas Work</w:t>
            </w:r>
            <w:r w:rsidRPr="001A1836">
              <w:rPr>
                <w:rFonts w:cs="Arial"/>
                <w:sz w:val="20"/>
              </w:rPr>
              <w:t xml:space="preserve"> (AR/ID defect) found</w:t>
            </w:r>
          </w:p>
        </w:tc>
      </w:tr>
      <w:tr w:rsidR="00B074CC" w:rsidRPr="001A1836" w14:paraId="69C1DCF5" w14:textId="77777777" w:rsidTr="004D790B">
        <w:trPr>
          <w:cantSplit/>
        </w:trPr>
        <w:tc>
          <w:tcPr>
            <w:tcW w:w="802" w:type="dxa"/>
            <w:shd w:val="clear" w:color="auto" w:fill="auto"/>
          </w:tcPr>
          <w:p w14:paraId="4C555EBB" w14:textId="77777777" w:rsidR="00B074CC" w:rsidRPr="001A1836" w:rsidRDefault="00B074CC" w:rsidP="00626054">
            <w:pPr>
              <w:rPr>
                <w:rFonts w:cs="Arial"/>
                <w:sz w:val="20"/>
              </w:rPr>
            </w:pPr>
            <w:r w:rsidRPr="001A1836">
              <w:rPr>
                <w:rFonts w:cs="Arial"/>
                <w:sz w:val="20"/>
              </w:rPr>
              <w:t>3.43</w:t>
            </w:r>
          </w:p>
        </w:tc>
        <w:tc>
          <w:tcPr>
            <w:tcW w:w="1574" w:type="dxa"/>
            <w:gridSpan w:val="2"/>
            <w:shd w:val="clear" w:color="auto" w:fill="auto"/>
          </w:tcPr>
          <w:p w14:paraId="021FFF2F" w14:textId="77777777" w:rsidR="00B074CC" w:rsidRPr="001A1836" w:rsidRDefault="00B074CC" w:rsidP="00626054">
            <w:pPr>
              <w:rPr>
                <w:rFonts w:cs="Arial"/>
                <w:sz w:val="20"/>
              </w:rPr>
            </w:pPr>
          </w:p>
        </w:tc>
        <w:tc>
          <w:tcPr>
            <w:tcW w:w="6865" w:type="dxa"/>
            <w:gridSpan w:val="3"/>
            <w:shd w:val="clear" w:color="auto" w:fill="auto"/>
          </w:tcPr>
          <w:p w14:paraId="208D59FC" w14:textId="1FE0F3ED" w:rsidR="00B074CC" w:rsidRPr="001A1836" w:rsidRDefault="00B074CC" w:rsidP="00626054">
            <w:pPr>
              <w:rPr>
                <w:rFonts w:cs="Arial"/>
                <w:sz w:val="20"/>
              </w:rPr>
            </w:pPr>
            <w:r w:rsidRPr="001A1836">
              <w:rPr>
                <w:rFonts w:cs="Arial"/>
                <w:sz w:val="20"/>
              </w:rPr>
              <w:t>Number of risk-based</w:t>
            </w:r>
            <w:r w:rsidR="00415272">
              <w:rPr>
                <w:rFonts w:cs="Arial"/>
                <w:sz w:val="20"/>
              </w:rPr>
              <w:t xml:space="preserve"> </w:t>
            </w:r>
            <w:r w:rsidR="001E2AB2">
              <w:rPr>
                <w:rFonts w:cs="Arial"/>
                <w:sz w:val="20"/>
              </w:rPr>
              <w:t>Competency Checks</w:t>
            </w:r>
            <w:r w:rsidRPr="001A1836">
              <w:rPr>
                <w:rFonts w:cs="Arial"/>
                <w:sz w:val="20"/>
              </w:rPr>
              <w:t xml:space="preserve"> where highest defect was ID</w:t>
            </w:r>
          </w:p>
        </w:tc>
      </w:tr>
      <w:tr w:rsidR="00B074CC" w:rsidRPr="001A1836" w14:paraId="52E4993D" w14:textId="77777777" w:rsidTr="004D790B">
        <w:trPr>
          <w:cantSplit/>
        </w:trPr>
        <w:tc>
          <w:tcPr>
            <w:tcW w:w="802" w:type="dxa"/>
            <w:shd w:val="clear" w:color="auto" w:fill="auto"/>
          </w:tcPr>
          <w:p w14:paraId="4D468DA0" w14:textId="77777777" w:rsidR="00B074CC" w:rsidRPr="001A1836" w:rsidRDefault="00B074CC" w:rsidP="00626054">
            <w:pPr>
              <w:rPr>
                <w:rFonts w:cs="Arial"/>
                <w:sz w:val="20"/>
              </w:rPr>
            </w:pPr>
            <w:r w:rsidRPr="001A1836">
              <w:rPr>
                <w:rFonts w:cs="Arial"/>
                <w:sz w:val="20"/>
              </w:rPr>
              <w:t>3.44</w:t>
            </w:r>
          </w:p>
        </w:tc>
        <w:tc>
          <w:tcPr>
            <w:tcW w:w="1574" w:type="dxa"/>
            <w:gridSpan w:val="2"/>
            <w:shd w:val="clear" w:color="auto" w:fill="auto"/>
          </w:tcPr>
          <w:p w14:paraId="26B41F2C" w14:textId="77777777" w:rsidR="00B074CC" w:rsidRPr="001A1836" w:rsidRDefault="00B074CC" w:rsidP="00626054">
            <w:pPr>
              <w:rPr>
                <w:rFonts w:cs="Arial"/>
                <w:sz w:val="20"/>
              </w:rPr>
            </w:pPr>
          </w:p>
        </w:tc>
        <w:tc>
          <w:tcPr>
            <w:tcW w:w="6865" w:type="dxa"/>
            <w:gridSpan w:val="3"/>
            <w:shd w:val="clear" w:color="auto" w:fill="auto"/>
          </w:tcPr>
          <w:p w14:paraId="671CB1F9" w14:textId="61A2FCA9" w:rsidR="00B074CC" w:rsidRPr="001A1836" w:rsidRDefault="00B074CC" w:rsidP="00626054">
            <w:pPr>
              <w:rPr>
                <w:rFonts w:cs="Arial"/>
                <w:sz w:val="20"/>
              </w:rPr>
            </w:pPr>
            <w:r w:rsidRPr="001A1836">
              <w:rPr>
                <w:rFonts w:cs="Arial"/>
                <w:sz w:val="20"/>
              </w:rPr>
              <w:t>Number of risk-based</w:t>
            </w:r>
            <w:r w:rsidR="00415272">
              <w:rPr>
                <w:rFonts w:cs="Arial"/>
                <w:sz w:val="20"/>
              </w:rPr>
              <w:t xml:space="preserve"> </w:t>
            </w:r>
            <w:r w:rsidR="001E2AB2">
              <w:rPr>
                <w:rFonts w:cs="Arial"/>
                <w:sz w:val="20"/>
              </w:rPr>
              <w:t>Competency Checks</w:t>
            </w:r>
            <w:r w:rsidRPr="001A1836">
              <w:rPr>
                <w:rFonts w:cs="Arial"/>
                <w:sz w:val="20"/>
              </w:rPr>
              <w:t xml:space="preserve"> where highest defect was AR</w:t>
            </w:r>
          </w:p>
        </w:tc>
      </w:tr>
      <w:tr w:rsidR="00B074CC" w:rsidRPr="001A1836" w14:paraId="22F661E7" w14:textId="77777777" w:rsidTr="004D790B">
        <w:trPr>
          <w:cantSplit/>
        </w:trPr>
        <w:tc>
          <w:tcPr>
            <w:tcW w:w="802" w:type="dxa"/>
            <w:shd w:val="clear" w:color="auto" w:fill="auto"/>
          </w:tcPr>
          <w:p w14:paraId="26D795B3" w14:textId="77777777" w:rsidR="00B074CC" w:rsidRPr="001A1836" w:rsidRDefault="00B074CC" w:rsidP="00626054">
            <w:pPr>
              <w:rPr>
                <w:rFonts w:cs="Arial"/>
                <w:sz w:val="20"/>
              </w:rPr>
            </w:pPr>
            <w:r w:rsidRPr="001A1836">
              <w:rPr>
                <w:rFonts w:cs="Arial"/>
                <w:sz w:val="20"/>
              </w:rPr>
              <w:t>3.45</w:t>
            </w:r>
          </w:p>
        </w:tc>
        <w:tc>
          <w:tcPr>
            <w:tcW w:w="1574" w:type="dxa"/>
            <w:gridSpan w:val="2"/>
            <w:shd w:val="clear" w:color="auto" w:fill="auto"/>
          </w:tcPr>
          <w:p w14:paraId="3796B404" w14:textId="77777777" w:rsidR="00B074CC" w:rsidRPr="001A1836" w:rsidRDefault="00B074CC" w:rsidP="00626054">
            <w:pPr>
              <w:rPr>
                <w:rFonts w:cs="Arial"/>
                <w:sz w:val="20"/>
              </w:rPr>
            </w:pPr>
          </w:p>
        </w:tc>
        <w:tc>
          <w:tcPr>
            <w:tcW w:w="6865" w:type="dxa"/>
            <w:gridSpan w:val="3"/>
            <w:shd w:val="clear" w:color="auto" w:fill="auto"/>
          </w:tcPr>
          <w:p w14:paraId="2B84DBF0" w14:textId="16C03EE1" w:rsidR="00B074CC" w:rsidRPr="001A1836" w:rsidRDefault="00B074CC" w:rsidP="00626054">
            <w:pPr>
              <w:rPr>
                <w:rFonts w:cs="Arial"/>
                <w:sz w:val="20"/>
              </w:rPr>
            </w:pPr>
            <w:r w:rsidRPr="001A1836">
              <w:rPr>
                <w:rFonts w:cs="Arial"/>
                <w:sz w:val="20"/>
              </w:rPr>
              <w:t>Number of risk-based</w:t>
            </w:r>
            <w:r w:rsidR="002E611E">
              <w:rPr>
                <w:rFonts w:cs="Arial"/>
                <w:sz w:val="20"/>
              </w:rPr>
              <w:t xml:space="preserve"> </w:t>
            </w:r>
            <w:r w:rsidR="001E2AB2">
              <w:rPr>
                <w:rFonts w:cs="Arial"/>
                <w:sz w:val="20"/>
              </w:rPr>
              <w:t>Competency Checks</w:t>
            </w:r>
            <w:r w:rsidRPr="001A1836">
              <w:rPr>
                <w:rFonts w:cs="Arial"/>
                <w:sz w:val="20"/>
              </w:rPr>
              <w:t xml:space="preserve"> where highest defect was NCS</w:t>
            </w:r>
          </w:p>
        </w:tc>
      </w:tr>
      <w:tr w:rsidR="00B074CC" w:rsidRPr="001A1836" w14:paraId="1E308DA4" w14:textId="77777777" w:rsidTr="004D790B">
        <w:trPr>
          <w:cantSplit/>
        </w:trPr>
        <w:tc>
          <w:tcPr>
            <w:tcW w:w="802" w:type="dxa"/>
            <w:shd w:val="clear" w:color="auto" w:fill="auto"/>
          </w:tcPr>
          <w:p w14:paraId="61169AFB" w14:textId="77777777" w:rsidR="00B074CC" w:rsidRPr="001A1836" w:rsidRDefault="00B074CC" w:rsidP="00626054">
            <w:pPr>
              <w:rPr>
                <w:rFonts w:cs="Arial"/>
                <w:sz w:val="20"/>
              </w:rPr>
            </w:pPr>
            <w:r w:rsidRPr="001A1836">
              <w:rPr>
                <w:rFonts w:cs="Arial"/>
                <w:sz w:val="20"/>
              </w:rPr>
              <w:t>3.46</w:t>
            </w:r>
          </w:p>
        </w:tc>
        <w:tc>
          <w:tcPr>
            <w:tcW w:w="1574" w:type="dxa"/>
            <w:gridSpan w:val="2"/>
            <w:shd w:val="clear" w:color="auto" w:fill="auto"/>
          </w:tcPr>
          <w:p w14:paraId="3B4474A3" w14:textId="77777777" w:rsidR="00B074CC" w:rsidRPr="001A1836" w:rsidRDefault="00B074CC" w:rsidP="00626054">
            <w:pPr>
              <w:rPr>
                <w:rFonts w:cs="Arial"/>
                <w:sz w:val="20"/>
              </w:rPr>
            </w:pPr>
          </w:p>
        </w:tc>
        <w:tc>
          <w:tcPr>
            <w:tcW w:w="6865" w:type="dxa"/>
            <w:gridSpan w:val="3"/>
            <w:shd w:val="clear" w:color="auto" w:fill="auto"/>
          </w:tcPr>
          <w:p w14:paraId="4C3B68CE" w14:textId="77777777" w:rsidR="00B074CC" w:rsidRPr="001A1836" w:rsidRDefault="00B074CC" w:rsidP="00626054">
            <w:pPr>
              <w:rPr>
                <w:rFonts w:cs="Arial"/>
                <w:sz w:val="20"/>
              </w:rPr>
            </w:pPr>
            <w:r w:rsidRPr="001A1836">
              <w:rPr>
                <w:rFonts w:cs="Arial"/>
                <w:sz w:val="20"/>
              </w:rPr>
              <w:t>% of unsafe (AR/ID) defects attributable to the installer on installation visits - BASELINE random sample</w:t>
            </w:r>
          </w:p>
        </w:tc>
      </w:tr>
      <w:tr w:rsidR="00B074CC" w:rsidRPr="001A1836" w14:paraId="688481C5" w14:textId="77777777" w:rsidTr="004D790B">
        <w:trPr>
          <w:cantSplit/>
        </w:trPr>
        <w:tc>
          <w:tcPr>
            <w:tcW w:w="802" w:type="dxa"/>
            <w:shd w:val="clear" w:color="auto" w:fill="auto"/>
          </w:tcPr>
          <w:p w14:paraId="47B68825" w14:textId="77777777" w:rsidR="00B074CC" w:rsidRPr="001A1836" w:rsidRDefault="00B074CC" w:rsidP="00626054">
            <w:pPr>
              <w:rPr>
                <w:rFonts w:cs="Arial"/>
                <w:sz w:val="20"/>
              </w:rPr>
            </w:pPr>
            <w:r w:rsidRPr="001A1836">
              <w:rPr>
                <w:rFonts w:cs="Arial"/>
                <w:sz w:val="20"/>
              </w:rPr>
              <w:t>3.47</w:t>
            </w:r>
          </w:p>
        </w:tc>
        <w:tc>
          <w:tcPr>
            <w:tcW w:w="1574" w:type="dxa"/>
            <w:gridSpan w:val="2"/>
            <w:shd w:val="clear" w:color="auto" w:fill="auto"/>
          </w:tcPr>
          <w:p w14:paraId="4091DCCA" w14:textId="77777777" w:rsidR="00B074CC" w:rsidRPr="001A1836" w:rsidRDefault="00B074CC" w:rsidP="00626054">
            <w:pPr>
              <w:rPr>
                <w:rFonts w:cs="Arial"/>
                <w:sz w:val="20"/>
              </w:rPr>
            </w:pPr>
          </w:p>
        </w:tc>
        <w:tc>
          <w:tcPr>
            <w:tcW w:w="6865" w:type="dxa"/>
            <w:gridSpan w:val="3"/>
            <w:shd w:val="clear" w:color="auto" w:fill="auto"/>
          </w:tcPr>
          <w:p w14:paraId="36D01A0F" w14:textId="1D913773" w:rsidR="00B074CC" w:rsidRPr="001A1836" w:rsidRDefault="00B074CC" w:rsidP="00626054">
            <w:pPr>
              <w:rPr>
                <w:rFonts w:cs="Arial"/>
                <w:sz w:val="20"/>
              </w:rPr>
            </w:pPr>
            <w:r w:rsidRPr="001A1836">
              <w:rPr>
                <w:rFonts w:cs="Arial"/>
                <w:sz w:val="20"/>
              </w:rPr>
              <w:t xml:space="preserve">% of unsafe (AR/ID) defects attributable to the installer on risk-based installation </w:t>
            </w:r>
            <w:r w:rsidR="00435F96">
              <w:rPr>
                <w:rFonts w:cs="Arial"/>
                <w:sz w:val="20"/>
              </w:rPr>
              <w:t>I</w:t>
            </w:r>
            <w:r w:rsidRPr="001A1836">
              <w:rPr>
                <w:rFonts w:cs="Arial"/>
                <w:sz w:val="20"/>
              </w:rPr>
              <w:t>nspections (medium, high and targeted)</w:t>
            </w:r>
          </w:p>
        </w:tc>
      </w:tr>
      <w:tr w:rsidR="00B074CC" w:rsidRPr="001A1836" w14:paraId="7D09F43F" w14:textId="77777777" w:rsidTr="004D790B">
        <w:trPr>
          <w:cantSplit/>
        </w:trPr>
        <w:tc>
          <w:tcPr>
            <w:tcW w:w="802" w:type="dxa"/>
            <w:shd w:val="clear" w:color="auto" w:fill="auto"/>
          </w:tcPr>
          <w:p w14:paraId="3E7357FB" w14:textId="77777777" w:rsidR="00B074CC" w:rsidRPr="001A1836" w:rsidRDefault="00B074CC" w:rsidP="00626054">
            <w:pPr>
              <w:rPr>
                <w:rFonts w:cs="Arial"/>
                <w:sz w:val="20"/>
              </w:rPr>
            </w:pPr>
            <w:r w:rsidRPr="001A1836">
              <w:rPr>
                <w:rFonts w:cs="Arial"/>
                <w:sz w:val="20"/>
              </w:rPr>
              <w:t>3.48</w:t>
            </w:r>
          </w:p>
        </w:tc>
        <w:tc>
          <w:tcPr>
            <w:tcW w:w="1574" w:type="dxa"/>
            <w:gridSpan w:val="2"/>
            <w:shd w:val="clear" w:color="auto" w:fill="auto"/>
          </w:tcPr>
          <w:p w14:paraId="6A0303DC" w14:textId="77777777" w:rsidR="00B074CC" w:rsidRPr="001A1836" w:rsidRDefault="00B074CC" w:rsidP="00626054">
            <w:pPr>
              <w:rPr>
                <w:rFonts w:cs="Arial"/>
                <w:sz w:val="20"/>
              </w:rPr>
            </w:pPr>
          </w:p>
        </w:tc>
        <w:tc>
          <w:tcPr>
            <w:tcW w:w="6865" w:type="dxa"/>
            <w:gridSpan w:val="3"/>
            <w:shd w:val="clear" w:color="auto" w:fill="auto"/>
          </w:tcPr>
          <w:p w14:paraId="10B7FA4C" w14:textId="6708F08C" w:rsidR="00B074CC" w:rsidRPr="001A1836" w:rsidRDefault="00B074CC" w:rsidP="00626054">
            <w:pPr>
              <w:rPr>
                <w:rFonts w:cs="Arial"/>
                <w:sz w:val="20"/>
              </w:rPr>
            </w:pPr>
            <w:r w:rsidRPr="001A1836">
              <w:rPr>
                <w:rFonts w:cs="Arial"/>
                <w:sz w:val="20"/>
              </w:rPr>
              <w:t xml:space="preserve">% of failed risk-based service/maintenance </w:t>
            </w:r>
            <w:r w:rsidR="00435F96">
              <w:rPr>
                <w:rFonts w:cs="Arial"/>
                <w:sz w:val="20"/>
              </w:rPr>
              <w:t>I</w:t>
            </w:r>
            <w:r w:rsidRPr="001A1836">
              <w:rPr>
                <w:rFonts w:cs="Arial"/>
                <w:sz w:val="20"/>
              </w:rPr>
              <w:t>nspections random - BASELINE random sample</w:t>
            </w:r>
          </w:p>
        </w:tc>
      </w:tr>
      <w:tr w:rsidR="00B074CC" w:rsidRPr="001A1836" w14:paraId="39D74E89" w14:textId="77777777" w:rsidTr="004D790B">
        <w:trPr>
          <w:cantSplit/>
        </w:trPr>
        <w:tc>
          <w:tcPr>
            <w:tcW w:w="802" w:type="dxa"/>
            <w:shd w:val="clear" w:color="auto" w:fill="auto"/>
          </w:tcPr>
          <w:p w14:paraId="01EC0F66" w14:textId="77777777" w:rsidR="00B074CC" w:rsidRPr="001A1836" w:rsidRDefault="00B074CC" w:rsidP="00626054">
            <w:pPr>
              <w:rPr>
                <w:rFonts w:cs="Arial"/>
                <w:sz w:val="20"/>
              </w:rPr>
            </w:pPr>
            <w:r w:rsidRPr="001A1836">
              <w:rPr>
                <w:rFonts w:cs="Arial"/>
                <w:sz w:val="20"/>
              </w:rPr>
              <w:t>3.49</w:t>
            </w:r>
          </w:p>
        </w:tc>
        <w:tc>
          <w:tcPr>
            <w:tcW w:w="1574" w:type="dxa"/>
            <w:gridSpan w:val="2"/>
            <w:shd w:val="clear" w:color="auto" w:fill="auto"/>
          </w:tcPr>
          <w:p w14:paraId="58176EEE" w14:textId="77777777" w:rsidR="00B074CC" w:rsidRPr="001A1836" w:rsidRDefault="00B074CC" w:rsidP="00626054">
            <w:pPr>
              <w:rPr>
                <w:rFonts w:cs="Arial"/>
                <w:sz w:val="20"/>
              </w:rPr>
            </w:pPr>
          </w:p>
        </w:tc>
        <w:tc>
          <w:tcPr>
            <w:tcW w:w="6865" w:type="dxa"/>
            <w:gridSpan w:val="3"/>
            <w:shd w:val="clear" w:color="auto" w:fill="auto"/>
          </w:tcPr>
          <w:p w14:paraId="1607871E" w14:textId="5D01066C" w:rsidR="00B074CC" w:rsidRPr="001A1836" w:rsidRDefault="00B074CC" w:rsidP="00626054">
            <w:pPr>
              <w:rPr>
                <w:rFonts w:cs="Arial"/>
                <w:sz w:val="20"/>
              </w:rPr>
            </w:pPr>
            <w:r w:rsidRPr="001A1836">
              <w:rPr>
                <w:rFonts w:cs="Arial"/>
                <w:sz w:val="20"/>
              </w:rPr>
              <w:t xml:space="preserve">% of failed risk-based service/maintenance </w:t>
            </w:r>
            <w:r w:rsidR="00435F96">
              <w:rPr>
                <w:rFonts w:cs="Arial"/>
                <w:sz w:val="20"/>
              </w:rPr>
              <w:t>I</w:t>
            </w:r>
            <w:r w:rsidRPr="001A1836">
              <w:rPr>
                <w:rFonts w:cs="Arial"/>
                <w:sz w:val="20"/>
              </w:rPr>
              <w:t>nspections (medium, high and targeted)</w:t>
            </w:r>
          </w:p>
        </w:tc>
      </w:tr>
      <w:tr w:rsidR="00B074CC" w:rsidRPr="001A1836" w14:paraId="3C9FB1A6" w14:textId="77777777" w:rsidTr="004D790B">
        <w:trPr>
          <w:cantSplit/>
        </w:trPr>
        <w:tc>
          <w:tcPr>
            <w:tcW w:w="802" w:type="dxa"/>
            <w:shd w:val="clear" w:color="auto" w:fill="auto"/>
          </w:tcPr>
          <w:p w14:paraId="13EC9FEF" w14:textId="77777777" w:rsidR="00B074CC" w:rsidRPr="001A1836" w:rsidRDefault="00B074CC" w:rsidP="00626054">
            <w:pPr>
              <w:rPr>
                <w:rFonts w:cs="Arial"/>
                <w:sz w:val="20"/>
              </w:rPr>
            </w:pPr>
          </w:p>
        </w:tc>
        <w:tc>
          <w:tcPr>
            <w:tcW w:w="1574" w:type="dxa"/>
            <w:gridSpan w:val="2"/>
            <w:shd w:val="clear" w:color="auto" w:fill="auto"/>
          </w:tcPr>
          <w:p w14:paraId="77C05635" w14:textId="77777777" w:rsidR="00B074CC" w:rsidRPr="001A1836" w:rsidRDefault="00B074CC" w:rsidP="00626054">
            <w:pPr>
              <w:rPr>
                <w:rFonts w:cs="Arial"/>
                <w:sz w:val="20"/>
              </w:rPr>
            </w:pPr>
          </w:p>
        </w:tc>
        <w:tc>
          <w:tcPr>
            <w:tcW w:w="6865" w:type="dxa"/>
            <w:gridSpan w:val="3"/>
            <w:shd w:val="clear" w:color="auto" w:fill="auto"/>
          </w:tcPr>
          <w:p w14:paraId="28B82CE9" w14:textId="04F9E7E8" w:rsidR="00B074CC" w:rsidRPr="001A1836" w:rsidRDefault="00B074CC" w:rsidP="00626054">
            <w:pPr>
              <w:rPr>
                <w:rFonts w:cs="Arial"/>
                <w:b/>
                <w:sz w:val="20"/>
              </w:rPr>
            </w:pPr>
            <w:r w:rsidRPr="001A1836">
              <w:rPr>
                <w:rFonts w:cs="Arial"/>
                <w:b/>
                <w:sz w:val="20"/>
              </w:rPr>
              <w:t xml:space="preserve">Total </w:t>
            </w:r>
            <w:r w:rsidR="00435F96">
              <w:rPr>
                <w:rFonts w:cs="Arial"/>
                <w:b/>
                <w:sz w:val="20"/>
              </w:rPr>
              <w:t>I</w:t>
            </w:r>
            <w:r w:rsidRPr="001A1836">
              <w:rPr>
                <w:rFonts w:cs="Arial"/>
                <w:b/>
                <w:sz w:val="20"/>
              </w:rPr>
              <w:t xml:space="preserve">nspection findings (all registered business </w:t>
            </w:r>
            <w:r w:rsidR="00435F96">
              <w:rPr>
                <w:rFonts w:cs="Arial"/>
                <w:b/>
                <w:sz w:val="20"/>
              </w:rPr>
              <w:t>I</w:t>
            </w:r>
            <w:r w:rsidRPr="001A1836">
              <w:rPr>
                <w:rFonts w:cs="Arial"/>
                <w:b/>
                <w:sz w:val="20"/>
              </w:rPr>
              <w:t>nspections - probationary, risk-based, complaint)</w:t>
            </w:r>
          </w:p>
        </w:tc>
      </w:tr>
      <w:tr w:rsidR="00B074CC" w:rsidRPr="001A1836" w14:paraId="324BC4DF" w14:textId="77777777" w:rsidTr="004D790B">
        <w:trPr>
          <w:cantSplit/>
        </w:trPr>
        <w:tc>
          <w:tcPr>
            <w:tcW w:w="802" w:type="dxa"/>
            <w:shd w:val="clear" w:color="auto" w:fill="auto"/>
          </w:tcPr>
          <w:p w14:paraId="556F0053" w14:textId="77777777" w:rsidR="00B074CC" w:rsidRPr="001A1836" w:rsidRDefault="00B074CC" w:rsidP="00626054">
            <w:pPr>
              <w:rPr>
                <w:rFonts w:cs="Arial"/>
                <w:sz w:val="20"/>
              </w:rPr>
            </w:pPr>
            <w:r w:rsidRPr="001A1836">
              <w:rPr>
                <w:rFonts w:cs="Arial"/>
                <w:sz w:val="20"/>
              </w:rPr>
              <w:t>3.50</w:t>
            </w:r>
          </w:p>
        </w:tc>
        <w:tc>
          <w:tcPr>
            <w:tcW w:w="1574" w:type="dxa"/>
            <w:gridSpan w:val="2"/>
            <w:shd w:val="clear" w:color="auto" w:fill="auto"/>
          </w:tcPr>
          <w:p w14:paraId="1E6C53E2" w14:textId="77777777" w:rsidR="00B074CC" w:rsidRPr="001A1836" w:rsidRDefault="00B074CC" w:rsidP="00626054">
            <w:pPr>
              <w:rPr>
                <w:rFonts w:cs="Arial"/>
                <w:sz w:val="20"/>
              </w:rPr>
            </w:pPr>
          </w:p>
        </w:tc>
        <w:tc>
          <w:tcPr>
            <w:tcW w:w="6865" w:type="dxa"/>
            <w:gridSpan w:val="3"/>
            <w:shd w:val="clear" w:color="auto" w:fill="auto"/>
          </w:tcPr>
          <w:p w14:paraId="3CDAD5E0" w14:textId="02425FC4" w:rsidR="00B074CC" w:rsidRPr="001A1836" w:rsidRDefault="00B074CC" w:rsidP="00626054">
            <w:pPr>
              <w:rPr>
                <w:rFonts w:cs="Arial"/>
                <w:sz w:val="20"/>
              </w:rPr>
            </w:pPr>
            <w:r w:rsidRPr="001A1836">
              <w:rPr>
                <w:rFonts w:cs="Arial"/>
                <w:sz w:val="20"/>
              </w:rPr>
              <w:t xml:space="preserve">Number of registered business </w:t>
            </w:r>
            <w:r w:rsidR="00435F96">
              <w:rPr>
                <w:rFonts w:cs="Arial"/>
                <w:sz w:val="20"/>
              </w:rPr>
              <w:t>I</w:t>
            </w:r>
            <w:r w:rsidRPr="001A1836">
              <w:rPr>
                <w:rFonts w:cs="Arial"/>
                <w:sz w:val="20"/>
              </w:rPr>
              <w:t xml:space="preserve">nspections (probationary, complaint, risk-based) where highest defect was ID </w:t>
            </w:r>
          </w:p>
        </w:tc>
      </w:tr>
      <w:tr w:rsidR="00B074CC" w:rsidRPr="001A1836" w14:paraId="702DB670" w14:textId="77777777" w:rsidTr="004D790B">
        <w:trPr>
          <w:cantSplit/>
        </w:trPr>
        <w:tc>
          <w:tcPr>
            <w:tcW w:w="802" w:type="dxa"/>
            <w:shd w:val="clear" w:color="auto" w:fill="auto"/>
          </w:tcPr>
          <w:p w14:paraId="1FCC7854" w14:textId="77777777" w:rsidR="00B074CC" w:rsidRPr="001A1836" w:rsidRDefault="00B074CC" w:rsidP="00626054">
            <w:pPr>
              <w:rPr>
                <w:rFonts w:cs="Arial"/>
                <w:sz w:val="20"/>
              </w:rPr>
            </w:pPr>
            <w:r w:rsidRPr="001A1836">
              <w:rPr>
                <w:rFonts w:cs="Arial"/>
                <w:sz w:val="20"/>
              </w:rPr>
              <w:t>3.51</w:t>
            </w:r>
          </w:p>
        </w:tc>
        <w:tc>
          <w:tcPr>
            <w:tcW w:w="1574" w:type="dxa"/>
            <w:gridSpan w:val="2"/>
            <w:shd w:val="clear" w:color="auto" w:fill="auto"/>
          </w:tcPr>
          <w:p w14:paraId="0230F5C7" w14:textId="77777777" w:rsidR="00B074CC" w:rsidRPr="001A1836" w:rsidRDefault="00B074CC" w:rsidP="00626054">
            <w:pPr>
              <w:rPr>
                <w:rFonts w:cs="Arial"/>
                <w:sz w:val="20"/>
              </w:rPr>
            </w:pPr>
          </w:p>
        </w:tc>
        <w:tc>
          <w:tcPr>
            <w:tcW w:w="6865" w:type="dxa"/>
            <w:gridSpan w:val="3"/>
            <w:shd w:val="clear" w:color="auto" w:fill="auto"/>
          </w:tcPr>
          <w:p w14:paraId="2B517CCE" w14:textId="47608352" w:rsidR="00B074CC" w:rsidRPr="001A1836" w:rsidRDefault="00B074CC" w:rsidP="00626054">
            <w:pPr>
              <w:rPr>
                <w:rFonts w:cs="Arial"/>
                <w:sz w:val="20"/>
              </w:rPr>
            </w:pPr>
            <w:r w:rsidRPr="001A1836">
              <w:rPr>
                <w:rFonts w:cs="Arial"/>
                <w:sz w:val="20"/>
              </w:rPr>
              <w:t xml:space="preserve">Number of registered business </w:t>
            </w:r>
            <w:r w:rsidR="00435F96">
              <w:rPr>
                <w:rFonts w:cs="Arial"/>
                <w:sz w:val="20"/>
              </w:rPr>
              <w:t>I</w:t>
            </w:r>
            <w:r w:rsidRPr="001A1836">
              <w:rPr>
                <w:rFonts w:cs="Arial"/>
                <w:sz w:val="20"/>
              </w:rPr>
              <w:t>nspections (probationary, complaint, risk-based) where highest defect was AR</w:t>
            </w:r>
          </w:p>
        </w:tc>
      </w:tr>
      <w:tr w:rsidR="00B074CC" w:rsidRPr="001A1836" w14:paraId="3B5E3B1E" w14:textId="77777777" w:rsidTr="004D790B">
        <w:trPr>
          <w:cantSplit/>
        </w:trPr>
        <w:tc>
          <w:tcPr>
            <w:tcW w:w="802" w:type="dxa"/>
            <w:shd w:val="clear" w:color="auto" w:fill="auto"/>
          </w:tcPr>
          <w:p w14:paraId="24BCE219" w14:textId="77777777" w:rsidR="00B074CC" w:rsidRPr="001A1836" w:rsidRDefault="00B074CC" w:rsidP="00626054">
            <w:pPr>
              <w:rPr>
                <w:rFonts w:cs="Arial"/>
                <w:sz w:val="20"/>
              </w:rPr>
            </w:pPr>
            <w:r w:rsidRPr="001A1836">
              <w:rPr>
                <w:rFonts w:cs="Arial"/>
                <w:sz w:val="20"/>
              </w:rPr>
              <w:t>3.52</w:t>
            </w:r>
          </w:p>
        </w:tc>
        <w:tc>
          <w:tcPr>
            <w:tcW w:w="1574" w:type="dxa"/>
            <w:gridSpan w:val="2"/>
            <w:shd w:val="clear" w:color="auto" w:fill="auto"/>
          </w:tcPr>
          <w:p w14:paraId="7D3A92D9" w14:textId="77777777" w:rsidR="00B074CC" w:rsidRPr="001A1836" w:rsidRDefault="00B074CC" w:rsidP="00626054">
            <w:pPr>
              <w:rPr>
                <w:rFonts w:cs="Arial"/>
                <w:sz w:val="20"/>
              </w:rPr>
            </w:pPr>
          </w:p>
        </w:tc>
        <w:tc>
          <w:tcPr>
            <w:tcW w:w="6865" w:type="dxa"/>
            <w:gridSpan w:val="3"/>
            <w:shd w:val="clear" w:color="auto" w:fill="auto"/>
          </w:tcPr>
          <w:p w14:paraId="4B2090C2" w14:textId="5C9AC592" w:rsidR="00B074CC" w:rsidRPr="001A1836" w:rsidRDefault="00B074CC" w:rsidP="00626054">
            <w:pPr>
              <w:rPr>
                <w:rFonts w:cs="Arial"/>
                <w:sz w:val="20"/>
              </w:rPr>
            </w:pPr>
            <w:r w:rsidRPr="001A1836">
              <w:rPr>
                <w:rFonts w:cs="Arial"/>
                <w:sz w:val="20"/>
              </w:rPr>
              <w:t xml:space="preserve">Number of registered business </w:t>
            </w:r>
            <w:r w:rsidR="00435F96">
              <w:rPr>
                <w:rFonts w:cs="Arial"/>
                <w:sz w:val="20"/>
              </w:rPr>
              <w:t>I</w:t>
            </w:r>
            <w:r w:rsidRPr="001A1836">
              <w:rPr>
                <w:rFonts w:cs="Arial"/>
                <w:sz w:val="20"/>
              </w:rPr>
              <w:t>nspections (probationary, complaint, risk-based) where highest defect was NCS</w:t>
            </w:r>
          </w:p>
        </w:tc>
      </w:tr>
      <w:tr w:rsidR="00B074CC" w:rsidRPr="001A1836" w14:paraId="631AADEC" w14:textId="77777777" w:rsidTr="004D790B">
        <w:trPr>
          <w:cantSplit/>
        </w:trPr>
        <w:tc>
          <w:tcPr>
            <w:tcW w:w="802" w:type="dxa"/>
            <w:shd w:val="clear" w:color="auto" w:fill="auto"/>
          </w:tcPr>
          <w:p w14:paraId="290EC32B" w14:textId="77777777" w:rsidR="00B074CC" w:rsidRPr="001A1836" w:rsidRDefault="00B074CC" w:rsidP="00626054">
            <w:pPr>
              <w:rPr>
                <w:rFonts w:cs="Arial"/>
                <w:sz w:val="20"/>
              </w:rPr>
            </w:pPr>
          </w:p>
        </w:tc>
        <w:tc>
          <w:tcPr>
            <w:tcW w:w="1574" w:type="dxa"/>
            <w:gridSpan w:val="2"/>
            <w:shd w:val="clear" w:color="auto" w:fill="auto"/>
          </w:tcPr>
          <w:p w14:paraId="36621739" w14:textId="77777777" w:rsidR="00B074CC" w:rsidRPr="001A1836" w:rsidRDefault="00B074CC" w:rsidP="00626054">
            <w:pPr>
              <w:rPr>
                <w:rFonts w:cs="Arial"/>
                <w:sz w:val="20"/>
              </w:rPr>
            </w:pPr>
          </w:p>
        </w:tc>
        <w:tc>
          <w:tcPr>
            <w:tcW w:w="6865" w:type="dxa"/>
            <w:gridSpan w:val="3"/>
            <w:shd w:val="clear" w:color="auto" w:fill="auto"/>
          </w:tcPr>
          <w:p w14:paraId="6C21ADEF" w14:textId="77777777" w:rsidR="00B074CC" w:rsidRPr="001A1836" w:rsidRDefault="00B074CC" w:rsidP="00626054">
            <w:pPr>
              <w:rPr>
                <w:rFonts w:cs="Arial"/>
                <w:b/>
                <w:sz w:val="20"/>
              </w:rPr>
            </w:pPr>
            <w:r w:rsidRPr="001A1836">
              <w:rPr>
                <w:rFonts w:cs="Arial"/>
                <w:b/>
                <w:sz w:val="20"/>
              </w:rPr>
              <w:t>Inspection events</w:t>
            </w:r>
          </w:p>
        </w:tc>
      </w:tr>
      <w:tr w:rsidR="00B074CC" w:rsidRPr="001A1836" w14:paraId="0BD9FECF" w14:textId="77777777" w:rsidTr="004D790B">
        <w:trPr>
          <w:cantSplit/>
        </w:trPr>
        <w:tc>
          <w:tcPr>
            <w:tcW w:w="802" w:type="dxa"/>
            <w:shd w:val="clear" w:color="auto" w:fill="auto"/>
          </w:tcPr>
          <w:p w14:paraId="118F1991" w14:textId="77777777" w:rsidR="00B074CC" w:rsidRPr="001A1836" w:rsidRDefault="00B074CC" w:rsidP="00626054">
            <w:pPr>
              <w:rPr>
                <w:rFonts w:cs="Arial"/>
                <w:sz w:val="20"/>
              </w:rPr>
            </w:pPr>
            <w:r w:rsidRPr="001A1836">
              <w:rPr>
                <w:rFonts w:cs="Arial"/>
                <w:sz w:val="20"/>
              </w:rPr>
              <w:t>3.53</w:t>
            </w:r>
          </w:p>
        </w:tc>
        <w:tc>
          <w:tcPr>
            <w:tcW w:w="1574" w:type="dxa"/>
            <w:gridSpan w:val="2"/>
            <w:shd w:val="clear" w:color="auto" w:fill="auto"/>
          </w:tcPr>
          <w:p w14:paraId="39D4998E" w14:textId="77777777" w:rsidR="00B074CC" w:rsidRPr="001A1836" w:rsidRDefault="00B074CC" w:rsidP="00626054">
            <w:pPr>
              <w:rPr>
                <w:rFonts w:cs="Arial"/>
                <w:sz w:val="20"/>
              </w:rPr>
            </w:pPr>
          </w:p>
        </w:tc>
        <w:tc>
          <w:tcPr>
            <w:tcW w:w="6865" w:type="dxa"/>
            <w:gridSpan w:val="3"/>
            <w:shd w:val="clear" w:color="auto" w:fill="auto"/>
          </w:tcPr>
          <w:p w14:paraId="2C13BA2C" w14:textId="38E00EEA" w:rsidR="00B074CC" w:rsidRPr="001A1836" w:rsidRDefault="00B074CC" w:rsidP="00626054">
            <w:pPr>
              <w:rPr>
                <w:rFonts w:cs="Arial"/>
                <w:sz w:val="20"/>
              </w:rPr>
            </w:pPr>
            <w:r w:rsidRPr="001A1836">
              <w:rPr>
                <w:rFonts w:cs="Arial"/>
                <w:sz w:val="20"/>
              </w:rPr>
              <w:t>Number of</w:t>
            </w:r>
            <w:r w:rsidR="00FD35AD">
              <w:rPr>
                <w:rFonts w:cs="Arial"/>
                <w:sz w:val="20"/>
              </w:rPr>
              <w:t xml:space="preserve"> Competency Check</w:t>
            </w:r>
            <w:r w:rsidRPr="001A1836">
              <w:rPr>
                <w:rFonts w:cs="Arial"/>
                <w:sz w:val="20"/>
              </w:rPr>
              <w:t xml:space="preserve"> </w:t>
            </w:r>
            <w:r w:rsidR="00435F96">
              <w:rPr>
                <w:rFonts w:cs="Arial"/>
                <w:sz w:val="20"/>
              </w:rPr>
              <w:t>E</w:t>
            </w:r>
            <w:r w:rsidRPr="001A1836">
              <w:rPr>
                <w:rFonts w:cs="Arial"/>
                <w:sz w:val="20"/>
              </w:rPr>
              <w:t>vents</w:t>
            </w:r>
          </w:p>
        </w:tc>
      </w:tr>
      <w:tr w:rsidR="00B074CC" w:rsidRPr="001A1836" w14:paraId="74A2F53C" w14:textId="77777777" w:rsidTr="004D790B">
        <w:trPr>
          <w:cantSplit/>
        </w:trPr>
        <w:tc>
          <w:tcPr>
            <w:tcW w:w="802" w:type="dxa"/>
            <w:shd w:val="clear" w:color="auto" w:fill="auto"/>
          </w:tcPr>
          <w:p w14:paraId="4510EFFD" w14:textId="77777777" w:rsidR="00B074CC" w:rsidRPr="001A1836" w:rsidRDefault="00B074CC" w:rsidP="00626054">
            <w:pPr>
              <w:rPr>
                <w:rFonts w:cs="Arial"/>
                <w:sz w:val="20"/>
              </w:rPr>
            </w:pPr>
            <w:r w:rsidRPr="001A1836">
              <w:rPr>
                <w:rFonts w:cs="Arial"/>
                <w:sz w:val="20"/>
              </w:rPr>
              <w:t>3.54</w:t>
            </w:r>
          </w:p>
        </w:tc>
        <w:tc>
          <w:tcPr>
            <w:tcW w:w="1574" w:type="dxa"/>
            <w:gridSpan w:val="2"/>
            <w:shd w:val="clear" w:color="auto" w:fill="auto"/>
          </w:tcPr>
          <w:p w14:paraId="35D39DDE" w14:textId="77777777" w:rsidR="00B074CC" w:rsidRPr="001A1836" w:rsidRDefault="00B074CC" w:rsidP="00626054">
            <w:pPr>
              <w:rPr>
                <w:rFonts w:cs="Arial"/>
                <w:sz w:val="20"/>
              </w:rPr>
            </w:pPr>
          </w:p>
        </w:tc>
        <w:tc>
          <w:tcPr>
            <w:tcW w:w="6865" w:type="dxa"/>
            <w:gridSpan w:val="3"/>
            <w:shd w:val="clear" w:color="auto" w:fill="auto"/>
          </w:tcPr>
          <w:p w14:paraId="125C2924" w14:textId="177296E1" w:rsidR="00B074CC" w:rsidRPr="001A1836" w:rsidRDefault="00B074CC" w:rsidP="00626054">
            <w:pPr>
              <w:rPr>
                <w:rFonts w:cs="Arial"/>
                <w:sz w:val="20"/>
              </w:rPr>
            </w:pPr>
            <w:r w:rsidRPr="001A1836">
              <w:rPr>
                <w:rFonts w:cs="Arial"/>
                <w:sz w:val="20"/>
              </w:rPr>
              <w:t xml:space="preserve">Number of </w:t>
            </w:r>
            <w:r w:rsidR="00FD35AD">
              <w:rPr>
                <w:rFonts w:cs="Arial"/>
                <w:sz w:val="20"/>
              </w:rPr>
              <w:t xml:space="preserve"> Competency Check </w:t>
            </w:r>
            <w:r w:rsidR="00435F96">
              <w:rPr>
                <w:rFonts w:cs="Arial"/>
                <w:sz w:val="20"/>
              </w:rPr>
              <w:t>E</w:t>
            </w:r>
            <w:r w:rsidRPr="001A1836">
              <w:rPr>
                <w:rFonts w:cs="Arial"/>
                <w:sz w:val="20"/>
              </w:rPr>
              <w:t>vent attendees</w:t>
            </w:r>
          </w:p>
        </w:tc>
      </w:tr>
      <w:tr w:rsidR="00B074CC" w:rsidRPr="001A1836" w14:paraId="44B2798F" w14:textId="77777777" w:rsidTr="004D790B">
        <w:trPr>
          <w:cantSplit/>
        </w:trPr>
        <w:tc>
          <w:tcPr>
            <w:tcW w:w="802" w:type="dxa"/>
            <w:shd w:val="clear" w:color="auto" w:fill="auto"/>
          </w:tcPr>
          <w:p w14:paraId="2AA6F09D" w14:textId="77777777" w:rsidR="00B074CC" w:rsidRPr="001A1836" w:rsidRDefault="00B074CC" w:rsidP="00626054">
            <w:pPr>
              <w:rPr>
                <w:rFonts w:cs="Arial"/>
                <w:sz w:val="20"/>
              </w:rPr>
            </w:pPr>
            <w:r w:rsidRPr="001A1836">
              <w:rPr>
                <w:rFonts w:cs="Arial"/>
                <w:sz w:val="20"/>
              </w:rPr>
              <w:t>3.55</w:t>
            </w:r>
          </w:p>
        </w:tc>
        <w:tc>
          <w:tcPr>
            <w:tcW w:w="1574" w:type="dxa"/>
            <w:gridSpan w:val="2"/>
            <w:shd w:val="clear" w:color="auto" w:fill="auto"/>
          </w:tcPr>
          <w:p w14:paraId="61698D93" w14:textId="77777777" w:rsidR="00B074CC" w:rsidRPr="001A1836" w:rsidRDefault="00B074CC" w:rsidP="00626054">
            <w:pPr>
              <w:rPr>
                <w:rFonts w:cs="Arial"/>
                <w:sz w:val="20"/>
              </w:rPr>
            </w:pPr>
          </w:p>
        </w:tc>
        <w:tc>
          <w:tcPr>
            <w:tcW w:w="6865" w:type="dxa"/>
            <w:gridSpan w:val="3"/>
            <w:shd w:val="clear" w:color="auto" w:fill="auto"/>
          </w:tcPr>
          <w:p w14:paraId="296938BD" w14:textId="77777777" w:rsidR="00B074CC" w:rsidRPr="001A1836" w:rsidRDefault="00B074CC" w:rsidP="00626054">
            <w:pPr>
              <w:rPr>
                <w:rFonts w:cs="Arial"/>
                <w:sz w:val="20"/>
              </w:rPr>
            </w:pPr>
            <w:r w:rsidRPr="001A1836">
              <w:rPr>
                <w:rFonts w:cs="Arial"/>
                <w:sz w:val="20"/>
              </w:rPr>
              <w:t>Number of mandatory attendance events</w:t>
            </w:r>
          </w:p>
        </w:tc>
      </w:tr>
      <w:tr w:rsidR="00B074CC" w:rsidRPr="001A1836" w14:paraId="11A72754" w14:textId="77777777" w:rsidTr="004D790B">
        <w:trPr>
          <w:cantSplit/>
        </w:trPr>
        <w:tc>
          <w:tcPr>
            <w:tcW w:w="802" w:type="dxa"/>
            <w:shd w:val="clear" w:color="auto" w:fill="auto"/>
          </w:tcPr>
          <w:p w14:paraId="0DEE470F" w14:textId="77777777" w:rsidR="00B074CC" w:rsidRPr="001A1836" w:rsidRDefault="00B074CC" w:rsidP="00626054">
            <w:pPr>
              <w:rPr>
                <w:rFonts w:cs="Arial"/>
                <w:sz w:val="20"/>
              </w:rPr>
            </w:pPr>
            <w:r w:rsidRPr="001A1836">
              <w:rPr>
                <w:rFonts w:cs="Arial"/>
                <w:sz w:val="20"/>
              </w:rPr>
              <w:t>3.56</w:t>
            </w:r>
          </w:p>
        </w:tc>
        <w:tc>
          <w:tcPr>
            <w:tcW w:w="1574" w:type="dxa"/>
            <w:gridSpan w:val="2"/>
            <w:shd w:val="clear" w:color="auto" w:fill="auto"/>
          </w:tcPr>
          <w:p w14:paraId="0928B157" w14:textId="77777777" w:rsidR="00B074CC" w:rsidRPr="001A1836" w:rsidRDefault="00B074CC" w:rsidP="00626054">
            <w:pPr>
              <w:rPr>
                <w:rFonts w:cs="Arial"/>
                <w:sz w:val="20"/>
              </w:rPr>
            </w:pPr>
          </w:p>
        </w:tc>
        <w:tc>
          <w:tcPr>
            <w:tcW w:w="6865" w:type="dxa"/>
            <w:gridSpan w:val="3"/>
            <w:shd w:val="clear" w:color="auto" w:fill="auto"/>
          </w:tcPr>
          <w:p w14:paraId="7928147E" w14:textId="77777777" w:rsidR="00B074CC" w:rsidRPr="001A1836" w:rsidRDefault="00B074CC" w:rsidP="00626054">
            <w:pPr>
              <w:rPr>
                <w:rFonts w:cs="Arial"/>
                <w:sz w:val="20"/>
              </w:rPr>
            </w:pPr>
            <w:r w:rsidRPr="001A1836">
              <w:rPr>
                <w:rFonts w:cs="Arial"/>
                <w:sz w:val="20"/>
              </w:rPr>
              <w:t>Number of mandatory attendance event attendees</w:t>
            </w:r>
          </w:p>
        </w:tc>
      </w:tr>
      <w:tr w:rsidR="00B074CC" w:rsidRPr="001A1836" w14:paraId="72CE5705" w14:textId="77777777" w:rsidTr="004D790B">
        <w:trPr>
          <w:cantSplit/>
        </w:trPr>
        <w:tc>
          <w:tcPr>
            <w:tcW w:w="802" w:type="dxa"/>
            <w:shd w:val="clear" w:color="auto" w:fill="auto"/>
          </w:tcPr>
          <w:p w14:paraId="549C773D" w14:textId="77777777" w:rsidR="00B074CC" w:rsidRPr="001A1836" w:rsidRDefault="00B074CC" w:rsidP="00626054">
            <w:pPr>
              <w:rPr>
                <w:rFonts w:cs="Arial"/>
                <w:b/>
                <w:sz w:val="24"/>
                <w:szCs w:val="24"/>
              </w:rPr>
            </w:pPr>
            <w:r w:rsidRPr="001A1836">
              <w:rPr>
                <w:rFonts w:cs="Arial"/>
                <w:b/>
                <w:sz w:val="24"/>
                <w:szCs w:val="24"/>
              </w:rPr>
              <w:t>4.00</w:t>
            </w:r>
          </w:p>
        </w:tc>
        <w:tc>
          <w:tcPr>
            <w:tcW w:w="8439" w:type="dxa"/>
            <w:gridSpan w:val="5"/>
            <w:shd w:val="clear" w:color="auto" w:fill="auto"/>
          </w:tcPr>
          <w:p w14:paraId="11974212" w14:textId="18844428" w:rsidR="00B074CC" w:rsidRPr="001A1836" w:rsidRDefault="00B074CC" w:rsidP="003B5FD3">
            <w:pPr>
              <w:rPr>
                <w:rFonts w:cs="Arial"/>
                <w:b/>
                <w:sz w:val="24"/>
                <w:szCs w:val="24"/>
              </w:rPr>
            </w:pPr>
            <w:r w:rsidRPr="001A1836">
              <w:rPr>
                <w:rFonts w:cs="Arial"/>
                <w:b/>
                <w:sz w:val="24"/>
                <w:szCs w:val="24"/>
              </w:rPr>
              <w:t>Illegal</w:t>
            </w:r>
            <w:r w:rsidR="003B5FD3">
              <w:rPr>
                <w:rFonts w:cs="Arial"/>
                <w:b/>
                <w:sz w:val="24"/>
                <w:szCs w:val="24"/>
              </w:rPr>
              <w:t xml:space="preserve"> Gas Work Inspections</w:t>
            </w:r>
            <w:r w:rsidRPr="001A1836">
              <w:rPr>
                <w:rFonts w:cs="Arial"/>
                <w:b/>
                <w:sz w:val="24"/>
                <w:szCs w:val="24"/>
              </w:rPr>
              <w:t xml:space="preserve"> and </w:t>
            </w:r>
            <w:r w:rsidR="003B5FD3">
              <w:rPr>
                <w:rFonts w:cs="Arial"/>
                <w:b/>
                <w:sz w:val="24"/>
                <w:szCs w:val="24"/>
              </w:rPr>
              <w:t>S</w:t>
            </w:r>
            <w:r w:rsidRPr="001A1836">
              <w:rPr>
                <w:rFonts w:cs="Arial"/>
                <w:b/>
                <w:sz w:val="24"/>
                <w:szCs w:val="24"/>
              </w:rPr>
              <w:t xml:space="preserve">upport </w:t>
            </w:r>
            <w:r w:rsidR="003B5FD3">
              <w:rPr>
                <w:rFonts w:cs="Arial"/>
                <w:b/>
                <w:sz w:val="24"/>
                <w:szCs w:val="24"/>
              </w:rPr>
              <w:t>Investigations</w:t>
            </w:r>
          </w:p>
        </w:tc>
      </w:tr>
      <w:tr w:rsidR="00B074CC" w:rsidRPr="001A1836" w14:paraId="071D0D57" w14:textId="77777777" w:rsidTr="004D790B">
        <w:trPr>
          <w:cantSplit/>
        </w:trPr>
        <w:tc>
          <w:tcPr>
            <w:tcW w:w="802" w:type="dxa"/>
            <w:shd w:val="clear" w:color="auto" w:fill="auto"/>
          </w:tcPr>
          <w:p w14:paraId="70ED5AA4" w14:textId="77777777" w:rsidR="00B074CC" w:rsidRPr="001A1836" w:rsidRDefault="00B074CC" w:rsidP="00626054">
            <w:pPr>
              <w:rPr>
                <w:rFonts w:cs="Arial"/>
                <w:sz w:val="20"/>
              </w:rPr>
            </w:pPr>
          </w:p>
        </w:tc>
        <w:tc>
          <w:tcPr>
            <w:tcW w:w="1574" w:type="dxa"/>
            <w:gridSpan w:val="2"/>
            <w:shd w:val="clear" w:color="auto" w:fill="auto"/>
          </w:tcPr>
          <w:p w14:paraId="5CBB4149" w14:textId="77777777" w:rsidR="00B074CC" w:rsidRPr="001A1836" w:rsidRDefault="00B074CC" w:rsidP="00626054">
            <w:pPr>
              <w:rPr>
                <w:rFonts w:cs="Arial"/>
                <w:sz w:val="20"/>
              </w:rPr>
            </w:pPr>
          </w:p>
        </w:tc>
        <w:tc>
          <w:tcPr>
            <w:tcW w:w="6865" w:type="dxa"/>
            <w:gridSpan w:val="3"/>
            <w:shd w:val="clear" w:color="auto" w:fill="auto"/>
          </w:tcPr>
          <w:p w14:paraId="16C4632A" w14:textId="0EB67FBD" w:rsidR="00B074CC" w:rsidRPr="001A1836" w:rsidRDefault="00B074CC" w:rsidP="003B5FD3">
            <w:pPr>
              <w:rPr>
                <w:rFonts w:cs="Arial"/>
                <w:b/>
                <w:sz w:val="20"/>
              </w:rPr>
            </w:pPr>
            <w:r w:rsidRPr="001A1836">
              <w:rPr>
                <w:rFonts w:cs="Arial"/>
                <w:b/>
                <w:sz w:val="20"/>
              </w:rPr>
              <w:t xml:space="preserve">Support </w:t>
            </w:r>
            <w:r w:rsidR="003B5FD3">
              <w:rPr>
                <w:rFonts w:cs="Arial"/>
                <w:b/>
                <w:sz w:val="20"/>
              </w:rPr>
              <w:t>Investigations</w:t>
            </w:r>
          </w:p>
        </w:tc>
      </w:tr>
      <w:tr w:rsidR="00B074CC" w:rsidRPr="001A1836" w14:paraId="73409DEA" w14:textId="77777777" w:rsidTr="004D790B">
        <w:trPr>
          <w:cantSplit/>
        </w:trPr>
        <w:tc>
          <w:tcPr>
            <w:tcW w:w="802" w:type="dxa"/>
            <w:shd w:val="clear" w:color="auto" w:fill="auto"/>
          </w:tcPr>
          <w:p w14:paraId="0095763C" w14:textId="77777777" w:rsidR="00B074CC" w:rsidRPr="001A1836" w:rsidRDefault="00B074CC" w:rsidP="00626054">
            <w:pPr>
              <w:rPr>
                <w:rFonts w:cs="Arial"/>
                <w:sz w:val="20"/>
              </w:rPr>
            </w:pPr>
            <w:r w:rsidRPr="001A1836">
              <w:rPr>
                <w:rFonts w:cs="Arial"/>
                <w:sz w:val="20"/>
              </w:rPr>
              <w:t>4.01</w:t>
            </w:r>
          </w:p>
        </w:tc>
        <w:tc>
          <w:tcPr>
            <w:tcW w:w="1574" w:type="dxa"/>
            <w:gridSpan w:val="2"/>
            <w:shd w:val="clear" w:color="auto" w:fill="auto"/>
          </w:tcPr>
          <w:p w14:paraId="00E5950C" w14:textId="77777777" w:rsidR="00B074CC" w:rsidRPr="001A1836" w:rsidRDefault="00B074CC" w:rsidP="00626054">
            <w:pPr>
              <w:rPr>
                <w:rFonts w:cs="Arial"/>
                <w:sz w:val="20"/>
              </w:rPr>
            </w:pPr>
          </w:p>
        </w:tc>
        <w:tc>
          <w:tcPr>
            <w:tcW w:w="6865" w:type="dxa"/>
            <w:gridSpan w:val="3"/>
            <w:shd w:val="clear" w:color="auto" w:fill="auto"/>
          </w:tcPr>
          <w:p w14:paraId="02939826" w14:textId="733CFA28" w:rsidR="00B074CC" w:rsidRPr="001A1836" w:rsidRDefault="00B074CC" w:rsidP="003B5FD3">
            <w:pPr>
              <w:rPr>
                <w:rFonts w:cs="Arial"/>
                <w:sz w:val="20"/>
              </w:rPr>
            </w:pPr>
            <w:r w:rsidRPr="001A1836">
              <w:rPr>
                <w:rFonts w:cs="Arial"/>
                <w:sz w:val="20"/>
              </w:rPr>
              <w:t xml:space="preserve">Support </w:t>
            </w:r>
            <w:r w:rsidR="003B5FD3">
              <w:rPr>
                <w:rFonts w:cs="Arial"/>
                <w:sz w:val="20"/>
              </w:rPr>
              <w:t>Investigations</w:t>
            </w:r>
            <w:r w:rsidRPr="001A1836">
              <w:rPr>
                <w:rFonts w:cs="Arial"/>
                <w:sz w:val="20"/>
              </w:rPr>
              <w:t>: Number of urgent requests</w:t>
            </w:r>
          </w:p>
        </w:tc>
      </w:tr>
      <w:tr w:rsidR="00B074CC" w:rsidRPr="001A1836" w14:paraId="3916CDB2" w14:textId="77777777" w:rsidTr="004D790B">
        <w:trPr>
          <w:cantSplit/>
        </w:trPr>
        <w:tc>
          <w:tcPr>
            <w:tcW w:w="802" w:type="dxa"/>
            <w:shd w:val="clear" w:color="auto" w:fill="auto"/>
          </w:tcPr>
          <w:p w14:paraId="10F6FCBD" w14:textId="77777777" w:rsidR="00B074CC" w:rsidRPr="001A1836" w:rsidRDefault="00B074CC" w:rsidP="00626054">
            <w:pPr>
              <w:rPr>
                <w:rFonts w:cs="Arial"/>
                <w:sz w:val="20"/>
              </w:rPr>
            </w:pPr>
            <w:r w:rsidRPr="001A1836">
              <w:rPr>
                <w:rFonts w:cs="Arial"/>
                <w:sz w:val="20"/>
              </w:rPr>
              <w:t>4.02</w:t>
            </w:r>
          </w:p>
        </w:tc>
        <w:tc>
          <w:tcPr>
            <w:tcW w:w="1574" w:type="dxa"/>
            <w:gridSpan w:val="2"/>
            <w:shd w:val="clear" w:color="auto" w:fill="auto"/>
          </w:tcPr>
          <w:p w14:paraId="6E4A9A3A" w14:textId="77777777" w:rsidR="00B074CC" w:rsidRPr="001A1836" w:rsidRDefault="00B074CC" w:rsidP="00626054">
            <w:pPr>
              <w:rPr>
                <w:rFonts w:cs="Arial"/>
                <w:sz w:val="20"/>
              </w:rPr>
            </w:pPr>
            <w:r w:rsidRPr="001A1836">
              <w:rPr>
                <w:rFonts w:cs="Arial"/>
                <w:sz w:val="20"/>
              </w:rPr>
              <w:t>SL04</w:t>
            </w:r>
          </w:p>
        </w:tc>
        <w:tc>
          <w:tcPr>
            <w:tcW w:w="6865" w:type="dxa"/>
            <w:gridSpan w:val="3"/>
            <w:shd w:val="clear" w:color="auto" w:fill="auto"/>
          </w:tcPr>
          <w:p w14:paraId="3F0B8C6B" w14:textId="29F2F1D7" w:rsidR="00B074CC" w:rsidRPr="001A1836" w:rsidRDefault="00B074CC" w:rsidP="003B5FD3">
            <w:pPr>
              <w:rPr>
                <w:rFonts w:cs="Arial"/>
                <w:sz w:val="20"/>
              </w:rPr>
            </w:pPr>
            <w:r w:rsidRPr="001A1836">
              <w:rPr>
                <w:rFonts w:cs="Arial"/>
                <w:sz w:val="20"/>
              </w:rPr>
              <w:t xml:space="preserve">Support </w:t>
            </w:r>
            <w:r w:rsidR="003B5FD3">
              <w:rPr>
                <w:rFonts w:cs="Arial"/>
                <w:sz w:val="20"/>
              </w:rPr>
              <w:t>Investigations</w:t>
            </w:r>
            <w:r w:rsidRPr="001A1836">
              <w:rPr>
                <w:rFonts w:cs="Arial"/>
                <w:sz w:val="20"/>
              </w:rPr>
              <w:t>: % of urgent requests responded to within one hour</w:t>
            </w:r>
          </w:p>
        </w:tc>
      </w:tr>
      <w:tr w:rsidR="00B074CC" w:rsidRPr="001A1836" w14:paraId="52097D15" w14:textId="77777777" w:rsidTr="004D790B">
        <w:trPr>
          <w:cantSplit/>
        </w:trPr>
        <w:tc>
          <w:tcPr>
            <w:tcW w:w="802" w:type="dxa"/>
            <w:shd w:val="clear" w:color="auto" w:fill="auto"/>
          </w:tcPr>
          <w:p w14:paraId="3ADE03ED" w14:textId="77777777" w:rsidR="00B074CC" w:rsidRPr="001A1836" w:rsidRDefault="00B074CC" w:rsidP="00626054">
            <w:pPr>
              <w:rPr>
                <w:rFonts w:cs="Arial"/>
                <w:sz w:val="20"/>
              </w:rPr>
            </w:pPr>
            <w:r w:rsidRPr="001A1836">
              <w:rPr>
                <w:rFonts w:cs="Arial"/>
                <w:sz w:val="20"/>
              </w:rPr>
              <w:t>4.03</w:t>
            </w:r>
          </w:p>
        </w:tc>
        <w:tc>
          <w:tcPr>
            <w:tcW w:w="1574" w:type="dxa"/>
            <w:gridSpan w:val="2"/>
            <w:shd w:val="clear" w:color="auto" w:fill="auto"/>
          </w:tcPr>
          <w:p w14:paraId="724961E7" w14:textId="77777777" w:rsidR="00B074CC" w:rsidRPr="001A1836" w:rsidRDefault="00B074CC" w:rsidP="00626054">
            <w:pPr>
              <w:rPr>
                <w:rFonts w:cs="Arial"/>
                <w:sz w:val="20"/>
              </w:rPr>
            </w:pPr>
            <w:r w:rsidRPr="001A1836">
              <w:rPr>
                <w:rFonts w:cs="Arial"/>
                <w:sz w:val="20"/>
              </w:rPr>
              <w:t>SL05</w:t>
            </w:r>
          </w:p>
        </w:tc>
        <w:tc>
          <w:tcPr>
            <w:tcW w:w="6865" w:type="dxa"/>
            <w:gridSpan w:val="3"/>
            <w:shd w:val="clear" w:color="auto" w:fill="auto"/>
          </w:tcPr>
          <w:p w14:paraId="043DCDB6" w14:textId="76C53A9B" w:rsidR="00B074CC" w:rsidRPr="001A1836" w:rsidRDefault="00B074CC" w:rsidP="003B5FD3">
            <w:pPr>
              <w:rPr>
                <w:rFonts w:cs="Arial"/>
                <w:sz w:val="20"/>
              </w:rPr>
            </w:pPr>
            <w:r w:rsidRPr="001A1836">
              <w:rPr>
                <w:rFonts w:cs="Arial"/>
                <w:sz w:val="20"/>
              </w:rPr>
              <w:t xml:space="preserve">Support </w:t>
            </w:r>
            <w:r w:rsidR="003B5FD3">
              <w:rPr>
                <w:rFonts w:cs="Arial"/>
                <w:sz w:val="20"/>
              </w:rPr>
              <w:t>Investigations</w:t>
            </w:r>
            <w:r w:rsidRPr="001A1836">
              <w:rPr>
                <w:rFonts w:cs="Arial"/>
                <w:sz w:val="20"/>
              </w:rPr>
              <w:t xml:space="preserve">: % of urgent requests actioned within 3 </w:t>
            </w:r>
            <w:r w:rsidR="000C1F5C" w:rsidRPr="001A1836">
              <w:rPr>
                <w:rFonts w:cs="Arial"/>
                <w:sz w:val="20"/>
              </w:rPr>
              <w:t>W</w:t>
            </w:r>
            <w:r w:rsidRPr="001A1836">
              <w:rPr>
                <w:rFonts w:cs="Arial"/>
                <w:sz w:val="20"/>
              </w:rPr>
              <w:t xml:space="preserve">orking </w:t>
            </w:r>
            <w:r w:rsidR="000C1F5C" w:rsidRPr="001A1836">
              <w:rPr>
                <w:rFonts w:cs="Arial"/>
                <w:sz w:val="20"/>
              </w:rPr>
              <w:t>D</w:t>
            </w:r>
            <w:r w:rsidRPr="001A1836">
              <w:rPr>
                <w:rFonts w:cs="Arial"/>
                <w:sz w:val="20"/>
              </w:rPr>
              <w:t>ays</w:t>
            </w:r>
          </w:p>
        </w:tc>
      </w:tr>
      <w:tr w:rsidR="00B074CC" w:rsidRPr="001A1836" w14:paraId="661BCC73" w14:textId="77777777" w:rsidTr="004D790B">
        <w:trPr>
          <w:cantSplit/>
        </w:trPr>
        <w:tc>
          <w:tcPr>
            <w:tcW w:w="802" w:type="dxa"/>
            <w:shd w:val="clear" w:color="auto" w:fill="auto"/>
          </w:tcPr>
          <w:p w14:paraId="511070C9" w14:textId="77777777" w:rsidR="00B074CC" w:rsidRPr="001A1836" w:rsidRDefault="00B074CC" w:rsidP="00626054">
            <w:pPr>
              <w:rPr>
                <w:rFonts w:cs="Arial"/>
                <w:sz w:val="20"/>
              </w:rPr>
            </w:pPr>
            <w:r w:rsidRPr="001A1836">
              <w:rPr>
                <w:rFonts w:cs="Arial"/>
                <w:sz w:val="20"/>
              </w:rPr>
              <w:t>4.04</w:t>
            </w:r>
          </w:p>
        </w:tc>
        <w:tc>
          <w:tcPr>
            <w:tcW w:w="1574" w:type="dxa"/>
            <w:gridSpan w:val="2"/>
            <w:shd w:val="clear" w:color="auto" w:fill="auto"/>
          </w:tcPr>
          <w:p w14:paraId="7EC3A6E8" w14:textId="77777777" w:rsidR="00B074CC" w:rsidRPr="001A1836" w:rsidRDefault="00B074CC" w:rsidP="00626054">
            <w:pPr>
              <w:rPr>
                <w:rFonts w:cs="Arial"/>
                <w:sz w:val="20"/>
              </w:rPr>
            </w:pPr>
          </w:p>
        </w:tc>
        <w:tc>
          <w:tcPr>
            <w:tcW w:w="6865" w:type="dxa"/>
            <w:gridSpan w:val="3"/>
            <w:shd w:val="clear" w:color="auto" w:fill="auto"/>
          </w:tcPr>
          <w:p w14:paraId="32E714F5" w14:textId="4398B28F" w:rsidR="00B074CC" w:rsidRPr="001A1836" w:rsidRDefault="00B074CC" w:rsidP="003B5FD3">
            <w:pPr>
              <w:rPr>
                <w:rFonts w:cs="Arial"/>
                <w:sz w:val="20"/>
              </w:rPr>
            </w:pPr>
            <w:r w:rsidRPr="001A1836">
              <w:rPr>
                <w:rFonts w:cs="Arial"/>
                <w:sz w:val="20"/>
              </w:rPr>
              <w:t xml:space="preserve">Support </w:t>
            </w:r>
            <w:r w:rsidR="003B5FD3">
              <w:rPr>
                <w:rFonts w:cs="Arial"/>
                <w:sz w:val="20"/>
              </w:rPr>
              <w:t>Investigations</w:t>
            </w:r>
            <w:r w:rsidRPr="001A1836">
              <w:rPr>
                <w:rFonts w:cs="Arial"/>
                <w:sz w:val="20"/>
              </w:rPr>
              <w:t xml:space="preserve">: Number of on-site requests </w:t>
            </w:r>
          </w:p>
        </w:tc>
      </w:tr>
      <w:tr w:rsidR="00B074CC" w:rsidRPr="001A1836" w14:paraId="1051C1B8" w14:textId="77777777" w:rsidTr="004D790B">
        <w:trPr>
          <w:cantSplit/>
        </w:trPr>
        <w:tc>
          <w:tcPr>
            <w:tcW w:w="802" w:type="dxa"/>
            <w:shd w:val="clear" w:color="auto" w:fill="auto"/>
          </w:tcPr>
          <w:p w14:paraId="537F42A0" w14:textId="77777777" w:rsidR="00B074CC" w:rsidRPr="001A1836" w:rsidRDefault="00B074CC" w:rsidP="00626054">
            <w:pPr>
              <w:rPr>
                <w:rFonts w:cs="Arial"/>
                <w:sz w:val="20"/>
              </w:rPr>
            </w:pPr>
            <w:r w:rsidRPr="001A1836">
              <w:rPr>
                <w:rFonts w:cs="Arial"/>
                <w:sz w:val="20"/>
              </w:rPr>
              <w:t>4.05</w:t>
            </w:r>
          </w:p>
        </w:tc>
        <w:tc>
          <w:tcPr>
            <w:tcW w:w="1574" w:type="dxa"/>
            <w:gridSpan w:val="2"/>
            <w:shd w:val="clear" w:color="auto" w:fill="auto"/>
          </w:tcPr>
          <w:p w14:paraId="542BCEB6" w14:textId="77777777" w:rsidR="00B074CC" w:rsidRPr="001A1836" w:rsidRDefault="00B074CC" w:rsidP="00626054">
            <w:pPr>
              <w:rPr>
                <w:rFonts w:cs="Arial"/>
                <w:sz w:val="20"/>
              </w:rPr>
            </w:pPr>
            <w:r w:rsidRPr="001A1836">
              <w:rPr>
                <w:rFonts w:cs="Arial"/>
                <w:sz w:val="20"/>
              </w:rPr>
              <w:t>SL06</w:t>
            </w:r>
          </w:p>
        </w:tc>
        <w:tc>
          <w:tcPr>
            <w:tcW w:w="6865" w:type="dxa"/>
            <w:gridSpan w:val="3"/>
            <w:shd w:val="clear" w:color="auto" w:fill="auto"/>
          </w:tcPr>
          <w:p w14:paraId="2FA60D1C" w14:textId="6834466E" w:rsidR="00B074CC" w:rsidRPr="001A1836" w:rsidRDefault="00B074CC" w:rsidP="003B5FD3">
            <w:pPr>
              <w:rPr>
                <w:rFonts w:cs="Arial"/>
                <w:sz w:val="20"/>
              </w:rPr>
            </w:pPr>
            <w:r w:rsidRPr="001A1836">
              <w:rPr>
                <w:rFonts w:cs="Arial"/>
                <w:sz w:val="20"/>
              </w:rPr>
              <w:t xml:space="preserve">Support </w:t>
            </w:r>
            <w:r w:rsidR="003B5FD3">
              <w:rPr>
                <w:rFonts w:cs="Arial"/>
                <w:sz w:val="20"/>
              </w:rPr>
              <w:t>Investigations</w:t>
            </w:r>
            <w:r w:rsidRPr="001A1836">
              <w:rPr>
                <w:rFonts w:cs="Arial"/>
                <w:sz w:val="20"/>
              </w:rPr>
              <w:t>: % of on-site request responded to within 24 hours</w:t>
            </w:r>
          </w:p>
        </w:tc>
      </w:tr>
      <w:tr w:rsidR="00B074CC" w:rsidRPr="001A1836" w14:paraId="1F9556EA" w14:textId="77777777" w:rsidTr="004D790B">
        <w:trPr>
          <w:cantSplit/>
        </w:trPr>
        <w:tc>
          <w:tcPr>
            <w:tcW w:w="802" w:type="dxa"/>
            <w:shd w:val="clear" w:color="auto" w:fill="auto"/>
          </w:tcPr>
          <w:p w14:paraId="2B815B74" w14:textId="77777777" w:rsidR="00B074CC" w:rsidRPr="001A1836" w:rsidRDefault="00B074CC" w:rsidP="00626054">
            <w:pPr>
              <w:rPr>
                <w:rFonts w:cs="Arial"/>
                <w:sz w:val="20"/>
              </w:rPr>
            </w:pPr>
            <w:r w:rsidRPr="001A1836">
              <w:rPr>
                <w:rFonts w:cs="Arial"/>
                <w:sz w:val="20"/>
              </w:rPr>
              <w:lastRenderedPageBreak/>
              <w:t>4.06</w:t>
            </w:r>
          </w:p>
        </w:tc>
        <w:tc>
          <w:tcPr>
            <w:tcW w:w="1574" w:type="dxa"/>
            <w:gridSpan w:val="2"/>
            <w:shd w:val="clear" w:color="auto" w:fill="auto"/>
          </w:tcPr>
          <w:p w14:paraId="1C9E400B" w14:textId="77777777" w:rsidR="00B074CC" w:rsidRPr="001A1836" w:rsidRDefault="00B074CC" w:rsidP="00626054">
            <w:pPr>
              <w:rPr>
                <w:rFonts w:cs="Arial"/>
                <w:sz w:val="20"/>
              </w:rPr>
            </w:pPr>
            <w:r w:rsidRPr="001A1836">
              <w:rPr>
                <w:rFonts w:cs="Arial"/>
                <w:sz w:val="20"/>
              </w:rPr>
              <w:t>SL07</w:t>
            </w:r>
          </w:p>
        </w:tc>
        <w:tc>
          <w:tcPr>
            <w:tcW w:w="6865" w:type="dxa"/>
            <w:gridSpan w:val="3"/>
            <w:shd w:val="clear" w:color="auto" w:fill="auto"/>
          </w:tcPr>
          <w:p w14:paraId="7E0BA3BC" w14:textId="755CF9B5" w:rsidR="00B074CC" w:rsidRPr="001A1836" w:rsidRDefault="00B074CC" w:rsidP="003B5FD3">
            <w:pPr>
              <w:rPr>
                <w:rFonts w:cs="Arial"/>
                <w:sz w:val="20"/>
              </w:rPr>
            </w:pPr>
            <w:r w:rsidRPr="001A1836">
              <w:rPr>
                <w:rFonts w:cs="Arial"/>
                <w:sz w:val="20"/>
              </w:rPr>
              <w:t xml:space="preserve">Support </w:t>
            </w:r>
            <w:r w:rsidR="003B5FD3">
              <w:rPr>
                <w:rFonts w:cs="Arial"/>
                <w:sz w:val="20"/>
              </w:rPr>
              <w:t>Investigations</w:t>
            </w:r>
            <w:r w:rsidRPr="001A1836">
              <w:rPr>
                <w:rFonts w:cs="Arial"/>
                <w:sz w:val="20"/>
              </w:rPr>
              <w:t xml:space="preserve">: % of on-site request actioned within 10 </w:t>
            </w:r>
            <w:r w:rsidR="000C1F5C" w:rsidRPr="001A1836">
              <w:rPr>
                <w:rFonts w:cs="Arial"/>
                <w:sz w:val="20"/>
              </w:rPr>
              <w:t>W</w:t>
            </w:r>
            <w:r w:rsidRPr="001A1836">
              <w:rPr>
                <w:rFonts w:cs="Arial"/>
                <w:sz w:val="20"/>
              </w:rPr>
              <w:t xml:space="preserve">orking </w:t>
            </w:r>
            <w:r w:rsidR="000C1F5C" w:rsidRPr="001A1836">
              <w:rPr>
                <w:rFonts w:cs="Arial"/>
                <w:sz w:val="20"/>
              </w:rPr>
              <w:t>D</w:t>
            </w:r>
            <w:r w:rsidRPr="001A1836">
              <w:rPr>
                <w:rFonts w:cs="Arial"/>
                <w:sz w:val="20"/>
              </w:rPr>
              <w:t>ays</w:t>
            </w:r>
          </w:p>
        </w:tc>
      </w:tr>
      <w:tr w:rsidR="00B074CC" w:rsidRPr="001A1836" w14:paraId="5E120468" w14:textId="77777777" w:rsidTr="004D790B">
        <w:trPr>
          <w:cantSplit/>
        </w:trPr>
        <w:tc>
          <w:tcPr>
            <w:tcW w:w="802" w:type="dxa"/>
            <w:shd w:val="clear" w:color="auto" w:fill="auto"/>
          </w:tcPr>
          <w:p w14:paraId="3F340CF9" w14:textId="77777777" w:rsidR="00B074CC" w:rsidRPr="001A1836" w:rsidRDefault="00B074CC" w:rsidP="00626054">
            <w:pPr>
              <w:rPr>
                <w:rFonts w:cs="Arial"/>
                <w:sz w:val="20"/>
              </w:rPr>
            </w:pPr>
            <w:r w:rsidRPr="001A1836">
              <w:rPr>
                <w:rFonts w:cs="Arial"/>
                <w:sz w:val="20"/>
              </w:rPr>
              <w:t>4.07</w:t>
            </w:r>
          </w:p>
        </w:tc>
        <w:tc>
          <w:tcPr>
            <w:tcW w:w="1574" w:type="dxa"/>
            <w:gridSpan w:val="2"/>
            <w:shd w:val="clear" w:color="auto" w:fill="auto"/>
          </w:tcPr>
          <w:p w14:paraId="4AE28E9D" w14:textId="77777777" w:rsidR="00B074CC" w:rsidRPr="001A1836" w:rsidRDefault="00B074CC" w:rsidP="00626054">
            <w:pPr>
              <w:rPr>
                <w:rFonts w:cs="Arial"/>
                <w:sz w:val="20"/>
              </w:rPr>
            </w:pPr>
          </w:p>
        </w:tc>
        <w:tc>
          <w:tcPr>
            <w:tcW w:w="6865" w:type="dxa"/>
            <w:gridSpan w:val="3"/>
            <w:shd w:val="clear" w:color="auto" w:fill="auto"/>
          </w:tcPr>
          <w:p w14:paraId="7085F4EC" w14:textId="34AEE4DF" w:rsidR="00B074CC" w:rsidRPr="001A1836" w:rsidRDefault="00B074CC" w:rsidP="00626054">
            <w:pPr>
              <w:rPr>
                <w:rFonts w:cs="Arial"/>
                <w:sz w:val="20"/>
              </w:rPr>
            </w:pPr>
            <w:r w:rsidRPr="001A1836">
              <w:rPr>
                <w:rFonts w:cs="Arial"/>
                <w:sz w:val="20"/>
              </w:rPr>
              <w:t xml:space="preserve">Number of </w:t>
            </w:r>
            <w:r w:rsidR="00435F96">
              <w:rPr>
                <w:rFonts w:cs="Arial"/>
                <w:sz w:val="20"/>
              </w:rPr>
              <w:t>I</w:t>
            </w:r>
            <w:r w:rsidRPr="001A1836">
              <w:rPr>
                <w:rFonts w:cs="Arial"/>
                <w:sz w:val="20"/>
              </w:rPr>
              <w:t>nspection credits - support to HSE</w:t>
            </w:r>
          </w:p>
        </w:tc>
      </w:tr>
      <w:tr w:rsidR="00B074CC" w:rsidRPr="001A1836" w14:paraId="3C90F68E" w14:textId="77777777" w:rsidTr="004D790B">
        <w:trPr>
          <w:cantSplit/>
        </w:trPr>
        <w:tc>
          <w:tcPr>
            <w:tcW w:w="802" w:type="dxa"/>
            <w:shd w:val="clear" w:color="auto" w:fill="auto"/>
          </w:tcPr>
          <w:p w14:paraId="74400197" w14:textId="77777777" w:rsidR="00B074CC" w:rsidRPr="001A1836" w:rsidRDefault="00B074CC" w:rsidP="00626054">
            <w:pPr>
              <w:rPr>
                <w:rFonts w:cs="Arial"/>
                <w:sz w:val="20"/>
              </w:rPr>
            </w:pPr>
            <w:r w:rsidRPr="001A1836">
              <w:rPr>
                <w:rFonts w:cs="Arial"/>
                <w:sz w:val="20"/>
              </w:rPr>
              <w:t>4.08</w:t>
            </w:r>
          </w:p>
        </w:tc>
        <w:tc>
          <w:tcPr>
            <w:tcW w:w="1574" w:type="dxa"/>
            <w:gridSpan w:val="2"/>
            <w:shd w:val="clear" w:color="auto" w:fill="auto"/>
          </w:tcPr>
          <w:p w14:paraId="5689E8B4" w14:textId="77777777" w:rsidR="00B074CC" w:rsidRPr="001A1836" w:rsidRDefault="00B074CC" w:rsidP="00626054">
            <w:pPr>
              <w:rPr>
                <w:rFonts w:cs="Arial"/>
                <w:sz w:val="20"/>
              </w:rPr>
            </w:pPr>
          </w:p>
        </w:tc>
        <w:tc>
          <w:tcPr>
            <w:tcW w:w="6865" w:type="dxa"/>
            <w:gridSpan w:val="3"/>
            <w:shd w:val="clear" w:color="auto" w:fill="auto"/>
          </w:tcPr>
          <w:p w14:paraId="03B11C22" w14:textId="77777777" w:rsidR="00B074CC" w:rsidRPr="001A1836" w:rsidRDefault="00B074CC" w:rsidP="00626054">
            <w:pPr>
              <w:rPr>
                <w:rFonts w:cs="Arial"/>
                <w:sz w:val="20"/>
              </w:rPr>
            </w:pPr>
            <w:r w:rsidRPr="001A1836">
              <w:rPr>
                <w:rFonts w:cs="Arial"/>
                <w:sz w:val="20"/>
              </w:rPr>
              <w:t>Incident support days</w:t>
            </w:r>
          </w:p>
        </w:tc>
      </w:tr>
      <w:tr w:rsidR="00B074CC" w:rsidRPr="001A1836" w14:paraId="3A36A181" w14:textId="77777777" w:rsidTr="004D790B">
        <w:trPr>
          <w:cantSplit/>
        </w:trPr>
        <w:tc>
          <w:tcPr>
            <w:tcW w:w="802" w:type="dxa"/>
            <w:shd w:val="clear" w:color="auto" w:fill="auto"/>
          </w:tcPr>
          <w:p w14:paraId="204F73E3" w14:textId="77777777" w:rsidR="00B074CC" w:rsidRPr="001A1836" w:rsidRDefault="00B074CC" w:rsidP="00626054">
            <w:pPr>
              <w:rPr>
                <w:rFonts w:cs="Arial"/>
                <w:sz w:val="20"/>
              </w:rPr>
            </w:pPr>
            <w:r w:rsidRPr="001A1836">
              <w:rPr>
                <w:rFonts w:cs="Arial"/>
                <w:sz w:val="20"/>
              </w:rPr>
              <w:t>4.09</w:t>
            </w:r>
          </w:p>
        </w:tc>
        <w:tc>
          <w:tcPr>
            <w:tcW w:w="1574" w:type="dxa"/>
            <w:gridSpan w:val="2"/>
            <w:shd w:val="clear" w:color="auto" w:fill="auto"/>
          </w:tcPr>
          <w:p w14:paraId="231D9E30" w14:textId="77777777" w:rsidR="00B074CC" w:rsidRPr="001A1836" w:rsidRDefault="00B074CC" w:rsidP="00626054">
            <w:pPr>
              <w:rPr>
                <w:rFonts w:cs="Arial"/>
                <w:sz w:val="20"/>
              </w:rPr>
            </w:pPr>
          </w:p>
        </w:tc>
        <w:tc>
          <w:tcPr>
            <w:tcW w:w="6865" w:type="dxa"/>
            <w:gridSpan w:val="3"/>
            <w:shd w:val="clear" w:color="auto" w:fill="auto"/>
          </w:tcPr>
          <w:p w14:paraId="424A5F4B" w14:textId="77777777" w:rsidR="00B074CC" w:rsidRPr="001A1836" w:rsidRDefault="00B074CC" w:rsidP="00626054">
            <w:pPr>
              <w:rPr>
                <w:rFonts w:cs="Arial"/>
                <w:sz w:val="20"/>
              </w:rPr>
            </w:pPr>
            <w:r w:rsidRPr="001A1836">
              <w:rPr>
                <w:rFonts w:cs="Arial"/>
                <w:sz w:val="20"/>
              </w:rPr>
              <w:t>Investigation support days</w:t>
            </w:r>
          </w:p>
        </w:tc>
      </w:tr>
      <w:tr w:rsidR="00B074CC" w:rsidRPr="001A1836" w14:paraId="0CDA3E31" w14:textId="77777777" w:rsidTr="004D790B">
        <w:trPr>
          <w:cantSplit/>
        </w:trPr>
        <w:tc>
          <w:tcPr>
            <w:tcW w:w="802" w:type="dxa"/>
            <w:shd w:val="clear" w:color="auto" w:fill="auto"/>
          </w:tcPr>
          <w:p w14:paraId="5CDEA2DC" w14:textId="77777777" w:rsidR="00B074CC" w:rsidRPr="001A1836" w:rsidRDefault="00B074CC" w:rsidP="00626054">
            <w:pPr>
              <w:rPr>
                <w:rFonts w:cs="Arial"/>
                <w:sz w:val="20"/>
              </w:rPr>
            </w:pPr>
            <w:r w:rsidRPr="001A1836">
              <w:rPr>
                <w:rFonts w:cs="Arial"/>
                <w:sz w:val="20"/>
              </w:rPr>
              <w:t>4.10</w:t>
            </w:r>
          </w:p>
        </w:tc>
        <w:tc>
          <w:tcPr>
            <w:tcW w:w="1574" w:type="dxa"/>
            <w:gridSpan w:val="2"/>
            <w:shd w:val="clear" w:color="auto" w:fill="auto"/>
          </w:tcPr>
          <w:p w14:paraId="641AB952" w14:textId="77777777" w:rsidR="00B074CC" w:rsidRPr="001A1836" w:rsidRDefault="00B074CC" w:rsidP="00626054">
            <w:pPr>
              <w:rPr>
                <w:rFonts w:cs="Arial"/>
                <w:sz w:val="20"/>
              </w:rPr>
            </w:pPr>
          </w:p>
        </w:tc>
        <w:tc>
          <w:tcPr>
            <w:tcW w:w="6865" w:type="dxa"/>
            <w:gridSpan w:val="3"/>
            <w:shd w:val="clear" w:color="auto" w:fill="auto"/>
          </w:tcPr>
          <w:p w14:paraId="7044721A" w14:textId="77777777" w:rsidR="00B074CC" w:rsidRPr="001A1836" w:rsidRDefault="00B074CC" w:rsidP="00626054">
            <w:pPr>
              <w:rPr>
                <w:rFonts w:cs="Arial"/>
                <w:sz w:val="20"/>
              </w:rPr>
            </w:pPr>
            <w:r w:rsidRPr="001A1836">
              <w:rPr>
                <w:rFonts w:cs="Arial"/>
                <w:sz w:val="20"/>
              </w:rPr>
              <w:t>Total number of support requests (HSE, LAs, other)</w:t>
            </w:r>
          </w:p>
        </w:tc>
      </w:tr>
      <w:tr w:rsidR="00B074CC" w:rsidRPr="001A1836" w14:paraId="4A8FBAA7" w14:textId="77777777" w:rsidTr="004D790B">
        <w:trPr>
          <w:cantSplit/>
        </w:trPr>
        <w:tc>
          <w:tcPr>
            <w:tcW w:w="802" w:type="dxa"/>
            <w:shd w:val="clear" w:color="auto" w:fill="auto"/>
          </w:tcPr>
          <w:p w14:paraId="2B90A343" w14:textId="77777777" w:rsidR="00B074CC" w:rsidRPr="001A1836" w:rsidRDefault="00B074CC" w:rsidP="00626054">
            <w:pPr>
              <w:rPr>
                <w:rFonts w:cs="Arial"/>
                <w:sz w:val="20"/>
              </w:rPr>
            </w:pPr>
            <w:r w:rsidRPr="001A1836">
              <w:rPr>
                <w:rFonts w:cs="Arial"/>
                <w:sz w:val="20"/>
              </w:rPr>
              <w:t>4.11</w:t>
            </w:r>
          </w:p>
        </w:tc>
        <w:tc>
          <w:tcPr>
            <w:tcW w:w="1574" w:type="dxa"/>
            <w:gridSpan w:val="2"/>
            <w:shd w:val="clear" w:color="auto" w:fill="auto"/>
          </w:tcPr>
          <w:p w14:paraId="66D4036D" w14:textId="77777777" w:rsidR="00B074CC" w:rsidRPr="001A1836" w:rsidRDefault="00B074CC" w:rsidP="00626054">
            <w:pPr>
              <w:rPr>
                <w:rFonts w:cs="Arial"/>
                <w:sz w:val="20"/>
              </w:rPr>
            </w:pPr>
          </w:p>
        </w:tc>
        <w:tc>
          <w:tcPr>
            <w:tcW w:w="6865" w:type="dxa"/>
            <w:gridSpan w:val="3"/>
            <w:shd w:val="clear" w:color="auto" w:fill="auto"/>
          </w:tcPr>
          <w:p w14:paraId="6E944E60" w14:textId="77777777" w:rsidR="00B074CC" w:rsidRPr="001A1836" w:rsidRDefault="00B074CC" w:rsidP="00626054">
            <w:pPr>
              <w:rPr>
                <w:rFonts w:cs="Arial"/>
                <w:sz w:val="20"/>
              </w:rPr>
            </w:pPr>
            <w:r w:rsidRPr="001A1836">
              <w:rPr>
                <w:rFonts w:cs="Arial"/>
                <w:sz w:val="20"/>
              </w:rPr>
              <w:t>Number of requests from HSE</w:t>
            </w:r>
          </w:p>
        </w:tc>
      </w:tr>
      <w:tr w:rsidR="00B074CC" w:rsidRPr="001A1836" w14:paraId="6AD31EC6" w14:textId="77777777" w:rsidTr="004D790B">
        <w:trPr>
          <w:cantSplit/>
        </w:trPr>
        <w:tc>
          <w:tcPr>
            <w:tcW w:w="802" w:type="dxa"/>
            <w:shd w:val="clear" w:color="auto" w:fill="auto"/>
          </w:tcPr>
          <w:p w14:paraId="06F8633A" w14:textId="77777777" w:rsidR="00B074CC" w:rsidRPr="001A1836" w:rsidRDefault="00B074CC" w:rsidP="00626054">
            <w:pPr>
              <w:rPr>
                <w:rFonts w:cs="Arial"/>
                <w:sz w:val="20"/>
              </w:rPr>
            </w:pPr>
            <w:r w:rsidRPr="001A1836">
              <w:rPr>
                <w:rFonts w:cs="Arial"/>
                <w:sz w:val="20"/>
              </w:rPr>
              <w:t>4.12</w:t>
            </w:r>
          </w:p>
        </w:tc>
        <w:tc>
          <w:tcPr>
            <w:tcW w:w="1574" w:type="dxa"/>
            <w:gridSpan w:val="2"/>
            <w:shd w:val="clear" w:color="auto" w:fill="auto"/>
          </w:tcPr>
          <w:p w14:paraId="02035149" w14:textId="77777777" w:rsidR="00B074CC" w:rsidRPr="001A1836" w:rsidRDefault="00B074CC" w:rsidP="00626054">
            <w:pPr>
              <w:rPr>
                <w:rFonts w:cs="Arial"/>
                <w:sz w:val="20"/>
              </w:rPr>
            </w:pPr>
          </w:p>
        </w:tc>
        <w:tc>
          <w:tcPr>
            <w:tcW w:w="6865" w:type="dxa"/>
            <w:gridSpan w:val="3"/>
            <w:shd w:val="clear" w:color="auto" w:fill="auto"/>
          </w:tcPr>
          <w:p w14:paraId="54520D3F" w14:textId="0BABE8A7" w:rsidR="00B074CC" w:rsidRPr="001A1836" w:rsidRDefault="00B074CC" w:rsidP="00626054">
            <w:pPr>
              <w:rPr>
                <w:rFonts w:cs="Arial"/>
                <w:sz w:val="20"/>
              </w:rPr>
            </w:pPr>
            <w:r w:rsidRPr="001A1836">
              <w:rPr>
                <w:rFonts w:cs="Arial"/>
                <w:sz w:val="20"/>
              </w:rPr>
              <w:t xml:space="preserve">Number of requests from </w:t>
            </w:r>
            <w:r w:rsidR="005F7541">
              <w:rPr>
                <w:rFonts w:cs="Arial"/>
                <w:sz w:val="20"/>
              </w:rPr>
              <w:t>local authorities</w:t>
            </w:r>
          </w:p>
        </w:tc>
      </w:tr>
      <w:tr w:rsidR="00B074CC" w:rsidRPr="001A1836" w14:paraId="2B3AE5F0" w14:textId="77777777" w:rsidTr="004D790B">
        <w:trPr>
          <w:cantSplit/>
        </w:trPr>
        <w:tc>
          <w:tcPr>
            <w:tcW w:w="802" w:type="dxa"/>
            <w:shd w:val="clear" w:color="auto" w:fill="auto"/>
          </w:tcPr>
          <w:p w14:paraId="4050908F" w14:textId="77777777" w:rsidR="00B074CC" w:rsidRPr="001A1836" w:rsidRDefault="00B074CC" w:rsidP="00626054">
            <w:pPr>
              <w:rPr>
                <w:rFonts w:cs="Arial"/>
                <w:sz w:val="20"/>
              </w:rPr>
            </w:pPr>
            <w:r w:rsidRPr="001A1836">
              <w:rPr>
                <w:rFonts w:cs="Arial"/>
                <w:sz w:val="20"/>
              </w:rPr>
              <w:t>4.13</w:t>
            </w:r>
          </w:p>
        </w:tc>
        <w:tc>
          <w:tcPr>
            <w:tcW w:w="1574" w:type="dxa"/>
            <w:gridSpan w:val="2"/>
            <w:shd w:val="clear" w:color="auto" w:fill="auto"/>
          </w:tcPr>
          <w:p w14:paraId="6DC696E3" w14:textId="77777777" w:rsidR="00B074CC" w:rsidRPr="001A1836" w:rsidRDefault="00B074CC" w:rsidP="00626054">
            <w:pPr>
              <w:rPr>
                <w:rFonts w:cs="Arial"/>
                <w:sz w:val="20"/>
              </w:rPr>
            </w:pPr>
          </w:p>
        </w:tc>
        <w:tc>
          <w:tcPr>
            <w:tcW w:w="6865" w:type="dxa"/>
            <w:gridSpan w:val="3"/>
            <w:shd w:val="clear" w:color="auto" w:fill="auto"/>
          </w:tcPr>
          <w:p w14:paraId="7697739B" w14:textId="77777777" w:rsidR="00B074CC" w:rsidRPr="001A1836" w:rsidRDefault="00B074CC" w:rsidP="00626054">
            <w:pPr>
              <w:rPr>
                <w:rFonts w:cs="Arial"/>
                <w:sz w:val="20"/>
              </w:rPr>
            </w:pPr>
            <w:r w:rsidRPr="001A1836">
              <w:rPr>
                <w:rFonts w:cs="Arial"/>
                <w:sz w:val="20"/>
              </w:rPr>
              <w:t>Number of requests from other enforcement agencies (eg police)</w:t>
            </w:r>
          </w:p>
        </w:tc>
      </w:tr>
      <w:tr w:rsidR="00B074CC" w:rsidRPr="001A1836" w14:paraId="5F12F80F" w14:textId="77777777" w:rsidTr="004D790B">
        <w:trPr>
          <w:cantSplit/>
        </w:trPr>
        <w:tc>
          <w:tcPr>
            <w:tcW w:w="802" w:type="dxa"/>
            <w:shd w:val="clear" w:color="auto" w:fill="auto"/>
          </w:tcPr>
          <w:p w14:paraId="0D93FFEF" w14:textId="77777777" w:rsidR="00B074CC" w:rsidRPr="001A1836" w:rsidRDefault="00B074CC" w:rsidP="00626054">
            <w:pPr>
              <w:rPr>
                <w:rFonts w:cs="Arial"/>
                <w:sz w:val="20"/>
              </w:rPr>
            </w:pPr>
          </w:p>
        </w:tc>
        <w:tc>
          <w:tcPr>
            <w:tcW w:w="1574" w:type="dxa"/>
            <w:gridSpan w:val="2"/>
            <w:shd w:val="clear" w:color="auto" w:fill="auto"/>
          </w:tcPr>
          <w:p w14:paraId="01CE1BD7" w14:textId="77777777" w:rsidR="00B074CC" w:rsidRPr="001A1836" w:rsidRDefault="00B074CC" w:rsidP="00626054">
            <w:pPr>
              <w:rPr>
                <w:rFonts w:cs="Arial"/>
                <w:sz w:val="20"/>
              </w:rPr>
            </w:pPr>
          </w:p>
        </w:tc>
        <w:tc>
          <w:tcPr>
            <w:tcW w:w="6865" w:type="dxa"/>
            <w:gridSpan w:val="3"/>
            <w:shd w:val="clear" w:color="auto" w:fill="auto"/>
          </w:tcPr>
          <w:p w14:paraId="5B0EBA6E" w14:textId="79124D84" w:rsidR="00B074CC" w:rsidRPr="001A1836" w:rsidRDefault="00B074CC" w:rsidP="00626054">
            <w:pPr>
              <w:rPr>
                <w:rFonts w:cs="Arial"/>
                <w:b/>
                <w:sz w:val="20"/>
              </w:rPr>
            </w:pPr>
            <w:r w:rsidRPr="001A1836">
              <w:rPr>
                <w:rFonts w:cs="Arial"/>
                <w:b/>
                <w:sz w:val="20"/>
              </w:rPr>
              <w:t xml:space="preserve">Illegal </w:t>
            </w:r>
            <w:r w:rsidR="005F7541">
              <w:rPr>
                <w:rFonts w:cs="Arial"/>
                <w:b/>
                <w:sz w:val="20"/>
              </w:rPr>
              <w:t>Gas Work I</w:t>
            </w:r>
            <w:r w:rsidRPr="001A1836">
              <w:rPr>
                <w:rFonts w:cs="Arial"/>
                <w:b/>
                <w:sz w:val="20"/>
              </w:rPr>
              <w:t>nvestigations</w:t>
            </w:r>
          </w:p>
        </w:tc>
      </w:tr>
      <w:tr w:rsidR="00B074CC" w:rsidRPr="001A1836" w14:paraId="0504A542" w14:textId="77777777" w:rsidTr="004D790B">
        <w:trPr>
          <w:cantSplit/>
        </w:trPr>
        <w:tc>
          <w:tcPr>
            <w:tcW w:w="802" w:type="dxa"/>
            <w:shd w:val="clear" w:color="auto" w:fill="auto"/>
          </w:tcPr>
          <w:p w14:paraId="75C35015" w14:textId="77777777" w:rsidR="00B074CC" w:rsidRPr="001A1836" w:rsidRDefault="00B074CC" w:rsidP="00626054">
            <w:pPr>
              <w:rPr>
                <w:rFonts w:cs="Arial"/>
                <w:sz w:val="20"/>
              </w:rPr>
            </w:pPr>
            <w:r w:rsidRPr="001A1836">
              <w:rPr>
                <w:rFonts w:cs="Arial"/>
                <w:sz w:val="20"/>
              </w:rPr>
              <w:t>4.14</w:t>
            </w:r>
          </w:p>
        </w:tc>
        <w:tc>
          <w:tcPr>
            <w:tcW w:w="1574" w:type="dxa"/>
            <w:gridSpan w:val="2"/>
            <w:shd w:val="clear" w:color="auto" w:fill="auto"/>
          </w:tcPr>
          <w:p w14:paraId="60E42066" w14:textId="77777777" w:rsidR="00B074CC" w:rsidRPr="001A1836" w:rsidRDefault="00B074CC" w:rsidP="00626054">
            <w:pPr>
              <w:rPr>
                <w:rFonts w:cs="Arial"/>
                <w:sz w:val="20"/>
              </w:rPr>
            </w:pPr>
          </w:p>
        </w:tc>
        <w:tc>
          <w:tcPr>
            <w:tcW w:w="6865" w:type="dxa"/>
            <w:gridSpan w:val="3"/>
            <w:shd w:val="clear" w:color="auto" w:fill="auto"/>
          </w:tcPr>
          <w:p w14:paraId="2ABBE31D" w14:textId="0BC44F7D" w:rsidR="00B074CC" w:rsidRPr="001A1836" w:rsidRDefault="00B074CC" w:rsidP="00626054">
            <w:pPr>
              <w:rPr>
                <w:rFonts w:cs="Arial"/>
                <w:sz w:val="20"/>
              </w:rPr>
            </w:pPr>
            <w:r w:rsidRPr="001A1836">
              <w:rPr>
                <w:rFonts w:cs="Arial"/>
                <w:sz w:val="20"/>
              </w:rPr>
              <w:t xml:space="preserve">Number of contacts logged regarding illegal </w:t>
            </w:r>
            <w:r w:rsidR="000C1F5C" w:rsidRPr="001A1836">
              <w:rPr>
                <w:rFonts w:cs="Arial"/>
                <w:sz w:val="20"/>
              </w:rPr>
              <w:t>Gas Work</w:t>
            </w:r>
            <w:r w:rsidRPr="001A1836">
              <w:rPr>
                <w:rFonts w:cs="Arial"/>
                <w:sz w:val="20"/>
              </w:rPr>
              <w:t xml:space="preserve"> carried out (from consumers, registered engineers &amp; other sources)</w:t>
            </w:r>
          </w:p>
        </w:tc>
      </w:tr>
      <w:tr w:rsidR="00B074CC" w:rsidRPr="001A1836" w14:paraId="08B9F0C8" w14:textId="77777777" w:rsidTr="004D790B">
        <w:trPr>
          <w:cantSplit/>
        </w:trPr>
        <w:tc>
          <w:tcPr>
            <w:tcW w:w="802" w:type="dxa"/>
            <w:shd w:val="clear" w:color="auto" w:fill="auto"/>
          </w:tcPr>
          <w:p w14:paraId="1E4480AA" w14:textId="77777777" w:rsidR="00B074CC" w:rsidRPr="001A1836" w:rsidRDefault="00B074CC" w:rsidP="00626054">
            <w:pPr>
              <w:rPr>
                <w:rFonts w:cs="Arial"/>
                <w:sz w:val="20"/>
              </w:rPr>
            </w:pPr>
            <w:r w:rsidRPr="001A1836">
              <w:rPr>
                <w:rFonts w:cs="Arial"/>
                <w:sz w:val="20"/>
              </w:rPr>
              <w:t>4.15</w:t>
            </w:r>
          </w:p>
        </w:tc>
        <w:tc>
          <w:tcPr>
            <w:tcW w:w="1574" w:type="dxa"/>
            <w:gridSpan w:val="2"/>
            <w:shd w:val="clear" w:color="auto" w:fill="auto"/>
          </w:tcPr>
          <w:p w14:paraId="4508A943" w14:textId="77777777" w:rsidR="00B074CC" w:rsidRPr="001A1836" w:rsidRDefault="00B074CC" w:rsidP="00626054">
            <w:pPr>
              <w:rPr>
                <w:rFonts w:cs="Arial"/>
                <w:sz w:val="20"/>
              </w:rPr>
            </w:pPr>
          </w:p>
        </w:tc>
        <w:tc>
          <w:tcPr>
            <w:tcW w:w="6865" w:type="dxa"/>
            <w:gridSpan w:val="3"/>
            <w:shd w:val="clear" w:color="auto" w:fill="auto"/>
          </w:tcPr>
          <w:p w14:paraId="78524F52" w14:textId="32315328" w:rsidR="00B074CC" w:rsidRPr="001A1836" w:rsidRDefault="00B074CC" w:rsidP="005F7541">
            <w:pPr>
              <w:rPr>
                <w:rFonts w:cs="Arial"/>
                <w:sz w:val="20"/>
              </w:rPr>
            </w:pPr>
            <w:r w:rsidRPr="001A1836">
              <w:rPr>
                <w:rFonts w:cs="Arial"/>
                <w:sz w:val="20"/>
              </w:rPr>
              <w:t xml:space="preserve">Number of </w:t>
            </w:r>
            <w:r w:rsidR="005F7541">
              <w:rPr>
                <w:rFonts w:cs="Arial"/>
                <w:sz w:val="20"/>
              </w:rPr>
              <w:t>Illegal Gas Work Investigation</w:t>
            </w:r>
            <w:r w:rsidRPr="001A1836">
              <w:rPr>
                <w:rFonts w:cs="Arial"/>
                <w:sz w:val="20"/>
              </w:rPr>
              <w:t xml:space="preserve"> sites inspected</w:t>
            </w:r>
          </w:p>
        </w:tc>
      </w:tr>
      <w:tr w:rsidR="00B074CC" w:rsidRPr="001A1836" w14:paraId="4B4CEAEB" w14:textId="77777777" w:rsidTr="004D790B">
        <w:trPr>
          <w:cantSplit/>
        </w:trPr>
        <w:tc>
          <w:tcPr>
            <w:tcW w:w="802" w:type="dxa"/>
            <w:shd w:val="clear" w:color="auto" w:fill="auto"/>
          </w:tcPr>
          <w:p w14:paraId="6056E306" w14:textId="77777777" w:rsidR="00B074CC" w:rsidRPr="001A1836" w:rsidRDefault="00B074CC" w:rsidP="00626054">
            <w:pPr>
              <w:rPr>
                <w:rFonts w:cs="Arial"/>
                <w:sz w:val="20"/>
              </w:rPr>
            </w:pPr>
            <w:r w:rsidRPr="001A1836">
              <w:rPr>
                <w:rFonts w:cs="Arial"/>
                <w:sz w:val="20"/>
              </w:rPr>
              <w:t>4.16</w:t>
            </w:r>
          </w:p>
        </w:tc>
        <w:tc>
          <w:tcPr>
            <w:tcW w:w="1574" w:type="dxa"/>
            <w:gridSpan w:val="2"/>
            <w:shd w:val="clear" w:color="auto" w:fill="auto"/>
          </w:tcPr>
          <w:p w14:paraId="00504A21" w14:textId="77777777" w:rsidR="00B074CC" w:rsidRPr="001A1836" w:rsidRDefault="00B074CC" w:rsidP="00626054">
            <w:pPr>
              <w:rPr>
                <w:rFonts w:cs="Arial"/>
                <w:sz w:val="20"/>
              </w:rPr>
            </w:pPr>
            <w:r w:rsidRPr="001A1836">
              <w:rPr>
                <w:rFonts w:cs="Arial"/>
                <w:sz w:val="20"/>
              </w:rPr>
              <w:t>SL08</w:t>
            </w:r>
          </w:p>
        </w:tc>
        <w:tc>
          <w:tcPr>
            <w:tcW w:w="6865" w:type="dxa"/>
            <w:gridSpan w:val="3"/>
            <w:shd w:val="clear" w:color="auto" w:fill="auto"/>
          </w:tcPr>
          <w:p w14:paraId="23388B83" w14:textId="05D70045" w:rsidR="00B074CC" w:rsidRPr="001A1836" w:rsidRDefault="00B074CC" w:rsidP="00626054">
            <w:pPr>
              <w:rPr>
                <w:rFonts w:cs="Arial"/>
                <w:sz w:val="20"/>
              </w:rPr>
            </w:pPr>
            <w:r w:rsidRPr="001A1836">
              <w:rPr>
                <w:rFonts w:cs="Arial"/>
                <w:sz w:val="20"/>
              </w:rPr>
              <w:t xml:space="preserve">% of illegal gas sites visited </w:t>
            </w:r>
            <w:r w:rsidR="005F7541">
              <w:rPr>
                <w:rFonts w:cs="Arial"/>
                <w:sz w:val="20"/>
              </w:rPr>
              <w:t xml:space="preserve">to conduct an Illegal Gas Work Investigation </w:t>
            </w:r>
            <w:r w:rsidRPr="001A1836">
              <w:rPr>
                <w:rFonts w:cs="Arial"/>
                <w:sz w:val="20"/>
              </w:rPr>
              <w:t xml:space="preserve">within 10 </w:t>
            </w:r>
            <w:r w:rsidR="000C1F5C" w:rsidRPr="001A1836">
              <w:rPr>
                <w:rFonts w:cs="Arial"/>
                <w:sz w:val="20"/>
              </w:rPr>
              <w:t>W</w:t>
            </w:r>
            <w:r w:rsidRPr="001A1836">
              <w:rPr>
                <w:rFonts w:cs="Arial"/>
                <w:sz w:val="20"/>
              </w:rPr>
              <w:t xml:space="preserve">orking </w:t>
            </w:r>
            <w:r w:rsidR="000C1F5C" w:rsidRPr="001A1836">
              <w:rPr>
                <w:rFonts w:cs="Arial"/>
                <w:sz w:val="20"/>
              </w:rPr>
              <w:t>D</w:t>
            </w:r>
            <w:r w:rsidRPr="001A1836">
              <w:rPr>
                <w:rFonts w:cs="Arial"/>
                <w:sz w:val="20"/>
              </w:rPr>
              <w:t xml:space="preserve">ays of illegal </w:t>
            </w:r>
            <w:r w:rsidR="000C1F5C" w:rsidRPr="001A1836">
              <w:rPr>
                <w:rFonts w:cs="Arial"/>
                <w:sz w:val="20"/>
              </w:rPr>
              <w:t>Gas W</w:t>
            </w:r>
            <w:r w:rsidRPr="001A1836">
              <w:rPr>
                <w:rFonts w:cs="Arial"/>
                <w:sz w:val="20"/>
              </w:rPr>
              <w:t>ork being reported</w:t>
            </w:r>
          </w:p>
        </w:tc>
      </w:tr>
      <w:tr w:rsidR="00B074CC" w:rsidRPr="001A1836" w14:paraId="04DD060E" w14:textId="77777777" w:rsidTr="004D790B">
        <w:trPr>
          <w:cantSplit/>
        </w:trPr>
        <w:tc>
          <w:tcPr>
            <w:tcW w:w="802" w:type="dxa"/>
            <w:shd w:val="clear" w:color="auto" w:fill="auto"/>
          </w:tcPr>
          <w:p w14:paraId="60DD28CA" w14:textId="77777777" w:rsidR="00B074CC" w:rsidRPr="001A1836" w:rsidRDefault="00B074CC" w:rsidP="00626054">
            <w:pPr>
              <w:rPr>
                <w:rFonts w:cs="Arial"/>
                <w:sz w:val="20"/>
              </w:rPr>
            </w:pPr>
            <w:r w:rsidRPr="001A1836">
              <w:rPr>
                <w:rFonts w:cs="Arial"/>
                <w:sz w:val="20"/>
              </w:rPr>
              <w:t>4.17</w:t>
            </w:r>
          </w:p>
        </w:tc>
        <w:tc>
          <w:tcPr>
            <w:tcW w:w="1574" w:type="dxa"/>
            <w:gridSpan w:val="2"/>
            <w:shd w:val="clear" w:color="auto" w:fill="auto"/>
          </w:tcPr>
          <w:p w14:paraId="1F72AB0C" w14:textId="77777777" w:rsidR="00B074CC" w:rsidRPr="001A1836" w:rsidRDefault="00B074CC" w:rsidP="00626054">
            <w:pPr>
              <w:rPr>
                <w:rFonts w:cs="Arial"/>
                <w:sz w:val="20"/>
              </w:rPr>
            </w:pPr>
          </w:p>
        </w:tc>
        <w:tc>
          <w:tcPr>
            <w:tcW w:w="6865" w:type="dxa"/>
            <w:gridSpan w:val="3"/>
            <w:shd w:val="clear" w:color="auto" w:fill="auto"/>
          </w:tcPr>
          <w:p w14:paraId="0D18A0C9" w14:textId="29F761B9" w:rsidR="00B074CC" w:rsidRPr="001A1836" w:rsidRDefault="00B074CC" w:rsidP="00626054">
            <w:pPr>
              <w:rPr>
                <w:rFonts w:cs="Arial"/>
                <w:sz w:val="20"/>
              </w:rPr>
            </w:pPr>
            <w:r w:rsidRPr="001A1836">
              <w:rPr>
                <w:rFonts w:cs="Arial"/>
                <w:sz w:val="20"/>
              </w:rPr>
              <w:t xml:space="preserve">Number of quality leads raised for illegal </w:t>
            </w:r>
            <w:r w:rsidR="000C1F5C" w:rsidRPr="001A1836">
              <w:rPr>
                <w:rFonts w:cs="Arial"/>
                <w:sz w:val="20"/>
              </w:rPr>
              <w:t>G</w:t>
            </w:r>
            <w:r w:rsidRPr="001A1836">
              <w:rPr>
                <w:rFonts w:cs="Arial"/>
                <w:sz w:val="20"/>
              </w:rPr>
              <w:t xml:space="preserve">as </w:t>
            </w:r>
            <w:r w:rsidR="000C1F5C" w:rsidRPr="001A1836">
              <w:rPr>
                <w:rFonts w:cs="Arial"/>
                <w:sz w:val="20"/>
              </w:rPr>
              <w:t>W</w:t>
            </w:r>
            <w:r w:rsidRPr="001A1836">
              <w:rPr>
                <w:rFonts w:cs="Arial"/>
                <w:sz w:val="20"/>
              </w:rPr>
              <w:t>ork</w:t>
            </w:r>
          </w:p>
        </w:tc>
      </w:tr>
      <w:tr w:rsidR="00B074CC" w:rsidRPr="001A1836" w14:paraId="37A2F4B1" w14:textId="77777777" w:rsidTr="004D790B">
        <w:trPr>
          <w:cantSplit/>
        </w:trPr>
        <w:tc>
          <w:tcPr>
            <w:tcW w:w="802" w:type="dxa"/>
            <w:shd w:val="clear" w:color="auto" w:fill="auto"/>
          </w:tcPr>
          <w:p w14:paraId="2E3E020E" w14:textId="77777777" w:rsidR="00B074CC" w:rsidRPr="001A1836" w:rsidRDefault="00B074CC" w:rsidP="00626054">
            <w:pPr>
              <w:rPr>
                <w:rFonts w:cs="Arial"/>
                <w:sz w:val="20"/>
              </w:rPr>
            </w:pPr>
            <w:r w:rsidRPr="001A1836">
              <w:rPr>
                <w:rFonts w:cs="Arial"/>
                <w:sz w:val="20"/>
              </w:rPr>
              <w:t>4.18</w:t>
            </w:r>
          </w:p>
        </w:tc>
        <w:tc>
          <w:tcPr>
            <w:tcW w:w="1574" w:type="dxa"/>
            <w:gridSpan w:val="2"/>
            <w:shd w:val="clear" w:color="auto" w:fill="auto"/>
          </w:tcPr>
          <w:p w14:paraId="1BE1AB0E" w14:textId="77777777" w:rsidR="00B074CC" w:rsidRPr="001A1836" w:rsidRDefault="00B074CC" w:rsidP="00626054">
            <w:pPr>
              <w:rPr>
                <w:rFonts w:cs="Arial"/>
                <w:sz w:val="20"/>
              </w:rPr>
            </w:pPr>
          </w:p>
        </w:tc>
        <w:tc>
          <w:tcPr>
            <w:tcW w:w="6865" w:type="dxa"/>
            <w:gridSpan w:val="3"/>
            <w:shd w:val="clear" w:color="auto" w:fill="auto"/>
          </w:tcPr>
          <w:p w14:paraId="3B6BF501" w14:textId="77777777" w:rsidR="00B074CC" w:rsidRPr="001A1836" w:rsidRDefault="00B074CC" w:rsidP="00626054">
            <w:pPr>
              <w:rPr>
                <w:rFonts w:cs="Arial"/>
                <w:sz w:val="20"/>
              </w:rPr>
            </w:pPr>
            <w:r w:rsidRPr="001A1836">
              <w:rPr>
                <w:rFonts w:cs="Arial"/>
                <w:sz w:val="20"/>
              </w:rPr>
              <w:t>% of logged contacts resulting in a quality lead</w:t>
            </w:r>
          </w:p>
        </w:tc>
      </w:tr>
      <w:tr w:rsidR="00B074CC" w:rsidRPr="001A1836" w14:paraId="6F77C2FD" w14:textId="77777777" w:rsidTr="004D790B">
        <w:trPr>
          <w:cantSplit/>
        </w:trPr>
        <w:tc>
          <w:tcPr>
            <w:tcW w:w="802" w:type="dxa"/>
            <w:shd w:val="clear" w:color="auto" w:fill="auto"/>
          </w:tcPr>
          <w:p w14:paraId="0191EF2A" w14:textId="77777777" w:rsidR="00B074CC" w:rsidRPr="001A1836" w:rsidRDefault="00B074CC" w:rsidP="00626054">
            <w:pPr>
              <w:rPr>
                <w:rFonts w:cs="Arial"/>
                <w:sz w:val="20"/>
              </w:rPr>
            </w:pPr>
            <w:r w:rsidRPr="001A1836">
              <w:rPr>
                <w:rFonts w:cs="Arial"/>
                <w:sz w:val="20"/>
              </w:rPr>
              <w:t>4.19</w:t>
            </w:r>
          </w:p>
        </w:tc>
        <w:tc>
          <w:tcPr>
            <w:tcW w:w="1574" w:type="dxa"/>
            <w:gridSpan w:val="2"/>
            <w:shd w:val="clear" w:color="auto" w:fill="auto"/>
          </w:tcPr>
          <w:p w14:paraId="5690CEF6" w14:textId="77777777" w:rsidR="00B074CC" w:rsidRPr="001A1836" w:rsidRDefault="00B074CC" w:rsidP="00626054">
            <w:pPr>
              <w:rPr>
                <w:rFonts w:cs="Arial"/>
                <w:sz w:val="20"/>
              </w:rPr>
            </w:pPr>
          </w:p>
        </w:tc>
        <w:tc>
          <w:tcPr>
            <w:tcW w:w="6865" w:type="dxa"/>
            <w:gridSpan w:val="3"/>
            <w:shd w:val="clear" w:color="auto" w:fill="auto"/>
          </w:tcPr>
          <w:p w14:paraId="0C608FC2" w14:textId="70992F02" w:rsidR="00B074CC" w:rsidRPr="001A1836" w:rsidRDefault="00B074CC" w:rsidP="00626054">
            <w:pPr>
              <w:rPr>
                <w:rFonts w:cs="Arial"/>
                <w:sz w:val="20"/>
              </w:rPr>
            </w:pPr>
            <w:r w:rsidRPr="001A1836">
              <w:rPr>
                <w:rFonts w:cs="Arial"/>
                <w:sz w:val="20"/>
              </w:rPr>
              <w:t xml:space="preserve">Number of illegal </w:t>
            </w:r>
            <w:r w:rsidR="000C1F5C" w:rsidRPr="001A1836">
              <w:rPr>
                <w:rFonts w:cs="Arial"/>
                <w:sz w:val="20"/>
              </w:rPr>
              <w:t>Gas Work</w:t>
            </w:r>
            <w:r w:rsidRPr="001A1836">
              <w:rPr>
                <w:rFonts w:cs="Arial"/>
                <w:sz w:val="20"/>
              </w:rPr>
              <w:t xml:space="preserve"> sites found to be ID (will include visits logged previous month)</w:t>
            </w:r>
          </w:p>
        </w:tc>
      </w:tr>
      <w:tr w:rsidR="00B074CC" w:rsidRPr="001A1836" w14:paraId="3D2D3559" w14:textId="77777777" w:rsidTr="004D790B">
        <w:trPr>
          <w:cantSplit/>
        </w:trPr>
        <w:tc>
          <w:tcPr>
            <w:tcW w:w="802" w:type="dxa"/>
            <w:shd w:val="clear" w:color="auto" w:fill="auto"/>
          </w:tcPr>
          <w:p w14:paraId="608068FB" w14:textId="77777777" w:rsidR="00B074CC" w:rsidRPr="001A1836" w:rsidRDefault="00B074CC" w:rsidP="00626054">
            <w:pPr>
              <w:rPr>
                <w:rFonts w:cs="Arial"/>
                <w:sz w:val="20"/>
              </w:rPr>
            </w:pPr>
            <w:r w:rsidRPr="001A1836">
              <w:rPr>
                <w:rFonts w:cs="Arial"/>
                <w:sz w:val="20"/>
              </w:rPr>
              <w:t>4.20</w:t>
            </w:r>
          </w:p>
        </w:tc>
        <w:tc>
          <w:tcPr>
            <w:tcW w:w="1574" w:type="dxa"/>
            <w:gridSpan w:val="2"/>
            <w:shd w:val="clear" w:color="auto" w:fill="auto"/>
          </w:tcPr>
          <w:p w14:paraId="394855CD" w14:textId="77777777" w:rsidR="00B074CC" w:rsidRPr="001A1836" w:rsidRDefault="00B074CC" w:rsidP="00626054">
            <w:pPr>
              <w:rPr>
                <w:rFonts w:cs="Arial"/>
                <w:sz w:val="20"/>
              </w:rPr>
            </w:pPr>
          </w:p>
        </w:tc>
        <w:tc>
          <w:tcPr>
            <w:tcW w:w="6865" w:type="dxa"/>
            <w:gridSpan w:val="3"/>
            <w:shd w:val="clear" w:color="auto" w:fill="auto"/>
          </w:tcPr>
          <w:p w14:paraId="2710738A" w14:textId="3FAD482D" w:rsidR="00B074CC" w:rsidRPr="001A1836" w:rsidRDefault="00B074CC" w:rsidP="00626054">
            <w:pPr>
              <w:rPr>
                <w:rFonts w:cs="Arial"/>
                <w:sz w:val="20"/>
              </w:rPr>
            </w:pPr>
            <w:r w:rsidRPr="001A1836">
              <w:rPr>
                <w:rFonts w:cs="Arial"/>
                <w:sz w:val="20"/>
              </w:rPr>
              <w:t xml:space="preserve">Number of cases passed to HSE/other bodies on illegal </w:t>
            </w:r>
            <w:r w:rsidR="000C1F5C" w:rsidRPr="001A1836">
              <w:rPr>
                <w:rFonts w:cs="Arial"/>
                <w:sz w:val="20"/>
              </w:rPr>
              <w:t>Gas W</w:t>
            </w:r>
            <w:r w:rsidRPr="001A1836">
              <w:rPr>
                <w:rFonts w:cs="Arial"/>
                <w:sz w:val="20"/>
              </w:rPr>
              <w:t>ork</w:t>
            </w:r>
          </w:p>
        </w:tc>
      </w:tr>
      <w:tr w:rsidR="00B074CC" w:rsidRPr="001A1836" w14:paraId="25D83ECA" w14:textId="77777777" w:rsidTr="004D790B">
        <w:trPr>
          <w:cantSplit/>
        </w:trPr>
        <w:tc>
          <w:tcPr>
            <w:tcW w:w="802" w:type="dxa"/>
            <w:shd w:val="clear" w:color="auto" w:fill="auto"/>
          </w:tcPr>
          <w:p w14:paraId="0A64645D" w14:textId="77777777" w:rsidR="00B074CC" w:rsidRPr="001A1836" w:rsidRDefault="00B074CC" w:rsidP="00626054">
            <w:pPr>
              <w:rPr>
                <w:rFonts w:cs="Arial"/>
                <w:sz w:val="20"/>
              </w:rPr>
            </w:pPr>
            <w:r w:rsidRPr="001A1836">
              <w:rPr>
                <w:rFonts w:cs="Arial"/>
                <w:sz w:val="20"/>
              </w:rPr>
              <w:t>4.21</w:t>
            </w:r>
          </w:p>
        </w:tc>
        <w:tc>
          <w:tcPr>
            <w:tcW w:w="1574" w:type="dxa"/>
            <w:gridSpan w:val="2"/>
            <w:shd w:val="clear" w:color="auto" w:fill="auto"/>
          </w:tcPr>
          <w:p w14:paraId="486AECC5" w14:textId="77777777" w:rsidR="00B074CC" w:rsidRPr="001A1836" w:rsidRDefault="00B074CC" w:rsidP="00626054">
            <w:pPr>
              <w:rPr>
                <w:rFonts w:cs="Arial"/>
                <w:sz w:val="20"/>
              </w:rPr>
            </w:pPr>
          </w:p>
        </w:tc>
        <w:tc>
          <w:tcPr>
            <w:tcW w:w="6865" w:type="dxa"/>
            <w:gridSpan w:val="3"/>
            <w:shd w:val="clear" w:color="auto" w:fill="auto"/>
          </w:tcPr>
          <w:p w14:paraId="490A291E" w14:textId="6938E82F" w:rsidR="00B074CC" w:rsidRPr="001A1836" w:rsidRDefault="00B074CC" w:rsidP="005F7541">
            <w:pPr>
              <w:rPr>
                <w:rFonts w:cs="Arial"/>
                <w:sz w:val="20"/>
              </w:rPr>
            </w:pPr>
            <w:r w:rsidRPr="001A1836">
              <w:rPr>
                <w:rFonts w:cs="Arial"/>
                <w:sz w:val="20"/>
              </w:rPr>
              <w:t xml:space="preserve">Number of </w:t>
            </w:r>
            <w:r w:rsidR="005F7541">
              <w:rPr>
                <w:rFonts w:cs="Arial"/>
                <w:sz w:val="20"/>
              </w:rPr>
              <w:t>Illegal Gas Work Investigations</w:t>
            </w:r>
            <w:r w:rsidR="005F7541" w:rsidRPr="001A1836">
              <w:rPr>
                <w:rFonts w:cs="Arial"/>
                <w:sz w:val="20"/>
              </w:rPr>
              <w:t xml:space="preserve"> </w:t>
            </w:r>
            <w:r w:rsidRPr="001A1836">
              <w:rPr>
                <w:rFonts w:cs="Arial"/>
                <w:sz w:val="20"/>
              </w:rPr>
              <w:t>resulting in ‘out of scope’ process being implemented against a registered business</w:t>
            </w:r>
          </w:p>
        </w:tc>
      </w:tr>
      <w:tr w:rsidR="00B074CC" w:rsidRPr="001A1836" w14:paraId="70957B34" w14:textId="77777777" w:rsidTr="004D790B">
        <w:trPr>
          <w:cantSplit/>
        </w:trPr>
        <w:tc>
          <w:tcPr>
            <w:tcW w:w="802" w:type="dxa"/>
            <w:shd w:val="clear" w:color="auto" w:fill="auto"/>
          </w:tcPr>
          <w:p w14:paraId="73ED8B85" w14:textId="77777777" w:rsidR="00B074CC" w:rsidRPr="001A1836" w:rsidRDefault="00B074CC" w:rsidP="00626054">
            <w:pPr>
              <w:rPr>
                <w:rFonts w:cs="Arial"/>
                <w:b/>
                <w:sz w:val="24"/>
                <w:szCs w:val="24"/>
              </w:rPr>
            </w:pPr>
            <w:r w:rsidRPr="001A1836">
              <w:rPr>
                <w:rFonts w:cs="Arial"/>
                <w:b/>
                <w:sz w:val="24"/>
                <w:szCs w:val="24"/>
              </w:rPr>
              <w:t>5.00</w:t>
            </w:r>
          </w:p>
        </w:tc>
        <w:tc>
          <w:tcPr>
            <w:tcW w:w="8439" w:type="dxa"/>
            <w:gridSpan w:val="5"/>
            <w:shd w:val="clear" w:color="auto" w:fill="auto"/>
          </w:tcPr>
          <w:p w14:paraId="7B0E59BC" w14:textId="77777777" w:rsidR="00B074CC" w:rsidRPr="001A1836" w:rsidRDefault="00B074CC" w:rsidP="00626054">
            <w:pPr>
              <w:rPr>
                <w:rFonts w:cs="Arial"/>
                <w:b/>
                <w:sz w:val="24"/>
                <w:szCs w:val="24"/>
              </w:rPr>
            </w:pPr>
            <w:r w:rsidRPr="001A1836">
              <w:rPr>
                <w:rFonts w:cs="Arial"/>
                <w:b/>
                <w:sz w:val="24"/>
                <w:szCs w:val="24"/>
              </w:rPr>
              <w:t>Service delivery</w:t>
            </w:r>
          </w:p>
        </w:tc>
      </w:tr>
      <w:tr w:rsidR="00B074CC" w:rsidRPr="001A1836" w14:paraId="6649974B" w14:textId="77777777" w:rsidTr="004D790B">
        <w:trPr>
          <w:cantSplit/>
        </w:trPr>
        <w:tc>
          <w:tcPr>
            <w:tcW w:w="802" w:type="dxa"/>
            <w:shd w:val="clear" w:color="auto" w:fill="auto"/>
          </w:tcPr>
          <w:p w14:paraId="31A4681D" w14:textId="77777777" w:rsidR="00B074CC" w:rsidRPr="001A1836" w:rsidRDefault="00B074CC" w:rsidP="00626054">
            <w:pPr>
              <w:rPr>
                <w:rFonts w:cs="Arial"/>
                <w:sz w:val="20"/>
              </w:rPr>
            </w:pPr>
          </w:p>
        </w:tc>
        <w:tc>
          <w:tcPr>
            <w:tcW w:w="1574" w:type="dxa"/>
            <w:gridSpan w:val="2"/>
            <w:shd w:val="clear" w:color="auto" w:fill="auto"/>
          </w:tcPr>
          <w:p w14:paraId="0B3ADB82" w14:textId="77777777" w:rsidR="00B074CC" w:rsidRPr="001A1836" w:rsidRDefault="00B074CC" w:rsidP="00626054">
            <w:pPr>
              <w:rPr>
                <w:rFonts w:cs="Arial"/>
                <w:sz w:val="20"/>
              </w:rPr>
            </w:pPr>
          </w:p>
        </w:tc>
        <w:tc>
          <w:tcPr>
            <w:tcW w:w="6865" w:type="dxa"/>
            <w:gridSpan w:val="3"/>
            <w:shd w:val="clear" w:color="auto" w:fill="auto"/>
          </w:tcPr>
          <w:p w14:paraId="6C03BBD4" w14:textId="77777777" w:rsidR="00B074CC" w:rsidRPr="001A1836" w:rsidRDefault="00B074CC" w:rsidP="00626054">
            <w:pPr>
              <w:rPr>
                <w:rFonts w:cs="Arial"/>
                <w:b/>
                <w:sz w:val="20"/>
              </w:rPr>
            </w:pPr>
            <w:r w:rsidRPr="001A1836">
              <w:rPr>
                <w:rFonts w:cs="Arial"/>
                <w:b/>
                <w:sz w:val="20"/>
              </w:rPr>
              <w:t>Complaints about service</w:t>
            </w:r>
          </w:p>
        </w:tc>
      </w:tr>
      <w:tr w:rsidR="00B074CC" w:rsidRPr="001A1836" w14:paraId="31CA8C30" w14:textId="77777777" w:rsidTr="004D790B">
        <w:trPr>
          <w:cantSplit/>
        </w:trPr>
        <w:tc>
          <w:tcPr>
            <w:tcW w:w="802" w:type="dxa"/>
            <w:shd w:val="clear" w:color="auto" w:fill="auto"/>
          </w:tcPr>
          <w:p w14:paraId="303E0C03" w14:textId="77777777" w:rsidR="00B074CC" w:rsidRPr="001A1836" w:rsidRDefault="00B074CC" w:rsidP="00626054">
            <w:pPr>
              <w:rPr>
                <w:rFonts w:cs="Arial"/>
                <w:sz w:val="20"/>
              </w:rPr>
            </w:pPr>
            <w:r w:rsidRPr="001A1836">
              <w:rPr>
                <w:rFonts w:cs="Arial"/>
                <w:sz w:val="20"/>
              </w:rPr>
              <w:t>5.01</w:t>
            </w:r>
          </w:p>
        </w:tc>
        <w:tc>
          <w:tcPr>
            <w:tcW w:w="1574" w:type="dxa"/>
            <w:gridSpan w:val="2"/>
            <w:shd w:val="clear" w:color="auto" w:fill="auto"/>
          </w:tcPr>
          <w:p w14:paraId="575F9AEB" w14:textId="77777777" w:rsidR="00B074CC" w:rsidRPr="001A1836" w:rsidRDefault="00B074CC" w:rsidP="00626054">
            <w:pPr>
              <w:rPr>
                <w:rFonts w:cs="Arial"/>
                <w:sz w:val="20"/>
              </w:rPr>
            </w:pPr>
          </w:p>
        </w:tc>
        <w:tc>
          <w:tcPr>
            <w:tcW w:w="6865" w:type="dxa"/>
            <w:gridSpan w:val="3"/>
            <w:shd w:val="clear" w:color="auto" w:fill="auto"/>
          </w:tcPr>
          <w:p w14:paraId="09C6FC52" w14:textId="77777777" w:rsidR="00B074CC" w:rsidRPr="001A1836" w:rsidRDefault="00B074CC" w:rsidP="00626054">
            <w:pPr>
              <w:rPr>
                <w:rFonts w:cs="Arial"/>
                <w:sz w:val="20"/>
              </w:rPr>
            </w:pPr>
            <w:r w:rsidRPr="001A1836">
              <w:rPr>
                <w:rFonts w:cs="Arial"/>
                <w:sz w:val="20"/>
              </w:rPr>
              <w:t>Number of consumer complaints about the service</w:t>
            </w:r>
          </w:p>
        </w:tc>
      </w:tr>
      <w:tr w:rsidR="00B074CC" w:rsidRPr="001A1836" w14:paraId="70E98AAD" w14:textId="77777777" w:rsidTr="004D790B">
        <w:trPr>
          <w:cantSplit/>
        </w:trPr>
        <w:tc>
          <w:tcPr>
            <w:tcW w:w="802" w:type="dxa"/>
            <w:shd w:val="clear" w:color="auto" w:fill="auto"/>
          </w:tcPr>
          <w:p w14:paraId="4270E255" w14:textId="77777777" w:rsidR="00B074CC" w:rsidRPr="001A1836" w:rsidRDefault="00B074CC" w:rsidP="00626054">
            <w:pPr>
              <w:rPr>
                <w:rFonts w:cs="Arial"/>
                <w:sz w:val="20"/>
              </w:rPr>
            </w:pPr>
            <w:r w:rsidRPr="001A1836">
              <w:rPr>
                <w:rFonts w:cs="Arial"/>
                <w:sz w:val="20"/>
              </w:rPr>
              <w:t>5.02</w:t>
            </w:r>
          </w:p>
        </w:tc>
        <w:tc>
          <w:tcPr>
            <w:tcW w:w="1574" w:type="dxa"/>
            <w:gridSpan w:val="2"/>
            <w:shd w:val="clear" w:color="auto" w:fill="auto"/>
          </w:tcPr>
          <w:p w14:paraId="7FA7A8FF" w14:textId="77777777" w:rsidR="00B074CC" w:rsidRPr="001A1836" w:rsidRDefault="00B074CC" w:rsidP="00626054">
            <w:pPr>
              <w:rPr>
                <w:rFonts w:cs="Arial"/>
                <w:sz w:val="20"/>
              </w:rPr>
            </w:pPr>
          </w:p>
        </w:tc>
        <w:tc>
          <w:tcPr>
            <w:tcW w:w="6865" w:type="dxa"/>
            <w:gridSpan w:val="3"/>
            <w:shd w:val="clear" w:color="auto" w:fill="auto"/>
          </w:tcPr>
          <w:p w14:paraId="5E0B41D6" w14:textId="77777777" w:rsidR="00B074CC" w:rsidRPr="001A1836" w:rsidRDefault="00B074CC" w:rsidP="00626054">
            <w:pPr>
              <w:rPr>
                <w:rFonts w:cs="Arial"/>
                <w:sz w:val="20"/>
              </w:rPr>
            </w:pPr>
            <w:r w:rsidRPr="001A1836">
              <w:rPr>
                <w:rFonts w:cs="Arial"/>
                <w:sz w:val="20"/>
              </w:rPr>
              <w:t>Number of justified consumer complaints about the service</w:t>
            </w:r>
          </w:p>
        </w:tc>
      </w:tr>
      <w:tr w:rsidR="00B074CC" w:rsidRPr="001A1836" w14:paraId="30352575" w14:textId="77777777" w:rsidTr="004D790B">
        <w:trPr>
          <w:cantSplit/>
        </w:trPr>
        <w:tc>
          <w:tcPr>
            <w:tcW w:w="802" w:type="dxa"/>
            <w:shd w:val="clear" w:color="auto" w:fill="auto"/>
          </w:tcPr>
          <w:p w14:paraId="4A7A0A2E" w14:textId="77777777" w:rsidR="00B074CC" w:rsidRPr="001A1836" w:rsidRDefault="00B074CC" w:rsidP="00626054">
            <w:pPr>
              <w:rPr>
                <w:rFonts w:cs="Arial"/>
                <w:sz w:val="20"/>
              </w:rPr>
            </w:pPr>
            <w:r w:rsidRPr="001A1836">
              <w:rPr>
                <w:rFonts w:cs="Arial"/>
                <w:sz w:val="20"/>
              </w:rPr>
              <w:t>5.03</w:t>
            </w:r>
          </w:p>
        </w:tc>
        <w:tc>
          <w:tcPr>
            <w:tcW w:w="1574" w:type="dxa"/>
            <w:gridSpan w:val="2"/>
            <w:shd w:val="clear" w:color="auto" w:fill="auto"/>
          </w:tcPr>
          <w:p w14:paraId="46E55FF3" w14:textId="77777777" w:rsidR="00B074CC" w:rsidRPr="001A1836" w:rsidRDefault="00B074CC" w:rsidP="00626054">
            <w:pPr>
              <w:rPr>
                <w:rFonts w:cs="Arial"/>
                <w:sz w:val="20"/>
              </w:rPr>
            </w:pPr>
          </w:p>
        </w:tc>
        <w:tc>
          <w:tcPr>
            <w:tcW w:w="6865" w:type="dxa"/>
            <w:gridSpan w:val="3"/>
            <w:shd w:val="clear" w:color="auto" w:fill="auto"/>
          </w:tcPr>
          <w:p w14:paraId="689ED3ED" w14:textId="002E3525" w:rsidR="00B074CC" w:rsidRPr="001A1836" w:rsidRDefault="00B074CC" w:rsidP="00626054">
            <w:pPr>
              <w:rPr>
                <w:rFonts w:cs="Arial"/>
                <w:sz w:val="20"/>
              </w:rPr>
            </w:pPr>
            <w:r w:rsidRPr="001A1836">
              <w:rPr>
                <w:rFonts w:cs="Arial"/>
                <w:sz w:val="20"/>
              </w:rPr>
              <w:t xml:space="preserve">% of consumer complaints against the service responded to within 5 </w:t>
            </w:r>
            <w:r w:rsidR="000C1F5C" w:rsidRPr="001A1836">
              <w:rPr>
                <w:rFonts w:cs="Arial"/>
                <w:sz w:val="20"/>
              </w:rPr>
              <w:t>W</w:t>
            </w:r>
            <w:r w:rsidRPr="001A1836">
              <w:rPr>
                <w:rFonts w:cs="Arial"/>
                <w:sz w:val="20"/>
              </w:rPr>
              <w:t xml:space="preserve">orking </w:t>
            </w:r>
            <w:r w:rsidR="000C1F5C" w:rsidRPr="001A1836">
              <w:rPr>
                <w:rFonts w:cs="Arial"/>
                <w:sz w:val="20"/>
              </w:rPr>
              <w:t>D</w:t>
            </w:r>
            <w:r w:rsidRPr="001A1836">
              <w:rPr>
                <w:rFonts w:cs="Arial"/>
                <w:sz w:val="20"/>
              </w:rPr>
              <w:t>ays</w:t>
            </w:r>
          </w:p>
        </w:tc>
      </w:tr>
      <w:tr w:rsidR="00B074CC" w:rsidRPr="001A1836" w14:paraId="23471BC9" w14:textId="77777777" w:rsidTr="004D790B">
        <w:trPr>
          <w:cantSplit/>
        </w:trPr>
        <w:tc>
          <w:tcPr>
            <w:tcW w:w="802" w:type="dxa"/>
            <w:shd w:val="clear" w:color="auto" w:fill="auto"/>
          </w:tcPr>
          <w:p w14:paraId="01EAC4BC" w14:textId="77777777" w:rsidR="00B074CC" w:rsidRPr="001A1836" w:rsidRDefault="00B074CC" w:rsidP="00626054">
            <w:pPr>
              <w:rPr>
                <w:rFonts w:cs="Arial"/>
                <w:sz w:val="20"/>
              </w:rPr>
            </w:pPr>
            <w:r w:rsidRPr="001A1836">
              <w:rPr>
                <w:rFonts w:cs="Arial"/>
                <w:sz w:val="20"/>
              </w:rPr>
              <w:t>5.04</w:t>
            </w:r>
          </w:p>
        </w:tc>
        <w:tc>
          <w:tcPr>
            <w:tcW w:w="1574" w:type="dxa"/>
            <w:gridSpan w:val="2"/>
            <w:shd w:val="clear" w:color="auto" w:fill="auto"/>
          </w:tcPr>
          <w:p w14:paraId="268A21DC" w14:textId="77777777" w:rsidR="00B074CC" w:rsidRPr="001A1836" w:rsidRDefault="00B074CC" w:rsidP="00626054">
            <w:pPr>
              <w:rPr>
                <w:rFonts w:cs="Arial"/>
                <w:sz w:val="20"/>
              </w:rPr>
            </w:pPr>
          </w:p>
        </w:tc>
        <w:tc>
          <w:tcPr>
            <w:tcW w:w="6865" w:type="dxa"/>
            <w:gridSpan w:val="3"/>
            <w:shd w:val="clear" w:color="auto" w:fill="auto"/>
          </w:tcPr>
          <w:p w14:paraId="1C41CC4B" w14:textId="77777777" w:rsidR="00B074CC" w:rsidRPr="001A1836" w:rsidRDefault="00B074CC" w:rsidP="00626054">
            <w:pPr>
              <w:rPr>
                <w:rFonts w:cs="Arial"/>
                <w:sz w:val="20"/>
              </w:rPr>
            </w:pPr>
            <w:r w:rsidRPr="001A1836">
              <w:rPr>
                <w:rFonts w:cs="Arial"/>
                <w:sz w:val="20"/>
              </w:rPr>
              <w:t>Number of registrant complaints about the service (inc renewal)</w:t>
            </w:r>
          </w:p>
        </w:tc>
      </w:tr>
      <w:tr w:rsidR="00B074CC" w:rsidRPr="001A1836" w14:paraId="0362F9A5" w14:textId="77777777" w:rsidTr="004D790B">
        <w:trPr>
          <w:cantSplit/>
        </w:trPr>
        <w:tc>
          <w:tcPr>
            <w:tcW w:w="802" w:type="dxa"/>
            <w:shd w:val="clear" w:color="auto" w:fill="auto"/>
          </w:tcPr>
          <w:p w14:paraId="7A01ACE2" w14:textId="77777777" w:rsidR="00B074CC" w:rsidRPr="001A1836" w:rsidRDefault="00B074CC" w:rsidP="00626054">
            <w:pPr>
              <w:rPr>
                <w:rFonts w:cs="Arial"/>
                <w:sz w:val="20"/>
              </w:rPr>
            </w:pPr>
            <w:r w:rsidRPr="001A1836">
              <w:rPr>
                <w:rFonts w:cs="Arial"/>
                <w:sz w:val="20"/>
              </w:rPr>
              <w:t>5.05</w:t>
            </w:r>
          </w:p>
        </w:tc>
        <w:tc>
          <w:tcPr>
            <w:tcW w:w="1574" w:type="dxa"/>
            <w:gridSpan w:val="2"/>
            <w:shd w:val="clear" w:color="auto" w:fill="auto"/>
          </w:tcPr>
          <w:p w14:paraId="2D524327" w14:textId="77777777" w:rsidR="00B074CC" w:rsidRPr="001A1836" w:rsidRDefault="00B074CC" w:rsidP="00626054">
            <w:pPr>
              <w:rPr>
                <w:rFonts w:cs="Arial"/>
                <w:sz w:val="20"/>
              </w:rPr>
            </w:pPr>
          </w:p>
        </w:tc>
        <w:tc>
          <w:tcPr>
            <w:tcW w:w="6865" w:type="dxa"/>
            <w:gridSpan w:val="3"/>
            <w:shd w:val="clear" w:color="auto" w:fill="auto"/>
          </w:tcPr>
          <w:p w14:paraId="47E6FC1F" w14:textId="77777777" w:rsidR="00B074CC" w:rsidRPr="001A1836" w:rsidRDefault="00B074CC" w:rsidP="00626054">
            <w:pPr>
              <w:rPr>
                <w:rFonts w:cs="Arial"/>
                <w:sz w:val="20"/>
              </w:rPr>
            </w:pPr>
            <w:r w:rsidRPr="001A1836">
              <w:rPr>
                <w:rFonts w:cs="Arial"/>
                <w:sz w:val="20"/>
              </w:rPr>
              <w:t>Number of justified registrant complaints about service (inc renewal)</w:t>
            </w:r>
          </w:p>
        </w:tc>
      </w:tr>
      <w:tr w:rsidR="00B074CC" w:rsidRPr="001A1836" w14:paraId="1583CFF4" w14:textId="77777777" w:rsidTr="004D790B">
        <w:trPr>
          <w:cantSplit/>
        </w:trPr>
        <w:tc>
          <w:tcPr>
            <w:tcW w:w="802" w:type="dxa"/>
            <w:shd w:val="clear" w:color="auto" w:fill="auto"/>
          </w:tcPr>
          <w:p w14:paraId="070FF441" w14:textId="77777777" w:rsidR="00B074CC" w:rsidRPr="001A1836" w:rsidRDefault="00B074CC" w:rsidP="00626054">
            <w:pPr>
              <w:rPr>
                <w:rFonts w:cs="Arial"/>
                <w:sz w:val="20"/>
              </w:rPr>
            </w:pPr>
            <w:r w:rsidRPr="001A1836">
              <w:rPr>
                <w:rFonts w:cs="Arial"/>
                <w:sz w:val="20"/>
              </w:rPr>
              <w:t>5.06</w:t>
            </w:r>
          </w:p>
        </w:tc>
        <w:tc>
          <w:tcPr>
            <w:tcW w:w="1574" w:type="dxa"/>
            <w:gridSpan w:val="2"/>
            <w:shd w:val="clear" w:color="auto" w:fill="auto"/>
          </w:tcPr>
          <w:p w14:paraId="0A1A15C4" w14:textId="77777777" w:rsidR="00B074CC" w:rsidRPr="001A1836" w:rsidRDefault="00B074CC" w:rsidP="00626054">
            <w:pPr>
              <w:rPr>
                <w:rFonts w:cs="Arial"/>
                <w:sz w:val="20"/>
              </w:rPr>
            </w:pPr>
          </w:p>
        </w:tc>
        <w:tc>
          <w:tcPr>
            <w:tcW w:w="6865" w:type="dxa"/>
            <w:gridSpan w:val="3"/>
            <w:shd w:val="clear" w:color="auto" w:fill="auto"/>
          </w:tcPr>
          <w:p w14:paraId="25C1C3DE" w14:textId="74AC122D" w:rsidR="00B074CC" w:rsidRPr="001A1836" w:rsidRDefault="00B074CC" w:rsidP="00626054">
            <w:pPr>
              <w:rPr>
                <w:rFonts w:cs="Arial"/>
                <w:sz w:val="20"/>
              </w:rPr>
            </w:pPr>
            <w:r w:rsidRPr="001A1836">
              <w:rPr>
                <w:rFonts w:cs="Arial"/>
                <w:sz w:val="20"/>
              </w:rPr>
              <w:t xml:space="preserve">% of complaints by registered businesses against the service responded to within 5 </w:t>
            </w:r>
            <w:r w:rsidR="000C1F5C" w:rsidRPr="001A1836">
              <w:rPr>
                <w:rFonts w:cs="Arial"/>
                <w:sz w:val="20"/>
              </w:rPr>
              <w:t>W</w:t>
            </w:r>
            <w:r w:rsidRPr="001A1836">
              <w:rPr>
                <w:rFonts w:cs="Arial"/>
                <w:sz w:val="20"/>
              </w:rPr>
              <w:t xml:space="preserve">orking </w:t>
            </w:r>
            <w:r w:rsidR="000C1F5C" w:rsidRPr="001A1836">
              <w:rPr>
                <w:rFonts w:cs="Arial"/>
                <w:sz w:val="20"/>
              </w:rPr>
              <w:t>D</w:t>
            </w:r>
            <w:r w:rsidRPr="001A1836">
              <w:rPr>
                <w:rFonts w:cs="Arial"/>
                <w:sz w:val="20"/>
              </w:rPr>
              <w:t>ays</w:t>
            </w:r>
          </w:p>
        </w:tc>
      </w:tr>
      <w:tr w:rsidR="00B074CC" w:rsidRPr="001A1836" w14:paraId="762F88F4" w14:textId="77777777" w:rsidTr="004D790B">
        <w:trPr>
          <w:cantSplit/>
        </w:trPr>
        <w:tc>
          <w:tcPr>
            <w:tcW w:w="802" w:type="dxa"/>
            <w:shd w:val="clear" w:color="auto" w:fill="auto"/>
          </w:tcPr>
          <w:p w14:paraId="7CCD6EDF" w14:textId="77777777" w:rsidR="00B074CC" w:rsidRPr="001A1836" w:rsidRDefault="00B074CC" w:rsidP="00626054">
            <w:pPr>
              <w:rPr>
                <w:rFonts w:cs="Arial"/>
                <w:sz w:val="20"/>
              </w:rPr>
            </w:pPr>
            <w:r w:rsidRPr="001A1836">
              <w:rPr>
                <w:rFonts w:cs="Arial"/>
                <w:sz w:val="20"/>
              </w:rPr>
              <w:t>5.07</w:t>
            </w:r>
          </w:p>
        </w:tc>
        <w:tc>
          <w:tcPr>
            <w:tcW w:w="1574" w:type="dxa"/>
            <w:gridSpan w:val="2"/>
            <w:shd w:val="clear" w:color="auto" w:fill="auto"/>
          </w:tcPr>
          <w:p w14:paraId="702359CB" w14:textId="77777777" w:rsidR="00B074CC" w:rsidRPr="001A1836" w:rsidRDefault="00B074CC" w:rsidP="00626054">
            <w:pPr>
              <w:rPr>
                <w:rFonts w:cs="Arial"/>
                <w:sz w:val="20"/>
              </w:rPr>
            </w:pPr>
            <w:r w:rsidRPr="001A1836">
              <w:rPr>
                <w:rFonts w:cs="Arial"/>
                <w:sz w:val="20"/>
              </w:rPr>
              <w:t>SL09</w:t>
            </w:r>
          </w:p>
        </w:tc>
        <w:tc>
          <w:tcPr>
            <w:tcW w:w="6865" w:type="dxa"/>
            <w:gridSpan w:val="3"/>
            <w:shd w:val="clear" w:color="auto" w:fill="auto"/>
          </w:tcPr>
          <w:p w14:paraId="1738B975" w14:textId="77777777" w:rsidR="00B074CC" w:rsidRPr="001A1836" w:rsidRDefault="00B074CC" w:rsidP="00626054">
            <w:pPr>
              <w:rPr>
                <w:rFonts w:cs="Arial"/>
                <w:sz w:val="20"/>
              </w:rPr>
            </w:pPr>
            <w:r w:rsidRPr="001A1836">
              <w:rPr>
                <w:rFonts w:cs="Arial"/>
                <w:sz w:val="20"/>
              </w:rPr>
              <w:t>Total number of justified complaints about the service</w:t>
            </w:r>
          </w:p>
        </w:tc>
      </w:tr>
      <w:tr w:rsidR="00B074CC" w:rsidRPr="001A1836" w14:paraId="7DFE9279" w14:textId="77777777" w:rsidTr="004D790B">
        <w:trPr>
          <w:cantSplit/>
        </w:trPr>
        <w:tc>
          <w:tcPr>
            <w:tcW w:w="802" w:type="dxa"/>
            <w:shd w:val="clear" w:color="auto" w:fill="auto"/>
          </w:tcPr>
          <w:p w14:paraId="18A5F579" w14:textId="77777777" w:rsidR="00B074CC" w:rsidRPr="001A1836" w:rsidRDefault="00B074CC" w:rsidP="00626054">
            <w:pPr>
              <w:rPr>
                <w:rFonts w:cs="Arial"/>
                <w:sz w:val="20"/>
              </w:rPr>
            </w:pPr>
            <w:r w:rsidRPr="001A1836">
              <w:rPr>
                <w:rFonts w:cs="Arial"/>
                <w:sz w:val="20"/>
              </w:rPr>
              <w:t>5.08</w:t>
            </w:r>
          </w:p>
        </w:tc>
        <w:tc>
          <w:tcPr>
            <w:tcW w:w="1574" w:type="dxa"/>
            <w:gridSpan w:val="2"/>
            <w:shd w:val="clear" w:color="auto" w:fill="auto"/>
          </w:tcPr>
          <w:p w14:paraId="31C6EE1C" w14:textId="77777777" w:rsidR="00B074CC" w:rsidRPr="001A1836" w:rsidRDefault="00B074CC" w:rsidP="00626054">
            <w:pPr>
              <w:rPr>
                <w:rFonts w:cs="Arial"/>
                <w:sz w:val="20"/>
              </w:rPr>
            </w:pPr>
            <w:r w:rsidRPr="001A1836">
              <w:rPr>
                <w:rFonts w:cs="Arial"/>
                <w:sz w:val="20"/>
              </w:rPr>
              <w:t>SL10</w:t>
            </w:r>
          </w:p>
        </w:tc>
        <w:tc>
          <w:tcPr>
            <w:tcW w:w="6865" w:type="dxa"/>
            <w:gridSpan w:val="3"/>
            <w:shd w:val="clear" w:color="auto" w:fill="auto"/>
          </w:tcPr>
          <w:p w14:paraId="37A98921" w14:textId="713386F9" w:rsidR="00B074CC" w:rsidRPr="001A1836" w:rsidRDefault="00B074CC" w:rsidP="00626054">
            <w:pPr>
              <w:rPr>
                <w:rFonts w:cs="Arial"/>
                <w:sz w:val="20"/>
              </w:rPr>
            </w:pPr>
            <w:r w:rsidRPr="001A1836">
              <w:rPr>
                <w:rFonts w:cs="Arial"/>
                <w:sz w:val="20"/>
              </w:rPr>
              <w:t xml:space="preserve">% of all complaints about the service responded to within 5 </w:t>
            </w:r>
            <w:r w:rsidR="000C1F5C" w:rsidRPr="001A1836">
              <w:rPr>
                <w:rFonts w:cs="Arial"/>
                <w:sz w:val="20"/>
              </w:rPr>
              <w:t>W</w:t>
            </w:r>
            <w:r w:rsidRPr="001A1836">
              <w:rPr>
                <w:rFonts w:cs="Arial"/>
                <w:sz w:val="20"/>
              </w:rPr>
              <w:t xml:space="preserve">orking </w:t>
            </w:r>
            <w:r w:rsidR="000C1F5C" w:rsidRPr="001A1836">
              <w:rPr>
                <w:rFonts w:cs="Arial"/>
                <w:sz w:val="20"/>
              </w:rPr>
              <w:t>D</w:t>
            </w:r>
            <w:r w:rsidRPr="001A1836">
              <w:rPr>
                <w:rFonts w:cs="Arial"/>
                <w:sz w:val="20"/>
              </w:rPr>
              <w:t>ays</w:t>
            </w:r>
          </w:p>
        </w:tc>
      </w:tr>
      <w:tr w:rsidR="00B074CC" w:rsidRPr="001A1836" w14:paraId="5FC059E4" w14:textId="77777777" w:rsidTr="004D790B">
        <w:trPr>
          <w:cantSplit/>
        </w:trPr>
        <w:tc>
          <w:tcPr>
            <w:tcW w:w="802" w:type="dxa"/>
            <w:shd w:val="clear" w:color="auto" w:fill="auto"/>
          </w:tcPr>
          <w:p w14:paraId="2A4623D8" w14:textId="77777777" w:rsidR="00B074CC" w:rsidRPr="001A1836" w:rsidRDefault="00B074CC" w:rsidP="00626054">
            <w:pPr>
              <w:rPr>
                <w:rFonts w:cs="Arial"/>
                <w:sz w:val="20"/>
              </w:rPr>
            </w:pPr>
          </w:p>
        </w:tc>
        <w:tc>
          <w:tcPr>
            <w:tcW w:w="1574" w:type="dxa"/>
            <w:gridSpan w:val="2"/>
            <w:shd w:val="clear" w:color="auto" w:fill="auto"/>
          </w:tcPr>
          <w:p w14:paraId="5FD9E0EC" w14:textId="77777777" w:rsidR="00B074CC" w:rsidRPr="001A1836" w:rsidRDefault="00B074CC" w:rsidP="00626054">
            <w:pPr>
              <w:rPr>
                <w:rFonts w:cs="Arial"/>
                <w:sz w:val="20"/>
              </w:rPr>
            </w:pPr>
          </w:p>
        </w:tc>
        <w:tc>
          <w:tcPr>
            <w:tcW w:w="6865" w:type="dxa"/>
            <w:gridSpan w:val="3"/>
            <w:shd w:val="clear" w:color="auto" w:fill="auto"/>
          </w:tcPr>
          <w:p w14:paraId="44969434" w14:textId="77777777" w:rsidR="00B074CC" w:rsidRPr="001A1836" w:rsidRDefault="00B074CC" w:rsidP="00626054">
            <w:pPr>
              <w:rPr>
                <w:rFonts w:cs="Arial"/>
                <w:b/>
                <w:sz w:val="20"/>
              </w:rPr>
            </w:pPr>
            <w:r w:rsidRPr="001A1836">
              <w:rPr>
                <w:rFonts w:cs="Arial"/>
                <w:b/>
                <w:sz w:val="20"/>
              </w:rPr>
              <w:t>Contact centre delivery</w:t>
            </w:r>
          </w:p>
        </w:tc>
      </w:tr>
      <w:tr w:rsidR="00B074CC" w:rsidRPr="001A1836" w14:paraId="1309592E" w14:textId="77777777" w:rsidTr="004D790B">
        <w:trPr>
          <w:cantSplit/>
        </w:trPr>
        <w:tc>
          <w:tcPr>
            <w:tcW w:w="802" w:type="dxa"/>
            <w:shd w:val="clear" w:color="auto" w:fill="auto"/>
          </w:tcPr>
          <w:p w14:paraId="71457936" w14:textId="77777777" w:rsidR="00B074CC" w:rsidRPr="001A1836" w:rsidRDefault="00B074CC" w:rsidP="00626054">
            <w:pPr>
              <w:rPr>
                <w:rFonts w:cs="Arial"/>
                <w:sz w:val="20"/>
              </w:rPr>
            </w:pPr>
            <w:r w:rsidRPr="001A1836">
              <w:rPr>
                <w:rFonts w:cs="Arial"/>
                <w:sz w:val="20"/>
              </w:rPr>
              <w:t>5.09</w:t>
            </w:r>
          </w:p>
        </w:tc>
        <w:tc>
          <w:tcPr>
            <w:tcW w:w="1574" w:type="dxa"/>
            <w:gridSpan w:val="2"/>
            <w:shd w:val="clear" w:color="auto" w:fill="auto"/>
          </w:tcPr>
          <w:p w14:paraId="1147F05A" w14:textId="77777777" w:rsidR="00B074CC" w:rsidRPr="001A1836" w:rsidRDefault="00B074CC" w:rsidP="00626054">
            <w:pPr>
              <w:rPr>
                <w:rFonts w:cs="Arial"/>
                <w:sz w:val="20"/>
              </w:rPr>
            </w:pPr>
          </w:p>
        </w:tc>
        <w:tc>
          <w:tcPr>
            <w:tcW w:w="6865" w:type="dxa"/>
            <w:gridSpan w:val="3"/>
            <w:shd w:val="clear" w:color="auto" w:fill="auto"/>
          </w:tcPr>
          <w:p w14:paraId="0FDC572F" w14:textId="77777777" w:rsidR="00B074CC" w:rsidRPr="001A1836" w:rsidRDefault="00B074CC" w:rsidP="00626054">
            <w:pPr>
              <w:rPr>
                <w:rFonts w:cs="Arial"/>
                <w:sz w:val="20"/>
              </w:rPr>
            </w:pPr>
            <w:r w:rsidRPr="001A1836">
              <w:rPr>
                <w:rFonts w:cs="Arial"/>
                <w:sz w:val="20"/>
              </w:rPr>
              <w:t>Total number of calls to contact centre</w:t>
            </w:r>
          </w:p>
        </w:tc>
      </w:tr>
      <w:tr w:rsidR="00B074CC" w:rsidRPr="001A1836" w14:paraId="7CF9F0F6" w14:textId="77777777" w:rsidTr="004D790B">
        <w:trPr>
          <w:cantSplit/>
        </w:trPr>
        <w:tc>
          <w:tcPr>
            <w:tcW w:w="802" w:type="dxa"/>
            <w:shd w:val="clear" w:color="auto" w:fill="auto"/>
          </w:tcPr>
          <w:p w14:paraId="68AEE88A" w14:textId="77777777" w:rsidR="00B074CC" w:rsidRPr="001A1836" w:rsidRDefault="00B074CC" w:rsidP="00626054">
            <w:pPr>
              <w:rPr>
                <w:rFonts w:cs="Arial"/>
                <w:sz w:val="20"/>
              </w:rPr>
            </w:pPr>
            <w:r w:rsidRPr="001A1836">
              <w:rPr>
                <w:rFonts w:cs="Arial"/>
                <w:sz w:val="20"/>
              </w:rPr>
              <w:t>5.10</w:t>
            </w:r>
          </w:p>
        </w:tc>
        <w:tc>
          <w:tcPr>
            <w:tcW w:w="1574" w:type="dxa"/>
            <w:gridSpan w:val="2"/>
            <w:shd w:val="clear" w:color="auto" w:fill="auto"/>
          </w:tcPr>
          <w:p w14:paraId="191BE421" w14:textId="77777777" w:rsidR="00B074CC" w:rsidRPr="001A1836" w:rsidRDefault="00B074CC" w:rsidP="00626054">
            <w:pPr>
              <w:rPr>
                <w:rFonts w:cs="Arial"/>
                <w:sz w:val="20"/>
              </w:rPr>
            </w:pPr>
          </w:p>
        </w:tc>
        <w:tc>
          <w:tcPr>
            <w:tcW w:w="6865" w:type="dxa"/>
            <w:gridSpan w:val="3"/>
            <w:shd w:val="clear" w:color="auto" w:fill="auto"/>
          </w:tcPr>
          <w:p w14:paraId="5E0B9257" w14:textId="77777777" w:rsidR="00B074CC" w:rsidRPr="001A1836" w:rsidRDefault="00B074CC" w:rsidP="00626054">
            <w:pPr>
              <w:rPr>
                <w:rFonts w:cs="Arial"/>
                <w:sz w:val="20"/>
              </w:rPr>
            </w:pPr>
            <w:r w:rsidRPr="001A1836">
              <w:rPr>
                <w:rFonts w:cs="Arial"/>
                <w:sz w:val="20"/>
              </w:rPr>
              <w:t>Total number of telephone calls answered by contact centre</w:t>
            </w:r>
          </w:p>
        </w:tc>
      </w:tr>
      <w:tr w:rsidR="00B074CC" w:rsidRPr="001A1836" w14:paraId="73F5FB00" w14:textId="77777777" w:rsidTr="004D790B">
        <w:trPr>
          <w:cantSplit/>
        </w:trPr>
        <w:tc>
          <w:tcPr>
            <w:tcW w:w="802" w:type="dxa"/>
            <w:shd w:val="clear" w:color="auto" w:fill="auto"/>
          </w:tcPr>
          <w:p w14:paraId="1B9E1A03" w14:textId="77777777" w:rsidR="00B074CC" w:rsidRPr="001A1836" w:rsidRDefault="00B074CC" w:rsidP="00626054">
            <w:pPr>
              <w:rPr>
                <w:rFonts w:cs="Arial"/>
                <w:sz w:val="20"/>
              </w:rPr>
            </w:pPr>
            <w:r w:rsidRPr="001A1836">
              <w:rPr>
                <w:rFonts w:cs="Arial"/>
                <w:sz w:val="20"/>
              </w:rPr>
              <w:t>5.11</w:t>
            </w:r>
          </w:p>
        </w:tc>
        <w:tc>
          <w:tcPr>
            <w:tcW w:w="1574" w:type="dxa"/>
            <w:gridSpan w:val="2"/>
            <w:shd w:val="clear" w:color="auto" w:fill="auto"/>
          </w:tcPr>
          <w:p w14:paraId="1B589652" w14:textId="77777777" w:rsidR="00B074CC" w:rsidRPr="001A1836" w:rsidRDefault="00B074CC" w:rsidP="00626054">
            <w:pPr>
              <w:rPr>
                <w:rFonts w:cs="Arial"/>
                <w:sz w:val="20"/>
              </w:rPr>
            </w:pPr>
          </w:p>
        </w:tc>
        <w:tc>
          <w:tcPr>
            <w:tcW w:w="6865" w:type="dxa"/>
            <w:gridSpan w:val="3"/>
            <w:shd w:val="clear" w:color="auto" w:fill="auto"/>
          </w:tcPr>
          <w:p w14:paraId="308B883B" w14:textId="77777777" w:rsidR="00B074CC" w:rsidRPr="001A1836" w:rsidRDefault="00B074CC" w:rsidP="00626054">
            <w:pPr>
              <w:rPr>
                <w:rFonts w:cs="Arial"/>
                <w:sz w:val="20"/>
              </w:rPr>
            </w:pPr>
            <w:r w:rsidRPr="001A1836">
              <w:rPr>
                <w:rFonts w:cs="Arial"/>
                <w:sz w:val="20"/>
              </w:rPr>
              <w:t>Number of consumer enquiries received</w:t>
            </w:r>
          </w:p>
        </w:tc>
      </w:tr>
      <w:tr w:rsidR="00B074CC" w:rsidRPr="001A1836" w14:paraId="12E30D8E" w14:textId="77777777" w:rsidTr="004D790B">
        <w:trPr>
          <w:cantSplit/>
        </w:trPr>
        <w:tc>
          <w:tcPr>
            <w:tcW w:w="802" w:type="dxa"/>
            <w:shd w:val="clear" w:color="auto" w:fill="auto"/>
          </w:tcPr>
          <w:p w14:paraId="3EAB1859" w14:textId="77777777" w:rsidR="00B074CC" w:rsidRPr="001A1836" w:rsidRDefault="00B074CC" w:rsidP="00626054">
            <w:pPr>
              <w:rPr>
                <w:rFonts w:cs="Arial"/>
                <w:sz w:val="20"/>
              </w:rPr>
            </w:pPr>
            <w:r w:rsidRPr="001A1836">
              <w:rPr>
                <w:rFonts w:cs="Arial"/>
                <w:sz w:val="20"/>
              </w:rPr>
              <w:t>5.12</w:t>
            </w:r>
          </w:p>
        </w:tc>
        <w:tc>
          <w:tcPr>
            <w:tcW w:w="1574" w:type="dxa"/>
            <w:gridSpan w:val="2"/>
            <w:shd w:val="clear" w:color="auto" w:fill="auto"/>
          </w:tcPr>
          <w:p w14:paraId="44D1F728" w14:textId="77777777" w:rsidR="00B074CC" w:rsidRPr="001A1836" w:rsidRDefault="00B074CC" w:rsidP="00626054">
            <w:pPr>
              <w:rPr>
                <w:rFonts w:cs="Arial"/>
                <w:sz w:val="20"/>
              </w:rPr>
            </w:pPr>
          </w:p>
        </w:tc>
        <w:tc>
          <w:tcPr>
            <w:tcW w:w="6865" w:type="dxa"/>
            <w:gridSpan w:val="3"/>
            <w:shd w:val="clear" w:color="auto" w:fill="auto"/>
          </w:tcPr>
          <w:p w14:paraId="460397CA" w14:textId="77777777" w:rsidR="00B074CC" w:rsidRPr="001A1836" w:rsidRDefault="00B074CC" w:rsidP="00626054">
            <w:pPr>
              <w:rPr>
                <w:rFonts w:cs="Arial"/>
                <w:sz w:val="20"/>
              </w:rPr>
            </w:pPr>
            <w:r w:rsidRPr="001A1836">
              <w:rPr>
                <w:rFonts w:cs="Arial"/>
                <w:sz w:val="20"/>
              </w:rPr>
              <w:t>Number of Gas Safety Advice Line calls received</w:t>
            </w:r>
          </w:p>
        </w:tc>
      </w:tr>
      <w:tr w:rsidR="00B074CC" w:rsidRPr="001A1836" w14:paraId="4808936F" w14:textId="77777777" w:rsidTr="004D790B">
        <w:trPr>
          <w:cantSplit/>
        </w:trPr>
        <w:tc>
          <w:tcPr>
            <w:tcW w:w="802" w:type="dxa"/>
            <w:shd w:val="clear" w:color="auto" w:fill="auto"/>
          </w:tcPr>
          <w:p w14:paraId="2B8BCD04" w14:textId="77777777" w:rsidR="00B074CC" w:rsidRPr="001A1836" w:rsidRDefault="00B074CC" w:rsidP="00626054">
            <w:pPr>
              <w:rPr>
                <w:rFonts w:cs="Arial"/>
                <w:sz w:val="20"/>
              </w:rPr>
            </w:pPr>
            <w:r w:rsidRPr="001A1836">
              <w:rPr>
                <w:rFonts w:cs="Arial"/>
                <w:sz w:val="20"/>
              </w:rPr>
              <w:t>5.13</w:t>
            </w:r>
          </w:p>
        </w:tc>
        <w:tc>
          <w:tcPr>
            <w:tcW w:w="1574" w:type="dxa"/>
            <w:gridSpan w:val="2"/>
            <w:shd w:val="clear" w:color="auto" w:fill="auto"/>
          </w:tcPr>
          <w:p w14:paraId="2D44D06C" w14:textId="77777777" w:rsidR="00B074CC" w:rsidRPr="001A1836" w:rsidRDefault="00B074CC" w:rsidP="00626054">
            <w:pPr>
              <w:rPr>
                <w:rFonts w:cs="Arial"/>
                <w:sz w:val="20"/>
              </w:rPr>
            </w:pPr>
          </w:p>
        </w:tc>
        <w:tc>
          <w:tcPr>
            <w:tcW w:w="6865" w:type="dxa"/>
            <w:gridSpan w:val="3"/>
            <w:shd w:val="clear" w:color="auto" w:fill="auto"/>
          </w:tcPr>
          <w:p w14:paraId="43FC7B07" w14:textId="77777777" w:rsidR="00B074CC" w:rsidRPr="001A1836" w:rsidRDefault="00B074CC" w:rsidP="00626054">
            <w:pPr>
              <w:rPr>
                <w:rFonts w:cs="Arial"/>
                <w:sz w:val="20"/>
              </w:rPr>
            </w:pPr>
            <w:r w:rsidRPr="001A1836">
              <w:rPr>
                <w:rFonts w:cs="Arial"/>
                <w:sz w:val="20"/>
              </w:rPr>
              <w:t>Number of registration calls received</w:t>
            </w:r>
          </w:p>
        </w:tc>
      </w:tr>
      <w:tr w:rsidR="00B074CC" w:rsidRPr="001A1836" w14:paraId="445AD21D" w14:textId="77777777" w:rsidTr="004D790B">
        <w:trPr>
          <w:cantSplit/>
        </w:trPr>
        <w:tc>
          <w:tcPr>
            <w:tcW w:w="802" w:type="dxa"/>
            <w:shd w:val="clear" w:color="auto" w:fill="auto"/>
          </w:tcPr>
          <w:p w14:paraId="0C0CE5A4" w14:textId="77777777" w:rsidR="00B074CC" w:rsidRPr="001A1836" w:rsidRDefault="00B074CC" w:rsidP="00626054">
            <w:pPr>
              <w:rPr>
                <w:rFonts w:cs="Arial"/>
                <w:sz w:val="20"/>
              </w:rPr>
            </w:pPr>
            <w:r w:rsidRPr="001A1836">
              <w:rPr>
                <w:rFonts w:cs="Arial"/>
                <w:sz w:val="20"/>
              </w:rPr>
              <w:lastRenderedPageBreak/>
              <w:t>5.14</w:t>
            </w:r>
          </w:p>
        </w:tc>
        <w:tc>
          <w:tcPr>
            <w:tcW w:w="1574" w:type="dxa"/>
            <w:gridSpan w:val="2"/>
            <w:shd w:val="clear" w:color="auto" w:fill="auto"/>
          </w:tcPr>
          <w:p w14:paraId="65D26FA9" w14:textId="77777777" w:rsidR="00B074CC" w:rsidRPr="001A1836" w:rsidRDefault="00B074CC" w:rsidP="00626054">
            <w:pPr>
              <w:rPr>
                <w:rFonts w:cs="Arial"/>
                <w:sz w:val="20"/>
              </w:rPr>
            </w:pPr>
          </w:p>
        </w:tc>
        <w:tc>
          <w:tcPr>
            <w:tcW w:w="6865" w:type="dxa"/>
            <w:gridSpan w:val="3"/>
            <w:shd w:val="clear" w:color="auto" w:fill="auto"/>
          </w:tcPr>
          <w:p w14:paraId="5512913E" w14:textId="77777777" w:rsidR="00B074CC" w:rsidRPr="001A1836" w:rsidRDefault="00B074CC" w:rsidP="00626054">
            <w:pPr>
              <w:rPr>
                <w:rFonts w:cs="Arial"/>
                <w:sz w:val="20"/>
              </w:rPr>
            </w:pPr>
            <w:r w:rsidRPr="001A1836">
              <w:rPr>
                <w:rFonts w:cs="Arial"/>
                <w:sz w:val="20"/>
              </w:rPr>
              <w:t>% of contact centre telephone calls answered by contact centre staff</w:t>
            </w:r>
          </w:p>
        </w:tc>
      </w:tr>
      <w:tr w:rsidR="00B074CC" w:rsidRPr="001A1836" w14:paraId="4D20F02F" w14:textId="77777777" w:rsidTr="004D790B">
        <w:trPr>
          <w:cantSplit/>
        </w:trPr>
        <w:tc>
          <w:tcPr>
            <w:tcW w:w="802" w:type="dxa"/>
            <w:shd w:val="clear" w:color="auto" w:fill="auto"/>
          </w:tcPr>
          <w:p w14:paraId="6B3B6D29" w14:textId="77777777" w:rsidR="00B074CC" w:rsidRPr="001A1836" w:rsidRDefault="00B074CC" w:rsidP="00626054">
            <w:pPr>
              <w:rPr>
                <w:rFonts w:cs="Arial"/>
                <w:sz w:val="20"/>
              </w:rPr>
            </w:pPr>
            <w:r w:rsidRPr="001A1836">
              <w:rPr>
                <w:rFonts w:cs="Arial"/>
                <w:sz w:val="20"/>
              </w:rPr>
              <w:t>5.15</w:t>
            </w:r>
          </w:p>
        </w:tc>
        <w:tc>
          <w:tcPr>
            <w:tcW w:w="1574" w:type="dxa"/>
            <w:gridSpan w:val="2"/>
            <w:shd w:val="clear" w:color="auto" w:fill="auto"/>
          </w:tcPr>
          <w:p w14:paraId="61D7BACC" w14:textId="77777777" w:rsidR="00B074CC" w:rsidRPr="001A1836" w:rsidRDefault="00B074CC" w:rsidP="00626054">
            <w:pPr>
              <w:rPr>
                <w:rFonts w:cs="Arial"/>
                <w:sz w:val="20"/>
              </w:rPr>
            </w:pPr>
            <w:r w:rsidRPr="001A1836">
              <w:rPr>
                <w:rFonts w:cs="Arial"/>
                <w:sz w:val="20"/>
              </w:rPr>
              <w:t>SL11</w:t>
            </w:r>
          </w:p>
        </w:tc>
        <w:tc>
          <w:tcPr>
            <w:tcW w:w="6865" w:type="dxa"/>
            <w:gridSpan w:val="3"/>
            <w:shd w:val="clear" w:color="auto" w:fill="auto"/>
          </w:tcPr>
          <w:p w14:paraId="2C261C85" w14:textId="77777777" w:rsidR="00B074CC" w:rsidRPr="001A1836" w:rsidRDefault="00B074CC" w:rsidP="00626054">
            <w:pPr>
              <w:rPr>
                <w:rFonts w:cs="Arial"/>
                <w:sz w:val="20"/>
              </w:rPr>
            </w:pPr>
            <w:r w:rsidRPr="001A1836">
              <w:rPr>
                <w:rFonts w:cs="Arial"/>
                <w:sz w:val="20"/>
              </w:rPr>
              <w:t>% of contact centre telephone calls answered within 60 seconds by contact centre staff</w:t>
            </w:r>
          </w:p>
        </w:tc>
      </w:tr>
      <w:tr w:rsidR="00B074CC" w:rsidRPr="001A1836" w14:paraId="542B24CC" w14:textId="77777777" w:rsidTr="004D790B">
        <w:trPr>
          <w:cantSplit/>
        </w:trPr>
        <w:tc>
          <w:tcPr>
            <w:tcW w:w="802" w:type="dxa"/>
            <w:shd w:val="clear" w:color="auto" w:fill="auto"/>
          </w:tcPr>
          <w:p w14:paraId="03AB1B10" w14:textId="77777777" w:rsidR="00B074CC" w:rsidRPr="001A1836" w:rsidRDefault="00B074CC" w:rsidP="00626054">
            <w:pPr>
              <w:rPr>
                <w:rFonts w:cs="Arial"/>
                <w:sz w:val="20"/>
              </w:rPr>
            </w:pPr>
            <w:r w:rsidRPr="001A1836">
              <w:rPr>
                <w:rFonts w:cs="Arial"/>
                <w:sz w:val="20"/>
              </w:rPr>
              <w:t>5.16</w:t>
            </w:r>
          </w:p>
        </w:tc>
        <w:tc>
          <w:tcPr>
            <w:tcW w:w="1574" w:type="dxa"/>
            <w:gridSpan w:val="2"/>
            <w:shd w:val="clear" w:color="auto" w:fill="auto"/>
          </w:tcPr>
          <w:p w14:paraId="5639DC13" w14:textId="77777777" w:rsidR="00B074CC" w:rsidRPr="001A1836" w:rsidRDefault="00B074CC" w:rsidP="00626054">
            <w:pPr>
              <w:rPr>
                <w:rFonts w:cs="Arial"/>
                <w:sz w:val="20"/>
              </w:rPr>
            </w:pPr>
          </w:p>
        </w:tc>
        <w:tc>
          <w:tcPr>
            <w:tcW w:w="6865" w:type="dxa"/>
            <w:gridSpan w:val="3"/>
            <w:shd w:val="clear" w:color="auto" w:fill="auto"/>
          </w:tcPr>
          <w:p w14:paraId="04BCA5A4" w14:textId="77777777" w:rsidR="00B074CC" w:rsidRPr="001A1836" w:rsidRDefault="00B074CC" w:rsidP="00626054">
            <w:pPr>
              <w:rPr>
                <w:rFonts w:cs="Arial"/>
                <w:sz w:val="20"/>
              </w:rPr>
            </w:pPr>
            <w:r w:rsidRPr="001A1836">
              <w:rPr>
                <w:rFonts w:cs="Arial"/>
                <w:sz w:val="20"/>
              </w:rPr>
              <w:t>Average call wait time - contact centre</w:t>
            </w:r>
          </w:p>
        </w:tc>
      </w:tr>
      <w:tr w:rsidR="00B074CC" w:rsidRPr="001A1836" w14:paraId="6C727E4B" w14:textId="77777777" w:rsidTr="004D790B">
        <w:trPr>
          <w:cantSplit/>
        </w:trPr>
        <w:tc>
          <w:tcPr>
            <w:tcW w:w="802" w:type="dxa"/>
            <w:shd w:val="clear" w:color="auto" w:fill="auto"/>
          </w:tcPr>
          <w:p w14:paraId="162F83FF" w14:textId="77777777" w:rsidR="00B074CC" w:rsidRPr="001A1836" w:rsidRDefault="00B074CC" w:rsidP="00626054">
            <w:pPr>
              <w:rPr>
                <w:rFonts w:cs="Arial"/>
                <w:sz w:val="20"/>
              </w:rPr>
            </w:pPr>
            <w:r w:rsidRPr="001A1836">
              <w:rPr>
                <w:rFonts w:cs="Arial"/>
                <w:sz w:val="20"/>
              </w:rPr>
              <w:t>5.17</w:t>
            </w:r>
          </w:p>
        </w:tc>
        <w:tc>
          <w:tcPr>
            <w:tcW w:w="1574" w:type="dxa"/>
            <w:gridSpan w:val="2"/>
            <w:shd w:val="clear" w:color="auto" w:fill="auto"/>
          </w:tcPr>
          <w:p w14:paraId="37E797F7" w14:textId="77777777" w:rsidR="00B074CC" w:rsidRPr="001A1836" w:rsidRDefault="00B074CC" w:rsidP="00626054">
            <w:pPr>
              <w:rPr>
                <w:rFonts w:cs="Arial"/>
                <w:sz w:val="20"/>
              </w:rPr>
            </w:pPr>
          </w:p>
        </w:tc>
        <w:tc>
          <w:tcPr>
            <w:tcW w:w="6865" w:type="dxa"/>
            <w:gridSpan w:val="3"/>
            <w:shd w:val="clear" w:color="auto" w:fill="auto"/>
          </w:tcPr>
          <w:p w14:paraId="4ABDBFC3" w14:textId="77777777" w:rsidR="00B074CC" w:rsidRPr="001A1836" w:rsidRDefault="00B074CC" w:rsidP="00626054">
            <w:pPr>
              <w:rPr>
                <w:rFonts w:cs="Arial"/>
                <w:sz w:val="20"/>
              </w:rPr>
            </w:pPr>
            <w:r w:rsidRPr="001A1836">
              <w:rPr>
                <w:rFonts w:cs="Arial"/>
                <w:sz w:val="20"/>
              </w:rPr>
              <w:t>Volume of inbound correspondence (email, letter)</w:t>
            </w:r>
          </w:p>
        </w:tc>
      </w:tr>
      <w:tr w:rsidR="00B074CC" w:rsidRPr="001A1836" w14:paraId="7C696CF2" w14:textId="77777777" w:rsidTr="004D790B">
        <w:trPr>
          <w:cantSplit/>
        </w:trPr>
        <w:tc>
          <w:tcPr>
            <w:tcW w:w="802" w:type="dxa"/>
            <w:shd w:val="clear" w:color="auto" w:fill="auto"/>
          </w:tcPr>
          <w:p w14:paraId="7F63F702" w14:textId="77777777" w:rsidR="00B074CC" w:rsidRPr="001A1836" w:rsidRDefault="00B074CC" w:rsidP="00626054">
            <w:pPr>
              <w:rPr>
                <w:rFonts w:cs="Arial"/>
                <w:sz w:val="20"/>
              </w:rPr>
            </w:pPr>
            <w:r w:rsidRPr="001A1836">
              <w:rPr>
                <w:rFonts w:cs="Arial"/>
                <w:sz w:val="20"/>
              </w:rPr>
              <w:t>5.18</w:t>
            </w:r>
          </w:p>
        </w:tc>
        <w:tc>
          <w:tcPr>
            <w:tcW w:w="1574" w:type="dxa"/>
            <w:gridSpan w:val="2"/>
            <w:shd w:val="clear" w:color="auto" w:fill="auto"/>
          </w:tcPr>
          <w:p w14:paraId="3907F9FE" w14:textId="77777777" w:rsidR="00B074CC" w:rsidRPr="001A1836" w:rsidRDefault="00B074CC" w:rsidP="00626054">
            <w:pPr>
              <w:rPr>
                <w:rFonts w:cs="Arial"/>
                <w:sz w:val="20"/>
              </w:rPr>
            </w:pPr>
          </w:p>
        </w:tc>
        <w:tc>
          <w:tcPr>
            <w:tcW w:w="6865" w:type="dxa"/>
            <w:gridSpan w:val="3"/>
            <w:shd w:val="clear" w:color="auto" w:fill="auto"/>
          </w:tcPr>
          <w:p w14:paraId="020E5F44" w14:textId="5864D9F0" w:rsidR="00B074CC" w:rsidRPr="001A1836" w:rsidRDefault="00B074CC" w:rsidP="00626054">
            <w:pPr>
              <w:rPr>
                <w:rFonts w:cs="Arial"/>
                <w:sz w:val="20"/>
              </w:rPr>
            </w:pPr>
            <w:r w:rsidRPr="001A1836">
              <w:rPr>
                <w:rFonts w:cs="Arial"/>
                <w:sz w:val="20"/>
              </w:rPr>
              <w:t xml:space="preserve">% of inbound correspondence (email, letter) replied to within 5 </w:t>
            </w:r>
            <w:r w:rsidR="000C1F5C" w:rsidRPr="001A1836">
              <w:rPr>
                <w:rFonts w:cs="Arial"/>
                <w:sz w:val="20"/>
              </w:rPr>
              <w:t>W</w:t>
            </w:r>
            <w:r w:rsidRPr="001A1836">
              <w:rPr>
                <w:rFonts w:cs="Arial"/>
                <w:sz w:val="20"/>
              </w:rPr>
              <w:t xml:space="preserve">orking </w:t>
            </w:r>
            <w:r w:rsidR="000C1F5C" w:rsidRPr="001A1836">
              <w:rPr>
                <w:rFonts w:cs="Arial"/>
                <w:sz w:val="20"/>
              </w:rPr>
              <w:t>D</w:t>
            </w:r>
            <w:r w:rsidRPr="001A1836">
              <w:rPr>
                <w:rFonts w:cs="Arial"/>
                <w:sz w:val="20"/>
              </w:rPr>
              <w:t>ays</w:t>
            </w:r>
          </w:p>
        </w:tc>
      </w:tr>
      <w:tr w:rsidR="00B074CC" w:rsidRPr="001A1836" w14:paraId="2479B0F9" w14:textId="77777777" w:rsidTr="004D790B">
        <w:trPr>
          <w:cantSplit/>
        </w:trPr>
        <w:tc>
          <w:tcPr>
            <w:tcW w:w="802" w:type="dxa"/>
            <w:shd w:val="clear" w:color="auto" w:fill="auto"/>
          </w:tcPr>
          <w:p w14:paraId="7385776D" w14:textId="77777777" w:rsidR="00B074CC" w:rsidRPr="001A1836" w:rsidRDefault="00B074CC" w:rsidP="00626054">
            <w:pPr>
              <w:rPr>
                <w:rFonts w:cs="Arial"/>
                <w:sz w:val="20"/>
              </w:rPr>
            </w:pPr>
          </w:p>
        </w:tc>
        <w:tc>
          <w:tcPr>
            <w:tcW w:w="1574" w:type="dxa"/>
            <w:gridSpan w:val="2"/>
            <w:shd w:val="clear" w:color="auto" w:fill="auto"/>
          </w:tcPr>
          <w:p w14:paraId="62437693" w14:textId="77777777" w:rsidR="00B074CC" w:rsidRPr="001A1836" w:rsidRDefault="00B074CC" w:rsidP="00626054">
            <w:pPr>
              <w:rPr>
                <w:rFonts w:cs="Arial"/>
                <w:sz w:val="20"/>
              </w:rPr>
            </w:pPr>
          </w:p>
        </w:tc>
        <w:tc>
          <w:tcPr>
            <w:tcW w:w="6865" w:type="dxa"/>
            <w:gridSpan w:val="3"/>
            <w:shd w:val="clear" w:color="auto" w:fill="auto"/>
          </w:tcPr>
          <w:p w14:paraId="5128C77C" w14:textId="77777777" w:rsidR="00B074CC" w:rsidRPr="001A1836" w:rsidRDefault="00B074CC" w:rsidP="00626054">
            <w:pPr>
              <w:rPr>
                <w:rFonts w:cs="Arial"/>
                <w:b/>
                <w:sz w:val="20"/>
              </w:rPr>
            </w:pPr>
            <w:r w:rsidRPr="001A1836">
              <w:rPr>
                <w:rFonts w:cs="Arial"/>
                <w:b/>
                <w:sz w:val="20"/>
              </w:rPr>
              <w:t>Technical helpline</w:t>
            </w:r>
          </w:p>
        </w:tc>
      </w:tr>
      <w:tr w:rsidR="00B074CC" w:rsidRPr="001A1836" w14:paraId="42A108DA" w14:textId="77777777" w:rsidTr="004D790B">
        <w:trPr>
          <w:cantSplit/>
        </w:trPr>
        <w:tc>
          <w:tcPr>
            <w:tcW w:w="802" w:type="dxa"/>
            <w:shd w:val="clear" w:color="auto" w:fill="auto"/>
          </w:tcPr>
          <w:p w14:paraId="6B86FA86" w14:textId="77777777" w:rsidR="00B074CC" w:rsidRPr="001A1836" w:rsidRDefault="00B074CC" w:rsidP="00626054">
            <w:pPr>
              <w:rPr>
                <w:rFonts w:cs="Arial"/>
                <w:sz w:val="20"/>
              </w:rPr>
            </w:pPr>
            <w:r w:rsidRPr="001A1836">
              <w:rPr>
                <w:rFonts w:cs="Arial"/>
                <w:sz w:val="20"/>
              </w:rPr>
              <w:t>5.19</w:t>
            </w:r>
          </w:p>
        </w:tc>
        <w:tc>
          <w:tcPr>
            <w:tcW w:w="1574" w:type="dxa"/>
            <w:gridSpan w:val="2"/>
            <w:shd w:val="clear" w:color="auto" w:fill="auto"/>
          </w:tcPr>
          <w:p w14:paraId="3445DE1E" w14:textId="77777777" w:rsidR="00B074CC" w:rsidRPr="001A1836" w:rsidRDefault="00B074CC" w:rsidP="00626054">
            <w:pPr>
              <w:rPr>
                <w:rFonts w:cs="Arial"/>
                <w:sz w:val="20"/>
              </w:rPr>
            </w:pPr>
          </w:p>
        </w:tc>
        <w:tc>
          <w:tcPr>
            <w:tcW w:w="6865" w:type="dxa"/>
            <w:gridSpan w:val="3"/>
            <w:shd w:val="clear" w:color="auto" w:fill="auto"/>
          </w:tcPr>
          <w:p w14:paraId="7766ED0D" w14:textId="77777777" w:rsidR="00B074CC" w:rsidRPr="001A1836" w:rsidRDefault="00B074CC" w:rsidP="00626054">
            <w:pPr>
              <w:rPr>
                <w:rFonts w:cs="Arial"/>
                <w:sz w:val="20"/>
              </w:rPr>
            </w:pPr>
            <w:r w:rsidRPr="001A1836">
              <w:rPr>
                <w:rFonts w:cs="Arial"/>
                <w:sz w:val="20"/>
              </w:rPr>
              <w:t>Number of technical calls received</w:t>
            </w:r>
          </w:p>
        </w:tc>
      </w:tr>
      <w:tr w:rsidR="00B074CC" w:rsidRPr="001A1836" w14:paraId="74918876" w14:textId="77777777" w:rsidTr="004D790B">
        <w:trPr>
          <w:cantSplit/>
        </w:trPr>
        <w:tc>
          <w:tcPr>
            <w:tcW w:w="802" w:type="dxa"/>
            <w:shd w:val="clear" w:color="auto" w:fill="auto"/>
          </w:tcPr>
          <w:p w14:paraId="36DD7A39" w14:textId="77777777" w:rsidR="00B074CC" w:rsidRPr="001A1836" w:rsidRDefault="00B074CC" w:rsidP="00626054">
            <w:pPr>
              <w:rPr>
                <w:rFonts w:cs="Arial"/>
                <w:sz w:val="20"/>
              </w:rPr>
            </w:pPr>
            <w:r w:rsidRPr="001A1836">
              <w:rPr>
                <w:rFonts w:cs="Arial"/>
                <w:sz w:val="20"/>
              </w:rPr>
              <w:t>5.20</w:t>
            </w:r>
          </w:p>
        </w:tc>
        <w:tc>
          <w:tcPr>
            <w:tcW w:w="1574" w:type="dxa"/>
            <w:gridSpan w:val="2"/>
            <w:shd w:val="clear" w:color="auto" w:fill="auto"/>
          </w:tcPr>
          <w:p w14:paraId="69A6AD2E" w14:textId="77777777" w:rsidR="00B074CC" w:rsidRPr="001A1836" w:rsidRDefault="00B074CC" w:rsidP="00626054">
            <w:pPr>
              <w:rPr>
                <w:rFonts w:cs="Arial"/>
                <w:sz w:val="20"/>
              </w:rPr>
            </w:pPr>
          </w:p>
        </w:tc>
        <w:tc>
          <w:tcPr>
            <w:tcW w:w="6865" w:type="dxa"/>
            <w:gridSpan w:val="3"/>
            <w:shd w:val="clear" w:color="auto" w:fill="auto"/>
          </w:tcPr>
          <w:p w14:paraId="3A4E9AB3" w14:textId="77777777" w:rsidR="00B074CC" w:rsidRPr="001A1836" w:rsidRDefault="00B074CC" w:rsidP="00626054">
            <w:pPr>
              <w:rPr>
                <w:rFonts w:cs="Arial"/>
                <w:sz w:val="20"/>
              </w:rPr>
            </w:pPr>
            <w:r w:rsidRPr="001A1836">
              <w:rPr>
                <w:rFonts w:cs="Arial"/>
                <w:sz w:val="20"/>
              </w:rPr>
              <w:t>Number of technical calls answered</w:t>
            </w:r>
          </w:p>
        </w:tc>
      </w:tr>
      <w:tr w:rsidR="00B074CC" w:rsidRPr="001A1836" w14:paraId="2D4D32A7" w14:textId="77777777" w:rsidTr="004D790B">
        <w:trPr>
          <w:cantSplit/>
        </w:trPr>
        <w:tc>
          <w:tcPr>
            <w:tcW w:w="802" w:type="dxa"/>
            <w:shd w:val="clear" w:color="auto" w:fill="auto"/>
          </w:tcPr>
          <w:p w14:paraId="0E2D02FE" w14:textId="77777777" w:rsidR="00B074CC" w:rsidRPr="001A1836" w:rsidRDefault="00B074CC" w:rsidP="00626054">
            <w:pPr>
              <w:rPr>
                <w:rFonts w:cs="Arial"/>
                <w:sz w:val="20"/>
              </w:rPr>
            </w:pPr>
            <w:r w:rsidRPr="001A1836">
              <w:rPr>
                <w:rFonts w:cs="Arial"/>
                <w:sz w:val="20"/>
              </w:rPr>
              <w:t>5.21</w:t>
            </w:r>
          </w:p>
        </w:tc>
        <w:tc>
          <w:tcPr>
            <w:tcW w:w="1574" w:type="dxa"/>
            <w:gridSpan w:val="2"/>
            <w:shd w:val="clear" w:color="auto" w:fill="auto"/>
          </w:tcPr>
          <w:p w14:paraId="6FD881F1" w14:textId="77777777" w:rsidR="00B074CC" w:rsidRPr="001A1836" w:rsidRDefault="00B074CC" w:rsidP="00626054">
            <w:pPr>
              <w:rPr>
                <w:rFonts w:cs="Arial"/>
                <w:sz w:val="20"/>
              </w:rPr>
            </w:pPr>
          </w:p>
        </w:tc>
        <w:tc>
          <w:tcPr>
            <w:tcW w:w="6865" w:type="dxa"/>
            <w:gridSpan w:val="3"/>
            <w:shd w:val="clear" w:color="auto" w:fill="auto"/>
          </w:tcPr>
          <w:p w14:paraId="5FFDF92E" w14:textId="77777777" w:rsidR="00B074CC" w:rsidRPr="001A1836" w:rsidRDefault="00B074CC" w:rsidP="00626054">
            <w:pPr>
              <w:rPr>
                <w:rFonts w:cs="Arial"/>
                <w:sz w:val="20"/>
              </w:rPr>
            </w:pPr>
            <w:r w:rsidRPr="001A1836">
              <w:rPr>
                <w:rFonts w:cs="Arial"/>
                <w:sz w:val="20"/>
              </w:rPr>
              <w:t>% of technical calls answered by technical staff</w:t>
            </w:r>
          </w:p>
        </w:tc>
      </w:tr>
      <w:tr w:rsidR="00B074CC" w:rsidRPr="001A1836" w14:paraId="4CAF0762" w14:textId="77777777" w:rsidTr="004D790B">
        <w:trPr>
          <w:cantSplit/>
        </w:trPr>
        <w:tc>
          <w:tcPr>
            <w:tcW w:w="802" w:type="dxa"/>
            <w:shd w:val="clear" w:color="auto" w:fill="auto"/>
          </w:tcPr>
          <w:p w14:paraId="059CFB73" w14:textId="77777777" w:rsidR="00B074CC" w:rsidRPr="001A1836" w:rsidRDefault="00B074CC" w:rsidP="00626054">
            <w:pPr>
              <w:rPr>
                <w:rFonts w:cs="Arial"/>
                <w:sz w:val="20"/>
              </w:rPr>
            </w:pPr>
            <w:r w:rsidRPr="001A1836">
              <w:rPr>
                <w:rFonts w:cs="Arial"/>
                <w:sz w:val="20"/>
              </w:rPr>
              <w:t>5.22</w:t>
            </w:r>
          </w:p>
        </w:tc>
        <w:tc>
          <w:tcPr>
            <w:tcW w:w="1574" w:type="dxa"/>
            <w:gridSpan w:val="2"/>
            <w:shd w:val="clear" w:color="auto" w:fill="auto"/>
          </w:tcPr>
          <w:p w14:paraId="726728E4" w14:textId="77777777" w:rsidR="00B074CC" w:rsidRPr="001A1836" w:rsidRDefault="00B074CC" w:rsidP="00626054">
            <w:pPr>
              <w:rPr>
                <w:rFonts w:cs="Arial"/>
                <w:sz w:val="20"/>
              </w:rPr>
            </w:pPr>
            <w:r w:rsidRPr="001A1836">
              <w:rPr>
                <w:rFonts w:cs="Arial"/>
                <w:sz w:val="20"/>
              </w:rPr>
              <w:t>SL12</w:t>
            </w:r>
          </w:p>
        </w:tc>
        <w:tc>
          <w:tcPr>
            <w:tcW w:w="6865" w:type="dxa"/>
            <w:gridSpan w:val="3"/>
            <w:shd w:val="clear" w:color="auto" w:fill="auto"/>
          </w:tcPr>
          <w:p w14:paraId="7A98A2EB" w14:textId="77777777" w:rsidR="00B074CC" w:rsidRPr="001A1836" w:rsidRDefault="00B074CC" w:rsidP="00626054">
            <w:pPr>
              <w:rPr>
                <w:rFonts w:cs="Arial"/>
                <w:sz w:val="20"/>
              </w:rPr>
            </w:pPr>
            <w:r w:rsidRPr="001A1836">
              <w:rPr>
                <w:rFonts w:cs="Arial"/>
                <w:sz w:val="20"/>
              </w:rPr>
              <w:t>% of technical calls answered within 180 seconds by technical staff</w:t>
            </w:r>
          </w:p>
        </w:tc>
      </w:tr>
      <w:tr w:rsidR="00B074CC" w:rsidRPr="001A1836" w14:paraId="6D137278" w14:textId="77777777" w:rsidTr="004D790B">
        <w:trPr>
          <w:cantSplit/>
        </w:trPr>
        <w:tc>
          <w:tcPr>
            <w:tcW w:w="802" w:type="dxa"/>
            <w:shd w:val="clear" w:color="auto" w:fill="auto"/>
          </w:tcPr>
          <w:p w14:paraId="71BB17BC" w14:textId="77777777" w:rsidR="00B074CC" w:rsidRPr="001A1836" w:rsidRDefault="00B074CC" w:rsidP="00626054">
            <w:pPr>
              <w:rPr>
                <w:rFonts w:cs="Arial"/>
                <w:sz w:val="20"/>
              </w:rPr>
            </w:pPr>
            <w:r w:rsidRPr="001A1836">
              <w:rPr>
                <w:rFonts w:cs="Arial"/>
                <w:sz w:val="20"/>
              </w:rPr>
              <w:t>5.23</w:t>
            </w:r>
          </w:p>
        </w:tc>
        <w:tc>
          <w:tcPr>
            <w:tcW w:w="1574" w:type="dxa"/>
            <w:gridSpan w:val="2"/>
            <w:shd w:val="clear" w:color="auto" w:fill="auto"/>
          </w:tcPr>
          <w:p w14:paraId="318A7F09" w14:textId="77777777" w:rsidR="00B074CC" w:rsidRPr="001A1836" w:rsidRDefault="00B074CC" w:rsidP="00626054">
            <w:pPr>
              <w:rPr>
                <w:rFonts w:cs="Arial"/>
                <w:sz w:val="20"/>
              </w:rPr>
            </w:pPr>
          </w:p>
        </w:tc>
        <w:tc>
          <w:tcPr>
            <w:tcW w:w="6865" w:type="dxa"/>
            <w:gridSpan w:val="3"/>
            <w:shd w:val="clear" w:color="auto" w:fill="auto"/>
          </w:tcPr>
          <w:p w14:paraId="293839F0" w14:textId="77777777" w:rsidR="00B074CC" w:rsidRPr="001A1836" w:rsidRDefault="00B074CC" w:rsidP="00626054">
            <w:pPr>
              <w:rPr>
                <w:rFonts w:cs="Arial"/>
                <w:sz w:val="20"/>
              </w:rPr>
            </w:pPr>
            <w:r w:rsidRPr="001A1836">
              <w:rPr>
                <w:rFonts w:cs="Arial"/>
                <w:sz w:val="20"/>
              </w:rPr>
              <w:t>Average call wait time - technical helpline</w:t>
            </w:r>
          </w:p>
        </w:tc>
      </w:tr>
      <w:tr w:rsidR="00B074CC" w:rsidRPr="001A1836" w14:paraId="20DC61FF" w14:textId="77777777" w:rsidTr="004D790B">
        <w:trPr>
          <w:cantSplit/>
        </w:trPr>
        <w:tc>
          <w:tcPr>
            <w:tcW w:w="802" w:type="dxa"/>
            <w:shd w:val="clear" w:color="auto" w:fill="auto"/>
          </w:tcPr>
          <w:p w14:paraId="1E1B4DF9" w14:textId="77777777" w:rsidR="00B074CC" w:rsidRPr="001A1836" w:rsidRDefault="00B074CC" w:rsidP="00626054">
            <w:pPr>
              <w:rPr>
                <w:rFonts w:cs="Arial"/>
                <w:sz w:val="20"/>
              </w:rPr>
            </w:pPr>
            <w:r w:rsidRPr="001A1836">
              <w:rPr>
                <w:rFonts w:cs="Arial"/>
                <w:sz w:val="20"/>
              </w:rPr>
              <w:t>5.24</w:t>
            </w:r>
          </w:p>
        </w:tc>
        <w:tc>
          <w:tcPr>
            <w:tcW w:w="1574" w:type="dxa"/>
            <w:gridSpan w:val="2"/>
            <w:shd w:val="clear" w:color="auto" w:fill="auto"/>
          </w:tcPr>
          <w:p w14:paraId="188AFDFC" w14:textId="77777777" w:rsidR="00B074CC" w:rsidRPr="001A1836" w:rsidRDefault="00B074CC" w:rsidP="00626054">
            <w:pPr>
              <w:rPr>
                <w:rFonts w:cs="Arial"/>
                <w:sz w:val="20"/>
              </w:rPr>
            </w:pPr>
          </w:p>
        </w:tc>
        <w:tc>
          <w:tcPr>
            <w:tcW w:w="6865" w:type="dxa"/>
            <w:gridSpan w:val="3"/>
            <w:shd w:val="clear" w:color="auto" w:fill="auto"/>
          </w:tcPr>
          <w:p w14:paraId="273E6CB0" w14:textId="77777777" w:rsidR="00B074CC" w:rsidRPr="001A1836" w:rsidRDefault="00B074CC" w:rsidP="00626054">
            <w:pPr>
              <w:rPr>
                <w:rFonts w:cs="Arial"/>
                <w:sz w:val="20"/>
              </w:rPr>
            </w:pPr>
            <w:r w:rsidRPr="001A1836">
              <w:rPr>
                <w:rFonts w:cs="Arial"/>
                <w:sz w:val="20"/>
              </w:rPr>
              <w:t>Volume of inbound technical correspondence (email, letter)</w:t>
            </w:r>
          </w:p>
        </w:tc>
      </w:tr>
      <w:tr w:rsidR="00B074CC" w:rsidRPr="001A1836" w14:paraId="16356DC0" w14:textId="77777777" w:rsidTr="004D790B">
        <w:trPr>
          <w:cantSplit/>
        </w:trPr>
        <w:tc>
          <w:tcPr>
            <w:tcW w:w="802" w:type="dxa"/>
            <w:shd w:val="clear" w:color="auto" w:fill="auto"/>
          </w:tcPr>
          <w:p w14:paraId="41A8471B" w14:textId="77777777" w:rsidR="00B074CC" w:rsidRPr="001A1836" w:rsidRDefault="00B074CC" w:rsidP="00626054">
            <w:pPr>
              <w:rPr>
                <w:rFonts w:cs="Arial"/>
                <w:sz w:val="20"/>
              </w:rPr>
            </w:pPr>
            <w:r w:rsidRPr="001A1836">
              <w:rPr>
                <w:rFonts w:cs="Arial"/>
                <w:sz w:val="20"/>
              </w:rPr>
              <w:t>5.25</w:t>
            </w:r>
          </w:p>
        </w:tc>
        <w:tc>
          <w:tcPr>
            <w:tcW w:w="1574" w:type="dxa"/>
            <w:gridSpan w:val="2"/>
            <w:shd w:val="clear" w:color="auto" w:fill="auto"/>
          </w:tcPr>
          <w:p w14:paraId="6FBCBDFB" w14:textId="77777777" w:rsidR="00B074CC" w:rsidRPr="001A1836" w:rsidRDefault="00B074CC" w:rsidP="00626054">
            <w:pPr>
              <w:rPr>
                <w:rFonts w:cs="Arial"/>
                <w:sz w:val="20"/>
              </w:rPr>
            </w:pPr>
          </w:p>
        </w:tc>
        <w:tc>
          <w:tcPr>
            <w:tcW w:w="6865" w:type="dxa"/>
            <w:gridSpan w:val="3"/>
            <w:shd w:val="clear" w:color="auto" w:fill="auto"/>
          </w:tcPr>
          <w:p w14:paraId="36D14AF5" w14:textId="7F2A3594" w:rsidR="00B074CC" w:rsidRPr="001A1836" w:rsidRDefault="00B074CC" w:rsidP="00626054">
            <w:pPr>
              <w:rPr>
                <w:rFonts w:cs="Arial"/>
                <w:sz w:val="20"/>
              </w:rPr>
            </w:pPr>
            <w:r w:rsidRPr="001A1836">
              <w:rPr>
                <w:rFonts w:cs="Arial"/>
                <w:sz w:val="20"/>
              </w:rPr>
              <w:t xml:space="preserve">% of inbound technical correspondence (email, letter) replied to within 5 </w:t>
            </w:r>
            <w:r w:rsidR="000C1F5C" w:rsidRPr="001A1836">
              <w:rPr>
                <w:rFonts w:cs="Arial"/>
                <w:sz w:val="20"/>
              </w:rPr>
              <w:t>W</w:t>
            </w:r>
            <w:r w:rsidRPr="001A1836">
              <w:rPr>
                <w:rFonts w:cs="Arial"/>
                <w:sz w:val="20"/>
              </w:rPr>
              <w:t xml:space="preserve">orking </w:t>
            </w:r>
            <w:r w:rsidR="000C1F5C" w:rsidRPr="001A1836">
              <w:rPr>
                <w:rFonts w:cs="Arial"/>
                <w:sz w:val="20"/>
              </w:rPr>
              <w:t>D</w:t>
            </w:r>
            <w:r w:rsidRPr="001A1836">
              <w:rPr>
                <w:rFonts w:cs="Arial"/>
                <w:sz w:val="20"/>
              </w:rPr>
              <w:t>ays</w:t>
            </w:r>
          </w:p>
        </w:tc>
      </w:tr>
      <w:tr w:rsidR="00B074CC" w:rsidRPr="001A1836" w14:paraId="0772C3F4" w14:textId="77777777" w:rsidTr="004D790B">
        <w:trPr>
          <w:cantSplit/>
        </w:trPr>
        <w:tc>
          <w:tcPr>
            <w:tcW w:w="802" w:type="dxa"/>
            <w:shd w:val="clear" w:color="auto" w:fill="auto"/>
          </w:tcPr>
          <w:p w14:paraId="1AC022F0" w14:textId="77777777" w:rsidR="00B074CC" w:rsidRPr="001A1836" w:rsidRDefault="00B074CC" w:rsidP="00626054">
            <w:pPr>
              <w:rPr>
                <w:rFonts w:cs="Arial"/>
                <w:sz w:val="20"/>
              </w:rPr>
            </w:pPr>
            <w:r w:rsidRPr="001A1836">
              <w:rPr>
                <w:rFonts w:cs="Arial"/>
                <w:sz w:val="20"/>
              </w:rPr>
              <w:t>5.26</w:t>
            </w:r>
          </w:p>
        </w:tc>
        <w:tc>
          <w:tcPr>
            <w:tcW w:w="1574" w:type="dxa"/>
            <w:gridSpan w:val="2"/>
            <w:shd w:val="clear" w:color="auto" w:fill="auto"/>
          </w:tcPr>
          <w:p w14:paraId="58090FE7" w14:textId="77777777" w:rsidR="00B074CC" w:rsidRPr="001A1836" w:rsidRDefault="00B074CC" w:rsidP="00626054">
            <w:pPr>
              <w:rPr>
                <w:rFonts w:cs="Arial"/>
                <w:sz w:val="20"/>
              </w:rPr>
            </w:pPr>
          </w:p>
        </w:tc>
        <w:tc>
          <w:tcPr>
            <w:tcW w:w="6865" w:type="dxa"/>
            <w:gridSpan w:val="3"/>
            <w:shd w:val="clear" w:color="auto" w:fill="auto"/>
          </w:tcPr>
          <w:p w14:paraId="6EB3EC07" w14:textId="77777777" w:rsidR="00B074CC" w:rsidRPr="001A1836" w:rsidRDefault="00B074CC" w:rsidP="00626054">
            <w:pPr>
              <w:rPr>
                <w:rFonts w:cs="Arial"/>
                <w:sz w:val="20"/>
              </w:rPr>
            </w:pPr>
            <w:r w:rsidRPr="001A1836">
              <w:rPr>
                <w:rFonts w:cs="Arial"/>
                <w:sz w:val="20"/>
              </w:rPr>
              <w:t>Number of technical bulletins issued</w:t>
            </w:r>
          </w:p>
        </w:tc>
      </w:tr>
      <w:tr w:rsidR="00B074CC" w:rsidRPr="001A1836" w14:paraId="1E458439" w14:textId="77777777" w:rsidTr="004D790B">
        <w:trPr>
          <w:cantSplit/>
        </w:trPr>
        <w:tc>
          <w:tcPr>
            <w:tcW w:w="802" w:type="dxa"/>
            <w:shd w:val="clear" w:color="auto" w:fill="auto"/>
          </w:tcPr>
          <w:p w14:paraId="58D42169" w14:textId="77777777" w:rsidR="00B074CC" w:rsidRPr="001A1836" w:rsidRDefault="00B074CC" w:rsidP="00626054">
            <w:pPr>
              <w:rPr>
                <w:rFonts w:cs="Arial"/>
                <w:sz w:val="20"/>
              </w:rPr>
            </w:pPr>
            <w:r w:rsidRPr="001A1836">
              <w:rPr>
                <w:rFonts w:cs="Arial"/>
                <w:sz w:val="20"/>
              </w:rPr>
              <w:t>5.27</w:t>
            </w:r>
          </w:p>
        </w:tc>
        <w:tc>
          <w:tcPr>
            <w:tcW w:w="1574" w:type="dxa"/>
            <w:gridSpan w:val="2"/>
            <w:shd w:val="clear" w:color="auto" w:fill="auto"/>
          </w:tcPr>
          <w:p w14:paraId="5D1294B5" w14:textId="77777777" w:rsidR="00B074CC" w:rsidRPr="001A1836" w:rsidRDefault="00B074CC" w:rsidP="00626054">
            <w:pPr>
              <w:rPr>
                <w:rFonts w:cs="Arial"/>
                <w:sz w:val="20"/>
              </w:rPr>
            </w:pPr>
            <w:r w:rsidRPr="001A1836">
              <w:rPr>
                <w:rFonts w:cs="Arial"/>
                <w:sz w:val="20"/>
              </w:rPr>
              <w:t>SL13</w:t>
            </w:r>
          </w:p>
        </w:tc>
        <w:tc>
          <w:tcPr>
            <w:tcW w:w="6865" w:type="dxa"/>
            <w:gridSpan w:val="3"/>
            <w:shd w:val="clear" w:color="auto" w:fill="auto"/>
          </w:tcPr>
          <w:p w14:paraId="2CDFBC3F" w14:textId="3D02C539" w:rsidR="00B074CC" w:rsidRPr="001A1836" w:rsidRDefault="00B074CC" w:rsidP="00626054">
            <w:pPr>
              <w:rPr>
                <w:rFonts w:cs="Arial"/>
                <w:sz w:val="20"/>
              </w:rPr>
            </w:pPr>
            <w:r w:rsidRPr="001A1836">
              <w:rPr>
                <w:rFonts w:cs="Arial"/>
                <w:sz w:val="20"/>
              </w:rPr>
              <w:t xml:space="preserve">% of correspondence (letter &amp; email) responded to within 5 </w:t>
            </w:r>
            <w:r w:rsidR="000C1F5C" w:rsidRPr="001A1836">
              <w:rPr>
                <w:rFonts w:cs="Arial"/>
                <w:sz w:val="20"/>
              </w:rPr>
              <w:t>W</w:t>
            </w:r>
            <w:r w:rsidRPr="001A1836">
              <w:rPr>
                <w:rFonts w:cs="Arial"/>
                <w:sz w:val="20"/>
              </w:rPr>
              <w:t xml:space="preserve">orking </w:t>
            </w:r>
            <w:r w:rsidR="000C1F5C" w:rsidRPr="001A1836">
              <w:rPr>
                <w:rFonts w:cs="Arial"/>
                <w:sz w:val="20"/>
              </w:rPr>
              <w:t>D</w:t>
            </w:r>
            <w:r w:rsidRPr="001A1836">
              <w:rPr>
                <w:rFonts w:cs="Arial"/>
                <w:sz w:val="20"/>
              </w:rPr>
              <w:t>ays - combined response target for contact centre and technical</w:t>
            </w:r>
          </w:p>
        </w:tc>
      </w:tr>
      <w:tr w:rsidR="00B074CC" w:rsidRPr="001A1836" w14:paraId="15DF2627" w14:textId="77777777" w:rsidTr="004D790B">
        <w:trPr>
          <w:cantSplit/>
        </w:trPr>
        <w:tc>
          <w:tcPr>
            <w:tcW w:w="802" w:type="dxa"/>
            <w:shd w:val="clear" w:color="auto" w:fill="auto"/>
          </w:tcPr>
          <w:p w14:paraId="6BEE2F2F" w14:textId="77777777" w:rsidR="00B074CC" w:rsidRPr="001A1836" w:rsidRDefault="00B074CC" w:rsidP="00626054">
            <w:pPr>
              <w:rPr>
                <w:rFonts w:cs="Arial"/>
                <w:sz w:val="20"/>
              </w:rPr>
            </w:pPr>
          </w:p>
        </w:tc>
        <w:tc>
          <w:tcPr>
            <w:tcW w:w="1574" w:type="dxa"/>
            <w:gridSpan w:val="2"/>
            <w:shd w:val="clear" w:color="auto" w:fill="auto"/>
          </w:tcPr>
          <w:p w14:paraId="2B950BEC" w14:textId="77777777" w:rsidR="00B074CC" w:rsidRPr="001A1836" w:rsidRDefault="00B074CC" w:rsidP="00626054">
            <w:pPr>
              <w:rPr>
                <w:rFonts w:cs="Arial"/>
                <w:sz w:val="20"/>
              </w:rPr>
            </w:pPr>
          </w:p>
        </w:tc>
        <w:tc>
          <w:tcPr>
            <w:tcW w:w="6865" w:type="dxa"/>
            <w:gridSpan w:val="3"/>
            <w:shd w:val="clear" w:color="auto" w:fill="auto"/>
          </w:tcPr>
          <w:p w14:paraId="0FF71B4E" w14:textId="77777777" w:rsidR="00B074CC" w:rsidRPr="001A1836" w:rsidRDefault="00B074CC" w:rsidP="00626054">
            <w:pPr>
              <w:rPr>
                <w:rFonts w:cs="Arial"/>
                <w:b/>
                <w:sz w:val="20"/>
              </w:rPr>
            </w:pPr>
            <w:r w:rsidRPr="001A1836">
              <w:rPr>
                <w:rFonts w:cs="Arial"/>
                <w:b/>
                <w:sz w:val="20"/>
              </w:rPr>
              <w:t>System delivery</w:t>
            </w:r>
          </w:p>
        </w:tc>
      </w:tr>
      <w:tr w:rsidR="00B074CC" w:rsidRPr="001A1836" w14:paraId="2AD04D3A" w14:textId="77777777" w:rsidTr="004D790B">
        <w:trPr>
          <w:cantSplit/>
        </w:trPr>
        <w:tc>
          <w:tcPr>
            <w:tcW w:w="802" w:type="dxa"/>
            <w:shd w:val="clear" w:color="auto" w:fill="auto"/>
          </w:tcPr>
          <w:p w14:paraId="2CC75D18" w14:textId="77777777" w:rsidR="00B074CC" w:rsidRPr="001A1836" w:rsidRDefault="00B074CC" w:rsidP="00626054">
            <w:pPr>
              <w:rPr>
                <w:rFonts w:cs="Arial"/>
                <w:sz w:val="20"/>
              </w:rPr>
            </w:pPr>
            <w:r w:rsidRPr="001A1836">
              <w:rPr>
                <w:rFonts w:cs="Arial"/>
                <w:sz w:val="20"/>
              </w:rPr>
              <w:t>5.28</w:t>
            </w:r>
          </w:p>
        </w:tc>
        <w:tc>
          <w:tcPr>
            <w:tcW w:w="1574" w:type="dxa"/>
            <w:gridSpan w:val="2"/>
            <w:shd w:val="clear" w:color="auto" w:fill="auto"/>
          </w:tcPr>
          <w:p w14:paraId="774B1AA9" w14:textId="77777777" w:rsidR="00B074CC" w:rsidRPr="001A1836" w:rsidRDefault="00B074CC" w:rsidP="00626054">
            <w:pPr>
              <w:rPr>
                <w:rFonts w:cs="Arial"/>
                <w:sz w:val="20"/>
              </w:rPr>
            </w:pPr>
            <w:r w:rsidRPr="001A1836">
              <w:rPr>
                <w:rFonts w:cs="Arial"/>
                <w:sz w:val="20"/>
              </w:rPr>
              <w:t>SL14</w:t>
            </w:r>
          </w:p>
        </w:tc>
        <w:tc>
          <w:tcPr>
            <w:tcW w:w="6865" w:type="dxa"/>
            <w:gridSpan w:val="3"/>
            <w:shd w:val="clear" w:color="auto" w:fill="auto"/>
          </w:tcPr>
          <w:p w14:paraId="174AC766" w14:textId="77777777" w:rsidR="00B074CC" w:rsidRPr="001A1836" w:rsidRDefault="00B074CC" w:rsidP="00626054">
            <w:pPr>
              <w:rPr>
                <w:rFonts w:cs="Arial"/>
                <w:sz w:val="20"/>
              </w:rPr>
            </w:pPr>
            <w:r w:rsidRPr="001A1836">
              <w:rPr>
                <w:rFonts w:cs="Arial"/>
                <w:sz w:val="20"/>
              </w:rPr>
              <w:t>Availability of systems and infrastructure (with the exception of scheduled downtime) - Phone lines</w:t>
            </w:r>
          </w:p>
        </w:tc>
      </w:tr>
      <w:tr w:rsidR="00B074CC" w:rsidRPr="001A1836" w14:paraId="4DE65CC6" w14:textId="77777777" w:rsidTr="004D790B">
        <w:trPr>
          <w:cantSplit/>
        </w:trPr>
        <w:tc>
          <w:tcPr>
            <w:tcW w:w="802" w:type="dxa"/>
            <w:shd w:val="clear" w:color="auto" w:fill="auto"/>
          </w:tcPr>
          <w:p w14:paraId="142F7441" w14:textId="77777777" w:rsidR="00B074CC" w:rsidRPr="001A1836" w:rsidRDefault="00B074CC" w:rsidP="00626054">
            <w:pPr>
              <w:rPr>
                <w:rFonts w:cs="Arial"/>
                <w:sz w:val="20"/>
              </w:rPr>
            </w:pPr>
            <w:r w:rsidRPr="001A1836">
              <w:rPr>
                <w:rFonts w:cs="Arial"/>
                <w:sz w:val="20"/>
              </w:rPr>
              <w:t>5.29</w:t>
            </w:r>
          </w:p>
        </w:tc>
        <w:tc>
          <w:tcPr>
            <w:tcW w:w="1574" w:type="dxa"/>
            <w:gridSpan w:val="2"/>
            <w:shd w:val="clear" w:color="auto" w:fill="auto"/>
          </w:tcPr>
          <w:p w14:paraId="7B8B8E58" w14:textId="77777777" w:rsidR="00B074CC" w:rsidRPr="001A1836" w:rsidRDefault="00B074CC" w:rsidP="00626054">
            <w:pPr>
              <w:rPr>
                <w:rFonts w:cs="Arial"/>
                <w:sz w:val="20"/>
              </w:rPr>
            </w:pPr>
            <w:r w:rsidRPr="001A1836">
              <w:rPr>
                <w:rFonts w:cs="Arial"/>
                <w:sz w:val="20"/>
              </w:rPr>
              <w:t>SL15</w:t>
            </w:r>
          </w:p>
        </w:tc>
        <w:tc>
          <w:tcPr>
            <w:tcW w:w="6865" w:type="dxa"/>
            <w:gridSpan w:val="3"/>
            <w:shd w:val="clear" w:color="auto" w:fill="auto"/>
          </w:tcPr>
          <w:p w14:paraId="33E0B0AB" w14:textId="77777777" w:rsidR="00B074CC" w:rsidRPr="001A1836" w:rsidRDefault="00B074CC" w:rsidP="00626054">
            <w:pPr>
              <w:rPr>
                <w:rFonts w:cs="Arial"/>
                <w:sz w:val="20"/>
              </w:rPr>
            </w:pPr>
            <w:r w:rsidRPr="001A1836">
              <w:rPr>
                <w:rFonts w:cs="Arial"/>
                <w:sz w:val="20"/>
              </w:rPr>
              <w:t>Availability of systems and infrastructure (with the exception of scheduled downtime) - Website</w:t>
            </w:r>
          </w:p>
        </w:tc>
      </w:tr>
      <w:tr w:rsidR="00B074CC" w:rsidRPr="001A1836" w14:paraId="293EB998" w14:textId="77777777" w:rsidTr="004D790B">
        <w:trPr>
          <w:cantSplit/>
        </w:trPr>
        <w:tc>
          <w:tcPr>
            <w:tcW w:w="802" w:type="dxa"/>
            <w:shd w:val="clear" w:color="auto" w:fill="auto"/>
          </w:tcPr>
          <w:p w14:paraId="1981EACE" w14:textId="77777777" w:rsidR="00B074CC" w:rsidRPr="001A1836" w:rsidRDefault="00B074CC" w:rsidP="00626054">
            <w:pPr>
              <w:rPr>
                <w:rFonts w:cs="Arial"/>
                <w:sz w:val="20"/>
              </w:rPr>
            </w:pPr>
            <w:r w:rsidRPr="001A1836">
              <w:rPr>
                <w:rFonts w:cs="Arial"/>
                <w:sz w:val="20"/>
              </w:rPr>
              <w:t>5.30</w:t>
            </w:r>
          </w:p>
        </w:tc>
        <w:tc>
          <w:tcPr>
            <w:tcW w:w="1574" w:type="dxa"/>
            <w:gridSpan w:val="2"/>
            <w:shd w:val="clear" w:color="auto" w:fill="auto"/>
          </w:tcPr>
          <w:p w14:paraId="28199044" w14:textId="77777777" w:rsidR="00B074CC" w:rsidRPr="001A1836" w:rsidRDefault="00B074CC" w:rsidP="00626054">
            <w:pPr>
              <w:rPr>
                <w:rFonts w:cs="Arial"/>
                <w:sz w:val="20"/>
              </w:rPr>
            </w:pPr>
            <w:r w:rsidRPr="001A1836">
              <w:rPr>
                <w:rFonts w:cs="Arial"/>
                <w:sz w:val="20"/>
              </w:rPr>
              <w:t>SL16</w:t>
            </w:r>
          </w:p>
        </w:tc>
        <w:tc>
          <w:tcPr>
            <w:tcW w:w="6865" w:type="dxa"/>
            <w:gridSpan w:val="3"/>
            <w:shd w:val="clear" w:color="auto" w:fill="auto"/>
          </w:tcPr>
          <w:p w14:paraId="77C059B7" w14:textId="77777777" w:rsidR="00B074CC" w:rsidRPr="001A1836" w:rsidRDefault="00B074CC" w:rsidP="00626054">
            <w:pPr>
              <w:rPr>
                <w:rFonts w:cs="Arial"/>
                <w:sz w:val="20"/>
              </w:rPr>
            </w:pPr>
            <w:r w:rsidRPr="001A1836">
              <w:rPr>
                <w:rFonts w:cs="Arial"/>
                <w:sz w:val="20"/>
              </w:rPr>
              <w:t>Availability of systems and infrastructure (with the exception of scheduled downtime) - Database</w:t>
            </w:r>
          </w:p>
        </w:tc>
      </w:tr>
      <w:tr w:rsidR="00B074CC" w:rsidRPr="001A1836" w14:paraId="394F4BFF" w14:textId="77777777" w:rsidTr="004D790B">
        <w:trPr>
          <w:cantSplit/>
        </w:trPr>
        <w:tc>
          <w:tcPr>
            <w:tcW w:w="802" w:type="dxa"/>
            <w:shd w:val="clear" w:color="auto" w:fill="auto"/>
          </w:tcPr>
          <w:p w14:paraId="6662B649" w14:textId="77777777" w:rsidR="00B074CC" w:rsidRPr="001A1836" w:rsidRDefault="00B074CC" w:rsidP="00626054">
            <w:pPr>
              <w:rPr>
                <w:rFonts w:cs="Arial"/>
                <w:sz w:val="20"/>
              </w:rPr>
            </w:pPr>
          </w:p>
        </w:tc>
        <w:tc>
          <w:tcPr>
            <w:tcW w:w="1574" w:type="dxa"/>
            <w:gridSpan w:val="2"/>
            <w:shd w:val="clear" w:color="auto" w:fill="auto"/>
          </w:tcPr>
          <w:p w14:paraId="73F805F4" w14:textId="77777777" w:rsidR="00B074CC" w:rsidRPr="001A1836" w:rsidRDefault="00B074CC" w:rsidP="00626054">
            <w:pPr>
              <w:rPr>
                <w:rFonts w:cs="Arial"/>
                <w:sz w:val="20"/>
              </w:rPr>
            </w:pPr>
          </w:p>
        </w:tc>
        <w:tc>
          <w:tcPr>
            <w:tcW w:w="6865" w:type="dxa"/>
            <w:gridSpan w:val="3"/>
            <w:shd w:val="clear" w:color="auto" w:fill="auto"/>
          </w:tcPr>
          <w:p w14:paraId="0D095003" w14:textId="77777777" w:rsidR="00B074CC" w:rsidRPr="001A1836" w:rsidRDefault="00B074CC" w:rsidP="00626054">
            <w:pPr>
              <w:rPr>
                <w:rFonts w:cs="Arial"/>
                <w:b/>
                <w:sz w:val="20"/>
              </w:rPr>
            </w:pPr>
            <w:r w:rsidRPr="001A1836">
              <w:rPr>
                <w:rFonts w:cs="Arial"/>
                <w:b/>
                <w:sz w:val="20"/>
              </w:rPr>
              <w:t>Renewals and applications</w:t>
            </w:r>
          </w:p>
        </w:tc>
      </w:tr>
      <w:tr w:rsidR="00B074CC" w:rsidRPr="001A1836" w14:paraId="6344CD9C" w14:textId="77777777" w:rsidTr="004D790B">
        <w:trPr>
          <w:cantSplit/>
        </w:trPr>
        <w:tc>
          <w:tcPr>
            <w:tcW w:w="802" w:type="dxa"/>
            <w:shd w:val="clear" w:color="auto" w:fill="auto"/>
          </w:tcPr>
          <w:p w14:paraId="3223455D" w14:textId="77777777" w:rsidR="00B074CC" w:rsidRPr="001A1836" w:rsidRDefault="00B074CC" w:rsidP="00626054">
            <w:pPr>
              <w:rPr>
                <w:rFonts w:cs="Arial"/>
                <w:sz w:val="20"/>
              </w:rPr>
            </w:pPr>
            <w:r w:rsidRPr="001A1836">
              <w:rPr>
                <w:rFonts w:cs="Arial"/>
                <w:sz w:val="20"/>
              </w:rPr>
              <w:t>5.31</w:t>
            </w:r>
          </w:p>
        </w:tc>
        <w:tc>
          <w:tcPr>
            <w:tcW w:w="1574" w:type="dxa"/>
            <w:gridSpan w:val="2"/>
            <w:shd w:val="clear" w:color="auto" w:fill="auto"/>
          </w:tcPr>
          <w:p w14:paraId="0E28BE74" w14:textId="77777777" w:rsidR="00B074CC" w:rsidRPr="001A1836" w:rsidRDefault="00B074CC" w:rsidP="00626054">
            <w:pPr>
              <w:rPr>
                <w:rFonts w:cs="Arial"/>
                <w:sz w:val="20"/>
              </w:rPr>
            </w:pPr>
          </w:p>
        </w:tc>
        <w:tc>
          <w:tcPr>
            <w:tcW w:w="6865" w:type="dxa"/>
            <w:gridSpan w:val="3"/>
            <w:shd w:val="clear" w:color="auto" w:fill="auto"/>
          </w:tcPr>
          <w:p w14:paraId="4C1F2E6C" w14:textId="77777777" w:rsidR="00B074CC" w:rsidRPr="001A1836" w:rsidRDefault="00B074CC" w:rsidP="00626054">
            <w:pPr>
              <w:rPr>
                <w:rFonts w:cs="Arial"/>
                <w:sz w:val="20"/>
              </w:rPr>
            </w:pPr>
            <w:r w:rsidRPr="001A1836">
              <w:rPr>
                <w:rFonts w:cs="Arial"/>
                <w:sz w:val="20"/>
              </w:rPr>
              <w:t>Number of web registration applications</w:t>
            </w:r>
          </w:p>
        </w:tc>
      </w:tr>
      <w:tr w:rsidR="00B074CC" w:rsidRPr="001A1836" w14:paraId="0E1827CC" w14:textId="77777777" w:rsidTr="004D790B">
        <w:trPr>
          <w:cantSplit/>
        </w:trPr>
        <w:tc>
          <w:tcPr>
            <w:tcW w:w="802" w:type="dxa"/>
            <w:shd w:val="clear" w:color="auto" w:fill="auto"/>
          </w:tcPr>
          <w:p w14:paraId="6190B47C" w14:textId="77777777" w:rsidR="00B074CC" w:rsidRPr="001A1836" w:rsidRDefault="00B074CC" w:rsidP="00626054">
            <w:pPr>
              <w:rPr>
                <w:rFonts w:cs="Arial"/>
                <w:sz w:val="20"/>
              </w:rPr>
            </w:pPr>
            <w:r w:rsidRPr="001A1836">
              <w:rPr>
                <w:rFonts w:cs="Arial"/>
                <w:sz w:val="20"/>
              </w:rPr>
              <w:t>5.32</w:t>
            </w:r>
          </w:p>
        </w:tc>
        <w:tc>
          <w:tcPr>
            <w:tcW w:w="1574" w:type="dxa"/>
            <w:gridSpan w:val="2"/>
            <w:shd w:val="clear" w:color="auto" w:fill="auto"/>
          </w:tcPr>
          <w:p w14:paraId="0768D896" w14:textId="77777777" w:rsidR="00B074CC" w:rsidRPr="001A1836" w:rsidRDefault="00B074CC" w:rsidP="00626054">
            <w:pPr>
              <w:rPr>
                <w:rFonts w:cs="Arial"/>
                <w:sz w:val="20"/>
              </w:rPr>
            </w:pPr>
          </w:p>
        </w:tc>
        <w:tc>
          <w:tcPr>
            <w:tcW w:w="6865" w:type="dxa"/>
            <w:gridSpan w:val="3"/>
            <w:shd w:val="clear" w:color="auto" w:fill="auto"/>
          </w:tcPr>
          <w:p w14:paraId="5C49964E" w14:textId="77777777" w:rsidR="00B074CC" w:rsidRPr="001A1836" w:rsidRDefault="00B074CC" w:rsidP="00626054">
            <w:pPr>
              <w:rPr>
                <w:rFonts w:cs="Arial"/>
                <w:sz w:val="20"/>
              </w:rPr>
            </w:pPr>
            <w:r w:rsidRPr="001A1836">
              <w:rPr>
                <w:rFonts w:cs="Arial"/>
                <w:sz w:val="20"/>
              </w:rPr>
              <w:t>Number of non-web registration applications</w:t>
            </w:r>
          </w:p>
        </w:tc>
      </w:tr>
      <w:tr w:rsidR="00B074CC" w:rsidRPr="001A1836" w14:paraId="0E801C28" w14:textId="77777777" w:rsidTr="004D790B">
        <w:trPr>
          <w:cantSplit/>
        </w:trPr>
        <w:tc>
          <w:tcPr>
            <w:tcW w:w="802" w:type="dxa"/>
            <w:shd w:val="clear" w:color="auto" w:fill="auto"/>
          </w:tcPr>
          <w:p w14:paraId="4FBB8171" w14:textId="77777777" w:rsidR="00B074CC" w:rsidRPr="001A1836" w:rsidRDefault="00B074CC" w:rsidP="00626054">
            <w:pPr>
              <w:rPr>
                <w:rFonts w:cs="Arial"/>
                <w:sz w:val="20"/>
              </w:rPr>
            </w:pPr>
            <w:r w:rsidRPr="001A1836">
              <w:rPr>
                <w:rFonts w:cs="Arial"/>
                <w:sz w:val="20"/>
              </w:rPr>
              <w:t>5.33</w:t>
            </w:r>
          </w:p>
        </w:tc>
        <w:tc>
          <w:tcPr>
            <w:tcW w:w="1574" w:type="dxa"/>
            <w:gridSpan w:val="2"/>
            <w:shd w:val="clear" w:color="auto" w:fill="auto"/>
          </w:tcPr>
          <w:p w14:paraId="6761BF10" w14:textId="77777777" w:rsidR="00B074CC" w:rsidRPr="001A1836" w:rsidRDefault="00B074CC" w:rsidP="00626054">
            <w:pPr>
              <w:rPr>
                <w:rFonts w:cs="Arial"/>
                <w:sz w:val="20"/>
              </w:rPr>
            </w:pPr>
          </w:p>
        </w:tc>
        <w:tc>
          <w:tcPr>
            <w:tcW w:w="6865" w:type="dxa"/>
            <w:gridSpan w:val="3"/>
            <w:shd w:val="clear" w:color="auto" w:fill="auto"/>
          </w:tcPr>
          <w:p w14:paraId="2BEBC20C" w14:textId="09E18A1E" w:rsidR="00B074CC" w:rsidRPr="001A1836" w:rsidRDefault="00B074CC" w:rsidP="00626054">
            <w:pPr>
              <w:rPr>
                <w:rFonts w:cs="Arial"/>
                <w:sz w:val="20"/>
              </w:rPr>
            </w:pPr>
            <w:r w:rsidRPr="001A1836">
              <w:rPr>
                <w:rFonts w:cs="Arial"/>
                <w:sz w:val="20"/>
              </w:rPr>
              <w:t xml:space="preserve">% of new applications and changes to registration processed within 5 </w:t>
            </w:r>
            <w:r w:rsidR="000C1F5C" w:rsidRPr="001A1836">
              <w:rPr>
                <w:rFonts w:cs="Arial"/>
                <w:sz w:val="20"/>
              </w:rPr>
              <w:t>W</w:t>
            </w:r>
            <w:r w:rsidRPr="001A1836">
              <w:rPr>
                <w:rFonts w:cs="Arial"/>
                <w:sz w:val="20"/>
              </w:rPr>
              <w:t xml:space="preserve">orking </w:t>
            </w:r>
            <w:r w:rsidR="000C1F5C" w:rsidRPr="001A1836">
              <w:rPr>
                <w:rFonts w:cs="Arial"/>
                <w:sz w:val="20"/>
              </w:rPr>
              <w:t>D</w:t>
            </w:r>
            <w:r w:rsidRPr="001A1836">
              <w:rPr>
                <w:rFonts w:cs="Arial"/>
                <w:sz w:val="20"/>
              </w:rPr>
              <w:t>ays</w:t>
            </w:r>
          </w:p>
        </w:tc>
      </w:tr>
      <w:tr w:rsidR="00B074CC" w:rsidRPr="001A1836" w14:paraId="05D5AF6A" w14:textId="77777777" w:rsidTr="004D790B">
        <w:trPr>
          <w:cantSplit/>
        </w:trPr>
        <w:tc>
          <w:tcPr>
            <w:tcW w:w="802" w:type="dxa"/>
            <w:shd w:val="clear" w:color="auto" w:fill="auto"/>
          </w:tcPr>
          <w:p w14:paraId="63C4DD2E" w14:textId="77777777" w:rsidR="00B074CC" w:rsidRPr="001A1836" w:rsidRDefault="00B074CC" w:rsidP="00626054">
            <w:pPr>
              <w:rPr>
                <w:rFonts w:cs="Arial"/>
                <w:sz w:val="20"/>
              </w:rPr>
            </w:pPr>
            <w:r w:rsidRPr="001A1836">
              <w:rPr>
                <w:rFonts w:cs="Arial"/>
                <w:sz w:val="20"/>
              </w:rPr>
              <w:t>5.34</w:t>
            </w:r>
          </w:p>
        </w:tc>
        <w:tc>
          <w:tcPr>
            <w:tcW w:w="1574" w:type="dxa"/>
            <w:gridSpan w:val="2"/>
            <w:shd w:val="clear" w:color="auto" w:fill="auto"/>
          </w:tcPr>
          <w:p w14:paraId="126625D3" w14:textId="77777777" w:rsidR="00B074CC" w:rsidRPr="001A1836" w:rsidRDefault="00B074CC" w:rsidP="00626054">
            <w:pPr>
              <w:rPr>
                <w:rFonts w:cs="Arial"/>
                <w:sz w:val="20"/>
              </w:rPr>
            </w:pPr>
          </w:p>
        </w:tc>
        <w:tc>
          <w:tcPr>
            <w:tcW w:w="6865" w:type="dxa"/>
            <w:gridSpan w:val="3"/>
            <w:shd w:val="clear" w:color="auto" w:fill="auto"/>
          </w:tcPr>
          <w:p w14:paraId="73C5C9A5" w14:textId="77777777" w:rsidR="00B074CC" w:rsidRPr="001A1836" w:rsidRDefault="00B074CC" w:rsidP="00626054">
            <w:pPr>
              <w:rPr>
                <w:rFonts w:cs="Arial"/>
                <w:sz w:val="20"/>
              </w:rPr>
            </w:pPr>
            <w:r w:rsidRPr="001A1836">
              <w:rPr>
                <w:rFonts w:cs="Arial"/>
                <w:sz w:val="20"/>
              </w:rPr>
              <w:t>Number of new ID cards issued</w:t>
            </w:r>
          </w:p>
        </w:tc>
      </w:tr>
      <w:tr w:rsidR="00B074CC" w:rsidRPr="001A1836" w14:paraId="6638E39E" w14:textId="77777777" w:rsidTr="004D790B">
        <w:trPr>
          <w:cantSplit/>
        </w:trPr>
        <w:tc>
          <w:tcPr>
            <w:tcW w:w="802" w:type="dxa"/>
            <w:shd w:val="clear" w:color="auto" w:fill="auto"/>
          </w:tcPr>
          <w:p w14:paraId="71B71B58" w14:textId="77777777" w:rsidR="00B074CC" w:rsidRPr="001A1836" w:rsidRDefault="00B074CC" w:rsidP="00626054">
            <w:pPr>
              <w:rPr>
                <w:rFonts w:cs="Arial"/>
                <w:sz w:val="20"/>
              </w:rPr>
            </w:pPr>
            <w:r w:rsidRPr="001A1836">
              <w:rPr>
                <w:rFonts w:cs="Arial"/>
                <w:sz w:val="20"/>
              </w:rPr>
              <w:t>5.35</w:t>
            </w:r>
          </w:p>
        </w:tc>
        <w:tc>
          <w:tcPr>
            <w:tcW w:w="1574" w:type="dxa"/>
            <w:gridSpan w:val="2"/>
            <w:shd w:val="clear" w:color="auto" w:fill="auto"/>
          </w:tcPr>
          <w:p w14:paraId="18A0F4C2" w14:textId="77777777" w:rsidR="00B074CC" w:rsidRPr="001A1836" w:rsidRDefault="00B074CC" w:rsidP="00626054">
            <w:pPr>
              <w:rPr>
                <w:rFonts w:cs="Arial"/>
                <w:sz w:val="20"/>
              </w:rPr>
            </w:pPr>
          </w:p>
        </w:tc>
        <w:tc>
          <w:tcPr>
            <w:tcW w:w="6865" w:type="dxa"/>
            <w:gridSpan w:val="3"/>
            <w:shd w:val="clear" w:color="auto" w:fill="auto"/>
          </w:tcPr>
          <w:p w14:paraId="71DA7EA1" w14:textId="77777777" w:rsidR="00B074CC" w:rsidRPr="001A1836" w:rsidRDefault="00B074CC" w:rsidP="00626054">
            <w:pPr>
              <w:rPr>
                <w:rFonts w:cs="Arial"/>
                <w:sz w:val="20"/>
              </w:rPr>
            </w:pPr>
            <w:r w:rsidRPr="001A1836">
              <w:rPr>
                <w:rFonts w:cs="Arial"/>
                <w:sz w:val="20"/>
              </w:rPr>
              <w:t>Number of replacement cards issued</w:t>
            </w:r>
          </w:p>
        </w:tc>
      </w:tr>
      <w:tr w:rsidR="00B074CC" w:rsidRPr="001A1836" w14:paraId="370FFE7B" w14:textId="77777777" w:rsidTr="004D790B">
        <w:trPr>
          <w:cantSplit/>
        </w:trPr>
        <w:tc>
          <w:tcPr>
            <w:tcW w:w="802" w:type="dxa"/>
            <w:shd w:val="clear" w:color="auto" w:fill="auto"/>
          </w:tcPr>
          <w:p w14:paraId="2F810B6D" w14:textId="77777777" w:rsidR="00B074CC" w:rsidRPr="001A1836" w:rsidRDefault="00B074CC" w:rsidP="00626054">
            <w:pPr>
              <w:rPr>
                <w:rFonts w:cs="Arial"/>
                <w:sz w:val="20"/>
              </w:rPr>
            </w:pPr>
            <w:r w:rsidRPr="001A1836">
              <w:rPr>
                <w:rFonts w:cs="Arial"/>
                <w:sz w:val="20"/>
              </w:rPr>
              <w:t>5.36</w:t>
            </w:r>
          </w:p>
        </w:tc>
        <w:tc>
          <w:tcPr>
            <w:tcW w:w="1574" w:type="dxa"/>
            <w:gridSpan w:val="2"/>
            <w:shd w:val="clear" w:color="auto" w:fill="auto"/>
          </w:tcPr>
          <w:p w14:paraId="04A02513" w14:textId="77777777" w:rsidR="00B074CC" w:rsidRPr="001A1836" w:rsidRDefault="00B074CC" w:rsidP="00626054">
            <w:pPr>
              <w:rPr>
                <w:rFonts w:cs="Arial"/>
                <w:sz w:val="20"/>
              </w:rPr>
            </w:pPr>
          </w:p>
        </w:tc>
        <w:tc>
          <w:tcPr>
            <w:tcW w:w="6865" w:type="dxa"/>
            <w:gridSpan w:val="3"/>
            <w:shd w:val="clear" w:color="auto" w:fill="auto"/>
          </w:tcPr>
          <w:p w14:paraId="0EBB0087" w14:textId="77777777" w:rsidR="00B074CC" w:rsidRPr="001A1836" w:rsidRDefault="00B074CC" w:rsidP="00626054">
            <w:pPr>
              <w:rPr>
                <w:rFonts w:cs="Arial"/>
                <w:sz w:val="20"/>
              </w:rPr>
            </w:pPr>
            <w:r w:rsidRPr="001A1836">
              <w:rPr>
                <w:rFonts w:cs="Arial"/>
                <w:sz w:val="20"/>
              </w:rPr>
              <w:t>Number of updated cards issued</w:t>
            </w:r>
          </w:p>
        </w:tc>
      </w:tr>
      <w:tr w:rsidR="00B074CC" w:rsidRPr="001A1836" w14:paraId="0C467D9F" w14:textId="77777777" w:rsidTr="004D790B">
        <w:trPr>
          <w:cantSplit/>
        </w:trPr>
        <w:tc>
          <w:tcPr>
            <w:tcW w:w="802" w:type="dxa"/>
            <w:shd w:val="clear" w:color="auto" w:fill="auto"/>
          </w:tcPr>
          <w:p w14:paraId="7BA27A70" w14:textId="77777777" w:rsidR="00B074CC" w:rsidRPr="001A1836" w:rsidRDefault="00B074CC" w:rsidP="00626054">
            <w:pPr>
              <w:rPr>
                <w:rFonts w:cs="Arial"/>
                <w:sz w:val="20"/>
              </w:rPr>
            </w:pPr>
            <w:r w:rsidRPr="001A1836">
              <w:rPr>
                <w:rFonts w:cs="Arial"/>
                <w:sz w:val="20"/>
              </w:rPr>
              <w:t>5.37</w:t>
            </w:r>
          </w:p>
        </w:tc>
        <w:tc>
          <w:tcPr>
            <w:tcW w:w="1574" w:type="dxa"/>
            <w:gridSpan w:val="2"/>
            <w:shd w:val="clear" w:color="auto" w:fill="auto"/>
          </w:tcPr>
          <w:p w14:paraId="23401F03" w14:textId="77777777" w:rsidR="00B074CC" w:rsidRPr="001A1836" w:rsidRDefault="00B074CC" w:rsidP="00626054">
            <w:pPr>
              <w:rPr>
                <w:rFonts w:cs="Arial"/>
                <w:sz w:val="20"/>
              </w:rPr>
            </w:pPr>
          </w:p>
        </w:tc>
        <w:tc>
          <w:tcPr>
            <w:tcW w:w="6865" w:type="dxa"/>
            <w:gridSpan w:val="3"/>
            <w:shd w:val="clear" w:color="auto" w:fill="auto"/>
          </w:tcPr>
          <w:p w14:paraId="6DF28789" w14:textId="372E2A86" w:rsidR="00B074CC" w:rsidRPr="001A1836" w:rsidRDefault="00B074CC" w:rsidP="00626054">
            <w:pPr>
              <w:rPr>
                <w:rFonts w:cs="Arial"/>
                <w:sz w:val="20"/>
              </w:rPr>
            </w:pPr>
            <w:r w:rsidRPr="001A1836">
              <w:rPr>
                <w:rFonts w:cs="Arial"/>
                <w:sz w:val="20"/>
              </w:rPr>
              <w:t xml:space="preserve">% of new, replacement and updated ID cards issued within 5 </w:t>
            </w:r>
            <w:r w:rsidR="000C1F5C" w:rsidRPr="001A1836">
              <w:rPr>
                <w:rFonts w:cs="Arial"/>
                <w:sz w:val="20"/>
              </w:rPr>
              <w:t>W</w:t>
            </w:r>
            <w:r w:rsidRPr="001A1836">
              <w:rPr>
                <w:rFonts w:cs="Arial"/>
                <w:sz w:val="20"/>
              </w:rPr>
              <w:t xml:space="preserve">orking </w:t>
            </w:r>
            <w:r w:rsidR="000C1F5C" w:rsidRPr="001A1836">
              <w:rPr>
                <w:rFonts w:cs="Arial"/>
                <w:sz w:val="20"/>
              </w:rPr>
              <w:t>D</w:t>
            </w:r>
            <w:r w:rsidRPr="001A1836">
              <w:rPr>
                <w:rFonts w:cs="Arial"/>
                <w:sz w:val="20"/>
              </w:rPr>
              <w:t>ays</w:t>
            </w:r>
          </w:p>
        </w:tc>
      </w:tr>
      <w:tr w:rsidR="00B074CC" w:rsidRPr="001A1836" w14:paraId="643D5739" w14:textId="77777777" w:rsidTr="004D790B">
        <w:trPr>
          <w:cantSplit/>
        </w:trPr>
        <w:tc>
          <w:tcPr>
            <w:tcW w:w="802" w:type="dxa"/>
            <w:shd w:val="clear" w:color="auto" w:fill="auto"/>
          </w:tcPr>
          <w:p w14:paraId="074DF124" w14:textId="77777777" w:rsidR="00B074CC" w:rsidRPr="001A1836" w:rsidRDefault="00B074CC" w:rsidP="00626054">
            <w:pPr>
              <w:rPr>
                <w:rFonts w:cs="Arial"/>
                <w:sz w:val="20"/>
              </w:rPr>
            </w:pPr>
            <w:r w:rsidRPr="001A1836">
              <w:rPr>
                <w:rFonts w:cs="Arial"/>
                <w:sz w:val="20"/>
              </w:rPr>
              <w:t>5.38</w:t>
            </w:r>
          </w:p>
        </w:tc>
        <w:tc>
          <w:tcPr>
            <w:tcW w:w="1574" w:type="dxa"/>
            <w:gridSpan w:val="2"/>
            <w:shd w:val="clear" w:color="auto" w:fill="auto"/>
          </w:tcPr>
          <w:p w14:paraId="5428A447" w14:textId="77777777" w:rsidR="00B074CC" w:rsidRPr="001A1836" w:rsidRDefault="00B074CC" w:rsidP="00626054">
            <w:pPr>
              <w:rPr>
                <w:rFonts w:cs="Arial"/>
                <w:sz w:val="20"/>
              </w:rPr>
            </w:pPr>
            <w:r w:rsidRPr="001A1836">
              <w:rPr>
                <w:rFonts w:cs="Arial"/>
                <w:sz w:val="20"/>
              </w:rPr>
              <w:t>SL17</w:t>
            </w:r>
          </w:p>
        </w:tc>
        <w:tc>
          <w:tcPr>
            <w:tcW w:w="6865" w:type="dxa"/>
            <w:gridSpan w:val="3"/>
            <w:shd w:val="clear" w:color="auto" w:fill="auto"/>
          </w:tcPr>
          <w:p w14:paraId="36332C75" w14:textId="3D559EC7" w:rsidR="00B074CC" w:rsidRPr="001A1836" w:rsidRDefault="00B074CC" w:rsidP="00626054">
            <w:pPr>
              <w:rPr>
                <w:rFonts w:cs="Arial"/>
                <w:sz w:val="20"/>
              </w:rPr>
            </w:pPr>
            <w:r w:rsidRPr="001A1836">
              <w:rPr>
                <w:rFonts w:cs="Arial"/>
                <w:sz w:val="20"/>
              </w:rPr>
              <w:t xml:space="preserve">% of applications, registration changes processed and ID cards issued within </w:t>
            </w:r>
            <w:r w:rsidR="000C1F5C" w:rsidRPr="001A1836">
              <w:rPr>
                <w:rFonts w:cs="Arial"/>
                <w:sz w:val="20"/>
              </w:rPr>
              <w:t>5 Working Days during April to January or 10 Working Days during February &amp; March</w:t>
            </w:r>
          </w:p>
        </w:tc>
      </w:tr>
      <w:tr w:rsidR="00B074CC" w:rsidRPr="001A1836" w14:paraId="68B3D07C" w14:textId="77777777" w:rsidTr="004D790B">
        <w:trPr>
          <w:cantSplit/>
        </w:trPr>
        <w:tc>
          <w:tcPr>
            <w:tcW w:w="802" w:type="dxa"/>
            <w:shd w:val="clear" w:color="auto" w:fill="auto"/>
          </w:tcPr>
          <w:p w14:paraId="204813EE" w14:textId="77777777" w:rsidR="00B074CC" w:rsidRPr="001A1836" w:rsidRDefault="00B074CC" w:rsidP="00626054">
            <w:pPr>
              <w:rPr>
                <w:rFonts w:cs="Arial"/>
                <w:sz w:val="20"/>
              </w:rPr>
            </w:pPr>
            <w:r w:rsidRPr="001A1836">
              <w:rPr>
                <w:rFonts w:cs="Arial"/>
                <w:sz w:val="20"/>
              </w:rPr>
              <w:t>5.39</w:t>
            </w:r>
          </w:p>
        </w:tc>
        <w:tc>
          <w:tcPr>
            <w:tcW w:w="1574" w:type="dxa"/>
            <w:gridSpan w:val="2"/>
            <w:shd w:val="clear" w:color="auto" w:fill="auto"/>
          </w:tcPr>
          <w:p w14:paraId="08314C5C" w14:textId="77777777" w:rsidR="00B074CC" w:rsidRPr="001A1836" w:rsidRDefault="00B074CC" w:rsidP="00626054">
            <w:pPr>
              <w:rPr>
                <w:rFonts w:cs="Arial"/>
                <w:sz w:val="20"/>
              </w:rPr>
            </w:pPr>
          </w:p>
        </w:tc>
        <w:tc>
          <w:tcPr>
            <w:tcW w:w="6865" w:type="dxa"/>
            <w:gridSpan w:val="3"/>
            <w:shd w:val="clear" w:color="auto" w:fill="auto"/>
          </w:tcPr>
          <w:p w14:paraId="664B100E" w14:textId="77777777" w:rsidR="00B074CC" w:rsidRPr="001A1836" w:rsidRDefault="00B074CC" w:rsidP="00626054">
            <w:pPr>
              <w:rPr>
                <w:rFonts w:cs="Arial"/>
                <w:sz w:val="20"/>
              </w:rPr>
            </w:pPr>
            <w:r w:rsidRPr="001A1836">
              <w:rPr>
                <w:rFonts w:cs="Arial"/>
                <w:sz w:val="20"/>
              </w:rPr>
              <w:t>Number of ACS/qualification downloads</w:t>
            </w:r>
          </w:p>
        </w:tc>
      </w:tr>
      <w:tr w:rsidR="00B074CC" w:rsidRPr="001A1836" w14:paraId="2A5C12FA" w14:textId="77777777" w:rsidTr="004D790B">
        <w:trPr>
          <w:cantSplit/>
        </w:trPr>
        <w:tc>
          <w:tcPr>
            <w:tcW w:w="802" w:type="dxa"/>
            <w:shd w:val="clear" w:color="auto" w:fill="auto"/>
          </w:tcPr>
          <w:p w14:paraId="5552185C" w14:textId="77777777" w:rsidR="00B074CC" w:rsidRPr="001A1836" w:rsidRDefault="00B074CC" w:rsidP="00626054">
            <w:pPr>
              <w:rPr>
                <w:rFonts w:cs="Arial"/>
                <w:sz w:val="20"/>
              </w:rPr>
            </w:pPr>
            <w:r w:rsidRPr="001A1836">
              <w:rPr>
                <w:rFonts w:cs="Arial"/>
                <w:sz w:val="20"/>
              </w:rPr>
              <w:t>5.40</w:t>
            </w:r>
          </w:p>
        </w:tc>
        <w:tc>
          <w:tcPr>
            <w:tcW w:w="1574" w:type="dxa"/>
            <w:gridSpan w:val="2"/>
            <w:shd w:val="clear" w:color="auto" w:fill="auto"/>
          </w:tcPr>
          <w:p w14:paraId="497D702A" w14:textId="77777777" w:rsidR="00B074CC" w:rsidRPr="001A1836" w:rsidRDefault="00B074CC" w:rsidP="00626054">
            <w:pPr>
              <w:rPr>
                <w:rFonts w:cs="Arial"/>
                <w:sz w:val="20"/>
              </w:rPr>
            </w:pPr>
          </w:p>
        </w:tc>
        <w:tc>
          <w:tcPr>
            <w:tcW w:w="6865" w:type="dxa"/>
            <w:gridSpan w:val="3"/>
            <w:shd w:val="clear" w:color="auto" w:fill="auto"/>
          </w:tcPr>
          <w:p w14:paraId="6C44E6ED" w14:textId="77777777" w:rsidR="00B074CC" w:rsidRPr="001A1836" w:rsidRDefault="00B074CC" w:rsidP="00626054">
            <w:pPr>
              <w:rPr>
                <w:rFonts w:cs="Arial"/>
                <w:sz w:val="20"/>
              </w:rPr>
            </w:pPr>
            <w:r w:rsidRPr="001A1836">
              <w:rPr>
                <w:rFonts w:cs="Arial"/>
                <w:sz w:val="20"/>
              </w:rPr>
              <w:t>Number of penalty fee charges</w:t>
            </w:r>
          </w:p>
        </w:tc>
      </w:tr>
      <w:tr w:rsidR="00B074CC" w:rsidRPr="001A1836" w14:paraId="24A3CCE2" w14:textId="77777777" w:rsidTr="004D790B">
        <w:trPr>
          <w:cantSplit/>
        </w:trPr>
        <w:tc>
          <w:tcPr>
            <w:tcW w:w="802" w:type="dxa"/>
            <w:shd w:val="clear" w:color="auto" w:fill="auto"/>
          </w:tcPr>
          <w:p w14:paraId="2950C47B" w14:textId="77777777" w:rsidR="00B074CC" w:rsidRPr="001A1836" w:rsidRDefault="00B074CC" w:rsidP="00626054">
            <w:pPr>
              <w:rPr>
                <w:rFonts w:cs="Arial"/>
                <w:sz w:val="20"/>
              </w:rPr>
            </w:pPr>
            <w:r w:rsidRPr="001A1836">
              <w:rPr>
                <w:rFonts w:cs="Arial"/>
                <w:sz w:val="20"/>
              </w:rPr>
              <w:lastRenderedPageBreak/>
              <w:t>5.41</w:t>
            </w:r>
          </w:p>
        </w:tc>
        <w:tc>
          <w:tcPr>
            <w:tcW w:w="1574" w:type="dxa"/>
            <w:gridSpan w:val="2"/>
            <w:shd w:val="clear" w:color="auto" w:fill="auto"/>
          </w:tcPr>
          <w:p w14:paraId="1A8E7D59" w14:textId="77777777" w:rsidR="00B074CC" w:rsidRPr="001A1836" w:rsidRDefault="00B074CC" w:rsidP="00626054">
            <w:pPr>
              <w:rPr>
                <w:rFonts w:cs="Arial"/>
                <w:sz w:val="20"/>
              </w:rPr>
            </w:pPr>
          </w:p>
        </w:tc>
        <w:tc>
          <w:tcPr>
            <w:tcW w:w="6865" w:type="dxa"/>
            <w:gridSpan w:val="3"/>
            <w:shd w:val="clear" w:color="auto" w:fill="auto"/>
          </w:tcPr>
          <w:p w14:paraId="676B90ED" w14:textId="77777777" w:rsidR="00B074CC" w:rsidRPr="001A1836" w:rsidRDefault="00B074CC" w:rsidP="00626054">
            <w:pPr>
              <w:rPr>
                <w:rFonts w:cs="Arial"/>
                <w:sz w:val="20"/>
              </w:rPr>
            </w:pPr>
            <w:r w:rsidRPr="001A1836">
              <w:rPr>
                <w:rFonts w:cs="Arial"/>
                <w:sz w:val="20"/>
              </w:rPr>
              <w:t>Number of access to standards - 1 year</w:t>
            </w:r>
          </w:p>
        </w:tc>
      </w:tr>
      <w:tr w:rsidR="00B074CC" w:rsidRPr="001A1836" w14:paraId="4C6C5308" w14:textId="77777777" w:rsidTr="004D790B">
        <w:trPr>
          <w:cantSplit/>
        </w:trPr>
        <w:tc>
          <w:tcPr>
            <w:tcW w:w="802" w:type="dxa"/>
            <w:shd w:val="clear" w:color="auto" w:fill="auto"/>
          </w:tcPr>
          <w:p w14:paraId="3AF7CC73" w14:textId="77777777" w:rsidR="00B074CC" w:rsidRPr="001A1836" w:rsidRDefault="00B074CC" w:rsidP="00626054">
            <w:pPr>
              <w:rPr>
                <w:rFonts w:cs="Arial"/>
                <w:sz w:val="20"/>
              </w:rPr>
            </w:pPr>
            <w:r w:rsidRPr="001A1836">
              <w:rPr>
                <w:rFonts w:cs="Arial"/>
                <w:sz w:val="20"/>
              </w:rPr>
              <w:t>5.42</w:t>
            </w:r>
          </w:p>
        </w:tc>
        <w:tc>
          <w:tcPr>
            <w:tcW w:w="1574" w:type="dxa"/>
            <w:gridSpan w:val="2"/>
            <w:shd w:val="clear" w:color="auto" w:fill="auto"/>
          </w:tcPr>
          <w:p w14:paraId="4F6B2328" w14:textId="77777777" w:rsidR="00B074CC" w:rsidRPr="001A1836" w:rsidRDefault="00B074CC" w:rsidP="00626054">
            <w:pPr>
              <w:rPr>
                <w:rFonts w:cs="Arial"/>
                <w:sz w:val="20"/>
              </w:rPr>
            </w:pPr>
          </w:p>
        </w:tc>
        <w:tc>
          <w:tcPr>
            <w:tcW w:w="6865" w:type="dxa"/>
            <w:gridSpan w:val="3"/>
            <w:shd w:val="clear" w:color="auto" w:fill="auto"/>
          </w:tcPr>
          <w:p w14:paraId="5C308507" w14:textId="77777777" w:rsidR="00B074CC" w:rsidRPr="001A1836" w:rsidRDefault="00B074CC" w:rsidP="00626054">
            <w:pPr>
              <w:rPr>
                <w:rFonts w:cs="Arial"/>
                <w:sz w:val="20"/>
              </w:rPr>
            </w:pPr>
            <w:r w:rsidRPr="001A1836">
              <w:rPr>
                <w:rFonts w:cs="Arial"/>
                <w:sz w:val="20"/>
              </w:rPr>
              <w:t>Number of access to standards - 3 year</w:t>
            </w:r>
          </w:p>
        </w:tc>
      </w:tr>
      <w:tr w:rsidR="00B074CC" w:rsidRPr="001A1836" w14:paraId="5E547B7C" w14:textId="77777777" w:rsidTr="004D790B">
        <w:trPr>
          <w:cantSplit/>
        </w:trPr>
        <w:tc>
          <w:tcPr>
            <w:tcW w:w="802" w:type="dxa"/>
            <w:shd w:val="clear" w:color="auto" w:fill="auto"/>
          </w:tcPr>
          <w:p w14:paraId="72BA2C8D" w14:textId="77777777" w:rsidR="00B074CC" w:rsidRPr="001A1836" w:rsidRDefault="00B074CC" w:rsidP="00626054">
            <w:pPr>
              <w:rPr>
                <w:rFonts w:cs="Arial"/>
                <w:b/>
                <w:sz w:val="24"/>
                <w:szCs w:val="24"/>
              </w:rPr>
            </w:pPr>
            <w:r w:rsidRPr="001A1836">
              <w:rPr>
                <w:rFonts w:cs="Arial"/>
                <w:b/>
                <w:sz w:val="24"/>
                <w:szCs w:val="24"/>
              </w:rPr>
              <w:t>6.00</w:t>
            </w:r>
          </w:p>
        </w:tc>
        <w:tc>
          <w:tcPr>
            <w:tcW w:w="8439" w:type="dxa"/>
            <w:gridSpan w:val="5"/>
            <w:shd w:val="clear" w:color="auto" w:fill="auto"/>
          </w:tcPr>
          <w:p w14:paraId="6B4C0479" w14:textId="77777777" w:rsidR="00B074CC" w:rsidRPr="001A1836" w:rsidRDefault="00B074CC" w:rsidP="00626054">
            <w:pPr>
              <w:rPr>
                <w:rFonts w:cs="Arial"/>
                <w:b/>
                <w:sz w:val="24"/>
                <w:szCs w:val="24"/>
              </w:rPr>
            </w:pPr>
            <w:r w:rsidRPr="001A1836">
              <w:rPr>
                <w:rFonts w:cs="Arial"/>
                <w:b/>
                <w:sz w:val="24"/>
                <w:szCs w:val="24"/>
              </w:rPr>
              <w:t>Communications, brand management and website services</w:t>
            </w:r>
          </w:p>
        </w:tc>
      </w:tr>
      <w:tr w:rsidR="00B074CC" w:rsidRPr="001A1836" w14:paraId="290E3603" w14:textId="77777777" w:rsidTr="004D790B">
        <w:trPr>
          <w:cantSplit/>
        </w:trPr>
        <w:tc>
          <w:tcPr>
            <w:tcW w:w="802" w:type="dxa"/>
            <w:shd w:val="clear" w:color="auto" w:fill="auto"/>
          </w:tcPr>
          <w:p w14:paraId="6A1222AE" w14:textId="77777777" w:rsidR="00B074CC" w:rsidRPr="001A1836" w:rsidRDefault="00B074CC" w:rsidP="00626054">
            <w:pPr>
              <w:rPr>
                <w:rFonts w:cs="Arial"/>
                <w:sz w:val="20"/>
              </w:rPr>
            </w:pPr>
          </w:p>
        </w:tc>
        <w:tc>
          <w:tcPr>
            <w:tcW w:w="1574" w:type="dxa"/>
            <w:gridSpan w:val="2"/>
            <w:shd w:val="clear" w:color="auto" w:fill="auto"/>
          </w:tcPr>
          <w:p w14:paraId="54C956DC" w14:textId="77777777" w:rsidR="00B074CC" w:rsidRPr="001A1836" w:rsidRDefault="00B074CC" w:rsidP="00626054">
            <w:pPr>
              <w:rPr>
                <w:rFonts w:cs="Arial"/>
                <w:sz w:val="20"/>
              </w:rPr>
            </w:pPr>
          </w:p>
        </w:tc>
        <w:tc>
          <w:tcPr>
            <w:tcW w:w="6865" w:type="dxa"/>
            <w:gridSpan w:val="3"/>
            <w:shd w:val="clear" w:color="auto" w:fill="auto"/>
          </w:tcPr>
          <w:p w14:paraId="4B16141B" w14:textId="77777777" w:rsidR="00B074CC" w:rsidRPr="001A1836" w:rsidRDefault="00B074CC" w:rsidP="00626054">
            <w:pPr>
              <w:rPr>
                <w:rFonts w:cs="Arial"/>
                <w:b/>
                <w:sz w:val="20"/>
              </w:rPr>
            </w:pPr>
            <w:r w:rsidRPr="001A1836">
              <w:rPr>
                <w:rFonts w:cs="Arial"/>
                <w:b/>
                <w:sz w:val="20"/>
              </w:rPr>
              <w:t>Website services</w:t>
            </w:r>
          </w:p>
        </w:tc>
      </w:tr>
      <w:tr w:rsidR="00B074CC" w:rsidRPr="001A1836" w14:paraId="3510E92E" w14:textId="77777777" w:rsidTr="004D790B">
        <w:trPr>
          <w:cantSplit/>
        </w:trPr>
        <w:tc>
          <w:tcPr>
            <w:tcW w:w="802" w:type="dxa"/>
            <w:shd w:val="clear" w:color="auto" w:fill="auto"/>
          </w:tcPr>
          <w:p w14:paraId="213AE1A4" w14:textId="77777777" w:rsidR="00B074CC" w:rsidRPr="001A1836" w:rsidRDefault="00B074CC" w:rsidP="00626054">
            <w:pPr>
              <w:rPr>
                <w:rFonts w:cs="Arial"/>
                <w:sz w:val="20"/>
              </w:rPr>
            </w:pPr>
            <w:r w:rsidRPr="001A1836">
              <w:rPr>
                <w:rFonts w:cs="Arial"/>
                <w:sz w:val="20"/>
              </w:rPr>
              <w:t>6.01</w:t>
            </w:r>
          </w:p>
        </w:tc>
        <w:tc>
          <w:tcPr>
            <w:tcW w:w="1574" w:type="dxa"/>
            <w:gridSpan w:val="2"/>
            <w:shd w:val="clear" w:color="auto" w:fill="auto"/>
          </w:tcPr>
          <w:p w14:paraId="6AEF0E2B" w14:textId="77777777" w:rsidR="00B074CC" w:rsidRPr="001A1836" w:rsidRDefault="00B074CC" w:rsidP="00626054">
            <w:pPr>
              <w:rPr>
                <w:rFonts w:cs="Arial"/>
                <w:sz w:val="20"/>
              </w:rPr>
            </w:pPr>
          </w:p>
        </w:tc>
        <w:tc>
          <w:tcPr>
            <w:tcW w:w="6865" w:type="dxa"/>
            <w:gridSpan w:val="3"/>
            <w:shd w:val="clear" w:color="auto" w:fill="auto"/>
          </w:tcPr>
          <w:p w14:paraId="6FFF6D4C" w14:textId="77777777" w:rsidR="00B074CC" w:rsidRPr="001A1836" w:rsidRDefault="00B074CC" w:rsidP="00626054">
            <w:pPr>
              <w:rPr>
                <w:rFonts w:cs="Arial"/>
                <w:sz w:val="20"/>
              </w:rPr>
            </w:pPr>
            <w:r w:rsidRPr="001A1836">
              <w:rPr>
                <w:rFonts w:cs="Arial"/>
                <w:sz w:val="20"/>
              </w:rPr>
              <w:t>Number of visitors to www.gassaferegister.co.uk</w:t>
            </w:r>
          </w:p>
        </w:tc>
      </w:tr>
      <w:tr w:rsidR="00B074CC" w:rsidRPr="001A1836" w14:paraId="059A4A0A" w14:textId="77777777" w:rsidTr="004D790B">
        <w:trPr>
          <w:cantSplit/>
        </w:trPr>
        <w:tc>
          <w:tcPr>
            <w:tcW w:w="802" w:type="dxa"/>
            <w:shd w:val="clear" w:color="auto" w:fill="auto"/>
          </w:tcPr>
          <w:p w14:paraId="64CE6B31" w14:textId="77777777" w:rsidR="00B074CC" w:rsidRPr="001A1836" w:rsidRDefault="00B074CC" w:rsidP="00626054">
            <w:pPr>
              <w:rPr>
                <w:rFonts w:cs="Arial"/>
                <w:sz w:val="20"/>
              </w:rPr>
            </w:pPr>
            <w:r w:rsidRPr="001A1836">
              <w:rPr>
                <w:rFonts w:cs="Arial"/>
                <w:sz w:val="20"/>
              </w:rPr>
              <w:t>6.02</w:t>
            </w:r>
          </w:p>
        </w:tc>
        <w:tc>
          <w:tcPr>
            <w:tcW w:w="1574" w:type="dxa"/>
            <w:gridSpan w:val="2"/>
            <w:shd w:val="clear" w:color="auto" w:fill="auto"/>
          </w:tcPr>
          <w:p w14:paraId="5DF31CB4" w14:textId="77777777" w:rsidR="00B074CC" w:rsidRPr="001A1836" w:rsidRDefault="00B074CC" w:rsidP="00626054">
            <w:pPr>
              <w:rPr>
                <w:rFonts w:cs="Arial"/>
                <w:sz w:val="20"/>
              </w:rPr>
            </w:pPr>
          </w:p>
        </w:tc>
        <w:tc>
          <w:tcPr>
            <w:tcW w:w="6865" w:type="dxa"/>
            <w:gridSpan w:val="3"/>
            <w:shd w:val="clear" w:color="auto" w:fill="auto"/>
          </w:tcPr>
          <w:p w14:paraId="52A1006D" w14:textId="77777777" w:rsidR="00B074CC" w:rsidRPr="001A1836" w:rsidRDefault="00B074CC" w:rsidP="00626054">
            <w:pPr>
              <w:rPr>
                <w:rFonts w:cs="Arial"/>
                <w:sz w:val="20"/>
              </w:rPr>
            </w:pPr>
            <w:r w:rsidRPr="001A1836">
              <w:rPr>
                <w:rFonts w:cs="Arial"/>
                <w:sz w:val="20"/>
              </w:rPr>
              <w:t>Number of visits to www.gassaferegister.co.uk</w:t>
            </w:r>
          </w:p>
        </w:tc>
      </w:tr>
      <w:tr w:rsidR="00B074CC" w:rsidRPr="001A1836" w14:paraId="1355C122" w14:textId="77777777" w:rsidTr="004D790B">
        <w:trPr>
          <w:cantSplit/>
        </w:trPr>
        <w:tc>
          <w:tcPr>
            <w:tcW w:w="802" w:type="dxa"/>
            <w:shd w:val="clear" w:color="auto" w:fill="auto"/>
          </w:tcPr>
          <w:p w14:paraId="0B171F74" w14:textId="77777777" w:rsidR="00B074CC" w:rsidRPr="001A1836" w:rsidRDefault="00B074CC" w:rsidP="00626054">
            <w:pPr>
              <w:rPr>
                <w:rFonts w:cs="Arial"/>
                <w:sz w:val="20"/>
              </w:rPr>
            </w:pPr>
            <w:r w:rsidRPr="001A1836">
              <w:rPr>
                <w:rFonts w:cs="Arial"/>
                <w:sz w:val="20"/>
              </w:rPr>
              <w:t>6.03</w:t>
            </w:r>
          </w:p>
        </w:tc>
        <w:tc>
          <w:tcPr>
            <w:tcW w:w="1574" w:type="dxa"/>
            <w:gridSpan w:val="2"/>
            <w:shd w:val="clear" w:color="auto" w:fill="auto"/>
          </w:tcPr>
          <w:p w14:paraId="111E5300" w14:textId="77777777" w:rsidR="00B074CC" w:rsidRPr="001A1836" w:rsidRDefault="00B074CC" w:rsidP="00626054">
            <w:pPr>
              <w:rPr>
                <w:rFonts w:cs="Arial"/>
                <w:sz w:val="20"/>
              </w:rPr>
            </w:pPr>
          </w:p>
        </w:tc>
        <w:tc>
          <w:tcPr>
            <w:tcW w:w="6865" w:type="dxa"/>
            <w:gridSpan w:val="3"/>
            <w:shd w:val="clear" w:color="auto" w:fill="auto"/>
          </w:tcPr>
          <w:p w14:paraId="5362E0C5" w14:textId="77777777" w:rsidR="00B074CC" w:rsidRPr="001A1836" w:rsidRDefault="00B074CC" w:rsidP="00626054">
            <w:pPr>
              <w:rPr>
                <w:rFonts w:cs="Arial"/>
                <w:sz w:val="20"/>
              </w:rPr>
            </w:pPr>
            <w:r w:rsidRPr="001A1836">
              <w:rPr>
                <w:rFonts w:cs="Arial"/>
                <w:sz w:val="20"/>
              </w:rPr>
              <w:t>Number of visitors to engineer portal</w:t>
            </w:r>
          </w:p>
        </w:tc>
      </w:tr>
      <w:tr w:rsidR="00B074CC" w:rsidRPr="001A1836" w14:paraId="62CBC417" w14:textId="77777777" w:rsidTr="004D790B">
        <w:trPr>
          <w:cantSplit/>
        </w:trPr>
        <w:tc>
          <w:tcPr>
            <w:tcW w:w="802" w:type="dxa"/>
            <w:shd w:val="clear" w:color="auto" w:fill="auto"/>
          </w:tcPr>
          <w:p w14:paraId="5BDEE77A" w14:textId="77777777" w:rsidR="00B074CC" w:rsidRPr="001A1836" w:rsidRDefault="00B074CC" w:rsidP="00626054">
            <w:pPr>
              <w:rPr>
                <w:rFonts w:cs="Arial"/>
                <w:sz w:val="20"/>
              </w:rPr>
            </w:pPr>
            <w:r w:rsidRPr="001A1836">
              <w:rPr>
                <w:rFonts w:cs="Arial"/>
                <w:sz w:val="20"/>
              </w:rPr>
              <w:t>6.04</w:t>
            </w:r>
          </w:p>
        </w:tc>
        <w:tc>
          <w:tcPr>
            <w:tcW w:w="1574" w:type="dxa"/>
            <w:gridSpan w:val="2"/>
            <w:shd w:val="clear" w:color="auto" w:fill="auto"/>
          </w:tcPr>
          <w:p w14:paraId="11632105" w14:textId="77777777" w:rsidR="00B074CC" w:rsidRPr="001A1836" w:rsidRDefault="00B074CC" w:rsidP="00626054">
            <w:pPr>
              <w:rPr>
                <w:rFonts w:cs="Arial"/>
                <w:sz w:val="20"/>
              </w:rPr>
            </w:pPr>
          </w:p>
        </w:tc>
        <w:tc>
          <w:tcPr>
            <w:tcW w:w="6865" w:type="dxa"/>
            <w:gridSpan w:val="3"/>
            <w:shd w:val="clear" w:color="auto" w:fill="auto"/>
          </w:tcPr>
          <w:p w14:paraId="22F66D4C" w14:textId="77777777" w:rsidR="00B074CC" w:rsidRPr="001A1836" w:rsidRDefault="00B074CC" w:rsidP="00626054">
            <w:pPr>
              <w:rPr>
                <w:rFonts w:cs="Arial"/>
                <w:sz w:val="20"/>
              </w:rPr>
            </w:pPr>
            <w:r w:rsidRPr="001A1836">
              <w:rPr>
                <w:rFonts w:cs="Arial"/>
                <w:sz w:val="20"/>
              </w:rPr>
              <w:t>Number of visits to engineer portal</w:t>
            </w:r>
          </w:p>
        </w:tc>
      </w:tr>
      <w:tr w:rsidR="00B074CC" w:rsidRPr="001A1836" w14:paraId="43F88A2E" w14:textId="77777777" w:rsidTr="004D790B">
        <w:trPr>
          <w:cantSplit/>
        </w:trPr>
        <w:tc>
          <w:tcPr>
            <w:tcW w:w="802" w:type="dxa"/>
            <w:shd w:val="clear" w:color="auto" w:fill="auto"/>
          </w:tcPr>
          <w:p w14:paraId="3E2E8B22" w14:textId="77777777" w:rsidR="00B074CC" w:rsidRPr="001A1836" w:rsidRDefault="00B074CC" w:rsidP="00626054">
            <w:pPr>
              <w:rPr>
                <w:rFonts w:cs="Arial"/>
                <w:sz w:val="20"/>
              </w:rPr>
            </w:pPr>
            <w:r w:rsidRPr="001A1836">
              <w:rPr>
                <w:rFonts w:cs="Arial"/>
                <w:sz w:val="20"/>
              </w:rPr>
              <w:t>6.05</w:t>
            </w:r>
          </w:p>
        </w:tc>
        <w:tc>
          <w:tcPr>
            <w:tcW w:w="1574" w:type="dxa"/>
            <w:gridSpan w:val="2"/>
            <w:shd w:val="clear" w:color="auto" w:fill="auto"/>
          </w:tcPr>
          <w:p w14:paraId="1A9C7CF5" w14:textId="77777777" w:rsidR="00B074CC" w:rsidRPr="001A1836" w:rsidRDefault="00B074CC" w:rsidP="00626054">
            <w:pPr>
              <w:rPr>
                <w:rFonts w:cs="Arial"/>
                <w:sz w:val="20"/>
              </w:rPr>
            </w:pPr>
          </w:p>
        </w:tc>
        <w:tc>
          <w:tcPr>
            <w:tcW w:w="6865" w:type="dxa"/>
            <w:gridSpan w:val="3"/>
            <w:shd w:val="clear" w:color="auto" w:fill="auto"/>
          </w:tcPr>
          <w:p w14:paraId="0072822C" w14:textId="77777777" w:rsidR="00B074CC" w:rsidRPr="001A1836" w:rsidRDefault="00B074CC" w:rsidP="00626054">
            <w:pPr>
              <w:rPr>
                <w:rFonts w:cs="Arial"/>
                <w:sz w:val="20"/>
              </w:rPr>
            </w:pPr>
            <w:r w:rsidRPr="001A1836">
              <w:rPr>
                <w:rFonts w:cs="Arial"/>
                <w:sz w:val="20"/>
              </w:rPr>
              <w:t>Number of uses of check an installer service</w:t>
            </w:r>
          </w:p>
        </w:tc>
      </w:tr>
      <w:tr w:rsidR="00B074CC" w:rsidRPr="001A1836" w14:paraId="1F56078E" w14:textId="77777777" w:rsidTr="004D790B">
        <w:trPr>
          <w:cantSplit/>
        </w:trPr>
        <w:tc>
          <w:tcPr>
            <w:tcW w:w="802" w:type="dxa"/>
            <w:shd w:val="clear" w:color="auto" w:fill="auto"/>
          </w:tcPr>
          <w:p w14:paraId="30D9E965" w14:textId="77777777" w:rsidR="00B074CC" w:rsidRPr="001A1836" w:rsidRDefault="00B074CC" w:rsidP="00626054">
            <w:pPr>
              <w:rPr>
                <w:rFonts w:cs="Arial"/>
                <w:sz w:val="20"/>
              </w:rPr>
            </w:pPr>
            <w:r w:rsidRPr="001A1836">
              <w:rPr>
                <w:rFonts w:cs="Arial"/>
                <w:sz w:val="20"/>
              </w:rPr>
              <w:t>6.06</w:t>
            </w:r>
          </w:p>
        </w:tc>
        <w:tc>
          <w:tcPr>
            <w:tcW w:w="1574" w:type="dxa"/>
            <w:gridSpan w:val="2"/>
            <w:shd w:val="clear" w:color="auto" w:fill="auto"/>
          </w:tcPr>
          <w:p w14:paraId="32DB8F19" w14:textId="77777777" w:rsidR="00B074CC" w:rsidRPr="001A1836" w:rsidRDefault="00B074CC" w:rsidP="00626054">
            <w:pPr>
              <w:rPr>
                <w:rFonts w:cs="Arial"/>
                <w:sz w:val="20"/>
              </w:rPr>
            </w:pPr>
          </w:p>
        </w:tc>
        <w:tc>
          <w:tcPr>
            <w:tcW w:w="6865" w:type="dxa"/>
            <w:gridSpan w:val="3"/>
            <w:shd w:val="clear" w:color="auto" w:fill="auto"/>
          </w:tcPr>
          <w:p w14:paraId="2C0D8FE5" w14:textId="77777777" w:rsidR="00B074CC" w:rsidRPr="001A1836" w:rsidRDefault="00B074CC" w:rsidP="00626054">
            <w:pPr>
              <w:rPr>
                <w:rFonts w:cs="Arial"/>
                <w:sz w:val="20"/>
              </w:rPr>
            </w:pPr>
            <w:r w:rsidRPr="001A1836">
              <w:rPr>
                <w:rFonts w:cs="Arial"/>
                <w:sz w:val="20"/>
              </w:rPr>
              <w:t>Number of uses of find an installer service</w:t>
            </w:r>
          </w:p>
        </w:tc>
      </w:tr>
      <w:tr w:rsidR="00B074CC" w:rsidRPr="001A1836" w14:paraId="1C3BA888" w14:textId="77777777" w:rsidTr="004D790B">
        <w:trPr>
          <w:cantSplit/>
        </w:trPr>
        <w:tc>
          <w:tcPr>
            <w:tcW w:w="802" w:type="dxa"/>
            <w:shd w:val="clear" w:color="auto" w:fill="auto"/>
          </w:tcPr>
          <w:p w14:paraId="426C9160" w14:textId="77777777" w:rsidR="00B074CC" w:rsidRPr="001A1836" w:rsidRDefault="00B074CC" w:rsidP="00626054">
            <w:pPr>
              <w:rPr>
                <w:rFonts w:cs="Arial"/>
                <w:sz w:val="20"/>
              </w:rPr>
            </w:pPr>
            <w:r w:rsidRPr="001A1836">
              <w:rPr>
                <w:rFonts w:cs="Arial"/>
                <w:sz w:val="20"/>
              </w:rPr>
              <w:t>6.07</w:t>
            </w:r>
          </w:p>
        </w:tc>
        <w:tc>
          <w:tcPr>
            <w:tcW w:w="1574" w:type="dxa"/>
            <w:gridSpan w:val="2"/>
            <w:shd w:val="clear" w:color="auto" w:fill="auto"/>
          </w:tcPr>
          <w:p w14:paraId="5A11F1F4" w14:textId="77777777" w:rsidR="00B074CC" w:rsidRPr="001A1836" w:rsidRDefault="00B074CC" w:rsidP="00626054">
            <w:pPr>
              <w:rPr>
                <w:rFonts w:cs="Arial"/>
                <w:sz w:val="20"/>
              </w:rPr>
            </w:pPr>
          </w:p>
        </w:tc>
        <w:tc>
          <w:tcPr>
            <w:tcW w:w="6865" w:type="dxa"/>
            <w:gridSpan w:val="3"/>
            <w:shd w:val="clear" w:color="auto" w:fill="auto"/>
          </w:tcPr>
          <w:p w14:paraId="7D7C14EC" w14:textId="77777777" w:rsidR="00B074CC" w:rsidRPr="001A1836" w:rsidRDefault="00B074CC" w:rsidP="00626054">
            <w:pPr>
              <w:rPr>
                <w:rFonts w:cs="Arial"/>
                <w:sz w:val="20"/>
              </w:rPr>
            </w:pPr>
            <w:r w:rsidRPr="001A1836">
              <w:rPr>
                <w:rFonts w:cs="Arial"/>
                <w:sz w:val="20"/>
              </w:rPr>
              <w:t>Number of uses of check an engineer service</w:t>
            </w:r>
          </w:p>
        </w:tc>
      </w:tr>
      <w:tr w:rsidR="00B074CC" w:rsidRPr="001A1836" w14:paraId="2BC16C63" w14:textId="77777777" w:rsidTr="004D790B">
        <w:trPr>
          <w:cantSplit/>
        </w:trPr>
        <w:tc>
          <w:tcPr>
            <w:tcW w:w="802" w:type="dxa"/>
            <w:shd w:val="clear" w:color="auto" w:fill="auto"/>
          </w:tcPr>
          <w:p w14:paraId="37BD3A8E" w14:textId="77777777" w:rsidR="00B074CC" w:rsidRPr="001A1836" w:rsidRDefault="00B074CC" w:rsidP="00626054">
            <w:pPr>
              <w:rPr>
                <w:rFonts w:cs="Arial"/>
                <w:sz w:val="20"/>
              </w:rPr>
            </w:pPr>
          </w:p>
        </w:tc>
        <w:tc>
          <w:tcPr>
            <w:tcW w:w="1574" w:type="dxa"/>
            <w:gridSpan w:val="2"/>
            <w:shd w:val="clear" w:color="auto" w:fill="auto"/>
          </w:tcPr>
          <w:p w14:paraId="717C288F" w14:textId="77777777" w:rsidR="00B074CC" w:rsidRPr="001A1836" w:rsidRDefault="00B074CC" w:rsidP="00626054">
            <w:pPr>
              <w:rPr>
                <w:rFonts w:cs="Arial"/>
                <w:sz w:val="20"/>
              </w:rPr>
            </w:pPr>
          </w:p>
        </w:tc>
        <w:tc>
          <w:tcPr>
            <w:tcW w:w="6865" w:type="dxa"/>
            <w:gridSpan w:val="3"/>
            <w:shd w:val="clear" w:color="auto" w:fill="auto"/>
          </w:tcPr>
          <w:p w14:paraId="432CE106" w14:textId="77777777" w:rsidR="00B074CC" w:rsidRPr="001A1836" w:rsidRDefault="00B074CC" w:rsidP="00626054">
            <w:pPr>
              <w:rPr>
                <w:rFonts w:cs="Arial"/>
                <w:b/>
                <w:sz w:val="20"/>
              </w:rPr>
            </w:pPr>
            <w:r w:rsidRPr="001A1836">
              <w:rPr>
                <w:rFonts w:cs="Arial"/>
                <w:b/>
                <w:sz w:val="20"/>
              </w:rPr>
              <w:t>Communications</w:t>
            </w:r>
          </w:p>
        </w:tc>
      </w:tr>
      <w:tr w:rsidR="00B074CC" w:rsidRPr="001A1836" w14:paraId="0E3D9EDE" w14:textId="77777777" w:rsidTr="004D790B">
        <w:trPr>
          <w:cantSplit/>
        </w:trPr>
        <w:tc>
          <w:tcPr>
            <w:tcW w:w="802" w:type="dxa"/>
            <w:shd w:val="clear" w:color="auto" w:fill="auto"/>
          </w:tcPr>
          <w:p w14:paraId="3667D733" w14:textId="77777777" w:rsidR="00B074CC" w:rsidRPr="001A1836" w:rsidRDefault="00B074CC" w:rsidP="00626054">
            <w:pPr>
              <w:rPr>
                <w:rFonts w:cs="Arial"/>
                <w:sz w:val="20"/>
              </w:rPr>
            </w:pPr>
            <w:r w:rsidRPr="001A1836">
              <w:rPr>
                <w:rFonts w:cs="Arial"/>
                <w:sz w:val="20"/>
              </w:rPr>
              <w:t>6.08</w:t>
            </w:r>
          </w:p>
        </w:tc>
        <w:tc>
          <w:tcPr>
            <w:tcW w:w="1574" w:type="dxa"/>
            <w:gridSpan w:val="2"/>
            <w:shd w:val="clear" w:color="auto" w:fill="auto"/>
          </w:tcPr>
          <w:p w14:paraId="48B79312" w14:textId="77777777" w:rsidR="00B074CC" w:rsidRPr="001A1836" w:rsidRDefault="00B074CC" w:rsidP="00626054">
            <w:pPr>
              <w:rPr>
                <w:rFonts w:cs="Arial"/>
                <w:sz w:val="20"/>
              </w:rPr>
            </w:pPr>
          </w:p>
        </w:tc>
        <w:tc>
          <w:tcPr>
            <w:tcW w:w="6865" w:type="dxa"/>
            <w:gridSpan w:val="3"/>
            <w:shd w:val="clear" w:color="auto" w:fill="auto"/>
          </w:tcPr>
          <w:p w14:paraId="459207AF" w14:textId="77777777" w:rsidR="00B074CC" w:rsidRPr="001A1836" w:rsidRDefault="00B074CC" w:rsidP="00626054">
            <w:pPr>
              <w:rPr>
                <w:rFonts w:cs="Arial"/>
                <w:sz w:val="20"/>
              </w:rPr>
            </w:pPr>
            <w:r w:rsidRPr="001A1836">
              <w:rPr>
                <w:rFonts w:cs="Arial"/>
                <w:sz w:val="20"/>
              </w:rPr>
              <w:t>Brand awareness - unprompted</w:t>
            </w:r>
          </w:p>
        </w:tc>
      </w:tr>
      <w:tr w:rsidR="00B074CC" w:rsidRPr="001A1836" w14:paraId="25673553" w14:textId="77777777" w:rsidTr="004D790B">
        <w:trPr>
          <w:cantSplit/>
        </w:trPr>
        <w:tc>
          <w:tcPr>
            <w:tcW w:w="802" w:type="dxa"/>
            <w:shd w:val="clear" w:color="auto" w:fill="auto"/>
          </w:tcPr>
          <w:p w14:paraId="6D045967" w14:textId="77777777" w:rsidR="00B074CC" w:rsidRPr="001A1836" w:rsidRDefault="00B074CC" w:rsidP="00626054">
            <w:pPr>
              <w:rPr>
                <w:rFonts w:cs="Arial"/>
                <w:sz w:val="20"/>
              </w:rPr>
            </w:pPr>
            <w:r w:rsidRPr="001A1836">
              <w:rPr>
                <w:rFonts w:cs="Arial"/>
                <w:sz w:val="20"/>
              </w:rPr>
              <w:t>6.09</w:t>
            </w:r>
          </w:p>
        </w:tc>
        <w:tc>
          <w:tcPr>
            <w:tcW w:w="1574" w:type="dxa"/>
            <w:gridSpan w:val="2"/>
            <w:shd w:val="clear" w:color="auto" w:fill="auto"/>
          </w:tcPr>
          <w:p w14:paraId="5AE6AB71" w14:textId="77777777" w:rsidR="00B074CC" w:rsidRPr="001A1836" w:rsidRDefault="00B074CC" w:rsidP="00626054">
            <w:pPr>
              <w:rPr>
                <w:rFonts w:cs="Arial"/>
                <w:sz w:val="20"/>
              </w:rPr>
            </w:pPr>
          </w:p>
        </w:tc>
        <w:tc>
          <w:tcPr>
            <w:tcW w:w="6865" w:type="dxa"/>
            <w:gridSpan w:val="3"/>
            <w:shd w:val="clear" w:color="auto" w:fill="auto"/>
          </w:tcPr>
          <w:p w14:paraId="5E4C04F6" w14:textId="77777777" w:rsidR="00B074CC" w:rsidRPr="001A1836" w:rsidRDefault="00B074CC" w:rsidP="00626054">
            <w:pPr>
              <w:rPr>
                <w:rFonts w:cs="Arial"/>
                <w:sz w:val="20"/>
              </w:rPr>
            </w:pPr>
            <w:r w:rsidRPr="001A1836">
              <w:rPr>
                <w:rFonts w:cs="Arial"/>
                <w:sz w:val="20"/>
              </w:rPr>
              <w:t>Brand awareness - prompted</w:t>
            </w:r>
          </w:p>
        </w:tc>
      </w:tr>
      <w:tr w:rsidR="00B074CC" w:rsidRPr="001A1836" w14:paraId="23E27AC9" w14:textId="77777777" w:rsidTr="004D790B">
        <w:trPr>
          <w:cantSplit/>
        </w:trPr>
        <w:tc>
          <w:tcPr>
            <w:tcW w:w="802" w:type="dxa"/>
            <w:shd w:val="clear" w:color="auto" w:fill="auto"/>
          </w:tcPr>
          <w:p w14:paraId="03757079" w14:textId="77777777" w:rsidR="00B074CC" w:rsidRPr="001A1836" w:rsidRDefault="00B074CC" w:rsidP="00626054">
            <w:pPr>
              <w:rPr>
                <w:rFonts w:cs="Arial"/>
                <w:sz w:val="20"/>
              </w:rPr>
            </w:pPr>
            <w:r w:rsidRPr="001A1836">
              <w:rPr>
                <w:rFonts w:cs="Arial"/>
                <w:sz w:val="20"/>
              </w:rPr>
              <w:t>6.10</w:t>
            </w:r>
          </w:p>
        </w:tc>
        <w:tc>
          <w:tcPr>
            <w:tcW w:w="1574" w:type="dxa"/>
            <w:gridSpan w:val="2"/>
            <w:shd w:val="clear" w:color="auto" w:fill="auto"/>
          </w:tcPr>
          <w:p w14:paraId="4B6871BA" w14:textId="77777777" w:rsidR="00B074CC" w:rsidRPr="001A1836" w:rsidRDefault="00B074CC" w:rsidP="00626054">
            <w:pPr>
              <w:rPr>
                <w:rFonts w:cs="Arial"/>
                <w:sz w:val="20"/>
              </w:rPr>
            </w:pPr>
          </w:p>
        </w:tc>
        <w:tc>
          <w:tcPr>
            <w:tcW w:w="6865" w:type="dxa"/>
            <w:gridSpan w:val="3"/>
            <w:shd w:val="clear" w:color="auto" w:fill="auto"/>
          </w:tcPr>
          <w:p w14:paraId="00DFC703" w14:textId="77777777" w:rsidR="00B074CC" w:rsidRPr="001A1836" w:rsidRDefault="00B074CC" w:rsidP="00626054">
            <w:pPr>
              <w:rPr>
                <w:rFonts w:cs="Arial"/>
                <w:sz w:val="20"/>
              </w:rPr>
            </w:pPr>
            <w:r w:rsidRPr="001A1836">
              <w:rPr>
                <w:rFonts w:cs="Arial"/>
                <w:sz w:val="20"/>
              </w:rPr>
              <w:t>Distribution of RGE magazine - number of copies</w:t>
            </w:r>
          </w:p>
        </w:tc>
      </w:tr>
      <w:tr w:rsidR="00B074CC" w:rsidRPr="001A1836" w14:paraId="6902E5BE" w14:textId="77777777" w:rsidTr="004D790B">
        <w:trPr>
          <w:cantSplit/>
        </w:trPr>
        <w:tc>
          <w:tcPr>
            <w:tcW w:w="802" w:type="dxa"/>
            <w:shd w:val="clear" w:color="auto" w:fill="auto"/>
          </w:tcPr>
          <w:p w14:paraId="428D2971" w14:textId="77777777" w:rsidR="00B074CC" w:rsidRPr="001A1836" w:rsidRDefault="00B074CC" w:rsidP="00626054">
            <w:pPr>
              <w:rPr>
                <w:rFonts w:cs="Arial"/>
                <w:sz w:val="20"/>
              </w:rPr>
            </w:pPr>
          </w:p>
        </w:tc>
        <w:tc>
          <w:tcPr>
            <w:tcW w:w="1574" w:type="dxa"/>
            <w:gridSpan w:val="2"/>
            <w:shd w:val="clear" w:color="auto" w:fill="auto"/>
          </w:tcPr>
          <w:p w14:paraId="3C7BB0C6" w14:textId="77777777" w:rsidR="00B074CC" w:rsidRPr="001A1836" w:rsidRDefault="00B074CC" w:rsidP="00626054">
            <w:pPr>
              <w:rPr>
                <w:rFonts w:cs="Arial"/>
                <w:sz w:val="20"/>
              </w:rPr>
            </w:pPr>
          </w:p>
        </w:tc>
        <w:tc>
          <w:tcPr>
            <w:tcW w:w="6865" w:type="dxa"/>
            <w:gridSpan w:val="3"/>
            <w:shd w:val="clear" w:color="auto" w:fill="auto"/>
          </w:tcPr>
          <w:p w14:paraId="7039807B" w14:textId="77777777" w:rsidR="00B074CC" w:rsidRPr="001A1836" w:rsidRDefault="00B074CC" w:rsidP="00626054">
            <w:pPr>
              <w:rPr>
                <w:rFonts w:cs="Arial"/>
                <w:b/>
                <w:sz w:val="20"/>
              </w:rPr>
            </w:pPr>
            <w:r w:rsidRPr="001A1836">
              <w:rPr>
                <w:rFonts w:cs="Arial"/>
                <w:b/>
                <w:sz w:val="20"/>
              </w:rPr>
              <w:t>Brand management</w:t>
            </w:r>
          </w:p>
        </w:tc>
      </w:tr>
      <w:tr w:rsidR="00B074CC" w:rsidRPr="001A1836" w14:paraId="7A5C5834" w14:textId="77777777" w:rsidTr="004D790B">
        <w:trPr>
          <w:cantSplit/>
        </w:trPr>
        <w:tc>
          <w:tcPr>
            <w:tcW w:w="802" w:type="dxa"/>
            <w:shd w:val="clear" w:color="auto" w:fill="auto"/>
          </w:tcPr>
          <w:p w14:paraId="2F349BFE" w14:textId="77777777" w:rsidR="00B074CC" w:rsidRPr="001A1836" w:rsidRDefault="00B074CC" w:rsidP="00626054">
            <w:pPr>
              <w:rPr>
                <w:rFonts w:cs="Arial"/>
                <w:sz w:val="20"/>
              </w:rPr>
            </w:pPr>
            <w:r w:rsidRPr="001A1836">
              <w:rPr>
                <w:rFonts w:cs="Arial"/>
                <w:sz w:val="20"/>
              </w:rPr>
              <w:t>6.11</w:t>
            </w:r>
          </w:p>
        </w:tc>
        <w:tc>
          <w:tcPr>
            <w:tcW w:w="1574" w:type="dxa"/>
            <w:gridSpan w:val="2"/>
            <w:shd w:val="clear" w:color="auto" w:fill="auto"/>
          </w:tcPr>
          <w:p w14:paraId="10511D51" w14:textId="77777777" w:rsidR="00B074CC" w:rsidRPr="001A1836" w:rsidRDefault="00B074CC" w:rsidP="00626054">
            <w:pPr>
              <w:rPr>
                <w:rFonts w:cs="Arial"/>
                <w:sz w:val="20"/>
              </w:rPr>
            </w:pPr>
          </w:p>
        </w:tc>
        <w:tc>
          <w:tcPr>
            <w:tcW w:w="6865" w:type="dxa"/>
            <w:gridSpan w:val="3"/>
            <w:shd w:val="clear" w:color="auto" w:fill="auto"/>
          </w:tcPr>
          <w:p w14:paraId="12DE6F31" w14:textId="77777777" w:rsidR="00B074CC" w:rsidRPr="001A1836" w:rsidRDefault="00B074CC" w:rsidP="00626054">
            <w:pPr>
              <w:rPr>
                <w:rFonts w:cs="Arial"/>
                <w:sz w:val="20"/>
              </w:rPr>
            </w:pPr>
            <w:r w:rsidRPr="001A1836">
              <w:rPr>
                <w:rFonts w:cs="Arial"/>
                <w:sz w:val="20"/>
              </w:rPr>
              <w:t>Businesses contacted</w:t>
            </w:r>
          </w:p>
        </w:tc>
      </w:tr>
      <w:tr w:rsidR="00B074CC" w:rsidRPr="001A1836" w14:paraId="196E1CAB" w14:textId="77777777" w:rsidTr="004D790B">
        <w:trPr>
          <w:cantSplit/>
        </w:trPr>
        <w:tc>
          <w:tcPr>
            <w:tcW w:w="802" w:type="dxa"/>
            <w:shd w:val="clear" w:color="auto" w:fill="auto"/>
          </w:tcPr>
          <w:p w14:paraId="43B0C5F1" w14:textId="77777777" w:rsidR="00B074CC" w:rsidRPr="001A1836" w:rsidRDefault="00B074CC" w:rsidP="00626054">
            <w:pPr>
              <w:rPr>
                <w:rFonts w:cs="Arial"/>
                <w:sz w:val="20"/>
              </w:rPr>
            </w:pPr>
            <w:r w:rsidRPr="001A1836">
              <w:rPr>
                <w:rFonts w:cs="Arial"/>
                <w:sz w:val="20"/>
              </w:rPr>
              <w:t>6.12</w:t>
            </w:r>
          </w:p>
        </w:tc>
        <w:tc>
          <w:tcPr>
            <w:tcW w:w="1574" w:type="dxa"/>
            <w:gridSpan w:val="2"/>
            <w:shd w:val="clear" w:color="auto" w:fill="auto"/>
          </w:tcPr>
          <w:p w14:paraId="6FA67C8C" w14:textId="77777777" w:rsidR="00B074CC" w:rsidRPr="001A1836" w:rsidRDefault="00B074CC" w:rsidP="00626054">
            <w:pPr>
              <w:rPr>
                <w:rFonts w:cs="Arial"/>
                <w:sz w:val="20"/>
              </w:rPr>
            </w:pPr>
          </w:p>
        </w:tc>
        <w:tc>
          <w:tcPr>
            <w:tcW w:w="6865" w:type="dxa"/>
            <w:gridSpan w:val="3"/>
            <w:shd w:val="clear" w:color="auto" w:fill="auto"/>
          </w:tcPr>
          <w:p w14:paraId="61050A6F" w14:textId="77777777" w:rsidR="00B074CC" w:rsidRPr="001A1836" w:rsidRDefault="00B074CC" w:rsidP="00626054">
            <w:pPr>
              <w:rPr>
                <w:rFonts w:cs="Arial"/>
                <w:sz w:val="20"/>
              </w:rPr>
            </w:pPr>
            <w:r w:rsidRPr="001A1836">
              <w:rPr>
                <w:rFonts w:cs="Arial"/>
                <w:sz w:val="20"/>
              </w:rPr>
              <w:t>Unregistered businesses</w:t>
            </w:r>
          </w:p>
        </w:tc>
      </w:tr>
      <w:tr w:rsidR="00B074CC" w:rsidRPr="001A1836" w14:paraId="770D019B" w14:textId="77777777" w:rsidTr="004D790B">
        <w:trPr>
          <w:cantSplit/>
        </w:trPr>
        <w:tc>
          <w:tcPr>
            <w:tcW w:w="802" w:type="dxa"/>
            <w:shd w:val="clear" w:color="auto" w:fill="auto"/>
          </w:tcPr>
          <w:p w14:paraId="304E8584" w14:textId="77777777" w:rsidR="00B074CC" w:rsidRPr="001A1836" w:rsidRDefault="00B074CC" w:rsidP="00626054">
            <w:pPr>
              <w:rPr>
                <w:rFonts w:cs="Arial"/>
                <w:sz w:val="20"/>
              </w:rPr>
            </w:pPr>
            <w:r w:rsidRPr="001A1836">
              <w:rPr>
                <w:rFonts w:cs="Arial"/>
                <w:sz w:val="20"/>
              </w:rPr>
              <w:t>6.13</w:t>
            </w:r>
          </w:p>
        </w:tc>
        <w:tc>
          <w:tcPr>
            <w:tcW w:w="1574" w:type="dxa"/>
            <w:gridSpan w:val="2"/>
            <w:shd w:val="clear" w:color="auto" w:fill="auto"/>
          </w:tcPr>
          <w:p w14:paraId="4F64F809" w14:textId="77777777" w:rsidR="00B074CC" w:rsidRPr="001A1836" w:rsidRDefault="00B074CC" w:rsidP="00626054">
            <w:pPr>
              <w:rPr>
                <w:rFonts w:cs="Arial"/>
                <w:sz w:val="20"/>
              </w:rPr>
            </w:pPr>
          </w:p>
        </w:tc>
        <w:tc>
          <w:tcPr>
            <w:tcW w:w="6865" w:type="dxa"/>
            <w:gridSpan w:val="3"/>
            <w:shd w:val="clear" w:color="auto" w:fill="auto"/>
          </w:tcPr>
          <w:p w14:paraId="6F8C5E5D" w14:textId="77777777" w:rsidR="00B074CC" w:rsidRPr="001A1836" w:rsidRDefault="00B074CC" w:rsidP="00626054">
            <w:pPr>
              <w:rPr>
                <w:rFonts w:cs="Arial"/>
                <w:sz w:val="20"/>
              </w:rPr>
            </w:pPr>
            <w:r w:rsidRPr="001A1836">
              <w:rPr>
                <w:rFonts w:cs="Arial"/>
                <w:sz w:val="20"/>
              </w:rPr>
              <w:t>Brand compliance achieved</w:t>
            </w:r>
          </w:p>
        </w:tc>
      </w:tr>
      <w:tr w:rsidR="00B074CC" w:rsidRPr="001A1836" w14:paraId="72A9F2F9" w14:textId="77777777" w:rsidTr="004D790B">
        <w:trPr>
          <w:cantSplit/>
        </w:trPr>
        <w:tc>
          <w:tcPr>
            <w:tcW w:w="802" w:type="dxa"/>
            <w:shd w:val="clear" w:color="auto" w:fill="auto"/>
          </w:tcPr>
          <w:p w14:paraId="49037FD5" w14:textId="77777777" w:rsidR="00B074CC" w:rsidRPr="001A1836" w:rsidRDefault="00B074CC" w:rsidP="00626054">
            <w:pPr>
              <w:rPr>
                <w:rFonts w:cs="Arial"/>
                <w:sz w:val="20"/>
              </w:rPr>
            </w:pPr>
            <w:r w:rsidRPr="001A1836">
              <w:rPr>
                <w:rFonts w:cs="Arial"/>
                <w:sz w:val="20"/>
              </w:rPr>
              <w:t>6.14</w:t>
            </w:r>
          </w:p>
        </w:tc>
        <w:tc>
          <w:tcPr>
            <w:tcW w:w="1574" w:type="dxa"/>
            <w:gridSpan w:val="2"/>
            <w:shd w:val="clear" w:color="auto" w:fill="auto"/>
          </w:tcPr>
          <w:p w14:paraId="264BF735" w14:textId="77777777" w:rsidR="00B074CC" w:rsidRPr="001A1836" w:rsidRDefault="00B074CC" w:rsidP="00626054">
            <w:pPr>
              <w:rPr>
                <w:rFonts w:cs="Arial"/>
                <w:sz w:val="20"/>
              </w:rPr>
            </w:pPr>
          </w:p>
        </w:tc>
        <w:tc>
          <w:tcPr>
            <w:tcW w:w="6865" w:type="dxa"/>
            <w:gridSpan w:val="3"/>
            <w:shd w:val="clear" w:color="auto" w:fill="auto"/>
          </w:tcPr>
          <w:p w14:paraId="4B576426" w14:textId="77777777" w:rsidR="00B074CC" w:rsidRPr="001A1836" w:rsidRDefault="00B074CC" w:rsidP="00626054">
            <w:pPr>
              <w:rPr>
                <w:rFonts w:cs="Arial"/>
                <w:sz w:val="20"/>
              </w:rPr>
            </w:pPr>
            <w:r w:rsidRPr="001A1836">
              <w:rPr>
                <w:rFonts w:cs="Arial"/>
                <w:sz w:val="20"/>
              </w:rPr>
              <w:t>Cases outstanding</w:t>
            </w:r>
          </w:p>
        </w:tc>
      </w:tr>
      <w:tr w:rsidR="00B074CC" w:rsidRPr="001A1836" w14:paraId="033B348E" w14:textId="77777777" w:rsidTr="004D790B">
        <w:trPr>
          <w:cantSplit/>
        </w:trPr>
        <w:tc>
          <w:tcPr>
            <w:tcW w:w="802" w:type="dxa"/>
            <w:shd w:val="clear" w:color="auto" w:fill="auto"/>
          </w:tcPr>
          <w:p w14:paraId="7CDB2D3E" w14:textId="77777777" w:rsidR="00B074CC" w:rsidRPr="001A1836" w:rsidRDefault="00B074CC" w:rsidP="00626054">
            <w:pPr>
              <w:rPr>
                <w:rFonts w:cs="Arial"/>
                <w:sz w:val="20"/>
              </w:rPr>
            </w:pPr>
            <w:r w:rsidRPr="001A1836">
              <w:rPr>
                <w:rFonts w:cs="Arial"/>
                <w:sz w:val="20"/>
              </w:rPr>
              <w:t>6.15</w:t>
            </w:r>
          </w:p>
        </w:tc>
        <w:tc>
          <w:tcPr>
            <w:tcW w:w="1574" w:type="dxa"/>
            <w:gridSpan w:val="2"/>
            <w:shd w:val="clear" w:color="auto" w:fill="auto"/>
          </w:tcPr>
          <w:p w14:paraId="7F63AE36" w14:textId="77777777" w:rsidR="00B074CC" w:rsidRPr="001A1836" w:rsidRDefault="00B074CC" w:rsidP="00626054">
            <w:pPr>
              <w:rPr>
                <w:rFonts w:cs="Arial"/>
                <w:sz w:val="20"/>
              </w:rPr>
            </w:pPr>
          </w:p>
        </w:tc>
        <w:tc>
          <w:tcPr>
            <w:tcW w:w="6865" w:type="dxa"/>
            <w:gridSpan w:val="3"/>
            <w:shd w:val="clear" w:color="auto" w:fill="auto"/>
          </w:tcPr>
          <w:p w14:paraId="2E1F5636" w14:textId="77777777" w:rsidR="00B074CC" w:rsidRPr="001A1836" w:rsidRDefault="00B074CC" w:rsidP="00626054">
            <w:pPr>
              <w:rPr>
                <w:rFonts w:cs="Arial"/>
                <w:sz w:val="20"/>
              </w:rPr>
            </w:pPr>
            <w:r w:rsidRPr="001A1836">
              <w:rPr>
                <w:rFonts w:cs="Arial"/>
                <w:sz w:val="20"/>
              </w:rPr>
              <w:t>Cases passed to Trading Standards</w:t>
            </w:r>
          </w:p>
        </w:tc>
      </w:tr>
      <w:tr w:rsidR="00B074CC" w:rsidRPr="001A1836" w14:paraId="7B09CD9A" w14:textId="77777777" w:rsidTr="004D790B">
        <w:trPr>
          <w:cantSplit/>
        </w:trPr>
        <w:tc>
          <w:tcPr>
            <w:tcW w:w="802" w:type="dxa"/>
            <w:shd w:val="clear" w:color="auto" w:fill="auto"/>
          </w:tcPr>
          <w:p w14:paraId="115BE462" w14:textId="77777777" w:rsidR="00B074CC" w:rsidRPr="001A1836" w:rsidRDefault="00B074CC" w:rsidP="00626054">
            <w:pPr>
              <w:rPr>
                <w:rFonts w:cs="Arial"/>
                <w:sz w:val="20"/>
              </w:rPr>
            </w:pPr>
            <w:r w:rsidRPr="001A1836">
              <w:rPr>
                <w:rFonts w:cs="Arial"/>
                <w:sz w:val="20"/>
              </w:rPr>
              <w:t>6.16</w:t>
            </w:r>
          </w:p>
        </w:tc>
        <w:tc>
          <w:tcPr>
            <w:tcW w:w="1574" w:type="dxa"/>
            <w:gridSpan w:val="2"/>
            <w:shd w:val="clear" w:color="auto" w:fill="auto"/>
          </w:tcPr>
          <w:p w14:paraId="0D55514F" w14:textId="77777777" w:rsidR="00B074CC" w:rsidRPr="001A1836" w:rsidRDefault="00B074CC" w:rsidP="00626054">
            <w:pPr>
              <w:rPr>
                <w:rFonts w:cs="Arial"/>
                <w:sz w:val="20"/>
              </w:rPr>
            </w:pPr>
          </w:p>
        </w:tc>
        <w:tc>
          <w:tcPr>
            <w:tcW w:w="6865" w:type="dxa"/>
            <w:gridSpan w:val="3"/>
            <w:shd w:val="clear" w:color="auto" w:fill="auto"/>
          </w:tcPr>
          <w:p w14:paraId="1D1CF5AE" w14:textId="77777777" w:rsidR="00B074CC" w:rsidRPr="001A1836" w:rsidRDefault="00B074CC" w:rsidP="00626054">
            <w:pPr>
              <w:rPr>
                <w:rFonts w:cs="Arial"/>
                <w:sz w:val="20"/>
              </w:rPr>
            </w:pPr>
            <w:r w:rsidRPr="001A1836">
              <w:rPr>
                <w:rFonts w:cs="Arial"/>
                <w:sz w:val="20"/>
              </w:rPr>
              <w:t>Cases escalated to lawyers</w:t>
            </w:r>
          </w:p>
        </w:tc>
      </w:tr>
      <w:tr w:rsidR="00B074CC" w:rsidRPr="001A1836" w14:paraId="3BFF41ED" w14:textId="77777777" w:rsidTr="004D790B">
        <w:trPr>
          <w:cantSplit/>
        </w:trPr>
        <w:tc>
          <w:tcPr>
            <w:tcW w:w="802" w:type="dxa"/>
            <w:shd w:val="clear" w:color="auto" w:fill="auto"/>
          </w:tcPr>
          <w:p w14:paraId="42219265" w14:textId="77777777" w:rsidR="00B074CC" w:rsidRPr="001A1836" w:rsidRDefault="00B074CC" w:rsidP="00626054">
            <w:pPr>
              <w:rPr>
                <w:rFonts w:cs="Arial"/>
                <w:b/>
                <w:sz w:val="24"/>
                <w:szCs w:val="24"/>
              </w:rPr>
            </w:pPr>
            <w:r w:rsidRPr="001A1836">
              <w:rPr>
                <w:rFonts w:cs="Arial"/>
                <w:b/>
                <w:sz w:val="24"/>
                <w:szCs w:val="24"/>
              </w:rPr>
              <w:t>7.00</w:t>
            </w:r>
          </w:p>
        </w:tc>
        <w:tc>
          <w:tcPr>
            <w:tcW w:w="8439" w:type="dxa"/>
            <w:gridSpan w:val="5"/>
            <w:shd w:val="clear" w:color="auto" w:fill="auto"/>
          </w:tcPr>
          <w:p w14:paraId="1CF9F380" w14:textId="77777777" w:rsidR="00B074CC" w:rsidRPr="001A1836" w:rsidRDefault="00B074CC" w:rsidP="00626054">
            <w:pPr>
              <w:rPr>
                <w:rFonts w:cs="Arial"/>
                <w:b/>
                <w:sz w:val="24"/>
                <w:szCs w:val="24"/>
              </w:rPr>
            </w:pPr>
            <w:r w:rsidRPr="001A1836">
              <w:rPr>
                <w:rFonts w:cs="Arial"/>
                <w:b/>
                <w:sz w:val="24"/>
                <w:szCs w:val="24"/>
              </w:rPr>
              <w:t>Data access</w:t>
            </w:r>
          </w:p>
        </w:tc>
      </w:tr>
      <w:tr w:rsidR="00B074CC" w:rsidRPr="001A1836" w14:paraId="70997EAC" w14:textId="77777777" w:rsidTr="004D790B">
        <w:trPr>
          <w:cantSplit/>
        </w:trPr>
        <w:tc>
          <w:tcPr>
            <w:tcW w:w="802" w:type="dxa"/>
            <w:shd w:val="clear" w:color="auto" w:fill="auto"/>
          </w:tcPr>
          <w:p w14:paraId="4A91056D" w14:textId="77777777" w:rsidR="00B074CC" w:rsidRPr="001A1836" w:rsidRDefault="00B074CC" w:rsidP="00626054">
            <w:pPr>
              <w:rPr>
                <w:rFonts w:cs="Arial"/>
                <w:sz w:val="20"/>
              </w:rPr>
            </w:pPr>
          </w:p>
        </w:tc>
        <w:tc>
          <w:tcPr>
            <w:tcW w:w="1574" w:type="dxa"/>
            <w:gridSpan w:val="2"/>
            <w:shd w:val="clear" w:color="auto" w:fill="auto"/>
          </w:tcPr>
          <w:p w14:paraId="388A08C1" w14:textId="77777777" w:rsidR="00B074CC" w:rsidRPr="001A1836" w:rsidRDefault="00B074CC" w:rsidP="00626054">
            <w:pPr>
              <w:rPr>
                <w:rFonts w:cs="Arial"/>
                <w:sz w:val="20"/>
              </w:rPr>
            </w:pPr>
          </w:p>
        </w:tc>
        <w:tc>
          <w:tcPr>
            <w:tcW w:w="6865" w:type="dxa"/>
            <w:gridSpan w:val="3"/>
            <w:shd w:val="clear" w:color="auto" w:fill="auto"/>
          </w:tcPr>
          <w:p w14:paraId="227EAC02" w14:textId="77777777" w:rsidR="00B074CC" w:rsidRPr="001A1836" w:rsidRDefault="00B074CC" w:rsidP="00626054">
            <w:pPr>
              <w:rPr>
                <w:rFonts w:cs="Arial"/>
                <w:b/>
                <w:sz w:val="20"/>
              </w:rPr>
            </w:pPr>
            <w:r w:rsidRPr="001A1836">
              <w:rPr>
                <w:rFonts w:cs="Arial"/>
                <w:b/>
                <w:sz w:val="20"/>
              </w:rPr>
              <w:t>Users</w:t>
            </w:r>
          </w:p>
        </w:tc>
      </w:tr>
      <w:tr w:rsidR="00B074CC" w:rsidRPr="001A1836" w14:paraId="181DCE5F" w14:textId="77777777" w:rsidTr="004D790B">
        <w:trPr>
          <w:cantSplit/>
        </w:trPr>
        <w:tc>
          <w:tcPr>
            <w:tcW w:w="802" w:type="dxa"/>
            <w:shd w:val="clear" w:color="auto" w:fill="auto"/>
          </w:tcPr>
          <w:p w14:paraId="4B9D844B" w14:textId="77777777" w:rsidR="00B074CC" w:rsidRPr="001A1836" w:rsidRDefault="00B074CC" w:rsidP="00626054">
            <w:pPr>
              <w:rPr>
                <w:rFonts w:cs="Arial"/>
                <w:sz w:val="20"/>
              </w:rPr>
            </w:pPr>
            <w:r w:rsidRPr="001A1836">
              <w:rPr>
                <w:rFonts w:cs="Arial"/>
                <w:sz w:val="20"/>
              </w:rPr>
              <w:t>7.01</w:t>
            </w:r>
          </w:p>
        </w:tc>
        <w:tc>
          <w:tcPr>
            <w:tcW w:w="1574" w:type="dxa"/>
            <w:gridSpan w:val="2"/>
            <w:shd w:val="clear" w:color="auto" w:fill="auto"/>
          </w:tcPr>
          <w:p w14:paraId="74E91C2A" w14:textId="77777777" w:rsidR="00B074CC" w:rsidRPr="001A1836" w:rsidRDefault="00B074CC" w:rsidP="00626054">
            <w:pPr>
              <w:rPr>
                <w:rFonts w:cs="Arial"/>
                <w:sz w:val="20"/>
              </w:rPr>
            </w:pPr>
          </w:p>
        </w:tc>
        <w:tc>
          <w:tcPr>
            <w:tcW w:w="6865" w:type="dxa"/>
            <w:gridSpan w:val="3"/>
            <w:shd w:val="clear" w:color="auto" w:fill="auto"/>
          </w:tcPr>
          <w:p w14:paraId="2DEA7F2E" w14:textId="77777777" w:rsidR="00B074CC" w:rsidRPr="001A1836" w:rsidRDefault="00B074CC" w:rsidP="00626054">
            <w:pPr>
              <w:rPr>
                <w:rFonts w:cs="Arial"/>
                <w:sz w:val="20"/>
              </w:rPr>
            </w:pPr>
            <w:r w:rsidRPr="001A1836">
              <w:rPr>
                <w:rFonts w:cs="Arial"/>
                <w:sz w:val="20"/>
              </w:rPr>
              <w:t>Total number of users</w:t>
            </w:r>
          </w:p>
        </w:tc>
      </w:tr>
      <w:tr w:rsidR="00B074CC" w:rsidRPr="001A1836" w14:paraId="65C1CF59" w14:textId="77777777" w:rsidTr="004D790B">
        <w:trPr>
          <w:cantSplit/>
        </w:trPr>
        <w:tc>
          <w:tcPr>
            <w:tcW w:w="802" w:type="dxa"/>
            <w:shd w:val="clear" w:color="auto" w:fill="auto"/>
          </w:tcPr>
          <w:p w14:paraId="4A82D100" w14:textId="77777777" w:rsidR="00B074CC" w:rsidRPr="001A1836" w:rsidRDefault="00B074CC" w:rsidP="00626054">
            <w:pPr>
              <w:rPr>
                <w:rFonts w:cs="Arial"/>
                <w:sz w:val="20"/>
              </w:rPr>
            </w:pPr>
            <w:r w:rsidRPr="001A1836">
              <w:rPr>
                <w:rFonts w:cs="Arial"/>
                <w:sz w:val="20"/>
              </w:rPr>
              <w:t>7.02</w:t>
            </w:r>
          </w:p>
        </w:tc>
        <w:tc>
          <w:tcPr>
            <w:tcW w:w="1574" w:type="dxa"/>
            <w:gridSpan w:val="2"/>
            <w:shd w:val="clear" w:color="auto" w:fill="auto"/>
          </w:tcPr>
          <w:p w14:paraId="1798D993" w14:textId="77777777" w:rsidR="00B074CC" w:rsidRPr="001A1836" w:rsidRDefault="00B074CC" w:rsidP="00626054">
            <w:pPr>
              <w:rPr>
                <w:rFonts w:cs="Arial"/>
                <w:sz w:val="20"/>
              </w:rPr>
            </w:pPr>
          </w:p>
        </w:tc>
        <w:tc>
          <w:tcPr>
            <w:tcW w:w="6865" w:type="dxa"/>
            <w:gridSpan w:val="3"/>
            <w:shd w:val="clear" w:color="auto" w:fill="auto"/>
          </w:tcPr>
          <w:p w14:paraId="5DDF9772" w14:textId="77777777" w:rsidR="00B074CC" w:rsidRPr="001A1836" w:rsidRDefault="00B074CC" w:rsidP="00626054">
            <w:pPr>
              <w:rPr>
                <w:rFonts w:cs="Arial"/>
                <w:sz w:val="20"/>
              </w:rPr>
            </w:pPr>
            <w:r w:rsidRPr="001A1836">
              <w:rPr>
                <w:rFonts w:cs="Arial"/>
                <w:sz w:val="20"/>
              </w:rPr>
              <w:t>Number of internal users (Provider)</w:t>
            </w:r>
          </w:p>
        </w:tc>
      </w:tr>
      <w:tr w:rsidR="00B074CC" w:rsidRPr="001A1836" w14:paraId="6F43C9DA" w14:textId="77777777" w:rsidTr="004D790B">
        <w:trPr>
          <w:cantSplit/>
        </w:trPr>
        <w:tc>
          <w:tcPr>
            <w:tcW w:w="802" w:type="dxa"/>
            <w:shd w:val="clear" w:color="auto" w:fill="auto"/>
          </w:tcPr>
          <w:p w14:paraId="573C687D" w14:textId="77777777" w:rsidR="00B074CC" w:rsidRPr="001A1836" w:rsidRDefault="00B074CC" w:rsidP="00626054">
            <w:pPr>
              <w:rPr>
                <w:rFonts w:cs="Arial"/>
                <w:sz w:val="20"/>
              </w:rPr>
            </w:pPr>
            <w:r w:rsidRPr="001A1836">
              <w:rPr>
                <w:rFonts w:cs="Arial"/>
                <w:sz w:val="20"/>
              </w:rPr>
              <w:t>7.03</w:t>
            </w:r>
          </w:p>
        </w:tc>
        <w:tc>
          <w:tcPr>
            <w:tcW w:w="1574" w:type="dxa"/>
            <w:gridSpan w:val="2"/>
            <w:shd w:val="clear" w:color="auto" w:fill="auto"/>
          </w:tcPr>
          <w:p w14:paraId="43817779" w14:textId="77777777" w:rsidR="00B074CC" w:rsidRPr="001A1836" w:rsidRDefault="00B074CC" w:rsidP="00626054">
            <w:pPr>
              <w:rPr>
                <w:rFonts w:cs="Arial"/>
                <w:sz w:val="20"/>
              </w:rPr>
            </w:pPr>
          </w:p>
        </w:tc>
        <w:tc>
          <w:tcPr>
            <w:tcW w:w="6865" w:type="dxa"/>
            <w:gridSpan w:val="3"/>
            <w:shd w:val="clear" w:color="auto" w:fill="auto"/>
          </w:tcPr>
          <w:p w14:paraId="58D144A8" w14:textId="77777777" w:rsidR="00B074CC" w:rsidRPr="001A1836" w:rsidRDefault="00B074CC" w:rsidP="00626054">
            <w:pPr>
              <w:rPr>
                <w:rFonts w:cs="Arial"/>
                <w:sz w:val="20"/>
              </w:rPr>
            </w:pPr>
            <w:r w:rsidRPr="001A1836">
              <w:rPr>
                <w:rFonts w:cs="Arial"/>
                <w:sz w:val="20"/>
              </w:rPr>
              <w:t>Number of external users (HSE)</w:t>
            </w:r>
          </w:p>
        </w:tc>
      </w:tr>
      <w:tr w:rsidR="00B074CC" w:rsidRPr="001A1836" w14:paraId="7464AD56" w14:textId="77777777" w:rsidTr="004D790B">
        <w:trPr>
          <w:cantSplit/>
        </w:trPr>
        <w:tc>
          <w:tcPr>
            <w:tcW w:w="802" w:type="dxa"/>
            <w:shd w:val="clear" w:color="auto" w:fill="auto"/>
          </w:tcPr>
          <w:p w14:paraId="16A3B4D2" w14:textId="77777777" w:rsidR="00B074CC" w:rsidRPr="001A1836" w:rsidRDefault="00B074CC" w:rsidP="00626054">
            <w:pPr>
              <w:rPr>
                <w:rFonts w:cs="Arial"/>
                <w:sz w:val="20"/>
              </w:rPr>
            </w:pPr>
            <w:r w:rsidRPr="001A1836">
              <w:rPr>
                <w:rFonts w:cs="Arial"/>
                <w:sz w:val="20"/>
              </w:rPr>
              <w:t>7.04</w:t>
            </w:r>
          </w:p>
        </w:tc>
        <w:tc>
          <w:tcPr>
            <w:tcW w:w="1574" w:type="dxa"/>
            <w:gridSpan w:val="2"/>
            <w:shd w:val="clear" w:color="auto" w:fill="auto"/>
          </w:tcPr>
          <w:p w14:paraId="215CA340" w14:textId="77777777" w:rsidR="00B074CC" w:rsidRPr="001A1836" w:rsidRDefault="00B074CC" w:rsidP="00626054">
            <w:pPr>
              <w:rPr>
                <w:rFonts w:cs="Arial"/>
                <w:sz w:val="20"/>
              </w:rPr>
            </w:pPr>
          </w:p>
        </w:tc>
        <w:tc>
          <w:tcPr>
            <w:tcW w:w="6865" w:type="dxa"/>
            <w:gridSpan w:val="3"/>
            <w:shd w:val="clear" w:color="auto" w:fill="auto"/>
          </w:tcPr>
          <w:p w14:paraId="79EF823F" w14:textId="77777777" w:rsidR="00B074CC" w:rsidRPr="001A1836" w:rsidRDefault="00B074CC" w:rsidP="00626054">
            <w:pPr>
              <w:rPr>
                <w:rFonts w:cs="Arial"/>
                <w:sz w:val="20"/>
              </w:rPr>
            </w:pPr>
            <w:r w:rsidRPr="001A1836">
              <w:rPr>
                <w:rFonts w:cs="Arial"/>
                <w:sz w:val="20"/>
              </w:rPr>
              <w:t>Number of Registered Business users</w:t>
            </w:r>
          </w:p>
        </w:tc>
      </w:tr>
      <w:tr w:rsidR="00B074CC" w:rsidRPr="001A1836" w14:paraId="762634A3" w14:textId="77777777" w:rsidTr="004D790B">
        <w:trPr>
          <w:cantSplit/>
        </w:trPr>
        <w:tc>
          <w:tcPr>
            <w:tcW w:w="802" w:type="dxa"/>
            <w:shd w:val="clear" w:color="auto" w:fill="auto"/>
          </w:tcPr>
          <w:p w14:paraId="555A9F39" w14:textId="77777777" w:rsidR="00B074CC" w:rsidRPr="001A1836" w:rsidRDefault="00B074CC" w:rsidP="00626054">
            <w:pPr>
              <w:rPr>
                <w:rFonts w:cs="Arial"/>
                <w:sz w:val="20"/>
              </w:rPr>
            </w:pPr>
            <w:r w:rsidRPr="001A1836">
              <w:rPr>
                <w:rFonts w:cs="Arial"/>
                <w:sz w:val="20"/>
              </w:rPr>
              <w:t>7.05</w:t>
            </w:r>
          </w:p>
        </w:tc>
        <w:tc>
          <w:tcPr>
            <w:tcW w:w="1574" w:type="dxa"/>
            <w:gridSpan w:val="2"/>
            <w:shd w:val="clear" w:color="auto" w:fill="auto"/>
          </w:tcPr>
          <w:p w14:paraId="109B259A" w14:textId="77777777" w:rsidR="00B074CC" w:rsidRPr="001A1836" w:rsidRDefault="00B074CC" w:rsidP="00626054">
            <w:pPr>
              <w:rPr>
                <w:rFonts w:cs="Arial"/>
                <w:sz w:val="20"/>
              </w:rPr>
            </w:pPr>
          </w:p>
        </w:tc>
        <w:tc>
          <w:tcPr>
            <w:tcW w:w="6865" w:type="dxa"/>
            <w:gridSpan w:val="3"/>
            <w:shd w:val="clear" w:color="auto" w:fill="auto"/>
          </w:tcPr>
          <w:p w14:paraId="2AFE3AE5" w14:textId="77777777" w:rsidR="00B074CC" w:rsidRPr="001A1836" w:rsidRDefault="00B074CC" w:rsidP="00626054">
            <w:pPr>
              <w:rPr>
                <w:rFonts w:cs="Arial"/>
                <w:sz w:val="20"/>
              </w:rPr>
            </w:pPr>
            <w:r w:rsidRPr="001A1836">
              <w:rPr>
                <w:rFonts w:cs="Arial"/>
                <w:sz w:val="20"/>
              </w:rPr>
              <w:t>Number of movers</w:t>
            </w:r>
          </w:p>
        </w:tc>
      </w:tr>
      <w:tr w:rsidR="00B074CC" w:rsidRPr="001A1836" w14:paraId="5348F4AF" w14:textId="77777777" w:rsidTr="004D790B">
        <w:trPr>
          <w:cantSplit/>
        </w:trPr>
        <w:tc>
          <w:tcPr>
            <w:tcW w:w="802" w:type="dxa"/>
            <w:shd w:val="clear" w:color="auto" w:fill="auto"/>
          </w:tcPr>
          <w:p w14:paraId="32BE3C10" w14:textId="77777777" w:rsidR="00B074CC" w:rsidRPr="001A1836" w:rsidRDefault="00B074CC" w:rsidP="00626054">
            <w:pPr>
              <w:rPr>
                <w:rFonts w:cs="Arial"/>
                <w:sz w:val="20"/>
              </w:rPr>
            </w:pPr>
            <w:r w:rsidRPr="001A1836">
              <w:rPr>
                <w:rFonts w:cs="Arial"/>
                <w:sz w:val="20"/>
              </w:rPr>
              <w:t>7.06</w:t>
            </w:r>
          </w:p>
        </w:tc>
        <w:tc>
          <w:tcPr>
            <w:tcW w:w="1574" w:type="dxa"/>
            <w:gridSpan w:val="2"/>
            <w:shd w:val="clear" w:color="auto" w:fill="auto"/>
          </w:tcPr>
          <w:p w14:paraId="47130C8D" w14:textId="77777777" w:rsidR="00B074CC" w:rsidRPr="001A1836" w:rsidRDefault="00B074CC" w:rsidP="00626054">
            <w:pPr>
              <w:rPr>
                <w:rFonts w:cs="Arial"/>
                <w:sz w:val="20"/>
              </w:rPr>
            </w:pPr>
          </w:p>
        </w:tc>
        <w:tc>
          <w:tcPr>
            <w:tcW w:w="6865" w:type="dxa"/>
            <w:gridSpan w:val="3"/>
            <w:shd w:val="clear" w:color="auto" w:fill="auto"/>
          </w:tcPr>
          <w:p w14:paraId="40D555CA" w14:textId="77777777" w:rsidR="00B074CC" w:rsidRPr="001A1836" w:rsidRDefault="00B074CC" w:rsidP="00626054">
            <w:pPr>
              <w:rPr>
                <w:rFonts w:cs="Arial"/>
                <w:sz w:val="20"/>
              </w:rPr>
            </w:pPr>
            <w:r w:rsidRPr="001A1836">
              <w:rPr>
                <w:rFonts w:cs="Arial"/>
                <w:sz w:val="20"/>
              </w:rPr>
              <w:t>Number of starters</w:t>
            </w:r>
          </w:p>
        </w:tc>
      </w:tr>
      <w:tr w:rsidR="00B074CC" w:rsidRPr="001A1836" w14:paraId="7CE2DD67" w14:textId="77777777" w:rsidTr="004D790B">
        <w:trPr>
          <w:cantSplit/>
        </w:trPr>
        <w:tc>
          <w:tcPr>
            <w:tcW w:w="802" w:type="dxa"/>
            <w:shd w:val="clear" w:color="auto" w:fill="auto"/>
          </w:tcPr>
          <w:p w14:paraId="30DFB04C" w14:textId="77777777" w:rsidR="00B074CC" w:rsidRPr="001A1836" w:rsidRDefault="00B074CC" w:rsidP="00626054">
            <w:pPr>
              <w:rPr>
                <w:rFonts w:cs="Arial"/>
                <w:sz w:val="20"/>
              </w:rPr>
            </w:pPr>
            <w:r w:rsidRPr="001A1836">
              <w:rPr>
                <w:rFonts w:cs="Arial"/>
                <w:sz w:val="20"/>
              </w:rPr>
              <w:t>7.07</w:t>
            </w:r>
          </w:p>
        </w:tc>
        <w:tc>
          <w:tcPr>
            <w:tcW w:w="1574" w:type="dxa"/>
            <w:gridSpan w:val="2"/>
            <w:shd w:val="clear" w:color="auto" w:fill="auto"/>
          </w:tcPr>
          <w:p w14:paraId="107B1B78" w14:textId="77777777" w:rsidR="00B074CC" w:rsidRPr="001A1836" w:rsidRDefault="00B074CC" w:rsidP="00626054">
            <w:pPr>
              <w:rPr>
                <w:rFonts w:cs="Arial"/>
                <w:sz w:val="20"/>
              </w:rPr>
            </w:pPr>
          </w:p>
        </w:tc>
        <w:tc>
          <w:tcPr>
            <w:tcW w:w="6865" w:type="dxa"/>
            <w:gridSpan w:val="3"/>
            <w:shd w:val="clear" w:color="auto" w:fill="auto"/>
          </w:tcPr>
          <w:p w14:paraId="5DD9857C" w14:textId="77777777" w:rsidR="00B074CC" w:rsidRPr="001A1836" w:rsidRDefault="00B074CC" w:rsidP="00626054">
            <w:pPr>
              <w:rPr>
                <w:rFonts w:cs="Arial"/>
                <w:sz w:val="20"/>
              </w:rPr>
            </w:pPr>
            <w:r w:rsidRPr="001A1836">
              <w:rPr>
                <w:rFonts w:cs="Arial"/>
                <w:sz w:val="20"/>
              </w:rPr>
              <w:t>Number of leavers</w:t>
            </w:r>
          </w:p>
        </w:tc>
      </w:tr>
      <w:tr w:rsidR="00B074CC" w:rsidRPr="001A1836" w14:paraId="4C10C2EC" w14:textId="77777777" w:rsidTr="004D790B">
        <w:trPr>
          <w:cantSplit/>
        </w:trPr>
        <w:tc>
          <w:tcPr>
            <w:tcW w:w="802" w:type="dxa"/>
            <w:shd w:val="clear" w:color="auto" w:fill="auto"/>
          </w:tcPr>
          <w:p w14:paraId="2654C62F" w14:textId="77777777" w:rsidR="00B074CC" w:rsidRPr="001A1836" w:rsidRDefault="00B074CC" w:rsidP="00626054">
            <w:pPr>
              <w:rPr>
                <w:rFonts w:cs="Arial"/>
                <w:b/>
                <w:sz w:val="24"/>
                <w:szCs w:val="24"/>
              </w:rPr>
            </w:pPr>
            <w:r w:rsidRPr="001A1836">
              <w:rPr>
                <w:rFonts w:cs="Arial"/>
                <w:b/>
                <w:sz w:val="24"/>
                <w:szCs w:val="24"/>
              </w:rPr>
              <w:t>8.00</w:t>
            </w:r>
          </w:p>
        </w:tc>
        <w:tc>
          <w:tcPr>
            <w:tcW w:w="8439" w:type="dxa"/>
            <w:gridSpan w:val="5"/>
            <w:shd w:val="clear" w:color="auto" w:fill="auto"/>
          </w:tcPr>
          <w:p w14:paraId="1D43C607" w14:textId="77777777" w:rsidR="00B074CC" w:rsidRPr="001A1836" w:rsidRDefault="00B074CC" w:rsidP="00626054">
            <w:pPr>
              <w:rPr>
                <w:rFonts w:cs="Arial"/>
                <w:b/>
                <w:sz w:val="24"/>
                <w:szCs w:val="24"/>
              </w:rPr>
            </w:pPr>
            <w:r w:rsidRPr="001A1836">
              <w:rPr>
                <w:rFonts w:cs="Arial"/>
                <w:b/>
                <w:sz w:val="24"/>
                <w:szCs w:val="24"/>
              </w:rPr>
              <w:t>Contract management</w:t>
            </w:r>
          </w:p>
        </w:tc>
      </w:tr>
      <w:tr w:rsidR="00B074CC" w:rsidRPr="001A1836" w14:paraId="64611BCD" w14:textId="77777777" w:rsidTr="004D790B">
        <w:trPr>
          <w:cantSplit/>
        </w:trPr>
        <w:tc>
          <w:tcPr>
            <w:tcW w:w="802" w:type="dxa"/>
            <w:shd w:val="clear" w:color="auto" w:fill="auto"/>
          </w:tcPr>
          <w:p w14:paraId="3A12C368" w14:textId="77777777" w:rsidR="00B074CC" w:rsidRPr="001A1836" w:rsidRDefault="00B074CC" w:rsidP="00626054">
            <w:pPr>
              <w:rPr>
                <w:rFonts w:cs="Arial"/>
                <w:sz w:val="20"/>
              </w:rPr>
            </w:pPr>
          </w:p>
        </w:tc>
        <w:tc>
          <w:tcPr>
            <w:tcW w:w="1574" w:type="dxa"/>
            <w:gridSpan w:val="2"/>
            <w:shd w:val="clear" w:color="auto" w:fill="auto"/>
          </w:tcPr>
          <w:p w14:paraId="7CDF474B" w14:textId="77777777" w:rsidR="00B074CC" w:rsidRPr="001A1836" w:rsidRDefault="00B074CC" w:rsidP="00626054">
            <w:pPr>
              <w:rPr>
                <w:rFonts w:cs="Arial"/>
                <w:sz w:val="20"/>
              </w:rPr>
            </w:pPr>
          </w:p>
        </w:tc>
        <w:tc>
          <w:tcPr>
            <w:tcW w:w="6865" w:type="dxa"/>
            <w:gridSpan w:val="3"/>
            <w:shd w:val="clear" w:color="auto" w:fill="auto"/>
          </w:tcPr>
          <w:p w14:paraId="1CBEF246" w14:textId="77777777" w:rsidR="00B074CC" w:rsidRPr="001A1836" w:rsidRDefault="00B074CC" w:rsidP="00626054">
            <w:pPr>
              <w:rPr>
                <w:rFonts w:cs="Arial"/>
                <w:b/>
                <w:sz w:val="20"/>
              </w:rPr>
            </w:pPr>
            <w:r w:rsidRPr="001A1836">
              <w:rPr>
                <w:rFonts w:cs="Arial"/>
                <w:b/>
                <w:sz w:val="20"/>
              </w:rPr>
              <w:t>Staffing</w:t>
            </w:r>
          </w:p>
        </w:tc>
      </w:tr>
      <w:tr w:rsidR="00B074CC" w:rsidRPr="001A1836" w14:paraId="05FB9668" w14:textId="77777777" w:rsidTr="004D790B">
        <w:trPr>
          <w:cantSplit/>
        </w:trPr>
        <w:tc>
          <w:tcPr>
            <w:tcW w:w="802" w:type="dxa"/>
            <w:shd w:val="clear" w:color="auto" w:fill="auto"/>
          </w:tcPr>
          <w:p w14:paraId="7C748666" w14:textId="77777777" w:rsidR="00B074CC" w:rsidRPr="001A1836" w:rsidRDefault="00B074CC" w:rsidP="00626054">
            <w:pPr>
              <w:rPr>
                <w:rFonts w:cs="Arial"/>
                <w:sz w:val="20"/>
              </w:rPr>
            </w:pPr>
            <w:r w:rsidRPr="001A1836">
              <w:rPr>
                <w:rFonts w:cs="Arial"/>
                <w:sz w:val="20"/>
              </w:rPr>
              <w:t>8.01</w:t>
            </w:r>
          </w:p>
        </w:tc>
        <w:tc>
          <w:tcPr>
            <w:tcW w:w="1574" w:type="dxa"/>
            <w:gridSpan w:val="2"/>
            <w:shd w:val="clear" w:color="auto" w:fill="auto"/>
          </w:tcPr>
          <w:p w14:paraId="1D54EBB8" w14:textId="77777777" w:rsidR="00B074CC" w:rsidRPr="001A1836" w:rsidRDefault="00B074CC" w:rsidP="00626054">
            <w:pPr>
              <w:rPr>
                <w:rFonts w:cs="Arial"/>
                <w:sz w:val="20"/>
              </w:rPr>
            </w:pPr>
          </w:p>
        </w:tc>
        <w:tc>
          <w:tcPr>
            <w:tcW w:w="6865" w:type="dxa"/>
            <w:gridSpan w:val="3"/>
            <w:shd w:val="clear" w:color="auto" w:fill="auto"/>
          </w:tcPr>
          <w:p w14:paraId="5DE3C4A3" w14:textId="77777777" w:rsidR="00B074CC" w:rsidRPr="001A1836" w:rsidRDefault="00B074CC" w:rsidP="00626054">
            <w:pPr>
              <w:rPr>
                <w:rFonts w:cs="Arial"/>
                <w:sz w:val="20"/>
              </w:rPr>
            </w:pPr>
            <w:r w:rsidRPr="001A1836">
              <w:rPr>
                <w:rFonts w:cs="Arial"/>
                <w:sz w:val="20"/>
              </w:rPr>
              <w:t>Total staff numbers</w:t>
            </w:r>
          </w:p>
        </w:tc>
      </w:tr>
      <w:tr w:rsidR="00B074CC" w:rsidRPr="001A1836" w14:paraId="5D3978D0" w14:textId="77777777" w:rsidTr="004D790B">
        <w:trPr>
          <w:cantSplit/>
        </w:trPr>
        <w:tc>
          <w:tcPr>
            <w:tcW w:w="802" w:type="dxa"/>
            <w:shd w:val="clear" w:color="auto" w:fill="auto"/>
          </w:tcPr>
          <w:p w14:paraId="1FC5CA8E" w14:textId="77777777" w:rsidR="00B074CC" w:rsidRPr="001A1836" w:rsidRDefault="00B074CC" w:rsidP="00626054">
            <w:pPr>
              <w:rPr>
                <w:rFonts w:cs="Arial"/>
                <w:sz w:val="20"/>
              </w:rPr>
            </w:pPr>
            <w:r w:rsidRPr="001A1836">
              <w:rPr>
                <w:rFonts w:cs="Arial"/>
                <w:sz w:val="20"/>
              </w:rPr>
              <w:t>8.02</w:t>
            </w:r>
          </w:p>
        </w:tc>
        <w:tc>
          <w:tcPr>
            <w:tcW w:w="1574" w:type="dxa"/>
            <w:gridSpan w:val="2"/>
            <w:shd w:val="clear" w:color="auto" w:fill="auto"/>
          </w:tcPr>
          <w:p w14:paraId="01F87AF6" w14:textId="77777777" w:rsidR="00B074CC" w:rsidRPr="001A1836" w:rsidRDefault="00B074CC" w:rsidP="00626054">
            <w:pPr>
              <w:rPr>
                <w:rFonts w:cs="Arial"/>
                <w:sz w:val="20"/>
              </w:rPr>
            </w:pPr>
          </w:p>
        </w:tc>
        <w:tc>
          <w:tcPr>
            <w:tcW w:w="6865" w:type="dxa"/>
            <w:gridSpan w:val="3"/>
            <w:shd w:val="clear" w:color="auto" w:fill="auto"/>
          </w:tcPr>
          <w:p w14:paraId="3491ECE2" w14:textId="77777777" w:rsidR="00B074CC" w:rsidRPr="001A1836" w:rsidRDefault="00B074CC" w:rsidP="00626054">
            <w:pPr>
              <w:rPr>
                <w:rFonts w:cs="Arial"/>
                <w:sz w:val="20"/>
              </w:rPr>
            </w:pPr>
            <w:r w:rsidRPr="001A1836">
              <w:rPr>
                <w:rFonts w:cs="Arial"/>
                <w:sz w:val="20"/>
              </w:rPr>
              <w:t>Field inspectors - in post</w:t>
            </w:r>
          </w:p>
        </w:tc>
      </w:tr>
      <w:tr w:rsidR="00B074CC" w:rsidRPr="001A1836" w14:paraId="0BDCD631" w14:textId="77777777" w:rsidTr="004D790B">
        <w:trPr>
          <w:cantSplit/>
        </w:trPr>
        <w:tc>
          <w:tcPr>
            <w:tcW w:w="802" w:type="dxa"/>
            <w:shd w:val="clear" w:color="auto" w:fill="auto"/>
          </w:tcPr>
          <w:p w14:paraId="00DCA4D3" w14:textId="77777777" w:rsidR="00B074CC" w:rsidRPr="001A1836" w:rsidRDefault="00B074CC" w:rsidP="00626054">
            <w:pPr>
              <w:rPr>
                <w:rFonts w:cs="Arial"/>
                <w:sz w:val="20"/>
              </w:rPr>
            </w:pPr>
            <w:r w:rsidRPr="001A1836">
              <w:rPr>
                <w:rFonts w:cs="Arial"/>
                <w:sz w:val="20"/>
              </w:rPr>
              <w:t>8.03</w:t>
            </w:r>
          </w:p>
        </w:tc>
        <w:tc>
          <w:tcPr>
            <w:tcW w:w="1574" w:type="dxa"/>
            <w:gridSpan w:val="2"/>
            <w:shd w:val="clear" w:color="auto" w:fill="auto"/>
          </w:tcPr>
          <w:p w14:paraId="2BABDD4A" w14:textId="77777777" w:rsidR="00B074CC" w:rsidRPr="001A1836" w:rsidRDefault="00B074CC" w:rsidP="00626054">
            <w:pPr>
              <w:rPr>
                <w:rFonts w:cs="Arial"/>
                <w:sz w:val="20"/>
              </w:rPr>
            </w:pPr>
          </w:p>
        </w:tc>
        <w:tc>
          <w:tcPr>
            <w:tcW w:w="6865" w:type="dxa"/>
            <w:gridSpan w:val="3"/>
            <w:shd w:val="clear" w:color="auto" w:fill="auto"/>
          </w:tcPr>
          <w:p w14:paraId="7B5520EB" w14:textId="5E5DC1A5" w:rsidR="00B074CC" w:rsidRPr="001A1836" w:rsidRDefault="00B074CC" w:rsidP="00626054">
            <w:pPr>
              <w:rPr>
                <w:rFonts w:cs="Arial"/>
                <w:sz w:val="20"/>
              </w:rPr>
            </w:pPr>
            <w:r w:rsidRPr="001A1836">
              <w:rPr>
                <w:rFonts w:cs="Arial"/>
                <w:sz w:val="20"/>
              </w:rPr>
              <w:t xml:space="preserve">Field inspectors </w:t>
            </w:r>
            <w:r w:rsidR="004D790B">
              <w:rPr>
                <w:rFonts w:cs="Arial"/>
                <w:sz w:val="20"/>
              </w:rPr>
              <w:t>–</w:t>
            </w:r>
            <w:r w:rsidRPr="001A1836">
              <w:rPr>
                <w:rFonts w:cs="Arial"/>
                <w:sz w:val="20"/>
              </w:rPr>
              <w:t xml:space="preserve"> available</w:t>
            </w:r>
          </w:p>
        </w:tc>
      </w:tr>
      <w:tr w:rsidR="004D790B" w:rsidRPr="001A1836" w14:paraId="1EC34D96" w14:textId="77777777" w:rsidTr="004D790B">
        <w:trPr>
          <w:gridAfter w:val="1"/>
          <w:wAfter w:w="27" w:type="dxa"/>
          <w:cantSplit/>
        </w:trPr>
        <w:tc>
          <w:tcPr>
            <w:tcW w:w="851" w:type="dxa"/>
            <w:gridSpan w:val="2"/>
            <w:shd w:val="clear" w:color="auto" w:fill="auto"/>
          </w:tcPr>
          <w:p w14:paraId="3030EEC4" w14:textId="77777777" w:rsidR="004D790B" w:rsidRPr="001A1836" w:rsidRDefault="004D790B" w:rsidP="006110D6">
            <w:pPr>
              <w:rPr>
                <w:rFonts w:cs="Arial"/>
                <w:sz w:val="20"/>
              </w:rPr>
            </w:pPr>
          </w:p>
        </w:tc>
        <w:tc>
          <w:tcPr>
            <w:tcW w:w="1559" w:type="dxa"/>
            <w:gridSpan w:val="2"/>
            <w:shd w:val="clear" w:color="auto" w:fill="auto"/>
          </w:tcPr>
          <w:p w14:paraId="6044A407" w14:textId="77777777" w:rsidR="004D790B" w:rsidRPr="001A1836" w:rsidRDefault="004D790B" w:rsidP="006110D6">
            <w:pPr>
              <w:rPr>
                <w:rFonts w:cs="Arial"/>
                <w:sz w:val="20"/>
              </w:rPr>
            </w:pPr>
          </w:p>
        </w:tc>
        <w:tc>
          <w:tcPr>
            <w:tcW w:w="6804" w:type="dxa"/>
            <w:shd w:val="clear" w:color="auto" w:fill="auto"/>
          </w:tcPr>
          <w:p w14:paraId="44557DAE" w14:textId="77777777" w:rsidR="004D790B" w:rsidRPr="001A1836" w:rsidRDefault="004D790B" w:rsidP="006110D6">
            <w:pPr>
              <w:rPr>
                <w:rFonts w:cs="Arial"/>
                <w:sz w:val="20"/>
              </w:rPr>
            </w:pPr>
          </w:p>
        </w:tc>
      </w:tr>
      <w:tr w:rsidR="004D790B" w:rsidRPr="001A1836" w14:paraId="1F3FAAF2" w14:textId="77777777" w:rsidTr="004D790B">
        <w:trPr>
          <w:gridAfter w:val="1"/>
          <w:wAfter w:w="27" w:type="dxa"/>
          <w:cantSplit/>
        </w:trPr>
        <w:tc>
          <w:tcPr>
            <w:tcW w:w="851" w:type="dxa"/>
            <w:gridSpan w:val="2"/>
            <w:shd w:val="clear" w:color="auto" w:fill="auto"/>
          </w:tcPr>
          <w:p w14:paraId="45843102" w14:textId="77777777" w:rsidR="004D790B" w:rsidRPr="001A1836" w:rsidRDefault="004D790B" w:rsidP="006110D6">
            <w:pPr>
              <w:rPr>
                <w:rFonts w:cs="Arial"/>
                <w:sz w:val="20"/>
              </w:rPr>
            </w:pPr>
            <w:r>
              <w:rPr>
                <w:rFonts w:cs="Arial"/>
                <w:b/>
                <w:sz w:val="24"/>
                <w:szCs w:val="24"/>
              </w:rPr>
              <w:lastRenderedPageBreak/>
              <w:t>9</w:t>
            </w:r>
            <w:r w:rsidRPr="001A1836">
              <w:rPr>
                <w:rFonts w:cs="Arial"/>
                <w:b/>
                <w:sz w:val="24"/>
                <w:szCs w:val="24"/>
              </w:rPr>
              <w:t>.00</w:t>
            </w:r>
          </w:p>
        </w:tc>
        <w:tc>
          <w:tcPr>
            <w:tcW w:w="8363" w:type="dxa"/>
            <w:gridSpan w:val="3"/>
            <w:shd w:val="clear" w:color="auto" w:fill="auto"/>
          </w:tcPr>
          <w:p w14:paraId="7B58F86F" w14:textId="77777777" w:rsidR="004D790B" w:rsidRPr="001A1836" w:rsidRDefault="004D790B" w:rsidP="006110D6">
            <w:pPr>
              <w:rPr>
                <w:rFonts w:cs="Arial"/>
                <w:sz w:val="20"/>
              </w:rPr>
            </w:pPr>
            <w:r>
              <w:rPr>
                <w:rFonts w:cs="Arial"/>
                <w:b/>
                <w:sz w:val="24"/>
                <w:szCs w:val="24"/>
              </w:rPr>
              <w:t>Other reports</w:t>
            </w:r>
          </w:p>
        </w:tc>
      </w:tr>
      <w:tr w:rsidR="004D790B" w:rsidRPr="00DD30A9" w14:paraId="24653B5E" w14:textId="77777777" w:rsidTr="004D790B">
        <w:trPr>
          <w:gridAfter w:val="1"/>
          <w:wAfter w:w="27" w:type="dxa"/>
          <w:cantSplit/>
        </w:trPr>
        <w:tc>
          <w:tcPr>
            <w:tcW w:w="851" w:type="dxa"/>
            <w:gridSpan w:val="2"/>
            <w:shd w:val="clear" w:color="auto" w:fill="auto"/>
          </w:tcPr>
          <w:p w14:paraId="688DB9B0" w14:textId="77777777" w:rsidR="004D790B" w:rsidRPr="001A1836" w:rsidRDefault="004D790B" w:rsidP="006110D6">
            <w:pPr>
              <w:rPr>
                <w:rFonts w:cs="Arial"/>
                <w:sz w:val="20"/>
              </w:rPr>
            </w:pPr>
          </w:p>
        </w:tc>
        <w:tc>
          <w:tcPr>
            <w:tcW w:w="1559" w:type="dxa"/>
            <w:gridSpan w:val="2"/>
            <w:shd w:val="clear" w:color="auto" w:fill="auto"/>
          </w:tcPr>
          <w:p w14:paraId="2019827C" w14:textId="77777777" w:rsidR="004D790B" w:rsidRPr="001A1836" w:rsidRDefault="004D790B" w:rsidP="006110D6">
            <w:pPr>
              <w:rPr>
                <w:rFonts w:cs="Arial"/>
                <w:sz w:val="20"/>
              </w:rPr>
            </w:pPr>
          </w:p>
        </w:tc>
        <w:tc>
          <w:tcPr>
            <w:tcW w:w="6804" w:type="dxa"/>
            <w:shd w:val="clear" w:color="auto" w:fill="auto"/>
          </w:tcPr>
          <w:p w14:paraId="0DAF97F5" w14:textId="77777777" w:rsidR="004D790B" w:rsidRPr="00DD30A9" w:rsidRDefault="004D790B" w:rsidP="006110D6">
            <w:pPr>
              <w:rPr>
                <w:rFonts w:cs="Arial"/>
                <w:b/>
                <w:sz w:val="20"/>
              </w:rPr>
            </w:pPr>
            <w:r w:rsidRPr="00DD30A9">
              <w:rPr>
                <w:rFonts w:cs="Arial"/>
                <w:b/>
                <w:sz w:val="20"/>
              </w:rPr>
              <w:t>Number of businesses by region</w:t>
            </w:r>
          </w:p>
        </w:tc>
      </w:tr>
      <w:tr w:rsidR="004D790B" w:rsidRPr="001A1836" w14:paraId="0C04F24E" w14:textId="77777777" w:rsidTr="004D790B">
        <w:trPr>
          <w:gridAfter w:val="1"/>
          <w:wAfter w:w="27" w:type="dxa"/>
          <w:cantSplit/>
        </w:trPr>
        <w:tc>
          <w:tcPr>
            <w:tcW w:w="851" w:type="dxa"/>
            <w:gridSpan w:val="2"/>
            <w:shd w:val="clear" w:color="auto" w:fill="auto"/>
          </w:tcPr>
          <w:p w14:paraId="5AA342D0" w14:textId="77777777" w:rsidR="004D790B" w:rsidRPr="001A1836" w:rsidRDefault="004D790B" w:rsidP="006110D6">
            <w:pPr>
              <w:rPr>
                <w:rFonts w:cs="Arial"/>
                <w:sz w:val="20"/>
              </w:rPr>
            </w:pPr>
            <w:r>
              <w:rPr>
                <w:rFonts w:cs="Arial"/>
                <w:sz w:val="20"/>
              </w:rPr>
              <w:t>9.01</w:t>
            </w:r>
          </w:p>
        </w:tc>
        <w:tc>
          <w:tcPr>
            <w:tcW w:w="1559" w:type="dxa"/>
            <w:gridSpan w:val="2"/>
            <w:shd w:val="clear" w:color="auto" w:fill="auto"/>
          </w:tcPr>
          <w:p w14:paraId="44471235" w14:textId="77777777" w:rsidR="004D790B" w:rsidRPr="001A1836" w:rsidRDefault="004D790B" w:rsidP="006110D6">
            <w:pPr>
              <w:rPr>
                <w:rFonts w:cs="Arial"/>
                <w:sz w:val="20"/>
              </w:rPr>
            </w:pPr>
          </w:p>
        </w:tc>
        <w:tc>
          <w:tcPr>
            <w:tcW w:w="6804" w:type="dxa"/>
            <w:shd w:val="clear" w:color="auto" w:fill="auto"/>
          </w:tcPr>
          <w:p w14:paraId="759263A0" w14:textId="77777777" w:rsidR="004D790B" w:rsidRPr="001A1836" w:rsidRDefault="004D790B" w:rsidP="006110D6">
            <w:pPr>
              <w:rPr>
                <w:rFonts w:cs="Arial"/>
                <w:sz w:val="20"/>
              </w:rPr>
            </w:pPr>
            <w:r>
              <w:rPr>
                <w:rFonts w:cs="Arial"/>
                <w:sz w:val="20"/>
              </w:rPr>
              <w:t>Great Britain (England, Wales, Scotland)</w:t>
            </w:r>
          </w:p>
        </w:tc>
      </w:tr>
      <w:tr w:rsidR="004D790B" w:rsidRPr="001A1836" w14:paraId="78211012" w14:textId="77777777" w:rsidTr="004D790B">
        <w:trPr>
          <w:gridAfter w:val="1"/>
          <w:wAfter w:w="27" w:type="dxa"/>
          <w:cantSplit/>
        </w:trPr>
        <w:tc>
          <w:tcPr>
            <w:tcW w:w="851" w:type="dxa"/>
            <w:gridSpan w:val="2"/>
            <w:shd w:val="clear" w:color="auto" w:fill="auto"/>
          </w:tcPr>
          <w:p w14:paraId="34D05382" w14:textId="77777777" w:rsidR="004D790B" w:rsidRPr="001A1836" w:rsidRDefault="004D790B" w:rsidP="006110D6">
            <w:pPr>
              <w:rPr>
                <w:rFonts w:cs="Arial"/>
                <w:sz w:val="20"/>
              </w:rPr>
            </w:pPr>
            <w:r>
              <w:rPr>
                <w:rFonts w:cs="Arial"/>
                <w:sz w:val="20"/>
              </w:rPr>
              <w:t>9.02</w:t>
            </w:r>
          </w:p>
        </w:tc>
        <w:tc>
          <w:tcPr>
            <w:tcW w:w="1559" w:type="dxa"/>
            <w:gridSpan w:val="2"/>
            <w:shd w:val="clear" w:color="auto" w:fill="auto"/>
          </w:tcPr>
          <w:p w14:paraId="37206C68" w14:textId="77777777" w:rsidR="004D790B" w:rsidRPr="001A1836" w:rsidRDefault="004D790B" w:rsidP="006110D6">
            <w:pPr>
              <w:rPr>
                <w:rFonts w:cs="Arial"/>
                <w:sz w:val="20"/>
              </w:rPr>
            </w:pPr>
          </w:p>
        </w:tc>
        <w:tc>
          <w:tcPr>
            <w:tcW w:w="6804" w:type="dxa"/>
            <w:shd w:val="clear" w:color="auto" w:fill="auto"/>
          </w:tcPr>
          <w:p w14:paraId="71EBA4E0" w14:textId="77777777" w:rsidR="004D790B" w:rsidRPr="001A1836" w:rsidRDefault="004D790B" w:rsidP="006110D6">
            <w:pPr>
              <w:rPr>
                <w:rFonts w:cs="Arial"/>
                <w:sz w:val="20"/>
              </w:rPr>
            </w:pPr>
            <w:r>
              <w:rPr>
                <w:rFonts w:cs="Arial"/>
                <w:sz w:val="20"/>
              </w:rPr>
              <w:t>Northern Ireland</w:t>
            </w:r>
          </w:p>
        </w:tc>
      </w:tr>
      <w:tr w:rsidR="004D790B" w:rsidRPr="001A1836" w14:paraId="65F77FAA" w14:textId="77777777" w:rsidTr="004D790B">
        <w:trPr>
          <w:gridAfter w:val="1"/>
          <w:wAfter w:w="27" w:type="dxa"/>
          <w:cantSplit/>
        </w:trPr>
        <w:tc>
          <w:tcPr>
            <w:tcW w:w="851" w:type="dxa"/>
            <w:gridSpan w:val="2"/>
            <w:shd w:val="clear" w:color="auto" w:fill="auto"/>
          </w:tcPr>
          <w:p w14:paraId="2772758E" w14:textId="77777777" w:rsidR="004D790B" w:rsidRPr="001A1836" w:rsidRDefault="004D790B" w:rsidP="006110D6">
            <w:pPr>
              <w:rPr>
                <w:rFonts w:cs="Arial"/>
                <w:sz w:val="20"/>
              </w:rPr>
            </w:pPr>
            <w:r>
              <w:rPr>
                <w:rFonts w:cs="Arial"/>
                <w:sz w:val="20"/>
              </w:rPr>
              <w:t>9.03</w:t>
            </w:r>
          </w:p>
        </w:tc>
        <w:tc>
          <w:tcPr>
            <w:tcW w:w="1559" w:type="dxa"/>
            <w:gridSpan w:val="2"/>
            <w:shd w:val="clear" w:color="auto" w:fill="auto"/>
          </w:tcPr>
          <w:p w14:paraId="6D149B87" w14:textId="77777777" w:rsidR="004D790B" w:rsidRPr="001A1836" w:rsidRDefault="004D790B" w:rsidP="006110D6">
            <w:pPr>
              <w:rPr>
                <w:rFonts w:cs="Arial"/>
                <w:sz w:val="20"/>
              </w:rPr>
            </w:pPr>
          </w:p>
        </w:tc>
        <w:tc>
          <w:tcPr>
            <w:tcW w:w="6804" w:type="dxa"/>
            <w:shd w:val="clear" w:color="auto" w:fill="auto"/>
          </w:tcPr>
          <w:p w14:paraId="4A9F8D2B" w14:textId="77777777" w:rsidR="004D790B" w:rsidRPr="001A1836" w:rsidRDefault="004D790B" w:rsidP="006110D6">
            <w:pPr>
              <w:rPr>
                <w:rFonts w:cs="Arial"/>
                <w:sz w:val="20"/>
              </w:rPr>
            </w:pPr>
            <w:r>
              <w:rPr>
                <w:rFonts w:cs="Arial"/>
                <w:sz w:val="20"/>
              </w:rPr>
              <w:t>Isle of Man</w:t>
            </w:r>
          </w:p>
        </w:tc>
      </w:tr>
      <w:tr w:rsidR="004D790B" w:rsidRPr="001A1836" w14:paraId="273D156B" w14:textId="77777777" w:rsidTr="004D790B">
        <w:trPr>
          <w:gridAfter w:val="1"/>
          <w:wAfter w:w="27" w:type="dxa"/>
          <w:cantSplit/>
        </w:trPr>
        <w:tc>
          <w:tcPr>
            <w:tcW w:w="851" w:type="dxa"/>
            <w:gridSpan w:val="2"/>
            <w:shd w:val="clear" w:color="auto" w:fill="auto"/>
          </w:tcPr>
          <w:p w14:paraId="62E97CD0" w14:textId="77777777" w:rsidR="004D790B" w:rsidRPr="001A1836" w:rsidRDefault="004D790B" w:rsidP="006110D6">
            <w:pPr>
              <w:rPr>
                <w:rFonts w:cs="Arial"/>
                <w:sz w:val="20"/>
              </w:rPr>
            </w:pPr>
            <w:r>
              <w:rPr>
                <w:rFonts w:cs="Arial"/>
                <w:sz w:val="20"/>
              </w:rPr>
              <w:t>9.04</w:t>
            </w:r>
          </w:p>
        </w:tc>
        <w:tc>
          <w:tcPr>
            <w:tcW w:w="1559" w:type="dxa"/>
            <w:gridSpan w:val="2"/>
            <w:shd w:val="clear" w:color="auto" w:fill="auto"/>
          </w:tcPr>
          <w:p w14:paraId="32663285" w14:textId="77777777" w:rsidR="004D790B" w:rsidRPr="001A1836" w:rsidRDefault="004D790B" w:rsidP="006110D6">
            <w:pPr>
              <w:rPr>
                <w:rFonts w:cs="Arial"/>
                <w:sz w:val="20"/>
              </w:rPr>
            </w:pPr>
          </w:p>
        </w:tc>
        <w:tc>
          <w:tcPr>
            <w:tcW w:w="6804" w:type="dxa"/>
            <w:shd w:val="clear" w:color="auto" w:fill="auto"/>
          </w:tcPr>
          <w:p w14:paraId="15ACF4EE" w14:textId="77777777" w:rsidR="004D790B" w:rsidRPr="001A1836" w:rsidRDefault="004D790B" w:rsidP="006110D6">
            <w:pPr>
              <w:rPr>
                <w:rFonts w:cs="Arial"/>
                <w:sz w:val="20"/>
              </w:rPr>
            </w:pPr>
            <w:r>
              <w:rPr>
                <w:rFonts w:cs="Arial"/>
                <w:sz w:val="20"/>
              </w:rPr>
              <w:t>Guernsey</w:t>
            </w:r>
          </w:p>
        </w:tc>
      </w:tr>
      <w:tr w:rsidR="004D790B" w:rsidRPr="001A1836" w14:paraId="26480F72" w14:textId="77777777" w:rsidTr="004D790B">
        <w:trPr>
          <w:gridAfter w:val="1"/>
          <w:wAfter w:w="27" w:type="dxa"/>
          <w:cantSplit/>
        </w:trPr>
        <w:tc>
          <w:tcPr>
            <w:tcW w:w="851" w:type="dxa"/>
            <w:gridSpan w:val="2"/>
            <w:shd w:val="clear" w:color="auto" w:fill="auto"/>
          </w:tcPr>
          <w:p w14:paraId="6D6B843B" w14:textId="77777777" w:rsidR="004D790B" w:rsidRPr="001A1836" w:rsidRDefault="004D790B" w:rsidP="006110D6">
            <w:pPr>
              <w:rPr>
                <w:rFonts w:cs="Arial"/>
                <w:sz w:val="20"/>
              </w:rPr>
            </w:pPr>
          </w:p>
        </w:tc>
        <w:tc>
          <w:tcPr>
            <w:tcW w:w="1559" w:type="dxa"/>
            <w:gridSpan w:val="2"/>
            <w:shd w:val="clear" w:color="auto" w:fill="auto"/>
          </w:tcPr>
          <w:p w14:paraId="50BCCDE2" w14:textId="77777777" w:rsidR="004D790B" w:rsidRPr="001A1836" w:rsidRDefault="004D790B" w:rsidP="006110D6">
            <w:pPr>
              <w:rPr>
                <w:rFonts w:cs="Arial"/>
                <w:sz w:val="20"/>
              </w:rPr>
            </w:pPr>
          </w:p>
        </w:tc>
        <w:tc>
          <w:tcPr>
            <w:tcW w:w="6804" w:type="dxa"/>
            <w:shd w:val="clear" w:color="auto" w:fill="auto"/>
          </w:tcPr>
          <w:p w14:paraId="76333A14" w14:textId="77777777" w:rsidR="004D790B" w:rsidRPr="001A1836" w:rsidRDefault="004D790B" w:rsidP="006110D6">
            <w:pPr>
              <w:rPr>
                <w:rFonts w:cs="Arial"/>
                <w:sz w:val="20"/>
              </w:rPr>
            </w:pPr>
          </w:p>
        </w:tc>
      </w:tr>
      <w:tr w:rsidR="004D790B" w:rsidRPr="00DD30A9" w14:paraId="583B22B4" w14:textId="77777777" w:rsidTr="004D790B">
        <w:trPr>
          <w:gridAfter w:val="1"/>
          <w:wAfter w:w="27" w:type="dxa"/>
          <w:cantSplit/>
        </w:trPr>
        <w:tc>
          <w:tcPr>
            <w:tcW w:w="851" w:type="dxa"/>
            <w:gridSpan w:val="2"/>
            <w:shd w:val="clear" w:color="auto" w:fill="auto"/>
          </w:tcPr>
          <w:p w14:paraId="35855DC2" w14:textId="77777777" w:rsidR="004D790B" w:rsidRPr="001A1836" w:rsidRDefault="004D790B" w:rsidP="006110D6">
            <w:pPr>
              <w:rPr>
                <w:rFonts w:cs="Arial"/>
                <w:sz w:val="20"/>
              </w:rPr>
            </w:pPr>
          </w:p>
        </w:tc>
        <w:tc>
          <w:tcPr>
            <w:tcW w:w="1559" w:type="dxa"/>
            <w:gridSpan w:val="2"/>
            <w:shd w:val="clear" w:color="auto" w:fill="auto"/>
          </w:tcPr>
          <w:p w14:paraId="586AB10B" w14:textId="77777777" w:rsidR="004D790B" w:rsidRPr="001A1836" w:rsidRDefault="004D790B" w:rsidP="006110D6">
            <w:pPr>
              <w:rPr>
                <w:rFonts w:cs="Arial"/>
                <w:sz w:val="20"/>
              </w:rPr>
            </w:pPr>
          </w:p>
        </w:tc>
        <w:tc>
          <w:tcPr>
            <w:tcW w:w="6804" w:type="dxa"/>
            <w:shd w:val="clear" w:color="auto" w:fill="auto"/>
          </w:tcPr>
          <w:p w14:paraId="1016DD79" w14:textId="77777777" w:rsidR="004D790B" w:rsidRPr="00DD30A9" w:rsidRDefault="004D790B" w:rsidP="006110D6">
            <w:pPr>
              <w:rPr>
                <w:rFonts w:cs="Arial"/>
                <w:b/>
                <w:sz w:val="20"/>
              </w:rPr>
            </w:pPr>
            <w:r w:rsidRPr="00DD30A9">
              <w:rPr>
                <w:rFonts w:cs="Arial"/>
                <w:b/>
                <w:sz w:val="20"/>
              </w:rPr>
              <w:t>Number of inspections by region</w:t>
            </w:r>
          </w:p>
        </w:tc>
      </w:tr>
      <w:tr w:rsidR="004D790B" w:rsidRPr="001A1836" w14:paraId="590C8418" w14:textId="77777777" w:rsidTr="004D790B">
        <w:trPr>
          <w:gridAfter w:val="1"/>
          <w:wAfter w:w="27" w:type="dxa"/>
          <w:cantSplit/>
        </w:trPr>
        <w:tc>
          <w:tcPr>
            <w:tcW w:w="851" w:type="dxa"/>
            <w:gridSpan w:val="2"/>
            <w:shd w:val="clear" w:color="auto" w:fill="auto"/>
          </w:tcPr>
          <w:p w14:paraId="6FAF329F" w14:textId="77777777" w:rsidR="004D790B" w:rsidRPr="001A1836" w:rsidRDefault="004D790B" w:rsidP="006110D6">
            <w:pPr>
              <w:rPr>
                <w:rFonts w:cs="Arial"/>
                <w:sz w:val="20"/>
              </w:rPr>
            </w:pPr>
            <w:r>
              <w:rPr>
                <w:rFonts w:cs="Arial"/>
                <w:sz w:val="20"/>
              </w:rPr>
              <w:t>9.05</w:t>
            </w:r>
          </w:p>
        </w:tc>
        <w:tc>
          <w:tcPr>
            <w:tcW w:w="1559" w:type="dxa"/>
            <w:gridSpan w:val="2"/>
            <w:shd w:val="clear" w:color="auto" w:fill="auto"/>
          </w:tcPr>
          <w:p w14:paraId="2F35F8CC" w14:textId="77777777" w:rsidR="004D790B" w:rsidRPr="001A1836" w:rsidRDefault="004D790B" w:rsidP="006110D6">
            <w:pPr>
              <w:rPr>
                <w:rFonts w:cs="Arial"/>
                <w:sz w:val="20"/>
              </w:rPr>
            </w:pPr>
          </w:p>
        </w:tc>
        <w:tc>
          <w:tcPr>
            <w:tcW w:w="6804" w:type="dxa"/>
            <w:shd w:val="clear" w:color="auto" w:fill="auto"/>
          </w:tcPr>
          <w:p w14:paraId="4496677A" w14:textId="77777777" w:rsidR="004D790B" w:rsidRPr="001A1836" w:rsidRDefault="004D790B" w:rsidP="006110D6">
            <w:pPr>
              <w:rPr>
                <w:rFonts w:cs="Arial"/>
                <w:sz w:val="20"/>
              </w:rPr>
            </w:pPr>
            <w:r>
              <w:rPr>
                <w:rFonts w:cs="Arial"/>
                <w:sz w:val="20"/>
              </w:rPr>
              <w:t>Great Britain (England, Wales, Scotland)</w:t>
            </w:r>
          </w:p>
        </w:tc>
      </w:tr>
      <w:tr w:rsidR="004D790B" w:rsidRPr="001A1836" w14:paraId="4FF94085" w14:textId="77777777" w:rsidTr="004D790B">
        <w:trPr>
          <w:gridAfter w:val="1"/>
          <w:wAfter w:w="27" w:type="dxa"/>
          <w:cantSplit/>
        </w:trPr>
        <w:tc>
          <w:tcPr>
            <w:tcW w:w="851" w:type="dxa"/>
            <w:gridSpan w:val="2"/>
            <w:shd w:val="clear" w:color="auto" w:fill="auto"/>
          </w:tcPr>
          <w:p w14:paraId="50345F37" w14:textId="77777777" w:rsidR="004D790B" w:rsidRPr="001A1836" w:rsidRDefault="004D790B" w:rsidP="006110D6">
            <w:pPr>
              <w:rPr>
                <w:rFonts w:cs="Arial"/>
                <w:sz w:val="20"/>
              </w:rPr>
            </w:pPr>
            <w:r>
              <w:rPr>
                <w:rFonts w:cs="Arial"/>
                <w:sz w:val="20"/>
              </w:rPr>
              <w:t>9.06</w:t>
            </w:r>
          </w:p>
        </w:tc>
        <w:tc>
          <w:tcPr>
            <w:tcW w:w="1559" w:type="dxa"/>
            <w:gridSpan w:val="2"/>
            <w:shd w:val="clear" w:color="auto" w:fill="auto"/>
          </w:tcPr>
          <w:p w14:paraId="04359A4D" w14:textId="77777777" w:rsidR="004D790B" w:rsidRPr="001A1836" w:rsidRDefault="004D790B" w:rsidP="006110D6">
            <w:pPr>
              <w:rPr>
                <w:rFonts w:cs="Arial"/>
                <w:sz w:val="20"/>
              </w:rPr>
            </w:pPr>
          </w:p>
        </w:tc>
        <w:tc>
          <w:tcPr>
            <w:tcW w:w="6804" w:type="dxa"/>
            <w:shd w:val="clear" w:color="auto" w:fill="auto"/>
          </w:tcPr>
          <w:p w14:paraId="176D1CDE" w14:textId="77777777" w:rsidR="004D790B" w:rsidRPr="001A1836" w:rsidRDefault="004D790B" w:rsidP="006110D6">
            <w:pPr>
              <w:rPr>
                <w:rFonts w:cs="Arial"/>
                <w:sz w:val="20"/>
              </w:rPr>
            </w:pPr>
            <w:r>
              <w:rPr>
                <w:rFonts w:cs="Arial"/>
                <w:sz w:val="20"/>
              </w:rPr>
              <w:t>Northern Ireland</w:t>
            </w:r>
          </w:p>
        </w:tc>
      </w:tr>
      <w:tr w:rsidR="004D790B" w:rsidRPr="001A1836" w14:paraId="0C6285AD" w14:textId="77777777" w:rsidTr="004D790B">
        <w:trPr>
          <w:gridAfter w:val="1"/>
          <w:wAfter w:w="27" w:type="dxa"/>
          <w:cantSplit/>
        </w:trPr>
        <w:tc>
          <w:tcPr>
            <w:tcW w:w="851" w:type="dxa"/>
            <w:gridSpan w:val="2"/>
            <w:shd w:val="clear" w:color="auto" w:fill="auto"/>
          </w:tcPr>
          <w:p w14:paraId="282D2049" w14:textId="77777777" w:rsidR="004D790B" w:rsidRPr="001A1836" w:rsidRDefault="004D790B" w:rsidP="006110D6">
            <w:pPr>
              <w:rPr>
                <w:rFonts w:cs="Arial"/>
                <w:sz w:val="20"/>
              </w:rPr>
            </w:pPr>
            <w:r>
              <w:rPr>
                <w:rFonts w:cs="Arial"/>
                <w:sz w:val="20"/>
              </w:rPr>
              <w:t>9.07</w:t>
            </w:r>
          </w:p>
        </w:tc>
        <w:tc>
          <w:tcPr>
            <w:tcW w:w="1559" w:type="dxa"/>
            <w:gridSpan w:val="2"/>
            <w:shd w:val="clear" w:color="auto" w:fill="auto"/>
          </w:tcPr>
          <w:p w14:paraId="663C4E8F" w14:textId="77777777" w:rsidR="004D790B" w:rsidRPr="001A1836" w:rsidRDefault="004D790B" w:rsidP="006110D6">
            <w:pPr>
              <w:rPr>
                <w:rFonts w:cs="Arial"/>
                <w:sz w:val="20"/>
              </w:rPr>
            </w:pPr>
          </w:p>
        </w:tc>
        <w:tc>
          <w:tcPr>
            <w:tcW w:w="6804" w:type="dxa"/>
            <w:shd w:val="clear" w:color="auto" w:fill="auto"/>
          </w:tcPr>
          <w:p w14:paraId="329EAD13" w14:textId="77777777" w:rsidR="004D790B" w:rsidRPr="001A1836" w:rsidRDefault="004D790B" w:rsidP="006110D6">
            <w:pPr>
              <w:rPr>
                <w:rFonts w:cs="Arial"/>
                <w:sz w:val="20"/>
              </w:rPr>
            </w:pPr>
            <w:r>
              <w:rPr>
                <w:rFonts w:cs="Arial"/>
                <w:sz w:val="20"/>
              </w:rPr>
              <w:t>Isle of Man</w:t>
            </w:r>
          </w:p>
        </w:tc>
      </w:tr>
      <w:tr w:rsidR="004D790B" w:rsidRPr="001A1836" w14:paraId="70DDB1EC" w14:textId="77777777" w:rsidTr="004D790B">
        <w:trPr>
          <w:gridAfter w:val="1"/>
          <w:wAfter w:w="27" w:type="dxa"/>
          <w:cantSplit/>
        </w:trPr>
        <w:tc>
          <w:tcPr>
            <w:tcW w:w="851" w:type="dxa"/>
            <w:gridSpan w:val="2"/>
            <w:shd w:val="clear" w:color="auto" w:fill="auto"/>
          </w:tcPr>
          <w:p w14:paraId="3AAEF42C" w14:textId="77777777" w:rsidR="004D790B" w:rsidRPr="001A1836" w:rsidRDefault="004D790B" w:rsidP="006110D6">
            <w:pPr>
              <w:rPr>
                <w:rFonts w:cs="Arial"/>
                <w:sz w:val="20"/>
              </w:rPr>
            </w:pPr>
            <w:r>
              <w:rPr>
                <w:rFonts w:cs="Arial"/>
                <w:sz w:val="20"/>
              </w:rPr>
              <w:t>9.08</w:t>
            </w:r>
          </w:p>
        </w:tc>
        <w:tc>
          <w:tcPr>
            <w:tcW w:w="1559" w:type="dxa"/>
            <w:gridSpan w:val="2"/>
            <w:shd w:val="clear" w:color="auto" w:fill="auto"/>
          </w:tcPr>
          <w:p w14:paraId="64DA09E8" w14:textId="77777777" w:rsidR="004D790B" w:rsidRPr="001A1836" w:rsidRDefault="004D790B" w:rsidP="006110D6">
            <w:pPr>
              <w:rPr>
                <w:rFonts w:cs="Arial"/>
                <w:sz w:val="20"/>
              </w:rPr>
            </w:pPr>
          </w:p>
        </w:tc>
        <w:tc>
          <w:tcPr>
            <w:tcW w:w="6804" w:type="dxa"/>
            <w:shd w:val="clear" w:color="auto" w:fill="auto"/>
          </w:tcPr>
          <w:p w14:paraId="1BBB05E4" w14:textId="77777777" w:rsidR="004D790B" w:rsidRPr="001A1836" w:rsidRDefault="004D790B" w:rsidP="006110D6">
            <w:pPr>
              <w:rPr>
                <w:rFonts w:cs="Arial"/>
                <w:sz w:val="20"/>
              </w:rPr>
            </w:pPr>
            <w:r>
              <w:rPr>
                <w:rFonts w:cs="Arial"/>
                <w:sz w:val="20"/>
              </w:rPr>
              <w:t>Guernsey</w:t>
            </w:r>
          </w:p>
        </w:tc>
      </w:tr>
      <w:tr w:rsidR="004D790B" w:rsidRPr="001A1836" w14:paraId="2DDCAB30" w14:textId="77777777" w:rsidTr="004D790B">
        <w:trPr>
          <w:gridAfter w:val="1"/>
          <w:wAfter w:w="27" w:type="dxa"/>
          <w:cantSplit/>
        </w:trPr>
        <w:tc>
          <w:tcPr>
            <w:tcW w:w="851" w:type="dxa"/>
            <w:gridSpan w:val="2"/>
            <w:shd w:val="clear" w:color="auto" w:fill="auto"/>
          </w:tcPr>
          <w:p w14:paraId="03FFB07C" w14:textId="77777777" w:rsidR="004D790B" w:rsidRPr="001A1836" w:rsidRDefault="004D790B" w:rsidP="006110D6">
            <w:pPr>
              <w:rPr>
                <w:rFonts w:cs="Arial"/>
                <w:sz w:val="20"/>
              </w:rPr>
            </w:pPr>
          </w:p>
        </w:tc>
        <w:tc>
          <w:tcPr>
            <w:tcW w:w="1559" w:type="dxa"/>
            <w:gridSpan w:val="2"/>
            <w:shd w:val="clear" w:color="auto" w:fill="auto"/>
          </w:tcPr>
          <w:p w14:paraId="0322415E" w14:textId="77777777" w:rsidR="004D790B" w:rsidRPr="001A1836" w:rsidRDefault="004D790B" w:rsidP="006110D6">
            <w:pPr>
              <w:rPr>
                <w:rFonts w:cs="Arial"/>
                <w:sz w:val="20"/>
              </w:rPr>
            </w:pPr>
          </w:p>
        </w:tc>
        <w:tc>
          <w:tcPr>
            <w:tcW w:w="6804" w:type="dxa"/>
            <w:shd w:val="clear" w:color="auto" w:fill="auto"/>
          </w:tcPr>
          <w:p w14:paraId="54326F17" w14:textId="77777777" w:rsidR="004D790B" w:rsidRPr="001A1836" w:rsidRDefault="004D790B" w:rsidP="006110D6">
            <w:pPr>
              <w:rPr>
                <w:rFonts w:cs="Arial"/>
                <w:sz w:val="20"/>
              </w:rPr>
            </w:pPr>
          </w:p>
        </w:tc>
      </w:tr>
      <w:tr w:rsidR="004D790B" w:rsidRPr="00DD30A9" w14:paraId="1DCA2DCF" w14:textId="77777777" w:rsidTr="004D790B">
        <w:trPr>
          <w:gridAfter w:val="1"/>
          <w:wAfter w:w="27" w:type="dxa"/>
          <w:cantSplit/>
        </w:trPr>
        <w:tc>
          <w:tcPr>
            <w:tcW w:w="851" w:type="dxa"/>
            <w:gridSpan w:val="2"/>
            <w:shd w:val="clear" w:color="auto" w:fill="auto"/>
          </w:tcPr>
          <w:p w14:paraId="05A01527" w14:textId="77777777" w:rsidR="004D790B" w:rsidRPr="001A1836" w:rsidRDefault="004D790B" w:rsidP="006110D6">
            <w:pPr>
              <w:rPr>
                <w:rFonts w:cs="Arial"/>
                <w:sz w:val="20"/>
              </w:rPr>
            </w:pPr>
          </w:p>
        </w:tc>
        <w:tc>
          <w:tcPr>
            <w:tcW w:w="1559" w:type="dxa"/>
            <w:gridSpan w:val="2"/>
            <w:shd w:val="clear" w:color="auto" w:fill="auto"/>
          </w:tcPr>
          <w:p w14:paraId="69581BEF" w14:textId="77777777" w:rsidR="004D790B" w:rsidRPr="001A1836" w:rsidRDefault="004D790B" w:rsidP="006110D6">
            <w:pPr>
              <w:rPr>
                <w:rFonts w:cs="Arial"/>
                <w:sz w:val="20"/>
              </w:rPr>
            </w:pPr>
          </w:p>
        </w:tc>
        <w:tc>
          <w:tcPr>
            <w:tcW w:w="6804" w:type="dxa"/>
            <w:shd w:val="clear" w:color="auto" w:fill="auto"/>
          </w:tcPr>
          <w:p w14:paraId="74348473" w14:textId="77777777" w:rsidR="004D790B" w:rsidRPr="00DD30A9" w:rsidRDefault="004D790B" w:rsidP="006110D6">
            <w:pPr>
              <w:rPr>
                <w:rFonts w:cs="Arial"/>
                <w:b/>
                <w:sz w:val="20"/>
              </w:rPr>
            </w:pPr>
            <w:r>
              <w:rPr>
                <w:rFonts w:cs="Arial"/>
                <w:b/>
                <w:sz w:val="20"/>
              </w:rPr>
              <w:t>Gas policy reports</w:t>
            </w:r>
          </w:p>
        </w:tc>
      </w:tr>
      <w:tr w:rsidR="004D790B" w:rsidRPr="001A1836" w14:paraId="16F97211" w14:textId="77777777" w:rsidTr="004D790B">
        <w:trPr>
          <w:gridAfter w:val="1"/>
          <w:wAfter w:w="27" w:type="dxa"/>
          <w:cantSplit/>
        </w:trPr>
        <w:tc>
          <w:tcPr>
            <w:tcW w:w="851" w:type="dxa"/>
            <w:gridSpan w:val="2"/>
            <w:shd w:val="clear" w:color="auto" w:fill="auto"/>
          </w:tcPr>
          <w:p w14:paraId="704C25C1" w14:textId="77777777" w:rsidR="004D790B" w:rsidRPr="001A1836" w:rsidRDefault="004D790B" w:rsidP="006110D6">
            <w:pPr>
              <w:rPr>
                <w:rFonts w:cs="Arial"/>
                <w:sz w:val="20"/>
              </w:rPr>
            </w:pPr>
            <w:r>
              <w:rPr>
                <w:rFonts w:cs="Arial"/>
                <w:sz w:val="20"/>
              </w:rPr>
              <w:t>9.09</w:t>
            </w:r>
          </w:p>
        </w:tc>
        <w:tc>
          <w:tcPr>
            <w:tcW w:w="1559" w:type="dxa"/>
            <w:gridSpan w:val="2"/>
            <w:shd w:val="clear" w:color="auto" w:fill="auto"/>
          </w:tcPr>
          <w:p w14:paraId="345148DC" w14:textId="77777777" w:rsidR="004D790B" w:rsidRPr="001A1836" w:rsidRDefault="004D790B" w:rsidP="006110D6">
            <w:pPr>
              <w:rPr>
                <w:rFonts w:cs="Arial"/>
                <w:sz w:val="20"/>
              </w:rPr>
            </w:pPr>
          </w:p>
        </w:tc>
        <w:tc>
          <w:tcPr>
            <w:tcW w:w="6804" w:type="dxa"/>
            <w:shd w:val="clear" w:color="auto" w:fill="auto"/>
          </w:tcPr>
          <w:p w14:paraId="2D65018E" w14:textId="77777777" w:rsidR="004D790B" w:rsidRPr="001A1836" w:rsidRDefault="004D790B" w:rsidP="006110D6">
            <w:pPr>
              <w:rPr>
                <w:rFonts w:cs="Arial"/>
                <w:sz w:val="20"/>
              </w:rPr>
            </w:pPr>
            <w:r>
              <w:rPr>
                <w:rFonts w:cs="Arial"/>
                <w:sz w:val="20"/>
              </w:rPr>
              <w:t>Top 5 defects found during inspections</w:t>
            </w:r>
          </w:p>
        </w:tc>
      </w:tr>
      <w:tr w:rsidR="004D790B" w:rsidRPr="001A1836" w14:paraId="3A5790E1" w14:textId="77777777" w:rsidTr="004D790B">
        <w:trPr>
          <w:gridAfter w:val="1"/>
          <w:wAfter w:w="27" w:type="dxa"/>
          <w:cantSplit/>
        </w:trPr>
        <w:tc>
          <w:tcPr>
            <w:tcW w:w="851" w:type="dxa"/>
            <w:gridSpan w:val="2"/>
            <w:shd w:val="clear" w:color="auto" w:fill="auto"/>
          </w:tcPr>
          <w:p w14:paraId="7A99A29B" w14:textId="77777777" w:rsidR="004D790B" w:rsidRPr="001A1836" w:rsidRDefault="004D790B" w:rsidP="006110D6">
            <w:pPr>
              <w:rPr>
                <w:rFonts w:cs="Arial"/>
                <w:sz w:val="20"/>
              </w:rPr>
            </w:pPr>
          </w:p>
        </w:tc>
        <w:tc>
          <w:tcPr>
            <w:tcW w:w="1559" w:type="dxa"/>
            <w:gridSpan w:val="2"/>
            <w:shd w:val="clear" w:color="auto" w:fill="auto"/>
          </w:tcPr>
          <w:p w14:paraId="7300097E" w14:textId="77777777" w:rsidR="004D790B" w:rsidRPr="001A1836" w:rsidRDefault="004D790B" w:rsidP="006110D6">
            <w:pPr>
              <w:rPr>
                <w:rFonts w:cs="Arial"/>
                <w:sz w:val="20"/>
              </w:rPr>
            </w:pPr>
          </w:p>
        </w:tc>
        <w:tc>
          <w:tcPr>
            <w:tcW w:w="6804" w:type="dxa"/>
            <w:shd w:val="clear" w:color="auto" w:fill="auto"/>
          </w:tcPr>
          <w:p w14:paraId="63792A45" w14:textId="77777777" w:rsidR="004D790B" w:rsidRPr="001A1836" w:rsidRDefault="004D790B" w:rsidP="006110D6">
            <w:pPr>
              <w:rPr>
                <w:rFonts w:cs="Arial"/>
                <w:sz w:val="20"/>
              </w:rPr>
            </w:pPr>
          </w:p>
        </w:tc>
      </w:tr>
      <w:tr w:rsidR="004D790B" w:rsidRPr="001A1836" w14:paraId="5D44F9B3" w14:textId="77777777" w:rsidTr="004D790B">
        <w:trPr>
          <w:gridAfter w:val="1"/>
          <w:wAfter w:w="27" w:type="dxa"/>
          <w:cantSplit/>
        </w:trPr>
        <w:tc>
          <w:tcPr>
            <w:tcW w:w="851" w:type="dxa"/>
            <w:gridSpan w:val="2"/>
            <w:shd w:val="clear" w:color="auto" w:fill="auto"/>
          </w:tcPr>
          <w:p w14:paraId="4C5DCC39" w14:textId="77777777" w:rsidR="004D790B" w:rsidRPr="001A1836" w:rsidRDefault="004D790B" w:rsidP="006110D6">
            <w:pPr>
              <w:rPr>
                <w:rFonts w:cs="Arial"/>
                <w:sz w:val="20"/>
              </w:rPr>
            </w:pPr>
            <w:r>
              <w:rPr>
                <w:rFonts w:cs="Arial"/>
                <w:b/>
                <w:sz w:val="24"/>
                <w:szCs w:val="24"/>
              </w:rPr>
              <w:t>10.0</w:t>
            </w:r>
          </w:p>
        </w:tc>
        <w:tc>
          <w:tcPr>
            <w:tcW w:w="1559" w:type="dxa"/>
            <w:gridSpan w:val="2"/>
            <w:shd w:val="clear" w:color="auto" w:fill="auto"/>
          </w:tcPr>
          <w:p w14:paraId="4570814C" w14:textId="77777777" w:rsidR="004D790B" w:rsidRPr="001A1836" w:rsidRDefault="004D790B" w:rsidP="006110D6">
            <w:pPr>
              <w:rPr>
                <w:rFonts w:cs="Arial"/>
                <w:sz w:val="20"/>
              </w:rPr>
            </w:pPr>
          </w:p>
        </w:tc>
        <w:tc>
          <w:tcPr>
            <w:tcW w:w="6804" w:type="dxa"/>
            <w:shd w:val="clear" w:color="auto" w:fill="auto"/>
          </w:tcPr>
          <w:p w14:paraId="081D0B3E" w14:textId="77777777" w:rsidR="004D790B" w:rsidRPr="001A1836" w:rsidRDefault="004D790B" w:rsidP="006110D6">
            <w:pPr>
              <w:rPr>
                <w:rFonts w:cs="Arial"/>
                <w:sz w:val="20"/>
              </w:rPr>
            </w:pPr>
            <w:r>
              <w:rPr>
                <w:rFonts w:cs="Arial"/>
                <w:b/>
                <w:sz w:val="24"/>
                <w:szCs w:val="24"/>
              </w:rPr>
              <w:t>SARs, FOIs</w:t>
            </w:r>
          </w:p>
        </w:tc>
      </w:tr>
      <w:tr w:rsidR="004D790B" w:rsidRPr="001A1836" w14:paraId="03CCD777" w14:textId="77777777" w:rsidTr="004D790B">
        <w:trPr>
          <w:gridAfter w:val="1"/>
          <w:wAfter w:w="27" w:type="dxa"/>
          <w:cantSplit/>
        </w:trPr>
        <w:tc>
          <w:tcPr>
            <w:tcW w:w="851" w:type="dxa"/>
            <w:gridSpan w:val="2"/>
            <w:shd w:val="clear" w:color="auto" w:fill="auto"/>
          </w:tcPr>
          <w:p w14:paraId="3A2C405D" w14:textId="77777777" w:rsidR="004D790B" w:rsidRPr="001A1836" w:rsidRDefault="004D790B" w:rsidP="006110D6">
            <w:pPr>
              <w:rPr>
                <w:rFonts w:cs="Arial"/>
                <w:sz w:val="20"/>
              </w:rPr>
            </w:pPr>
          </w:p>
        </w:tc>
        <w:tc>
          <w:tcPr>
            <w:tcW w:w="1559" w:type="dxa"/>
            <w:gridSpan w:val="2"/>
            <w:shd w:val="clear" w:color="auto" w:fill="auto"/>
          </w:tcPr>
          <w:p w14:paraId="4EADFEAF" w14:textId="77777777" w:rsidR="004D790B" w:rsidRPr="001A1836" w:rsidRDefault="004D790B" w:rsidP="006110D6">
            <w:pPr>
              <w:rPr>
                <w:rFonts w:cs="Arial"/>
                <w:sz w:val="20"/>
              </w:rPr>
            </w:pPr>
          </w:p>
        </w:tc>
        <w:tc>
          <w:tcPr>
            <w:tcW w:w="6804" w:type="dxa"/>
            <w:shd w:val="clear" w:color="auto" w:fill="auto"/>
          </w:tcPr>
          <w:p w14:paraId="041063AF" w14:textId="77777777" w:rsidR="004D790B" w:rsidRPr="001A1836" w:rsidRDefault="004D790B" w:rsidP="006110D6">
            <w:pPr>
              <w:rPr>
                <w:rFonts w:cs="Arial"/>
                <w:sz w:val="20"/>
              </w:rPr>
            </w:pPr>
          </w:p>
        </w:tc>
      </w:tr>
      <w:tr w:rsidR="004D790B" w:rsidRPr="005F2C40" w14:paraId="10EE6253" w14:textId="77777777" w:rsidTr="004D790B">
        <w:trPr>
          <w:gridAfter w:val="1"/>
          <w:wAfter w:w="27" w:type="dxa"/>
          <w:cantSplit/>
        </w:trPr>
        <w:tc>
          <w:tcPr>
            <w:tcW w:w="851" w:type="dxa"/>
            <w:gridSpan w:val="2"/>
            <w:shd w:val="clear" w:color="auto" w:fill="auto"/>
          </w:tcPr>
          <w:p w14:paraId="6472AE1F" w14:textId="77777777" w:rsidR="004D790B" w:rsidRPr="001A1836" w:rsidRDefault="004D790B" w:rsidP="006110D6">
            <w:pPr>
              <w:rPr>
                <w:rFonts w:cs="Arial"/>
                <w:sz w:val="20"/>
              </w:rPr>
            </w:pPr>
          </w:p>
        </w:tc>
        <w:tc>
          <w:tcPr>
            <w:tcW w:w="1559" w:type="dxa"/>
            <w:gridSpan w:val="2"/>
            <w:shd w:val="clear" w:color="auto" w:fill="auto"/>
          </w:tcPr>
          <w:p w14:paraId="1E8EB674" w14:textId="77777777" w:rsidR="004D790B" w:rsidRPr="001A1836" w:rsidRDefault="004D790B" w:rsidP="006110D6">
            <w:pPr>
              <w:rPr>
                <w:rFonts w:cs="Arial"/>
                <w:sz w:val="20"/>
              </w:rPr>
            </w:pPr>
          </w:p>
        </w:tc>
        <w:tc>
          <w:tcPr>
            <w:tcW w:w="6804" w:type="dxa"/>
            <w:shd w:val="clear" w:color="auto" w:fill="auto"/>
          </w:tcPr>
          <w:p w14:paraId="63FA35CA" w14:textId="77777777" w:rsidR="004D790B" w:rsidRPr="005F2C40" w:rsidRDefault="004D790B" w:rsidP="006110D6">
            <w:pPr>
              <w:rPr>
                <w:rFonts w:cs="Arial"/>
                <w:b/>
                <w:sz w:val="20"/>
              </w:rPr>
            </w:pPr>
            <w:r>
              <w:rPr>
                <w:rFonts w:cs="Arial"/>
                <w:b/>
                <w:sz w:val="20"/>
              </w:rPr>
              <w:t>Requests for information</w:t>
            </w:r>
          </w:p>
        </w:tc>
      </w:tr>
      <w:tr w:rsidR="004D790B" w:rsidRPr="001A1836" w14:paraId="10DF5A91" w14:textId="77777777" w:rsidTr="004D790B">
        <w:trPr>
          <w:gridAfter w:val="1"/>
          <w:wAfter w:w="27" w:type="dxa"/>
          <w:cantSplit/>
        </w:trPr>
        <w:tc>
          <w:tcPr>
            <w:tcW w:w="851" w:type="dxa"/>
            <w:gridSpan w:val="2"/>
            <w:shd w:val="clear" w:color="auto" w:fill="auto"/>
          </w:tcPr>
          <w:p w14:paraId="243EB8C3" w14:textId="77777777" w:rsidR="004D790B" w:rsidRPr="001A1836" w:rsidRDefault="004D790B" w:rsidP="006110D6">
            <w:pPr>
              <w:rPr>
                <w:rFonts w:cs="Arial"/>
                <w:sz w:val="20"/>
              </w:rPr>
            </w:pPr>
            <w:r>
              <w:rPr>
                <w:rFonts w:cs="Arial"/>
                <w:sz w:val="20"/>
              </w:rPr>
              <w:t>10.01</w:t>
            </w:r>
          </w:p>
        </w:tc>
        <w:tc>
          <w:tcPr>
            <w:tcW w:w="1559" w:type="dxa"/>
            <w:gridSpan w:val="2"/>
            <w:shd w:val="clear" w:color="auto" w:fill="auto"/>
          </w:tcPr>
          <w:p w14:paraId="1542C392" w14:textId="77777777" w:rsidR="004D790B" w:rsidRPr="001A1836" w:rsidRDefault="004D790B" w:rsidP="006110D6">
            <w:pPr>
              <w:rPr>
                <w:rFonts w:cs="Arial"/>
                <w:sz w:val="20"/>
              </w:rPr>
            </w:pPr>
          </w:p>
        </w:tc>
        <w:tc>
          <w:tcPr>
            <w:tcW w:w="6804" w:type="dxa"/>
            <w:shd w:val="clear" w:color="auto" w:fill="auto"/>
          </w:tcPr>
          <w:p w14:paraId="3D556A64" w14:textId="77777777" w:rsidR="004D790B" w:rsidRPr="001A1836" w:rsidRDefault="004D790B" w:rsidP="006110D6">
            <w:pPr>
              <w:rPr>
                <w:rFonts w:cs="Arial"/>
                <w:sz w:val="20"/>
              </w:rPr>
            </w:pPr>
            <w:r>
              <w:rPr>
                <w:rFonts w:cs="Arial"/>
                <w:sz w:val="20"/>
              </w:rPr>
              <w:t>Subject Access Requests (SARs)</w:t>
            </w:r>
          </w:p>
        </w:tc>
      </w:tr>
      <w:tr w:rsidR="004D790B" w:rsidRPr="001A1836" w14:paraId="3A1F829D" w14:textId="77777777" w:rsidTr="004D790B">
        <w:trPr>
          <w:gridAfter w:val="1"/>
          <w:wAfter w:w="27" w:type="dxa"/>
          <w:cantSplit/>
        </w:trPr>
        <w:tc>
          <w:tcPr>
            <w:tcW w:w="851" w:type="dxa"/>
            <w:gridSpan w:val="2"/>
            <w:shd w:val="clear" w:color="auto" w:fill="auto"/>
          </w:tcPr>
          <w:p w14:paraId="63A23727" w14:textId="77777777" w:rsidR="004D790B" w:rsidRPr="001A1836" w:rsidRDefault="004D790B" w:rsidP="006110D6">
            <w:pPr>
              <w:rPr>
                <w:rFonts w:cs="Arial"/>
                <w:sz w:val="20"/>
              </w:rPr>
            </w:pPr>
            <w:r>
              <w:rPr>
                <w:rFonts w:cs="Arial"/>
                <w:sz w:val="20"/>
              </w:rPr>
              <w:t>10.02</w:t>
            </w:r>
          </w:p>
        </w:tc>
        <w:tc>
          <w:tcPr>
            <w:tcW w:w="1559" w:type="dxa"/>
            <w:gridSpan w:val="2"/>
            <w:shd w:val="clear" w:color="auto" w:fill="auto"/>
          </w:tcPr>
          <w:p w14:paraId="612AC223" w14:textId="77777777" w:rsidR="004D790B" w:rsidRPr="001A1836" w:rsidRDefault="004D790B" w:rsidP="006110D6">
            <w:pPr>
              <w:rPr>
                <w:rFonts w:cs="Arial"/>
                <w:sz w:val="20"/>
              </w:rPr>
            </w:pPr>
          </w:p>
        </w:tc>
        <w:tc>
          <w:tcPr>
            <w:tcW w:w="6804" w:type="dxa"/>
            <w:shd w:val="clear" w:color="auto" w:fill="auto"/>
          </w:tcPr>
          <w:p w14:paraId="406692EE" w14:textId="77777777" w:rsidR="004D790B" w:rsidRPr="001A1836" w:rsidRDefault="004D790B" w:rsidP="006110D6">
            <w:pPr>
              <w:rPr>
                <w:rFonts w:cs="Arial"/>
                <w:sz w:val="20"/>
              </w:rPr>
            </w:pPr>
            <w:r>
              <w:rPr>
                <w:rFonts w:cs="Arial"/>
                <w:sz w:val="20"/>
              </w:rPr>
              <w:t>SARs responded to in required time</w:t>
            </w:r>
          </w:p>
        </w:tc>
      </w:tr>
      <w:tr w:rsidR="004D790B" w:rsidRPr="001A1836" w14:paraId="647538FF" w14:textId="77777777" w:rsidTr="004D790B">
        <w:trPr>
          <w:gridAfter w:val="1"/>
          <w:wAfter w:w="27" w:type="dxa"/>
          <w:cantSplit/>
        </w:trPr>
        <w:tc>
          <w:tcPr>
            <w:tcW w:w="851" w:type="dxa"/>
            <w:gridSpan w:val="2"/>
            <w:shd w:val="clear" w:color="auto" w:fill="auto"/>
          </w:tcPr>
          <w:p w14:paraId="65E285D1" w14:textId="77777777" w:rsidR="004D790B" w:rsidRPr="001A1836" w:rsidRDefault="004D790B" w:rsidP="006110D6">
            <w:pPr>
              <w:rPr>
                <w:rFonts w:cs="Arial"/>
                <w:sz w:val="20"/>
              </w:rPr>
            </w:pPr>
            <w:r>
              <w:rPr>
                <w:rFonts w:cs="Arial"/>
                <w:sz w:val="20"/>
              </w:rPr>
              <w:t>10.03</w:t>
            </w:r>
          </w:p>
        </w:tc>
        <w:tc>
          <w:tcPr>
            <w:tcW w:w="1559" w:type="dxa"/>
            <w:gridSpan w:val="2"/>
            <w:shd w:val="clear" w:color="auto" w:fill="auto"/>
          </w:tcPr>
          <w:p w14:paraId="3E349963" w14:textId="77777777" w:rsidR="004D790B" w:rsidRPr="001A1836" w:rsidRDefault="004D790B" w:rsidP="006110D6">
            <w:pPr>
              <w:rPr>
                <w:rFonts w:cs="Arial"/>
                <w:sz w:val="20"/>
              </w:rPr>
            </w:pPr>
          </w:p>
        </w:tc>
        <w:tc>
          <w:tcPr>
            <w:tcW w:w="6804" w:type="dxa"/>
            <w:shd w:val="clear" w:color="auto" w:fill="auto"/>
          </w:tcPr>
          <w:p w14:paraId="02ED4B7A" w14:textId="77777777" w:rsidR="004D790B" w:rsidRPr="001A1836" w:rsidRDefault="004D790B" w:rsidP="006110D6">
            <w:pPr>
              <w:rPr>
                <w:rFonts w:cs="Arial"/>
                <w:sz w:val="20"/>
              </w:rPr>
            </w:pPr>
            <w:r>
              <w:rPr>
                <w:rFonts w:cs="Arial"/>
                <w:sz w:val="20"/>
              </w:rPr>
              <w:t>Freedom of Information (FOI) requests</w:t>
            </w:r>
          </w:p>
        </w:tc>
      </w:tr>
      <w:tr w:rsidR="004D790B" w:rsidRPr="001A1836" w14:paraId="4D8E3C75" w14:textId="77777777" w:rsidTr="004D790B">
        <w:trPr>
          <w:gridAfter w:val="1"/>
          <w:wAfter w:w="27" w:type="dxa"/>
          <w:cantSplit/>
        </w:trPr>
        <w:tc>
          <w:tcPr>
            <w:tcW w:w="851" w:type="dxa"/>
            <w:gridSpan w:val="2"/>
            <w:shd w:val="clear" w:color="auto" w:fill="auto"/>
          </w:tcPr>
          <w:p w14:paraId="001878E4" w14:textId="77777777" w:rsidR="004D790B" w:rsidRPr="001A1836" w:rsidRDefault="004D790B" w:rsidP="006110D6">
            <w:pPr>
              <w:rPr>
                <w:rFonts w:cs="Arial"/>
                <w:sz w:val="20"/>
              </w:rPr>
            </w:pPr>
            <w:r>
              <w:rPr>
                <w:rFonts w:cs="Arial"/>
                <w:sz w:val="20"/>
              </w:rPr>
              <w:t>10.04</w:t>
            </w:r>
          </w:p>
        </w:tc>
        <w:tc>
          <w:tcPr>
            <w:tcW w:w="1559" w:type="dxa"/>
            <w:gridSpan w:val="2"/>
            <w:shd w:val="clear" w:color="auto" w:fill="auto"/>
          </w:tcPr>
          <w:p w14:paraId="45E27CAC" w14:textId="77777777" w:rsidR="004D790B" w:rsidRPr="001A1836" w:rsidRDefault="004D790B" w:rsidP="006110D6">
            <w:pPr>
              <w:rPr>
                <w:rFonts w:cs="Arial"/>
                <w:sz w:val="20"/>
              </w:rPr>
            </w:pPr>
          </w:p>
        </w:tc>
        <w:tc>
          <w:tcPr>
            <w:tcW w:w="6804" w:type="dxa"/>
            <w:shd w:val="clear" w:color="auto" w:fill="auto"/>
          </w:tcPr>
          <w:p w14:paraId="1CD5B505" w14:textId="77777777" w:rsidR="004D790B" w:rsidRPr="001A1836" w:rsidRDefault="004D790B" w:rsidP="006110D6">
            <w:pPr>
              <w:rPr>
                <w:rFonts w:cs="Arial"/>
                <w:sz w:val="20"/>
              </w:rPr>
            </w:pPr>
            <w:r>
              <w:rPr>
                <w:rFonts w:cs="Arial"/>
                <w:sz w:val="20"/>
              </w:rPr>
              <w:t>FOI requests responded to in required time</w:t>
            </w:r>
          </w:p>
        </w:tc>
      </w:tr>
      <w:tr w:rsidR="004D790B" w:rsidRPr="001A1836" w14:paraId="31D2E026" w14:textId="77777777" w:rsidTr="004D790B">
        <w:trPr>
          <w:gridAfter w:val="1"/>
          <w:wAfter w:w="27" w:type="dxa"/>
          <w:cantSplit/>
        </w:trPr>
        <w:tc>
          <w:tcPr>
            <w:tcW w:w="851" w:type="dxa"/>
            <w:gridSpan w:val="2"/>
            <w:shd w:val="clear" w:color="auto" w:fill="auto"/>
          </w:tcPr>
          <w:p w14:paraId="64B244D2" w14:textId="77777777" w:rsidR="004D790B" w:rsidRPr="001A1836" w:rsidRDefault="004D790B" w:rsidP="006110D6">
            <w:pPr>
              <w:rPr>
                <w:rFonts w:cs="Arial"/>
                <w:sz w:val="20"/>
              </w:rPr>
            </w:pPr>
            <w:r>
              <w:rPr>
                <w:rFonts w:cs="Arial"/>
                <w:sz w:val="20"/>
              </w:rPr>
              <w:t>10.05</w:t>
            </w:r>
          </w:p>
        </w:tc>
        <w:tc>
          <w:tcPr>
            <w:tcW w:w="1559" w:type="dxa"/>
            <w:gridSpan w:val="2"/>
            <w:shd w:val="clear" w:color="auto" w:fill="auto"/>
          </w:tcPr>
          <w:p w14:paraId="260710D8" w14:textId="77777777" w:rsidR="004D790B" w:rsidRPr="001A1836" w:rsidRDefault="004D790B" w:rsidP="006110D6">
            <w:pPr>
              <w:rPr>
                <w:rFonts w:cs="Arial"/>
                <w:sz w:val="20"/>
              </w:rPr>
            </w:pPr>
          </w:p>
        </w:tc>
        <w:tc>
          <w:tcPr>
            <w:tcW w:w="6804" w:type="dxa"/>
            <w:shd w:val="clear" w:color="auto" w:fill="auto"/>
          </w:tcPr>
          <w:p w14:paraId="781DFF2A" w14:textId="77777777" w:rsidR="004D790B" w:rsidRPr="001A1836" w:rsidRDefault="004D790B" w:rsidP="006110D6">
            <w:pPr>
              <w:rPr>
                <w:rFonts w:cs="Arial"/>
                <w:sz w:val="20"/>
              </w:rPr>
            </w:pPr>
            <w:r>
              <w:rPr>
                <w:rFonts w:cs="Arial"/>
                <w:sz w:val="20"/>
              </w:rPr>
              <w:t>Environmental Information Regulations (EIR) requests</w:t>
            </w:r>
          </w:p>
        </w:tc>
      </w:tr>
      <w:tr w:rsidR="004D790B" w:rsidRPr="001A1836" w14:paraId="5339DE8F" w14:textId="77777777" w:rsidTr="004D790B">
        <w:trPr>
          <w:gridAfter w:val="1"/>
          <w:wAfter w:w="27" w:type="dxa"/>
          <w:cantSplit/>
        </w:trPr>
        <w:tc>
          <w:tcPr>
            <w:tcW w:w="851" w:type="dxa"/>
            <w:gridSpan w:val="2"/>
            <w:shd w:val="clear" w:color="auto" w:fill="auto"/>
          </w:tcPr>
          <w:p w14:paraId="01EDEF3F" w14:textId="77777777" w:rsidR="004D790B" w:rsidRPr="001A1836" w:rsidRDefault="004D790B" w:rsidP="006110D6">
            <w:pPr>
              <w:rPr>
                <w:rFonts w:cs="Arial"/>
                <w:sz w:val="20"/>
              </w:rPr>
            </w:pPr>
            <w:r>
              <w:rPr>
                <w:rFonts w:cs="Arial"/>
                <w:sz w:val="20"/>
              </w:rPr>
              <w:t>10.06</w:t>
            </w:r>
          </w:p>
        </w:tc>
        <w:tc>
          <w:tcPr>
            <w:tcW w:w="1559" w:type="dxa"/>
            <w:gridSpan w:val="2"/>
            <w:shd w:val="clear" w:color="auto" w:fill="auto"/>
          </w:tcPr>
          <w:p w14:paraId="1FFFE468" w14:textId="77777777" w:rsidR="004D790B" w:rsidRPr="001A1836" w:rsidRDefault="004D790B" w:rsidP="006110D6">
            <w:pPr>
              <w:rPr>
                <w:rFonts w:cs="Arial"/>
                <w:sz w:val="20"/>
              </w:rPr>
            </w:pPr>
          </w:p>
        </w:tc>
        <w:tc>
          <w:tcPr>
            <w:tcW w:w="6804" w:type="dxa"/>
            <w:shd w:val="clear" w:color="auto" w:fill="auto"/>
          </w:tcPr>
          <w:p w14:paraId="36EA3D2E" w14:textId="77777777" w:rsidR="004D790B" w:rsidRPr="001A1836" w:rsidRDefault="004D790B" w:rsidP="006110D6">
            <w:pPr>
              <w:rPr>
                <w:rFonts w:cs="Arial"/>
                <w:sz w:val="20"/>
              </w:rPr>
            </w:pPr>
            <w:r>
              <w:rPr>
                <w:rFonts w:cs="Arial"/>
                <w:sz w:val="20"/>
              </w:rPr>
              <w:t>EIR requests responded to in required time</w:t>
            </w:r>
          </w:p>
        </w:tc>
      </w:tr>
    </w:tbl>
    <w:p w14:paraId="3211C695" w14:textId="77777777" w:rsidR="00B074CC" w:rsidRPr="001A1836" w:rsidRDefault="00B074CC" w:rsidP="00626054">
      <w:pPr>
        <w:pStyle w:val="Number"/>
        <w:ind w:left="1418" w:firstLine="0"/>
      </w:pPr>
    </w:p>
    <w:p w14:paraId="6EFBFF1E" w14:textId="77777777" w:rsidR="00B074CC" w:rsidRPr="001A1836" w:rsidRDefault="00B074CC" w:rsidP="00B073F9">
      <w:pPr>
        <w:pStyle w:val="GSRL2Sectionheading"/>
      </w:pPr>
      <w:r w:rsidRPr="001A1836">
        <w:br w:type="page"/>
      </w:r>
      <w:bookmarkStart w:id="2517" w:name="_Toc508870633"/>
      <w:bookmarkStart w:id="2518" w:name="_Toc521327130"/>
      <w:bookmarkStart w:id="2519" w:name="_Toc521333363"/>
      <w:bookmarkStart w:id="2520" w:name="_Toc521484094"/>
      <w:bookmarkStart w:id="2521" w:name="_Toc521484857"/>
      <w:bookmarkStart w:id="2522" w:name="_Toc521485188"/>
      <w:bookmarkStart w:id="2523" w:name="_Toc521496925"/>
      <w:bookmarkStart w:id="2524" w:name="_Toc521498367"/>
      <w:bookmarkStart w:id="2525" w:name="_Toc529346066"/>
      <w:bookmarkStart w:id="2526" w:name="_Toc129038279"/>
      <w:bookmarkStart w:id="2527" w:name="_Toc129038565"/>
      <w:bookmarkStart w:id="2528" w:name="_Toc132268140"/>
      <w:bookmarkStart w:id="2529" w:name="_Toc132268446"/>
      <w:bookmarkStart w:id="2530" w:name="_Toc136198696"/>
      <w:bookmarkStart w:id="2531" w:name="_Toc136198977"/>
      <w:r w:rsidRPr="001A1836">
        <w:lastRenderedPageBreak/>
        <w:t>Annex 2 – Records</w:t>
      </w:r>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p>
    <w:p w14:paraId="54771C8E" w14:textId="77777777" w:rsidR="00B074CC" w:rsidRPr="001A1836" w:rsidRDefault="00B074CC" w:rsidP="004E2262">
      <w:pPr>
        <w:pStyle w:val="GSRL3heading"/>
        <w:numPr>
          <w:ilvl w:val="0"/>
          <w:numId w:val="78"/>
        </w:numPr>
      </w:pPr>
      <w:bookmarkStart w:id="2532" w:name="_Toc508870634"/>
      <w:bookmarkStart w:id="2533" w:name="_Toc521327131"/>
      <w:bookmarkStart w:id="2534" w:name="_Toc521333364"/>
      <w:bookmarkStart w:id="2535" w:name="_Toc521484095"/>
      <w:bookmarkStart w:id="2536" w:name="_Toc521484858"/>
      <w:bookmarkStart w:id="2537" w:name="_Toc521485189"/>
      <w:bookmarkStart w:id="2538" w:name="_Toc521496926"/>
      <w:bookmarkStart w:id="2539" w:name="_Toc521498368"/>
      <w:bookmarkStart w:id="2540" w:name="_Toc529346067"/>
      <w:bookmarkStart w:id="2541" w:name="_Toc129038280"/>
      <w:bookmarkStart w:id="2542" w:name="_Toc129038566"/>
      <w:bookmarkStart w:id="2543" w:name="_Toc132268141"/>
      <w:bookmarkStart w:id="2544" w:name="_Toc132268447"/>
      <w:bookmarkStart w:id="2545" w:name="_Toc136198697"/>
      <w:bookmarkStart w:id="2546" w:name="_Toc136198978"/>
      <w:r w:rsidRPr="001A1836">
        <w:t>Records</w:t>
      </w:r>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p>
    <w:p w14:paraId="788F5AC2" w14:textId="7C9204DF" w:rsidR="00B074CC" w:rsidRPr="001A1836" w:rsidRDefault="00B074CC">
      <w:pPr>
        <w:pStyle w:val="GSRL4numberedclause"/>
      </w:pPr>
      <w:r w:rsidRPr="001A1836">
        <w:t xml:space="preserve">Pursuant to paragraph 4 of Schedule 11 </w:t>
      </w:r>
      <w:r w:rsidR="00356284">
        <w:t xml:space="preserve">(Management Information, Reporting and Records) </w:t>
      </w:r>
      <w:r w:rsidRPr="001A1836">
        <w:t>the Provider shall maintain the following records:</w:t>
      </w:r>
    </w:p>
    <w:p w14:paraId="2E99C940" w14:textId="77777777" w:rsidR="00B074CC" w:rsidRPr="001A1836" w:rsidRDefault="00B074CC">
      <w:pPr>
        <w:pStyle w:val="GSRL5numberedclause"/>
      </w:pPr>
      <w:r w:rsidRPr="001A1836">
        <w:t xml:space="preserve">The Agreement, its Schedules and all Change Control Notes and other amendments to such documents. </w:t>
      </w:r>
    </w:p>
    <w:p w14:paraId="5CCA70FE" w14:textId="77777777" w:rsidR="00B074CC" w:rsidRPr="001A1836" w:rsidRDefault="00B074CC">
      <w:pPr>
        <w:pStyle w:val="GSRL5numberedclause"/>
      </w:pPr>
      <w:r w:rsidRPr="001A1836">
        <w:t xml:space="preserve">All other documents which this Agreement expressly requires to be prepared. </w:t>
      </w:r>
    </w:p>
    <w:p w14:paraId="5D5DAAD2" w14:textId="77777777" w:rsidR="00B074CC" w:rsidRPr="001A1836" w:rsidRDefault="00B074CC">
      <w:pPr>
        <w:pStyle w:val="GSRL5numberedclause"/>
      </w:pPr>
      <w:r w:rsidRPr="001A1836">
        <w:t xml:space="preserve">Records relating to the appointment and succession of the Provider Contract Manager and each member of the Key Personnel. </w:t>
      </w:r>
    </w:p>
    <w:p w14:paraId="6D6F1F5D" w14:textId="77777777" w:rsidR="00B074CC" w:rsidRPr="001A1836" w:rsidRDefault="00B074CC">
      <w:pPr>
        <w:pStyle w:val="GSRL5numberedclause"/>
      </w:pPr>
      <w:r w:rsidRPr="001A1836">
        <w:t xml:space="preserve">Notices, reports and other documentation submitted by an expert or mediator. </w:t>
      </w:r>
    </w:p>
    <w:p w14:paraId="5B133443" w14:textId="77777777" w:rsidR="00B074CC" w:rsidRPr="001A1836" w:rsidRDefault="00B074CC">
      <w:pPr>
        <w:pStyle w:val="GSRL5numberedclause"/>
      </w:pPr>
      <w:r w:rsidRPr="001A1836">
        <w:t xml:space="preserve">The Processes and Procedures Register. </w:t>
      </w:r>
    </w:p>
    <w:p w14:paraId="0AC8C363" w14:textId="77777777" w:rsidR="00B074CC" w:rsidRPr="001A1836" w:rsidRDefault="00B074CC">
      <w:pPr>
        <w:pStyle w:val="GSRL5numberedclause"/>
      </w:pPr>
      <w:r w:rsidRPr="001A1836">
        <w:t xml:space="preserve">Documents prepared by Provider or received by Provider from a third party relating to a Force Majeure Event. </w:t>
      </w:r>
    </w:p>
    <w:p w14:paraId="52FC66A9" w14:textId="77777777" w:rsidR="00B074CC" w:rsidRPr="001A1836" w:rsidRDefault="00B074CC">
      <w:pPr>
        <w:pStyle w:val="GSRL5numberedclause"/>
      </w:pPr>
      <w:r w:rsidRPr="001A1836">
        <w:t xml:space="preserve">All formal notices, reports or submissions made by Provider to HSE in connection with the provision of Services. </w:t>
      </w:r>
    </w:p>
    <w:p w14:paraId="37FB35FD" w14:textId="77777777" w:rsidR="00B074CC" w:rsidRPr="001A1836" w:rsidRDefault="00B074CC">
      <w:pPr>
        <w:pStyle w:val="GSRL5numberedclause"/>
      </w:pPr>
      <w:r w:rsidRPr="001A1836">
        <w:t xml:space="preserve">All certificates, licences, registrations or warranties in each case obtained by Provider in relation to the provision of the Services. </w:t>
      </w:r>
    </w:p>
    <w:p w14:paraId="3B530786" w14:textId="77777777" w:rsidR="00B074CC" w:rsidRPr="001A1836" w:rsidRDefault="00B074CC">
      <w:pPr>
        <w:pStyle w:val="GSRL5numberedclause"/>
      </w:pPr>
      <w:r w:rsidRPr="001A1836">
        <w:t xml:space="preserve">Documents prepared by Provider in support of claims for the Charges. </w:t>
      </w:r>
    </w:p>
    <w:p w14:paraId="7B5466A2" w14:textId="77777777" w:rsidR="00B074CC" w:rsidRPr="001A1836" w:rsidRDefault="00B074CC">
      <w:pPr>
        <w:pStyle w:val="GSRL5numberedclause"/>
      </w:pPr>
      <w:r w:rsidRPr="001A1836">
        <w:t xml:space="preserve">Documents submitted by Provider in accordance with the Change Control Procedure. </w:t>
      </w:r>
    </w:p>
    <w:p w14:paraId="6FF25593" w14:textId="77777777" w:rsidR="00B074CC" w:rsidRPr="001A1836" w:rsidRDefault="00B074CC">
      <w:pPr>
        <w:pStyle w:val="GSRL5numberedclause"/>
      </w:pPr>
      <w:r w:rsidRPr="001A1836">
        <w:t xml:space="preserve">Documents submitted by Provider pursuant to invocation by it or HSE of the Dispute Resolution Procedure. </w:t>
      </w:r>
    </w:p>
    <w:p w14:paraId="3EC9EB01" w14:textId="0EF0CC34" w:rsidR="00B074CC" w:rsidRDefault="00B074CC">
      <w:pPr>
        <w:pStyle w:val="GSRL5numberedclause"/>
      </w:pPr>
      <w:r w:rsidRPr="001A1836">
        <w:t xml:space="preserve">Documents evidencing any change in ownership or any interest in any or all of the shares in Provider and/or the Guarantor. </w:t>
      </w:r>
    </w:p>
    <w:p w14:paraId="2D16B803" w14:textId="7FDB99A0" w:rsidR="00FB2111" w:rsidRPr="00FB2111" w:rsidRDefault="00FB2111">
      <w:pPr>
        <w:pStyle w:val="GSRL5numberedclause"/>
      </w:pPr>
      <w:r w:rsidRPr="00FB2111">
        <w:t xml:space="preserve">Invoices and records related to VAT sought to be recovered by the </w:t>
      </w:r>
      <w:r w:rsidR="00716B73">
        <w:t>Provider</w:t>
      </w:r>
      <w:r w:rsidRPr="00FB2111">
        <w:t>.</w:t>
      </w:r>
    </w:p>
    <w:p w14:paraId="63494FEA" w14:textId="77777777" w:rsidR="00B074CC" w:rsidRPr="001A1836" w:rsidRDefault="00B074CC">
      <w:pPr>
        <w:pStyle w:val="GSRL5numberedclause"/>
      </w:pPr>
      <w:r w:rsidRPr="001A1836">
        <w:t xml:space="preserve">Financial records, including audited and unaudited accounts of the Guarantor and Provider. </w:t>
      </w:r>
    </w:p>
    <w:p w14:paraId="0E8BB9F3" w14:textId="77777777" w:rsidR="00B074CC" w:rsidRPr="001A1836" w:rsidRDefault="00B074CC">
      <w:pPr>
        <w:pStyle w:val="GSRL5numberedclause"/>
      </w:pPr>
      <w:r w:rsidRPr="001A1836">
        <w:t xml:space="preserve">Records required to be retained by the Provider by Law, including in relation to health and safety matters and health and safety files and all consents. </w:t>
      </w:r>
    </w:p>
    <w:p w14:paraId="21694F02" w14:textId="3756A5D3" w:rsidR="00B074CC" w:rsidRDefault="00B074CC">
      <w:pPr>
        <w:pStyle w:val="GSRL5numberedclause"/>
      </w:pPr>
      <w:r w:rsidRPr="001A1836">
        <w:t xml:space="preserve">All documents relating to the insurances to be maintained under the Agreement and any claims made in respect of them. </w:t>
      </w:r>
    </w:p>
    <w:p w14:paraId="2EB56234" w14:textId="60C946EA" w:rsidR="00FB2111" w:rsidRPr="00FB2111" w:rsidRDefault="00FB2111">
      <w:pPr>
        <w:pStyle w:val="GSRL5numberedclause"/>
      </w:pPr>
      <w:r w:rsidRPr="00FB2111">
        <w:t>All journals and audit trai</w:t>
      </w:r>
      <w:r>
        <w:t>l data referred to in Schedule 21</w:t>
      </w:r>
      <w:r w:rsidRPr="00FB2111">
        <w:t xml:space="preserve"> (Security </w:t>
      </w:r>
      <w:r>
        <w:t>Requirements and Plan</w:t>
      </w:r>
      <w:r w:rsidRPr="00FB2111">
        <w:t>).</w:t>
      </w:r>
    </w:p>
    <w:p w14:paraId="6008CE40" w14:textId="06E4BA54" w:rsidR="00B074CC" w:rsidRDefault="00B074CC">
      <w:pPr>
        <w:pStyle w:val="GSRL5numberedclause"/>
      </w:pPr>
      <w:r w:rsidRPr="001A1836">
        <w:t>All other records, notices or certificates required to be produced and/or maintained by the Provider pursuant to this Agreement.</w:t>
      </w:r>
    </w:p>
    <w:p w14:paraId="0FCCE044" w14:textId="216DE777" w:rsidR="00B96484" w:rsidRDefault="00B96484" w:rsidP="00B96484">
      <w:pPr>
        <w:pStyle w:val="GSRL4numberedclause"/>
        <w:numPr>
          <w:ilvl w:val="0"/>
          <w:numId w:val="0"/>
        </w:numPr>
        <w:ind w:left="720" w:hanging="720"/>
      </w:pPr>
    </w:p>
    <w:p w14:paraId="10559640" w14:textId="6CB4B2C2" w:rsidR="00B96484" w:rsidRDefault="00B96484">
      <w:pPr>
        <w:spacing w:before="0" w:after="0"/>
        <w:rPr>
          <w:rFonts w:cs="Arial"/>
          <w:kern w:val="0"/>
          <w:szCs w:val="22"/>
          <w:lang w:eastAsia="zh-CN"/>
        </w:rPr>
      </w:pPr>
      <w:r>
        <w:br w:type="page"/>
      </w:r>
    </w:p>
    <w:p w14:paraId="6E8A4E45" w14:textId="5E927D74" w:rsidR="00B96484" w:rsidRPr="001A1836" w:rsidRDefault="00B96484" w:rsidP="00B96484">
      <w:pPr>
        <w:pStyle w:val="GSRL2Sectionheading"/>
      </w:pPr>
      <w:bookmarkStart w:id="2547" w:name="_Toc132268142"/>
      <w:bookmarkStart w:id="2548" w:name="_Toc132268448"/>
      <w:bookmarkStart w:id="2549" w:name="_Toc136198698"/>
      <w:bookmarkStart w:id="2550" w:name="_Toc136198979"/>
      <w:r>
        <w:lastRenderedPageBreak/>
        <w:t>Annex 3</w:t>
      </w:r>
      <w:r w:rsidRPr="001A1836">
        <w:t xml:space="preserve"> – </w:t>
      </w:r>
      <w:r>
        <w:t>TRANSPARENCY REPORTS</w:t>
      </w:r>
      <w:bookmarkEnd w:id="2547"/>
      <w:bookmarkEnd w:id="2548"/>
      <w:bookmarkEnd w:id="2549"/>
      <w:bookmarkEnd w:id="2550"/>
    </w:p>
    <w:p w14:paraId="452BD681" w14:textId="52580BA0" w:rsidR="00B96484" w:rsidRDefault="00B96484" w:rsidP="00B96484"/>
    <w:p w14:paraId="16C2E626" w14:textId="77777777" w:rsidR="00B96484" w:rsidRPr="00D00D9A" w:rsidRDefault="00B96484" w:rsidP="00B96484"/>
    <w:tbl>
      <w:tblPr>
        <w:tblStyle w:val="TableGrid"/>
        <w:tblW w:w="0" w:type="auto"/>
        <w:tblLook w:val="04A0" w:firstRow="1" w:lastRow="0" w:firstColumn="1" w:lastColumn="0" w:noHBand="0" w:noVBand="1"/>
      </w:tblPr>
      <w:tblGrid>
        <w:gridCol w:w="2265"/>
        <w:gridCol w:w="2266"/>
        <w:gridCol w:w="2266"/>
        <w:gridCol w:w="2266"/>
      </w:tblGrid>
      <w:tr w:rsidR="00B96484" w:rsidRPr="00D00D9A" w14:paraId="77EED008" w14:textId="77777777" w:rsidTr="002931FD">
        <w:tc>
          <w:tcPr>
            <w:tcW w:w="2265" w:type="dxa"/>
          </w:tcPr>
          <w:p w14:paraId="3DD0D9E5" w14:textId="77777777" w:rsidR="00B96484" w:rsidRPr="00D00D9A" w:rsidRDefault="00B96484" w:rsidP="002931FD">
            <w:pPr>
              <w:pStyle w:val="StdBodyTextBold"/>
              <w:rPr>
                <w:rFonts w:cs="Arial"/>
              </w:rPr>
            </w:pPr>
            <w:r w:rsidRPr="00D00D9A">
              <w:rPr>
                <w:rFonts w:cs="Arial"/>
              </w:rPr>
              <w:t>TITLE</w:t>
            </w:r>
          </w:p>
        </w:tc>
        <w:tc>
          <w:tcPr>
            <w:tcW w:w="2266" w:type="dxa"/>
          </w:tcPr>
          <w:p w14:paraId="10440787" w14:textId="77777777" w:rsidR="00B96484" w:rsidRPr="00D00D9A" w:rsidRDefault="00B96484" w:rsidP="002931FD">
            <w:pPr>
              <w:pStyle w:val="StdBodyTextBold"/>
              <w:rPr>
                <w:rFonts w:cs="Arial"/>
              </w:rPr>
            </w:pPr>
            <w:r w:rsidRPr="00D00D9A">
              <w:rPr>
                <w:rFonts w:cs="Arial"/>
              </w:rPr>
              <w:t>CONTENT</w:t>
            </w:r>
          </w:p>
        </w:tc>
        <w:tc>
          <w:tcPr>
            <w:tcW w:w="2266" w:type="dxa"/>
          </w:tcPr>
          <w:p w14:paraId="1CE177A6" w14:textId="77777777" w:rsidR="00B96484" w:rsidRPr="00D00D9A" w:rsidRDefault="00B96484" w:rsidP="002931FD">
            <w:pPr>
              <w:pStyle w:val="StdBodyTextBold"/>
              <w:rPr>
                <w:rFonts w:cs="Arial"/>
              </w:rPr>
            </w:pPr>
            <w:r w:rsidRPr="00D00D9A">
              <w:rPr>
                <w:rFonts w:cs="Arial"/>
              </w:rPr>
              <w:t>FORMAT</w:t>
            </w:r>
          </w:p>
        </w:tc>
        <w:tc>
          <w:tcPr>
            <w:tcW w:w="2266" w:type="dxa"/>
          </w:tcPr>
          <w:p w14:paraId="10B7D839" w14:textId="77777777" w:rsidR="00B96484" w:rsidRPr="00D00D9A" w:rsidRDefault="00B96484" w:rsidP="002931FD">
            <w:pPr>
              <w:pStyle w:val="StdBodyTextBold"/>
              <w:rPr>
                <w:rFonts w:cs="Arial"/>
              </w:rPr>
            </w:pPr>
            <w:r w:rsidRPr="00D00D9A">
              <w:rPr>
                <w:rFonts w:cs="Arial"/>
              </w:rPr>
              <w:t>FREQUENCY</w:t>
            </w:r>
          </w:p>
        </w:tc>
      </w:tr>
      <w:tr w:rsidR="00B96484" w:rsidRPr="00D00D9A" w14:paraId="0B339D85" w14:textId="77777777" w:rsidTr="002931FD">
        <w:tc>
          <w:tcPr>
            <w:tcW w:w="2265" w:type="dxa"/>
          </w:tcPr>
          <w:p w14:paraId="1FAFAE22" w14:textId="77777777" w:rsidR="00B96484" w:rsidRPr="00D00D9A" w:rsidRDefault="00B96484" w:rsidP="002931FD">
            <w:pPr>
              <w:pStyle w:val="StdBodyText"/>
              <w:rPr>
                <w:rFonts w:cs="Arial"/>
                <w:i/>
              </w:rPr>
            </w:pPr>
            <w:r w:rsidRPr="00D00D9A">
              <w:rPr>
                <w:rFonts w:cs="Arial"/>
                <w:i/>
              </w:rPr>
              <w:t>(Performance)</w:t>
            </w:r>
          </w:p>
        </w:tc>
        <w:tc>
          <w:tcPr>
            <w:tcW w:w="2266" w:type="dxa"/>
          </w:tcPr>
          <w:p w14:paraId="31B7FF22" w14:textId="77777777" w:rsidR="00B96484" w:rsidRPr="00D00D9A" w:rsidRDefault="00B96484" w:rsidP="002931FD">
            <w:pPr>
              <w:pStyle w:val="StdBodyText"/>
              <w:rPr>
                <w:rFonts w:cs="Arial"/>
              </w:rPr>
            </w:pPr>
          </w:p>
        </w:tc>
        <w:tc>
          <w:tcPr>
            <w:tcW w:w="2266" w:type="dxa"/>
          </w:tcPr>
          <w:p w14:paraId="7AC37857" w14:textId="77777777" w:rsidR="00B96484" w:rsidRPr="00D00D9A" w:rsidRDefault="00B96484" w:rsidP="002931FD">
            <w:pPr>
              <w:pStyle w:val="StdBodyText"/>
              <w:rPr>
                <w:rFonts w:cs="Arial"/>
              </w:rPr>
            </w:pPr>
          </w:p>
        </w:tc>
        <w:tc>
          <w:tcPr>
            <w:tcW w:w="2266" w:type="dxa"/>
          </w:tcPr>
          <w:p w14:paraId="37EC9C44" w14:textId="77777777" w:rsidR="00B96484" w:rsidRPr="00D00D9A" w:rsidRDefault="00B96484" w:rsidP="002931FD">
            <w:pPr>
              <w:pStyle w:val="StdBodyText"/>
              <w:rPr>
                <w:rFonts w:cs="Arial"/>
              </w:rPr>
            </w:pPr>
          </w:p>
        </w:tc>
      </w:tr>
      <w:tr w:rsidR="00B96484" w:rsidRPr="00D00D9A" w14:paraId="1E58BCF0" w14:textId="77777777" w:rsidTr="002931FD">
        <w:tc>
          <w:tcPr>
            <w:tcW w:w="2265" w:type="dxa"/>
          </w:tcPr>
          <w:p w14:paraId="562EAF5D" w14:textId="77777777" w:rsidR="00B96484" w:rsidRPr="00D00D9A" w:rsidRDefault="00B96484" w:rsidP="002931FD">
            <w:pPr>
              <w:pStyle w:val="StdBodyText"/>
              <w:rPr>
                <w:rFonts w:cs="Arial"/>
                <w:i/>
              </w:rPr>
            </w:pPr>
            <w:r w:rsidRPr="00D00D9A">
              <w:rPr>
                <w:rFonts w:cs="Arial"/>
                <w:i/>
              </w:rPr>
              <w:t>(Charges)</w:t>
            </w:r>
          </w:p>
        </w:tc>
        <w:tc>
          <w:tcPr>
            <w:tcW w:w="2266" w:type="dxa"/>
          </w:tcPr>
          <w:p w14:paraId="580A5787" w14:textId="77777777" w:rsidR="00B96484" w:rsidRPr="00D00D9A" w:rsidRDefault="00B96484" w:rsidP="002931FD">
            <w:pPr>
              <w:pStyle w:val="StdBodyText"/>
              <w:rPr>
                <w:rFonts w:cs="Arial"/>
              </w:rPr>
            </w:pPr>
          </w:p>
        </w:tc>
        <w:tc>
          <w:tcPr>
            <w:tcW w:w="2266" w:type="dxa"/>
          </w:tcPr>
          <w:p w14:paraId="1FCCC098" w14:textId="77777777" w:rsidR="00B96484" w:rsidRPr="00D00D9A" w:rsidRDefault="00B96484" w:rsidP="002931FD">
            <w:pPr>
              <w:pStyle w:val="StdBodyText"/>
              <w:rPr>
                <w:rFonts w:cs="Arial"/>
              </w:rPr>
            </w:pPr>
          </w:p>
        </w:tc>
        <w:tc>
          <w:tcPr>
            <w:tcW w:w="2266" w:type="dxa"/>
          </w:tcPr>
          <w:p w14:paraId="0D0545F0" w14:textId="77777777" w:rsidR="00B96484" w:rsidRPr="00D00D9A" w:rsidRDefault="00B96484" w:rsidP="002931FD">
            <w:pPr>
              <w:pStyle w:val="StdBodyText"/>
              <w:rPr>
                <w:rFonts w:cs="Arial"/>
              </w:rPr>
            </w:pPr>
          </w:p>
        </w:tc>
      </w:tr>
      <w:tr w:rsidR="00B96484" w:rsidRPr="00D00D9A" w14:paraId="25A8FACD" w14:textId="77777777" w:rsidTr="002931FD">
        <w:tc>
          <w:tcPr>
            <w:tcW w:w="2265" w:type="dxa"/>
          </w:tcPr>
          <w:p w14:paraId="4D55183B" w14:textId="77777777" w:rsidR="00B96484" w:rsidRPr="00D00D9A" w:rsidRDefault="00B96484" w:rsidP="002931FD">
            <w:pPr>
              <w:pStyle w:val="StdBodyText"/>
              <w:rPr>
                <w:rFonts w:cs="Arial"/>
                <w:i/>
              </w:rPr>
            </w:pPr>
            <w:r w:rsidRPr="00D00D9A">
              <w:rPr>
                <w:rFonts w:cs="Arial"/>
                <w:i/>
              </w:rPr>
              <w:t>(Major sub-contractors)</w:t>
            </w:r>
          </w:p>
        </w:tc>
        <w:tc>
          <w:tcPr>
            <w:tcW w:w="2266" w:type="dxa"/>
          </w:tcPr>
          <w:p w14:paraId="548F6F7E" w14:textId="77777777" w:rsidR="00B96484" w:rsidRPr="00D00D9A" w:rsidRDefault="00B96484" w:rsidP="002931FD">
            <w:pPr>
              <w:pStyle w:val="StdBodyText"/>
              <w:rPr>
                <w:rFonts w:cs="Arial"/>
              </w:rPr>
            </w:pPr>
          </w:p>
        </w:tc>
        <w:tc>
          <w:tcPr>
            <w:tcW w:w="2266" w:type="dxa"/>
          </w:tcPr>
          <w:p w14:paraId="1DB5095F" w14:textId="77777777" w:rsidR="00B96484" w:rsidRPr="00D00D9A" w:rsidRDefault="00B96484" w:rsidP="002931FD">
            <w:pPr>
              <w:pStyle w:val="StdBodyText"/>
              <w:rPr>
                <w:rFonts w:cs="Arial"/>
              </w:rPr>
            </w:pPr>
          </w:p>
        </w:tc>
        <w:tc>
          <w:tcPr>
            <w:tcW w:w="2266" w:type="dxa"/>
          </w:tcPr>
          <w:p w14:paraId="453537C3" w14:textId="77777777" w:rsidR="00B96484" w:rsidRPr="00D00D9A" w:rsidRDefault="00B96484" w:rsidP="002931FD">
            <w:pPr>
              <w:pStyle w:val="StdBodyText"/>
              <w:rPr>
                <w:rFonts w:cs="Arial"/>
              </w:rPr>
            </w:pPr>
          </w:p>
        </w:tc>
      </w:tr>
      <w:tr w:rsidR="00B96484" w:rsidRPr="00D00D9A" w14:paraId="16838AAC" w14:textId="77777777" w:rsidTr="002931FD">
        <w:tc>
          <w:tcPr>
            <w:tcW w:w="2265" w:type="dxa"/>
          </w:tcPr>
          <w:p w14:paraId="5EAA3E79" w14:textId="77777777" w:rsidR="00B96484" w:rsidRPr="00D00D9A" w:rsidRDefault="00B96484" w:rsidP="002931FD">
            <w:pPr>
              <w:pStyle w:val="StdBodyText"/>
              <w:rPr>
                <w:rFonts w:cs="Arial"/>
                <w:i/>
              </w:rPr>
            </w:pPr>
            <w:r w:rsidRPr="00D00D9A">
              <w:rPr>
                <w:rFonts w:cs="Arial"/>
                <w:i/>
              </w:rPr>
              <w:t>(Technical)</w:t>
            </w:r>
          </w:p>
        </w:tc>
        <w:tc>
          <w:tcPr>
            <w:tcW w:w="2266" w:type="dxa"/>
          </w:tcPr>
          <w:p w14:paraId="442B840B" w14:textId="77777777" w:rsidR="00B96484" w:rsidRPr="00D00D9A" w:rsidRDefault="00B96484" w:rsidP="002931FD">
            <w:pPr>
              <w:pStyle w:val="StdBodyText"/>
              <w:rPr>
                <w:rFonts w:cs="Arial"/>
              </w:rPr>
            </w:pPr>
          </w:p>
        </w:tc>
        <w:tc>
          <w:tcPr>
            <w:tcW w:w="2266" w:type="dxa"/>
          </w:tcPr>
          <w:p w14:paraId="54757CE7" w14:textId="77777777" w:rsidR="00B96484" w:rsidRPr="00D00D9A" w:rsidRDefault="00B96484" w:rsidP="002931FD">
            <w:pPr>
              <w:pStyle w:val="StdBodyText"/>
              <w:rPr>
                <w:rFonts w:cs="Arial"/>
              </w:rPr>
            </w:pPr>
          </w:p>
        </w:tc>
        <w:tc>
          <w:tcPr>
            <w:tcW w:w="2266" w:type="dxa"/>
          </w:tcPr>
          <w:p w14:paraId="3A457AC4" w14:textId="77777777" w:rsidR="00B96484" w:rsidRPr="00D00D9A" w:rsidRDefault="00B96484" w:rsidP="002931FD">
            <w:pPr>
              <w:pStyle w:val="StdBodyText"/>
              <w:rPr>
                <w:rFonts w:cs="Arial"/>
              </w:rPr>
            </w:pPr>
          </w:p>
        </w:tc>
      </w:tr>
      <w:tr w:rsidR="00B96484" w:rsidRPr="00D00D9A" w14:paraId="31BD5387" w14:textId="77777777" w:rsidTr="002931FD">
        <w:tc>
          <w:tcPr>
            <w:tcW w:w="2265" w:type="dxa"/>
          </w:tcPr>
          <w:p w14:paraId="4F6B9750" w14:textId="77777777" w:rsidR="00B96484" w:rsidRPr="00D00D9A" w:rsidRDefault="00B96484" w:rsidP="002931FD">
            <w:pPr>
              <w:pStyle w:val="StdBodyText"/>
              <w:rPr>
                <w:rFonts w:cs="Arial"/>
                <w:i/>
              </w:rPr>
            </w:pPr>
            <w:r w:rsidRPr="00D00D9A">
              <w:rPr>
                <w:rFonts w:cs="Arial"/>
                <w:i/>
              </w:rPr>
              <w:t>(Performance management)</w:t>
            </w:r>
          </w:p>
        </w:tc>
        <w:tc>
          <w:tcPr>
            <w:tcW w:w="2266" w:type="dxa"/>
          </w:tcPr>
          <w:p w14:paraId="6D98C60E" w14:textId="77777777" w:rsidR="00B96484" w:rsidRPr="00D00D9A" w:rsidRDefault="00B96484" w:rsidP="002931FD">
            <w:pPr>
              <w:pStyle w:val="StdBodyText"/>
              <w:rPr>
                <w:rFonts w:cs="Arial"/>
              </w:rPr>
            </w:pPr>
          </w:p>
        </w:tc>
        <w:tc>
          <w:tcPr>
            <w:tcW w:w="2266" w:type="dxa"/>
          </w:tcPr>
          <w:p w14:paraId="18F2F9CE" w14:textId="77777777" w:rsidR="00B96484" w:rsidRPr="00D00D9A" w:rsidRDefault="00B96484" w:rsidP="002931FD">
            <w:pPr>
              <w:pStyle w:val="StdBodyText"/>
              <w:rPr>
                <w:rFonts w:cs="Arial"/>
              </w:rPr>
            </w:pPr>
          </w:p>
        </w:tc>
        <w:tc>
          <w:tcPr>
            <w:tcW w:w="2266" w:type="dxa"/>
          </w:tcPr>
          <w:p w14:paraId="3C660AE9" w14:textId="77777777" w:rsidR="00B96484" w:rsidRPr="00D00D9A" w:rsidRDefault="00B96484" w:rsidP="002931FD">
            <w:pPr>
              <w:pStyle w:val="StdBodyText"/>
              <w:rPr>
                <w:rFonts w:cs="Arial"/>
              </w:rPr>
            </w:pPr>
          </w:p>
        </w:tc>
      </w:tr>
    </w:tbl>
    <w:p w14:paraId="69BCB1ED" w14:textId="63BB8E57" w:rsidR="00FB2111" w:rsidRDefault="00FB2111" w:rsidP="00B96484">
      <w:pPr>
        <w:pStyle w:val="GSRL4numberedclause"/>
        <w:numPr>
          <w:ilvl w:val="0"/>
          <w:numId w:val="0"/>
        </w:numPr>
        <w:ind w:left="720" w:hanging="720"/>
      </w:pPr>
    </w:p>
    <w:p w14:paraId="2D507A0C" w14:textId="568CF5EF" w:rsidR="00FB2111" w:rsidRDefault="00FB2111">
      <w:pPr>
        <w:spacing w:before="0" w:after="0"/>
        <w:rPr>
          <w:rFonts w:cs="Arial"/>
          <w:kern w:val="0"/>
          <w:szCs w:val="22"/>
          <w:lang w:eastAsia="zh-CN"/>
        </w:rPr>
      </w:pPr>
      <w:r>
        <w:br w:type="page"/>
      </w:r>
    </w:p>
    <w:p w14:paraId="54E19C3F" w14:textId="584F72DB" w:rsidR="00FB2111" w:rsidRPr="001A1836" w:rsidRDefault="00FB2111" w:rsidP="00FB2111">
      <w:pPr>
        <w:pStyle w:val="GSRL2Sectionheading"/>
      </w:pPr>
      <w:bookmarkStart w:id="2551" w:name="_Toc132268143"/>
      <w:bookmarkStart w:id="2552" w:name="_Toc132268449"/>
      <w:bookmarkStart w:id="2553" w:name="_Toc136198699"/>
      <w:bookmarkStart w:id="2554" w:name="_Toc136198980"/>
      <w:r>
        <w:lastRenderedPageBreak/>
        <w:t>Annex 4</w:t>
      </w:r>
      <w:r w:rsidRPr="001A1836">
        <w:t xml:space="preserve"> – </w:t>
      </w:r>
      <w:r>
        <w:t>records to upload to virtual library</w:t>
      </w:r>
      <w:bookmarkEnd w:id="2551"/>
      <w:bookmarkEnd w:id="2552"/>
      <w:bookmarkEnd w:id="2553"/>
      <w:bookmarkEnd w:id="2554"/>
    </w:p>
    <w:p w14:paraId="6E3406AF" w14:textId="02B8BEC5" w:rsidR="00FB2111" w:rsidRDefault="00FB2111" w:rsidP="00FB2111"/>
    <w:p w14:paraId="78075716" w14:textId="42242F58" w:rsidR="00F9043A" w:rsidRDefault="00F9043A" w:rsidP="00FB2111">
      <w:r w:rsidRPr="00F9043A">
        <w:rPr>
          <w:b/>
          <w:i/>
          <w:color w:val="FF0000"/>
        </w:rPr>
        <w:t xml:space="preserve"> </w:t>
      </w:r>
    </w:p>
    <w:p w14:paraId="588CCFAC" w14:textId="77777777" w:rsidR="00FB2111" w:rsidRPr="00FB2111" w:rsidRDefault="00FB2111" w:rsidP="00FB2111"/>
    <w:tbl>
      <w:tblPr>
        <w:tblStyle w:val="TableGrid7"/>
        <w:tblW w:w="0" w:type="auto"/>
        <w:tblLook w:val="04A0" w:firstRow="1" w:lastRow="0" w:firstColumn="1" w:lastColumn="0" w:noHBand="0" w:noVBand="1"/>
      </w:tblPr>
      <w:tblGrid>
        <w:gridCol w:w="1247"/>
        <w:gridCol w:w="1709"/>
        <w:gridCol w:w="1329"/>
        <w:gridCol w:w="1606"/>
        <w:gridCol w:w="1586"/>
        <w:gridCol w:w="1586"/>
      </w:tblGrid>
      <w:tr w:rsidR="002177F4" w:rsidRPr="00FB2111" w14:paraId="52973821" w14:textId="77777777" w:rsidTr="00D72032">
        <w:trPr>
          <w:tblHeader/>
        </w:trPr>
        <w:tc>
          <w:tcPr>
            <w:tcW w:w="1305" w:type="dxa"/>
            <w:shd w:val="pct15" w:color="auto" w:fill="auto"/>
          </w:tcPr>
          <w:p w14:paraId="3E5A6A67" w14:textId="77777777" w:rsidR="00FB2111" w:rsidRPr="00FB2111" w:rsidRDefault="00FB2111" w:rsidP="00FB2111">
            <w:r w:rsidRPr="00FB2111">
              <w:t>Applicable Clause/ Paragraph</w:t>
            </w:r>
          </w:p>
        </w:tc>
        <w:tc>
          <w:tcPr>
            <w:tcW w:w="1559" w:type="dxa"/>
            <w:shd w:val="pct15" w:color="auto" w:fill="auto"/>
          </w:tcPr>
          <w:p w14:paraId="2DB0B587" w14:textId="77777777" w:rsidR="00FB2111" w:rsidRPr="00FB2111" w:rsidRDefault="00FB2111" w:rsidP="00FB2111">
            <w:r w:rsidRPr="00FB2111">
              <w:t>Required Data</w:t>
            </w:r>
          </w:p>
        </w:tc>
        <w:tc>
          <w:tcPr>
            <w:tcW w:w="1217" w:type="dxa"/>
            <w:shd w:val="pct15" w:color="auto" w:fill="auto"/>
          </w:tcPr>
          <w:p w14:paraId="6F30DA26" w14:textId="77777777" w:rsidR="00FB2111" w:rsidRPr="00FB2111" w:rsidRDefault="00FB2111" w:rsidP="00FB2111">
            <w:r w:rsidRPr="00FB2111">
              <w:t>Format of Data</w:t>
            </w:r>
          </w:p>
        </w:tc>
        <w:tc>
          <w:tcPr>
            <w:tcW w:w="2086" w:type="dxa"/>
            <w:shd w:val="pct15" w:color="auto" w:fill="auto"/>
          </w:tcPr>
          <w:p w14:paraId="402DE967" w14:textId="05187CCF" w:rsidR="00FB2111" w:rsidRPr="00FB2111" w:rsidRDefault="00FB2111" w:rsidP="00FB2111">
            <w:r w:rsidRPr="00FB2111">
              <w:t>Initial Upload Date</w:t>
            </w:r>
            <w:r w:rsidR="00CE2461">
              <w:t xml:space="preserve"> (subject to availability of the Virtual Library</w:t>
            </w:r>
            <w:r w:rsidR="004F40C5">
              <w:t xml:space="preserve"> as per Clause </w:t>
            </w:r>
            <w:r w:rsidR="003D6DEA">
              <w:t>5.1</w:t>
            </w:r>
            <w:r w:rsidR="006C2AF4">
              <w:t xml:space="preserve"> of Schedule 11</w:t>
            </w:r>
            <w:r w:rsidR="00CE2461">
              <w:t>)</w:t>
            </w:r>
          </w:p>
        </w:tc>
        <w:tc>
          <w:tcPr>
            <w:tcW w:w="1448" w:type="dxa"/>
            <w:shd w:val="pct15" w:color="auto" w:fill="auto"/>
          </w:tcPr>
          <w:p w14:paraId="3C5FE92A" w14:textId="77777777" w:rsidR="00FB2111" w:rsidRPr="00FB2111" w:rsidRDefault="00FB2111" w:rsidP="00FB2111">
            <w:r w:rsidRPr="00FB2111">
              <w:t>Update Requirement</w:t>
            </w:r>
          </w:p>
        </w:tc>
        <w:tc>
          <w:tcPr>
            <w:tcW w:w="1448" w:type="dxa"/>
            <w:shd w:val="pct15" w:color="auto" w:fill="auto"/>
          </w:tcPr>
          <w:p w14:paraId="4680B471" w14:textId="77777777" w:rsidR="00FB2111" w:rsidRPr="00FB2111" w:rsidRDefault="00FB2111" w:rsidP="00FB2111">
            <w:r w:rsidRPr="00FB2111">
              <w:t>Access Permission and Access Event (where applicable)</w:t>
            </w:r>
          </w:p>
        </w:tc>
      </w:tr>
      <w:tr w:rsidR="00920FE7" w:rsidRPr="00FB2111" w14:paraId="38608A93" w14:textId="77777777" w:rsidTr="00D72032">
        <w:tc>
          <w:tcPr>
            <w:tcW w:w="1305" w:type="dxa"/>
          </w:tcPr>
          <w:p w14:paraId="0E51251B" w14:textId="658C23D1" w:rsidR="00FB2111" w:rsidRPr="00FB2111" w:rsidRDefault="004440BF" w:rsidP="00FB2111">
            <w:r>
              <w:t xml:space="preserve">Clause </w:t>
            </w:r>
            <w:r w:rsidR="0056542A">
              <w:t>4.3</w:t>
            </w:r>
          </w:p>
        </w:tc>
        <w:tc>
          <w:tcPr>
            <w:tcW w:w="1559" w:type="dxa"/>
          </w:tcPr>
          <w:p w14:paraId="5A092B7D" w14:textId="70C15F29" w:rsidR="00FB2111" w:rsidRPr="00FB2111" w:rsidRDefault="0009446A" w:rsidP="00FB2111">
            <w:r>
              <w:t>Processes and Procedures Register</w:t>
            </w:r>
          </w:p>
        </w:tc>
        <w:tc>
          <w:tcPr>
            <w:tcW w:w="1217" w:type="dxa"/>
          </w:tcPr>
          <w:p w14:paraId="2CD63A78" w14:textId="09EACAE3" w:rsidR="00FB2111" w:rsidRPr="00FB2111" w:rsidRDefault="00FB2111" w:rsidP="00FB2111">
            <w:r w:rsidRPr="00FB2111">
              <w:t xml:space="preserve">As appropriate and agreed by </w:t>
            </w:r>
            <w:r w:rsidR="00716B73">
              <w:t>HSE</w:t>
            </w:r>
          </w:p>
        </w:tc>
        <w:tc>
          <w:tcPr>
            <w:tcW w:w="2086" w:type="dxa"/>
          </w:tcPr>
          <w:p w14:paraId="318DE230" w14:textId="6795C0E0" w:rsidR="00FB2111" w:rsidRPr="00FB2111" w:rsidRDefault="00160D4B" w:rsidP="00FB2111">
            <w:r>
              <w:t xml:space="preserve">Not less than </w:t>
            </w:r>
            <w:r w:rsidR="009F4753">
              <w:t>four weeks</w:t>
            </w:r>
            <w:r>
              <w:t xml:space="preserve"> prior to the Services </w:t>
            </w:r>
            <w:r w:rsidR="001718BC">
              <w:t xml:space="preserve">Start </w:t>
            </w:r>
            <w:r>
              <w:t>Date</w:t>
            </w:r>
          </w:p>
        </w:tc>
        <w:tc>
          <w:tcPr>
            <w:tcW w:w="1448" w:type="dxa"/>
          </w:tcPr>
          <w:p w14:paraId="2B2B280D" w14:textId="334F2988" w:rsidR="00FB2111" w:rsidRPr="00FB2111" w:rsidRDefault="00160D4B" w:rsidP="00FB2111">
            <w:r>
              <w:t>Re</w:t>
            </w:r>
            <w:r w:rsidR="00176C80">
              <w:t>gularly and at least annua</w:t>
            </w:r>
            <w:r>
              <w:t>lly</w:t>
            </w:r>
          </w:p>
        </w:tc>
        <w:tc>
          <w:tcPr>
            <w:tcW w:w="1448" w:type="dxa"/>
          </w:tcPr>
          <w:p w14:paraId="31AC41AE" w14:textId="7EF917C6" w:rsidR="00FB2111" w:rsidRPr="00FB2111" w:rsidRDefault="0009446A" w:rsidP="00FB2111">
            <w:r>
              <w:t>HSE</w:t>
            </w:r>
          </w:p>
        </w:tc>
      </w:tr>
      <w:tr w:rsidR="00920FE7" w:rsidRPr="00FB2111" w14:paraId="6D633DEE" w14:textId="77777777" w:rsidTr="00D72032">
        <w:tc>
          <w:tcPr>
            <w:tcW w:w="1305" w:type="dxa"/>
          </w:tcPr>
          <w:p w14:paraId="6AB1057D" w14:textId="6622411D" w:rsidR="0009446A" w:rsidRPr="00FB2111" w:rsidRDefault="0056542A" w:rsidP="0009446A">
            <w:r>
              <w:t>Annex 1 of Schedule 14</w:t>
            </w:r>
          </w:p>
        </w:tc>
        <w:tc>
          <w:tcPr>
            <w:tcW w:w="1559" w:type="dxa"/>
          </w:tcPr>
          <w:p w14:paraId="242C6F51" w14:textId="77777777" w:rsidR="0009446A" w:rsidRPr="00FB2111" w:rsidRDefault="0009446A" w:rsidP="0009446A">
            <w:r w:rsidRPr="00FB2111">
              <w:t>Key Personnel</w:t>
            </w:r>
          </w:p>
        </w:tc>
        <w:tc>
          <w:tcPr>
            <w:tcW w:w="1217" w:type="dxa"/>
          </w:tcPr>
          <w:p w14:paraId="57B74746" w14:textId="3512112C" w:rsidR="0009446A" w:rsidRPr="00FB2111" w:rsidRDefault="0009446A" w:rsidP="0009446A">
            <w:r w:rsidRPr="00240055">
              <w:t>As appropriate and agreed by HSE</w:t>
            </w:r>
          </w:p>
        </w:tc>
        <w:tc>
          <w:tcPr>
            <w:tcW w:w="2086" w:type="dxa"/>
          </w:tcPr>
          <w:p w14:paraId="2D3621E5" w14:textId="77777777" w:rsidR="0009446A" w:rsidRPr="00FB2111" w:rsidRDefault="0009446A" w:rsidP="0009446A">
            <w:r w:rsidRPr="00FB2111">
              <w:t>Effective Date</w:t>
            </w:r>
          </w:p>
        </w:tc>
        <w:tc>
          <w:tcPr>
            <w:tcW w:w="1448" w:type="dxa"/>
          </w:tcPr>
          <w:p w14:paraId="10BF2363" w14:textId="77777777" w:rsidR="0009446A" w:rsidRPr="00FB2111" w:rsidRDefault="0009446A" w:rsidP="0009446A">
            <w:r w:rsidRPr="00FB2111">
              <w:t>On replacement of Key Personnel</w:t>
            </w:r>
          </w:p>
        </w:tc>
        <w:tc>
          <w:tcPr>
            <w:tcW w:w="1448" w:type="dxa"/>
          </w:tcPr>
          <w:p w14:paraId="0FBD5499" w14:textId="1129A3C6" w:rsidR="0009446A" w:rsidRPr="00FB2111" w:rsidRDefault="0009446A" w:rsidP="0009446A">
            <w:r>
              <w:t>HSE</w:t>
            </w:r>
          </w:p>
        </w:tc>
      </w:tr>
      <w:tr w:rsidR="00920FE7" w:rsidRPr="00FB2111" w14:paraId="31690AD0" w14:textId="61C2395A" w:rsidTr="00D72032">
        <w:tc>
          <w:tcPr>
            <w:tcW w:w="1305" w:type="dxa"/>
          </w:tcPr>
          <w:p w14:paraId="134BD730" w14:textId="1D69316B" w:rsidR="0009446A" w:rsidRPr="00FB2111" w:rsidRDefault="00ED5305" w:rsidP="0009446A">
            <w:r>
              <w:t>Paragraph 2-4 of Schedule 11</w:t>
            </w:r>
            <w:r w:rsidDel="00ED5305">
              <w:t xml:space="preserve"> </w:t>
            </w:r>
          </w:p>
        </w:tc>
        <w:tc>
          <w:tcPr>
            <w:tcW w:w="1559" w:type="dxa"/>
          </w:tcPr>
          <w:p w14:paraId="5F8B0C80" w14:textId="057C8DCB" w:rsidR="0009446A" w:rsidRPr="00FB2111" w:rsidRDefault="00176C80" w:rsidP="0009446A">
            <w:r>
              <w:t>Reports on service performance and monitoring</w:t>
            </w:r>
          </w:p>
        </w:tc>
        <w:tc>
          <w:tcPr>
            <w:tcW w:w="1217" w:type="dxa"/>
          </w:tcPr>
          <w:p w14:paraId="746B6FF3" w14:textId="190DBA76" w:rsidR="0009446A" w:rsidRPr="00FB2111" w:rsidRDefault="001742E1" w:rsidP="0009446A">
            <w:r>
              <w:t xml:space="preserve">MI Reporting </w:t>
            </w:r>
            <w:r w:rsidR="001D5A13">
              <w:t xml:space="preserve"> Template</w:t>
            </w:r>
          </w:p>
        </w:tc>
        <w:tc>
          <w:tcPr>
            <w:tcW w:w="2086" w:type="dxa"/>
          </w:tcPr>
          <w:p w14:paraId="58B2BB3B" w14:textId="70D8D371" w:rsidR="0009446A" w:rsidRPr="00FB2111" w:rsidRDefault="00176C80" w:rsidP="000671D8">
            <w:r>
              <w:t xml:space="preserve">As set out in Clause 12,  </w:t>
            </w:r>
            <w:r w:rsidRPr="006B65D7">
              <w:t xml:space="preserve">Schedule 11 (Management Information, Reporting and Records) and the provisions of Clause </w:t>
            </w:r>
            <w:r w:rsidR="000671D8">
              <w:t>25</w:t>
            </w:r>
            <w:r w:rsidRPr="006B65D7">
              <w:t xml:space="preserve"> (Reporting).</w:t>
            </w:r>
          </w:p>
        </w:tc>
        <w:tc>
          <w:tcPr>
            <w:tcW w:w="1448" w:type="dxa"/>
          </w:tcPr>
          <w:p w14:paraId="5BC5AD4F" w14:textId="00587A18" w:rsidR="0009446A" w:rsidRPr="00FB2111" w:rsidRDefault="00176C80" w:rsidP="000671D8">
            <w:r>
              <w:t xml:space="preserve">As set out in Clause 12,  </w:t>
            </w:r>
            <w:r w:rsidRPr="006B65D7">
              <w:t xml:space="preserve">Schedule 11 (Management Information, Reporting and Records) and the provisions of Clause </w:t>
            </w:r>
            <w:r w:rsidR="000671D8">
              <w:t>25</w:t>
            </w:r>
            <w:r w:rsidRPr="006B65D7">
              <w:t xml:space="preserve"> (Reporting).</w:t>
            </w:r>
          </w:p>
        </w:tc>
        <w:tc>
          <w:tcPr>
            <w:tcW w:w="1448" w:type="dxa"/>
          </w:tcPr>
          <w:p w14:paraId="49969899" w14:textId="024E322C" w:rsidR="0009446A" w:rsidRPr="00FB2111" w:rsidRDefault="00176C80" w:rsidP="0009446A">
            <w:r>
              <w:t>HSE</w:t>
            </w:r>
          </w:p>
        </w:tc>
      </w:tr>
      <w:tr w:rsidR="00920FE7" w:rsidRPr="00FB2111" w14:paraId="704AF89D" w14:textId="77777777" w:rsidTr="00D72032">
        <w:tc>
          <w:tcPr>
            <w:tcW w:w="1305" w:type="dxa"/>
          </w:tcPr>
          <w:p w14:paraId="4D3AB40D" w14:textId="49EFA6D7" w:rsidR="0009446A" w:rsidRPr="00FB2111" w:rsidRDefault="00103D36" w:rsidP="0009446A">
            <w:r>
              <w:t>Annex 3 of Schedule 21</w:t>
            </w:r>
          </w:p>
        </w:tc>
        <w:tc>
          <w:tcPr>
            <w:tcW w:w="1559" w:type="dxa"/>
          </w:tcPr>
          <w:p w14:paraId="601A3787" w14:textId="77777777" w:rsidR="0009446A" w:rsidRPr="00FB2111" w:rsidRDefault="0009446A" w:rsidP="0009446A">
            <w:r w:rsidRPr="00FB2111">
              <w:t>Security Management Plan</w:t>
            </w:r>
          </w:p>
        </w:tc>
        <w:tc>
          <w:tcPr>
            <w:tcW w:w="1217" w:type="dxa"/>
          </w:tcPr>
          <w:p w14:paraId="68D129F4" w14:textId="0CE7850C" w:rsidR="0009446A" w:rsidRPr="00FB2111" w:rsidRDefault="0009446A" w:rsidP="0009446A">
            <w:r w:rsidRPr="00240055">
              <w:t>As appropriate and agreed by HSE</w:t>
            </w:r>
          </w:p>
        </w:tc>
        <w:tc>
          <w:tcPr>
            <w:tcW w:w="2086" w:type="dxa"/>
          </w:tcPr>
          <w:p w14:paraId="3B4375C5" w14:textId="56A535ED" w:rsidR="0009446A" w:rsidRPr="00FB2111" w:rsidRDefault="00176C80" w:rsidP="0009446A">
            <w:r>
              <w:t>As set out in Schedule 21 (Security Requirements and Plan)</w:t>
            </w:r>
          </w:p>
        </w:tc>
        <w:tc>
          <w:tcPr>
            <w:tcW w:w="1448" w:type="dxa"/>
          </w:tcPr>
          <w:p w14:paraId="2609D146" w14:textId="1B12B950" w:rsidR="0009446A" w:rsidRPr="00FB2111" w:rsidRDefault="00176C80" w:rsidP="0009446A">
            <w:r>
              <w:t>As set out in Schedule 21 (Security Requirements and Plan)</w:t>
            </w:r>
          </w:p>
        </w:tc>
        <w:tc>
          <w:tcPr>
            <w:tcW w:w="1448" w:type="dxa"/>
          </w:tcPr>
          <w:p w14:paraId="61AE2193" w14:textId="385C0156" w:rsidR="0009446A" w:rsidRPr="00FB2111" w:rsidRDefault="0009446A" w:rsidP="0009446A">
            <w:r>
              <w:t>HSE</w:t>
            </w:r>
          </w:p>
        </w:tc>
      </w:tr>
      <w:tr w:rsidR="00920FE7" w:rsidRPr="00FB2111" w14:paraId="015A014E" w14:textId="77777777" w:rsidTr="00D72032">
        <w:tc>
          <w:tcPr>
            <w:tcW w:w="1305" w:type="dxa"/>
          </w:tcPr>
          <w:p w14:paraId="6DC46B37" w14:textId="570438F9" w:rsidR="0009446A" w:rsidRPr="00FB2111" w:rsidRDefault="00653CF3" w:rsidP="0009446A">
            <w:r>
              <w:t>Schedule 21</w:t>
            </w:r>
          </w:p>
        </w:tc>
        <w:tc>
          <w:tcPr>
            <w:tcW w:w="1559" w:type="dxa"/>
          </w:tcPr>
          <w:p w14:paraId="235209EE" w14:textId="77777777" w:rsidR="0009446A" w:rsidRPr="00FB2111" w:rsidRDefault="0009446A" w:rsidP="0009446A">
            <w:r w:rsidRPr="00FB2111">
              <w:t>Security certificates</w:t>
            </w:r>
          </w:p>
        </w:tc>
        <w:tc>
          <w:tcPr>
            <w:tcW w:w="1217" w:type="dxa"/>
          </w:tcPr>
          <w:p w14:paraId="1D53A723" w14:textId="32741DAA" w:rsidR="0009446A" w:rsidRPr="00FB2111" w:rsidRDefault="0009446A" w:rsidP="0009446A">
            <w:r w:rsidRPr="00240055">
              <w:t>As appropriate and agreed by HSE</w:t>
            </w:r>
          </w:p>
        </w:tc>
        <w:tc>
          <w:tcPr>
            <w:tcW w:w="2086" w:type="dxa"/>
          </w:tcPr>
          <w:p w14:paraId="2D3F9B9E" w14:textId="00FFC40E" w:rsidR="0009446A" w:rsidRPr="00FB2111" w:rsidRDefault="00176C80" w:rsidP="0009446A">
            <w:r>
              <w:t>As set out in Schedule 21 (Security Requirements and Plan)</w:t>
            </w:r>
          </w:p>
        </w:tc>
        <w:tc>
          <w:tcPr>
            <w:tcW w:w="1448" w:type="dxa"/>
          </w:tcPr>
          <w:p w14:paraId="7C41D52F" w14:textId="6F110C06" w:rsidR="0009446A" w:rsidRPr="00FB2111" w:rsidRDefault="00176C80" w:rsidP="0009446A">
            <w:r>
              <w:t>As set out in Schedule 21 (Security Requirements and Plan)</w:t>
            </w:r>
          </w:p>
        </w:tc>
        <w:tc>
          <w:tcPr>
            <w:tcW w:w="1448" w:type="dxa"/>
          </w:tcPr>
          <w:p w14:paraId="049C75A6" w14:textId="7C073232" w:rsidR="0009446A" w:rsidRPr="00FB2111" w:rsidRDefault="00176C80" w:rsidP="0009446A">
            <w:r>
              <w:t>HSE</w:t>
            </w:r>
          </w:p>
        </w:tc>
      </w:tr>
      <w:tr w:rsidR="00920FE7" w:rsidRPr="00FB2111" w14:paraId="648550DD" w14:textId="77777777" w:rsidTr="00D72032">
        <w:tc>
          <w:tcPr>
            <w:tcW w:w="1305" w:type="dxa"/>
          </w:tcPr>
          <w:p w14:paraId="33D8F915" w14:textId="44CCC7D0" w:rsidR="0009446A" w:rsidRPr="00FB2111" w:rsidRDefault="002341D9" w:rsidP="0009446A">
            <w:r>
              <w:t>Clause 36.4.1</w:t>
            </w:r>
          </w:p>
        </w:tc>
        <w:tc>
          <w:tcPr>
            <w:tcW w:w="1559" w:type="dxa"/>
          </w:tcPr>
          <w:p w14:paraId="25D862DD" w14:textId="77777777" w:rsidR="0009446A" w:rsidRPr="00FB2111" w:rsidRDefault="0009446A" w:rsidP="0009446A">
            <w:r w:rsidRPr="00FB2111">
              <w:t>Evidence of Insurances</w:t>
            </w:r>
          </w:p>
        </w:tc>
        <w:tc>
          <w:tcPr>
            <w:tcW w:w="1217" w:type="dxa"/>
          </w:tcPr>
          <w:p w14:paraId="79556FA7" w14:textId="79293194" w:rsidR="0009446A" w:rsidRPr="00FB2111" w:rsidRDefault="0009446A" w:rsidP="0009446A">
            <w:r w:rsidRPr="00240055">
              <w:t>As appropriate and agreed by HSE</w:t>
            </w:r>
          </w:p>
        </w:tc>
        <w:tc>
          <w:tcPr>
            <w:tcW w:w="2086" w:type="dxa"/>
          </w:tcPr>
          <w:p w14:paraId="5DA962C9" w14:textId="3C5FF114" w:rsidR="0009446A" w:rsidRPr="00FB2111" w:rsidRDefault="00176C80" w:rsidP="00176C80">
            <w:r>
              <w:t>As set out in Clause 36 (Insurances)</w:t>
            </w:r>
            <w:r w:rsidR="0009446A" w:rsidRPr="00FB2111">
              <w:t xml:space="preserve"> </w:t>
            </w:r>
          </w:p>
        </w:tc>
        <w:tc>
          <w:tcPr>
            <w:tcW w:w="1448" w:type="dxa"/>
          </w:tcPr>
          <w:p w14:paraId="463FA272" w14:textId="5435F7E5" w:rsidR="0009446A" w:rsidRPr="00FB2111" w:rsidRDefault="00176C80" w:rsidP="00176C80">
            <w:r>
              <w:t>As set out in Clause 36 (Insurances)</w:t>
            </w:r>
          </w:p>
        </w:tc>
        <w:tc>
          <w:tcPr>
            <w:tcW w:w="1448" w:type="dxa"/>
          </w:tcPr>
          <w:p w14:paraId="1247B8B2" w14:textId="3573F192" w:rsidR="0009446A" w:rsidRPr="00FB2111" w:rsidRDefault="0009446A" w:rsidP="0009446A">
            <w:r>
              <w:t>HSE</w:t>
            </w:r>
          </w:p>
        </w:tc>
      </w:tr>
      <w:tr w:rsidR="00920FE7" w:rsidRPr="00FB2111" w14:paraId="4D65CCFC" w14:textId="77777777" w:rsidTr="00D72032">
        <w:tc>
          <w:tcPr>
            <w:tcW w:w="1305" w:type="dxa"/>
          </w:tcPr>
          <w:p w14:paraId="697C2412" w14:textId="3EEE904D" w:rsidR="0009446A" w:rsidRPr="00FB2111" w:rsidRDefault="004C437A" w:rsidP="0009446A">
            <w:r>
              <w:lastRenderedPageBreak/>
              <w:t>Schedule 22.</w:t>
            </w:r>
          </w:p>
        </w:tc>
        <w:tc>
          <w:tcPr>
            <w:tcW w:w="1559" w:type="dxa"/>
          </w:tcPr>
          <w:p w14:paraId="5A80B50F" w14:textId="77777777" w:rsidR="0009446A" w:rsidRPr="00FB2111" w:rsidRDefault="0009446A" w:rsidP="0009446A">
            <w:r w:rsidRPr="00FB2111">
              <w:t xml:space="preserve">Commercially Sensitive Information </w:t>
            </w:r>
          </w:p>
        </w:tc>
        <w:tc>
          <w:tcPr>
            <w:tcW w:w="1217" w:type="dxa"/>
          </w:tcPr>
          <w:p w14:paraId="16AED738" w14:textId="3C073EAA" w:rsidR="0009446A" w:rsidRPr="00FB2111" w:rsidRDefault="0009446A" w:rsidP="0009446A">
            <w:r w:rsidRPr="00240055">
              <w:t>As appropriate and agreed by HSE</w:t>
            </w:r>
          </w:p>
        </w:tc>
        <w:tc>
          <w:tcPr>
            <w:tcW w:w="2086" w:type="dxa"/>
          </w:tcPr>
          <w:p w14:paraId="4C833FDB" w14:textId="77777777" w:rsidR="0009446A" w:rsidRPr="00FB2111" w:rsidRDefault="0009446A" w:rsidP="0009446A">
            <w:r w:rsidRPr="00FB2111">
              <w:t xml:space="preserve">Effective Date </w:t>
            </w:r>
          </w:p>
        </w:tc>
        <w:tc>
          <w:tcPr>
            <w:tcW w:w="1448" w:type="dxa"/>
          </w:tcPr>
          <w:p w14:paraId="62359D75" w14:textId="3C97F5C5" w:rsidR="0009446A" w:rsidRPr="00FB2111" w:rsidRDefault="0009446A" w:rsidP="0009446A">
            <w:r w:rsidRPr="00FB2111">
              <w:t xml:space="preserve">Upon Agreement by </w:t>
            </w:r>
            <w:r>
              <w:t>HSE</w:t>
            </w:r>
            <w:r w:rsidRPr="00FB2111">
              <w:t xml:space="preserve"> to vary the information</w:t>
            </w:r>
          </w:p>
        </w:tc>
        <w:tc>
          <w:tcPr>
            <w:tcW w:w="1448" w:type="dxa"/>
          </w:tcPr>
          <w:p w14:paraId="3DE676BC" w14:textId="7CFBC450" w:rsidR="0009446A" w:rsidRPr="00FB2111" w:rsidRDefault="0009446A" w:rsidP="0009446A">
            <w:r>
              <w:t>HSE</w:t>
            </w:r>
            <w:r w:rsidRPr="00FB2111">
              <w:t xml:space="preserve"> and/or Auditor</w:t>
            </w:r>
          </w:p>
        </w:tc>
      </w:tr>
      <w:tr w:rsidR="00920FE7" w:rsidRPr="00FB2111" w14:paraId="3746F80A" w14:textId="77777777" w:rsidTr="00D72032">
        <w:tc>
          <w:tcPr>
            <w:tcW w:w="1305" w:type="dxa"/>
          </w:tcPr>
          <w:p w14:paraId="5575AC59" w14:textId="60D2A328" w:rsidR="0009446A" w:rsidRPr="00FB2111" w:rsidRDefault="004C437A" w:rsidP="0009446A">
            <w:r>
              <w:t>Schedule 13</w:t>
            </w:r>
          </w:p>
        </w:tc>
        <w:tc>
          <w:tcPr>
            <w:tcW w:w="1559" w:type="dxa"/>
          </w:tcPr>
          <w:p w14:paraId="1E61B324" w14:textId="77777777" w:rsidR="0009446A" w:rsidRPr="00FB2111" w:rsidRDefault="0009446A" w:rsidP="0009446A">
            <w:r w:rsidRPr="00FB2111">
              <w:t>Notified Key Subcontractors</w:t>
            </w:r>
          </w:p>
        </w:tc>
        <w:tc>
          <w:tcPr>
            <w:tcW w:w="1217" w:type="dxa"/>
          </w:tcPr>
          <w:p w14:paraId="252239A2" w14:textId="61A738FB" w:rsidR="0009446A" w:rsidRPr="00FB2111" w:rsidRDefault="0009446A" w:rsidP="0009446A">
            <w:r w:rsidRPr="00240055">
              <w:t>As appropriate and agreed by HSE</w:t>
            </w:r>
          </w:p>
        </w:tc>
        <w:tc>
          <w:tcPr>
            <w:tcW w:w="2086" w:type="dxa"/>
          </w:tcPr>
          <w:p w14:paraId="2D09AF41" w14:textId="77777777" w:rsidR="0009446A" w:rsidRPr="00FB2111" w:rsidRDefault="0009446A" w:rsidP="0009446A">
            <w:r w:rsidRPr="00FB2111">
              <w:t xml:space="preserve">Effective Date </w:t>
            </w:r>
          </w:p>
        </w:tc>
        <w:tc>
          <w:tcPr>
            <w:tcW w:w="1448" w:type="dxa"/>
          </w:tcPr>
          <w:p w14:paraId="67951B51" w14:textId="77777777" w:rsidR="0009446A" w:rsidRPr="00FB2111" w:rsidRDefault="0009446A" w:rsidP="0009446A">
            <w:r w:rsidRPr="00FB2111">
              <w:t>On replacement of key subcontractor</w:t>
            </w:r>
          </w:p>
        </w:tc>
        <w:tc>
          <w:tcPr>
            <w:tcW w:w="1448" w:type="dxa"/>
          </w:tcPr>
          <w:p w14:paraId="5E45CFEF" w14:textId="6741E234" w:rsidR="0009446A" w:rsidRPr="00FB2111" w:rsidRDefault="0009446A" w:rsidP="0009446A">
            <w:r>
              <w:t>HSE</w:t>
            </w:r>
          </w:p>
        </w:tc>
      </w:tr>
      <w:tr w:rsidR="00920FE7" w:rsidRPr="00FB2111" w14:paraId="73FC0152" w14:textId="77777777" w:rsidTr="00D72032">
        <w:tc>
          <w:tcPr>
            <w:tcW w:w="1305" w:type="dxa"/>
          </w:tcPr>
          <w:p w14:paraId="38A666E8" w14:textId="0F261A74" w:rsidR="0009446A" w:rsidRPr="00FB2111" w:rsidRDefault="004C437A" w:rsidP="0009446A">
            <w:r>
              <w:t>Schedule 13</w:t>
            </w:r>
          </w:p>
        </w:tc>
        <w:tc>
          <w:tcPr>
            <w:tcW w:w="1559" w:type="dxa"/>
          </w:tcPr>
          <w:p w14:paraId="62C6B2DD" w14:textId="77777777" w:rsidR="0009446A" w:rsidRPr="00FB2111" w:rsidRDefault="0009446A" w:rsidP="0009446A">
            <w:r w:rsidRPr="00FB2111">
              <w:t>Third Party Contracts</w:t>
            </w:r>
          </w:p>
        </w:tc>
        <w:tc>
          <w:tcPr>
            <w:tcW w:w="1217" w:type="dxa"/>
          </w:tcPr>
          <w:p w14:paraId="7BC8A74A" w14:textId="658FC9BE" w:rsidR="0009446A" w:rsidRPr="00FB2111" w:rsidRDefault="0009446A" w:rsidP="0009446A">
            <w:r w:rsidRPr="00240055">
              <w:t>As appropriate and agreed by HSE</w:t>
            </w:r>
          </w:p>
        </w:tc>
        <w:tc>
          <w:tcPr>
            <w:tcW w:w="2086" w:type="dxa"/>
          </w:tcPr>
          <w:p w14:paraId="5BC6CE5F" w14:textId="77777777" w:rsidR="0009446A" w:rsidRPr="00FB2111" w:rsidRDefault="0009446A" w:rsidP="0009446A">
            <w:r w:rsidRPr="00FB2111">
              <w:t>Effective Date</w:t>
            </w:r>
          </w:p>
        </w:tc>
        <w:tc>
          <w:tcPr>
            <w:tcW w:w="1448" w:type="dxa"/>
          </w:tcPr>
          <w:p w14:paraId="74E80287" w14:textId="77777777" w:rsidR="0009446A" w:rsidRPr="00FB2111" w:rsidRDefault="0009446A" w:rsidP="0009446A">
            <w:r w:rsidRPr="00FB2111">
              <w:t xml:space="preserve">On appointment of subcontract </w:t>
            </w:r>
          </w:p>
        </w:tc>
        <w:tc>
          <w:tcPr>
            <w:tcW w:w="1448" w:type="dxa"/>
          </w:tcPr>
          <w:p w14:paraId="03B5E417" w14:textId="583B6A98" w:rsidR="0009446A" w:rsidRPr="00FB2111" w:rsidRDefault="0009446A" w:rsidP="0009446A">
            <w:r>
              <w:t>HSE</w:t>
            </w:r>
          </w:p>
        </w:tc>
      </w:tr>
      <w:tr w:rsidR="00920FE7" w:rsidRPr="00FB2111" w14:paraId="0A207915" w14:textId="77777777" w:rsidTr="00D72032">
        <w:tc>
          <w:tcPr>
            <w:tcW w:w="1305" w:type="dxa"/>
          </w:tcPr>
          <w:p w14:paraId="25CBA51F" w14:textId="485490A2" w:rsidR="0009446A" w:rsidRPr="00FB2111" w:rsidRDefault="004C437A" w:rsidP="0009446A">
            <w:r>
              <w:t>Schedule 13.</w:t>
            </w:r>
          </w:p>
        </w:tc>
        <w:tc>
          <w:tcPr>
            <w:tcW w:w="1559" w:type="dxa"/>
          </w:tcPr>
          <w:p w14:paraId="108A5355" w14:textId="77777777" w:rsidR="0009446A" w:rsidRPr="00FB2111" w:rsidRDefault="0009446A" w:rsidP="0009446A">
            <w:r w:rsidRPr="00FB2111">
              <w:t xml:space="preserve">Notified Key Sub-Contractors </w:t>
            </w:r>
          </w:p>
        </w:tc>
        <w:tc>
          <w:tcPr>
            <w:tcW w:w="1217" w:type="dxa"/>
          </w:tcPr>
          <w:p w14:paraId="25AB98C8" w14:textId="7A752A9F" w:rsidR="0009446A" w:rsidRPr="00FB2111" w:rsidRDefault="0009446A" w:rsidP="0009446A">
            <w:r w:rsidRPr="00240055">
              <w:t>As appropriate and agreed by HSE</w:t>
            </w:r>
          </w:p>
        </w:tc>
        <w:tc>
          <w:tcPr>
            <w:tcW w:w="2086" w:type="dxa"/>
          </w:tcPr>
          <w:p w14:paraId="4310ED46" w14:textId="77777777" w:rsidR="0009446A" w:rsidRPr="00FB2111" w:rsidRDefault="0009446A" w:rsidP="0009446A">
            <w:r w:rsidRPr="00FB2111">
              <w:t>Effective Date</w:t>
            </w:r>
          </w:p>
        </w:tc>
        <w:tc>
          <w:tcPr>
            <w:tcW w:w="1448" w:type="dxa"/>
          </w:tcPr>
          <w:p w14:paraId="7B6B6E3E" w14:textId="77777777" w:rsidR="0009446A" w:rsidRPr="00FB2111" w:rsidRDefault="0009446A" w:rsidP="0009446A">
            <w:r w:rsidRPr="00FB2111">
              <w:t>With each approved appointment or variation</w:t>
            </w:r>
          </w:p>
        </w:tc>
        <w:tc>
          <w:tcPr>
            <w:tcW w:w="1448" w:type="dxa"/>
          </w:tcPr>
          <w:p w14:paraId="63713C3A" w14:textId="7BF11B0E" w:rsidR="0009446A" w:rsidRPr="00FB2111" w:rsidRDefault="0009446A" w:rsidP="0009446A">
            <w:r>
              <w:t>HSE</w:t>
            </w:r>
          </w:p>
        </w:tc>
      </w:tr>
      <w:tr w:rsidR="00920FE7" w:rsidRPr="00FB2111" w14:paraId="22D53A75" w14:textId="77777777" w:rsidTr="00D72032">
        <w:tc>
          <w:tcPr>
            <w:tcW w:w="1305" w:type="dxa"/>
          </w:tcPr>
          <w:p w14:paraId="1AD1BF59" w14:textId="3945F38A" w:rsidR="0009446A" w:rsidRPr="00FB2111" w:rsidRDefault="00FA680C" w:rsidP="0009446A">
            <w:r>
              <w:t>Paragraph 3.3 of Schedule 11</w:t>
            </w:r>
            <w:r w:rsidRPr="007956F1" w:rsidDel="00FA680C">
              <w:t xml:space="preserve"> </w:t>
            </w:r>
          </w:p>
        </w:tc>
        <w:tc>
          <w:tcPr>
            <w:tcW w:w="1559" w:type="dxa"/>
          </w:tcPr>
          <w:p w14:paraId="7BA66CF4" w14:textId="77777777" w:rsidR="0009446A" w:rsidRPr="00FB2111" w:rsidRDefault="0009446A" w:rsidP="0009446A">
            <w:r w:rsidRPr="00FB2111">
              <w:t>Supply chain Transparency Reports</w:t>
            </w:r>
          </w:p>
        </w:tc>
        <w:tc>
          <w:tcPr>
            <w:tcW w:w="1217" w:type="dxa"/>
          </w:tcPr>
          <w:p w14:paraId="3AAED29D" w14:textId="6BA7EDAE" w:rsidR="0009446A" w:rsidRPr="00FB2111" w:rsidRDefault="0009446A" w:rsidP="0009446A">
            <w:r w:rsidRPr="00240055">
              <w:t>As appropriate and agreed by HSE</w:t>
            </w:r>
          </w:p>
        </w:tc>
        <w:tc>
          <w:tcPr>
            <w:tcW w:w="2086" w:type="dxa"/>
          </w:tcPr>
          <w:p w14:paraId="5FD2A22E" w14:textId="561041C2" w:rsidR="0009446A" w:rsidRPr="00FB2111" w:rsidRDefault="00C82AF6" w:rsidP="0009446A">
            <w:r>
              <w:t>Th</w:t>
            </w:r>
            <w:r w:rsidR="00C13955">
              <w:t>ree months after the Effective Date in Contract Year 1</w:t>
            </w:r>
            <w:r w:rsidR="00E31376">
              <w:t>.</w:t>
            </w:r>
          </w:p>
        </w:tc>
        <w:tc>
          <w:tcPr>
            <w:tcW w:w="1448" w:type="dxa"/>
          </w:tcPr>
          <w:p w14:paraId="2EA4B40D" w14:textId="64645E47" w:rsidR="0009446A" w:rsidRPr="00FB2111" w:rsidRDefault="0009446A" w:rsidP="0009446A">
            <w:r w:rsidRPr="00FB2111">
              <w:t>Every twelve (12) months</w:t>
            </w:r>
            <w:r w:rsidR="00E31376">
              <w:t xml:space="preserve"> thirty days prior to the end of the </w:t>
            </w:r>
            <w:r w:rsidR="00732287">
              <w:t>Contract Year</w:t>
            </w:r>
          </w:p>
        </w:tc>
        <w:tc>
          <w:tcPr>
            <w:tcW w:w="1448" w:type="dxa"/>
          </w:tcPr>
          <w:p w14:paraId="7F9C1B6E" w14:textId="24562752" w:rsidR="0009446A" w:rsidRPr="00FB2111" w:rsidRDefault="0009446A" w:rsidP="0009446A">
            <w:r>
              <w:t>HSE</w:t>
            </w:r>
          </w:p>
        </w:tc>
      </w:tr>
      <w:tr w:rsidR="00920FE7" w:rsidRPr="00FB2111" w14:paraId="7745FC46" w14:textId="77777777" w:rsidTr="00D72032">
        <w:tc>
          <w:tcPr>
            <w:tcW w:w="1305" w:type="dxa"/>
          </w:tcPr>
          <w:p w14:paraId="693058C4" w14:textId="0E6F798B" w:rsidR="0009446A" w:rsidRPr="00FB2111" w:rsidRDefault="00731B08" w:rsidP="0009446A">
            <w:r>
              <w:t>Schedule 12</w:t>
            </w:r>
          </w:p>
        </w:tc>
        <w:tc>
          <w:tcPr>
            <w:tcW w:w="1559" w:type="dxa"/>
          </w:tcPr>
          <w:p w14:paraId="7ECA553B" w14:textId="129CA70E" w:rsidR="0009446A" w:rsidRPr="00FB2111" w:rsidRDefault="00731B08" w:rsidP="0009446A">
            <w:r>
              <w:t>Asset Register</w:t>
            </w:r>
            <w:r w:rsidR="0009446A" w:rsidRPr="00FB2111">
              <w:t xml:space="preserve"> </w:t>
            </w:r>
          </w:p>
        </w:tc>
        <w:tc>
          <w:tcPr>
            <w:tcW w:w="1217" w:type="dxa"/>
          </w:tcPr>
          <w:p w14:paraId="3334A634" w14:textId="66AC6D67" w:rsidR="0009446A" w:rsidRPr="00FB2111" w:rsidRDefault="0009446A" w:rsidP="0009446A">
            <w:r w:rsidRPr="00240055">
              <w:t>As appropriate and agreed by HSE</w:t>
            </w:r>
          </w:p>
        </w:tc>
        <w:tc>
          <w:tcPr>
            <w:tcW w:w="2086" w:type="dxa"/>
          </w:tcPr>
          <w:p w14:paraId="05D8F6C8" w14:textId="6CE2A1D6" w:rsidR="0009446A" w:rsidRPr="00FB2111" w:rsidRDefault="0009446A" w:rsidP="0009446A">
            <w:r w:rsidRPr="00FB2111">
              <w:t xml:space="preserve">Operational Services </w:t>
            </w:r>
            <w:r w:rsidR="002C0DCB">
              <w:t>Start</w:t>
            </w:r>
            <w:r w:rsidRPr="00FB2111">
              <w:t xml:space="preserve"> Date</w:t>
            </w:r>
          </w:p>
        </w:tc>
        <w:tc>
          <w:tcPr>
            <w:tcW w:w="1448" w:type="dxa"/>
          </w:tcPr>
          <w:p w14:paraId="6F7FFA9F" w14:textId="13A920B2" w:rsidR="0009446A" w:rsidRPr="00FB2111" w:rsidRDefault="0009446A" w:rsidP="0009446A">
            <w:r w:rsidRPr="00FB2111">
              <w:t xml:space="preserve">Upon Agreement by </w:t>
            </w:r>
            <w:r>
              <w:t>HSE</w:t>
            </w:r>
            <w:r w:rsidRPr="00FB2111">
              <w:t xml:space="preserve"> to vary the information</w:t>
            </w:r>
          </w:p>
        </w:tc>
        <w:tc>
          <w:tcPr>
            <w:tcW w:w="1448" w:type="dxa"/>
          </w:tcPr>
          <w:p w14:paraId="1BBE86CC" w14:textId="7FEE05C5" w:rsidR="0009446A" w:rsidRPr="00FB2111" w:rsidRDefault="0009446A" w:rsidP="0009446A">
            <w:r>
              <w:t>HSE</w:t>
            </w:r>
          </w:p>
        </w:tc>
      </w:tr>
      <w:tr w:rsidR="00920FE7" w:rsidRPr="00FB2111" w14:paraId="1DBF539B" w14:textId="77777777" w:rsidTr="00D72032">
        <w:tc>
          <w:tcPr>
            <w:tcW w:w="1305" w:type="dxa"/>
          </w:tcPr>
          <w:p w14:paraId="52EC0429" w14:textId="74EBE01D" w:rsidR="0009446A" w:rsidRPr="00FB2111" w:rsidRDefault="00FA680C" w:rsidP="0009446A">
            <w:r>
              <w:t>Schedule 16</w:t>
            </w:r>
          </w:p>
        </w:tc>
        <w:tc>
          <w:tcPr>
            <w:tcW w:w="1559" w:type="dxa"/>
          </w:tcPr>
          <w:p w14:paraId="4368871D" w14:textId="69605259" w:rsidR="0009446A" w:rsidRPr="00FB2111" w:rsidRDefault="00455DBC" w:rsidP="0009446A">
            <w:r>
              <w:t>Transition Plan</w:t>
            </w:r>
          </w:p>
        </w:tc>
        <w:tc>
          <w:tcPr>
            <w:tcW w:w="1217" w:type="dxa"/>
          </w:tcPr>
          <w:p w14:paraId="1C1444CB" w14:textId="2F43FCDF" w:rsidR="0009446A" w:rsidRPr="00FB2111" w:rsidRDefault="0009446A" w:rsidP="0009446A">
            <w:r w:rsidRPr="00240055">
              <w:t>As appropriate and agreed by HSE</w:t>
            </w:r>
          </w:p>
        </w:tc>
        <w:tc>
          <w:tcPr>
            <w:tcW w:w="2086" w:type="dxa"/>
          </w:tcPr>
          <w:p w14:paraId="509FF0BE" w14:textId="5E48B700" w:rsidR="0009446A" w:rsidRPr="00FB2111" w:rsidRDefault="00455DBC" w:rsidP="0009446A">
            <w:r>
              <w:t>In accordance with Clause 17 (Transition)</w:t>
            </w:r>
          </w:p>
        </w:tc>
        <w:tc>
          <w:tcPr>
            <w:tcW w:w="1448" w:type="dxa"/>
          </w:tcPr>
          <w:p w14:paraId="22E3906D" w14:textId="26A1597D" w:rsidR="0009446A" w:rsidRPr="00FB2111" w:rsidRDefault="00455DBC" w:rsidP="0009446A">
            <w:r>
              <w:t>In accordance with Clause 17 (Transition)</w:t>
            </w:r>
          </w:p>
        </w:tc>
        <w:tc>
          <w:tcPr>
            <w:tcW w:w="1448" w:type="dxa"/>
          </w:tcPr>
          <w:p w14:paraId="0F28728D" w14:textId="16F2C5C3" w:rsidR="0009446A" w:rsidRPr="00FB2111" w:rsidRDefault="0009446A" w:rsidP="0009446A">
            <w:r>
              <w:t>HSE</w:t>
            </w:r>
          </w:p>
        </w:tc>
      </w:tr>
      <w:tr w:rsidR="00920FE7" w:rsidRPr="00FB2111" w14:paraId="7E1BD86A" w14:textId="77777777" w:rsidTr="00D72032">
        <w:tc>
          <w:tcPr>
            <w:tcW w:w="1305" w:type="dxa"/>
          </w:tcPr>
          <w:p w14:paraId="4FF7269E" w14:textId="59661944" w:rsidR="0009446A" w:rsidRPr="00FB2111" w:rsidRDefault="00C11088" w:rsidP="0009446A">
            <w:r>
              <w:t>Clause 5</w:t>
            </w:r>
            <w:r w:rsidR="004642C4">
              <w:t>8.</w:t>
            </w:r>
            <w:r w:rsidDel="004642C4">
              <w:t>1</w:t>
            </w:r>
            <w:r>
              <w:t>.8</w:t>
            </w:r>
          </w:p>
        </w:tc>
        <w:tc>
          <w:tcPr>
            <w:tcW w:w="1559" w:type="dxa"/>
          </w:tcPr>
          <w:p w14:paraId="579155E9" w14:textId="77777777" w:rsidR="0009446A" w:rsidRPr="00FB2111" w:rsidRDefault="0009446A" w:rsidP="0009446A">
            <w:r w:rsidRPr="00FB2111">
              <w:t>Annual slavery and human trafficking report</w:t>
            </w:r>
          </w:p>
        </w:tc>
        <w:tc>
          <w:tcPr>
            <w:tcW w:w="1217" w:type="dxa"/>
          </w:tcPr>
          <w:p w14:paraId="7D99B5AA" w14:textId="6F4C485E" w:rsidR="0009446A" w:rsidRPr="00FB2111" w:rsidRDefault="0009446A" w:rsidP="0009446A">
            <w:r w:rsidRPr="00240055">
              <w:t>As appropriate and agreed by HSE</w:t>
            </w:r>
          </w:p>
        </w:tc>
        <w:tc>
          <w:tcPr>
            <w:tcW w:w="2086" w:type="dxa"/>
          </w:tcPr>
          <w:p w14:paraId="0CDB3BCA" w14:textId="5C813C40" w:rsidR="0009446A" w:rsidRPr="00FB2111" w:rsidRDefault="00455DBC" w:rsidP="0009446A">
            <w:r>
              <w:t>In accordance with Clause 58 (Prevention of Modern Slavery)</w:t>
            </w:r>
          </w:p>
        </w:tc>
        <w:tc>
          <w:tcPr>
            <w:tcW w:w="1448" w:type="dxa"/>
          </w:tcPr>
          <w:p w14:paraId="51915FC4" w14:textId="64F15810" w:rsidR="0009446A" w:rsidRPr="00FB2111" w:rsidRDefault="00455DBC" w:rsidP="0009446A">
            <w:r>
              <w:t>In accordance with Clause 58 (Prevention of Modern Slavery)</w:t>
            </w:r>
          </w:p>
        </w:tc>
        <w:tc>
          <w:tcPr>
            <w:tcW w:w="1448" w:type="dxa"/>
          </w:tcPr>
          <w:p w14:paraId="5113C28F" w14:textId="19CC3E79" w:rsidR="0009446A" w:rsidRPr="00FB2111" w:rsidRDefault="0009446A" w:rsidP="0009446A">
            <w:r>
              <w:t>HSE</w:t>
            </w:r>
          </w:p>
        </w:tc>
      </w:tr>
      <w:tr w:rsidR="00920FE7" w:rsidRPr="00FB2111" w14:paraId="608381EB" w14:textId="77777777" w:rsidTr="00D72032">
        <w:tc>
          <w:tcPr>
            <w:tcW w:w="1305" w:type="dxa"/>
          </w:tcPr>
          <w:p w14:paraId="484979A1" w14:textId="5A1E99EB" w:rsidR="0009446A" w:rsidRPr="00FB2111" w:rsidRDefault="00BD13DE" w:rsidP="0009446A">
            <w:r>
              <w:lastRenderedPageBreak/>
              <w:t>Paragraph 4 of Schedule 21</w:t>
            </w:r>
            <w:r w:rsidRPr="007956F1" w:rsidDel="00BD13DE">
              <w:t xml:space="preserve"> </w:t>
            </w:r>
          </w:p>
        </w:tc>
        <w:tc>
          <w:tcPr>
            <w:tcW w:w="1559" w:type="dxa"/>
          </w:tcPr>
          <w:p w14:paraId="45CBE0CB" w14:textId="77777777" w:rsidR="0009446A" w:rsidRPr="00FB2111" w:rsidRDefault="0009446A" w:rsidP="0009446A">
            <w:r w:rsidRPr="00FB2111">
              <w:t>Risk Register</w:t>
            </w:r>
          </w:p>
        </w:tc>
        <w:tc>
          <w:tcPr>
            <w:tcW w:w="1217" w:type="dxa"/>
          </w:tcPr>
          <w:p w14:paraId="397B9447" w14:textId="212D839A" w:rsidR="0009446A" w:rsidRPr="00FB2111" w:rsidRDefault="0009446A" w:rsidP="0009446A">
            <w:r w:rsidRPr="00240055">
              <w:t>As appropriate and agreed by HSE</w:t>
            </w:r>
          </w:p>
        </w:tc>
        <w:tc>
          <w:tcPr>
            <w:tcW w:w="2086" w:type="dxa"/>
          </w:tcPr>
          <w:p w14:paraId="54F43B0A" w14:textId="77777777" w:rsidR="0009446A" w:rsidRPr="00FB2111" w:rsidRDefault="0009446A" w:rsidP="0009446A">
            <w:r w:rsidRPr="00FB2111">
              <w:t>Effective Date</w:t>
            </w:r>
          </w:p>
        </w:tc>
        <w:tc>
          <w:tcPr>
            <w:tcW w:w="1448" w:type="dxa"/>
          </w:tcPr>
          <w:p w14:paraId="3889C0E8" w14:textId="1D64ADB5" w:rsidR="0009446A" w:rsidRPr="00FB2111" w:rsidRDefault="0009446A" w:rsidP="0009446A">
            <w:r w:rsidRPr="00FB2111">
              <w:t xml:space="preserve">Upon Agreement by </w:t>
            </w:r>
            <w:r>
              <w:t>HSE</w:t>
            </w:r>
            <w:r w:rsidRPr="00FB2111">
              <w:t xml:space="preserve"> to vary the by the Risk Management Board</w:t>
            </w:r>
          </w:p>
        </w:tc>
        <w:tc>
          <w:tcPr>
            <w:tcW w:w="1448" w:type="dxa"/>
          </w:tcPr>
          <w:p w14:paraId="17BA48B2" w14:textId="6A1E7605" w:rsidR="0009446A" w:rsidRPr="00FB2111" w:rsidRDefault="0009446A" w:rsidP="0009446A">
            <w:r>
              <w:t>HSE</w:t>
            </w:r>
          </w:p>
        </w:tc>
      </w:tr>
      <w:tr w:rsidR="00920FE7" w:rsidRPr="00FB2111" w14:paraId="5BA863BE" w14:textId="77777777" w:rsidTr="00D72032">
        <w:tc>
          <w:tcPr>
            <w:tcW w:w="1305" w:type="dxa"/>
          </w:tcPr>
          <w:p w14:paraId="301C097C" w14:textId="1508FACF" w:rsidR="0009446A" w:rsidRPr="00FB2111" w:rsidRDefault="00B3351F" w:rsidP="0009446A">
            <w:r>
              <w:t>Paragraph 10 of Schedule 5</w:t>
            </w:r>
            <w:r w:rsidRPr="007956F1" w:rsidDel="00B3351F">
              <w:t xml:space="preserve"> </w:t>
            </w:r>
          </w:p>
        </w:tc>
        <w:tc>
          <w:tcPr>
            <w:tcW w:w="1559" w:type="dxa"/>
          </w:tcPr>
          <w:p w14:paraId="3EA4B037" w14:textId="77777777" w:rsidR="0009446A" w:rsidRPr="00FB2111" w:rsidRDefault="0009446A" w:rsidP="0009446A">
            <w:r w:rsidRPr="00FB2111">
              <w:t>Benchmarking Plan</w:t>
            </w:r>
          </w:p>
        </w:tc>
        <w:tc>
          <w:tcPr>
            <w:tcW w:w="1217" w:type="dxa"/>
          </w:tcPr>
          <w:p w14:paraId="4F090379" w14:textId="2DA29E2C" w:rsidR="0009446A" w:rsidRPr="00FB2111" w:rsidRDefault="0009446A" w:rsidP="0009446A">
            <w:r w:rsidRPr="00240055">
              <w:t>As appropriate and agreed by HSE</w:t>
            </w:r>
          </w:p>
        </w:tc>
        <w:tc>
          <w:tcPr>
            <w:tcW w:w="2086" w:type="dxa"/>
          </w:tcPr>
          <w:p w14:paraId="27D71C77" w14:textId="77777777" w:rsidR="0009446A" w:rsidRPr="00FB2111" w:rsidRDefault="0009446A" w:rsidP="0009446A">
            <w:r w:rsidRPr="00FB2111">
              <w:t>Upon receipt from Benchmarker</w:t>
            </w:r>
          </w:p>
        </w:tc>
        <w:tc>
          <w:tcPr>
            <w:tcW w:w="1448" w:type="dxa"/>
          </w:tcPr>
          <w:p w14:paraId="026BBD1A" w14:textId="77777777" w:rsidR="0009446A" w:rsidRPr="00FB2111" w:rsidRDefault="0009446A" w:rsidP="0009446A">
            <w:r w:rsidRPr="00FB2111">
              <w:t>Approval of Plan</w:t>
            </w:r>
          </w:p>
        </w:tc>
        <w:tc>
          <w:tcPr>
            <w:tcW w:w="1448" w:type="dxa"/>
          </w:tcPr>
          <w:p w14:paraId="7A4246F0" w14:textId="529AB73B" w:rsidR="0009446A" w:rsidRPr="00FB2111" w:rsidRDefault="0009446A" w:rsidP="0009446A">
            <w:r>
              <w:t>HSE</w:t>
            </w:r>
            <w:r w:rsidRPr="00FB2111">
              <w:t xml:space="preserve"> and Auditor</w:t>
            </w:r>
          </w:p>
        </w:tc>
      </w:tr>
      <w:tr w:rsidR="00920FE7" w:rsidRPr="00FB2111" w14:paraId="3293EDDF" w14:textId="77777777" w:rsidTr="00D72032">
        <w:tc>
          <w:tcPr>
            <w:tcW w:w="1305" w:type="dxa"/>
          </w:tcPr>
          <w:p w14:paraId="660758D9" w14:textId="5524AF2F" w:rsidR="0009446A" w:rsidRPr="00FB2111" w:rsidRDefault="002C64F4" w:rsidP="0009446A">
            <w:r>
              <w:t>Paragraph 1</w:t>
            </w:r>
            <w:r w:rsidR="00EB68C6">
              <w:t>1</w:t>
            </w:r>
            <w:r>
              <w:t xml:space="preserve"> of Schedule 5</w:t>
            </w:r>
            <w:r w:rsidRPr="007956F1" w:rsidDel="002C64F4">
              <w:t xml:space="preserve"> </w:t>
            </w:r>
          </w:p>
        </w:tc>
        <w:tc>
          <w:tcPr>
            <w:tcW w:w="1559" w:type="dxa"/>
          </w:tcPr>
          <w:p w14:paraId="42E85B18" w14:textId="77777777" w:rsidR="0009446A" w:rsidRPr="00FB2111" w:rsidRDefault="0009446A" w:rsidP="0009446A">
            <w:r w:rsidRPr="00FB2111">
              <w:t>Benchmarking report</w:t>
            </w:r>
          </w:p>
        </w:tc>
        <w:tc>
          <w:tcPr>
            <w:tcW w:w="1217" w:type="dxa"/>
          </w:tcPr>
          <w:p w14:paraId="66FB6E86" w14:textId="14742395" w:rsidR="0009446A" w:rsidRPr="00FB2111" w:rsidRDefault="0009446A" w:rsidP="0009446A">
            <w:r w:rsidRPr="00240055">
              <w:t>As appropriate and agreed by HSE</w:t>
            </w:r>
          </w:p>
        </w:tc>
        <w:tc>
          <w:tcPr>
            <w:tcW w:w="2086" w:type="dxa"/>
          </w:tcPr>
          <w:p w14:paraId="56CBFD78" w14:textId="77777777" w:rsidR="0009446A" w:rsidRPr="00FB2111" w:rsidRDefault="0009446A" w:rsidP="0009446A">
            <w:r w:rsidRPr="00FB2111">
              <w:t>Upon receipt from Benchmarker</w:t>
            </w:r>
          </w:p>
        </w:tc>
        <w:tc>
          <w:tcPr>
            <w:tcW w:w="1448" w:type="dxa"/>
          </w:tcPr>
          <w:p w14:paraId="6AC7C8EC" w14:textId="77777777" w:rsidR="0009446A" w:rsidRPr="00FB2111" w:rsidRDefault="0009446A" w:rsidP="0009446A">
            <w:r w:rsidRPr="00FB2111">
              <w:t>Any update</w:t>
            </w:r>
          </w:p>
        </w:tc>
        <w:tc>
          <w:tcPr>
            <w:tcW w:w="1448" w:type="dxa"/>
          </w:tcPr>
          <w:p w14:paraId="0D73E7E5" w14:textId="4685DA1A" w:rsidR="0009446A" w:rsidRPr="00FB2111" w:rsidRDefault="0009446A" w:rsidP="0009446A">
            <w:r>
              <w:t>HSE</w:t>
            </w:r>
            <w:r w:rsidRPr="00FB2111">
              <w:t xml:space="preserve"> and Auditor</w:t>
            </w:r>
          </w:p>
        </w:tc>
      </w:tr>
      <w:tr w:rsidR="00920FE7" w:rsidRPr="00FB2111" w14:paraId="5CB13CA5" w14:textId="77777777" w:rsidTr="00D72032">
        <w:tc>
          <w:tcPr>
            <w:tcW w:w="1305" w:type="dxa"/>
          </w:tcPr>
          <w:p w14:paraId="701947E5" w14:textId="0ED4BD1C" w:rsidR="0009446A" w:rsidRPr="00FB2111" w:rsidRDefault="00E64AEC" w:rsidP="0009446A">
            <w:r>
              <w:t>Schedule 25.</w:t>
            </w:r>
          </w:p>
        </w:tc>
        <w:tc>
          <w:tcPr>
            <w:tcW w:w="1559" w:type="dxa"/>
          </w:tcPr>
          <w:p w14:paraId="14E80BC3" w14:textId="77777777" w:rsidR="0009446A" w:rsidRPr="00FB2111" w:rsidRDefault="0009446A" w:rsidP="0009446A">
            <w:bookmarkStart w:id="2555" w:name="_Hlk99022280"/>
            <w:r w:rsidRPr="00FB2111">
              <w:t>Financial Indicator Reports</w:t>
            </w:r>
            <w:bookmarkEnd w:id="2555"/>
          </w:p>
        </w:tc>
        <w:tc>
          <w:tcPr>
            <w:tcW w:w="1217" w:type="dxa"/>
          </w:tcPr>
          <w:p w14:paraId="2517FD27" w14:textId="180D0285" w:rsidR="0009446A" w:rsidRPr="00FB2111" w:rsidRDefault="0009446A" w:rsidP="0009446A">
            <w:r w:rsidRPr="00240055">
              <w:t>As appropriate and agreed by HSE</w:t>
            </w:r>
          </w:p>
        </w:tc>
        <w:tc>
          <w:tcPr>
            <w:tcW w:w="2086" w:type="dxa"/>
          </w:tcPr>
          <w:p w14:paraId="24577552" w14:textId="46267172" w:rsidR="0009446A" w:rsidRPr="00FB2111" w:rsidRDefault="0009446A" w:rsidP="00455DBC">
            <w:r w:rsidRPr="00FB2111">
              <w:t xml:space="preserve">As specified in </w:t>
            </w:r>
            <w:r w:rsidR="00455DBC">
              <w:t>Schedule 25 (Financial Distress)</w:t>
            </w:r>
          </w:p>
        </w:tc>
        <w:tc>
          <w:tcPr>
            <w:tcW w:w="1448" w:type="dxa"/>
          </w:tcPr>
          <w:p w14:paraId="4A3C8E73" w14:textId="4BDB070B" w:rsidR="0009446A" w:rsidRPr="00FB2111" w:rsidRDefault="0009446A" w:rsidP="00455DBC">
            <w:r w:rsidRPr="00FB2111">
              <w:t xml:space="preserve">As specified in </w:t>
            </w:r>
            <w:r w:rsidR="00455DBC">
              <w:t>Schedule 25 (Financial Distress)</w:t>
            </w:r>
          </w:p>
        </w:tc>
        <w:tc>
          <w:tcPr>
            <w:tcW w:w="1448" w:type="dxa"/>
          </w:tcPr>
          <w:p w14:paraId="1031AC72" w14:textId="2CAA08AA" w:rsidR="0009446A" w:rsidRPr="00FB2111" w:rsidRDefault="0009446A" w:rsidP="0009446A">
            <w:r>
              <w:t>HSE</w:t>
            </w:r>
          </w:p>
        </w:tc>
      </w:tr>
      <w:tr w:rsidR="00920FE7" w:rsidRPr="00FB2111" w14:paraId="6499830C" w14:textId="77777777" w:rsidTr="00D72032">
        <w:tc>
          <w:tcPr>
            <w:tcW w:w="1305" w:type="dxa"/>
          </w:tcPr>
          <w:p w14:paraId="16707EBB" w14:textId="7C59F569" w:rsidR="0009446A" w:rsidRPr="00FB2111" w:rsidRDefault="00E64AEC" w:rsidP="0009446A">
            <w:r>
              <w:t>Paragraph</w:t>
            </w:r>
            <w:r w:rsidR="00CE140E">
              <w:t xml:space="preserve"> </w:t>
            </w:r>
            <w:r>
              <w:t>4</w:t>
            </w:r>
            <w:r w:rsidR="00CE140E">
              <w:t>.3</w:t>
            </w:r>
            <w:r>
              <w:t xml:space="preserve"> of Schedule 25.</w:t>
            </w:r>
          </w:p>
        </w:tc>
        <w:tc>
          <w:tcPr>
            <w:tcW w:w="1559" w:type="dxa"/>
          </w:tcPr>
          <w:p w14:paraId="74BA77EA" w14:textId="77777777" w:rsidR="0009446A" w:rsidRPr="00FB2111" w:rsidRDefault="0009446A" w:rsidP="0009446A">
            <w:r w:rsidRPr="00FB2111">
              <w:t>Financial Distress Remediation Plan</w:t>
            </w:r>
          </w:p>
        </w:tc>
        <w:tc>
          <w:tcPr>
            <w:tcW w:w="1217" w:type="dxa"/>
          </w:tcPr>
          <w:p w14:paraId="30973DC0" w14:textId="37070E12" w:rsidR="0009446A" w:rsidRPr="00FB2111" w:rsidRDefault="0009446A" w:rsidP="0009446A">
            <w:r w:rsidRPr="00240055">
              <w:t>As appropriate and agreed by HSE</w:t>
            </w:r>
          </w:p>
        </w:tc>
        <w:tc>
          <w:tcPr>
            <w:tcW w:w="2086" w:type="dxa"/>
          </w:tcPr>
          <w:p w14:paraId="3528BE66" w14:textId="77777777" w:rsidR="0009446A" w:rsidRPr="00FB2111" w:rsidRDefault="0009446A" w:rsidP="0009446A">
            <w:r w:rsidRPr="00FB2111">
              <w:t>As soon as reasonably practicable and in any event within 10 Working Days of initial notification or awareness of a Financial Distress Event</w:t>
            </w:r>
          </w:p>
        </w:tc>
        <w:tc>
          <w:tcPr>
            <w:tcW w:w="1448" w:type="dxa"/>
          </w:tcPr>
          <w:p w14:paraId="771D2C1D" w14:textId="77777777" w:rsidR="0009446A" w:rsidRPr="00FB2111" w:rsidRDefault="0009446A" w:rsidP="0009446A">
            <w:r w:rsidRPr="00FB2111">
              <w:t>On a regular basis (not less than fortnightly)</w:t>
            </w:r>
          </w:p>
        </w:tc>
        <w:tc>
          <w:tcPr>
            <w:tcW w:w="1448" w:type="dxa"/>
          </w:tcPr>
          <w:p w14:paraId="3532454E" w14:textId="24B38BE7" w:rsidR="0009446A" w:rsidRPr="00FB2111" w:rsidRDefault="0009446A" w:rsidP="0009446A">
            <w:r>
              <w:t>HSE</w:t>
            </w:r>
          </w:p>
        </w:tc>
      </w:tr>
      <w:tr w:rsidR="00920FE7" w:rsidRPr="00FB2111" w14:paraId="54D65133" w14:textId="77777777" w:rsidTr="00D72032">
        <w:tc>
          <w:tcPr>
            <w:tcW w:w="1305" w:type="dxa"/>
          </w:tcPr>
          <w:p w14:paraId="202C844C" w14:textId="7D81AD16" w:rsidR="0009446A" w:rsidRPr="00FB2111" w:rsidRDefault="0009446A" w:rsidP="0009446A"/>
        </w:tc>
        <w:tc>
          <w:tcPr>
            <w:tcW w:w="1559" w:type="dxa"/>
          </w:tcPr>
          <w:p w14:paraId="66DC1CD7" w14:textId="0AAD2D3F" w:rsidR="0009446A" w:rsidRPr="00FB2111" w:rsidRDefault="0009446A" w:rsidP="00455DBC">
            <w:r w:rsidRPr="00FB2111">
              <w:t xml:space="preserve">Financial </w:t>
            </w:r>
            <w:r w:rsidR="00455DBC">
              <w:t>r</w:t>
            </w:r>
            <w:r w:rsidRPr="00FB2111">
              <w:t>eport</w:t>
            </w:r>
            <w:r w:rsidR="00455DBC">
              <w:t>s required under</w:t>
            </w:r>
            <w:r w:rsidR="00731B08">
              <w:t xml:space="preserve"> this Agreement</w:t>
            </w:r>
            <w:r w:rsidR="00455DBC">
              <w:t xml:space="preserve"> </w:t>
            </w:r>
          </w:p>
        </w:tc>
        <w:tc>
          <w:tcPr>
            <w:tcW w:w="1217" w:type="dxa"/>
          </w:tcPr>
          <w:p w14:paraId="254B5E04" w14:textId="68CFCEA0" w:rsidR="0009446A" w:rsidRPr="00FB2111" w:rsidRDefault="0009446A" w:rsidP="0009446A">
            <w:r w:rsidRPr="00240055">
              <w:t>As appropriate and agreed by HSE</w:t>
            </w:r>
          </w:p>
        </w:tc>
        <w:tc>
          <w:tcPr>
            <w:tcW w:w="2086" w:type="dxa"/>
          </w:tcPr>
          <w:p w14:paraId="5762873C" w14:textId="0736CCE2" w:rsidR="0009446A" w:rsidRPr="00FB2111" w:rsidRDefault="00455DBC" w:rsidP="0009446A">
            <w:r>
              <w:t xml:space="preserve">In accordance with the applicable terms of Clauses 18, 19, Schedule 4 (Charges) and Schedule 5 (Financial </w:t>
            </w:r>
            <w:r>
              <w:lastRenderedPageBreak/>
              <w:t>Model and Gain Share)</w:t>
            </w:r>
          </w:p>
        </w:tc>
        <w:tc>
          <w:tcPr>
            <w:tcW w:w="1448" w:type="dxa"/>
          </w:tcPr>
          <w:p w14:paraId="79EAE315" w14:textId="5C5EBE23" w:rsidR="0009446A" w:rsidRPr="00FB2111" w:rsidRDefault="00455DBC" w:rsidP="0009446A">
            <w:r>
              <w:lastRenderedPageBreak/>
              <w:t xml:space="preserve">In accordance with the applicable terms of Clauses 18, 19, Schedule 4 (Charges) and Schedule 5 (Financial </w:t>
            </w:r>
            <w:r>
              <w:lastRenderedPageBreak/>
              <w:t>Model and Gain Share)</w:t>
            </w:r>
          </w:p>
        </w:tc>
        <w:tc>
          <w:tcPr>
            <w:tcW w:w="1448" w:type="dxa"/>
          </w:tcPr>
          <w:p w14:paraId="4316981C" w14:textId="39B11BDB" w:rsidR="0009446A" w:rsidRPr="00FB2111" w:rsidRDefault="0009446A" w:rsidP="0009446A">
            <w:r>
              <w:lastRenderedPageBreak/>
              <w:t>HSE</w:t>
            </w:r>
          </w:p>
        </w:tc>
      </w:tr>
      <w:tr w:rsidR="00920FE7" w:rsidRPr="00FB2111" w14:paraId="05CD50DD" w14:textId="77777777" w:rsidTr="00D72032">
        <w:tc>
          <w:tcPr>
            <w:tcW w:w="1305" w:type="dxa"/>
          </w:tcPr>
          <w:p w14:paraId="3CF5E200" w14:textId="289DF8E6" w:rsidR="0009446A" w:rsidRPr="00FB2111" w:rsidRDefault="002B06BF" w:rsidP="0009446A">
            <w:r>
              <w:t>Annex 1 of Schedule 10</w:t>
            </w:r>
            <w:r w:rsidRPr="007956F1" w:rsidDel="002B06BF">
              <w:t xml:space="preserve"> </w:t>
            </w:r>
          </w:p>
        </w:tc>
        <w:tc>
          <w:tcPr>
            <w:tcW w:w="1559" w:type="dxa"/>
          </w:tcPr>
          <w:p w14:paraId="3FEBF6FD" w14:textId="77777777" w:rsidR="0009446A" w:rsidRPr="00FB2111" w:rsidRDefault="0009446A" w:rsidP="0009446A">
            <w:r w:rsidRPr="00FB2111">
              <w:t>Representation and Structure of boards</w:t>
            </w:r>
          </w:p>
        </w:tc>
        <w:tc>
          <w:tcPr>
            <w:tcW w:w="1217" w:type="dxa"/>
          </w:tcPr>
          <w:p w14:paraId="5A6F0B58" w14:textId="5A8683EA" w:rsidR="0009446A" w:rsidRPr="00FB2111" w:rsidRDefault="0009446A" w:rsidP="0009446A">
            <w:r w:rsidRPr="00240055">
              <w:t>As appropriate and agreed by HSE</w:t>
            </w:r>
          </w:p>
        </w:tc>
        <w:tc>
          <w:tcPr>
            <w:tcW w:w="2086" w:type="dxa"/>
          </w:tcPr>
          <w:p w14:paraId="71131B16" w14:textId="757F7C4D" w:rsidR="0009446A" w:rsidRPr="00FB2111" w:rsidRDefault="0009446A" w:rsidP="0009446A">
            <w:r w:rsidRPr="00FB2111">
              <w:t>Within 7 days of receipt of intention, or in the case of a non-</w:t>
            </w:r>
            <w:r>
              <w:t>HSE</w:t>
            </w:r>
            <w:r w:rsidRPr="00FB2111">
              <w:t xml:space="preserve"> board member agreement by </w:t>
            </w:r>
            <w:r>
              <w:t>HSE</w:t>
            </w:r>
          </w:p>
        </w:tc>
        <w:tc>
          <w:tcPr>
            <w:tcW w:w="1448" w:type="dxa"/>
          </w:tcPr>
          <w:p w14:paraId="05031F52" w14:textId="77777777" w:rsidR="0009446A" w:rsidRPr="00FB2111" w:rsidRDefault="0009446A" w:rsidP="0009446A">
            <w:r w:rsidRPr="00FB2111">
              <w:t>-</w:t>
            </w:r>
          </w:p>
        </w:tc>
        <w:tc>
          <w:tcPr>
            <w:tcW w:w="1448" w:type="dxa"/>
          </w:tcPr>
          <w:p w14:paraId="63D537DF" w14:textId="36D07D13" w:rsidR="0009446A" w:rsidRPr="00FB2111" w:rsidRDefault="0009446A" w:rsidP="0009446A">
            <w:r>
              <w:t>HSE</w:t>
            </w:r>
          </w:p>
        </w:tc>
      </w:tr>
      <w:tr w:rsidR="00920FE7" w:rsidRPr="00FB2111" w14:paraId="106105D6" w14:textId="77777777" w:rsidTr="00D72032">
        <w:tc>
          <w:tcPr>
            <w:tcW w:w="1305" w:type="dxa"/>
          </w:tcPr>
          <w:p w14:paraId="30A3E283" w14:textId="4D9C3241" w:rsidR="0009446A" w:rsidRPr="00FB2111" w:rsidRDefault="00247DF8" w:rsidP="0009446A">
            <w:r>
              <w:t xml:space="preserve"> Annex 1 of Schedule 10</w:t>
            </w:r>
          </w:p>
        </w:tc>
        <w:tc>
          <w:tcPr>
            <w:tcW w:w="1559" w:type="dxa"/>
          </w:tcPr>
          <w:p w14:paraId="1A358639" w14:textId="77777777" w:rsidR="0009446A" w:rsidRPr="00FB2111" w:rsidRDefault="0009446A" w:rsidP="0009446A">
            <w:r w:rsidRPr="00FB2111">
              <w:t>Minutes of governance meetings (all boards)</w:t>
            </w:r>
          </w:p>
        </w:tc>
        <w:tc>
          <w:tcPr>
            <w:tcW w:w="1217" w:type="dxa"/>
          </w:tcPr>
          <w:p w14:paraId="126AE8E4" w14:textId="7CE81DD5" w:rsidR="0009446A" w:rsidRPr="00FB2111" w:rsidRDefault="0009446A" w:rsidP="0009446A">
            <w:r w:rsidRPr="00240055">
              <w:t>As appropriate and agreed by HSE</w:t>
            </w:r>
          </w:p>
        </w:tc>
        <w:tc>
          <w:tcPr>
            <w:tcW w:w="2086" w:type="dxa"/>
          </w:tcPr>
          <w:p w14:paraId="2A751E70" w14:textId="77777777" w:rsidR="0009446A" w:rsidRPr="00FB2111" w:rsidRDefault="0009446A" w:rsidP="0009446A">
            <w:r w:rsidRPr="00FB2111">
              <w:t xml:space="preserve">Within 7 days of receipt from chairperson </w:t>
            </w:r>
          </w:p>
        </w:tc>
        <w:tc>
          <w:tcPr>
            <w:tcW w:w="1448" w:type="dxa"/>
          </w:tcPr>
          <w:p w14:paraId="6A1D7D96" w14:textId="77777777" w:rsidR="0009446A" w:rsidRPr="00FB2111" w:rsidRDefault="0009446A" w:rsidP="0009446A">
            <w:r w:rsidRPr="00FB2111">
              <w:t>-</w:t>
            </w:r>
          </w:p>
        </w:tc>
        <w:tc>
          <w:tcPr>
            <w:tcW w:w="1448" w:type="dxa"/>
          </w:tcPr>
          <w:p w14:paraId="0867C79A" w14:textId="6FCD5EB3" w:rsidR="0009446A" w:rsidRPr="00FB2111" w:rsidRDefault="0009446A" w:rsidP="0009446A">
            <w:r>
              <w:t>HSE</w:t>
            </w:r>
          </w:p>
        </w:tc>
      </w:tr>
      <w:tr w:rsidR="00920FE7" w:rsidRPr="00FB2111" w14:paraId="6CED608D" w14:textId="77777777" w:rsidTr="00D72032">
        <w:tc>
          <w:tcPr>
            <w:tcW w:w="1305" w:type="dxa"/>
          </w:tcPr>
          <w:p w14:paraId="7529A0A1" w14:textId="5ABDCE3B" w:rsidR="0009446A" w:rsidRPr="00FB2111" w:rsidRDefault="0009446A" w:rsidP="0009446A"/>
        </w:tc>
        <w:tc>
          <w:tcPr>
            <w:tcW w:w="1559" w:type="dxa"/>
          </w:tcPr>
          <w:p w14:paraId="5904420A" w14:textId="77777777" w:rsidR="0009446A" w:rsidRPr="00FB2111" w:rsidRDefault="0009446A" w:rsidP="0009446A">
            <w:r w:rsidRPr="00FB2111">
              <w:t>Impact Assessment Estimate</w:t>
            </w:r>
          </w:p>
        </w:tc>
        <w:tc>
          <w:tcPr>
            <w:tcW w:w="1217" w:type="dxa"/>
          </w:tcPr>
          <w:p w14:paraId="136655B9" w14:textId="69142EBB" w:rsidR="0009446A" w:rsidRPr="00FB2111" w:rsidRDefault="0009446A" w:rsidP="0009446A">
            <w:r w:rsidRPr="00240055">
              <w:t>As appropriate and agreed by HSE</w:t>
            </w:r>
          </w:p>
        </w:tc>
        <w:tc>
          <w:tcPr>
            <w:tcW w:w="2086" w:type="dxa"/>
          </w:tcPr>
          <w:p w14:paraId="57F356BF" w14:textId="77777777" w:rsidR="0009446A" w:rsidRPr="00FB2111" w:rsidRDefault="0009446A" w:rsidP="0009446A">
            <w:r w:rsidRPr="00FB2111">
              <w:t>Within 10 Working Days of date of receiving change request.</w:t>
            </w:r>
          </w:p>
        </w:tc>
        <w:tc>
          <w:tcPr>
            <w:tcW w:w="1448" w:type="dxa"/>
          </w:tcPr>
          <w:p w14:paraId="2D53D499" w14:textId="77777777" w:rsidR="0009446A" w:rsidRPr="00FB2111" w:rsidRDefault="0009446A" w:rsidP="0009446A">
            <w:r w:rsidRPr="00FB2111">
              <w:t>-</w:t>
            </w:r>
          </w:p>
        </w:tc>
        <w:tc>
          <w:tcPr>
            <w:tcW w:w="1448" w:type="dxa"/>
          </w:tcPr>
          <w:p w14:paraId="040FCB0D" w14:textId="4651B910" w:rsidR="0009446A" w:rsidRPr="00FB2111" w:rsidRDefault="0009446A" w:rsidP="0009446A">
            <w:r>
              <w:t>HSE</w:t>
            </w:r>
          </w:p>
        </w:tc>
      </w:tr>
      <w:tr w:rsidR="00920FE7" w:rsidRPr="00FB2111" w14:paraId="3553AC81" w14:textId="77777777" w:rsidTr="00D72032">
        <w:tc>
          <w:tcPr>
            <w:tcW w:w="1305" w:type="dxa"/>
          </w:tcPr>
          <w:p w14:paraId="30CA3304" w14:textId="6807B50C" w:rsidR="0009446A" w:rsidRPr="00FB2111" w:rsidRDefault="00B04DD2" w:rsidP="0009446A">
            <w:r>
              <w:t xml:space="preserve">Paragraph 3 of </w:t>
            </w:r>
            <w:r w:rsidR="00146346">
              <w:t>Schedule 6</w:t>
            </w:r>
            <w:r w:rsidR="00146346" w:rsidRPr="007956F1" w:rsidDel="00146346">
              <w:t xml:space="preserve"> </w:t>
            </w:r>
          </w:p>
        </w:tc>
        <w:tc>
          <w:tcPr>
            <w:tcW w:w="1559" w:type="dxa"/>
          </w:tcPr>
          <w:p w14:paraId="5813EE3A" w14:textId="77777777" w:rsidR="0009446A" w:rsidRPr="00FB2111" w:rsidRDefault="0009446A" w:rsidP="0009446A">
            <w:r w:rsidRPr="00FB2111">
              <w:t>Update full copy of the Agreement and copy of annotated version illustrating changes</w:t>
            </w:r>
          </w:p>
        </w:tc>
        <w:tc>
          <w:tcPr>
            <w:tcW w:w="1217" w:type="dxa"/>
          </w:tcPr>
          <w:p w14:paraId="0FA715BE" w14:textId="6DF7649B" w:rsidR="0009446A" w:rsidRPr="00FB2111" w:rsidRDefault="0009446A" w:rsidP="0009446A">
            <w:r w:rsidRPr="00240055">
              <w:t>As appropriate and agreed by HSE</w:t>
            </w:r>
          </w:p>
        </w:tc>
        <w:tc>
          <w:tcPr>
            <w:tcW w:w="2086" w:type="dxa"/>
          </w:tcPr>
          <w:p w14:paraId="17F9D85E" w14:textId="46DB8166" w:rsidR="0009446A" w:rsidRPr="00FB2111" w:rsidRDefault="0009446A" w:rsidP="006B444A">
            <w:r w:rsidRPr="00FB2111">
              <w:t xml:space="preserve">Signature of </w:t>
            </w:r>
            <w:r w:rsidR="006B444A">
              <w:t>Change Control Note</w:t>
            </w:r>
          </w:p>
        </w:tc>
        <w:tc>
          <w:tcPr>
            <w:tcW w:w="1448" w:type="dxa"/>
          </w:tcPr>
          <w:p w14:paraId="66EE466B" w14:textId="77777777" w:rsidR="0009446A" w:rsidRPr="00FB2111" w:rsidRDefault="0009446A" w:rsidP="0009446A">
            <w:r w:rsidRPr="00FB2111">
              <w:t>Any variation</w:t>
            </w:r>
          </w:p>
        </w:tc>
        <w:tc>
          <w:tcPr>
            <w:tcW w:w="1448" w:type="dxa"/>
          </w:tcPr>
          <w:p w14:paraId="5E106085" w14:textId="6DFFFFE4" w:rsidR="0009446A" w:rsidRPr="00FB2111" w:rsidRDefault="0009446A" w:rsidP="0009446A">
            <w:r>
              <w:t>HSE</w:t>
            </w:r>
          </w:p>
        </w:tc>
      </w:tr>
      <w:tr w:rsidR="00920FE7" w:rsidRPr="00FB2111" w14:paraId="7684E81D" w14:textId="77777777" w:rsidTr="00D72032">
        <w:tc>
          <w:tcPr>
            <w:tcW w:w="1305" w:type="dxa"/>
          </w:tcPr>
          <w:p w14:paraId="660D90B3" w14:textId="14E2E6E4" w:rsidR="0009446A" w:rsidRPr="00FB2111" w:rsidRDefault="00D774C4" w:rsidP="0009446A">
            <w:r>
              <w:t>Annex 1 of Schedule 6.</w:t>
            </w:r>
          </w:p>
        </w:tc>
        <w:tc>
          <w:tcPr>
            <w:tcW w:w="1559" w:type="dxa"/>
          </w:tcPr>
          <w:p w14:paraId="317519F1" w14:textId="189B88D4" w:rsidR="0009446A" w:rsidRPr="00FB2111" w:rsidRDefault="006B444A" w:rsidP="006B444A">
            <w:r>
              <w:t>Change Control Notes</w:t>
            </w:r>
          </w:p>
        </w:tc>
        <w:tc>
          <w:tcPr>
            <w:tcW w:w="1217" w:type="dxa"/>
          </w:tcPr>
          <w:p w14:paraId="7470F024" w14:textId="21DCE2D1" w:rsidR="0009446A" w:rsidRPr="00FB2111" w:rsidRDefault="0009446A" w:rsidP="0009446A">
            <w:r w:rsidRPr="00240055">
              <w:t>As appropriate and agreed by HSE</w:t>
            </w:r>
          </w:p>
        </w:tc>
        <w:tc>
          <w:tcPr>
            <w:tcW w:w="2086" w:type="dxa"/>
          </w:tcPr>
          <w:p w14:paraId="2BB97AC2" w14:textId="64F7C458" w:rsidR="0009446A" w:rsidRPr="00FB2111" w:rsidRDefault="003453F9" w:rsidP="0009446A">
            <w:r>
              <w:t>In accordance with Schedule 6 (Change Control Procedure)</w:t>
            </w:r>
          </w:p>
        </w:tc>
        <w:tc>
          <w:tcPr>
            <w:tcW w:w="1448" w:type="dxa"/>
          </w:tcPr>
          <w:p w14:paraId="05A72AB0" w14:textId="10345C02" w:rsidR="0009446A" w:rsidRPr="00FB2111" w:rsidRDefault="003453F9" w:rsidP="0009446A">
            <w:r>
              <w:t>In accordance with Schedule 6 (Change Control Procedure)</w:t>
            </w:r>
          </w:p>
        </w:tc>
        <w:tc>
          <w:tcPr>
            <w:tcW w:w="1448" w:type="dxa"/>
          </w:tcPr>
          <w:p w14:paraId="791D5CFA" w14:textId="43BA6BC1" w:rsidR="0009446A" w:rsidRPr="00FB2111" w:rsidRDefault="0009446A" w:rsidP="0009446A">
            <w:r>
              <w:t>HSE</w:t>
            </w:r>
          </w:p>
        </w:tc>
      </w:tr>
      <w:tr w:rsidR="00920FE7" w:rsidRPr="00FB2111" w14:paraId="418AAFBC" w14:textId="77777777" w:rsidTr="00D72032">
        <w:tc>
          <w:tcPr>
            <w:tcW w:w="1305" w:type="dxa"/>
          </w:tcPr>
          <w:p w14:paraId="63C9A621" w14:textId="56D3A877" w:rsidR="0009446A" w:rsidRPr="00FB2111" w:rsidRDefault="00DA28A4" w:rsidP="0009446A">
            <w:r>
              <w:t>Paragraph 2.4 of Schedule 19</w:t>
            </w:r>
            <w:r w:rsidR="00F47B64">
              <w:t>.</w:t>
            </w:r>
          </w:p>
        </w:tc>
        <w:tc>
          <w:tcPr>
            <w:tcW w:w="1559" w:type="dxa"/>
          </w:tcPr>
          <w:p w14:paraId="49F73B18" w14:textId="77777777" w:rsidR="0009446A" w:rsidRPr="00FB2111" w:rsidRDefault="0009446A" w:rsidP="0009446A">
            <w:r w:rsidRPr="00FB2111">
              <w:t>Dispute Notice</w:t>
            </w:r>
          </w:p>
        </w:tc>
        <w:tc>
          <w:tcPr>
            <w:tcW w:w="1217" w:type="dxa"/>
          </w:tcPr>
          <w:p w14:paraId="2CA2F245" w14:textId="61C49956" w:rsidR="0009446A" w:rsidRPr="00FB2111" w:rsidRDefault="0009446A" w:rsidP="0009446A">
            <w:r w:rsidRPr="00240055">
              <w:t>As appropriate and agreed by HSE</w:t>
            </w:r>
          </w:p>
        </w:tc>
        <w:tc>
          <w:tcPr>
            <w:tcW w:w="2086" w:type="dxa"/>
          </w:tcPr>
          <w:p w14:paraId="0234FFC9" w14:textId="4E3B6A5C" w:rsidR="0009446A" w:rsidRPr="00FB2111" w:rsidRDefault="006B444A" w:rsidP="0009446A">
            <w:r>
              <w:t>In accordance with Schedule 19 (Dispute Resolution)</w:t>
            </w:r>
          </w:p>
        </w:tc>
        <w:tc>
          <w:tcPr>
            <w:tcW w:w="1448" w:type="dxa"/>
          </w:tcPr>
          <w:p w14:paraId="464576C5" w14:textId="586C1766" w:rsidR="0009446A" w:rsidRPr="00FB2111" w:rsidRDefault="006B444A" w:rsidP="0009446A">
            <w:r>
              <w:t>In accordance with Schedule 19 (Dispute Resolution)</w:t>
            </w:r>
          </w:p>
        </w:tc>
        <w:tc>
          <w:tcPr>
            <w:tcW w:w="1448" w:type="dxa"/>
          </w:tcPr>
          <w:p w14:paraId="71EA389C" w14:textId="45CA84F0" w:rsidR="0009446A" w:rsidRPr="00FB2111" w:rsidRDefault="0009446A" w:rsidP="0009446A">
            <w:r>
              <w:t>HSE</w:t>
            </w:r>
          </w:p>
        </w:tc>
      </w:tr>
      <w:tr w:rsidR="00920FE7" w:rsidRPr="00FB2111" w14:paraId="7C52B0F0" w14:textId="77777777" w:rsidTr="00D72032">
        <w:tc>
          <w:tcPr>
            <w:tcW w:w="1305" w:type="dxa"/>
          </w:tcPr>
          <w:p w14:paraId="6631A544" w14:textId="6F2C4723" w:rsidR="0009446A" w:rsidRPr="00FB2111" w:rsidRDefault="008E1B08" w:rsidP="0009446A">
            <w:r>
              <w:lastRenderedPageBreak/>
              <w:t>Paragraph 2 of Schedule 12</w:t>
            </w:r>
            <w:r w:rsidRPr="007956F1" w:rsidDel="008E1B08">
              <w:t xml:space="preserve"> </w:t>
            </w:r>
          </w:p>
        </w:tc>
        <w:tc>
          <w:tcPr>
            <w:tcW w:w="1559" w:type="dxa"/>
          </w:tcPr>
          <w:p w14:paraId="199E08F5" w14:textId="16F8FEBC" w:rsidR="0009446A" w:rsidRPr="00FB2111" w:rsidRDefault="0009446A" w:rsidP="006B444A">
            <w:r w:rsidRPr="00FB2111">
              <w:t xml:space="preserve">Register of All </w:t>
            </w:r>
            <w:r w:rsidR="006B444A">
              <w:t xml:space="preserve">HSE </w:t>
            </w:r>
            <w:r w:rsidRPr="00FB2111">
              <w:t>Assets</w:t>
            </w:r>
            <w:r w:rsidR="00920FE7">
              <w:t>, configuration database</w:t>
            </w:r>
            <w:r w:rsidR="006B444A">
              <w:t xml:space="preserve"> etc. in accordance with paragraph 2.1 of Schedule 12 (Exit Management)</w:t>
            </w:r>
          </w:p>
        </w:tc>
        <w:tc>
          <w:tcPr>
            <w:tcW w:w="1217" w:type="dxa"/>
          </w:tcPr>
          <w:p w14:paraId="5ECA5E04" w14:textId="5DED6EE1" w:rsidR="0009446A" w:rsidRPr="00FB2111" w:rsidRDefault="0009446A" w:rsidP="0009446A">
            <w:r w:rsidRPr="00240055">
              <w:t>As appropriate and agreed by HSE</w:t>
            </w:r>
          </w:p>
        </w:tc>
        <w:tc>
          <w:tcPr>
            <w:tcW w:w="2086" w:type="dxa"/>
          </w:tcPr>
          <w:p w14:paraId="1485B671" w14:textId="77777777" w:rsidR="0009446A" w:rsidRPr="00FB2111" w:rsidRDefault="0009446A" w:rsidP="0009446A">
            <w:r w:rsidRPr="00FB2111">
              <w:t>Within 3 months of the Effective Date</w:t>
            </w:r>
          </w:p>
        </w:tc>
        <w:tc>
          <w:tcPr>
            <w:tcW w:w="1448" w:type="dxa"/>
          </w:tcPr>
          <w:p w14:paraId="68B4D19C" w14:textId="503A0AA0" w:rsidR="0009446A" w:rsidRPr="00FB2111" w:rsidRDefault="0009446A" w:rsidP="006B444A">
            <w:r w:rsidRPr="00FB2111">
              <w:t>Any variation</w:t>
            </w:r>
            <w:r w:rsidR="006B444A">
              <w:t xml:space="preserve"> and in accordance with Schedule 12 (Exit Management)</w:t>
            </w:r>
          </w:p>
        </w:tc>
        <w:tc>
          <w:tcPr>
            <w:tcW w:w="1448" w:type="dxa"/>
          </w:tcPr>
          <w:p w14:paraId="7BDA2F3A" w14:textId="78C39390" w:rsidR="0009446A" w:rsidRPr="00FB2111" w:rsidRDefault="0009446A" w:rsidP="0009446A">
            <w:r>
              <w:t>HSE</w:t>
            </w:r>
            <w:r w:rsidR="00920FE7">
              <w:t xml:space="preserve"> and its potential Replacement Providers</w:t>
            </w:r>
          </w:p>
        </w:tc>
      </w:tr>
      <w:tr w:rsidR="00920FE7" w:rsidRPr="00FB2111" w14:paraId="367B3D8C" w14:textId="77777777" w:rsidTr="00D72032">
        <w:tc>
          <w:tcPr>
            <w:tcW w:w="1305" w:type="dxa"/>
          </w:tcPr>
          <w:p w14:paraId="3F1DCD56" w14:textId="3F1A027A" w:rsidR="0009446A" w:rsidRPr="00FB2111" w:rsidRDefault="00014377" w:rsidP="0009446A">
            <w:r>
              <w:t xml:space="preserve"> </w:t>
            </w:r>
            <w:r w:rsidR="000A42BB">
              <w:t>N/a</w:t>
            </w:r>
          </w:p>
        </w:tc>
        <w:tc>
          <w:tcPr>
            <w:tcW w:w="1559" w:type="dxa"/>
          </w:tcPr>
          <w:p w14:paraId="755B4537" w14:textId="77777777" w:rsidR="0009446A" w:rsidRPr="00FB2111" w:rsidRDefault="0009446A" w:rsidP="0009446A">
            <w:r w:rsidRPr="00FB2111">
              <w:t xml:space="preserve">Exit Information </w:t>
            </w:r>
          </w:p>
        </w:tc>
        <w:tc>
          <w:tcPr>
            <w:tcW w:w="1217" w:type="dxa"/>
          </w:tcPr>
          <w:p w14:paraId="497B3B2D" w14:textId="269AE693" w:rsidR="0009446A" w:rsidRPr="00FB2111" w:rsidRDefault="0009446A" w:rsidP="0009446A">
            <w:r w:rsidRPr="00240055">
              <w:t>As appropriate and agreed by HSE</w:t>
            </w:r>
          </w:p>
        </w:tc>
        <w:tc>
          <w:tcPr>
            <w:tcW w:w="2086" w:type="dxa"/>
          </w:tcPr>
          <w:p w14:paraId="179A1247" w14:textId="0E1991D9" w:rsidR="0009446A" w:rsidRPr="00FB2111" w:rsidRDefault="0009446A" w:rsidP="0009446A">
            <w:r w:rsidRPr="00FB2111">
              <w:t xml:space="preserve">On reasonable notice given by </w:t>
            </w:r>
            <w:r>
              <w:t>HSE</w:t>
            </w:r>
            <w:r w:rsidRPr="00FB2111">
              <w:t xml:space="preserve"> at any point during the Term</w:t>
            </w:r>
          </w:p>
        </w:tc>
        <w:tc>
          <w:tcPr>
            <w:tcW w:w="1448" w:type="dxa"/>
          </w:tcPr>
          <w:p w14:paraId="0CBBFAF9" w14:textId="1F8C5971" w:rsidR="0009446A" w:rsidRPr="00FB2111" w:rsidRDefault="0009446A" w:rsidP="0009446A">
            <w:r w:rsidRPr="00FB2111">
              <w:t xml:space="preserve">Within 10 Working Days of </w:t>
            </w:r>
            <w:r>
              <w:t>HSE</w:t>
            </w:r>
            <w:r w:rsidRPr="00FB2111">
              <w:t>’s written request</w:t>
            </w:r>
          </w:p>
        </w:tc>
        <w:tc>
          <w:tcPr>
            <w:tcW w:w="1448" w:type="dxa"/>
          </w:tcPr>
          <w:p w14:paraId="2297D962" w14:textId="664FF4D4" w:rsidR="0009446A" w:rsidRPr="00FB2111" w:rsidRDefault="0009446A" w:rsidP="0009446A">
            <w:r>
              <w:t>HSE</w:t>
            </w:r>
            <w:r w:rsidRPr="00FB2111">
              <w:t xml:space="preserve"> and its potential Replacement </w:t>
            </w:r>
            <w:r>
              <w:t>Provider</w:t>
            </w:r>
            <w:r w:rsidRPr="00FB2111">
              <w:t>s</w:t>
            </w:r>
          </w:p>
        </w:tc>
      </w:tr>
      <w:tr w:rsidR="00920FE7" w:rsidRPr="00FB2111" w14:paraId="1A6A356D" w14:textId="77777777" w:rsidTr="00D72032">
        <w:tc>
          <w:tcPr>
            <w:tcW w:w="1305" w:type="dxa"/>
          </w:tcPr>
          <w:p w14:paraId="30F4FF7F" w14:textId="0D57FED9" w:rsidR="0009446A" w:rsidRPr="00FB2111" w:rsidRDefault="00E57734" w:rsidP="0009446A">
            <w:r>
              <w:t>Paragraph 4 of Schedule 12</w:t>
            </w:r>
            <w:r w:rsidRPr="007956F1" w:rsidDel="00E57734">
              <w:t xml:space="preserve"> </w:t>
            </w:r>
          </w:p>
        </w:tc>
        <w:tc>
          <w:tcPr>
            <w:tcW w:w="1559" w:type="dxa"/>
          </w:tcPr>
          <w:p w14:paraId="41FA8A98" w14:textId="77777777" w:rsidR="0009446A" w:rsidRPr="00FB2111" w:rsidRDefault="0009446A" w:rsidP="0009446A">
            <w:r w:rsidRPr="00FB2111">
              <w:t>Exit Plan</w:t>
            </w:r>
          </w:p>
        </w:tc>
        <w:tc>
          <w:tcPr>
            <w:tcW w:w="1217" w:type="dxa"/>
          </w:tcPr>
          <w:p w14:paraId="43A3D2CB" w14:textId="24704C5F" w:rsidR="0009446A" w:rsidRPr="00FB2111" w:rsidRDefault="0009446A" w:rsidP="0009446A">
            <w:r w:rsidRPr="00240055">
              <w:t>As appropriate and agreed by HSE</w:t>
            </w:r>
          </w:p>
        </w:tc>
        <w:tc>
          <w:tcPr>
            <w:tcW w:w="2086" w:type="dxa"/>
          </w:tcPr>
          <w:p w14:paraId="7EDA8CF6" w14:textId="77777777" w:rsidR="0009446A" w:rsidRPr="00FB2111" w:rsidRDefault="0009446A" w:rsidP="0009446A">
            <w:r w:rsidRPr="00FB2111">
              <w:t>Within 3 months of the Effective Date</w:t>
            </w:r>
          </w:p>
        </w:tc>
        <w:tc>
          <w:tcPr>
            <w:tcW w:w="1448" w:type="dxa"/>
          </w:tcPr>
          <w:p w14:paraId="215EA3B1" w14:textId="29648BFE" w:rsidR="0009446A" w:rsidRPr="00FB2111" w:rsidRDefault="0009446A" w:rsidP="0009446A">
            <w:r w:rsidRPr="00FB2111">
              <w:t xml:space="preserve">In the first month of each </w:t>
            </w:r>
            <w:r w:rsidR="007A0499">
              <w:t>C</w:t>
            </w:r>
            <w:r w:rsidRPr="00FB2111">
              <w:t xml:space="preserve">ontract </w:t>
            </w:r>
            <w:r w:rsidR="007A0499">
              <w:t>Y</w:t>
            </w:r>
            <w:r w:rsidRPr="00FB2111">
              <w:t>ear; and</w:t>
            </w:r>
          </w:p>
          <w:p w14:paraId="46BA8D8D" w14:textId="388845A7" w:rsidR="0009446A" w:rsidRPr="00FB2111" w:rsidRDefault="0009446A" w:rsidP="0009446A">
            <w:r w:rsidRPr="00FB2111">
              <w:t xml:space="preserve">Within 14 days if requested by </w:t>
            </w:r>
            <w:r>
              <w:t>HSE</w:t>
            </w:r>
            <w:r w:rsidRPr="00FB2111">
              <w:t xml:space="preserve"> following a Financial Distress Event</w:t>
            </w:r>
          </w:p>
          <w:p w14:paraId="7DD5224D" w14:textId="6CA162F1" w:rsidR="0009446A" w:rsidRPr="00FB2111" w:rsidRDefault="0009446A" w:rsidP="0009446A">
            <w:r w:rsidRPr="00FB2111">
              <w:t xml:space="preserve">Within 20 days after service of </w:t>
            </w:r>
            <w:bookmarkStart w:id="2556" w:name="_9kMON5YVt4CE9ELjOt2uwpw517hdGBvs"/>
            <w:r w:rsidRPr="00FB2111">
              <w:t>Termination Notice</w:t>
            </w:r>
            <w:bookmarkEnd w:id="2556"/>
            <w:r w:rsidRPr="00FB2111">
              <w:t xml:space="preserve"> or 6 months prior to expiry of </w:t>
            </w:r>
            <w:r>
              <w:t>the Agreement</w:t>
            </w:r>
          </w:p>
        </w:tc>
        <w:tc>
          <w:tcPr>
            <w:tcW w:w="1448" w:type="dxa"/>
          </w:tcPr>
          <w:p w14:paraId="7491DA22" w14:textId="032EACCF" w:rsidR="0009446A" w:rsidRPr="00FB2111" w:rsidRDefault="0009446A" w:rsidP="0009446A">
            <w:r>
              <w:t>HSE</w:t>
            </w:r>
          </w:p>
        </w:tc>
      </w:tr>
      <w:tr w:rsidR="00920FE7" w:rsidRPr="00FB2111" w14:paraId="25C6B119" w14:textId="77777777" w:rsidTr="00D72032">
        <w:tc>
          <w:tcPr>
            <w:tcW w:w="1305" w:type="dxa"/>
          </w:tcPr>
          <w:p w14:paraId="77905FCD" w14:textId="21D7CD3C" w:rsidR="0009446A" w:rsidRPr="00FB2111" w:rsidRDefault="00E57734" w:rsidP="0009446A">
            <w:r>
              <w:t xml:space="preserve">Paragraph </w:t>
            </w:r>
            <w:r w:rsidR="0001279E">
              <w:t>5.1</w:t>
            </w:r>
            <w:r>
              <w:t xml:space="preserve"> of Schedule 12</w:t>
            </w:r>
          </w:p>
        </w:tc>
        <w:tc>
          <w:tcPr>
            <w:tcW w:w="1559" w:type="dxa"/>
          </w:tcPr>
          <w:p w14:paraId="78B82711" w14:textId="30A841F0" w:rsidR="0009446A" w:rsidRPr="00FB2111" w:rsidRDefault="0009446A" w:rsidP="0009446A">
            <w:r w:rsidRPr="00FB2111">
              <w:t xml:space="preserve">Provide up to date </w:t>
            </w:r>
            <w:r w:rsidR="00920FE7">
              <w:t xml:space="preserve">exit-related information </w:t>
            </w:r>
            <w:r w:rsidRPr="00FB2111">
              <w:t xml:space="preserve"> during the Termination Assistance Period</w:t>
            </w:r>
          </w:p>
        </w:tc>
        <w:tc>
          <w:tcPr>
            <w:tcW w:w="1217" w:type="dxa"/>
          </w:tcPr>
          <w:p w14:paraId="4BBFB115" w14:textId="258BEF5C" w:rsidR="0009446A" w:rsidRPr="00FB2111" w:rsidRDefault="0009446A" w:rsidP="0009446A">
            <w:r w:rsidRPr="00240055">
              <w:t>As appropriate and agreed by HSE</w:t>
            </w:r>
          </w:p>
        </w:tc>
        <w:tc>
          <w:tcPr>
            <w:tcW w:w="2086" w:type="dxa"/>
          </w:tcPr>
          <w:p w14:paraId="13F960DA" w14:textId="08A9B4C5" w:rsidR="0009446A" w:rsidRPr="00FB2111" w:rsidRDefault="0009446A" w:rsidP="0009446A">
            <w:r w:rsidRPr="00FB2111">
              <w:t xml:space="preserve">As requested by </w:t>
            </w:r>
            <w:r>
              <w:t>HSE</w:t>
            </w:r>
          </w:p>
        </w:tc>
        <w:tc>
          <w:tcPr>
            <w:tcW w:w="1448" w:type="dxa"/>
          </w:tcPr>
          <w:p w14:paraId="61054616" w14:textId="77777777" w:rsidR="0009446A" w:rsidRPr="00FB2111" w:rsidRDefault="0009446A" w:rsidP="0009446A">
            <w:r w:rsidRPr="00FB2111">
              <w:t>As appropriate</w:t>
            </w:r>
          </w:p>
        </w:tc>
        <w:tc>
          <w:tcPr>
            <w:tcW w:w="1448" w:type="dxa"/>
          </w:tcPr>
          <w:p w14:paraId="225EB15B" w14:textId="77777777" w:rsidR="0009446A" w:rsidRPr="00FB2111" w:rsidRDefault="0009446A" w:rsidP="0009446A"/>
        </w:tc>
      </w:tr>
      <w:tr w:rsidR="00920FE7" w:rsidRPr="00FB2111" w14:paraId="074821BB" w14:textId="77777777" w:rsidTr="00D72032">
        <w:tc>
          <w:tcPr>
            <w:tcW w:w="1305" w:type="dxa"/>
          </w:tcPr>
          <w:p w14:paraId="5284D908" w14:textId="5113F04F" w:rsidR="0009446A" w:rsidRPr="00FB2111" w:rsidRDefault="00BB2D34" w:rsidP="0009446A">
            <w:r>
              <w:lastRenderedPageBreak/>
              <w:t>Paragraph 7</w:t>
            </w:r>
            <w:r w:rsidR="009C5B32">
              <w:t>.2</w:t>
            </w:r>
            <w:r>
              <w:t xml:space="preserve"> of Schedule 12.</w:t>
            </w:r>
          </w:p>
        </w:tc>
        <w:tc>
          <w:tcPr>
            <w:tcW w:w="1559" w:type="dxa"/>
          </w:tcPr>
          <w:p w14:paraId="4D86F6A6" w14:textId="046A572B" w:rsidR="0009446A" w:rsidRPr="00FB2111" w:rsidRDefault="0009446A" w:rsidP="0009446A">
            <w:r>
              <w:t>HSE</w:t>
            </w:r>
            <w:r w:rsidRPr="00FB2111">
              <w:t xml:space="preserve"> Data (handback)</w:t>
            </w:r>
          </w:p>
        </w:tc>
        <w:tc>
          <w:tcPr>
            <w:tcW w:w="1217" w:type="dxa"/>
          </w:tcPr>
          <w:p w14:paraId="4DB129FA" w14:textId="5D28DEE9" w:rsidR="0009446A" w:rsidRPr="00FB2111" w:rsidRDefault="0009446A" w:rsidP="0009446A">
            <w:r w:rsidRPr="00240055">
              <w:t>As appropriate and agreed by HSE</w:t>
            </w:r>
          </w:p>
        </w:tc>
        <w:tc>
          <w:tcPr>
            <w:tcW w:w="2086" w:type="dxa"/>
          </w:tcPr>
          <w:p w14:paraId="20A43656" w14:textId="77777777" w:rsidR="0009446A" w:rsidRPr="00FB2111" w:rsidRDefault="0009446A" w:rsidP="0009446A">
            <w:r w:rsidRPr="00FB2111">
              <w:t>At the end of the Termination Assistance Period</w:t>
            </w:r>
          </w:p>
        </w:tc>
        <w:tc>
          <w:tcPr>
            <w:tcW w:w="1448" w:type="dxa"/>
          </w:tcPr>
          <w:p w14:paraId="56C544E7" w14:textId="77777777" w:rsidR="0009446A" w:rsidRPr="00FB2111" w:rsidRDefault="0009446A" w:rsidP="0009446A">
            <w:r w:rsidRPr="00FB2111">
              <w:t>-</w:t>
            </w:r>
          </w:p>
        </w:tc>
        <w:tc>
          <w:tcPr>
            <w:tcW w:w="1448" w:type="dxa"/>
          </w:tcPr>
          <w:p w14:paraId="68F12C94" w14:textId="03FC6E02" w:rsidR="0009446A" w:rsidRPr="00FB2111" w:rsidRDefault="0009446A" w:rsidP="0009446A">
            <w:r>
              <w:t>HSE</w:t>
            </w:r>
            <w:r w:rsidRPr="00FB2111">
              <w:t xml:space="preserve"> </w:t>
            </w:r>
          </w:p>
        </w:tc>
      </w:tr>
      <w:tr w:rsidR="00920FE7" w:rsidRPr="00FB2111" w14:paraId="31B3B094" w14:textId="77777777" w:rsidTr="00D72032">
        <w:tc>
          <w:tcPr>
            <w:tcW w:w="1305" w:type="dxa"/>
          </w:tcPr>
          <w:p w14:paraId="7542AEFD" w14:textId="16CFB209" w:rsidR="0009446A" w:rsidRPr="00FB2111" w:rsidRDefault="00222364" w:rsidP="0009446A">
            <w:r>
              <w:t>Paragraph 7 of Schedule 12.</w:t>
            </w:r>
          </w:p>
        </w:tc>
        <w:tc>
          <w:tcPr>
            <w:tcW w:w="1559" w:type="dxa"/>
          </w:tcPr>
          <w:p w14:paraId="1A40189F" w14:textId="6F132518" w:rsidR="0009446A" w:rsidRPr="00FB2111" w:rsidRDefault="0009446A" w:rsidP="00920FE7">
            <w:r w:rsidRPr="00FB2111">
              <w:t xml:space="preserve">Termination </w:t>
            </w:r>
            <w:r w:rsidR="00920FE7">
              <w:t>Assistance</w:t>
            </w:r>
            <w:r w:rsidR="00920FE7" w:rsidRPr="00FB2111">
              <w:t xml:space="preserve"> </w:t>
            </w:r>
            <w:r w:rsidRPr="00FB2111">
              <w:t>supporting documentation and knowledge transfer material</w:t>
            </w:r>
          </w:p>
        </w:tc>
        <w:tc>
          <w:tcPr>
            <w:tcW w:w="1217" w:type="dxa"/>
          </w:tcPr>
          <w:p w14:paraId="27FD5737" w14:textId="5546AC59" w:rsidR="0009446A" w:rsidRPr="00FB2111" w:rsidRDefault="0009446A" w:rsidP="0009446A">
            <w:r w:rsidRPr="00240055">
              <w:t>As appropriate and agreed by HSE</w:t>
            </w:r>
          </w:p>
        </w:tc>
        <w:tc>
          <w:tcPr>
            <w:tcW w:w="2086" w:type="dxa"/>
          </w:tcPr>
          <w:p w14:paraId="3D07AF73" w14:textId="77777777" w:rsidR="0009446A" w:rsidRPr="00FB2111" w:rsidRDefault="0009446A" w:rsidP="0009446A">
            <w:r w:rsidRPr="00FB2111">
              <w:t xml:space="preserve">As specified in the Termination Assistance Notice and in any event prior to the end of the Termination Assistance Period </w:t>
            </w:r>
          </w:p>
        </w:tc>
        <w:tc>
          <w:tcPr>
            <w:tcW w:w="1448" w:type="dxa"/>
          </w:tcPr>
          <w:p w14:paraId="6AE299C7" w14:textId="6B964C9F" w:rsidR="0009446A" w:rsidRPr="00FB2111" w:rsidRDefault="0009446A" w:rsidP="0009446A">
            <w:r w:rsidRPr="00FB2111">
              <w:t xml:space="preserve">As specified in the Termination Assistance Notice or otherwise requested by </w:t>
            </w:r>
            <w:r>
              <w:t>HSE</w:t>
            </w:r>
            <w:r w:rsidRPr="00FB2111">
              <w:t xml:space="preserve"> </w:t>
            </w:r>
          </w:p>
        </w:tc>
        <w:tc>
          <w:tcPr>
            <w:tcW w:w="1448" w:type="dxa"/>
          </w:tcPr>
          <w:p w14:paraId="123260AE" w14:textId="77777777" w:rsidR="0009446A" w:rsidRPr="00FB2111" w:rsidRDefault="0009446A" w:rsidP="0009446A">
            <w:r w:rsidRPr="00FB2111">
              <w:t>-</w:t>
            </w:r>
          </w:p>
        </w:tc>
      </w:tr>
      <w:tr w:rsidR="00920FE7" w:rsidRPr="00FB2111" w14:paraId="0878BD96" w14:textId="77777777" w:rsidTr="00D72032">
        <w:tc>
          <w:tcPr>
            <w:tcW w:w="1305" w:type="dxa"/>
          </w:tcPr>
          <w:p w14:paraId="5589EE8A" w14:textId="24FAC40D" w:rsidR="0009446A" w:rsidRPr="00FB2111" w:rsidRDefault="007E4CD2" w:rsidP="0009446A">
            <w:r>
              <w:t>Paragraph 1 of Schedule 15</w:t>
            </w:r>
          </w:p>
        </w:tc>
        <w:tc>
          <w:tcPr>
            <w:tcW w:w="1559" w:type="dxa"/>
          </w:tcPr>
          <w:p w14:paraId="2790F6A1" w14:textId="77777777" w:rsidR="0009446A" w:rsidRPr="00FB2111" w:rsidRDefault="0009446A" w:rsidP="0009446A">
            <w:r w:rsidRPr="00FB2111">
              <w:t>Service Continuity Plan</w:t>
            </w:r>
          </w:p>
        </w:tc>
        <w:tc>
          <w:tcPr>
            <w:tcW w:w="1217" w:type="dxa"/>
          </w:tcPr>
          <w:p w14:paraId="7F5257CD" w14:textId="134EC247" w:rsidR="0009446A" w:rsidRPr="00FB2111" w:rsidRDefault="0009446A" w:rsidP="0009446A">
            <w:r w:rsidRPr="00240055">
              <w:t>As appropriate and agreed by HSE</w:t>
            </w:r>
          </w:p>
        </w:tc>
        <w:tc>
          <w:tcPr>
            <w:tcW w:w="2086" w:type="dxa"/>
          </w:tcPr>
          <w:p w14:paraId="14FF4119" w14:textId="77777777" w:rsidR="0009446A" w:rsidRPr="00FB2111" w:rsidRDefault="0009446A" w:rsidP="0009446A">
            <w:r w:rsidRPr="00FB2111">
              <w:t>Within 40 Working Days from the Effective Date</w:t>
            </w:r>
          </w:p>
        </w:tc>
        <w:tc>
          <w:tcPr>
            <w:tcW w:w="1448" w:type="dxa"/>
          </w:tcPr>
          <w:p w14:paraId="1F7105AB" w14:textId="76164D2F" w:rsidR="0009446A" w:rsidRPr="00FB2111" w:rsidRDefault="00731B08" w:rsidP="0009446A">
            <w:r>
              <w:t>In accordance with Schedule 15</w:t>
            </w:r>
          </w:p>
        </w:tc>
        <w:tc>
          <w:tcPr>
            <w:tcW w:w="1448" w:type="dxa"/>
          </w:tcPr>
          <w:p w14:paraId="4DF343B1" w14:textId="4F7FDF81" w:rsidR="0009446A" w:rsidRPr="00FB2111" w:rsidRDefault="0009446A" w:rsidP="0009446A">
            <w:r>
              <w:t>HSE</w:t>
            </w:r>
          </w:p>
        </w:tc>
      </w:tr>
      <w:tr w:rsidR="00920FE7" w:rsidRPr="00FB2111" w14:paraId="60380726" w14:textId="77777777" w:rsidTr="00D72032">
        <w:tc>
          <w:tcPr>
            <w:tcW w:w="1305" w:type="dxa"/>
          </w:tcPr>
          <w:p w14:paraId="1B0DE6A1" w14:textId="28F4C9F9" w:rsidR="0009446A" w:rsidRPr="00FB2111" w:rsidRDefault="005D7872" w:rsidP="0009446A">
            <w:r>
              <w:t xml:space="preserve">Paragraph </w:t>
            </w:r>
            <w:r w:rsidR="00482871">
              <w:t>6.2</w:t>
            </w:r>
            <w:r>
              <w:t xml:space="preserve"> of Schedule 15</w:t>
            </w:r>
            <w:r w:rsidRPr="007956F1" w:rsidDel="005D7872">
              <w:t xml:space="preserve"> </w:t>
            </w:r>
          </w:p>
        </w:tc>
        <w:tc>
          <w:tcPr>
            <w:tcW w:w="1559" w:type="dxa"/>
          </w:tcPr>
          <w:p w14:paraId="7F557EBC" w14:textId="77777777" w:rsidR="0009446A" w:rsidRPr="00FB2111" w:rsidRDefault="0009446A" w:rsidP="0009446A">
            <w:r w:rsidRPr="00FB2111">
              <w:t>Service Continuity Plan Review Report</w:t>
            </w:r>
          </w:p>
        </w:tc>
        <w:tc>
          <w:tcPr>
            <w:tcW w:w="1217" w:type="dxa"/>
          </w:tcPr>
          <w:p w14:paraId="0DEBE0BF" w14:textId="77AE3D2A" w:rsidR="0009446A" w:rsidRPr="00FB2111" w:rsidRDefault="0009446A" w:rsidP="0009446A">
            <w:r w:rsidRPr="00240055">
              <w:t>As appropriate and agreed by HSE</w:t>
            </w:r>
          </w:p>
        </w:tc>
        <w:tc>
          <w:tcPr>
            <w:tcW w:w="2086" w:type="dxa"/>
          </w:tcPr>
          <w:p w14:paraId="2D19A8F9" w14:textId="77777777" w:rsidR="0009446A" w:rsidRPr="00FB2111" w:rsidRDefault="0009446A" w:rsidP="0009446A">
            <w:r w:rsidRPr="00FB2111">
              <w:t>Within 20 Working Days of the conclusion of each review of the Service Continuity Plan.</w:t>
            </w:r>
          </w:p>
        </w:tc>
        <w:tc>
          <w:tcPr>
            <w:tcW w:w="1448" w:type="dxa"/>
          </w:tcPr>
          <w:p w14:paraId="4C742B07" w14:textId="77777777" w:rsidR="0009446A" w:rsidRPr="00FB2111" w:rsidRDefault="0009446A" w:rsidP="0009446A">
            <w:r w:rsidRPr="00FB2111">
              <w:t>-</w:t>
            </w:r>
          </w:p>
        </w:tc>
        <w:tc>
          <w:tcPr>
            <w:tcW w:w="1448" w:type="dxa"/>
          </w:tcPr>
          <w:p w14:paraId="1FA38BD4" w14:textId="77777777" w:rsidR="0009446A" w:rsidRPr="00FB2111" w:rsidRDefault="0009446A" w:rsidP="0009446A">
            <w:r w:rsidRPr="00FB2111">
              <w:t>-</w:t>
            </w:r>
          </w:p>
        </w:tc>
      </w:tr>
      <w:tr w:rsidR="00920FE7" w:rsidRPr="00FB2111" w14:paraId="38B389AC" w14:textId="77777777" w:rsidTr="00D72032">
        <w:tc>
          <w:tcPr>
            <w:tcW w:w="1305" w:type="dxa"/>
          </w:tcPr>
          <w:p w14:paraId="6077336A" w14:textId="1DEDF9DB" w:rsidR="0009446A" w:rsidRPr="00FB2111" w:rsidRDefault="00B737E0" w:rsidP="0009446A">
            <w:r>
              <w:t xml:space="preserve"> Paragraph 10 of Schedule 15</w:t>
            </w:r>
          </w:p>
        </w:tc>
        <w:tc>
          <w:tcPr>
            <w:tcW w:w="1559" w:type="dxa"/>
          </w:tcPr>
          <w:p w14:paraId="57FC57F3" w14:textId="77777777" w:rsidR="0009446A" w:rsidRPr="00FB2111" w:rsidRDefault="0009446A" w:rsidP="0009446A">
            <w:r w:rsidRPr="00FB2111">
              <w:t xml:space="preserve">Corporate Resolution Planning Information </w:t>
            </w:r>
          </w:p>
        </w:tc>
        <w:tc>
          <w:tcPr>
            <w:tcW w:w="1217" w:type="dxa"/>
          </w:tcPr>
          <w:p w14:paraId="06C6FB71" w14:textId="726D6446" w:rsidR="0009446A" w:rsidRPr="00FB2111" w:rsidRDefault="0009446A" w:rsidP="0009446A">
            <w:r w:rsidRPr="00240055">
              <w:t>As appropriate and agreed by HSE</w:t>
            </w:r>
          </w:p>
        </w:tc>
        <w:tc>
          <w:tcPr>
            <w:tcW w:w="2086" w:type="dxa"/>
          </w:tcPr>
          <w:p w14:paraId="1AA8E2B0" w14:textId="43595A24" w:rsidR="0009446A" w:rsidRPr="00FB2111" w:rsidRDefault="0009446A" w:rsidP="0009446A">
            <w:r w:rsidRPr="003C5AC5">
              <w:t>[     ]</w:t>
            </w:r>
          </w:p>
        </w:tc>
        <w:tc>
          <w:tcPr>
            <w:tcW w:w="1448" w:type="dxa"/>
          </w:tcPr>
          <w:p w14:paraId="5C0D3C19" w14:textId="7ED8D4D5" w:rsidR="0009446A" w:rsidRPr="00FB2111" w:rsidRDefault="0009446A" w:rsidP="0009446A">
            <w:r w:rsidRPr="003C5AC5">
              <w:t>[     ]</w:t>
            </w:r>
          </w:p>
        </w:tc>
        <w:tc>
          <w:tcPr>
            <w:tcW w:w="1448" w:type="dxa"/>
          </w:tcPr>
          <w:p w14:paraId="02C773D6" w14:textId="69ACC08C" w:rsidR="0009446A" w:rsidRPr="00FB2111" w:rsidRDefault="0009446A" w:rsidP="0009446A">
            <w:r>
              <w:t>HSE</w:t>
            </w:r>
          </w:p>
        </w:tc>
      </w:tr>
      <w:tr w:rsidR="00920FE7" w:rsidRPr="00FB2111" w14:paraId="490FF4FC" w14:textId="77777777" w:rsidTr="00D72032">
        <w:tc>
          <w:tcPr>
            <w:tcW w:w="1305" w:type="dxa"/>
          </w:tcPr>
          <w:p w14:paraId="5AB5566A" w14:textId="666E25C1" w:rsidR="0009446A" w:rsidRPr="00FB2111" w:rsidRDefault="00297576" w:rsidP="0009446A">
            <w:r>
              <w:t xml:space="preserve"> Paragraph </w:t>
            </w:r>
            <w:r w:rsidR="00791A52">
              <w:t>8</w:t>
            </w:r>
            <w:r>
              <w:t xml:space="preserve"> of Schedule 15</w:t>
            </w:r>
          </w:p>
        </w:tc>
        <w:tc>
          <w:tcPr>
            <w:tcW w:w="1559" w:type="dxa"/>
          </w:tcPr>
          <w:p w14:paraId="79C1038F" w14:textId="77777777" w:rsidR="0009446A" w:rsidRPr="00FB2111" w:rsidRDefault="0009446A" w:rsidP="0009446A">
            <w:r w:rsidRPr="00FB2111">
              <w:t>Board Confirmation</w:t>
            </w:r>
          </w:p>
        </w:tc>
        <w:tc>
          <w:tcPr>
            <w:tcW w:w="1217" w:type="dxa"/>
          </w:tcPr>
          <w:p w14:paraId="7CB28A18" w14:textId="40744FDE" w:rsidR="0009446A" w:rsidRPr="00FB2111" w:rsidRDefault="0009446A" w:rsidP="0009446A">
            <w:r w:rsidRPr="00240055">
              <w:t>As appropriate and agreed by HSE</w:t>
            </w:r>
          </w:p>
        </w:tc>
        <w:tc>
          <w:tcPr>
            <w:tcW w:w="2086" w:type="dxa"/>
          </w:tcPr>
          <w:p w14:paraId="6868B261" w14:textId="77777777" w:rsidR="0009446A" w:rsidRPr="00FB2111" w:rsidRDefault="0009446A" w:rsidP="0009446A">
            <w:r w:rsidRPr="00FB2111">
              <w:t>Within 120 days of the first Accounting Reference Date to occur</w:t>
            </w:r>
          </w:p>
        </w:tc>
        <w:tc>
          <w:tcPr>
            <w:tcW w:w="1448" w:type="dxa"/>
          </w:tcPr>
          <w:p w14:paraId="1390103A" w14:textId="77777777" w:rsidR="0009446A" w:rsidRPr="00FB2111" w:rsidRDefault="0009446A" w:rsidP="0009446A">
            <w:r w:rsidRPr="00FB2111">
              <w:t xml:space="preserve">Within 15 months of the previous Board Confirmation provided or within 120 days after each Accounting </w:t>
            </w:r>
            <w:r w:rsidRPr="00FB2111">
              <w:lastRenderedPageBreak/>
              <w:t>Reference Date (whichever is the earlier)</w:t>
            </w:r>
          </w:p>
        </w:tc>
        <w:tc>
          <w:tcPr>
            <w:tcW w:w="1448" w:type="dxa"/>
          </w:tcPr>
          <w:p w14:paraId="18CB4482" w14:textId="4928DF6D" w:rsidR="0009446A" w:rsidRPr="00FB2111" w:rsidRDefault="0009446A" w:rsidP="0009446A">
            <w:r>
              <w:lastRenderedPageBreak/>
              <w:t>HSE</w:t>
            </w:r>
          </w:p>
        </w:tc>
      </w:tr>
      <w:tr w:rsidR="00920FE7" w:rsidRPr="00FB2111" w14:paraId="7824237B" w14:textId="77777777" w:rsidTr="00D72032">
        <w:tc>
          <w:tcPr>
            <w:tcW w:w="1305" w:type="dxa"/>
          </w:tcPr>
          <w:p w14:paraId="04364583" w14:textId="099C30CF" w:rsidR="0009446A" w:rsidRPr="00FB2111" w:rsidRDefault="00F73FDB" w:rsidP="0009446A">
            <w:r>
              <w:t>Par</w:t>
            </w:r>
            <w:r w:rsidR="001264D7">
              <w:t xml:space="preserve">agraph  1.1 </w:t>
            </w:r>
            <w:r w:rsidR="00A64CAF">
              <w:t xml:space="preserve">of </w:t>
            </w:r>
            <w:r w:rsidR="001264D7">
              <w:t>Part E of</w:t>
            </w:r>
            <w:r w:rsidR="00A64CAF">
              <w:t xml:space="preserve"> Schedule </w:t>
            </w:r>
            <w:r w:rsidR="001264D7">
              <w:t>9</w:t>
            </w:r>
          </w:p>
        </w:tc>
        <w:tc>
          <w:tcPr>
            <w:tcW w:w="1559" w:type="dxa"/>
          </w:tcPr>
          <w:p w14:paraId="31155D86" w14:textId="55FC3009" w:rsidR="0009446A" w:rsidRPr="00FB2111" w:rsidRDefault="0009446A" w:rsidP="0009446A">
            <w:r>
              <w:t>Provider</w:t>
            </w:r>
            <w:r w:rsidRPr="00FB2111">
              <w:t xml:space="preserve">’s Provisional </w:t>
            </w:r>
            <w:r>
              <w:t>Provider</w:t>
            </w:r>
            <w:r w:rsidRPr="00FB2111">
              <w:t xml:space="preserve"> Personnel List and, Staffing Information</w:t>
            </w:r>
          </w:p>
        </w:tc>
        <w:tc>
          <w:tcPr>
            <w:tcW w:w="1217" w:type="dxa"/>
          </w:tcPr>
          <w:p w14:paraId="1BB1BA98" w14:textId="45F640AF" w:rsidR="0009446A" w:rsidRPr="00FB2111" w:rsidRDefault="0009446A" w:rsidP="0009446A">
            <w:r w:rsidRPr="00240055">
              <w:t>As appropriate and agreed by HSE</w:t>
            </w:r>
          </w:p>
        </w:tc>
        <w:tc>
          <w:tcPr>
            <w:tcW w:w="2086" w:type="dxa"/>
          </w:tcPr>
          <w:p w14:paraId="0C5015B0" w14:textId="758DA6F3" w:rsidR="0009446A" w:rsidRPr="00FB2111" w:rsidRDefault="0009446A" w:rsidP="0009446A">
            <w:r>
              <w:t>[     ]</w:t>
            </w:r>
          </w:p>
        </w:tc>
        <w:tc>
          <w:tcPr>
            <w:tcW w:w="1448" w:type="dxa"/>
          </w:tcPr>
          <w:p w14:paraId="775CCAD0" w14:textId="73ED2713" w:rsidR="0009446A" w:rsidRPr="00FB2111" w:rsidRDefault="0009446A" w:rsidP="0009446A">
            <w:r w:rsidRPr="00FB2111">
              <w:t xml:space="preserve">At such intervals as are reasonably requested by </w:t>
            </w:r>
            <w:r>
              <w:t>HSE</w:t>
            </w:r>
          </w:p>
        </w:tc>
        <w:tc>
          <w:tcPr>
            <w:tcW w:w="1448" w:type="dxa"/>
          </w:tcPr>
          <w:p w14:paraId="3DDD9183" w14:textId="131C40C2" w:rsidR="0009446A" w:rsidRPr="00FB2111" w:rsidRDefault="0009446A" w:rsidP="0009446A">
            <w:r>
              <w:t>HSE</w:t>
            </w:r>
          </w:p>
        </w:tc>
      </w:tr>
      <w:tr w:rsidR="00920FE7" w:rsidRPr="00FB2111" w14:paraId="5856DB81" w14:textId="77777777" w:rsidTr="00D72032">
        <w:tc>
          <w:tcPr>
            <w:tcW w:w="1305" w:type="dxa"/>
          </w:tcPr>
          <w:p w14:paraId="1D721E2C" w14:textId="07B11CC8" w:rsidR="0009446A" w:rsidRPr="00FB2111" w:rsidRDefault="00B35787" w:rsidP="0009446A">
            <w:r w:rsidRPr="00B35787">
              <w:t>Paragraph 1.2 of Part E of   Schedule 9</w:t>
            </w:r>
          </w:p>
        </w:tc>
        <w:tc>
          <w:tcPr>
            <w:tcW w:w="1559" w:type="dxa"/>
          </w:tcPr>
          <w:p w14:paraId="3DFC3475" w14:textId="6F9FAAFB" w:rsidR="0009446A" w:rsidRPr="00FB2111" w:rsidRDefault="0009446A" w:rsidP="0009446A">
            <w:r>
              <w:t>Provider</w:t>
            </w:r>
            <w:r w:rsidRPr="00FB2111">
              <w:t xml:space="preserve">'s Final </w:t>
            </w:r>
            <w:r>
              <w:t>Provider</w:t>
            </w:r>
            <w:r w:rsidRPr="00FB2111">
              <w:t xml:space="preserve"> Personnel List</w:t>
            </w:r>
          </w:p>
        </w:tc>
        <w:tc>
          <w:tcPr>
            <w:tcW w:w="1217" w:type="dxa"/>
          </w:tcPr>
          <w:p w14:paraId="0F75485F" w14:textId="4C404E53" w:rsidR="0009446A" w:rsidRPr="00FB2111" w:rsidRDefault="0009446A" w:rsidP="0009446A">
            <w:r w:rsidRPr="00240055">
              <w:t>As appropriate and agreed by HSE</w:t>
            </w:r>
          </w:p>
        </w:tc>
        <w:tc>
          <w:tcPr>
            <w:tcW w:w="2086" w:type="dxa"/>
          </w:tcPr>
          <w:p w14:paraId="21660C27" w14:textId="77777777" w:rsidR="0009446A" w:rsidRPr="00FB2111" w:rsidRDefault="0009446A" w:rsidP="0009446A">
            <w:r w:rsidRPr="00FB2111">
              <w:t>At least 20 Working Days prior to the Service Transfer Date</w:t>
            </w:r>
          </w:p>
        </w:tc>
        <w:tc>
          <w:tcPr>
            <w:tcW w:w="1448" w:type="dxa"/>
          </w:tcPr>
          <w:p w14:paraId="62ECEB04" w14:textId="77777777" w:rsidR="0009446A" w:rsidRPr="00FB2111" w:rsidRDefault="0009446A" w:rsidP="0009446A">
            <w:r w:rsidRPr="00FB2111">
              <w:t>Upon any material change to the list of employees</w:t>
            </w:r>
          </w:p>
        </w:tc>
        <w:tc>
          <w:tcPr>
            <w:tcW w:w="1448" w:type="dxa"/>
          </w:tcPr>
          <w:p w14:paraId="3600D0CB" w14:textId="5A09AA2E" w:rsidR="0009446A" w:rsidRPr="00FB2111" w:rsidRDefault="0009446A" w:rsidP="0009446A">
            <w:r>
              <w:t>HSE</w:t>
            </w:r>
            <w:r w:rsidRPr="00FB2111">
              <w:t xml:space="preserve"> and, at the discretion of </w:t>
            </w:r>
            <w:r>
              <w:t>HSE</w:t>
            </w:r>
            <w:r w:rsidRPr="00FB2111">
              <w:t xml:space="preserve">, the Replacement </w:t>
            </w:r>
            <w:r>
              <w:t>Provider</w:t>
            </w:r>
            <w:r w:rsidRPr="00FB2111">
              <w:t xml:space="preserve"> and/or any Replacement Subcontractor</w:t>
            </w:r>
          </w:p>
        </w:tc>
      </w:tr>
      <w:tr w:rsidR="00920FE7" w:rsidRPr="00FB2111" w14:paraId="3C5C2D6B" w14:textId="77777777" w:rsidTr="00D72032">
        <w:tc>
          <w:tcPr>
            <w:tcW w:w="1305" w:type="dxa"/>
          </w:tcPr>
          <w:p w14:paraId="172FC2F3" w14:textId="51F2DC6F" w:rsidR="0009446A" w:rsidRPr="00FB2111" w:rsidRDefault="00B35787" w:rsidP="0009446A">
            <w:r w:rsidRPr="00B35787">
              <w:t>Part E, Paragraph 1.6 of Schedule 9</w:t>
            </w:r>
          </w:p>
        </w:tc>
        <w:tc>
          <w:tcPr>
            <w:tcW w:w="1559" w:type="dxa"/>
          </w:tcPr>
          <w:p w14:paraId="1E56AB03" w14:textId="77777777" w:rsidR="0009446A" w:rsidRPr="00FB2111" w:rsidRDefault="0009446A" w:rsidP="0009446A">
            <w:r w:rsidRPr="00FB2111">
              <w:t>Information relating to the manner in which the services are organised</w:t>
            </w:r>
          </w:p>
        </w:tc>
        <w:tc>
          <w:tcPr>
            <w:tcW w:w="1217" w:type="dxa"/>
          </w:tcPr>
          <w:p w14:paraId="7DEB578B" w14:textId="0C6BF270" w:rsidR="0009446A" w:rsidRPr="00FB2111" w:rsidRDefault="0009446A" w:rsidP="0009446A">
            <w:r w:rsidRPr="00240055">
              <w:t>As appropriate and agreed by HSE</w:t>
            </w:r>
          </w:p>
        </w:tc>
        <w:tc>
          <w:tcPr>
            <w:tcW w:w="2086" w:type="dxa"/>
          </w:tcPr>
          <w:p w14:paraId="488A7E4F" w14:textId="039D31EF" w:rsidR="0009446A" w:rsidRPr="00FB2111" w:rsidRDefault="00B35787" w:rsidP="0009446A">
            <w:r w:rsidRPr="00B35787">
              <w:t>Within 20 Working Days of written request from HSE</w:t>
            </w:r>
          </w:p>
        </w:tc>
        <w:tc>
          <w:tcPr>
            <w:tcW w:w="1448" w:type="dxa"/>
          </w:tcPr>
          <w:p w14:paraId="041C7EA2" w14:textId="77777777" w:rsidR="0009446A" w:rsidRPr="00FB2111" w:rsidRDefault="0009446A" w:rsidP="0009446A">
            <w:r w:rsidRPr="00FB2111">
              <w:t>-</w:t>
            </w:r>
          </w:p>
        </w:tc>
        <w:tc>
          <w:tcPr>
            <w:tcW w:w="1448" w:type="dxa"/>
          </w:tcPr>
          <w:p w14:paraId="5432CFD6" w14:textId="24406724" w:rsidR="0009446A" w:rsidRPr="00FB2111" w:rsidRDefault="0009446A" w:rsidP="0009446A">
            <w:r>
              <w:t>HSE</w:t>
            </w:r>
          </w:p>
        </w:tc>
      </w:tr>
      <w:tr w:rsidR="00920FE7" w:rsidRPr="00FB2111" w14:paraId="708E6967" w14:textId="77777777" w:rsidTr="00D72032">
        <w:tc>
          <w:tcPr>
            <w:tcW w:w="1305" w:type="dxa"/>
          </w:tcPr>
          <w:p w14:paraId="37473232" w14:textId="09B34735" w:rsidR="0009446A" w:rsidRPr="00FB2111" w:rsidRDefault="00B35787" w:rsidP="0009446A">
            <w:r w:rsidRPr="00B35787">
              <w:t>Part E, Paragraph 1.7 of Schedule 9</w:t>
            </w:r>
          </w:p>
        </w:tc>
        <w:tc>
          <w:tcPr>
            <w:tcW w:w="1559" w:type="dxa"/>
          </w:tcPr>
          <w:p w14:paraId="415D7737" w14:textId="77777777" w:rsidR="0009446A" w:rsidRPr="00FB2111" w:rsidRDefault="0009446A" w:rsidP="0009446A">
            <w:r w:rsidRPr="00FB2111">
              <w:t xml:space="preserve">Payroll and benefits information </w:t>
            </w:r>
          </w:p>
        </w:tc>
        <w:tc>
          <w:tcPr>
            <w:tcW w:w="1217" w:type="dxa"/>
          </w:tcPr>
          <w:p w14:paraId="39B344A9" w14:textId="7CBB266D" w:rsidR="0009446A" w:rsidRPr="00FB2111" w:rsidRDefault="0009446A" w:rsidP="0009446A">
            <w:r w:rsidRPr="00240055">
              <w:t>As appropriate and agreed by HSE</w:t>
            </w:r>
          </w:p>
        </w:tc>
        <w:tc>
          <w:tcPr>
            <w:tcW w:w="2086" w:type="dxa"/>
          </w:tcPr>
          <w:p w14:paraId="2D5DCC68" w14:textId="77777777" w:rsidR="0009446A" w:rsidRPr="00FB2111" w:rsidRDefault="0009446A" w:rsidP="0009446A">
            <w:r w:rsidRPr="00FB2111">
              <w:t>Within 5 Working Days following the Service Transfer Date</w:t>
            </w:r>
          </w:p>
        </w:tc>
        <w:tc>
          <w:tcPr>
            <w:tcW w:w="1448" w:type="dxa"/>
          </w:tcPr>
          <w:p w14:paraId="0277706D" w14:textId="77777777" w:rsidR="0009446A" w:rsidRPr="00FB2111" w:rsidRDefault="0009446A" w:rsidP="0009446A">
            <w:r w:rsidRPr="00FB2111">
              <w:t>-</w:t>
            </w:r>
          </w:p>
        </w:tc>
        <w:tc>
          <w:tcPr>
            <w:tcW w:w="1448" w:type="dxa"/>
          </w:tcPr>
          <w:p w14:paraId="3B20B361" w14:textId="32BE1D0F" w:rsidR="0009446A" w:rsidRPr="00FB2111" w:rsidRDefault="0009446A" w:rsidP="0009446A">
            <w:r>
              <w:t>HSE</w:t>
            </w:r>
            <w:r w:rsidRPr="00FB2111">
              <w:t xml:space="preserve">, any Replacement </w:t>
            </w:r>
            <w:r>
              <w:t>Provider</w:t>
            </w:r>
            <w:r w:rsidRPr="00FB2111">
              <w:t xml:space="preserve"> and/or Replacement Sub-contractor</w:t>
            </w:r>
          </w:p>
        </w:tc>
      </w:tr>
      <w:tr w:rsidR="00920FE7" w:rsidRPr="00FB2111" w14:paraId="0B550E84" w14:textId="77777777" w:rsidTr="00D72032">
        <w:tc>
          <w:tcPr>
            <w:tcW w:w="1305" w:type="dxa"/>
          </w:tcPr>
          <w:p w14:paraId="57A1F9CF" w14:textId="5AB0ABDC" w:rsidR="0009446A" w:rsidRPr="00FB2111" w:rsidRDefault="00B35787" w:rsidP="0009446A">
            <w:r>
              <w:t>Clause 32.2.5</w:t>
            </w:r>
          </w:p>
        </w:tc>
        <w:tc>
          <w:tcPr>
            <w:tcW w:w="1559" w:type="dxa"/>
          </w:tcPr>
          <w:p w14:paraId="7BF95216" w14:textId="77777777" w:rsidR="0009446A" w:rsidRPr="00FB2111" w:rsidRDefault="0009446A" w:rsidP="0009446A">
            <w:r w:rsidRPr="00FB2111">
              <w:t>Reports on Data Subject Access Requests</w:t>
            </w:r>
          </w:p>
        </w:tc>
        <w:tc>
          <w:tcPr>
            <w:tcW w:w="1217" w:type="dxa"/>
          </w:tcPr>
          <w:p w14:paraId="26CF18AB" w14:textId="06F3A594" w:rsidR="0009446A" w:rsidRPr="00FB2111" w:rsidRDefault="0009446A" w:rsidP="0009446A">
            <w:r w:rsidRPr="00240055">
              <w:t>As appropriate and agreed by HSE</w:t>
            </w:r>
          </w:p>
        </w:tc>
        <w:tc>
          <w:tcPr>
            <w:tcW w:w="2086" w:type="dxa"/>
          </w:tcPr>
          <w:p w14:paraId="71F22991" w14:textId="4C23DAB5" w:rsidR="0009446A" w:rsidRPr="00FB2111" w:rsidRDefault="0009446A" w:rsidP="0009446A">
            <w:r w:rsidRPr="00FB2111">
              <w:t xml:space="preserve">As agreed with </w:t>
            </w:r>
            <w:r>
              <w:t>HSE</w:t>
            </w:r>
            <w:r w:rsidRPr="00FB2111">
              <w:t xml:space="preserve"> </w:t>
            </w:r>
          </w:p>
        </w:tc>
        <w:tc>
          <w:tcPr>
            <w:tcW w:w="1448" w:type="dxa"/>
          </w:tcPr>
          <w:p w14:paraId="72318A85" w14:textId="168A3796" w:rsidR="0009446A" w:rsidRPr="00FB2111" w:rsidRDefault="0009446A" w:rsidP="0009446A">
            <w:r w:rsidRPr="00FB2111">
              <w:t xml:space="preserve">As agreed with </w:t>
            </w:r>
            <w:r>
              <w:t>HSE</w:t>
            </w:r>
            <w:r w:rsidRPr="00FB2111">
              <w:t xml:space="preserve"> </w:t>
            </w:r>
          </w:p>
        </w:tc>
        <w:tc>
          <w:tcPr>
            <w:tcW w:w="1448" w:type="dxa"/>
          </w:tcPr>
          <w:p w14:paraId="719C116A" w14:textId="4F832333" w:rsidR="0009446A" w:rsidRPr="00FB2111" w:rsidRDefault="0009446A" w:rsidP="0009446A">
            <w:r>
              <w:t>HSE</w:t>
            </w:r>
            <w:r w:rsidRPr="00FB2111">
              <w:t xml:space="preserve"> and </w:t>
            </w:r>
            <w:r>
              <w:t>Provider</w:t>
            </w:r>
          </w:p>
        </w:tc>
      </w:tr>
      <w:tr w:rsidR="00122CA7" w:rsidRPr="00FB2111" w14:paraId="220B3512" w14:textId="77777777" w:rsidTr="00D72032">
        <w:tc>
          <w:tcPr>
            <w:tcW w:w="1305" w:type="dxa"/>
          </w:tcPr>
          <w:p w14:paraId="12A6C467" w14:textId="4BCDB8CE" w:rsidR="00122CA7" w:rsidRPr="007956F1" w:rsidRDefault="001916EE" w:rsidP="00122CA7">
            <w:r>
              <w:t>Schedule 11, Paragraph 1.1</w:t>
            </w:r>
          </w:p>
        </w:tc>
        <w:tc>
          <w:tcPr>
            <w:tcW w:w="1559" w:type="dxa"/>
          </w:tcPr>
          <w:p w14:paraId="22C96EDF" w14:textId="5213B418" w:rsidR="00122CA7" w:rsidRPr="00FB2111" w:rsidRDefault="00122CA7" w:rsidP="00122CA7">
            <w:r>
              <w:t>Competency Check Regime Review Report</w:t>
            </w:r>
          </w:p>
        </w:tc>
        <w:tc>
          <w:tcPr>
            <w:tcW w:w="1217" w:type="dxa"/>
          </w:tcPr>
          <w:p w14:paraId="24AF377B" w14:textId="58F0CEB0" w:rsidR="00122CA7" w:rsidRPr="00240055" w:rsidRDefault="00122CA7" w:rsidP="00122CA7">
            <w:r>
              <w:t>As appropriate and agreed by HSE</w:t>
            </w:r>
          </w:p>
        </w:tc>
        <w:tc>
          <w:tcPr>
            <w:tcW w:w="2086" w:type="dxa"/>
          </w:tcPr>
          <w:p w14:paraId="70F034AF" w14:textId="1E2427A2" w:rsidR="00122CA7" w:rsidRPr="00FB2111" w:rsidRDefault="00122CA7" w:rsidP="00122CA7">
            <w:r>
              <w:t>Services Start Date + 12 months</w:t>
            </w:r>
          </w:p>
        </w:tc>
        <w:tc>
          <w:tcPr>
            <w:tcW w:w="1448" w:type="dxa"/>
          </w:tcPr>
          <w:p w14:paraId="4A2216F5" w14:textId="6CAEACB2" w:rsidR="00122CA7" w:rsidRPr="00FB2111" w:rsidRDefault="00122CA7" w:rsidP="00122CA7">
            <w:r>
              <w:t>N/A</w:t>
            </w:r>
          </w:p>
        </w:tc>
        <w:tc>
          <w:tcPr>
            <w:tcW w:w="1448" w:type="dxa"/>
          </w:tcPr>
          <w:p w14:paraId="18D798BC" w14:textId="04242A5E" w:rsidR="00122CA7" w:rsidRDefault="00122CA7" w:rsidP="00122CA7">
            <w:r>
              <w:t>HSE</w:t>
            </w:r>
          </w:p>
        </w:tc>
      </w:tr>
      <w:tr w:rsidR="001A2634" w:rsidRPr="00FB2111" w14:paraId="32A97D0E" w14:textId="77777777" w:rsidTr="00D72032">
        <w:tc>
          <w:tcPr>
            <w:tcW w:w="1305" w:type="dxa"/>
          </w:tcPr>
          <w:p w14:paraId="5A3CC61C" w14:textId="4924A6BA" w:rsidR="001A2634" w:rsidRPr="007956F1" w:rsidRDefault="00B35787" w:rsidP="001A2634">
            <w:r w:rsidRPr="00B35787">
              <w:lastRenderedPageBreak/>
              <w:t>Schedule 1, Paragraph 1.3</w:t>
            </w:r>
          </w:p>
        </w:tc>
        <w:tc>
          <w:tcPr>
            <w:tcW w:w="1559" w:type="dxa"/>
          </w:tcPr>
          <w:p w14:paraId="68890E9D" w14:textId="4E6A7AE9" w:rsidR="001A2634" w:rsidRPr="00FB2111" w:rsidRDefault="001A2634" w:rsidP="001A2634">
            <w:r>
              <w:t>Concordat</w:t>
            </w:r>
          </w:p>
        </w:tc>
        <w:tc>
          <w:tcPr>
            <w:tcW w:w="1217" w:type="dxa"/>
          </w:tcPr>
          <w:p w14:paraId="6D029332" w14:textId="65FA0E50" w:rsidR="001A2634" w:rsidRPr="00240055" w:rsidRDefault="001A2634" w:rsidP="001A2634">
            <w:r>
              <w:t>As appropriate and agreed by HSE</w:t>
            </w:r>
          </w:p>
        </w:tc>
        <w:tc>
          <w:tcPr>
            <w:tcW w:w="2086" w:type="dxa"/>
          </w:tcPr>
          <w:p w14:paraId="16D5D02A" w14:textId="450412D1" w:rsidR="001A2634" w:rsidRPr="00FB2111" w:rsidRDefault="001A2634" w:rsidP="001A2634">
            <w:r>
              <w:t>Services Start Date</w:t>
            </w:r>
          </w:p>
        </w:tc>
        <w:tc>
          <w:tcPr>
            <w:tcW w:w="1448" w:type="dxa"/>
          </w:tcPr>
          <w:p w14:paraId="239F9D6C" w14:textId="4852AA27" w:rsidR="001A2634" w:rsidRPr="00FB2111" w:rsidRDefault="001A2634" w:rsidP="001A2634">
            <w:r>
              <w:t>As amended from time to time</w:t>
            </w:r>
          </w:p>
        </w:tc>
        <w:tc>
          <w:tcPr>
            <w:tcW w:w="1448" w:type="dxa"/>
          </w:tcPr>
          <w:p w14:paraId="3D66FA9F" w14:textId="265665EC" w:rsidR="001A2634" w:rsidRDefault="001A2634" w:rsidP="001A2634">
            <w:r>
              <w:t>HSE</w:t>
            </w:r>
          </w:p>
        </w:tc>
      </w:tr>
      <w:tr w:rsidR="001A2634" w:rsidRPr="00FB2111" w14:paraId="540C5F15" w14:textId="77777777" w:rsidTr="00D72032">
        <w:tc>
          <w:tcPr>
            <w:tcW w:w="1305" w:type="dxa"/>
          </w:tcPr>
          <w:p w14:paraId="09BA6FBB" w14:textId="44DC7C06" w:rsidR="001A2634" w:rsidRPr="007956F1" w:rsidRDefault="001916EE" w:rsidP="001A2634">
            <w:r>
              <w:t>Schedule 11, Paragraph 1.1</w:t>
            </w:r>
          </w:p>
        </w:tc>
        <w:tc>
          <w:tcPr>
            <w:tcW w:w="1559" w:type="dxa"/>
          </w:tcPr>
          <w:p w14:paraId="505D1EFE" w14:textId="5F2358FF" w:rsidR="001A2634" w:rsidRPr="00FB2111" w:rsidRDefault="001A2634" w:rsidP="001A2634">
            <w:r>
              <w:t>Rules of Registration</w:t>
            </w:r>
          </w:p>
        </w:tc>
        <w:tc>
          <w:tcPr>
            <w:tcW w:w="1217" w:type="dxa"/>
          </w:tcPr>
          <w:p w14:paraId="1F7AC9BF" w14:textId="6A1A2984" w:rsidR="001A2634" w:rsidRPr="00240055" w:rsidRDefault="001A2634" w:rsidP="001A2634">
            <w:r>
              <w:t>As appropriate and agreed by HSE</w:t>
            </w:r>
          </w:p>
        </w:tc>
        <w:tc>
          <w:tcPr>
            <w:tcW w:w="2086" w:type="dxa"/>
          </w:tcPr>
          <w:p w14:paraId="449A6533" w14:textId="1F47AE61" w:rsidR="001A2634" w:rsidRPr="00FB2111" w:rsidRDefault="001916EE" w:rsidP="001A2634">
            <w:r>
              <w:t>Services Start Date</w:t>
            </w:r>
          </w:p>
        </w:tc>
        <w:tc>
          <w:tcPr>
            <w:tcW w:w="1448" w:type="dxa"/>
          </w:tcPr>
          <w:p w14:paraId="722933EF" w14:textId="08D9B073" w:rsidR="001A2634" w:rsidRPr="00FB2111" w:rsidRDefault="001A2634" w:rsidP="001A2634">
            <w:r>
              <w:t>Annually</w:t>
            </w:r>
          </w:p>
        </w:tc>
        <w:tc>
          <w:tcPr>
            <w:tcW w:w="1448" w:type="dxa"/>
          </w:tcPr>
          <w:p w14:paraId="31BA52EF" w14:textId="2252DF68" w:rsidR="001A2634" w:rsidRDefault="001A2634" w:rsidP="001A2634">
            <w:r>
              <w:t>HSE</w:t>
            </w:r>
          </w:p>
        </w:tc>
      </w:tr>
      <w:tr w:rsidR="001A2634" w:rsidRPr="00FB2111" w14:paraId="4B9CA5F3" w14:textId="77777777" w:rsidTr="00D72032">
        <w:tc>
          <w:tcPr>
            <w:tcW w:w="1305" w:type="dxa"/>
          </w:tcPr>
          <w:p w14:paraId="550B55DF" w14:textId="0BE5238A" w:rsidR="001A2634" w:rsidRPr="007956F1" w:rsidRDefault="001916EE" w:rsidP="001A2634">
            <w:r>
              <w:t>Schedule 11, Paragraph 1.1</w:t>
            </w:r>
          </w:p>
        </w:tc>
        <w:tc>
          <w:tcPr>
            <w:tcW w:w="1559" w:type="dxa"/>
          </w:tcPr>
          <w:p w14:paraId="2EEA31C4" w14:textId="2AC4A7B1" w:rsidR="001A2634" w:rsidRPr="00FB2111" w:rsidRDefault="001A2634" w:rsidP="001A2634">
            <w:r>
              <w:t>Contract Management Plan</w:t>
            </w:r>
          </w:p>
        </w:tc>
        <w:tc>
          <w:tcPr>
            <w:tcW w:w="1217" w:type="dxa"/>
          </w:tcPr>
          <w:p w14:paraId="6983F94D" w14:textId="55620046" w:rsidR="001A2634" w:rsidRPr="00240055" w:rsidRDefault="001A2634" w:rsidP="001A2634">
            <w:r>
              <w:t>As appropriate and agreed by HSE</w:t>
            </w:r>
          </w:p>
        </w:tc>
        <w:tc>
          <w:tcPr>
            <w:tcW w:w="2086" w:type="dxa"/>
          </w:tcPr>
          <w:p w14:paraId="06FFFBA8" w14:textId="2BB16881" w:rsidR="001A2634" w:rsidRPr="00FB2111" w:rsidRDefault="001A2634" w:rsidP="001A2634">
            <w:r>
              <w:t xml:space="preserve">Services Start Date </w:t>
            </w:r>
          </w:p>
        </w:tc>
        <w:tc>
          <w:tcPr>
            <w:tcW w:w="1448" w:type="dxa"/>
          </w:tcPr>
          <w:p w14:paraId="2566191A" w14:textId="5002E5FE" w:rsidR="001A2634" w:rsidRPr="00FB2111" w:rsidRDefault="001A2634" w:rsidP="001A2634">
            <w:r>
              <w:t>As amended from time to time</w:t>
            </w:r>
          </w:p>
        </w:tc>
        <w:tc>
          <w:tcPr>
            <w:tcW w:w="1448" w:type="dxa"/>
          </w:tcPr>
          <w:p w14:paraId="58DDAF58" w14:textId="1A3E25E8" w:rsidR="001A2634" w:rsidRDefault="001A2634" w:rsidP="001A2634">
            <w:r>
              <w:t>HSE</w:t>
            </w:r>
          </w:p>
        </w:tc>
      </w:tr>
    </w:tbl>
    <w:p w14:paraId="591A8CEF" w14:textId="1CDF517F" w:rsidR="00FB2111" w:rsidRDefault="00FB2111" w:rsidP="00FB2111"/>
    <w:p w14:paraId="3E46387F" w14:textId="6B402BF3" w:rsidR="006651C0" w:rsidRDefault="006651C0" w:rsidP="00FB2111"/>
    <w:p w14:paraId="17E30630" w14:textId="71871F08" w:rsidR="006651C0" w:rsidRDefault="006651C0" w:rsidP="00FB2111"/>
    <w:p w14:paraId="67BE6CBE" w14:textId="1919297E" w:rsidR="006651C0" w:rsidRDefault="006651C0">
      <w:pPr>
        <w:spacing w:before="0" w:after="0"/>
      </w:pPr>
      <w:r>
        <w:br w:type="page"/>
      </w:r>
    </w:p>
    <w:p w14:paraId="3DB2ED7C" w14:textId="5A73F37A" w:rsidR="006651C0" w:rsidRPr="001A1836" w:rsidRDefault="006651C0" w:rsidP="006651C0">
      <w:pPr>
        <w:pStyle w:val="GSRL2Sectionheading"/>
      </w:pPr>
      <w:bookmarkStart w:id="2557" w:name="_Toc132268144"/>
      <w:bookmarkStart w:id="2558" w:name="_Toc132268450"/>
      <w:bookmarkStart w:id="2559" w:name="_Toc136198700"/>
      <w:bookmarkStart w:id="2560" w:name="_Toc136198981"/>
      <w:r>
        <w:lastRenderedPageBreak/>
        <w:t>Annex 5</w:t>
      </w:r>
      <w:r w:rsidRPr="001A1836">
        <w:t xml:space="preserve"> – </w:t>
      </w:r>
      <w:r>
        <w:t>SUPPLY CHAIN TRANSPARENCY INFORMATION TEMPLATE</w:t>
      </w:r>
      <w:bookmarkEnd w:id="2557"/>
      <w:bookmarkEnd w:id="2558"/>
      <w:bookmarkEnd w:id="2559"/>
      <w:bookmarkEnd w:id="2560"/>
      <w:r>
        <w:t xml:space="preserve"> </w:t>
      </w:r>
    </w:p>
    <w:p w14:paraId="7559924C" w14:textId="750F8EDE" w:rsidR="006651C0" w:rsidRDefault="006651C0" w:rsidP="00FB2111"/>
    <w:p w14:paraId="70E8CAE3" w14:textId="19001F01" w:rsidR="006651C0" w:rsidRDefault="006651C0" w:rsidP="00FB2111"/>
    <w:tbl>
      <w:tblPr>
        <w:tblStyle w:val="TableGrid"/>
        <w:tblW w:w="8505" w:type="dxa"/>
        <w:tblLayout w:type="fixed"/>
        <w:tblLook w:val="04A0" w:firstRow="1" w:lastRow="0" w:firstColumn="1" w:lastColumn="0" w:noHBand="0" w:noVBand="1"/>
      </w:tblPr>
      <w:tblGrid>
        <w:gridCol w:w="2611"/>
        <w:gridCol w:w="1473"/>
        <w:gridCol w:w="1474"/>
        <w:gridCol w:w="1473"/>
        <w:gridCol w:w="1474"/>
      </w:tblGrid>
      <w:tr w:rsidR="006651C0" w:rsidRPr="00093486" w14:paraId="24631111" w14:textId="77777777" w:rsidTr="006651C0">
        <w:tc>
          <w:tcPr>
            <w:tcW w:w="4390" w:type="dxa"/>
            <w:vMerge w:val="restart"/>
          </w:tcPr>
          <w:p w14:paraId="1933C289" w14:textId="77777777" w:rsidR="006651C0" w:rsidRPr="00093486" w:rsidRDefault="006651C0" w:rsidP="006651C0">
            <w:pPr>
              <w:pStyle w:val="StdBodyText"/>
              <w:rPr>
                <w:rFonts w:cs="Arial"/>
              </w:rPr>
            </w:pPr>
          </w:p>
        </w:tc>
        <w:tc>
          <w:tcPr>
            <w:tcW w:w="9598" w:type="dxa"/>
            <w:gridSpan w:val="4"/>
          </w:tcPr>
          <w:p w14:paraId="71BABFF5" w14:textId="77777777" w:rsidR="006651C0" w:rsidRPr="00093486" w:rsidRDefault="006651C0" w:rsidP="006651C0">
            <w:pPr>
              <w:pStyle w:val="StdBodyTextBold"/>
              <w:jc w:val="center"/>
              <w:rPr>
                <w:rFonts w:cs="Arial"/>
              </w:rPr>
            </w:pPr>
            <w:r w:rsidRPr="00093486">
              <w:rPr>
                <w:rFonts w:cs="Arial"/>
              </w:rPr>
              <w:t>Financial Year 20</w:t>
            </w:r>
            <w:r w:rsidRPr="00093486">
              <w:rPr>
                <w:rFonts w:cs="Arial"/>
                <w:highlight w:val="yellow"/>
              </w:rPr>
              <w:t>[    ]</w:t>
            </w:r>
          </w:p>
        </w:tc>
      </w:tr>
      <w:tr w:rsidR="006651C0" w:rsidRPr="00093486" w14:paraId="688DB427" w14:textId="77777777" w:rsidTr="006651C0">
        <w:tc>
          <w:tcPr>
            <w:tcW w:w="4390" w:type="dxa"/>
            <w:vMerge/>
          </w:tcPr>
          <w:p w14:paraId="079284C8" w14:textId="77777777" w:rsidR="006651C0" w:rsidRPr="00093486" w:rsidRDefault="006651C0" w:rsidP="006651C0">
            <w:pPr>
              <w:pStyle w:val="StdBodyText"/>
              <w:rPr>
                <w:rFonts w:cs="Arial"/>
              </w:rPr>
            </w:pPr>
          </w:p>
        </w:tc>
        <w:tc>
          <w:tcPr>
            <w:tcW w:w="4799" w:type="dxa"/>
            <w:gridSpan w:val="2"/>
          </w:tcPr>
          <w:p w14:paraId="1AFCAAB3" w14:textId="18E7871F" w:rsidR="006651C0" w:rsidRPr="00093486" w:rsidRDefault="006651C0" w:rsidP="0021548F">
            <w:pPr>
              <w:pStyle w:val="StdBodyTextBold"/>
              <w:jc w:val="center"/>
              <w:rPr>
                <w:rFonts w:cs="Arial"/>
              </w:rPr>
            </w:pPr>
            <w:r w:rsidRPr="00093486">
              <w:rPr>
                <w:rFonts w:cs="Arial"/>
              </w:rPr>
              <w:t xml:space="preserve">Under </w:t>
            </w:r>
            <w:r w:rsidRPr="00B224EC">
              <w:rPr>
                <w:rFonts w:cs="Arial"/>
              </w:rPr>
              <w:t xml:space="preserve">this </w:t>
            </w:r>
            <w:r w:rsidR="0021548F">
              <w:rPr>
                <w:rFonts w:cs="Arial"/>
              </w:rPr>
              <w:t>Agreement</w:t>
            </w:r>
          </w:p>
        </w:tc>
        <w:tc>
          <w:tcPr>
            <w:tcW w:w="4799" w:type="dxa"/>
            <w:gridSpan w:val="2"/>
          </w:tcPr>
          <w:p w14:paraId="6A2D57C9" w14:textId="62F7EF53" w:rsidR="006651C0" w:rsidRPr="00093486" w:rsidRDefault="0021548F" w:rsidP="006651C0">
            <w:pPr>
              <w:pStyle w:val="StdBodyTextBold"/>
              <w:jc w:val="center"/>
              <w:rPr>
                <w:rFonts w:cs="Arial"/>
              </w:rPr>
            </w:pPr>
            <w:r>
              <w:rPr>
                <w:rFonts w:cs="Arial"/>
              </w:rPr>
              <w:t>Provider</w:t>
            </w:r>
            <w:r w:rsidR="006651C0" w:rsidRPr="00093486">
              <w:rPr>
                <w:rFonts w:cs="Arial"/>
              </w:rPr>
              <w:t xml:space="preserve"> as a whole</w:t>
            </w:r>
          </w:p>
        </w:tc>
      </w:tr>
      <w:tr w:rsidR="006651C0" w:rsidRPr="00093486" w14:paraId="4304BB4D" w14:textId="77777777" w:rsidTr="006651C0">
        <w:tc>
          <w:tcPr>
            <w:tcW w:w="4390" w:type="dxa"/>
            <w:vMerge/>
          </w:tcPr>
          <w:p w14:paraId="1F4518DB" w14:textId="77777777" w:rsidR="006651C0" w:rsidRPr="00093486" w:rsidRDefault="006651C0" w:rsidP="006651C0">
            <w:pPr>
              <w:pStyle w:val="StdBodyText"/>
              <w:rPr>
                <w:rFonts w:cs="Arial"/>
              </w:rPr>
            </w:pPr>
          </w:p>
        </w:tc>
        <w:tc>
          <w:tcPr>
            <w:tcW w:w="2399" w:type="dxa"/>
          </w:tcPr>
          <w:p w14:paraId="38D7577C" w14:textId="77777777" w:rsidR="006651C0" w:rsidRPr="00093486" w:rsidRDefault="006651C0" w:rsidP="006651C0">
            <w:pPr>
              <w:pStyle w:val="StdBodyTextBold"/>
              <w:jc w:val="center"/>
              <w:rPr>
                <w:rFonts w:cs="Arial"/>
              </w:rPr>
            </w:pPr>
            <w:r w:rsidRPr="00093486">
              <w:rPr>
                <w:rFonts w:cs="Arial"/>
              </w:rPr>
              <w:t>£</w:t>
            </w:r>
          </w:p>
        </w:tc>
        <w:tc>
          <w:tcPr>
            <w:tcW w:w="2400" w:type="dxa"/>
          </w:tcPr>
          <w:p w14:paraId="3844064A" w14:textId="77777777" w:rsidR="006651C0" w:rsidRPr="00093486" w:rsidRDefault="006651C0" w:rsidP="006651C0">
            <w:pPr>
              <w:pStyle w:val="StdBodyTextBold"/>
              <w:jc w:val="center"/>
              <w:rPr>
                <w:rFonts w:cs="Arial"/>
              </w:rPr>
            </w:pPr>
            <w:r w:rsidRPr="00093486">
              <w:rPr>
                <w:rFonts w:cs="Arial"/>
              </w:rPr>
              <w:t>%</w:t>
            </w:r>
          </w:p>
        </w:tc>
        <w:tc>
          <w:tcPr>
            <w:tcW w:w="2399" w:type="dxa"/>
          </w:tcPr>
          <w:p w14:paraId="24B22159" w14:textId="77777777" w:rsidR="006651C0" w:rsidRPr="00093486" w:rsidRDefault="006651C0" w:rsidP="006651C0">
            <w:pPr>
              <w:pStyle w:val="StdBodyTextBold"/>
              <w:jc w:val="center"/>
              <w:rPr>
                <w:rFonts w:cs="Arial"/>
              </w:rPr>
            </w:pPr>
            <w:r w:rsidRPr="00093486">
              <w:rPr>
                <w:rFonts w:cs="Arial"/>
              </w:rPr>
              <w:t>£</w:t>
            </w:r>
          </w:p>
        </w:tc>
        <w:tc>
          <w:tcPr>
            <w:tcW w:w="2400" w:type="dxa"/>
          </w:tcPr>
          <w:p w14:paraId="60B60C5A" w14:textId="77777777" w:rsidR="006651C0" w:rsidRPr="00093486" w:rsidRDefault="006651C0" w:rsidP="006651C0">
            <w:pPr>
              <w:pStyle w:val="StdBodyTextBold"/>
              <w:jc w:val="center"/>
              <w:rPr>
                <w:rFonts w:cs="Arial"/>
              </w:rPr>
            </w:pPr>
            <w:r w:rsidRPr="00093486">
              <w:rPr>
                <w:rFonts w:cs="Arial"/>
              </w:rPr>
              <w:t>%</w:t>
            </w:r>
          </w:p>
        </w:tc>
      </w:tr>
      <w:tr w:rsidR="006651C0" w:rsidRPr="00093486" w14:paraId="360099B2" w14:textId="77777777" w:rsidTr="006651C0">
        <w:tc>
          <w:tcPr>
            <w:tcW w:w="4390" w:type="dxa"/>
          </w:tcPr>
          <w:p w14:paraId="27925450" w14:textId="77777777" w:rsidR="006651C0" w:rsidRPr="00B224EC" w:rsidRDefault="006651C0" w:rsidP="006651C0">
            <w:pPr>
              <w:pStyle w:val="StdBodyText"/>
              <w:rPr>
                <w:rFonts w:cs="Arial"/>
              </w:rPr>
            </w:pPr>
            <w:r w:rsidRPr="00B224EC">
              <w:rPr>
                <w:rFonts w:cs="Arial"/>
              </w:rPr>
              <w:t>Estimated total contract revenue (£) to be received in this Financial Year</w:t>
            </w:r>
          </w:p>
        </w:tc>
        <w:tc>
          <w:tcPr>
            <w:tcW w:w="2399" w:type="dxa"/>
          </w:tcPr>
          <w:p w14:paraId="33B944A6" w14:textId="77777777" w:rsidR="006651C0" w:rsidRPr="00093486" w:rsidRDefault="006651C0" w:rsidP="006651C0">
            <w:pPr>
              <w:pStyle w:val="StdBodyText"/>
              <w:jc w:val="center"/>
              <w:rPr>
                <w:rFonts w:cs="Arial"/>
              </w:rPr>
            </w:pPr>
            <w:r w:rsidRPr="00093486">
              <w:rPr>
                <w:rFonts w:cs="Arial"/>
                <w:highlight w:val="yellow"/>
              </w:rPr>
              <w:t>£[    ]</w:t>
            </w:r>
          </w:p>
        </w:tc>
        <w:tc>
          <w:tcPr>
            <w:tcW w:w="2400" w:type="dxa"/>
          </w:tcPr>
          <w:p w14:paraId="658B67FF" w14:textId="77777777" w:rsidR="006651C0" w:rsidRPr="00093486" w:rsidRDefault="006651C0" w:rsidP="006651C0">
            <w:pPr>
              <w:pStyle w:val="StdBodyText"/>
              <w:jc w:val="center"/>
              <w:rPr>
                <w:rFonts w:cs="Arial"/>
              </w:rPr>
            </w:pPr>
            <w:r w:rsidRPr="00093486">
              <w:rPr>
                <w:rFonts w:cs="Arial"/>
              </w:rPr>
              <w:t>100%</w:t>
            </w:r>
          </w:p>
        </w:tc>
        <w:tc>
          <w:tcPr>
            <w:tcW w:w="2399" w:type="dxa"/>
          </w:tcPr>
          <w:p w14:paraId="30219DB8" w14:textId="77777777" w:rsidR="006651C0" w:rsidRPr="00093486" w:rsidRDefault="006651C0" w:rsidP="006651C0">
            <w:pPr>
              <w:pStyle w:val="StdBodyText"/>
              <w:jc w:val="center"/>
              <w:rPr>
                <w:rFonts w:cs="Arial"/>
              </w:rPr>
            </w:pPr>
            <w:r w:rsidRPr="00093486">
              <w:rPr>
                <w:rFonts w:cs="Arial"/>
                <w:highlight w:val="yellow"/>
              </w:rPr>
              <w:t>£[    ]</w:t>
            </w:r>
          </w:p>
        </w:tc>
        <w:tc>
          <w:tcPr>
            <w:tcW w:w="2400" w:type="dxa"/>
          </w:tcPr>
          <w:p w14:paraId="14AC6DE5" w14:textId="77777777" w:rsidR="006651C0" w:rsidRPr="00093486" w:rsidRDefault="006651C0" w:rsidP="006651C0">
            <w:pPr>
              <w:pStyle w:val="StdBodyText"/>
              <w:jc w:val="center"/>
              <w:rPr>
                <w:rFonts w:cs="Arial"/>
              </w:rPr>
            </w:pPr>
            <w:r w:rsidRPr="00093486">
              <w:rPr>
                <w:rFonts w:cs="Arial"/>
              </w:rPr>
              <w:t>100%</w:t>
            </w:r>
          </w:p>
        </w:tc>
      </w:tr>
      <w:tr w:rsidR="006651C0" w:rsidRPr="00093486" w14:paraId="248895C3" w14:textId="77777777" w:rsidTr="006651C0">
        <w:tc>
          <w:tcPr>
            <w:tcW w:w="4390" w:type="dxa"/>
          </w:tcPr>
          <w:p w14:paraId="501521A6" w14:textId="77777777" w:rsidR="006651C0" w:rsidRPr="00B224EC" w:rsidRDefault="006651C0" w:rsidP="006651C0">
            <w:pPr>
              <w:pStyle w:val="StdBodyText"/>
              <w:rPr>
                <w:rFonts w:cs="Arial"/>
              </w:rPr>
            </w:pPr>
            <w:r w:rsidRPr="00B224EC">
              <w:rPr>
                <w:rFonts w:cs="Arial"/>
              </w:rPr>
              <w:t>Total value of Sub-contracted revenues (£) in this Financial Year</w:t>
            </w:r>
          </w:p>
        </w:tc>
        <w:tc>
          <w:tcPr>
            <w:tcW w:w="2399" w:type="dxa"/>
          </w:tcPr>
          <w:p w14:paraId="55B8AAEE" w14:textId="77777777" w:rsidR="006651C0" w:rsidRPr="00093486" w:rsidRDefault="006651C0" w:rsidP="006651C0">
            <w:pPr>
              <w:pStyle w:val="StdBodyText"/>
              <w:jc w:val="center"/>
              <w:rPr>
                <w:rFonts w:cs="Arial"/>
              </w:rPr>
            </w:pPr>
            <w:r w:rsidRPr="00093486">
              <w:rPr>
                <w:rFonts w:cs="Arial"/>
                <w:highlight w:val="yellow"/>
              </w:rPr>
              <w:t>£[    ]</w:t>
            </w:r>
          </w:p>
        </w:tc>
        <w:tc>
          <w:tcPr>
            <w:tcW w:w="2400" w:type="dxa"/>
          </w:tcPr>
          <w:p w14:paraId="28824D32" w14:textId="77777777" w:rsidR="006651C0" w:rsidRPr="00093486" w:rsidRDefault="006651C0" w:rsidP="006651C0">
            <w:pPr>
              <w:pStyle w:val="StdBodyText"/>
              <w:jc w:val="center"/>
              <w:rPr>
                <w:rFonts w:cs="Arial"/>
              </w:rPr>
            </w:pPr>
            <w:r w:rsidRPr="00093486">
              <w:rPr>
                <w:rFonts w:cs="Arial"/>
                <w:highlight w:val="yellow"/>
              </w:rPr>
              <w:t>[    ]</w:t>
            </w:r>
          </w:p>
        </w:tc>
        <w:tc>
          <w:tcPr>
            <w:tcW w:w="2399" w:type="dxa"/>
          </w:tcPr>
          <w:p w14:paraId="29D83DC0" w14:textId="77777777" w:rsidR="006651C0" w:rsidRPr="00093486" w:rsidRDefault="006651C0" w:rsidP="006651C0">
            <w:pPr>
              <w:pStyle w:val="StdBodyText"/>
              <w:jc w:val="center"/>
              <w:rPr>
                <w:rFonts w:cs="Arial"/>
              </w:rPr>
            </w:pPr>
            <w:r w:rsidRPr="00093486">
              <w:rPr>
                <w:rFonts w:cs="Arial"/>
                <w:highlight w:val="yellow"/>
              </w:rPr>
              <w:t>£[    ]</w:t>
            </w:r>
          </w:p>
        </w:tc>
        <w:tc>
          <w:tcPr>
            <w:tcW w:w="2400" w:type="dxa"/>
          </w:tcPr>
          <w:p w14:paraId="67C5A645" w14:textId="77777777" w:rsidR="006651C0" w:rsidRPr="00093486" w:rsidRDefault="006651C0" w:rsidP="006651C0">
            <w:pPr>
              <w:pStyle w:val="StdBodyText"/>
              <w:jc w:val="center"/>
              <w:rPr>
                <w:rFonts w:cs="Arial"/>
              </w:rPr>
            </w:pPr>
            <w:r w:rsidRPr="00093486">
              <w:rPr>
                <w:rFonts w:cs="Arial"/>
                <w:highlight w:val="yellow"/>
              </w:rPr>
              <w:t>[    ]</w:t>
            </w:r>
          </w:p>
        </w:tc>
      </w:tr>
      <w:tr w:rsidR="006651C0" w:rsidRPr="00093486" w14:paraId="1684DC04" w14:textId="77777777" w:rsidTr="006651C0">
        <w:tc>
          <w:tcPr>
            <w:tcW w:w="4390" w:type="dxa"/>
          </w:tcPr>
          <w:p w14:paraId="26E61483" w14:textId="77777777" w:rsidR="006651C0" w:rsidRPr="00B224EC" w:rsidRDefault="006651C0" w:rsidP="006651C0">
            <w:pPr>
              <w:pStyle w:val="StdBodyText"/>
              <w:rPr>
                <w:rFonts w:cs="Arial"/>
              </w:rPr>
            </w:pPr>
            <w:r w:rsidRPr="00B224EC">
              <w:rPr>
                <w:rFonts w:cs="Arial"/>
              </w:rPr>
              <w:t xml:space="preserve">Total value of Sub-contracted revenues to SMEs (£) in this Financial Year </w:t>
            </w:r>
          </w:p>
        </w:tc>
        <w:tc>
          <w:tcPr>
            <w:tcW w:w="2399" w:type="dxa"/>
          </w:tcPr>
          <w:p w14:paraId="63ADA1AE" w14:textId="77777777" w:rsidR="006651C0" w:rsidRPr="00093486" w:rsidRDefault="006651C0" w:rsidP="006651C0">
            <w:pPr>
              <w:pStyle w:val="StdBodyText"/>
              <w:jc w:val="center"/>
              <w:rPr>
                <w:rFonts w:cs="Arial"/>
              </w:rPr>
            </w:pPr>
            <w:r w:rsidRPr="00093486">
              <w:rPr>
                <w:rFonts w:cs="Arial"/>
                <w:highlight w:val="yellow"/>
              </w:rPr>
              <w:t>£[    ]</w:t>
            </w:r>
          </w:p>
        </w:tc>
        <w:tc>
          <w:tcPr>
            <w:tcW w:w="2400" w:type="dxa"/>
          </w:tcPr>
          <w:p w14:paraId="172083FA" w14:textId="77777777" w:rsidR="006651C0" w:rsidRPr="00093486" w:rsidRDefault="006651C0" w:rsidP="006651C0">
            <w:pPr>
              <w:pStyle w:val="StdBodyText"/>
              <w:jc w:val="center"/>
              <w:rPr>
                <w:rFonts w:cs="Arial"/>
              </w:rPr>
            </w:pPr>
            <w:r w:rsidRPr="00093486">
              <w:rPr>
                <w:rFonts w:cs="Arial"/>
                <w:highlight w:val="yellow"/>
              </w:rPr>
              <w:t>[    ]</w:t>
            </w:r>
          </w:p>
        </w:tc>
        <w:tc>
          <w:tcPr>
            <w:tcW w:w="2399" w:type="dxa"/>
          </w:tcPr>
          <w:p w14:paraId="5573D9A6" w14:textId="77777777" w:rsidR="006651C0" w:rsidRPr="00093486" w:rsidRDefault="006651C0" w:rsidP="006651C0">
            <w:pPr>
              <w:pStyle w:val="StdBodyText"/>
              <w:jc w:val="center"/>
              <w:rPr>
                <w:rFonts w:cs="Arial"/>
              </w:rPr>
            </w:pPr>
            <w:r w:rsidRPr="00093486">
              <w:rPr>
                <w:rFonts w:cs="Arial"/>
                <w:highlight w:val="yellow"/>
              </w:rPr>
              <w:t>£[    ]</w:t>
            </w:r>
          </w:p>
        </w:tc>
        <w:tc>
          <w:tcPr>
            <w:tcW w:w="2400" w:type="dxa"/>
          </w:tcPr>
          <w:p w14:paraId="58718840" w14:textId="77777777" w:rsidR="006651C0" w:rsidRPr="00093486" w:rsidRDefault="006651C0" w:rsidP="006651C0">
            <w:pPr>
              <w:pStyle w:val="StdBodyText"/>
              <w:jc w:val="center"/>
              <w:rPr>
                <w:rFonts w:cs="Arial"/>
              </w:rPr>
            </w:pPr>
            <w:r w:rsidRPr="00093486">
              <w:rPr>
                <w:rFonts w:cs="Arial"/>
                <w:highlight w:val="yellow"/>
              </w:rPr>
              <w:t>[    ]</w:t>
            </w:r>
          </w:p>
        </w:tc>
      </w:tr>
      <w:tr w:rsidR="006651C0" w:rsidRPr="00093486" w14:paraId="6ABC2DF2" w14:textId="77777777" w:rsidTr="006651C0">
        <w:tc>
          <w:tcPr>
            <w:tcW w:w="4390" w:type="dxa"/>
          </w:tcPr>
          <w:p w14:paraId="01F933FD" w14:textId="77777777" w:rsidR="006651C0" w:rsidRPr="00B224EC" w:rsidRDefault="006651C0" w:rsidP="006651C0">
            <w:pPr>
              <w:pStyle w:val="StdBodyText"/>
              <w:rPr>
                <w:rFonts w:cs="Arial"/>
              </w:rPr>
            </w:pPr>
            <w:r w:rsidRPr="00B224EC">
              <w:rPr>
                <w:rFonts w:cs="Arial"/>
              </w:rPr>
              <w:t>Total value of Sub-contracted revenues to VCSEs (£) in this Financial Year</w:t>
            </w:r>
          </w:p>
        </w:tc>
        <w:tc>
          <w:tcPr>
            <w:tcW w:w="2399" w:type="dxa"/>
          </w:tcPr>
          <w:p w14:paraId="504C1CAB" w14:textId="77777777" w:rsidR="006651C0" w:rsidRPr="00093486" w:rsidRDefault="006651C0" w:rsidP="006651C0">
            <w:pPr>
              <w:pStyle w:val="StdBodyText"/>
              <w:jc w:val="center"/>
              <w:rPr>
                <w:rFonts w:cs="Arial"/>
              </w:rPr>
            </w:pPr>
            <w:r w:rsidRPr="00093486">
              <w:rPr>
                <w:rFonts w:cs="Arial"/>
                <w:highlight w:val="yellow"/>
              </w:rPr>
              <w:t>£[    ]</w:t>
            </w:r>
          </w:p>
        </w:tc>
        <w:tc>
          <w:tcPr>
            <w:tcW w:w="2400" w:type="dxa"/>
          </w:tcPr>
          <w:p w14:paraId="12F4A8F6" w14:textId="77777777" w:rsidR="006651C0" w:rsidRPr="00093486" w:rsidRDefault="006651C0" w:rsidP="006651C0">
            <w:pPr>
              <w:pStyle w:val="StdBodyText"/>
              <w:jc w:val="center"/>
              <w:rPr>
                <w:rFonts w:cs="Arial"/>
              </w:rPr>
            </w:pPr>
            <w:r w:rsidRPr="00093486">
              <w:rPr>
                <w:rFonts w:cs="Arial"/>
                <w:highlight w:val="yellow"/>
              </w:rPr>
              <w:t>[    ]</w:t>
            </w:r>
          </w:p>
        </w:tc>
        <w:tc>
          <w:tcPr>
            <w:tcW w:w="2399" w:type="dxa"/>
          </w:tcPr>
          <w:p w14:paraId="4F02B1DE" w14:textId="77777777" w:rsidR="006651C0" w:rsidRPr="00093486" w:rsidRDefault="006651C0" w:rsidP="006651C0">
            <w:pPr>
              <w:pStyle w:val="StdBodyText"/>
              <w:jc w:val="center"/>
              <w:rPr>
                <w:rFonts w:cs="Arial"/>
              </w:rPr>
            </w:pPr>
            <w:r w:rsidRPr="00093486">
              <w:rPr>
                <w:rFonts w:cs="Arial"/>
                <w:highlight w:val="yellow"/>
              </w:rPr>
              <w:t>£[    ]</w:t>
            </w:r>
          </w:p>
        </w:tc>
        <w:tc>
          <w:tcPr>
            <w:tcW w:w="2400" w:type="dxa"/>
          </w:tcPr>
          <w:p w14:paraId="356E7CF2" w14:textId="77777777" w:rsidR="006651C0" w:rsidRPr="00093486" w:rsidRDefault="006651C0" w:rsidP="006651C0">
            <w:pPr>
              <w:pStyle w:val="StdBodyText"/>
              <w:jc w:val="center"/>
              <w:rPr>
                <w:rFonts w:cs="Arial"/>
              </w:rPr>
            </w:pPr>
            <w:r w:rsidRPr="00093486">
              <w:rPr>
                <w:rFonts w:cs="Arial"/>
                <w:highlight w:val="yellow"/>
              </w:rPr>
              <w:t>[    ]</w:t>
            </w:r>
          </w:p>
        </w:tc>
      </w:tr>
    </w:tbl>
    <w:p w14:paraId="34B21EB7" w14:textId="2599B21D" w:rsidR="006651C0" w:rsidRDefault="006651C0" w:rsidP="006651C0"/>
    <w:p w14:paraId="1452D52F" w14:textId="363AE4F3" w:rsidR="006651C0" w:rsidRDefault="006651C0" w:rsidP="00FB2111"/>
    <w:p w14:paraId="0C6E132D" w14:textId="5E760B34" w:rsidR="006651C0" w:rsidRDefault="006651C0" w:rsidP="00FB2111"/>
    <w:p w14:paraId="7198A740" w14:textId="77777777" w:rsidR="006651C0" w:rsidRPr="00FB2111" w:rsidRDefault="006651C0" w:rsidP="00FB2111">
      <w:pPr>
        <w:sectPr w:rsidR="006651C0" w:rsidRPr="00FB2111" w:rsidSect="006651C0">
          <w:footerReference w:type="default" r:id="rId32"/>
          <w:pgSz w:w="11909" w:h="16834"/>
          <w:pgMar w:top="1418" w:right="1418" w:bottom="1418" w:left="1418" w:header="709" w:footer="709" w:gutter="0"/>
          <w:paperSrc w:first="265" w:other="265"/>
          <w:cols w:space="720"/>
          <w:docGrid w:linePitch="326"/>
        </w:sectPr>
      </w:pPr>
    </w:p>
    <w:p w14:paraId="047B2BB7" w14:textId="2D9AFE36" w:rsidR="00FB2111" w:rsidRDefault="00FB2111" w:rsidP="00FB2111"/>
    <w:p w14:paraId="2E171AFD" w14:textId="77777777" w:rsidR="00FB2111" w:rsidRDefault="00FB2111" w:rsidP="00FB2111"/>
    <w:p w14:paraId="78C3AD29" w14:textId="77777777" w:rsidR="00FB2111" w:rsidRPr="001A1836" w:rsidRDefault="00FB2111" w:rsidP="00B96484">
      <w:pPr>
        <w:pStyle w:val="GSRL4numberedclause"/>
        <w:numPr>
          <w:ilvl w:val="0"/>
          <w:numId w:val="0"/>
        </w:numPr>
        <w:ind w:left="720" w:hanging="720"/>
      </w:pPr>
    </w:p>
    <w:bookmarkEnd w:id="2448"/>
    <w:p w14:paraId="6218892F" w14:textId="77777777" w:rsidR="00626054" w:rsidRPr="001A1836" w:rsidRDefault="00626054" w:rsidP="00626054">
      <w:pPr>
        <w:rPr>
          <w:rFonts w:cs="Arial"/>
        </w:rPr>
      </w:pPr>
    </w:p>
    <w:p w14:paraId="6253C75C" w14:textId="1E8A83BE" w:rsidR="00B073F9" w:rsidRPr="001A1836" w:rsidRDefault="00B073F9" w:rsidP="00CF1BDA"/>
    <w:p w14:paraId="3F2767CB" w14:textId="77777777" w:rsidR="00626054" w:rsidRPr="001A1836" w:rsidRDefault="00626054" w:rsidP="00CF1BDA"/>
    <w:p w14:paraId="4313F4DB" w14:textId="77777777" w:rsidR="00626054" w:rsidRPr="001A1836" w:rsidRDefault="00626054" w:rsidP="00CF1BDA"/>
    <w:p w14:paraId="29F8D223" w14:textId="77777777" w:rsidR="00394111" w:rsidRPr="001A1836" w:rsidRDefault="00394111" w:rsidP="00CF1BDA">
      <w:pPr>
        <w:pStyle w:val="GSRL1Scheduleheader"/>
        <w:sectPr w:rsidR="00394111" w:rsidRPr="001A1836" w:rsidSect="00F87B8D">
          <w:footerReference w:type="default" r:id="rId33"/>
          <w:pgSz w:w="11900" w:h="16840"/>
          <w:pgMar w:top="1134" w:right="1440" w:bottom="1440" w:left="1440" w:header="1077" w:footer="833" w:gutter="0"/>
          <w:cols w:space="708"/>
        </w:sectPr>
      </w:pPr>
    </w:p>
    <w:p w14:paraId="6FA546A1" w14:textId="1CF97B38" w:rsidR="00626054" w:rsidRPr="001A1836" w:rsidRDefault="00626054" w:rsidP="00CF1BDA">
      <w:pPr>
        <w:pStyle w:val="GSRL1Scheduleheader"/>
      </w:pPr>
      <w:bookmarkStart w:id="2561" w:name="_Toc129038281"/>
      <w:bookmarkStart w:id="2562" w:name="_Toc129038567"/>
      <w:bookmarkStart w:id="2563" w:name="_Toc132268145"/>
      <w:bookmarkStart w:id="2564" w:name="_Toc132268451"/>
      <w:bookmarkStart w:id="2565" w:name="_Toc136198701"/>
      <w:bookmarkStart w:id="2566" w:name="_Toc136198982"/>
      <w:bookmarkStart w:id="2567" w:name="_Toc188885258"/>
      <w:r w:rsidRPr="001A1836">
        <w:lastRenderedPageBreak/>
        <w:t xml:space="preserve">SCHEDULE 12: </w:t>
      </w:r>
      <w:r w:rsidR="004C2FF4" w:rsidRPr="001A1836">
        <w:t>Exit Management</w:t>
      </w:r>
      <w:bookmarkEnd w:id="2561"/>
      <w:bookmarkEnd w:id="2562"/>
      <w:bookmarkEnd w:id="2563"/>
      <w:bookmarkEnd w:id="2564"/>
      <w:bookmarkEnd w:id="2565"/>
      <w:bookmarkEnd w:id="2566"/>
      <w:bookmarkEnd w:id="2567"/>
    </w:p>
    <w:p w14:paraId="32937CDC" w14:textId="77777777" w:rsidR="00626054" w:rsidRPr="001A1836" w:rsidRDefault="00626054" w:rsidP="00CF1BDA"/>
    <w:p w14:paraId="35836FEE" w14:textId="3B820F7B" w:rsidR="00626054" w:rsidRPr="001A1836" w:rsidRDefault="00626054" w:rsidP="009C30A9"/>
    <w:p w14:paraId="3F73EAB8" w14:textId="77777777" w:rsidR="009C30A9" w:rsidRPr="001A1836" w:rsidRDefault="009C30A9">
      <w:pPr>
        <w:spacing w:before="0" w:after="0"/>
        <w:rPr>
          <w:rFonts w:eastAsia="STZhongsong" w:cs="Arial"/>
          <w:b/>
          <w:caps/>
          <w:kern w:val="0"/>
          <w:sz w:val="24"/>
          <w:szCs w:val="22"/>
          <w:lang w:eastAsia="zh-CN"/>
        </w:rPr>
      </w:pPr>
      <w:bookmarkStart w:id="2568" w:name="_Toc508961514"/>
      <w:bookmarkStart w:id="2569" w:name="_Toc521327133"/>
      <w:bookmarkStart w:id="2570" w:name="_Toc521333366"/>
      <w:bookmarkStart w:id="2571" w:name="_Toc521484097"/>
      <w:bookmarkStart w:id="2572" w:name="_Toc521484860"/>
      <w:bookmarkStart w:id="2573" w:name="_Toc521485191"/>
      <w:bookmarkStart w:id="2574" w:name="Schedule12"/>
      <w:r w:rsidRPr="001A1836">
        <w:br w:type="page"/>
      </w:r>
    </w:p>
    <w:p w14:paraId="0E69D5E1" w14:textId="3685A0BB" w:rsidR="00626054" w:rsidRPr="001A1836" w:rsidRDefault="00626054" w:rsidP="008E18BD">
      <w:pPr>
        <w:pStyle w:val="GSRL2Sectionheading"/>
        <w:tabs>
          <w:tab w:val="clear" w:pos="1656"/>
        </w:tabs>
      </w:pPr>
      <w:bookmarkStart w:id="2575" w:name="_Toc521496928"/>
      <w:bookmarkStart w:id="2576" w:name="_Toc521498370"/>
      <w:bookmarkStart w:id="2577" w:name="_Toc529346068"/>
      <w:bookmarkStart w:id="2578" w:name="_Toc129038283"/>
      <w:bookmarkStart w:id="2579" w:name="_Toc129038569"/>
      <w:bookmarkStart w:id="2580" w:name="_Toc132268147"/>
      <w:bookmarkStart w:id="2581" w:name="_Toc132268453"/>
      <w:bookmarkStart w:id="2582" w:name="_Toc136198703"/>
      <w:bookmarkStart w:id="2583" w:name="_Toc136198984"/>
      <w:r w:rsidRPr="001A1836">
        <w:lastRenderedPageBreak/>
        <w:t>Operative Provisions</w:t>
      </w:r>
      <w:bookmarkEnd w:id="2568"/>
      <w:bookmarkEnd w:id="2569"/>
      <w:bookmarkEnd w:id="2570"/>
      <w:bookmarkEnd w:id="2571"/>
      <w:bookmarkEnd w:id="2572"/>
      <w:bookmarkEnd w:id="2573"/>
      <w:bookmarkEnd w:id="2575"/>
      <w:bookmarkEnd w:id="2576"/>
      <w:bookmarkEnd w:id="2577"/>
      <w:bookmarkEnd w:id="2578"/>
      <w:bookmarkEnd w:id="2579"/>
      <w:bookmarkEnd w:id="2580"/>
      <w:bookmarkEnd w:id="2581"/>
      <w:bookmarkEnd w:id="2582"/>
      <w:bookmarkEnd w:id="2583"/>
    </w:p>
    <w:p w14:paraId="3F1B9569" w14:textId="77777777" w:rsidR="00626054" w:rsidRPr="001A1836" w:rsidRDefault="00626054" w:rsidP="004E2262">
      <w:pPr>
        <w:pStyle w:val="GSRL3heading"/>
        <w:numPr>
          <w:ilvl w:val="0"/>
          <w:numId w:val="57"/>
        </w:numPr>
      </w:pPr>
      <w:bookmarkStart w:id="2584" w:name="_Toc508961515"/>
      <w:bookmarkStart w:id="2585" w:name="_Toc521327134"/>
      <w:bookmarkStart w:id="2586" w:name="_Toc521333367"/>
      <w:bookmarkStart w:id="2587" w:name="_Toc521484098"/>
      <w:bookmarkStart w:id="2588" w:name="_Toc521484861"/>
      <w:bookmarkStart w:id="2589" w:name="_Toc521485192"/>
      <w:bookmarkStart w:id="2590" w:name="_Toc521496929"/>
      <w:bookmarkStart w:id="2591" w:name="_Toc521498371"/>
      <w:bookmarkStart w:id="2592" w:name="_Toc529346069"/>
      <w:bookmarkStart w:id="2593" w:name="_Toc129038284"/>
      <w:bookmarkStart w:id="2594" w:name="_Toc129038570"/>
      <w:bookmarkStart w:id="2595" w:name="_Toc132268148"/>
      <w:bookmarkStart w:id="2596" w:name="_Toc132268454"/>
      <w:bookmarkStart w:id="2597" w:name="_Toc136198704"/>
      <w:bookmarkStart w:id="2598" w:name="_Toc136198985"/>
      <w:r w:rsidRPr="001A1836">
        <w:t>Introduction</w:t>
      </w:r>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p>
    <w:p w14:paraId="203FA441" w14:textId="454304B7" w:rsidR="00626054" w:rsidRPr="001A1836" w:rsidRDefault="00626054">
      <w:pPr>
        <w:pStyle w:val="GSRL4numberedclause"/>
        <w:tabs>
          <w:tab w:val="clear" w:pos="720"/>
        </w:tabs>
        <w:rPr>
          <w:b/>
        </w:rPr>
      </w:pPr>
      <w:r w:rsidRPr="001A1836">
        <w:t xml:space="preserve">This Schedule 12 describes provisions that should be included in the Exit Plan, the duties and responsibilities of the Provider to HSE leading up to and covering </w:t>
      </w:r>
      <w:r w:rsidR="006A1B86">
        <w:t>the termination or expiry of all or part of this Agreement</w:t>
      </w:r>
      <w:r w:rsidRPr="001A1836">
        <w:t xml:space="preserve"> and the transfer of service provision to HSE and/or a Replacement Provider.</w:t>
      </w:r>
    </w:p>
    <w:p w14:paraId="448D138D" w14:textId="5E96B771" w:rsidR="00626054" w:rsidRPr="001A1836" w:rsidRDefault="00626054">
      <w:pPr>
        <w:pStyle w:val="GSRL4numberedclause"/>
        <w:tabs>
          <w:tab w:val="clear" w:pos="720"/>
        </w:tabs>
        <w:rPr>
          <w:b/>
        </w:rPr>
      </w:pPr>
      <w:r w:rsidRPr="001A1836">
        <w:t xml:space="preserve">The objectives of the exit planning and service transfer arrangements are to ensure a smooth transition of the operation of the gas registration scheme from the Provider to HSE and/or a Replacement Provider </w:t>
      </w:r>
      <w:r w:rsidR="006A1B86">
        <w:t>on termination or expiry of all or part of this Agreement</w:t>
      </w:r>
      <w:r w:rsidRPr="001A1836">
        <w:t>.</w:t>
      </w:r>
    </w:p>
    <w:p w14:paraId="7333DC11" w14:textId="77777777" w:rsidR="00626054" w:rsidRPr="001A1836" w:rsidRDefault="00626054">
      <w:pPr>
        <w:pStyle w:val="GSRL3heading"/>
      </w:pPr>
      <w:bookmarkStart w:id="2599" w:name="_Toc508961516"/>
      <w:bookmarkStart w:id="2600" w:name="_Toc521327135"/>
      <w:bookmarkStart w:id="2601" w:name="_Toc521333368"/>
      <w:bookmarkStart w:id="2602" w:name="_Toc521484099"/>
      <w:bookmarkStart w:id="2603" w:name="_Toc521484862"/>
      <w:bookmarkStart w:id="2604" w:name="_Toc521485193"/>
      <w:bookmarkStart w:id="2605" w:name="_Toc521496930"/>
      <w:bookmarkStart w:id="2606" w:name="_Toc521498372"/>
      <w:bookmarkStart w:id="2607" w:name="_Toc529346070"/>
      <w:bookmarkStart w:id="2608" w:name="_Toc129038285"/>
      <w:bookmarkStart w:id="2609" w:name="_Toc129038571"/>
      <w:bookmarkStart w:id="2610" w:name="_Toc132268149"/>
      <w:bookmarkStart w:id="2611" w:name="_Toc132268455"/>
      <w:bookmarkStart w:id="2612" w:name="_Toc136198705"/>
      <w:bookmarkStart w:id="2613" w:name="_Toc136198986"/>
      <w:r w:rsidRPr="001A1836">
        <w:t>Obligations during the Term to facilitate exit</w:t>
      </w:r>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p>
    <w:p w14:paraId="278E5BD5" w14:textId="4C348199" w:rsidR="00626054" w:rsidRPr="001A1836" w:rsidRDefault="00626054">
      <w:pPr>
        <w:pStyle w:val="GSRL4numberedclause"/>
      </w:pPr>
      <w:r w:rsidRPr="001A1836">
        <w:t>During the Term, the Provider shall</w:t>
      </w:r>
      <w:r w:rsidR="009673AB">
        <w:t xml:space="preserve"> (without prejudice to its other obligations and responsibilities under the Agreement)</w:t>
      </w:r>
      <w:r w:rsidRPr="001A1836">
        <w:t>:</w:t>
      </w:r>
      <w:bookmarkStart w:id="2614" w:name="_Ref364241015"/>
    </w:p>
    <w:p w14:paraId="1B65C456" w14:textId="449CB617" w:rsidR="00626054" w:rsidRPr="001A1836" w:rsidRDefault="00626054">
      <w:pPr>
        <w:pStyle w:val="GSRL5numberedclause"/>
      </w:pPr>
      <w:bookmarkStart w:id="2615" w:name="_Ref508956617"/>
      <w:bookmarkEnd w:id="2614"/>
      <w:r w:rsidRPr="001A1836">
        <w:t>maintain a complete list of HSE Assets for the purposes of Schedule 18 (Assets);</w:t>
      </w:r>
      <w:bookmarkEnd w:id="2615"/>
    </w:p>
    <w:p w14:paraId="2A29D56F" w14:textId="77777777" w:rsidR="00626054" w:rsidRPr="001A1836" w:rsidRDefault="00626054">
      <w:pPr>
        <w:pStyle w:val="GSRL5numberedclause"/>
      </w:pPr>
      <w:bookmarkStart w:id="2616" w:name="_Ref508956425"/>
      <w:r w:rsidRPr="001A1836">
        <w:t>maintain the lists of Third-Party Contracts in Schedule 13 (Third-Party Contracts);</w:t>
      </w:r>
      <w:bookmarkEnd w:id="2616"/>
    </w:p>
    <w:p w14:paraId="21EDD406" w14:textId="77777777" w:rsidR="00626054" w:rsidRPr="001A1836" w:rsidRDefault="00626054">
      <w:pPr>
        <w:pStyle w:val="GSRL5numberedclause"/>
      </w:pPr>
      <w:r w:rsidRPr="001A1836">
        <w:t>maintain the list of APIs in Schedule 20 (IT Requirements);</w:t>
      </w:r>
    </w:p>
    <w:p w14:paraId="3BEBB5B5" w14:textId="77777777" w:rsidR="00626054" w:rsidRPr="001A1836" w:rsidRDefault="00626054">
      <w:pPr>
        <w:pStyle w:val="GSRL5numberedclause"/>
      </w:pPr>
      <w:r w:rsidRPr="001A1836">
        <w:t>create and maintain a fully annotated data model as required by Schedule 20 (IT Requirements);</w:t>
      </w:r>
    </w:p>
    <w:p w14:paraId="5CA6BE30" w14:textId="08522380" w:rsidR="00626054" w:rsidRPr="001A1836" w:rsidRDefault="00626054">
      <w:pPr>
        <w:pStyle w:val="GSRL5numberedclause"/>
      </w:pPr>
      <w:bookmarkStart w:id="2617" w:name="_Ref508956627"/>
      <w:r w:rsidRPr="001A1836">
        <w:t xml:space="preserve">create and maintain a configuration database detailing the </w:t>
      </w:r>
      <w:r w:rsidR="006A1B86">
        <w:t xml:space="preserve">Services Assets, </w:t>
      </w:r>
      <w:r w:rsidRPr="001A1836">
        <w:t>technical infrastructure and operating procedures through which the Provider provides the Services, which shall contain sufficient detail to permit HSE and/or Replacement Provider to understand how the Provider provides the Services and to enable the smooth transition of the Services with the minimum of disruption;</w:t>
      </w:r>
      <w:bookmarkEnd w:id="2617"/>
    </w:p>
    <w:p w14:paraId="03DB24B0" w14:textId="77777777" w:rsidR="00626054" w:rsidRPr="001A1836" w:rsidRDefault="00626054">
      <w:pPr>
        <w:pStyle w:val="GSRL5numberedclause"/>
      </w:pPr>
      <w:r w:rsidRPr="001A1836">
        <w:t>agree the format of the above lists and model and configuration database with HSE as part of the process of agreeing the Exit Plan; and</w:t>
      </w:r>
    </w:p>
    <w:p w14:paraId="091B20F9" w14:textId="4B026FAA" w:rsidR="00626054" w:rsidRPr="001A1836" w:rsidRDefault="00626054">
      <w:pPr>
        <w:pStyle w:val="GSRL5numberedclause"/>
      </w:pPr>
      <w:r w:rsidRPr="001A1836">
        <w:t>at all times keep the lists and model and configuration database up to date, in particular in the event that Assets, Sub-Contracts or other relevant agreements are added to or removed from the Services. Each update shall be submitted to HSE for Approval, and once Approved, shall be substituted for the previous version, and the relevant Schedule shall be amended accordingly through the Change Control Procedure.</w:t>
      </w:r>
    </w:p>
    <w:p w14:paraId="4DC8E463" w14:textId="138064DE" w:rsidR="009673AB" w:rsidRPr="009673AB" w:rsidRDefault="009673AB">
      <w:pPr>
        <w:pStyle w:val="GSRL4numberedclause"/>
      </w:pPr>
      <w:bookmarkStart w:id="2618" w:name="_Ref508956483"/>
      <w:r w:rsidRPr="009673AB">
        <w:t xml:space="preserve">The </w:t>
      </w:r>
      <w:r>
        <w:t>Provider</w:t>
      </w:r>
      <w:r w:rsidRPr="009673AB">
        <w:t xml:space="preserve"> shall procure that all Exclusive Assets listed in </w:t>
      </w:r>
      <w:r w:rsidR="006A1B86">
        <w:t>the lists and configuration database</w:t>
      </w:r>
      <w:r w:rsidRPr="009673AB">
        <w:t xml:space="preserve"> </w:t>
      </w:r>
      <w:r w:rsidR="006A1B86">
        <w:t xml:space="preserve">referred to in paragraph 2.1 </w:t>
      </w:r>
      <w:r w:rsidRPr="009673AB">
        <w:t xml:space="preserve">are clearly marked to identify that they are exclusively used for the provision of the Services under this </w:t>
      </w:r>
      <w:r w:rsidR="006A1B86">
        <w:t>Agreement</w:t>
      </w:r>
      <w:r w:rsidRPr="009673AB">
        <w:t xml:space="preserve">. </w:t>
      </w:r>
    </w:p>
    <w:p w14:paraId="70CCAA4D" w14:textId="21105B58" w:rsidR="00626054" w:rsidRPr="001A1836" w:rsidRDefault="00626054">
      <w:pPr>
        <w:pStyle w:val="GSRL4numberedclause"/>
      </w:pPr>
      <w:r w:rsidRPr="001A1836">
        <w:t xml:space="preserve">The Provider shall (unless otherwise agreed by HSE in writing) procure that all licences for Third Party IPR and all Sub-Contracts and all other relevant agreements referred to in paragraph </w:t>
      </w:r>
      <w:r w:rsidRPr="001A1836">
        <w:fldChar w:fldCharType="begin"/>
      </w:r>
      <w:r w:rsidRPr="001A1836">
        <w:instrText xml:space="preserve"> REF _Ref508956425 \r \h </w:instrText>
      </w:r>
      <w:r w:rsidR="00626FAC" w:rsidRPr="001A1836">
        <w:instrText xml:space="preserve"> \* MERGEFORMAT </w:instrText>
      </w:r>
      <w:r w:rsidRPr="001A1836">
        <w:fldChar w:fldCharType="separate"/>
      </w:r>
      <w:r w:rsidR="00C87D85">
        <w:t>2.1.2</w:t>
      </w:r>
      <w:r w:rsidRPr="001A1836">
        <w:fldChar w:fldCharType="end"/>
      </w:r>
      <w:r w:rsidRPr="001A1836">
        <w:t xml:space="preserve"> shall be assigned and/or novated at the request of HSE to HSE (and/or its nominee) and/or any Replacement Provider upon the Provider ceasing to provide the Services (or part of them) without restriction (including any need to obtain any consent or approval) or payment by HSE.</w:t>
      </w:r>
      <w:bookmarkEnd w:id="2618"/>
      <w:r w:rsidRPr="001A1836">
        <w:t xml:space="preserve"> </w:t>
      </w:r>
    </w:p>
    <w:p w14:paraId="76AE2E80" w14:textId="3CEF868A" w:rsidR="00626054" w:rsidRPr="001A1836" w:rsidRDefault="00626054">
      <w:pPr>
        <w:pStyle w:val="GSRL4numberedclause"/>
      </w:pPr>
      <w:r w:rsidRPr="001A1836">
        <w:lastRenderedPageBreak/>
        <w:t xml:space="preserve">Where the Provider is unable to procure that any Sub-Contract or other agreement referred to in paragraph </w:t>
      </w:r>
      <w:r w:rsidRPr="001A1836">
        <w:fldChar w:fldCharType="begin"/>
      </w:r>
      <w:r w:rsidRPr="001A1836">
        <w:instrText xml:space="preserve"> REF _Ref508956483 \r \h </w:instrText>
      </w:r>
      <w:r w:rsidR="00626FAC" w:rsidRPr="001A1836">
        <w:instrText xml:space="preserve"> \* MERGEFORMAT </w:instrText>
      </w:r>
      <w:r w:rsidRPr="001A1836">
        <w:fldChar w:fldCharType="separate"/>
      </w:r>
      <w:r w:rsidR="00C87D85">
        <w:t>2.2</w:t>
      </w:r>
      <w:r w:rsidRPr="001A1836">
        <w:fldChar w:fldCharType="end"/>
      </w:r>
      <w:r w:rsidRPr="001A1836">
        <w:t xml:space="preserve"> of this Schedule 12 which the Provider proposes to enter into after the Effective Date is assignable and/or capable of novation to HSE (and/or its nominee) and/or any Replacement Provider without restriction or payment, the Provider shall promptly notify HSE of this and the Parties shall (acting reasonably and without undue delay) discuss the appropriate action to be taken which, where HSE so directs, may include the Provider seeking an alternative Sub-Contractor or provider of Services to which the relevant agreement relates.</w:t>
      </w:r>
    </w:p>
    <w:p w14:paraId="133ADF4F" w14:textId="77777777" w:rsidR="00626054" w:rsidRPr="001A1836" w:rsidRDefault="00626054">
      <w:pPr>
        <w:pStyle w:val="GSRL4numberedclause"/>
      </w:pPr>
      <w:r w:rsidRPr="001A1836">
        <w:t>Each Party shall appoint a person for the purposes of managing the Parties' respective obligations under this Schedule 12 and provide written notification of such appointment to the other Party within three (3) months of the Effective Date. The Provider's Exit Manager shall be responsible for ensuring that the Provider and its Provider Personnel comply with this Schedule 12. The Provider shall ensure that its Exit Manager has the requisite authority to arrange and procure any resources of the Provider as are reasonably necessary to enable the Provider to comply with the requirements set out in this Schedule 12. The Parties' Exit Managers will liaise with one another in relation to all issues relevant to the termination of this Agreement and all matters connected with this Schedule 12 and each Party's compliance with it.</w:t>
      </w:r>
    </w:p>
    <w:p w14:paraId="5495A873" w14:textId="77777777" w:rsidR="00626054" w:rsidRPr="001A1836" w:rsidRDefault="00626054">
      <w:pPr>
        <w:pStyle w:val="GSRL3heading"/>
      </w:pPr>
      <w:bookmarkStart w:id="2619" w:name="_Toc508961517"/>
      <w:bookmarkStart w:id="2620" w:name="_Toc521327136"/>
      <w:bookmarkStart w:id="2621" w:name="_Toc521333369"/>
      <w:bookmarkStart w:id="2622" w:name="_Toc521484100"/>
      <w:bookmarkStart w:id="2623" w:name="_Toc521484863"/>
      <w:bookmarkStart w:id="2624" w:name="_Toc521485194"/>
      <w:bookmarkStart w:id="2625" w:name="_Toc521496931"/>
      <w:bookmarkStart w:id="2626" w:name="_Toc521498373"/>
      <w:bookmarkStart w:id="2627" w:name="_Toc529346071"/>
      <w:bookmarkStart w:id="2628" w:name="_Toc129038286"/>
      <w:bookmarkStart w:id="2629" w:name="_Toc129038572"/>
      <w:bookmarkStart w:id="2630" w:name="_Toc132268150"/>
      <w:bookmarkStart w:id="2631" w:name="_Toc132268456"/>
      <w:bookmarkStart w:id="2632" w:name="_Toc136198706"/>
      <w:bookmarkStart w:id="2633" w:name="_Toc136198987"/>
      <w:r w:rsidRPr="001A1836">
        <w:t>Obligations to assist on retendering of Services</w:t>
      </w:r>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p>
    <w:p w14:paraId="0C6C19F3" w14:textId="77777777" w:rsidR="00626054" w:rsidRPr="001A1836" w:rsidRDefault="00626054">
      <w:pPr>
        <w:pStyle w:val="GSRL4numberedclause"/>
      </w:pPr>
      <w:r w:rsidRPr="001A1836">
        <w:t>On reasonable notice at any point during the Term, the Provider shall provide to HSE and/or its potential Replacement Providers (subject to the potential Replacement Providers entering into reasonable written confidentiality undertakings), the following material and information in order to facilitate the preparation by HSE of any invitation to tender and/or to facilitate any potential Replacement Providers undertaking due diligence:</w:t>
      </w:r>
    </w:p>
    <w:p w14:paraId="2A2C2E69" w14:textId="77777777" w:rsidR="00626054" w:rsidRPr="001A1836" w:rsidRDefault="00626054">
      <w:pPr>
        <w:pStyle w:val="GSRL5numberedclause"/>
      </w:pPr>
      <w:r w:rsidRPr="001A1836">
        <w:t>details of the Service(s);</w:t>
      </w:r>
    </w:p>
    <w:p w14:paraId="7BFD2F48" w14:textId="57CC1CC3" w:rsidR="00626054" w:rsidRPr="001A1836" w:rsidRDefault="00626054">
      <w:pPr>
        <w:pStyle w:val="GSRL5numberedclause"/>
      </w:pPr>
      <w:r w:rsidRPr="001A1836">
        <w:t xml:space="preserve">a copy of the lists, models and configuration databases listed in paragraphs </w:t>
      </w:r>
      <w:r w:rsidRPr="001A1836">
        <w:fldChar w:fldCharType="begin"/>
      </w:r>
      <w:r w:rsidRPr="001A1836">
        <w:instrText xml:space="preserve"> REF _Ref508956617 \r \h </w:instrText>
      </w:r>
      <w:r w:rsidR="00051C83" w:rsidRPr="001A1836">
        <w:instrText xml:space="preserve"> \* MERGEFORMAT </w:instrText>
      </w:r>
      <w:r w:rsidRPr="001A1836">
        <w:fldChar w:fldCharType="separate"/>
      </w:r>
      <w:r w:rsidR="00C87D85">
        <w:t>2.1.1</w:t>
      </w:r>
      <w:r w:rsidRPr="001A1836">
        <w:fldChar w:fldCharType="end"/>
      </w:r>
      <w:r w:rsidRPr="001A1836">
        <w:t xml:space="preserve"> to </w:t>
      </w:r>
      <w:r w:rsidRPr="001A1836">
        <w:fldChar w:fldCharType="begin"/>
      </w:r>
      <w:r w:rsidRPr="001A1836">
        <w:instrText xml:space="preserve"> REF _Ref508956627 \r \h </w:instrText>
      </w:r>
      <w:r w:rsidR="00051C83" w:rsidRPr="001A1836">
        <w:instrText xml:space="preserve"> \* MERGEFORMAT </w:instrText>
      </w:r>
      <w:r w:rsidRPr="001A1836">
        <w:fldChar w:fldCharType="separate"/>
      </w:r>
      <w:r w:rsidR="00C87D85">
        <w:t>2.1.5</w:t>
      </w:r>
      <w:r w:rsidRPr="001A1836">
        <w:fldChar w:fldCharType="end"/>
      </w:r>
      <w:r w:rsidRPr="001A1836">
        <w:t xml:space="preserve">, updated by the Provider up to the date of delivery of such lists; </w:t>
      </w:r>
    </w:p>
    <w:p w14:paraId="3B0BE5C0" w14:textId="77777777" w:rsidR="00626054" w:rsidRPr="001A1836" w:rsidRDefault="00626054">
      <w:pPr>
        <w:pStyle w:val="GSRL5numberedclause"/>
      </w:pPr>
      <w:r w:rsidRPr="001A1836">
        <w:t>an inventory of HSE Data in the Provider's possession or control;</w:t>
      </w:r>
    </w:p>
    <w:p w14:paraId="5279D5AF" w14:textId="77777777" w:rsidR="00626054" w:rsidRPr="001A1836" w:rsidRDefault="00626054">
      <w:pPr>
        <w:pStyle w:val="GSRL5numberedclause"/>
      </w:pPr>
      <w:r w:rsidRPr="001A1836">
        <w:t>details of any key terms of any third party contracts and licences, particularly as regards charges, termination, assignment and novation;</w:t>
      </w:r>
    </w:p>
    <w:p w14:paraId="270779BC" w14:textId="77777777" w:rsidR="00626054" w:rsidRPr="001A1836" w:rsidRDefault="00626054">
      <w:pPr>
        <w:pStyle w:val="GSRL5numberedclause"/>
      </w:pPr>
      <w:r w:rsidRPr="001A1836">
        <w:t>a list of ongoing and/or threatened disputes in relation to the provision of the Services;</w:t>
      </w:r>
    </w:p>
    <w:p w14:paraId="64D5EEFF" w14:textId="77777777" w:rsidR="00626054" w:rsidRPr="001A1836" w:rsidRDefault="00626054">
      <w:pPr>
        <w:pStyle w:val="GSRL5numberedclause"/>
      </w:pPr>
      <w:r w:rsidRPr="001A1836">
        <w:t>all information relating to Transferring Provider Employees or those who may be Transferring Provider Employees required to be provided by the Provider under this Agreement such information to include the Staffing Information as defined in Schedule 9 (Staff Transfer); and</w:t>
      </w:r>
    </w:p>
    <w:p w14:paraId="7E3E9456" w14:textId="77777777" w:rsidR="00626054" w:rsidRPr="001A1836" w:rsidRDefault="00626054">
      <w:pPr>
        <w:pStyle w:val="GSRL5numberedclause"/>
      </w:pPr>
      <w:r w:rsidRPr="001A1836">
        <w:t>such other material and information as HSE shall reasonably require,</w:t>
      </w:r>
    </w:p>
    <w:p w14:paraId="41CD9011" w14:textId="77777777" w:rsidR="00626054" w:rsidRPr="001A1836" w:rsidRDefault="00626054" w:rsidP="00051C83">
      <w:pPr>
        <w:pStyle w:val="GSRL4numberedclause"/>
        <w:numPr>
          <w:ilvl w:val="1"/>
          <w:numId w:val="0"/>
        </w:numPr>
        <w:ind w:left="720"/>
      </w:pPr>
      <w:r w:rsidRPr="001A1836">
        <w:t>(together, the “Exit Information”).</w:t>
      </w:r>
    </w:p>
    <w:p w14:paraId="061CBA84" w14:textId="3D795A54" w:rsidR="00626054" w:rsidRPr="001A1836" w:rsidRDefault="00626054">
      <w:pPr>
        <w:pStyle w:val="GSRL4numberedclause"/>
      </w:pPr>
      <w:bookmarkStart w:id="2634" w:name="_Ref508957414"/>
      <w:r w:rsidRPr="001A1836">
        <w:t xml:space="preserve">The Provider acknowledges that HSE may disclose the Provider's Confidential Information to an actual or prospective Replacement Provider or any third party whom HSE is considering engaging to the extent that such disclosure is necessary in connection with such engagement (except that HSE may not under this paragraph </w:t>
      </w:r>
      <w:r w:rsidRPr="001A1836">
        <w:fldChar w:fldCharType="begin"/>
      </w:r>
      <w:r w:rsidRPr="001A1836">
        <w:instrText xml:space="preserve"> REF _Ref508957414 \r \h </w:instrText>
      </w:r>
      <w:r w:rsidR="00051C83" w:rsidRPr="001A1836">
        <w:instrText xml:space="preserve"> \* MERGEFORMAT </w:instrText>
      </w:r>
      <w:r w:rsidRPr="001A1836">
        <w:fldChar w:fldCharType="separate"/>
      </w:r>
      <w:r w:rsidR="00C87D85">
        <w:t>3.2</w:t>
      </w:r>
      <w:r w:rsidRPr="001A1836">
        <w:fldChar w:fldCharType="end"/>
      </w:r>
      <w:r w:rsidRPr="001A1836">
        <w:t xml:space="preserve"> of this Schedule 12 disclose any Provider’s Confidential Information which is information relating to the Provider’s or its Sub-Contractors’ prices or costs).</w:t>
      </w:r>
      <w:bookmarkEnd w:id="2634"/>
    </w:p>
    <w:p w14:paraId="172C015E" w14:textId="77777777" w:rsidR="00626054" w:rsidRPr="001A1836" w:rsidRDefault="00626054">
      <w:pPr>
        <w:pStyle w:val="GSRL4numberedclause"/>
      </w:pPr>
      <w:r w:rsidRPr="001A1836">
        <w:t>The Provider shall:</w:t>
      </w:r>
    </w:p>
    <w:p w14:paraId="0E3D3B75" w14:textId="77777777" w:rsidR="00626054" w:rsidRPr="001A1836" w:rsidRDefault="00626054">
      <w:pPr>
        <w:pStyle w:val="GSRL5numberedclause"/>
      </w:pPr>
      <w:r w:rsidRPr="001A1836">
        <w:lastRenderedPageBreak/>
        <w:t>notify HSE within five (5) Working Days of any material change to the Exit Information which may adversely impact upon the provision of any Services and shall consult with HSE regarding such proposed material changes; and</w:t>
      </w:r>
    </w:p>
    <w:p w14:paraId="5E1EB5D8" w14:textId="77777777" w:rsidR="00626054" w:rsidRPr="001A1836" w:rsidRDefault="00626054">
      <w:pPr>
        <w:pStyle w:val="GSRL5numberedclause"/>
      </w:pPr>
      <w:r w:rsidRPr="001A1836">
        <w:t>provide complete updates of the Exit Information on an as-requested basis as soon as reasonably practicable and in any event within ten (10) Working Days of a request in writing from HSE.</w:t>
      </w:r>
    </w:p>
    <w:p w14:paraId="5B32FE1A" w14:textId="77777777" w:rsidR="00626054" w:rsidRPr="001A1836" w:rsidRDefault="00626054">
      <w:pPr>
        <w:pStyle w:val="GSRL4numberedclause"/>
      </w:pPr>
      <w:r w:rsidRPr="001A1836">
        <w:t>The Provider may charge HSE for its reasonable additional costs to the extent HSE requests more than four (4) updates in any six (6) month period.</w:t>
      </w:r>
    </w:p>
    <w:p w14:paraId="4E4B1518" w14:textId="77777777" w:rsidR="00626054" w:rsidRPr="001A1836" w:rsidRDefault="00626054">
      <w:pPr>
        <w:pStyle w:val="GSRL4numberedclause"/>
      </w:pPr>
      <w:r w:rsidRPr="001A1836">
        <w:t>The Exit Information shall be accurate and complete in all material respects and the level of detail to be provided by the Provider shall be such as would be reasonably necessary to enable a third party to:</w:t>
      </w:r>
    </w:p>
    <w:p w14:paraId="317517E8" w14:textId="77777777" w:rsidR="00626054" w:rsidRPr="001A1836" w:rsidRDefault="00626054">
      <w:pPr>
        <w:pStyle w:val="GSRL5numberedclause"/>
      </w:pPr>
      <w:r w:rsidRPr="001A1836">
        <w:t>prepare an informed offer for those Services; and</w:t>
      </w:r>
    </w:p>
    <w:p w14:paraId="7422DF1E" w14:textId="1C4B3CB7" w:rsidR="00626054" w:rsidRDefault="00626054">
      <w:pPr>
        <w:pStyle w:val="GSRL5numberedclause"/>
      </w:pPr>
      <w:r w:rsidRPr="001A1836">
        <w:t>not be disadvantaged in any subsequent procurement process compared to the Provider (if the Provider is invited to participate).</w:t>
      </w:r>
    </w:p>
    <w:p w14:paraId="47A5E80A" w14:textId="3C34F86E" w:rsidR="006A1B86" w:rsidRDefault="00795644">
      <w:pPr>
        <w:pStyle w:val="GSRL4numberedclause"/>
      </w:pPr>
      <w:r>
        <w:t>HSE</w:t>
      </w:r>
      <w:r w:rsidR="006A1B86">
        <w:t xml:space="preserve"> may require the </w:t>
      </w:r>
      <w:r>
        <w:t>Provider</w:t>
      </w:r>
      <w:r w:rsidR="006A1B86">
        <w:t xml:space="preserve"> to enter into the Ethical Wall Agreement at any point during a re-tendering or contemplated re-tendering of the Services or any part of the Services.</w:t>
      </w:r>
      <w:r>
        <w:t xml:space="preserve"> </w:t>
      </w:r>
      <w:r w:rsidR="006A1B86">
        <w:t xml:space="preserve">If required to enter into the Ethical Wall Agreement, the </w:t>
      </w:r>
      <w:r>
        <w:t>Provider</w:t>
      </w:r>
      <w:r w:rsidR="006A1B86">
        <w:t xml:space="preserve"> will return a signed copy of the Ethical Wall Agreement within 10 Working Days of receipt.  The </w:t>
      </w:r>
      <w:r>
        <w:t>Provider</w:t>
      </w:r>
      <w:r w:rsidR="006A1B86">
        <w:t xml:space="preserve">'s costs of entering into the Ethical Wall Agreement will be borne solely by the </w:t>
      </w:r>
      <w:r>
        <w:t>Provider</w:t>
      </w:r>
      <w:r w:rsidR="006A1B86">
        <w:t>.</w:t>
      </w:r>
    </w:p>
    <w:p w14:paraId="78D678CE" w14:textId="77777777" w:rsidR="00626054" w:rsidRPr="001A1836" w:rsidRDefault="00626054">
      <w:pPr>
        <w:pStyle w:val="GSRL3heading"/>
      </w:pPr>
      <w:bookmarkStart w:id="2635" w:name="_Toc508961518"/>
      <w:bookmarkStart w:id="2636" w:name="_Toc521327137"/>
      <w:bookmarkStart w:id="2637" w:name="_Toc521333370"/>
      <w:bookmarkStart w:id="2638" w:name="_Toc521484101"/>
      <w:bookmarkStart w:id="2639" w:name="_Toc521484864"/>
      <w:bookmarkStart w:id="2640" w:name="_Toc521485195"/>
      <w:bookmarkStart w:id="2641" w:name="_Toc521496932"/>
      <w:bookmarkStart w:id="2642" w:name="_Toc521498374"/>
      <w:bookmarkStart w:id="2643" w:name="_Toc529346072"/>
      <w:bookmarkStart w:id="2644" w:name="_Toc129038287"/>
      <w:bookmarkStart w:id="2645" w:name="_Toc129038573"/>
      <w:bookmarkStart w:id="2646" w:name="_Toc132268151"/>
      <w:bookmarkStart w:id="2647" w:name="_Toc132268457"/>
      <w:bookmarkStart w:id="2648" w:name="_Toc136198707"/>
      <w:bookmarkStart w:id="2649" w:name="_Toc136198988"/>
      <w:r w:rsidRPr="001A1836">
        <w:t>Exit Plan</w:t>
      </w:r>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p>
    <w:p w14:paraId="56E5813A" w14:textId="05F0D7B0" w:rsidR="00626054" w:rsidRPr="001A1836" w:rsidRDefault="00626054">
      <w:pPr>
        <w:pStyle w:val="GSRL4numberedclause"/>
      </w:pPr>
      <w:r w:rsidRPr="001A1836">
        <w:t>The Provider shall, within three (3) months after the Effective Date, deliver to HSE an exit plan (“Exit Plan”) which:</w:t>
      </w:r>
    </w:p>
    <w:p w14:paraId="3D9B7ACB" w14:textId="0359E249" w:rsidR="00626054" w:rsidRPr="001A1836" w:rsidRDefault="00626054">
      <w:pPr>
        <w:pStyle w:val="GSRL5numberedclause"/>
      </w:pPr>
      <w:r w:rsidRPr="001A1836">
        <w:t>sets out the Provider's proposed methodology for achieving an orderly transition from the provision of the Services by the Provider to the provision of services that are the same or substantially similar by HSE and/or its Replacement Provider (“the Services Handover”) on the expiry</w:t>
      </w:r>
      <w:r w:rsidR="00BF5D00">
        <w:t>,</w:t>
      </w:r>
      <w:r w:rsidRPr="001A1836">
        <w:t xml:space="preserve"> termination </w:t>
      </w:r>
      <w:r w:rsidR="00BF5D00">
        <w:t xml:space="preserve">or Partial Termination </w:t>
      </w:r>
      <w:r w:rsidRPr="001A1836">
        <w:t xml:space="preserve">of this Agreement; </w:t>
      </w:r>
    </w:p>
    <w:p w14:paraId="10C286BB" w14:textId="3D107EF4" w:rsidR="00626054" w:rsidRPr="001A1836" w:rsidRDefault="00626054">
      <w:pPr>
        <w:pStyle w:val="GSRL5numberedclause"/>
      </w:pPr>
      <w:r w:rsidRPr="001A1836">
        <w:t xml:space="preserve">complies with the requirements set out in paragraph </w:t>
      </w:r>
      <w:r w:rsidRPr="001A1836">
        <w:fldChar w:fldCharType="begin"/>
      </w:r>
      <w:r w:rsidRPr="001A1836">
        <w:instrText xml:space="preserve"> REF _Ref508957663 \r \h </w:instrText>
      </w:r>
      <w:r w:rsidR="00051C83" w:rsidRPr="001A1836">
        <w:instrText xml:space="preserve"> \* MERGEFORMAT </w:instrText>
      </w:r>
      <w:r w:rsidRPr="001A1836">
        <w:fldChar w:fldCharType="separate"/>
      </w:r>
      <w:r w:rsidR="00C87D85">
        <w:t>4.3</w:t>
      </w:r>
      <w:r w:rsidRPr="001A1836">
        <w:fldChar w:fldCharType="end"/>
      </w:r>
      <w:r w:rsidRPr="001A1836">
        <w:t xml:space="preserve"> of this Schedule 12; </w:t>
      </w:r>
    </w:p>
    <w:p w14:paraId="11B76444" w14:textId="77777777" w:rsidR="00626054" w:rsidRPr="001A1836" w:rsidRDefault="00626054">
      <w:pPr>
        <w:pStyle w:val="GSRL5numberedclause"/>
      </w:pPr>
      <w:r w:rsidRPr="001A1836">
        <w:t>is otherwise reasonably satisfactory to HSE.</w:t>
      </w:r>
    </w:p>
    <w:p w14:paraId="438E3E40" w14:textId="77777777" w:rsidR="00626054" w:rsidRPr="001A1836" w:rsidRDefault="00626054">
      <w:pPr>
        <w:pStyle w:val="GSRL4numberedclause"/>
      </w:pPr>
      <w:r w:rsidRPr="001A1836">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in Schedule 19 (Dispute Resolution). </w:t>
      </w:r>
    </w:p>
    <w:p w14:paraId="42F6E3E8" w14:textId="49248974" w:rsidR="00626054" w:rsidRPr="001A1836" w:rsidRDefault="00626054">
      <w:pPr>
        <w:pStyle w:val="GSRL4numberedclause"/>
      </w:pPr>
      <w:bookmarkStart w:id="2650" w:name="_Ref508957663"/>
      <w:r w:rsidRPr="001A1836">
        <w:t>Unless otherwise specified by HSE, the Exit Plan shall set out, as a minimum:</w:t>
      </w:r>
      <w:bookmarkEnd w:id="2650"/>
    </w:p>
    <w:p w14:paraId="2C96BF7D" w14:textId="77777777" w:rsidR="00FA65A5" w:rsidRDefault="00626054">
      <w:pPr>
        <w:pStyle w:val="GSRL5numberedclause"/>
      </w:pPr>
      <w:r w:rsidRPr="001A1836">
        <w:t>how the Exit Information is obtained;</w:t>
      </w:r>
    </w:p>
    <w:p w14:paraId="7430A066" w14:textId="66328C03" w:rsidR="00FA65A5" w:rsidRPr="00FA65A5" w:rsidRDefault="00FA65A5">
      <w:pPr>
        <w:pStyle w:val="GSRL5numberedclause"/>
      </w:pPr>
      <w:r w:rsidRPr="00FA65A5">
        <w:t xml:space="preserve">separate mechanisms for dealing with Ordinary Exit and Emergency Exit, the provisions relating to Emergency Exit being prepared on the assumption that the </w:t>
      </w:r>
      <w:r w:rsidR="00DD26A2">
        <w:t>Provider</w:t>
      </w:r>
      <w:r w:rsidRPr="00FA65A5">
        <w:t xml:space="preserve"> may be unable to provide the full level of assistance which is required by the provisions relating to Ordinary Exit, and in the case of Emergency Exit, provision for the supply by the </w:t>
      </w:r>
      <w:r w:rsidR="00DD26A2">
        <w:t>Provider</w:t>
      </w:r>
      <w:r w:rsidRPr="00FA65A5">
        <w:t xml:space="preserve"> of all such reasonable assistance as </w:t>
      </w:r>
      <w:r w:rsidR="00DD26A2">
        <w:t>HSE</w:t>
      </w:r>
      <w:r w:rsidRPr="00FA65A5">
        <w:t xml:space="preserve"> shall require to enable </w:t>
      </w:r>
      <w:r w:rsidR="00DD26A2">
        <w:t>HSE</w:t>
      </w:r>
      <w:r w:rsidRPr="00FA65A5">
        <w:t xml:space="preserve"> or its sub-contractors to provide the Services;</w:t>
      </w:r>
    </w:p>
    <w:p w14:paraId="14922023" w14:textId="7B9D8935" w:rsidR="00626054" w:rsidRPr="001A1836" w:rsidRDefault="00FA65A5">
      <w:pPr>
        <w:pStyle w:val="GSRL5numberedclause"/>
      </w:pPr>
      <w:r w:rsidRPr="00FA65A5">
        <w:lastRenderedPageBreak/>
        <w:t xml:space="preserve">a mechanism for dealing with Partial Termination on the assumption that the </w:t>
      </w:r>
      <w:r>
        <w:t>Provider</w:t>
      </w:r>
      <w:r w:rsidRPr="00FA65A5">
        <w:t xml:space="preserve"> will continue to provide the remaining Services under this </w:t>
      </w:r>
      <w:r>
        <w:t>Agreement;</w:t>
      </w:r>
      <w:r w:rsidR="00626054" w:rsidRPr="001A1836">
        <w:t xml:space="preserve"> </w:t>
      </w:r>
    </w:p>
    <w:p w14:paraId="44E7A4EC" w14:textId="54ECFD27" w:rsidR="00626054" w:rsidRPr="001A1836" w:rsidRDefault="00626054">
      <w:pPr>
        <w:pStyle w:val="GSRL5numberedclause"/>
      </w:pPr>
      <w:r w:rsidRPr="001A1836">
        <w:t>the management structure to be employed during both transfer and cessation of the Services</w:t>
      </w:r>
      <w:r w:rsidR="00DD26A2">
        <w:t xml:space="preserve"> </w:t>
      </w:r>
      <w:r w:rsidR="00DD26A2" w:rsidRPr="00DD26A2">
        <w:t>in an Ordinary Exit and an Emergency Exit</w:t>
      </w:r>
      <w:r w:rsidRPr="001A1836">
        <w:t xml:space="preserve">; </w:t>
      </w:r>
    </w:p>
    <w:p w14:paraId="05AED325" w14:textId="77777777" w:rsidR="00626054" w:rsidRPr="001A1836" w:rsidRDefault="00626054">
      <w:pPr>
        <w:pStyle w:val="GSRL5numberedclause"/>
      </w:pPr>
      <w:r w:rsidRPr="001A1836">
        <w:t>the management structure to be employed during the Termination Assistance Period;</w:t>
      </w:r>
    </w:p>
    <w:p w14:paraId="1EE6EB04" w14:textId="6269EAE0" w:rsidR="00626054" w:rsidRPr="001A1836" w:rsidRDefault="00626054">
      <w:pPr>
        <w:pStyle w:val="GSRL5numberedclause"/>
      </w:pPr>
      <w:r w:rsidRPr="001A1836">
        <w:t>a detailed description of both the transfer and cessation processes, including a timetable</w:t>
      </w:r>
      <w:r w:rsidR="00DD26A2" w:rsidRPr="00DD26A2">
        <w:t>, applicable in the case of an Ordinary Exit and an Emergency Exit</w:t>
      </w:r>
      <w:r w:rsidRPr="001A1836">
        <w:t xml:space="preserve">; </w:t>
      </w:r>
    </w:p>
    <w:p w14:paraId="1BD2B140" w14:textId="77777777" w:rsidR="00626054" w:rsidRPr="001A1836" w:rsidRDefault="00626054">
      <w:pPr>
        <w:pStyle w:val="GSRL5numberedclause"/>
      </w:pPr>
      <w:r w:rsidRPr="001A1836">
        <w:t>how the Services will transfer to the Replacement Provider and/or HSE, including details of the processes, documentation, data transfer, systems migration, security and the segregation of HSE's technology components from any technology components operated by the Provider or its Sub-Contractors (where applicable);</w:t>
      </w:r>
    </w:p>
    <w:p w14:paraId="7CE6B1F2" w14:textId="77777777" w:rsidR="00626054" w:rsidRPr="001A1836" w:rsidRDefault="00626054">
      <w:pPr>
        <w:pStyle w:val="GSRL5numberedclause"/>
      </w:pPr>
      <w:r w:rsidRPr="001A1836">
        <w:t xml:space="preserve">details of the contracts and licences which will be available for assignment or novation to HSE and/or the Replacement Provider upon the Expiry Date (or upon termination of this Agreement) and proposals to effect such assignment or novation; </w:t>
      </w:r>
    </w:p>
    <w:p w14:paraId="39459EFB" w14:textId="77777777" w:rsidR="00626054" w:rsidRPr="001A1836" w:rsidRDefault="00626054">
      <w:pPr>
        <w:pStyle w:val="GSRL5numberedclause"/>
      </w:pPr>
      <w:r w:rsidRPr="001A1836">
        <w:t>proposals for the training of key members of the Replacement Provider’s personnel in connection with the continuation of the provision of the Services following the Expiry Date charged at rates agreed between the Parties at that time;</w:t>
      </w:r>
    </w:p>
    <w:p w14:paraId="3EF0C5A5" w14:textId="77777777" w:rsidR="00626054" w:rsidRPr="001A1836" w:rsidRDefault="00626054">
      <w:pPr>
        <w:pStyle w:val="GSRL5numberedclause"/>
      </w:pPr>
      <w:r w:rsidRPr="001A1836">
        <w:t xml:space="preserve">proposals for providing HSE or a Replacement Provider with copies of all documentation: </w:t>
      </w:r>
    </w:p>
    <w:p w14:paraId="35DB2934" w14:textId="77777777" w:rsidR="00626054" w:rsidRPr="001A1836" w:rsidRDefault="00626054">
      <w:pPr>
        <w:pStyle w:val="GSRL6numberedclause"/>
      </w:pPr>
      <w:r w:rsidRPr="001A1836">
        <w:t>used in the provision of the Services and necessarily required for the continued use thereof, in which the Intellectual Property Rights are owned by the Provider; and</w:t>
      </w:r>
    </w:p>
    <w:p w14:paraId="33C876B3" w14:textId="77777777" w:rsidR="00626054" w:rsidRPr="001A1836" w:rsidRDefault="00626054">
      <w:pPr>
        <w:pStyle w:val="GSRL6numberedclause"/>
      </w:pPr>
      <w:r w:rsidRPr="001A1836">
        <w:t xml:space="preserve">relating to the use and operation of the Services; </w:t>
      </w:r>
    </w:p>
    <w:p w14:paraId="2C7E7D75" w14:textId="19BA1178" w:rsidR="00626054" w:rsidRPr="001A1836" w:rsidRDefault="00626054">
      <w:pPr>
        <w:pStyle w:val="GSRL5numberedclause"/>
      </w:pPr>
      <w:r w:rsidRPr="001A1836">
        <w:t>proposals for the identification and return of all HSE property in the possession of and/or control of the Provider or any third party (including any Sub-Contractor);</w:t>
      </w:r>
    </w:p>
    <w:p w14:paraId="0B9FAF79" w14:textId="77777777" w:rsidR="00626054" w:rsidRPr="001A1836" w:rsidRDefault="00626054">
      <w:pPr>
        <w:pStyle w:val="GSRL5numberedclause"/>
      </w:pPr>
      <w:r w:rsidRPr="001A1836">
        <w:t>proposals for the disposal of any redundant Services and materials;</w:t>
      </w:r>
    </w:p>
    <w:p w14:paraId="081B70C1" w14:textId="77777777" w:rsidR="00626054" w:rsidRPr="001A1836" w:rsidRDefault="00626054">
      <w:pPr>
        <w:pStyle w:val="GSRL5numberedclause"/>
      </w:pPr>
      <w:r w:rsidRPr="001A1836">
        <w:t>procedures to:</w:t>
      </w:r>
    </w:p>
    <w:p w14:paraId="1FC14DA5" w14:textId="77777777" w:rsidR="00626054" w:rsidRPr="001A1836" w:rsidRDefault="00626054">
      <w:pPr>
        <w:pStyle w:val="GSRL6numberedclause"/>
      </w:pPr>
      <w:r w:rsidRPr="001A1836">
        <w:t>deal with requests made by HSE and/or a Replacement Provider for Staffing Information pursuant to Schedule 9 (Staff Transfer);</w:t>
      </w:r>
    </w:p>
    <w:p w14:paraId="55CC68E4" w14:textId="77777777" w:rsidR="00626054" w:rsidRPr="001A1836" w:rsidRDefault="00626054">
      <w:pPr>
        <w:pStyle w:val="GSRL6numberedclause"/>
      </w:pPr>
      <w:r w:rsidRPr="001A1836">
        <w:t xml:space="preserve">determine which Provider Personnel are or are likely to become Transferring Provider Employees; and </w:t>
      </w:r>
    </w:p>
    <w:p w14:paraId="1DE0C447" w14:textId="77777777" w:rsidR="00626054" w:rsidRPr="001A1836" w:rsidRDefault="00626054">
      <w:pPr>
        <w:pStyle w:val="GSRL6numberedclause"/>
      </w:pPr>
      <w:r w:rsidRPr="001A1836">
        <w:t>identify or develop any measures for the purpose of the Employment Regulations envisaged in respect of Transferring Provider Employees;</w:t>
      </w:r>
    </w:p>
    <w:p w14:paraId="52D69C47" w14:textId="44888810" w:rsidR="00626054" w:rsidRPr="001A1836" w:rsidRDefault="00626054">
      <w:pPr>
        <w:pStyle w:val="GSRL5numberedclause"/>
      </w:pPr>
      <w:r w:rsidRPr="001A1836">
        <w:t>how each of the issues set out in this Schedule 12 will be addressed to facilitate the Services Handover with the aim of ensuring that there is no disruption to or degradation of the Services during the Termination Assistance Period; and</w:t>
      </w:r>
    </w:p>
    <w:p w14:paraId="0E362A62" w14:textId="01CCC7F1" w:rsidR="00626054" w:rsidRDefault="00626054">
      <w:pPr>
        <w:pStyle w:val="GSRL5numberedclause"/>
      </w:pPr>
      <w:r w:rsidRPr="001A1836">
        <w:lastRenderedPageBreak/>
        <w:t>proposals for the supply of any other information or assistance reasonably required by HSE or a Replacement Provider in order to effect the transition referred to in paragraph 4.1.1 in an orderly manner.</w:t>
      </w:r>
    </w:p>
    <w:p w14:paraId="25996FED" w14:textId="518C6248" w:rsidR="00597993" w:rsidRDefault="00597993">
      <w:pPr>
        <w:pStyle w:val="GSRL4numberedclause"/>
      </w:pPr>
      <w:r>
        <w:t>The Parties acknowledge that the migration of the Services from the Provider to the HSE and/or its Replacement Provider may (if required by HSE) be phased, such that certain of the Services are handed over before others.</w:t>
      </w:r>
    </w:p>
    <w:p w14:paraId="0A67931E" w14:textId="07F5106E" w:rsidR="00597993" w:rsidRDefault="00597993">
      <w:pPr>
        <w:pStyle w:val="GSRL4numberedclause"/>
      </w:pPr>
      <w:r>
        <w:t>The Provider shall review and (if appropriate) update the Exit Plan on a basis consistent with the principles set out in this Schedule in the first month of each Contract Year (commencing with the second Contract Year) and if requested by HSE following the occurrence of a Financial Distress Event, within 14 days of such request, to reflect any changes in the Services that have occurred since the Exit Plan was last agreed.  Following such update, the Provider shall submit the revised Exit Plan to HSE for review. Within 20 Working Days following submission of the revised Exit Plan, the Parties shall meet and use reasonable endeavours to agree the contents of the revised Exit Plan.  If the Parties are unable to agree the contents of the revised Exit Plan within that 20 Working Day period, such dispute shall be resolved in accordance with the Dispute Resolution Procedure.</w:t>
      </w:r>
    </w:p>
    <w:p w14:paraId="6ADADACD" w14:textId="1AD311F4" w:rsidR="00597993" w:rsidRDefault="00597993">
      <w:pPr>
        <w:pStyle w:val="GSRL4numberedclause"/>
      </w:pPr>
      <w:r>
        <w:t>Within 20 Working Days after service of a Termination Notice by either Party or 6 months prior to the expiry of this Agreement, the Provider will submit for HSE's approval the Exit Plan in a final form that could be implemented immediately.  The final form of the Exit Plan shall be prepared on a basis consistent with the principles set out in this Schedule and shall reflect any changes in the Services that have occurred since the Exit Plan was last agreed.</w:t>
      </w:r>
    </w:p>
    <w:p w14:paraId="5F83F206" w14:textId="4E2AEB49" w:rsidR="00597993" w:rsidRDefault="00597993">
      <w:pPr>
        <w:pStyle w:val="GSRL4numberedclause"/>
      </w:pPr>
      <w:r>
        <w:t xml:space="preserve">The Parties will meet and use their respective reasonable endeavours to agree the contents of the final form of the Exit Plan.  If the Parties are unable to agree the contents of the Exit Plan within 20 Working Days following its delivery to </w:t>
      </w:r>
      <w:r w:rsidR="00010038">
        <w:t>HSE</w:t>
      </w:r>
      <w:r>
        <w:t xml:space="preserve"> then such Dispute shall be resolved in accordance with the Dispute Resolution Procedure.  Until the agreement of the final form of the Exit Plan, the </w:t>
      </w:r>
      <w:r w:rsidR="00010038">
        <w:t>Provider</w:t>
      </w:r>
      <w:r>
        <w:t xml:space="preserve"> shall provide the Termination Services in accordance with the principles set out in this Schedule and the last approved version of the Exit Plan (insofar as relevant).</w:t>
      </w:r>
    </w:p>
    <w:p w14:paraId="4F04BC3B" w14:textId="4A65F98F" w:rsidR="00626054" w:rsidRPr="001A1836" w:rsidRDefault="00626054">
      <w:pPr>
        <w:pStyle w:val="GSRL3heading"/>
      </w:pPr>
      <w:bookmarkStart w:id="2651" w:name="_Toc508961519"/>
      <w:bookmarkStart w:id="2652" w:name="_Toc521327138"/>
      <w:bookmarkStart w:id="2653" w:name="_Toc521333371"/>
      <w:bookmarkStart w:id="2654" w:name="_Toc521484102"/>
      <w:bookmarkStart w:id="2655" w:name="_Toc521484865"/>
      <w:bookmarkStart w:id="2656" w:name="_Toc521485196"/>
      <w:bookmarkStart w:id="2657" w:name="_Toc521496933"/>
      <w:bookmarkStart w:id="2658" w:name="_Toc521498375"/>
      <w:bookmarkStart w:id="2659" w:name="_Toc529346073"/>
      <w:bookmarkStart w:id="2660" w:name="_Toc129038288"/>
      <w:bookmarkStart w:id="2661" w:name="_Toc129038574"/>
      <w:bookmarkStart w:id="2662" w:name="_Toc132268152"/>
      <w:bookmarkStart w:id="2663" w:name="_Toc132268458"/>
      <w:bookmarkStart w:id="2664" w:name="_Toc136198708"/>
      <w:bookmarkStart w:id="2665" w:name="_Toc136198989"/>
      <w:r w:rsidRPr="001A1836">
        <w:t>Termination Assistance</w:t>
      </w:r>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p>
    <w:p w14:paraId="03B5F9FB" w14:textId="2C282507" w:rsidR="00626054" w:rsidRPr="001A1836" w:rsidRDefault="00D4790E">
      <w:pPr>
        <w:pStyle w:val="GSRL4numberedclause"/>
      </w:pPr>
      <w:bookmarkStart w:id="2666" w:name="_Ref508958002"/>
      <w:r>
        <w:t xml:space="preserve">Without prejudice to the </w:t>
      </w:r>
      <w:r w:rsidR="00010038">
        <w:t>Provider</w:t>
      </w:r>
      <w:r>
        <w:t xml:space="preserve">'s other obligations and responsibilities under this Schedule and the Exit Plan, </w:t>
      </w:r>
      <w:r w:rsidR="00626054" w:rsidRPr="001A1836">
        <w:t xml:space="preserve">HSE shall be entitled to require the provision of Termination Assistance at any time during the Term by giving written notice to the Provider (a </w:t>
      </w:r>
      <w:r w:rsidR="00626054" w:rsidRPr="000535FB">
        <w:rPr>
          <w:b/>
        </w:rPr>
        <w:t>"Termination Assistance Notice"</w:t>
      </w:r>
      <w:r w:rsidR="00626054" w:rsidRPr="001A1836">
        <w:t>) at least four (4) months prior to the Expiry Date or as soon as reasonably practicable (but in any event, not later than one (1) month) following the service by either Party of a Termination Notice. The Termination Assistance Notice shall specify:</w:t>
      </w:r>
      <w:bookmarkEnd w:id="2666"/>
    </w:p>
    <w:p w14:paraId="7743BDCA" w14:textId="77777777" w:rsidR="00626054" w:rsidRPr="001A1836" w:rsidRDefault="00626054">
      <w:pPr>
        <w:pStyle w:val="GSRL5numberedclause"/>
      </w:pPr>
      <w:r w:rsidRPr="001A1836">
        <w:t>the date from which Termination Assistance is required;</w:t>
      </w:r>
    </w:p>
    <w:p w14:paraId="29619F9F" w14:textId="77777777" w:rsidR="00252B3D" w:rsidRPr="001A1836" w:rsidRDefault="00626054">
      <w:pPr>
        <w:pStyle w:val="GSRL5numberedclause"/>
      </w:pPr>
      <w:r w:rsidRPr="001A1836">
        <w:t>the nature of the Termination Assistance required; and</w:t>
      </w:r>
    </w:p>
    <w:p w14:paraId="18ED1A8F" w14:textId="10084C3E" w:rsidR="00626054" w:rsidRPr="001A1836" w:rsidRDefault="00626054">
      <w:pPr>
        <w:pStyle w:val="GSRL5numberedclause"/>
      </w:pPr>
      <w:r w:rsidRPr="001A1836">
        <w:t>the period during which it is anticipated that Termination Assistance will be required, which shall continue no longer than twelve (12) months after the date that the Provider ceases to provide the Services.</w:t>
      </w:r>
    </w:p>
    <w:p w14:paraId="5B20A0B0" w14:textId="77777777" w:rsidR="00626054" w:rsidRPr="001A1836" w:rsidRDefault="00626054">
      <w:pPr>
        <w:pStyle w:val="GSRL4numberedclause"/>
      </w:pPr>
      <w:r w:rsidRPr="001A1836">
        <w:t xml:space="preserve">HSE shall have an option to extend the Termination Assistance Period beyond the period specified in the Termination Assistance Notice provided that such extension shall not extend for more than six (6) months after the date the Provider ceases to provide the Services or, if applicable, beyond the end of the Termination Assistance Period and provided that it shall notify the Provider to such effect no later than twenty </w:t>
      </w:r>
      <w:r w:rsidRPr="001A1836">
        <w:lastRenderedPageBreak/>
        <w:t>(20) Working Days prior to the date on which the provision of Termination Assistance is otherwise due to expire. HSE shall have the right to terminate its requirement for Termination Assistance by serving not less than (20) Working Days' written notice upon the Provider to such effect.</w:t>
      </w:r>
    </w:p>
    <w:p w14:paraId="0DC15762" w14:textId="77777777" w:rsidR="00626054" w:rsidRPr="001A1836" w:rsidRDefault="00626054">
      <w:pPr>
        <w:pStyle w:val="GSRL3heading"/>
      </w:pPr>
      <w:bookmarkStart w:id="2667" w:name="_Toc508961520"/>
      <w:bookmarkStart w:id="2668" w:name="_Toc521327139"/>
      <w:bookmarkStart w:id="2669" w:name="_Toc521333372"/>
      <w:bookmarkStart w:id="2670" w:name="_Toc521484103"/>
      <w:bookmarkStart w:id="2671" w:name="_Toc521484866"/>
      <w:bookmarkStart w:id="2672" w:name="_Toc521485197"/>
      <w:bookmarkStart w:id="2673" w:name="_Toc521496934"/>
      <w:bookmarkStart w:id="2674" w:name="_Toc521498376"/>
      <w:bookmarkStart w:id="2675" w:name="_Toc529346074"/>
      <w:bookmarkStart w:id="2676" w:name="_Toc129038289"/>
      <w:bookmarkStart w:id="2677" w:name="_Toc129038575"/>
      <w:bookmarkStart w:id="2678" w:name="_Toc132268153"/>
      <w:bookmarkStart w:id="2679" w:name="_Toc132268459"/>
      <w:bookmarkStart w:id="2680" w:name="_Toc136198709"/>
      <w:bookmarkStart w:id="2681" w:name="_Toc136198990"/>
      <w:r w:rsidRPr="001A1836">
        <w:t>Termination Assistance Period</w:t>
      </w:r>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p>
    <w:p w14:paraId="4D41FD1A" w14:textId="77777777" w:rsidR="00626054" w:rsidRPr="001A1836" w:rsidRDefault="00626054">
      <w:pPr>
        <w:pStyle w:val="GSRL4numberedclause"/>
      </w:pPr>
      <w:r w:rsidRPr="001A1836">
        <w:t>Throughout the Termination Assistance Period, or such shorter period as HSE may require, the Provider shall:</w:t>
      </w:r>
    </w:p>
    <w:p w14:paraId="7797B89E" w14:textId="721B381D" w:rsidR="00626054" w:rsidRPr="001A1836" w:rsidRDefault="00626054">
      <w:pPr>
        <w:pStyle w:val="GSRL5numberedclause"/>
      </w:pPr>
      <w:r w:rsidRPr="001A1836">
        <w:t>continue to provide the Services (as applicable</w:t>
      </w:r>
      <w:r w:rsidR="00E424AC" w:rsidRPr="001A1836">
        <w:t xml:space="preserve"> up to the end of the Term</w:t>
      </w:r>
      <w:r w:rsidRPr="001A1836">
        <w:t xml:space="preserve">) and, if required by HSE pursuant to paragraph </w:t>
      </w:r>
      <w:r w:rsidRPr="001A1836">
        <w:fldChar w:fldCharType="begin"/>
      </w:r>
      <w:r w:rsidRPr="001A1836">
        <w:instrText xml:space="preserve"> REF _Ref508958002 \r \h </w:instrText>
      </w:r>
      <w:r w:rsidR="00051C83" w:rsidRPr="001A1836">
        <w:instrText xml:space="preserve"> \* MERGEFORMAT </w:instrText>
      </w:r>
      <w:r w:rsidRPr="001A1836">
        <w:fldChar w:fldCharType="separate"/>
      </w:r>
      <w:r w:rsidR="00C87D85">
        <w:t>5.1</w:t>
      </w:r>
      <w:r w:rsidRPr="001A1836">
        <w:fldChar w:fldCharType="end"/>
      </w:r>
      <w:r w:rsidRPr="001A1836">
        <w:t xml:space="preserve"> of this Schedule 12, provide the Termination Assistance;</w:t>
      </w:r>
    </w:p>
    <w:p w14:paraId="12926E00" w14:textId="0FE7900B" w:rsidR="00626054" w:rsidRPr="001A1836" w:rsidRDefault="00626054">
      <w:pPr>
        <w:pStyle w:val="GSRL5numberedclause"/>
      </w:pPr>
      <w:bookmarkStart w:id="2682" w:name="_Ref508958017"/>
      <w:r w:rsidRPr="001A1836">
        <w:t>in addition to the Termination Assistance, provide to HSE any reasonable assistance requested by HSE to allow the provision of services the same as or substantially similar to the Services to continue without interruption following the termination or expiry of this Agreement;</w:t>
      </w:r>
      <w:bookmarkEnd w:id="2682"/>
    </w:p>
    <w:p w14:paraId="1692BF5C" w14:textId="77FB79E9" w:rsidR="00626054" w:rsidRPr="001A1836" w:rsidRDefault="00626054">
      <w:pPr>
        <w:pStyle w:val="GSRL5numberedclause"/>
      </w:pPr>
      <w:bookmarkStart w:id="2683" w:name="_Ref508958099"/>
      <w:r w:rsidRPr="001A1836">
        <w:t xml:space="preserve">use all reasonable endeavours to reallocate resources to provide such assistance as is referred to in paragraph </w:t>
      </w:r>
      <w:r w:rsidRPr="001A1836">
        <w:fldChar w:fldCharType="begin"/>
      </w:r>
      <w:r w:rsidRPr="001A1836">
        <w:instrText xml:space="preserve"> REF _Ref508958017 \r \h </w:instrText>
      </w:r>
      <w:r w:rsidR="00051C83" w:rsidRPr="001A1836">
        <w:instrText xml:space="preserve"> \* MERGEFORMAT </w:instrText>
      </w:r>
      <w:r w:rsidRPr="001A1836">
        <w:fldChar w:fldCharType="separate"/>
      </w:r>
      <w:r w:rsidR="00C87D85">
        <w:t>6.1.2</w:t>
      </w:r>
      <w:r w:rsidRPr="001A1836">
        <w:fldChar w:fldCharType="end"/>
      </w:r>
      <w:r w:rsidRPr="001A1836">
        <w:t xml:space="preserve"> of this Schedule 12 without additional costs to HSE;</w:t>
      </w:r>
      <w:bookmarkEnd w:id="2683"/>
    </w:p>
    <w:p w14:paraId="16C3D93B" w14:textId="3832E661" w:rsidR="00626054" w:rsidRPr="001A1836" w:rsidRDefault="00626054">
      <w:pPr>
        <w:pStyle w:val="GSRL5numberedclause"/>
      </w:pPr>
      <w:r w:rsidRPr="001A1836">
        <w:t xml:space="preserve">provide the Termination Assistance at no detriment to the Service Level Performance Measures, save to the extent that the Parties agree otherwise in accordance with paragraph </w:t>
      </w:r>
      <w:r w:rsidRPr="001A1836">
        <w:fldChar w:fldCharType="begin"/>
      </w:r>
      <w:r w:rsidRPr="001A1836">
        <w:instrText xml:space="preserve"> REF _Ref508958063 \r \h </w:instrText>
      </w:r>
      <w:r w:rsidR="00051C83" w:rsidRPr="001A1836">
        <w:instrText xml:space="preserve"> \* MERGEFORMAT </w:instrText>
      </w:r>
      <w:r w:rsidRPr="001A1836">
        <w:fldChar w:fldCharType="separate"/>
      </w:r>
      <w:r w:rsidR="00C87D85">
        <w:t>6.3</w:t>
      </w:r>
      <w:r w:rsidRPr="001A1836">
        <w:fldChar w:fldCharType="end"/>
      </w:r>
      <w:r w:rsidRPr="001A1836">
        <w:t>; and</w:t>
      </w:r>
    </w:p>
    <w:p w14:paraId="727177BC" w14:textId="35EFDC5D" w:rsidR="00626054" w:rsidRPr="001A1836" w:rsidRDefault="00626054">
      <w:pPr>
        <w:pStyle w:val="GSRL5numberedclause"/>
      </w:pPr>
      <w:bookmarkStart w:id="2684" w:name="_Ref508958391"/>
      <w:r w:rsidRPr="001A1836">
        <w:t xml:space="preserve">at HSE's request and on reasonable notice, deliver up-to-date copies of the lists, models and configuration databases listed in paragraphs </w:t>
      </w:r>
      <w:r w:rsidRPr="001A1836">
        <w:fldChar w:fldCharType="begin"/>
      </w:r>
      <w:r w:rsidRPr="001A1836">
        <w:instrText xml:space="preserve"> REF _Ref508956617 \r \h </w:instrText>
      </w:r>
      <w:r w:rsidR="00051C83" w:rsidRPr="001A1836">
        <w:instrText xml:space="preserve"> \* MERGEFORMAT </w:instrText>
      </w:r>
      <w:r w:rsidRPr="001A1836">
        <w:fldChar w:fldCharType="separate"/>
      </w:r>
      <w:r w:rsidR="00C87D85">
        <w:t>2.1.1</w:t>
      </w:r>
      <w:r w:rsidRPr="001A1836">
        <w:fldChar w:fldCharType="end"/>
      </w:r>
      <w:r w:rsidRPr="001A1836">
        <w:t xml:space="preserve"> to </w:t>
      </w:r>
      <w:r w:rsidRPr="001A1836">
        <w:fldChar w:fldCharType="begin"/>
      </w:r>
      <w:r w:rsidRPr="001A1836">
        <w:instrText xml:space="preserve"> REF _Ref508956627 \r \h </w:instrText>
      </w:r>
      <w:r w:rsidR="00051C83" w:rsidRPr="001A1836">
        <w:instrText xml:space="preserve"> \* MERGEFORMAT </w:instrText>
      </w:r>
      <w:r w:rsidRPr="001A1836">
        <w:fldChar w:fldCharType="separate"/>
      </w:r>
      <w:r w:rsidR="00C87D85">
        <w:t>2.1.5</w:t>
      </w:r>
      <w:r w:rsidRPr="001A1836">
        <w:fldChar w:fldCharType="end"/>
      </w:r>
      <w:r w:rsidRPr="001A1836">
        <w:t xml:space="preserve"> to HSE.</w:t>
      </w:r>
      <w:bookmarkEnd w:id="2684"/>
    </w:p>
    <w:p w14:paraId="060B5632" w14:textId="1A1950AC" w:rsidR="00626054" w:rsidRPr="001A1836" w:rsidRDefault="00626054">
      <w:pPr>
        <w:pStyle w:val="GSRL4numberedclause"/>
      </w:pPr>
      <w:r w:rsidRPr="001A1836">
        <w:t xml:space="preserve">Without prejudice to the Provider’s obligations under paragraph </w:t>
      </w:r>
      <w:r w:rsidRPr="001A1836">
        <w:fldChar w:fldCharType="begin"/>
      </w:r>
      <w:r w:rsidRPr="001A1836">
        <w:instrText xml:space="preserve"> REF _Ref508958099 \r \h </w:instrText>
      </w:r>
      <w:r w:rsidR="00051C83" w:rsidRPr="001A1836">
        <w:instrText xml:space="preserve"> \* MERGEFORMAT </w:instrText>
      </w:r>
      <w:r w:rsidRPr="001A1836">
        <w:fldChar w:fldCharType="separate"/>
      </w:r>
      <w:r w:rsidR="00C87D85">
        <w:t>6.1.3</w:t>
      </w:r>
      <w:r w:rsidRPr="001A1836">
        <w:fldChar w:fldCharType="end"/>
      </w:r>
      <w:r w:rsidRPr="001A1836">
        <w:t xml:space="preserve"> of this Schedule 12, if it is not possible for the Provider to </w:t>
      </w:r>
      <w:r w:rsidR="00B44207">
        <w:t xml:space="preserve">use or </w:t>
      </w:r>
      <w:r w:rsidRPr="001A1836">
        <w:t xml:space="preserve">reallocate resources </w:t>
      </w:r>
      <w:r w:rsidR="00717707" w:rsidRPr="001A1836">
        <w:t xml:space="preserve">assigned to the Services </w:t>
      </w:r>
      <w:r w:rsidRPr="001A1836">
        <w:t xml:space="preserve">to provide such </w:t>
      </w:r>
      <w:r w:rsidR="00717707" w:rsidRPr="001A1836">
        <w:t xml:space="preserve">Termination Assistance and other reasonable </w:t>
      </w:r>
      <w:r w:rsidRPr="001A1836">
        <w:t xml:space="preserve">assistance as is referred to in paragraph </w:t>
      </w:r>
      <w:r w:rsidRPr="001A1836">
        <w:fldChar w:fldCharType="begin"/>
      </w:r>
      <w:r w:rsidRPr="001A1836">
        <w:instrText xml:space="preserve"> REF _Ref508958017 \r \h </w:instrText>
      </w:r>
      <w:r w:rsidR="00051C83" w:rsidRPr="001A1836">
        <w:instrText xml:space="preserve"> \* MERGEFORMAT </w:instrText>
      </w:r>
      <w:r w:rsidRPr="001A1836">
        <w:fldChar w:fldCharType="separate"/>
      </w:r>
      <w:r w:rsidR="00C87D85">
        <w:t>6.1.2</w:t>
      </w:r>
      <w:r w:rsidRPr="001A1836">
        <w:fldChar w:fldCharType="end"/>
      </w:r>
      <w:r w:rsidRPr="001A1836">
        <w:t xml:space="preserve"> of this Schedule 12 without additional costs to HSE, any </w:t>
      </w:r>
      <w:r w:rsidR="00AA451C" w:rsidRPr="001A1836">
        <w:t xml:space="preserve">agreed </w:t>
      </w:r>
      <w:r w:rsidRPr="001A1836">
        <w:t xml:space="preserve">additional costs incurred by the Provider in providing such </w:t>
      </w:r>
      <w:r w:rsidR="00717707" w:rsidRPr="001A1836">
        <w:t xml:space="preserve">Termination Assistance and </w:t>
      </w:r>
      <w:r w:rsidRPr="001A1836">
        <w:t xml:space="preserve">reasonable assistance shall be </w:t>
      </w:r>
      <w:r w:rsidR="00AA451C" w:rsidRPr="001A1836">
        <w:t xml:space="preserve">chargeable and </w:t>
      </w:r>
      <w:r w:rsidRPr="001A1836">
        <w:t>subject to the Change Control Procedure.</w:t>
      </w:r>
    </w:p>
    <w:p w14:paraId="7BF6690B" w14:textId="5E086FBC" w:rsidR="00626054" w:rsidRPr="001A1836" w:rsidRDefault="00626054">
      <w:pPr>
        <w:pStyle w:val="GSRL4numberedclause"/>
      </w:pPr>
      <w:bookmarkStart w:id="2685" w:name="_Ref508958063"/>
      <w:r w:rsidRPr="001A1836">
        <w:t>If the Provider demonstrates to HSE's reasonable satisfaction that the Services Handover and provision of the Termination Assistance during the Termination Assistance Period will have a material, unavoidable adverse effect on the Provider's ability to meet one or more particular Service Level Performance Measure(s), the Parties shall vary the relevant Service Level Performance Measure(s) and/or the applicable Service Credits to take account of such adverse effect.</w:t>
      </w:r>
      <w:bookmarkEnd w:id="2685"/>
    </w:p>
    <w:p w14:paraId="3728C3A2" w14:textId="77777777" w:rsidR="00626054" w:rsidRPr="001A1836" w:rsidRDefault="00626054">
      <w:pPr>
        <w:pStyle w:val="GSRL3heading"/>
      </w:pPr>
      <w:bookmarkStart w:id="2686" w:name="_Toc508961521"/>
      <w:bookmarkStart w:id="2687" w:name="_Toc521327140"/>
      <w:bookmarkStart w:id="2688" w:name="_Toc521333373"/>
      <w:bookmarkStart w:id="2689" w:name="_Toc521484104"/>
      <w:bookmarkStart w:id="2690" w:name="_Toc521484867"/>
      <w:bookmarkStart w:id="2691" w:name="_Toc521485198"/>
      <w:bookmarkStart w:id="2692" w:name="_Toc521496935"/>
      <w:bookmarkStart w:id="2693" w:name="_Toc521498377"/>
      <w:bookmarkStart w:id="2694" w:name="_Toc529346075"/>
      <w:bookmarkStart w:id="2695" w:name="_Toc129038290"/>
      <w:bookmarkStart w:id="2696" w:name="_Toc129038576"/>
      <w:bookmarkStart w:id="2697" w:name="_Toc132268154"/>
      <w:bookmarkStart w:id="2698" w:name="_Toc132268460"/>
      <w:bookmarkStart w:id="2699" w:name="_Toc136198710"/>
      <w:bookmarkStart w:id="2700" w:name="_Toc136198991"/>
      <w:r w:rsidRPr="001A1836">
        <w:t>Termination obligations</w:t>
      </w:r>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p>
    <w:p w14:paraId="31E5E26A" w14:textId="77777777" w:rsidR="00626054" w:rsidRPr="001A1836" w:rsidRDefault="00626054">
      <w:pPr>
        <w:pStyle w:val="GSRL4numberedclause"/>
      </w:pPr>
      <w:r w:rsidRPr="001A1836">
        <w:t>The Provider shall comply with all of its obligations contained in the Exit Plan and with its obligations relating to expiry and termination including those set out in Clauses 14 and 30.</w:t>
      </w:r>
    </w:p>
    <w:p w14:paraId="5B2BB7B3" w14:textId="4E7785D8" w:rsidR="00626054" w:rsidRPr="001A1836" w:rsidRDefault="00626054">
      <w:pPr>
        <w:pStyle w:val="GSRL4numberedclause"/>
      </w:pPr>
      <w:r w:rsidRPr="001A1836">
        <w:t>Upon (a) termination or expiry (as the case may be); or (b) (if later and applicable) the expiry of the Termination Assistance Period (or earlier if this does not adversely affect the Provider's performance of the Services and the Termination Assistance and its compliance with the other provisions of this Schedule 12), the Provider shall</w:t>
      </w:r>
      <w:r w:rsidR="00D4790E">
        <w:t xml:space="preserve"> in respect of the Services that have been terminated</w:t>
      </w:r>
      <w:r w:rsidRPr="001A1836">
        <w:t>:</w:t>
      </w:r>
    </w:p>
    <w:p w14:paraId="37333AE6" w14:textId="79A00EAB" w:rsidR="00626054" w:rsidRPr="001A1836" w:rsidRDefault="00626054">
      <w:pPr>
        <w:pStyle w:val="GSRL5numberedclause"/>
      </w:pPr>
      <w:r w:rsidRPr="001A1836">
        <w:lastRenderedPageBreak/>
        <w:t xml:space="preserve">cease to use HSE Data and HSE </w:t>
      </w:r>
      <w:r w:rsidR="000E33C7">
        <w:t>Existing</w:t>
      </w:r>
      <w:r w:rsidR="000E33C7" w:rsidRPr="001A1836">
        <w:t xml:space="preserve"> </w:t>
      </w:r>
      <w:r w:rsidRPr="001A1836">
        <w:t>IPR;</w:t>
      </w:r>
    </w:p>
    <w:p w14:paraId="43676079" w14:textId="77777777" w:rsidR="00626054" w:rsidRPr="001A1836" w:rsidRDefault="00626054">
      <w:pPr>
        <w:pStyle w:val="GSRL5numberedclause"/>
      </w:pPr>
      <w:r w:rsidRPr="001A1836">
        <w:t>provide HSE and/or the Replacement Provider with a complete and uncorrupted version of HSE Data in electronic form (or such other format as reasonably required by HSE);</w:t>
      </w:r>
    </w:p>
    <w:p w14:paraId="6FECD068" w14:textId="4D081550" w:rsidR="00626054" w:rsidRPr="001A1836" w:rsidRDefault="00626054">
      <w:pPr>
        <w:pStyle w:val="GSRL5numberedclause"/>
      </w:pPr>
      <w:r w:rsidRPr="001A1836">
        <w:t xml:space="preserve">erase from any computers, storage devices and storage media that are to be retained by the Provider after the end of the Termination Assistance Period all HSE Data and material to which </w:t>
      </w:r>
      <w:r w:rsidR="000E33C7">
        <w:t>HSE Existing</w:t>
      </w:r>
      <w:r w:rsidR="000E33C7" w:rsidRPr="001A1836">
        <w:t xml:space="preserve"> </w:t>
      </w:r>
      <w:r w:rsidRPr="001A1836">
        <w:t>IPR relate and promptly certify to HSE that it has completed such deletion;</w:t>
      </w:r>
    </w:p>
    <w:p w14:paraId="6B040670" w14:textId="77777777" w:rsidR="00626054" w:rsidRPr="001A1836" w:rsidRDefault="00626054">
      <w:pPr>
        <w:pStyle w:val="GSRL5numberedclause"/>
      </w:pPr>
      <w:r w:rsidRPr="001A1836">
        <w:t>deliver or return to HSE such of the following as is in the Provider's possession or control:</w:t>
      </w:r>
    </w:p>
    <w:p w14:paraId="1477DCD1" w14:textId="4A267AD3" w:rsidR="00626054" w:rsidRPr="001A1836" w:rsidRDefault="00626054">
      <w:pPr>
        <w:pStyle w:val="GSRL6numberedclause"/>
      </w:pPr>
      <w:r w:rsidRPr="001A1836">
        <w:t xml:space="preserve">all materials to which </w:t>
      </w:r>
      <w:r w:rsidR="000E33C7">
        <w:t>New</w:t>
      </w:r>
      <w:r w:rsidR="000E33C7" w:rsidRPr="001A1836">
        <w:t xml:space="preserve"> </w:t>
      </w:r>
      <w:r w:rsidRPr="001A1836">
        <w:t>IPR relates;</w:t>
      </w:r>
    </w:p>
    <w:p w14:paraId="555F0794" w14:textId="77777777" w:rsidR="00626054" w:rsidRPr="001A1836" w:rsidRDefault="00626054">
      <w:pPr>
        <w:pStyle w:val="GSRL6numberedclause"/>
      </w:pPr>
      <w:r w:rsidRPr="001A1836">
        <w:t xml:space="preserve">any equipment which belongs to HSE; </w:t>
      </w:r>
    </w:p>
    <w:p w14:paraId="39B2A7CF" w14:textId="77777777" w:rsidR="00626054" w:rsidRPr="001A1836" w:rsidRDefault="00626054">
      <w:pPr>
        <w:pStyle w:val="GSRL6numberedclause"/>
      </w:pPr>
      <w:r w:rsidRPr="001A1836">
        <w:t>any items that have been on-charged to HSE, such as consumables; and</w:t>
      </w:r>
    </w:p>
    <w:p w14:paraId="15DC9162" w14:textId="33C427C0" w:rsidR="00626054" w:rsidRPr="001A1836" w:rsidRDefault="00626054">
      <w:pPr>
        <w:pStyle w:val="GSRL5numberedclause"/>
      </w:pPr>
      <w:r w:rsidRPr="001A1836">
        <w:t>vacate any HSE premises (if applicable);</w:t>
      </w:r>
    </w:p>
    <w:p w14:paraId="49C226A1" w14:textId="3168658B" w:rsidR="00626054" w:rsidRPr="001A1836" w:rsidRDefault="00626054">
      <w:pPr>
        <w:pStyle w:val="GSRL5numberedclause"/>
      </w:pPr>
      <w:r w:rsidRPr="001A1836">
        <w:t xml:space="preserve">remove the Provider Equipment together with any other materials used by the Provider to supply the Services and shall leave any HSE premises (if applicable) in a clean, safe and tidy condition. The Provider is solely responsible for making good any damage to the Sites or any objects contained thereon, other than fair wear and tear, which is caused by the Provider and/or any Provider Personnel; </w:t>
      </w:r>
    </w:p>
    <w:p w14:paraId="3850DA03" w14:textId="43D1F37B" w:rsidR="00626054" w:rsidRPr="001A1836" w:rsidRDefault="00626054">
      <w:pPr>
        <w:pStyle w:val="GSRL5numberedclause"/>
      </w:pPr>
      <w:r w:rsidRPr="001A1836">
        <w:t xml:space="preserve">provide access during normal working hours to HSE and/or the Replacement Provider for up to twelve (12) months after </w:t>
      </w:r>
      <w:r w:rsidR="00D4790E">
        <w:t xml:space="preserve">Partial Termination, </w:t>
      </w:r>
      <w:r w:rsidRPr="001A1836">
        <w:t>expiry or termination to:</w:t>
      </w:r>
    </w:p>
    <w:p w14:paraId="10C871AB" w14:textId="77777777" w:rsidR="00626054" w:rsidRPr="001A1836" w:rsidRDefault="00626054">
      <w:pPr>
        <w:pStyle w:val="GSRL6numberedclause"/>
      </w:pPr>
      <w:r w:rsidRPr="001A1836">
        <w:t>such information relating to the Services as remains in the possession or control of the Provider; and</w:t>
      </w:r>
    </w:p>
    <w:p w14:paraId="74BD7905" w14:textId="77777777" w:rsidR="00626054" w:rsidRPr="001A1836" w:rsidRDefault="00626054">
      <w:pPr>
        <w:pStyle w:val="GSRL6numberedclause"/>
      </w:pPr>
      <w:r w:rsidRPr="001A1836">
        <w:t>such members of the Provider Personnel as have been involved in the design, development and provision of the Services and who are still employed by the Provider, provided that HSE and/or the Replacement Provider shall pay the reasonable costs of the Provider actually incurred in responding to requests for access under this paragraph.</w:t>
      </w:r>
    </w:p>
    <w:p w14:paraId="23D8B518" w14:textId="0CA4FEFF" w:rsidR="00626054" w:rsidRPr="001A1836" w:rsidRDefault="00626054">
      <w:pPr>
        <w:pStyle w:val="GSRL4numberedclause"/>
      </w:pPr>
      <w:r w:rsidRPr="001A1836">
        <w:t xml:space="preserve">Upon (a) </w:t>
      </w:r>
      <w:r w:rsidR="00D4790E">
        <w:t xml:space="preserve">Partial Termination, </w:t>
      </w:r>
      <w:r w:rsidRPr="001A1836">
        <w:t xml:space="preserve">termination or expiry (as the case may be) or (b) (if later and applicable) the expiry of the Termination Assistance Period (or earlier if this does not adversely affect the Provider's performance of the Services and the Termination Assistance and its compliance with the other provisions of this Schedule 12), each Party shall return to the other Party (or if requested, destroy or delete) all Confidential Information of the other Party </w:t>
      </w:r>
      <w:r w:rsidR="00D4790E">
        <w:t xml:space="preserve">in respect of the terminated Services </w:t>
      </w:r>
      <w:r w:rsidRPr="001A1836">
        <w:t xml:space="preserve">and shall certify that it does not retain the other Party's Confidential Information save to the extent (and for the limited period) that such information needs to be retained by the Party in question for the purposes of providing or receiving any Services or </w:t>
      </w:r>
      <w:r w:rsidR="00D4790E">
        <w:t>T</w:t>
      </w:r>
      <w:r w:rsidRPr="001A1836">
        <w:t xml:space="preserve">ermination </w:t>
      </w:r>
      <w:r w:rsidR="00D4790E">
        <w:t>Assistance</w:t>
      </w:r>
      <w:r w:rsidR="00D4790E" w:rsidRPr="001A1836">
        <w:t xml:space="preserve"> </w:t>
      </w:r>
      <w:r w:rsidRPr="001A1836">
        <w:t>or for statutory compliance purposes.</w:t>
      </w:r>
    </w:p>
    <w:p w14:paraId="4BA8325C" w14:textId="52B04993" w:rsidR="00626054" w:rsidRPr="001A1836" w:rsidRDefault="00626054">
      <w:pPr>
        <w:pStyle w:val="GSRL4numberedclause"/>
      </w:pPr>
      <w:r w:rsidRPr="001A1836">
        <w:t xml:space="preserve">Except where this Agreement provides otherwise, all licences, leases and authorisations granted by HSE to the Provider in relation to the </w:t>
      </w:r>
      <w:r w:rsidR="00D4790E">
        <w:t xml:space="preserve">terminated </w:t>
      </w:r>
      <w:r w:rsidRPr="001A1836">
        <w:t>Services shall be terminated with effect from the end of the Termination Assistance Period.</w:t>
      </w:r>
    </w:p>
    <w:p w14:paraId="0EA0C8B2" w14:textId="77777777" w:rsidR="00626054" w:rsidRPr="001A1836" w:rsidRDefault="00626054">
      <w:pPr>
        <w:pStyle w:val="GSRL3heading"/>
      </w:pPr>
      <w:bookmarkStart w:id="2701" w:name="_Toc508961522"/>
      <w:bookmarkStart w:id="2702" w:name="_Toc521327141"/>
      <w:bookmarkStart w:id="2703" w:name="_Toc521333374"/>
      <w:bookmarkStart w:id="2704" w:name="_Toc521484105"/>
      <w:bookmarkStart w:id="2705" w:name="_Toc521484868"/>
      <w:bookmarkStart w:id="2706" w:name="_Toc521485199"/>
      <w:bookmarkStart w:id="2707" w:name="_Toc521496936"/>
      <w:bookmarkStart w:id="2708" w:name="_Toc521498378"/>
      <w:bookmarkStart w:id="2709" w:name="_Toc529346076"/>
      <w:bookmarkStart w:id="2710" w:name="_Toc129038291"/>
      <w:bookmarkStart w:id="2711" w:name="_Toc129038577"/>
      <w:bookmarkStart w:id="2712" w:name="_Toc132268155"/>
      <w:bookmarkStart w:id="2713" w:name="_Toc132268461"/>
      <w:bookmarkStart w:id="2714" w:name="_Toc136198711"/>
      <w:bookmarkStart w:id="2715" w:name="_Toc136198992"/>
      <w:r w:rsidRPr="001A1836">
        <w:t>Assets and Sub-Contracts</w:t>
      </w:r>
      <w:bookmarkStart w:id="2716" w:name="_DV_M564"/>
      <w:bookmarkStart w:id="2717" w:name="_DV_M566"/>
      <w:bookmarkStart w:id="2718" w:name="_DV_M567"/>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p>
    <w:p w14:paraId="493FFCE6" w14:textId="38F36241" w:rsidR="00626054" w:rsidRPr="001A1836" w:rsidRDefault="00626054">
      <w:pPr>
        <w:pStyle w:val="GSRL4numberedclause"/>
      </w:pPr>
      <w:r w:rsidRPr="001A1836">
        <w:lastRenderedPageBreak/>
        <w:t xml:space="preserve">Following any notice of termination </w:t>
      </w:r>
      <w:r w:rsidR="002C1084">
        <w:t xml:space="preserve">or Partial Termination </w:t>
      </w:r>
      <w:r w:rsidRPr="001A1836">
        <w:t xml:space="preserve">of this Agreement and during the Termination Assistance Period, the Provider shall not, </w:t>
      </w:r>
      <w:r w:rsidR="002C1084">
        <w:t xml:space="preserve">in respect of the terminated Services, </w:t>
      </w:r>
      <w:r w:rsidRPr="001A1836">
        <w:t>without HSE's prior written consent</w:t>
      </w:r>
      <w:r w:rsidR="00457886" w:rsidRPr="001A1836">
        <w:t xml:space="preserve"> which will not be unreasonably withheld</w:t>
      </w:r>
      <w:r w:rsidRPr="001A1836">
        <w:t>:</w:t>
      </w:r>
    </w:p>
    <w:p w14:paraId="36D5F226" w14:textId="5BF9529A" w:rsidR="00626054" w:rsidRDefault="00626054">
      <w:pPr>
        <w:pStyle w:val="GSRL5numberedclause"/>
      </w:pPr>
      <w:r w:rsidRPr="001A1836">
        <w:t>terminate, enter into or vary any Sub-Contract;</w:t>
      </w:r>
      <w:r w:rsidR="002C1084">
        <w:t xml:space="preserve"> or</w:t>
      </w:r>
    </w:p>
    <w:p w14:paraId="06E2C679" w14:textId="04A91DE9" w:rsidR="002C1084" w:rsidRPr="001A1836" w:rsidRDefault="002C1084">
      <w:pPr>
        <w:pStyle w:val="GSRL5numberedclause"/>
      </w:pPr>
      <w:r w:rsidRPr="002C1084">
        <w:t xml:space="preserve"> (subject to normal maintenance requirements) make material modifications to, or dispose of, any existing </w:t>
      </w:r>
      <w:r>
        <w:t xml:space="preserve">Services </w:t>
      </w:r>
      <w:r w:rsidRPr="002C1084">
        <w:t xml:space="preserve">Assets or acquire any new </w:t>
      </w:r>
      <w:r>
        <w:t xml:space="preserve">Services </w:t>
      </w:r>
      <w:r w:rsidRPr="002C1084">
        <w:t>Assets</w:t>
      </w:r>
      <w:r>
        <w:t>; or</w:t>
      </w:r>
    </w:p>
    <w:p w14:paraId="41BE85E3" w14:textId="0929ADA1" w:rsidR="00626054" w:rsidRPr="001A1836" w:rsidRDefault="00626054">
      <w:pPr>
        <w:pStyle w:val="GSRL5numberedclause"/>
      </w:pPr>
      <w:r w:rsidRPr="001A1836">
        <w:t>terminate, enter into or vary any licence for software in connection with the provision of Services</w:t>
      </w:r>
      <w:r w:rsidR="002C1084">
        <w:t>.</w:t>
      </w:r>
    </w:p>
    <w:p w14:paraId="45233EBD" w14:textId="0BBB37EC" w:rsidR="00626054" w:rsidRPr="001A1836" w:rsidRDefault="00626054">
      <w:pPr>
        <w:pStyle w:val="GSRL4numberedclause"/>
      </w:pPr>
      <w:r w:rsidRPr="001A1836">
        <w:t>Within twenty (20) Working Days of receipt of the up-to-date lists</w:t>
      </w:r>
      <w:r w:rsidR="002C1084" w:rsidRPr="001A1836">
        <w:t>, models and configuration databases</w:t>
      </w:r>
      <w:r w:rsidR="002C1084">
        <w:t xml:space="preserve"> </w:t>
      </w:r>
      <w:r w:rsidRPr="001A1836">
        <w:t xml:space="preserve">provided by the Provider pursuant to paragraph </w:t>
      </w:r>
      <w:r w:rsidRPr="001A1836">
        <w:fldChar w:fldCharType="begin"/>
      </w:r>
      <w:r w:rsidRPr="001A1836">
        <w:instrText xml:space="preserve"> REF _Ref508958391 \r \h </w:instrText>
      </w:r>
      <w:r w:rsidR="00051C83" w:rsidRPr="001A1836">
        <w:instrText xml:space="preserve"> \* MERGEFORMAT </w:instrText>
      </w:r>
      <w:r w:rsidRPr="001A1836">
        <w:fldChar w:fldCharType="separate"/>
      </w:r>
      <w:r w:rsidR="00C87D85">
        <w:t>6.1.5</w:t>
      </w:r>
      <w:r w:rsidRPr="001A1836">
        <w:fldChar w:fldCharType="end"/>
      </w:r>
      <w:r w:rsidRPr="001A1836">
        <w:t xml:space="preserve"> of this Schedule 12, HSE shall provide written notice to the Provider setting out:</w:t>
      </w:r>
    </w:p>
    <w:p w14:paraId="47CCA656" w14:textId="77777777" w:rsidR="002C1084" w:rsidRDefault="00626054">
      <w:pPr>
        <w:pStyle w:val="GSRL5numberedclause"/>
      </w:pPr>
      <w:bookmarkStart w:id="2719" w:name="_Ref511287984"/>
      <w:r w:rsidRPr="001A1836">
        <w:t xml:space="preserve">which, if any, of the </w:t>
      </w:r>
      <w:r w:rsidR="00457886" w:rsidRPr="001A1836">
        <w:t xml:space="preserve">HSE </w:t>
      </w:r>
      <w:r w:rsidRPr="001A1836">
        <w:t>Assets HSE requires to be transferred to HSE and/or the Replacement Provider;</w:t>
      </w:r>
      <w:bookmarkEnd w:id="2719"/>
    </w:p>
    <w:p w14:paraId="5F1026DD" w14:textId="6E0C382A" w:rsidR="002C1084" w:rsidRDefault="002C1084">
      <w:pPr>
        <w:pStyle w:val="GSRL5numberedclause"/>
      </w:pPr>
      <w:r w:rsidRPr="002C1084">
        <w:t xml:space="preserve">which, if any, of the Transferable Assets </w:t>
      </w:r>
      <w:r>
        <w:t>HSE</w:t>
      </w:r>
      <w:r w:rsidRPr="002C1084">
        <w:t xml:space="preserve"> requires to be transferred to </w:t>
      </w:r>
      <w:r>
        <w:t>HSE</w:t>
      </w:r>
      <w:r w:rsidRPr="002C1084">
        <w:t xml:space="preserve"> and/or the Replacement </w:t>
      </w:r>
      <w:r>
        <w:t>Provider</w:t>
      </w:r>
      <w:r w:rsidRPr="002C1084">
        <w:t xml:space="preserve"> in respect of the terminated Services</w:t>
      </w:r>
      <w:r w:rsidR="005234F8">
        <w:t xml:space="preserve"> (</w:t>
      </w:r>
      <w:r w:rsidR="005234F8" w:rsidRPr="005234F8">
        <w:rPr>
          <w:b/>
        </w:rPr>
        <w:t>"Transferring Assets"</w:t>
      </w:r>
      <w:r w:rsidR="005234F8">
        <w:t>)</w:t>
      </w:r>
      <w:r>
        <w:t>;</w:t>
      </w:r>
    </w:p>
    <w:p w14:paraId="226C63EB" w14:textId="77777777" w:rsidR="002C1084" w:rsidRDefault="002C1084">
      <w:pPr>
        <w:pStyle w:val="GSRL5numberedclause"/>
      </w:pPr>
      <w:r>
        <w:t>which, if any, of:</w:t>
      </w:r>
    </w:p>
    <w:p w14:paraId="3341EC0A" w14:textId="77777777" w:rsidR="002C1084" w:rsidRDefault="002C1084">
      <w:pPr>
        <w:pStyle w:val="GSRL6numberedclause"/>
      </w:pPr>
      <w:r>
        <w:t xml:space="preserve">the Exclusive Assets that are not Transferable Assets; and </w:t>
      </w:r>
    </w:p>
    <w:p w14:paraId="030901EB" w14:textId="77777777" w:rsidR="002C1084" w:rsidRDefault="002C1084">
      <w:pPr>
        <w:pStyle w:val="GSRL6numberedclause"/>
      </w:pPr>
      <w:r>
        <w:t>the Non-Exclusive Assets,</w:t>
      </w:r>
    </w:p>
    <w:p w14:paraId="0B9B5663" w14:textId="51073352" w:rsidR="002C1084" w:rsidRDefault="002C1084" w:rsidP="002C1084">
      <w:pPr>
        <w:pStyle w:val="GSRL5numberedclause"/>
        <w:numPr>
          <w:ilvl w:val="0"/>
          <w:numId w:val="0"/>
        </w:numPr>
        <w:ind w:left="1582"/>
      </w:pPr>
      <w:r>
        <w:t>HSE and/or the Replacement Provider requires the continued use of; and</w:t>
      </w:r>
    </w:p>
    <w:p w14:paraId="263C7C98" w14:textId="1574E9AC" w:rsidR="00626054" w:rsidRPr="001A1836" w:rsidRDefault="00626054">
      <w:pPr>
        <w:pStyle w:val="GSRL5numberedclause"/>
      </w:pPr>
      <w:r w:rsidRPr="001A1836">
        <w:t xml:space="preserve">which, if any, of the </w:t>
      </w:r>
      <w:r w:rsidR="005234F8">
        <w:t>Transferable Contracts</w:t>
      </w:r>
      <w:r w:rsidRPr="001A1836">
        <w:t xml:space="preserve"> HSE requires to be assigned or novated to HSE and/or the Replacement Provider (the </w:t>
      </w:r>
      <w:r w:rsidRPr="005234F8">
        <w:rPr>
          <w:b/>
        </w:rPr>
        <w:t>“Transferring Contracts”</w:t>
      </w:r>
      <w:r w:rsidRPr="001A1836">
        <w:t>),</w:t>
      </w:r>
    </w:p>
    <w:p w14:paraId="7984A1F7" w14:textId="0E7A0607" w:rsidR="00626054" w:rsidRPr="001A1836" w:rsidRDefault="00626054" w:rsidP="00051C83">
      <w:pPr>
        <w:pStyle w:val="GSRL4numberedclause"/>
        <w:numPr>
          <w:ilvl w:val="1"/>
          <w:numId w:val="0"/>
        </w:numPr>
        <w:ind w:left="720"/>
      </w:pPr>
      <w:r w:rsidRPr="001A1836">
        <w:t xml:space="preserve">in order for HSE and/or its Replacement Provider to provide Services the same as or substantially similar to the Services from the expiry of the Termination Assistance Period. Where requested by HSE and/or its Replacement Provider, the Provider shall provide all reasonable assistance to HSE and/or its Replacement Provider to enable it to determine which </w:t>
      </w:r>
      <w:r w:rsidR="005234F8">
        <w:t xml:space="preserve">Services </w:t>
      </w:r>
      <w:r w:rsidRPr="001A1836">
        <w:t>Assets and Contracts HSE and/or its Replacement Provider requires to provide services the same or substantially similar to the Services or the Replacement Services.</w:t>
      </w:r>
      <w:r w:rsidR="005234F8">
        <w:t xml:space="preserve"> </w:t>
      </w:r>
      <w:r w:rsidR="005234F8" w:rsidRPr="005234F8">
        <w:t xml:space="preserve">Where requested by the </w:t>
      </w:r>
      <w:r w:rsidR="005234F8">
        <w:t>Provider</w:t>
      </w:r>
      <w:r w:rsidR="005234F8" w:rsidRPr="005234F8">
        <w:t xml:space="preserve">, </w:t>
      </w:r>
      <w:r w:rsidR="005234F8">
        <w:t>HSE</w:t>
      </w:r>
      <w:r w:rsidR="005234F8" w:rsidRPr="005234F8">
        <w:t xml:space="preserve"> and/or its Replacement </w:t>
      </w:r>
      <w:r w:rsidR="005234F8">
        <w:t>Provider</w:t>
      </w:r>
      <w:r w:rsidR="005234F8" w:rsidRPr="005234F8">
        <w:t xml:space="preserve"> shall discuss in good faith with the </w:t>
      </w:r>
      <w:r w:rsidR="005234F8">
        <w:t>Provider</w:t>
      </w:r>
      <w:r w:rsidR="005234F8" w:rsidRPr="005234F8">
        <w:t xml:space="preserve"> which Transferable Contracts are used by the </w:t>
      </w:r>
      <w:r w:rsidR="005234F8">
        <w:t>Provider</w:t>
      </w:r>
      <w:r w:rsidR="005234F8" w:rsidRPr="005234F8">
        <w:t xml:space="preserve"> in matters unconnected to the Services or the Replacement Services</w:t>
      </w:r>
      <w:r w:rsidR="005234F8">
        <w:t>.</w:t>
      </w:r>
    </w:p>
    <w:p w14:paraId="5C423820" w14:textId="77777777" w:rsidR="005234F8" w:rsidRDefault="00626054">
      <w:pPr>
        <w:pStyle w:val="GSRL4numberedclause"/>
      </w:pPr>
      <w:r w:rsidRPr="001A1836">
        <w:t>With effect from (a) termination or expiry or (b) (if later and applicable) the expiry of the Termination Assistance Period (or earlier if this does not adversely affect the Provider's performance of the Services and the Termination Assistance and its compliance with the other provisions of this Schedule 12) the Provider shall</w:t>
      </w:r>
      <w:r w:rsidR="005234F8">
        <w:t>:</w:t>
      </w:r>
      <w:r w:rsidRPr="001A1836">
        <w:t xml:space="preserve"> </w:t>
      </w:r>
    </w:p>
    <w:p w14:paraId="3ADB840F" w14:textId="15E0B753" w:rsidR="005234F8" w:rsidRDefault="00626054">
      <w:pPr>
        <w:pStyle w:val="GSRL5numberedclause"/>
      </w:pPr>
      <w:r w:rsidRPr="001A1836">
        <w:t xml:space="preserve">deliver the </w:t>
      </w:r>
      <w:r w:rsidR="00457886" w:rsidRPr="001A1836">
        <w:t xml:space="preserve">HSE </w:t>
      </w:r>
      <w:r w:rsidRPr="001A1836">
        <w:t xml:space="preserve">Assets as specified pursuant to paragraph </w:t>
      </w:r>
      <w:r w:rsidRPr="001A1836">
        <w:fldChar w:fldCharType="begin"/>
      </w:r>
      <w:r w:rsidRPr="001A1836">
        <w:instrText xml:space="preserve"> REF _Ref511287984 \r \h </w:instrText>
      </w:r>
      <w:r w:rsidR="00051C83" w:rsidRPr="001A1836">
        <w:instrText xml:space="preserve"> \* MERGEFORMAT </w:instrText>
      </w:r>
      <w:r w:rsidRPr="001A1836">
        <w:fldChar w:fldCharType="separate"/>
      </w:r>
      <w:r w:rsidR="00C87D85">
        <w:t>8.2.1</w:t>
      </w:r>
      <w:r w:rsidRPr="001A1836">
        <w:fldChar w:fldCharType="end"/>
      </w:r>
      <w:r w:rsidRPr="001A1836">
        <w:t xml:space="preserve"> to HSE and/or its nominated Replacement Provider at no cost</w:t>
      </w:r>
      <w:r w:rsidR="005234F8">
        <w:t>; and</w:t>
      </w:r>
    </w:p>
    <w:p w14:paraId="3EA01DC9" w14:textId="3948010B" w:rsidR="005234F8" w:rsidRDefault="005234F8">
      <w:pPr>
        <w:pStyle w:val="GSRL5numberedclause"/>
      </w:pPr>
      <w:r>
        <w:t xml:space="preserve">the </w:t>
      </w:r>
      <w:r w:rsidR="00010038">
        <w:t>Provider</w:t>
      </w:r>
      <w:r>
        <w:t xml:space="preserve"> shall sell the Transferring Assets to </w:t>
      </w:r>
      <w:r w:rsidR="00010038">
        <w:t>HSE</w:t>
      </w:r>
      <w:r>
        <w:t xml:space="preserve"> and/or its nominated Replacement </w:t>
      </w:r>
      <w:r w:rsidR="00010038">
        <w:t>Provider</w:t>
      </w:r>
      <w:r>
        <w:t xml:space="preserve"> for a consideration equal to their Net Book Value, except where:</w:t>
      </w:r>
    </w:p>
    <w:p w14:paraId="1FA38502" w14:textId="1A3849AE" w:rsidR="005234F8" w:rsidRDefault="005234F8">
      <w:pPr>
        <w:pStyle w:val="GSRL6numberedclause"/>
      </w:pPr>
      <w:r>
        <w:t xml:space="preserve">a payment is payable by HSE to the </w:t>
      </w:r>
      <w:r w:rsidR="00010038">
        <w:t>Provider</w:t>
      </w:r>
      <w:r>
        <w:t xml:space="preserve"> as a result of termination of the Agreement in accordance with the terms of Clause 43 (Consequences of Termination or Expiry), in which </w:t>
      </w:r>
      <w:r>
        <w:lastRenderedPageBreak/>
        <w:t>case, payment for such Transferring Assets shall be deemed to be included within such payment; or</w:t>
      </w:r>
    </w:p>
    <w:p w14:paraId="70467D42" w14:textId="60CFC16F" w:rsidR="00626054" w:rsidRPr="001A1836" w:rsidRDefault="005234F8">
      <w:pPr>
        <w:pStyle w:val="GSRL6numberedclause"/>
      </w:pPr>
      <w:r>
        <w:t xml:space="preserve">the cost of the Transferring Asset has been partially or fully paid for through the Charges at the time of expiry or termination of this Agreement, in which case HSE shall pay the </w:t>
      </w:r>
      <w:r w:rsidR="00010038">
        <w:t>Provider</w:t>
      </w:r>
      <w:r>
        <w:t xml:space="preserve"> the Net Book Value of the Transferring Asset less the amount already paid through the Charges</w:t>
      </w:r>
      <w:r w:rsidR="00626054" w:rsidRPr="001A1836">
        <w:t xml:space="preserve">.  </w:t>
      </w:r>
    </w:p>
    <w:p w14:paraId="34958EDF" w14:textId="1A569413" w:rsidR="009F5DD6" w:rsidRDefault="009F5DD6">
      <w:pPr>
        <w:pStyle w:val="GSRL4numberedclause"/>
      </w:pPr>
      <w:bookmarkStart w:id="2720" w:name="_Ref508958714"/>
      <w:r>
        <w:t xml:space="preserve">Risk in the Transferring Assets shall pass to HSE or the Replacement Provider (as appropriate) </w:t>
      </w:r>
      <w:r w:rsidR="00C2413F">
        <w:t>with effect from the date they are delivered to or otherwise enter into</w:t>
      </w:r>
      <w:r w:rsidR="00384741">
        <w:t xml:space="preserve"> the</w:t>
      </w:r>
      <w:r w:rsidR="00C2413F">
        <w:t xml:space="preserve"> possession of HSE or the Replacement Provider (as appropriate) </w:t>
      </w:r>
      <w:r w:rsidR="00384741">
        <w:t xml:space="preserve">or </w:t>
      </w:r>
      <w:r>
        <w:t>at the end of the Termination Assistance Period</w:t>
      </w:r>
      <w:r w:rsidR="00D844B2">
        <w:t xml:space="preserve"> (whichever is earlier)</w:t>
      </w:r>
      <w:r w:rsidR="00A46BFE">
        <w:t>,</w:t>
      </w:r>
      <w:r>
        <w:t xml:space="preserve"> and title to the Transferring Assets shall pass to HSE or the Replacement Provider (as appropriate) on payment (or deemed payment) for the same.</w:t>
      </w:r>
    </w:p>
    <w:p w14:paraId="6896DB00" w14:textId="779C8BE5" w:rsidR="009F5DD6" w:rsidRDefault="009F5DD6">
      <w:pPr>
        <w:pStyle w:val="GSRL4numberedclause"/>
      </w:pPr>
      <w:r>
        <w:t>Where the Provider is notified in accordance with paragraph 8.2.3 that HSE and/or the Replacement Provider requires continued use of any Exclusive Assets that are not Transferable Assets or any Non-Exclusive Assets, the Provider shall as soon as reasonably practicable:</w:t>
      </w:r>
    </w:p>
    <w:p w14:paraId="7E5C6E9B" w14:textId="252B2530" w:rsidR="009F5DD6" w:rsidRDefault="009F5DD6">
      <w:pPr>
        <w:pStyle w:val="GSRL5numberedclause"/>
      </w:pPr>
      <w:r>
        <w:t>procure a non-exclusive, perpetual, royalty-free licence (or licence on such other terms that have been agreed by HSE) for HSE and/or the Replacement Provider to use such assets (with a right of sub-licence or assignment on the same terms); or failing which</w:t>
      </w:r>
    </w:p>
    <w:p w14:paraId="3B0C27D2" w14:textId="054EE7AC" w:rsidR="009F5DD6" w:rsidRDefault="009F5DD6">
      <w:pPr>
        <w:pStyle w:val="GSRL5numberedclause"/>
      </w:pPr>
      <w:r>
        <w:t>procure a suitable alternative to such assets and HSE or the Replacement Provider shall bear the reasonable proven costs of procuring the same.</w:t>
      </w:r>
    </w:p>
    <w:p w14:paraId="5B4048FB" w14:textId="392341C2" w:rsidR="00626054" w:rsidRPr="001A1836" w:rsidRDefault="00626054">
      <w:pPr>
        <w:pStyle w:val="GSRL4numberedclause"/>
      </w:pPr>
      <w:r w:rsidRPr="001A1836">
        <w:t>The Provider shall as soon as reasonably practicable assign or procure the novation to HSE and/or the Replacement Provider of the Transferring Contracts. The Provider shall execute such documents and provide such other assistance as HSE reasonably requires to effect this novation or assignment.</w:t>
      </w:r>
      <w:bookmarkEnd w:id="2720"/>
    </w:p>
    <w:p w14:paraId="4C3CB6B3" w14:textId="77777777" w:rsidR="00626054" w:rsidRPr="001A1836" w:rsidRDefault="00626054">
      <w:pPr>
        <w:pStyle w:val="GSRL4numberedclause"/>
      </w:pPr>
      <w:r w:rsidRPr="001A1836">
        <w:t>HSE shall:</w:t>
      </w:r>
    </w:p>
    <w:p w14:paraId="5039D1FC" w14:textId="77777777" w:rsidR="00626054" w:rsidRPr="001A1836" w:rsidRDefault="00626054">
      <w:pPr>
        <w:pStyle w:val="GSRL5numberedclause"/>
      </w:pPr>
      <w:r w:rsidRPr="001A1836">
        <w:t>accept assignments from the Provider or join with the Provider in procuring a novation of each Transferring Contract; and</w:t>
      </w:r>
    </w:p>
    <w:p w14:paraId="55398C09" w14:textId="77777777" w:rsidR="00626054" w:rsidRPr="001A1836" w:rsidRDefault="00626054">
      <w:pPr>
        <w:pStyle w:val="GSRL5numberedclause"/>
      </w:pPr>
      <w:r w:rsidRPr="001A1836">
        <w:t>once a Transferring Contract is novated or assigned to HSE and/or the Replacement Provider, carry out, perform and discharge all the obligations and liabilities created by or arising under that Transferring Contract and exercise its rights arising under that Transferring Contract, or as applicable, procure that the Replacement Provider does the same.</w:t>
      </w:r>
    </w:p>
    <w:p w14:paraId="1BBE06CB" w14:textId="77777777" w:rsidR="00626054" w:rsidRPr="001A1836" w:rsidRDefault="00626054">
      <w:pPr>
        <w:pStyle w:val="GSRL4numberedclause"/>
      </w:pPr>
      <w:r w:rsidRPr="001A1836">
        <w:t>The Provider shall hold any Transferring Contracts on trust for HSE until such time as the transfer of the relevant Transferring Contract to HSE and/or the Replacement Provider has been effected.</w:t>
      </w:r>
    </w:p>
    <w:p w14:paraId="38B011BC" w14:textId="4E3C7E8E" w:rsidR="009F5DD6" w:rsidRDefault="00626054">
      <w:pPr>
        <w:pStyle w:val="GSRL4numberedclause"/>
      </w:pPr>
      <w:r w:rsidRPr="001A1836">
        <w:t xml:space="preserve">The Provider shall indemnify HSE (and/or the Replacement Provider, as applicable) against each loss, liability and cost arising out of any claims made by a counterparty to a Transferring Contract which is assigned or novated to HSE (and/or Replacement Provider) pursuant to paragraph </w:t>
      </w:r>
      <w:r w:rsidRPr="001A1836">
        <w:fldChar w:fldCharType="begin"/>
      </w:r>
      <w:r w:rsidRPr="001A1836">
        <w:instrText xml:space="preserve"> REF _Ref508958714 \r \h </w:instrText>
      </w:r>
      <w:r w:rsidR="00051C83" w:rsidRPr="001A1836">
        <w:instrText xml:space="preserve"> \* MERGEFORMAT </w:instrText>
      </w:r>
      <w:r w:rsidRPr="001A1836">
        <w:fldChar w:fldCharType="separate"/>
      </w:r>
      <w:r w:rsidR="00C87D85">
        <w:t>8.4</w:t>
      </w:r>
      <w:r w:rsidRPr="001A1836">
        <w:fldChar w:fldCharType="end"/>
      </w:r>
      <w:r w:rsidRPr="001A1836">
        <w:t xml:space="preserve"> of this Schedule 12</w:t>
      </w:r>
      <w:r w:rsidR="009F5DD6">
        <w:t xml:space="preserve"> both:</w:t>
      </w:r>
      <w:r w:rsidRPr="001A1836">
        <w:t xml:space="preserve"> </w:t>
      </w:r>
    </w:p>
    <w:p w14:paraId="1E2A6C6F" w14:textId="77777777" w:rsidR="009F5DD6" w:rsidRDefault="00626054">
      <w:pPr>
        <w:pStyle w:val="GSRL5numberedclause"/>
      </w:pPr>
      <w:r w:rsidRPr="001A1836">
        <w:t>in relation to any matters arising prior to the date of assignment or novation of such Transferring Contract</w:t>
      </w:r>
      <w:r w:rsidR="009F5DD6">
        <w:t>; and</w:t>
      </w:r>
    </w:p>
    <w:p w14:paraId="64176532" w14:textId="77286BF9" w:rsidR="00626054" w:rsidRPr="001A1836" w:rsidRDefault="009F5DD6">
      <w:pPr>
        <w:pStyle w:val="GSRL5numberedclause"/>
      </w:pPr>
      <w:r w:rsidRPr="009F5DD6">
        <w:t xml:space="preserve">in relation to any matters arising after the date of assignment or novation of such </w:t>
      </w:r>
      <w:r>
        <w:t>Transferring Contract</w:t>
      </w:r>
      <w:r w:rsidRPr="009F5DD6">
        <w:t xml:space="preserve"> where the loss, liability or cost arises as a result of the </w:t>
      </w:r>
      <w:r w:rsidR="00010038">
        <w:t>Provider</w:t>
      </w:r>
      <w:r w:rsidRPr="009F5DD6">
        <w:t xml:space="preserve">'s failure to comply with Clause </w:t>
      </w:r>
      <w:r>
        <w:t>30</w:t>
      </w:r>
      <w:r w:rsidRPr="009F5DD6">
        <w:t xml:space="preserve"> (Intellectual Property Rights</w:t>
      </w:r>
      <w:r>
        <w:t xml:space="preserve"> and Brand Marketing</w:t>
      </w:r>
      <w:r w:rsidRPr="009F5DD6">
        <w:t>)</w:t>
      </w:r>
      <w:r w:rsidR="00626054" w:rsidRPr="001A1836">
        <w:t>.</w:t>
      </w:r>
    </w:p>
    <w:p w14:paraId="70922BFE" w14:textId="77777777" w:rsidR="00626054" w:rsidRPr="001A1836" w:rsidRDefault="00626054">
      <w:pPr>
        <w:pStyle w:val="GSRL3heading"/>
      </w:pPr>
      <w:bookmarkStart w:id="2721" w:name="_Toc508961523"/>
      <w:bookmarkStart w:id="2722" w:name="_Toc521327142"/>
      <w:bookmarkStart w:id="2723" w:name="_Toc521333375"/>
      <w:bookmarkStart w:id="2724" w:name="_Toc521484106"/>
      <w:bookmarkStart w:id="2725" w:name="_Toc521484869"/>
      <w:bookmarkStart w:id="2726" w:name="_Toc521485200"/>
      <w:bookmarkStart w:id="2727" w:name="_Toc521496937"/>
      <w:bookmarkStart w:id="2728" w:name="_Toc521498379"/>
      <w:bookmarkStart w:id="2729" w:name="_Toc529346077"/>
      <w:bookmarkStart w:id="2730" w:name="_Toc129038292"/>
      <w:bookmarkStart w:id="2731" w:name="_Toc129038578"/>
      <w:bookmarkStart w:id="2732" w:name="_Toc132268156"/>
      <w:bookmarkStart w:id="2733" w:name="_Toc132268462"/>
      <w:bookmarkStart w:id="2734" w:name="_Toc136198712"/>
      <w:bookmarkStart w:id="2735" w:name="_Toc136198993"/>
      <w:r w:rsidRPr="001A1836">
        <w:lastRenderedPageBreak/>
        <w:t>Provider personnel</w:t>
      </w:r>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p>
    <w:p w14:paraId="32AEA0A4" w14:textId="77777777" w:rsidR="00626054" w:rsidRPr="001A1836" w:rsidRDefault="00626054">
      <w:pPr>
        <w:pStyle w:val="GSRL4numberedclause"/>
      </w:pPr>
      <w:r w:rsidRPr="001A1836">
        <w:t>HSE and Provider agree and acknowledge that in the event of the Provider ceasing to provide the Services or part of them for any reason, Schedule 9 (Staff Transfer) shall apply.</w:t>
      </w:r>
    </w:p>
    <w:p w14:paraId="705586AC" w14:textId="77777777" w:rsidR="00626054" w:rsidRPr="001A1836" w:rsidRDefault="00626054">
      <w:pPr>
        <w:pStyle w:val="GSRL4numberedclause"/>
      </w:pPr>
      <w:r w:rsidRPr="001A1836">
        <w:t>The Provider shall not and shall procure that any relevant Sub-Contractor shall not take any step (expressly or implicitly and directly or indirectly by itself or through any other person) without the prior written consent of HSE to dissuade or discourage any employees engaged in the provision of the Services from transferring their employment to HSE and/or the Replacement Provider and/or Replacement Sub-Contractor.</w:t>
      </w:r>
    </w:p>
    <w:p w14:paraId="1C1C5F2F" w14:textId="77777777" w:rsidR="00626054" w:rsidRPr="001A1836" w:rsidRDefault="00626054">
      <w:pPr>
        <w:pStyle w:val="GSRL4numberedclause"/>
      </w:pPr>
      <w:r w:rsidRPr="001A1836">
        <w:t>During the Termination Assistance Period, the Provider shall and shall procure that any relevant Sub-Contractor shall:</w:t>
      </w:r>
    </w:p>
    <w:p w14:paraId="077C5ABB" w14:textId="77777777" w:rsidR="00626054" w:rsidRPr="001A1836" w:rsidRDefault="00626054">
      <w:pPr>
        <w:pStyle w:val="GSRL5numberedclause"/>
      </w:pPr>
      <w:r w:rsidRPr="001A1836">
        <w:t>give HSE and/or the Replacement Provider and/or Replacement Sub-Contractor reasonable access to the Provider's personnel and/or their consultation representatives to present the case for transferring their employment to HSE and/or the Replacement Provider and/or to discuss or consult on any measures envisaged by HSE, Replacement Provider and/or Replacement Sub-Contractor in respect of persons expected to be Transferring Provider Employees;</w:t>
      </w:r>
    </w:p>
    <w:p w14:paraId="48B16471" w14:textId="77777777" w:rsidR="00626054" w:rsidRPr="001A1836" w:rsidRDefault="00626054">
      <w:pPr>
        <w:pStyle w:val="GSRL5numberedclause"/>
      </w:pPr>
      <w:r w:rsidRPr="001A1836">
        <w:t>co-operate with HSE and the Replacement Provider to ensure an effective consultation process and smooth transfer in respect of Transferring Provider Employees in line with good employee relations and the effective continuity of the Services.</w:t>
      </w:r>
    </w:p>
    <w:p w14:paraId="586718D8" w14:textId="77777777" w:rsidR="00626054" w:rsidRPr="001A1836" w:rsidRDefault="00626054">
      <w:pPr>
        <w:pStyle w:val="GSRL4numberedclause"/>
      </w:pPr>
      <w:r w:rsidRPr="001A1836">
        <w:t>The Provider shall immediately notify HSE or, at the direction of HSE, the Replacement Provider of any period of notice given by the Provider or received from any person referred to in the Staffing Information, regardless of when such notice takes effect.</w:t>
      </w:r>
    </w:p>
    <w:p w14:paraId="0630EF7D" w14:textId="122EA327" w:rsidR="00626054" w:rsidRPr="001A1836" w:rsidRDefault="00626054">
      <w:pPr>
        <w:pStyle w:val="GSRL4numberedclause"/>
      </w:pPr>
      <w:bookmarkStart w:id="2736" w:name="_Ref508958924"/>
      <w:r w:rsidRPr="001A1836">
        <w:t xml:space="preserve">The Provider shall not for a period of twelve (12) months from the date of transfer re-employ or re-engage or entice any employees, suppliers or Sub-Contractors whose employment or engagement is transferred to HSE and/or the Replacement Provider </w:t>
      </w:r>
      <w:r w:rsidR="0033051B" w:rsidRPr="001A1836">
        <w:t xml:space="preserve">(unless otherwise instructed by HSE (acting reasonably) or where the employee applies in response to a public advertisement of a vacancy </w:t>
      </w:r>
      <w:r w:rsidR="00207BA7" w:rsidRPr="001A1836">
        <w:t xml:space="preserve">and </w:t>
      </w:r>
      <w:r w:rsidR="0033051B" w:rsidRPr="001A1836">
        <w:t>to suppliers or Sub-contractors for purposes other than the Register)</w:t>
      </w:r>
      <w:r w:rsidRPr="001A1836">
        <w:t>.</w:t>
      </w:r>
      <w:bookmarkEnd w:id="2736"/>
    </w:p>
    <w:p w14:paraId="1E6039CC" w14:textId="77777777" w:rsidR="00626054" w:rsidRPr="001A1836" w:rsidRDefault="00626054">
      <w:pPr>
        <w:pStyle w:val="GSRL3heading"/>
      </w:pPr>
      <w:bookmarkStart w:id="2737" w:name="_Toc508961524"/>
      <w:bookmarkStart w:id="2738" w:name="_Toc521327143"/>
      <w:bookmarkStart w:id="2739" w:name="_Toc521333376"/>
      <w:bookmarkStart w:id="2740" w:name="_Toc521484107"/>
      <w:bookmarkStart w:id="2741" w:name="_Toc521484870"/>
      <w:bookmarkStart w:id="2742" w:name="_Toc521485201"/>
      <w:bookmarkStart w:id="2743" w:name="_Toc521496938"/>
      <w:bookmarkStart w:id="2744" w:name="_Toc521498380"/>
      <w:bookmarkStart w:id="2745" w:name="_Toc529346078"/>
      <w:bookmarkStart w:id="2746" w:name="_Toc129038293"/>
      <w:bookmarkStart w:id="2747" w:name="_Toc129038579"/>
      <w:bookmarkStart w:id="2748" w:name="_Toc132268157"/>
      <w:bookmarkStart w:id="2749" w:name="_Toc132268463"/>
      <w:bookmarkStart w:id="2750" w:name="_Toc136198713"/>
      <w:bookmarkStart w:id="2751" w:name="_Toc136198994"/>
      <w:r w:rsidRPr="001A1836">
        <w:t>Charges</w:t>
      </w:r>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p>
    <w:p w14:paraId="6C96011A" w14:textId="77777777" w:rsidR="00626054" w:rsidRPr="001A1836" w:rsidRDefault="00626054">
      <w:pPr>
        <w:pStyle w:val="GSRL4numberedclause"/>
      </w:pPr>
      <w:r w:rsidRPr="001A1836">
        <w:t>Except as otherwise expressly specified in this Agreement, the Provider shall not make any charges for the services provided by the Provider pursuant to, and HSE shall not be obliged to pay for costs incurred by the Provider in relation to its compliance with, this Schedule 12 including the preparation and implementation of the Exit Plan, the Termination Assistance and any activities mutually agreed between the Parties to carry on after the expiry of the Termination Assistance Period.</w:t>
      </w:r>
    </w:p>
    <w:p w14:paraId="51B532E9" w14:textId="77777777" w:rsidR="00626054" w:rsidRPr="001A1836" w:rsidRDefault="00626054">
      <w:pPr>
        <w:pStyle w:val="GSRL3heading"/>
      </w:pPr>
      <w:bookmarkStart w:id="2752" w:name="_Toc508961525"/>
      <w:bookmarkStart w:id="2753" w:name="_Toc521327144"/>
      <w:bookmarkStart w:id="2754" w:name="_Toc521333377"/>
      <w:bookmarkStart w:id="2755" w:name="_Toc521484108"/>
      <w:bookmarkStart w:id="2756" w:name="_Toc521484871"/>
      <w:bookmarkStart w:id="2757" w:name="_Toc521485202"/>
      <w:bookmarkStart w:id="2758" w:name="_Toc521496939"/>
      <w:bookmarkStart w:id="2759" w:name="_Toc521498381"/>
      <w:bookmarkStart w:id="2760" w:name="_Toc529346079"/>
      <w:bookmarkStart w:id="2761" w:name="_Toc129038294"/>
      <w:bookmarkStart w:id="2762" w:name="_Toc129038580"/>
      <w:bookmarkStart w:id="2763" w:name="_Toc132268158"/>
      <w:bookmarkStart w:id="2764" w:name="_Toc132268464"/>
      <w:bookmarkStart w:id="2765" w:name="_Toc136198714"/>
      <w:bookmarkStart w:id="2766" w:name="_Toc136198995"/>
      <w:r w:rsidRPr="001A1836">
        <w:t>Apportionments</w:t>
      </w:r>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p>
    <w:p w14:paraId="2F6F0736" w14:textId="6A143371" w:rsidR="00626054" w:rsidRPr="001A1836" w:rsidRDefault="00626054">
      <w:pPr>
        <w:pStyle w:val="GSRL4numberedclause"/>
      </w:pPr>
      <w:bookmarkStart w:id="2767" w:name="_Ref508958982"/>
      <w:r w:rsidRPr="001A1836">
        <w:t xml:space="preserve">All outgoings and expenses (including any remuneration due) and all rents, royalties and other periodical payments </w:t>
      </w:r>
      <w:r w:rsidR="00353BC3" w:rsidRPr="001A1836">
        <w:t xml:space="preserve">or </w:t>
      </w:r>
      <w:r w:rsidRPr="001A1836">
        <w:t>receivable</w:t>
      </w:r>
      <w:r w:rsidR="00353BC3" w:rsidRPr="001A1836">
        <w:t>s</w:t>
      </w:r>
      <w:r w:rsidRPr="001A1836">
        <w:t xml:space="preserve"> in respect of the </w:t>
      </w:r>
      <w:r w:rsidR="00353BC3" w:rsidRPr="001A1836">
        <w:t xml:space="preserve">HSE </w:t>
      </w:r>
      <w:r w:rsidRPr="001A1836">
        <w:t>Assets and Transferring Contracts shall be apportioned between HSE and the Provider and/or the Replacement Provider and the Provider (as applicable) as follows:</w:t>
      </w:r>
      <w:bookmarkEnd w:id="2767"/>
    </w:p>
    <w:p w14:paraId="5174720A" w14:textId="77777777" w:rsidR="00626054" w:rsidRPr="001A1836" w:rsidRDefault="00626054">
      <w:pPr>
        <w:pStyle w:val="GSRL5numberedclause"/>
      </w:pPr>
      <w:r w:rsidRPr="001A1836">
        <w:t>the amounts shall be annualised and divided by 365 to reach a daily rate;</w:t>
      </w:r>
    </w:p>
    <w:p w14:paraId="7B47D826" w14:textId="77777777" w:rsidR="00626054" w:rsidRPr="001A1836" w:rsidRDefault="00626054">
      <w:pPr>
        <w:pStyle w:val="GSRL5numberedclause"/>
      </w:pPr>
      <w:r w:rsidRPr="001A1836">
        <w:lastRenderedPageBreak/>
        <w:t>HSE shall be responsible for (or shall procure that the Replacement Provider shall be responsible for) or entitled to (as the case may be) that part of the value of the invoice pro rata to the number of complete days following the transfer, multiplied by the daily rate; and</w:t>
      </w:r>
    </w:p>
    <w:p w14:paraId="0E3C26F0" w14:textId="77777777" w:rsidR="00626054" w:rsidRPr="001A1836" w:rsidRDefault="00626054">
      <w:pPr>
        <w:pStyle w:val="GSRL5numberedclause"/>
      </w:pPr>
      <w:r w:rsidRPr="001A1836">
        <w:t>the Provider shall be responsible for or entitled to (as the case may be) the rest of the invoice.</w:t>
      </w:r>
    </w:p>
    <w:p w14:paraId="34AE85DA" w14:textId="1E5024E5" w:rsidR="00626054" w:rsidRPr="001A1836" w:rsidRDefault="00626054">
      <w:pPr>
        <w:pStyle w:val="GSRL4numberedclause"/>
      </w:pPr>
      <w:r w:rsidRPr="001A1836">
        <w:t xml:space="preserve">Each Party shall pay (and/or HSE shall procure that the Replacement Provider shall pay) any monies due under paragraph </w:t>
      </w:r>
      <w:r w:rsidRPr="001A1836">
        <w:fldChar w:fldCharType="begin"/>
      </w:r>
      <w:r w:rsidRPr="001A1836">
        <w:instrText xml:space="preserve"> REF _Ref508958982 \r \h </w:instrText>
      </w:r>
      <w:r w:rsidR="00051C83" w:rsidRPr="001A1836">
        <w:instrText xml:space="preserve"> \* MERGEFORMAT </w:instrText>
      </w:r>
      <w:r w:rsidRPr="001A1836">
        <w:fldChar w:fldCharType="separate"/>
      </w:r>
      <w:r w:rsidR="00C87D85">
        <w:t>11.1</w:t>
      </w:r>
      <w:r w:rsidRPr="001A1836">
        <w:fldChar w:fldCharType="end"/>
      </w:r>
      <w:r w:rsidRPr="001A1836">
        <w:t xml:space="preserve"> of this Schedule 12 as soon as reasonably practicable.</w:t>
      </w:r>
    </w:p>
    <w:bookmarkEnd w:id="2574"/>
    <w:p w14:paraId="2651CCAC" w14:textId="77777777" w:rsidR="00626054" w:rsidRPr="001A1836" w:rsidRDefault="00626054" w:rsidP="00626054">
      <w:pPr>
        <w:pStyle w:val="GPSmacrorestart"/>
        <w:rPr>
          <w:sz w:val="22"/>
          <w:szCs w:val="22"/>
        </w:rPr>
      </w:pPr>
      <w:r w:rsidRPr="001A1836">
        <w:fldChar w:fldCharType="begin"/>
      </w:r>
      <w:r w:rsidRPr="001A1836">
        <w:rPr>
          <w:sz w:val="22"/>
          <w:szCs w:val="22"/>
        </w:rPr>
        <w:instrText>LISTNUM \l 1 \s 0</w:instrText>
      </w:r>
      <w:r w:rsidRPr="001A1836">
        <w:rPr>
          <w:sz w:val="22"/>
          <w:szCs w:val="22"/>
        </w:rPr>
        <w:fldChar w:fldCharType="separate"/>
      </w:r>
      <w:r w:rsidRPr="001A1836">
        <w:rPr>
          <w:sz w:val="22"/>
          <w:szCs w:val="22"/>
        </w:rPr>
        <w:t>12/08/2013</w:t>
      </w:r>
      <w:r w:rsidRPr="001A1836">
        <w:fldChar w:fldCharType="end">
          <w:numberingChange w:id="2768" w:author="Fran Davies" w:date="2025-03-03T11:44:00Z" w:original="0."/>
        </w:fldChar>
      </w:r>
    </w:p>
    <w:p w14:paraId="36A8B677" w14:textId="496C57E0" w:rsidR="00626054" w:rsidRPr="001A1836" w:rsidRDefault="00626054" w:rsidP="00CF1BDA"/>
    <w:p w14:paraId="27474C2F" w14:textId="77777777" w:rsidR="00626054" w:rsidRPr="001A1836" w:rsidRDefault="00626054" w:rsidP="00CF1BDA"/>
    <w:p w14:paraId="75426988" w14:textId="77777777" w:rsidR="00626054" w:rsidRPr="001A1836" w:rsidRDefault="00626054" w:rsidP="00CF1BDA"/>
    <w:p w14:paraId="0FD78B08" w14:textId="77777777" w:rsidR="00626054" w:rsidRPr="001A1836" w:rsidRDefault="00626054" w:rsidP="00CF1BDA"/>
    <w:p w14:paraId="3E3D36DC" w14:textId="77777777" w:rsidR="00394111" w:rsidRPr="001A1836" w:rsidRDefault="00394111" w:rsidP="00CF1BDA">
      <w:pPr>
        <w:pStyle w:val="GSRL1Scheduleheader"/>
        <w:sectPr w:rsidR="00394111" w:rsidRPr="001A1836" w:rsidSect="00F87B8D">
          <w:footerReference w:type="default" r:id="rId34"/>
          <w:pgSz w:w="11900" w:h="16840"/>
          <w:pgMar w:top="1134" w:right="1440" w:bottom="1440" w:left="1440" w:header="1077" w:footer="833" w:gutter="0"/>
          <w:cols w:space="708"/>
        </w:sectPr>
      </w:pPr>
    </w:p>
    <w:p w14:paraId="5AFD78DD" w14:textId="783256EA" w:rsidR="00626054" w:rsidRPr="001A1836" w:rsidRDefault="00626054" w:rsidP="00CF1BDA">
      <w:pPr>
        <w:pStyle w:val="GSRL1Scheduleheader"/>
      </w:pPr>
      <w:bookmarkStart w:id="2769" w:name="_Toc129038295"/>
      <w:bookmarkStart w:id="2770" w:name="_Toc129038581"/>
      <w:bookmarkStart w:id="2771" w:name="_Toc132268159"/>
      <w:bookmarkStart w:id="2772" w:name="_Toc132268465"/>
      <w:bookmarkStart w:id="2773" w:name="_Toc136198715"/>
      <w:bookmarkStart w:id="2774" w:name="_Toc136198996"/>
      <w:bookmarkStart w:id="2775" w:name="_Toc188885259"/>
      <w:r w:rsidRPr="001A1836">
        <w:lastRenderedPageBreak/>
        <w:t xml:space="preserve">SCHEDULE 13: </w:t>
      </w:r>
      <w:r w:rsidR="004C2FF4" w:rsidRPr="001A1836">
        <w:t>Third</w:t>
      </w:r>
      <w:r w:rsidRPr="001A1836">
        <w:t>-</w:t>
      </w:r>
      <w:r w:rsidR="004C2FF4" w:rsidRPr="001A1836">
        <w:t>Party</w:t>
      </w:r>
      <w:r w:rsidRPr="001A1836">
        <w:t xml:space="preserve"> </w:t>
      </w:r>
      <w:r w:rsidR="004C2FF4" w:rsidRPr="001A1836">
        <w:t>Contracts</w:t>
      </w:r>
      <w:bookmarkEnd w:id="2769"/>
      <w:bookmarkEnd w:id="2770"/>
      <w:bookmarkEnd w:id="2771"/>
      <w:bookmarkEnd w:id="2772"/>
      <w:bookmarkEnd w:id="2773"/>
      <w:bookmarkEnd w:id="2774"/>
      <w:bookmarkEnd w:id="2775"/>
    </w:p>
    <w:p w14:paraId="491290A6" w14:textId="77777777" w:rsidR="00626054" w:rsidRPr="001A1836" w:rsidRDefault="00626054" w:rsidP="00CF1BDA"/>
    <w:p w14:paraId="04954811" w14:textId="77777777" w:rsidR="00626054" w:rsidRPr="001A1836" w:rsidRDefault="00626054">
      <w:pPr>
        <w:pStyle w:val="GSRL3heading"/>
      </w:pPr>
      <w:r w:rsidRPr="001A1836">
        <w:br w:type="page"/>
      </w:r>
      <w:bookmarkStart w:id="2776" w:name="_Toc508784141"/>
      <w:bookmarkStart w:id="2777" w:name="_Toc521327146"/>
      <w:bookmarkStart w:id="2778" w:name="_Toc521333379"/>
      <w:bookmarkStart w:id="2779" w:name="_Toc521484110"/>
      <w:bookmarkStart w:id="2780" w:name="_Toc521484873"/>
      <w:bookmarkStart w:id="2781" w:name="_Toc521485204"/>
      <w:bookmarkStart w:id="2782" w:name="_Toc521496941"/>
      <w:bookmarkStart w:id="2783" w:name="_Toc521498383"/>
      <w:bookmarkStart w:id="2784" w:name="_Toc529346080"/>
      <w:bookmarkStart w:id="2785" w:name="_Toc136198717"/>
      <w:bookmarkStart w:id="2786" w:name="_Toc136198998"/>
      <w:bookmarkStart w:id="2787" w:name="_Toc129038297"/>
      <w:bookmarkStart w:id="2788" w:name="_Toc129038583"/>
      <w:bookmarkStart w:id="2789" w:name="_Toc132268161"/>
      <w:bookmarkStart w:id="2790" w:name="_Toc132268467"/>
      <w:bookmarkStart w:id="2791" w:name="Schedule13"/>
      <w:r w:rsidRPr="001A1836">
        <w:lastRenderedPageBreak/>
        <w:t>Purpose and effect</w:t>
      </w:r>
      <w:bookmarkEnd w:id="2776"/>
      <w:bookmarkEnd w:id="2777"/>
      <w:bookmarkEnd w:id="2778"/>
      <w:bookmarkEnd w:id="2779"/>
      <w:bookmarkEnd w:id="2780"/>
      <w:bookmarkEnd w:id="2781"/>
      <w:bookmarkEnd w:id="2782"/>
      <w:bookmarkEnd w:id="2783"/>
      <w:bookmarkEnd w:id="2784"/>
      <w:bookmarkEnd w:id="2785"/>
      <w:bookmarkEnd w:id="2786"/>
      <w:r w:rsidRPr="001A1836">
        <w:t xml:space="preserve"> </w:t>
      </w:r>
      <w:bookmarkEnd w:id="2787"/>
      <w:bookmarkEnd w:id="2788"/>
      <w:bookmarkEnd w:id="2789"/>
      <w:bookmarkEnd w:id="2790"/>
    </w:p>
    <w:p w14:paraId="6DFA6540" w14:textId="77777777" w:rsidR="00626054" w:rsidRPr="001A1836" w:rsidRDefault="00626054">
      <w:pPr>
        <w:pStyle w:val="GSRL4numberedclause"/>
      </w:pPr>
      <w:r w:rsidRPr="001A1836">
        <w:t xml:space="preserve">This Schedule 13 sets out a list of: </w:t>
      </w:r>
    </w:p>
    <w:p w14:paraId="3A0B477B" w14:textId="1A3D0915" w:rsidR="00626054" w:rsidRPr="001A1836" w:rsidRDefault="00626054">
      <w:pPr>
        <w:pStyle w:val="GSRL5numberedclause"/>
      </w:pPr>
      <w:r w:rsidRPr="001A1836">
        <w:t xml:space="preserve">Retained Contracts; and </w:t>
      </w:r>
    </w:p>
    <w:p w14:paraId="5DC1FDA4" w14:textId="77777777" w:rsidR="00626054" w:rsidRPr="001A1836" w:rsidRDefault="00626054">
      <w:pPr>
        <w:pStyle w:val="GSRL5numberedclause"/>
      </w:pPr>
      <w:r w:rsidRPr="001A1836">
        <w:t xml:space="preserve">Contracts entered into by the Provider for the purposes of performing its obligations under this Agreement and material to the provision of the Services including Sub-Contracts. </w:t>
      </w:r>
    </w:p>
    <w:p w14:paraId="762C731D" w14:textId="77777777" w:rsidR="00626054" w:rsidRPr="001A1836" w:rsidRDefault="00626054">
      <w:pPr>
        <w:pStyle w:val="GSRL4numberedclause"/>
      </w:pPr>
      <w:r w:rsidRPr="001A1836">
        <w:t>The Provider agrees to keep Tables 1 and 2 of this Schedule 13 updated throughout the Term and this Schedule shall be amended accordingly through the Change Control Procedure.</w:t>
      </w:r>
    </w:p>
    <w:p w14:paraId="22490703" w14:textId="77777777" w:rsidR="00626054" w:rsidRPr="001A1836" w:rsidRDefault="00626054">
      <w:pPr>
        <w:pStyle w:val="GSRL3heading"/>
      </w:pPr>
      <w:bookmarkStart w:id="2792" w:name="_Toc508784142"/>
      <w:bookmarkStart w:id="2793" w:name="_Toc521327147"/>
      <w:bookmarkStart w:id="2794" w:name="_Toc521333380"/>
      <w:bookmarkStart w:id="2795" w:name="_Toc521484111"/>
      <w:bookmarkStart w:id="2796" w:name="_Toc521484874"/>
      <w:bookmarkStart w:id="2797" w:name="_Toc521485205"/>
      <w:bookmarkStart w:id="2798" w:name="_Toc521496942"/>
      <w:bookmarkStart w:id="2799" w:name="_Toc521498384"/>
      <w:bookmarkStart w:id="2800" w:name="_Toc529346081"/>
      <w:bookmarkStart w:id="2801" w:name="_Toc129038298"/>
      <w:bookmarkStart w:id="2802" w:name="_Toc129038584"/>
      <w:bookmarkStart w:id="2803" w:name="_Toc132268162"/>
      <w:bookmarkStart w:id="2804" w:name="_Toc132268468"/>
      <w:bookmarkStart w:id="2805" w:name="_Toc136198718"/>
      <w:bookmarkStart w:id="2806" w:name="_Toc136198999"/>
      <w:r w:rsidRPr="001A1836">
        <w:t>Retained Contracts</w:t>
      </w:r>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r w:rsidRPr="001A1836">
        <w:t xml:space="preserve"> </w:t>
      </w:r>
    </w:p>
    <w:p w14:paraId="669ED215" w14:textId="52369FD7" w:rsidR="00626054" w:rsidRPr="001A1836" w:rsidRDefault="00626054">
      <w:pPr>
        <w:pStyle w:val="GSRL4numberedclause"/>
      </w:pPr>
      <w:r w:rsidRPr="001A1836">
        <w:t>Table 1 lists Retained Contracts.</w:t>
      </w:r>
    </w:p>
    <w:p w14:paraId="75EE6138" w14:textId="610E6F91" w:rsidR="00626054" w:rsidRPr="001A1836" w:rsidRDefault="00626054" w:rsidP="00626054">
      <w:pPr>
        <w:pStyle w:val="Number"/>
        <w:ind w:left="0" w:firstLine="0"/>
      </w:pPr>
      <w:r w:rsidRPr="001A1836">
        <w:rPr>
          <w:b/>
        </w:rPr>
        <w:t>Table 1</w:t>
      </w:r>
      <w:r w:rsidRPr="001A1836">
        <w:t xml:space="preserve"> Retained Contracts</w:t>
      </w:r>
    </w:p>
    <w:tbl>
      <w:tblPr>
        <w:tblW w:w="9143" w:type="dxa"/>
        <w:tblBorders>
          <w:top w:val="nil"/>
          <w:left w:val="nil"/>
          <w:bottom w:val="nil"/>
          <w:right w:val="nil"/>
        </w:tblBorders>
        <w:tblLayout w:type="fixed"/>
        <w:tblCellMar>
          <w:top w:w="58" w:type="dxa"/>
          <w:left w:w="58" w:type="dxa"/>
          <w:bottom w:w="58" w:type="dxa"/>
          <w:right w:w="58" w:type="dxa"/>
        </w:tblCellMar>
        <w:tblLook w:val="0000" w:firstRow="0" w:lastRow="0" w:firstColumn="0" w:lastColumn="0" w:noHBand="0" w:noVBand="0"/>
      </w:tblPr>
      <w:tblGrid>
        <w:gridCol w:w="2285"/>
        <w:gridCol w:w="2735"/>
        <w:gridCol w:w="2345"/>
        <w:gridCol w:w="1778"/>
      </w:tblGrid>
      <w:tr w:rsidR="00626054" w:rsidRPr="001A1836" w14:paraId="1A6742A5" w14:textId="77777777" w:rsidTr="008E18BD">
        <w:trPr>
          <w:cantSplit/>
          <w:trHeight w:val="278"/>
          <w:tblHeader/>
        </w:trPr>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48945" w14:textId="77777777" w:rsidR="00626054" w:rsidRPr="001A1836" w:rsidRDefault="00626054" w:rsidP="00626054">
            <w:pPr>
              <w:pStyle w:val="Normal14"/>
              <w:spacing w:before="60" w:after="60"/>
              <w:rPr>
                <w:color w:val="000000"/>
                <w:sz w:val="22"/>
                <w:szCs w:val="22"/>
              </w:rPr>
            </w:pPr>
            <w:r w:rsidRPr="001A1836">
              <w:rPr>
                <w:b/>
                <w:bCs/>
                <w:color w:val="000000"/>
                <w:sz w:val="22"/>
                <w:szCs w:val="22"/>
              </w:rPr>
              <w:t xml:space="preserve">Sub-Contractor </w:t>
            </w:r>
          </w:p>
        </w:tc>
        <w:tc>
          <w:tcPr>
            <w:tcW w:w="2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2F383" w14:textId="77777777" w:rsidR="00626054" w:rsidRPr="001A1836" w:rsidRDefault="00626054" w:rsidP="00626054">
            <w:pPr>
              <w:pStyle w:val="Normal14"/>
              <w:spacing w:before="60" w:after="60"/>
              <w:rPr>
                <w:color w:val="000000"/>
                <w:sz w:val="22"/>
                <w:szCs w:val="22"/>
              </w:rPr>
            </w:pPr>
            <w:r w:rsidRPr="001A1836">
              <w:rPr>
                <w:b/>
                <w:bCs/>
                <w:color w:val="000000"/>
                <w:sz w:val="22"/>
                <w:szCs w:val="22"/>
              </w:rPr>
              <w:t xml:space="preserve">Service </w:t>
            </w:r>
          </w:p>
        </w:tc>
        <w:tc>
          <w:tcPr>
            <w:tcW w:w="2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49B18" w14:textId="77777777" w:rsidR="00626054" w:rsidRPr="001A1836" w:rsidRDefault="00626054" w:rsidP="00626054">
            <w:pPr>
              <w:pStyle w:val="Normal14"/>
              <w:spacing w:before="60" w:after="60"/>
              <w:rPr>
                <w:color w:val="000000"/>
                <w:sz w:val="22"/>
                <w:szCs w:val="22"/>
              </w:rPr>
            </w:pPr>
            <w:r w:rsidRPr="001A1836">
              <w:rPr>
                <w:b/>
                <w:bCs/>
                <w:color w:val="000000"/>
                <w:sz w:val="22"/>
                <w:szCs w:val="22"/>
              </w:rPr>
              <w:t xml:space="preserve">Extent of Service Delivery </w:t>
            </w: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EAB88" w14:textId="08CA7D00" w:rsidR="00626054" w:rsidRPr="001A1836" w:rsidRDefault="00626054">
            <w:pPr>
              <w:pStyle w:val="Normal14"/>
              <w:spacing w:before="60" w:after="60"/>
              <w:rPr>
                <w:b/>
                <w:color w:val="000000"/>
                <w:sz w:val="22"/>
                <w:szCs w:val="22"/>
              </w:rPr>
            </w:pPr>
            <w:r w:rsidRPr="001A1836">
              <w:rPr>
                <w:b/>
                <w:color w:val="000000"/>
                <w:sz w:val="22"/>
                <w:szCs w:val="22"/>
              </w:rPr>
              <w:t>Duration</w:t>
            </w:r>
          </w:p>
        </w:tc>
      </w:tr>
      <w:tr w:rsidR="00247876" w:rsidRPr="001A1836" w14:paraId="4B9178D3" w14:textId="77777777" w:rsidTr="008E18BD">
        <w:trPr>
          <w:cantSplit/>
          <w:trHeight w:val="278"/>
          <w:tblHeader/>
        </w:trPr>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304B6" w14:textId="17AC72C1" w:rsidR="00247876" w:rsidRPr="001A1836" w:rsidRDefault="00247876" w:rsidP="00247876">
            <w:pPr>
              <w:pStyle w:val="Normal14"/>
              <w:spacing w:before="60" w:after="60"/>
              <w:rPr>
                <w:b/>
                <w:bCs/>
                <w:color w:val="000000"/>
                <w:sz w:val="22"/>
                <w:szCs w:val="22"/>
              </w:rPr>
            </w:pPr>
            <w:r w:rsidRPr="00360295">
              <w:rPr>
                <w:color w:val="000000"/>
                <w:sz w:val="20"/>
              </w:rPr>
              <w:t>REDACTED</w:t>
            </w:r>
          </w:p>
        </w:tc>
        <w:tc>
          <w:tcPr>
            <w:tcW w:w="2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89A66" w14:textId="4DBB11D5" w:rsidR="00247876" w:rsidRPr="001A1836" w:rsidRDefault="00247876" w:rsidP="00247876">
            <w:pPr>
              <w:pStyle w:val="Normal14"/>
              <w:spacing w:before="60" w:after="60"/>
              <w:rPr>
                <w:b/>
                <w:bCs/>
                <w:color w:val="000000"/>
                <w:sz w:val="22"/>
                <w:szCs w:val="22"/>
              </w:rPr>
            </w:pPr>
            <w:r w:rsidRPr="00360295">
              <w:rPr>
                <w:color w:val="000000"/>
                <w:sz w:val="20"/>
              </w:rPr>
              <w:t>REDACTED</w:t>
            </w:r>
          </w:p>
        </w:tc>
        <w:tc>
          <w:tcPr>
            <w:tcW w:w="2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8248E" w14:textId="70AE0F67" w:rsidR="00247876" w:rsidRPr="001A1836" w:rsidRDefault="00247876" w:rsidP="00247876">
            <w:pPr>
              <w:pStyle w:val="Normal14"/>
              <w:spacing w:before="60" w:after="60"/>
              <w:rPr>
                <w:b/>
                <w:bCs/>
                <w:color w:val="000000"/>
                <w:sz w:val="22"/>
                <w:szCs w:val="22"/>
              </w:rPr>
            </w:pPr>
            <w:r w:rsidRPr="00360295">
              <w:rPr>
                <w:color w:val="000000"/>
                <w:sz w:val="20"/>
              </w:rPr>
              <w:t>REDACTED</w:t>
            </w: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F2BD5" w14:textId="565F6EB7" w:rsidR="00247876" w:rsidRPr="001A1836" w:rsidRDefault="00247876" w:rsidP="00247876">
            <w:pPr>
              <w:pStyle w:val="Normal14"/>
              <w:spacing w:before="60" w:after="60"/>
              <w:rPr>
                <w:b/>
                <w:color w:val="000000"/>
                <w:sz w:val="22"/>
                <w:szCs w:val="22"/>
              </w:rPr>
            </w:pPr>
            <w:r w:rsidRPr="00360295">
              <w:rPr>
                <w:color w:val="000000"/>
                <w:sz w:val="20"/>
              </w:rPr>
              <w:t>REDACTED</w:t>
            </w:r>
          </w:p>
        </w:tc>
      </w:tr>
      <w:tr w:rsidR="00247876" w:rsidRPr="001A1836" w14:paraId="33285444" w14:textId="77777777" w:rsidTr="008E18BD">
        <w:trPr>
          <w:cantSplit/>
          <w:trHeight w:val="278"/>
          <w:tblHeader/>
        </w:trPr>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EC0FE" w14:textId="26273940" w:rsidR="00247876" w:rsidRPr="001A1836" w:rsidRDefault="00247876" w:rsidP="00247876">
            <w:pPr>
              <w:pStyle w:val="Normal14"/>
              <w:spacing w:before="60" w:after="60"/>
            </w:pPr>
            <w:r w:rsidRPr="00360295">
              <w:rPr>
                <w:color w:val="000000"/>
                <w:sz w:val="20"/>
              </w:rPr>
              <w:t>REDACTED</w:t>
            </w:r>
          </w:p>
        </w:tc>
        <w:tc>
          <w:tcPr>
            <w:tcW w:w="2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E7775" w14:textId="49CC0CC3" w:rsidR="00247876" w:rsidRPr="001A1836" w:rsidRDefault="00247876" w:rsidP="00247876">
            <w:pPr>
              <w:pStyle w:val="Normal14"/>
              <w:spacing w:before="60" w:after="60"/>
              <w:rPr>
                <w:lang w:val="en"/>
              </w:rPr>
            </w:pPr>
            <w:r w:rsidRPr="00360295">
              <w:rPr>
                <w:color w:val="000000"/>
                <w:sz w:val="20"/>
              </w:rPr>
              <w:t>REDACTED</w:t>
            </w:r>
          </w:p>
        </w:tc>
        <w:tc>
          <w:tcPr>
            <w:tcW w:w="2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9C3A2" w14:textId="34127DBE" w:rsidR="00247876" w:rsidRPr="001A1836" w:rsidRDefault="00247876" w:rsidP="00247876">
            <w:pPr>
              <w:rPr>
                <w:rFonts w:cs="Arial"/>
              </w:rPr>
            </w:pPr>
            <w:r w:rsidRPr="00360295">
              <w:rPr>
                <w:rFonts w:cs="Arial"/>
                <w:color w:val="000000"/>
                <w:sz w:val="20"/>
              </w:rPr>
              <w:t>REDACTED</w:t>
            </w: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2F6F2" w14:textId="446EA0E3" w:rsidR="00247876" w:rsidRPr="001A1836" w:rsidRDefault="00247876" w:rsidP="00247876">
            <w:pPr>
              <w:pStyle w:val="Normal14"/>
              <w:spacing w:before="60" w:after="60"/>
            </w:pPr>
            <w:r w:rsidRPr="00360295">
              <w:rPr>
                <w:color w:val="000000"/>
                <w:sz w:val="20"/>
              </w:rPr>
              <w:t>REDACTED</w:t>
            </w:r>
          </w:p>
        </w:tc>
      </w:tr>
      <w:tr w:rsidR="00247876" w:rsidRPr="001A1836" w14:paraId="1C357F0F" w14:textId="77777777" w:rsidTr="008E18BD">
        <w:trPr>
          <w:cantSplit/>
          <w:trHeight w:val="278"/>
          <w:tblHeader/>
        </w:trPr>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4AE47" w14:textId="73E9B938" w:rsidR="00247876" w:rsidRPr="001A1836" w:rsidRDefault="00247876" w:rsidP="00247876">
            <w:pPr>
              <w:pStyle w:val="Normal14"/>
              <w:spacing w:before="60" w:after="60"/>
            </w:pPr>
            <w:r w:rsidRPr="00360295">
              <w:rPr>
                <w:color w:val="000000"/>
                <w:sz w:val="20"/>
              </w:rPr>
              <w:t>REDACTED</w:t>
            </w:r>
          </w:p>
        </w:tc>
        <w:tc>
          <w:tcPr>
            <w:tcW w:w="2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EC5E9" w14:textId="17E2BC71" w:rsidR="00247876" w:rsidRPr="001A1836" w:rsidRDefault="00247876" w:rsidP="00247876">
            <w:r w:rsidRPr="00360295">
              <w:rPr>
                <w:rFonts w:cs="Arial"/>
                <w:color w:val="000000"/>
                <w:sz w:val="20"/>
              </w:rPr>
              <w:t>REDACTED</w:t>
            </w:r>
          </w:p>
        </w:tc>
        <w:tc>
          <w:tcPr>
            <w:tcW w:w="2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B7FF7" w14:textId="44BD7922" w:rsidR="00247876" w:rsidRPr="001A1836" w:rsidRDefault="00247876" w:rsidP="00247876">
            <w:pPr>
              <w:rPr>
                <w:rFonts w:cs="Arial"/>
              </w:rPr>
            </w:pPr>
            <w:r w:rsidRPr="00360295">
              <w:rPr>
                <w:rFonts w:cs="Arial"/>
                <w:color w:val="000000"/>
                <w:sz w:val="20"/>
              </w:rPr>
              <w:t>REDACTED</w:t>
            </w: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91E8A" w14:textId="33DCD762" w:rsidR="00247876" w:rsidRPr="001A1836" w:rsidRDefault="00247876" w:rsidP="00247876">
            <w:pPr>
              <w:pStyle w:val="Normal14"/>
              <w:spacing w:before="60" w:after="60"/>
            </w:pPr>
            <w:r w:rsidRPr="00360295">
              <w:rPr>
                <w:color w:val="000000"/>
                <w:sz w:val="20"/>
              </w:rPr>
              <w:t>REDACTED</w:t>
            </w:r>
          </w:p>
        </w:tc>
      </w:tr>
      <w:tr w:rsidR="00247876" w:rsidRPr="001A1836" w14:paraId="70E1DE02" w14:textId="77777777" w:rsidTr="008E18BD">
        <w:trPr>
          <w:cantSplit/>
          <w:trHeight w:val="278"/>
          <w:tblHeader/>
        </w:trPr>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1BB94" w14:textId="02AAD41D" w:rsidR="00247876" w:rsidRPr="001A1836" w:rsidRDefault="00247876" w:rsidP="00247876">
            <w:r w:rsidRPr="00360295">
              <w:rPr>
                <w:rFonts w:cs="Arial"/>
                <w:color w:val="000000"/>
                <w:sz w:val="20"/>
              </w:rPr>
              <w:t>REDACTED</w:t>
            </w:r>
          </w:p>
        </w:tc>
        <w:tc>
          <w:tcPr>
            <w:tcW w:w="2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5CAC5" w14:textId="6E980B83" w:rsidR="00247876" w:rsidRPr="001A1836" w:rsidRDefault="00247876" w:rsidP="00247876">
            <w:pPr>
              <w:pStyle w:val="Normal14"/>
              <w:spacing w:before="60" w:after="60"/>
            </w:pPr>
            <w:r w:rsidRPr="00360295">
              <w:rPr>
                <w:color w:val="000000"/>
                <w:sz w:val="20"/>
              </w:rPr>
              <w:t>REDACTED</w:t>
            </w:r>
          </w:p>
        </w:tc>
        <w:tc>
          <w:tcPr>
            <w:tcW w:w="2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0D5A3" w14:textId="59FE9C86" w:rsidR="00247876" w:rsidRPr="001A1836" w:rsidRDefault="00247876" w:rsidP="00247876">
            <w:r w:rsidRPr="00360295">
              <w:rPr>
                <w:rFonts w:cs="Arial"/>
                <w:color w:val="000000"/>
                <w:sz w:val="20"/>
              </w:rPr>
              <w:t>REDACTED</w:t>
            </w: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0A18A" w14:textId="17C79BDF" w:rsidR="00247876" w:rsidRPr="001A1836" w:rsidRDefault="00247876" w:rsidP="00247876">
            <w:pPr>
              <w:pStyle w:val="Normal14"/>
              <w:spacing w:before="60" w:after="60"/>
            </w:pPr>
            <w:r w:rsidRPr="00360295">
              <w:rPr>
                <w:color w:val="000000"/>
                <w:sz w:val="20"/>
              </w:rPr>
              <w:t>REDACTED</w:t>
            </w:r>
          </w:p>
        </w:tc>
      </w:tr>
    </w:tbl>
    <w:p w14:paraId="325A9A83" w14:textId="77777777" w:rsidR="00626054" w:rsidRPr="001A1836" w:rsidRDefault="00626054" w:rsidP="00626054">
      <w:pPr>
        <w:ind w:left="720"/>
      </w:pPr>
    </w:p>
    <w:p w14:paraId="58E65F31" w14:textId="6E5AA08A" w:rsidR="00626054" w:rsidRPr="001A1836" w:rsidRDefault="00626054">
      <w:pPr>
        <w:pStyle w:val="GSRL3heading"/>
      </w:pPr>
      <w:bookmarkStart w:id="2807" w:name="_Toc508784143"/>
      <w:bookmarkStart w:id="2808" w:name="_Toc521327148"/>
      <w:bookmarkStart w:id="2809" w:name="_Toc521333381"/>
      <w:bookmarkStart w:id="2810" w:name="_Toc521484112"/>
      <w:bookmarkStart w:id="2811" w:name="_Toc521484875"/>
      <w:bookmarkStart w:id="2812" w:name="_Toc521485206"/>
      <w:bookmarkStart w:id="2813" w:name="_Toc521496943"/>
      <w:bookmarkStart w:id="2814" w:name="_Toc521498385"/>
      <w:bookmarkStart w:id="2815" w:name="_Toc529346082"/>
      <w:bookmarkStart w:id="2816" w:name="_Toc129038299"/>
      <w:bookmarkStart w:id="2817" w:name="_Toc129038585"/>
      <w:bookmarkStart w:id="2818" w:name="_Toc132268163"/>
      <w:bookmarkStart w:id="2819" w:name="_Toc132268469"/>
      <w:bookmarkStart w:id="2820" w:name="_Toc136198719"/>
      <w:bookmarkStart w:id="2821" w:name="_Toc136199000"/>
      <w:r w:rsidRPr="001A1836">
        <w:t>Provider Third-Party Contracts</w:t>
      </w:r>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r w:rsidRPr="001A1836">
        <w:t xml:space="preserve"> </w:t>
      </w:r>
    </w:p>
    <w:p w14:paraId="18DEBF35" w14:textId="4750E8CA" w:rsidR="00626054" w:rsidRDefault="00626054">
      <w:pPr>
        <w:pStyle w:val="GSRL4numberedclause"/>
      </w:pPr>
      <w:r w:rsidRPr="001A1836">
        <w:t>Table 2 lists those contracts entered into by the Provider for the purposes of performing its obligations under this Agreement and material to the provision of the Services including Sub-Contracts.</w:t>
      </w:r>
    </w:p>
    <w:p w14:paraId="05FF6AF9" w14:textId="7046039F" w:rsidR="007C6EA3" w:rsidRDefault="007C6EA3" w:rsidP="007C6EA3">
      <w:pPr>
        <w:pStyle w:val="GSRL4numberedclause"/>
        <w:numPr>
          <w:ilvl w:val="0"/>
          <w:numId w:val="0"/>
        </w:numPr>
      </w:pPr>
    </w:p>
    <w:p w14:paraId="5F9AD2CC" w14:textId="77777777" w:rsidR="001830F6" w:rsidRPr="001A1836" w:rsidRDefault="001830F6" w:rsidP="00626054">
      <w:pPr>
        <w:rPr>
          <w:b/>
        </w:rPr>
      </w:pPr>
    </w:p>
    <w:p w14:paraId="345A1704" w14:textId="739CC0BC" w:rsidR="00626054" w:rsidRPr="001A1836" w:rsidRDefault="00626054" w:rsidP="00626054">
      <w:r w:rsidRPr="001A1836">
        <w:rPr>
          <w:b/>
        </w:rPr>
        <w:t>Table 2</w:t>
      </w:r>
      <w:r w:rsidRPr="001A1836">
        <w:t xml:space="preserve"> Provider Sub-Contracts</w:t>
      </w:r>
    </w:p>
    <w:tbl>
      <w:tblPr>
        <w:tblW w:w="9143" w:type="dxa"/>
        <w:tblBorders>
          <w:top w:val="nil"/>
          <w:left w:val="nil"/>
          <w:bottom w:val="nil"/>
          <w:right w:val="nil"/>
        </w:tblBorders>
        <w:tblLayout w:type="fixed"/>
        <w:tblCellMar>
          <w:top w:w="58" w:type="dxa"/>
          <w:left w:w="58" w:type="dxa"/>
          <w:bottom w:w="58" w:type="dxa"/>
          <w:right w:w="58" w:type="dxa"/>
        </w:tblCellMar>
        <w:tblLook w:val="0000" w:firstRow="0" w:lastRow="0" w:firstColumn="0" w:lastColumn="0" w:noHBand="0" w:noVBand="0"/>
      </w:tblPr>
      <w:tblGrid>
        <w:gridCol w:w="2285"/>
        <w:gridCol w:w="2735"/>
        <w:gridCol w:w="2345"/>
        <w:gridCol w:w="1778"/>
      </w:tblGrid>
      <w:tr w:rsidR="00626054" w:rsidRPr="001A1836" w14:paraId="4E402BEE" w14:textId="77777777" w:rsidTr="008E18BD">
        <w:trPr>
          <w:cantSplit/>
          <w:trHeight w:val="278"/>
          <w:tblHeader/>
        </w:trPr>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1C838" w14:textId="77777777" w:rsidR="00626054" w:rsidRPr="001A1836" w:rsidRDefault="00626054" w:rsidP="00626054">
            <w:pPr>
              <w:pStyle w:val="Normal14"/>
              <w:spacing w:before="60" w:after="60"/>
              <w:rPr>
                <w:color w:val="000000"/>
                <w:sz w:val="22"/>
                <w:szCs w:val="22"/>
              </w:rPr>
            </w:pPr>
            <w:r w:rsidRPr="001A1836">
              <w:rPr>
                <w:b/>
                <w:bCs/>
                <w:color w:val="000000"/>
                <w:sz w:val="22"/>
                <w:szCs w:val="22"/>
              </w:rPr>
              <w:t xml:space="preserve">Contractor/Sub-Contractor </w:t>
            </w:r>
          </w:p>
        </w:tc>
        <w:tc>
          <w:tcPr>
            <w:tcW w:w="2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B0F65" w14:textId="77777777" w:rsidR="00626054" w:rsidRPr="001A1836" w:rsidRDefault="00626054" w:rsidP="00626054">
            <w:pPr>
              <w:pStyle w:val="Normal14"/>
              <w:spacing w:before="60" w:after="60"/>
              <w:rPr>
                <w:color w:val="000000"/>
                <w:sz w:val="22"/>
                <w:szCs w:val="22"/>
              </w:rPr>
            </w:pPr>
            <w:r w:rsidRPr="001A1836">
              <w:rPr>
                <w:b/>
                <w:bCs/>
                <w:color w:val="000000"/>
                <w:sz w:val="22"/>
                <w:szCs w:val="22"/>
              </w:rPr>
              <w:t xml:space="preserve">Service </w:t>
            </w:r>
          </w:p>
        </w:tc>
        <w:tc>
          <w:tcPr>
            <w:tcW w:w="2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A63B0" w14:textId="77777777" w:rsidR="00626054" w:rsidRPr="001A1836" w:rsidRDefault="00626054" w:rsidP="00626054">
            <w:pPr>
              <w:pStyle w:val="Normal14"/>
              <w:spacing w:before="60" w:after="60"/>
              <w:rPr>
                <w:color w:val="000000"/>
                <w:sz w:val="22"/>
                <w:szCs w:val="22"/>
              </w:rPr>
            </w:pPr>
            <w:r w:rsidRPr="001A1836">
              <w:rPr>
                <w:b/>
                <w:bCs/>
                <w:color w:val="000000"/>
                <w:sz w:val="22"/>
                <w:szCs w:val="22"/>
              </w:rPr>
              <w:t xml:space="preserve">Extent of Service Delivery </w:t>
            </w: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F5A83" w14:textId="77777777" w:rsidR="00626054" w:rsidRPr="001A1836" w:rsidRDefault="00626054">
            <w:pPr>
              <w:pStyle w:val="Normal14"/>
              <w:spacing w:before="60" w:after="60"/>
              <w:rPr>
                <w:b/>
                <w:color w:val="000000"/>
                <w:sz w:val="22"/>
                <w:szCs w:val="22"/>
              </w:rPr>
            </w:pPr>
            <w:r w:rsidRPr="001A1836">
              <w:rPr>
                <w:b/>
                <w:color w:val="000000"/>
                <w:sz w:val="22"/>
                <w:szCs w:val="22"/>
              </w:rPr>
              <w:t>Duration</w:t>
            </w:r>
          </w:p>
        </w:tc>
      </w:tr>
      <w:tr w:rsidR="00247876" w:rsidRPr="001A1836" w14:paraId="56F6DBCB" w14:textId="05F6BA2A" w:rsidTr="008E18BD">
        <w:trPr>
          <w:cantSplit/>
          <w:trHeight w:val="278"/>
          <w:tblHeader/>
        </w:trPr>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D0BD8" w14:textId="5FB36FA9" w:rsidR="00247876" w:rsidRPr="00153B43" w:rsidRDefault="00247876" w:rsidP="00247876">
            <w:pPr>
              <w:pStyle w:val="Normal14"/>
              <w:spacing w:before="60" w:after="60"/>
              <w:rPr>
                <w:bCs/>
                <w:color w:val="000000"/>
                <w:sz w:val="22"/>
                <w:szCs w:val="22"/>
              </w:rPr>
            </w:pPr>
            <w:r w:rsidRPr="00883491">
              <w:rPr>
                <w:color w:val="000000"/>
                <w:sz w:val="20"/>
              </w:rPr>
              <w:t>REDACTED</w:t>
            </w:r>
          </w:p>
        </w:tc>
        <w:tc>
          <w:tcPr>
            <w:tcW w:w="2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C210D" w14:textId="19DE2A50" w:rsidR="00247876" w:rsidRPr="00153B43" w:rsidRDefault="00247876" w:rsidP="00247876">
            <w:pPr>
              <w:pStyle w:val="Normal14"/>
              <w:spacing w:before="60" w:after="60"/>
              <w:rPr>
                <w:bCs/>
                <w:color w:val="000000"/>
                <w:sz w:val="22"/>
                <w:szCs w:val="22"/>
              </w:rPr>
            </w:pPr>
            <w:r w:rsidRPr="00883491">
              <w:rPr>
                <w:color w:val="000000"/>
                <w:sz w:val="20"/>
              </w:rPr>
              <w:t>REDACTED</w:t>
            </w:r>
          </w:p>
        </w:tc>
        <w:tc>
          <w:tcPr>
            <w:tcW w:w="2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CE9C8" w14:textId="6B216674" w:rsidR="00247876" w:rsidRPr="006D320B" w:rsidRDefault="00247876" w:rsidP="00247876">
            <w:pPr>
              <w:pStyle w:val="Normal14"/>
              <w:spacing w:before="60" w:after="60"/>
              <w:rPr>
                <w:color w:val="000000"/>
                <w:sz w:val="22"/>
                <w:szCs w:val="22"/>
              </w:rPr>
            </w:pPr>
            <w:r w:rsidRPr="00883491">
              <w:rPr>
                <w:color w:val="000000"/>
                <w:sz w:val="20"/>
              </w:rPr>
              <w:t>REDACTED</w:t>
            </w: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17373" w14:textId="56145EDA" w:rsidR="00247876" w:rsidRPr="00153B43" w:rsidRDefault="00247876" w:rsidP="00247876">
            <w:pPr>
              <w:pStyle w:val="Normal14"/>
              <w:spacing w:before="60" w:after="60"/>
              <w:rPr>
                <w:color w:val="000000"/>
                <w:sz w:val="22"/>
                <w:szCs w:val="22"/>
              </w:rPr>
            </w:pPr>
            <w:r w:rsidRPr="00883491">
              <w:rPr>
                <w:color w:val="000000"/>
                <w:sz w:val="20"/>
              </w:rPr>
              <w:t>REDACTED</w:t>
            </w:r>
          </w:p>
        </w:tc>
      </w:tr>
    </w:tbl>
    <w:p w14:paraId="185C992F" w14:textId="77777777" w:rsidR="00626054" w:rsidRPr="001A1836" w:rsidRDefault="00626054" w:rsidP="00626054"/>
    <w:p w14:paraId="12791231" w14:textId="41D586A2" w:rsidR="00EB4C42" w:rsidRPr="001A1836" w:rsidRDefault="00EB4C42" w:rsidP="00EB4C42">
      <w:r w:rsidRPr="001A1836">
        <w:rPr>
          <w:b/>
        </w:rPr>
        <w:t>Table 3</w:t>
      </w:r>
      <w:r w:rsidRPr="001A1836">
        <w:t xml:space="preserve"> Provider Key Sub-Contracts</w:t>
      </w:r>
    </w:p>
    <w:tbl>
      <w:tblPr>
        <w:tblW w:w="9143" w:type="dxa"/>
        <w:tblBorders>
          <w:top w:val="nil"/>
          <w:left w:val="nil"/>
          <w:bottom w:val="nil"/>
          <w:right w:val="nil"/>
        </w:tblBorders>
        <w:tblLayout w:type="fixed"/>
        <w:tblCellMar>
          <w:top w:w="58" w:type="dxa"/>
          <w:left w:w="58" w:type="dxa"/>
          <w:bottom w:w="58" w:type="dxa"/>
          <w:right w:w="58" w:type="dxa"/>
        </w:tblCellMar>
        <w:tblLook w:val="0000" w:firstRow="0" w:lastRow="0" w:firstColumn="0" w:lastColumn="0" w:noHBand="0" w:noVBand="0"/>
      </w:tblPr>
      <w:tblGrid>
        <w:gridCol w:w="2285"/>
        <w:gridCol w:w="2735"/>
        <w:gridCol w:w="2345"/>
        <w:gridCol w:w="1778"/>
      </w:tblGrid>
      <w:tr w:rsidR="00EB4C42" w:rsidRPr="001A1836" w14:paraId="7B9050FB" w14:textId="77777777" w:rsidTr="00253F07">
        <w:trPr>
          <w:cantSplit/>
          <w:trHeight w:val="278"/>
          <w:tblHeader/>
        </w:trPr>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B95F3" w14:textId="77777777" w:rsidR="00EB4C42" w:rsidRPr="001A1836" w:rsidRDefault="00EB4C42" w:rsidP="00253F07">
            <w:pPr>
              <w:pStyle w:val="Normal14"/>
              <w:spacing w:before="60" w:after="60"/>
              <w:rPr>
                <w:color w:val="000000"/>
                <w:sz w:val="22"/>
                <w:szCs w:val="22"/>
              </w:rPr>
            </w:pPr>
            <w:r w:rsidRPr="001A1836">
              <w:rPr>
                <w:b/>
                <w:bCs/>
                <w:color w:val="000000"/>
                <w:sz w:val="22"/>
                <w:szCs w:val="22"/>
              </w:rPr>
              <w:t xml:space="preserve">Contractor/Sub-Contractor </w:t>
            </w:r>
          </w:p>
        </w:tc>
        <w:tc>
          <w:tcPr>
            <w:tcW w:w="2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4754D" w14:textId="77777777" w:rsidR="00EB4C42" w:rsidRPr="001A1836" w:rsidRDefault="00EB4C42" w:rsidP="00253F07">
            <w:pPr>
              <w:pStyle w:val="Normal14"/>
              <w:spacing w:before="60" w:after="60"/>
              <w:rPr>
                <w:color w:val="000000"/>
                <w:sz w:val="22"/>
                <w:szCs w:val="22"/>
              </w:rPr>
            </w:pPr>
            <w:r w:rsidRPr="001A1836">
              <w:rPr>
                <w:b/>
                <w:bCs/>
                <w:color w:val="000000"/>
                <w:sz w:val="22"/>
                <w:szCs w:val="22"/>
              </w:rPr>
              <w:t xml:space="preserve">Service </w:t>
            </w:r>
          </w:p>
        </w:tc>
        <w:tc>
          <w:tcPr>
            <w:tcW w:w="2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4E5A2" w14:textId="77777777" w:rsidR="00EB4C42" w:rsidRPr="001A1836" w:rsidRDefault="00EB4C42" w:rsidP="00253F07">
            <w:pPr>
              <w:pStyle w:val="Normal14"/>
              <w:spacing w:before="60" w:after="60"/>
              <w:rPr>
                <w:color w:val="000000"/>
                <w:sz w:val="22"/>
                <w:szCs w:val="22"/>
              </w:rPr>
            </w:pPr>
            <w:r w:rsidRPr="001A1836">
              <w:rPr>
                <w:b/>
                <w:bCs/>
                <w:color w:val="000000"/>
                <w:sz w:val="22"/>
                <w:szCs w:val="22"/>
              </w:rPr>
              <w:t xml:space="preserve">Extent of Service Delivery </w:t>
            </w: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A6FD0" w14:textId="77777777" w:rsidR="00EB4C42" w:rsidRPr="001A1836" w:rsidRDefault="00EB4C42" w:rsidP="00253F07">
            <w:pPr>
              <w:pStyle w:val="Normal14"/>
              <w:spacing w:before="60" w:after="60"/>
              <w:rPr>
                <w:b/>
                <w:color w:val="000000"/>
                <w:sz w:val="22"/>
                <w:szCs w:val="22"/>
              </w:rPr>
            </w:pPr>
            <w:r w:rsidRPr="001A1836">
              <w:rPr>
                <w:b/>
                <w:color w:val="000000"/>
                <w:sz w:val="22"/>
                <w:szCs w:val="22"/>
              </w:rPr>
              <w:t>Duration</w:t>
            </w:r>
          </w:p>
        </w:tc>
      </w:tr>
      <w:tr w:rsidR="00247876" w:rsidRPr="001A1836" w14:paraId="03ABE0E7" w14:textId="77777777" w:rsidTr="00253F07">
        <w:trPr>
          <w:cantSplit/>
          <w:trHeight w:val="278"/>
        </w:trPr>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FA5E4" w14:textId="7EE43C7D" w:rsidR="00247876" w:rsidRPr="001A1836" w:rsidRDefault="00247876" w:rsidP="00247876">
            <w:pPr>
              <w:pStyle w:val="Normal14"/>
              <w:spacing w:before="60" w:after="60"/>
              <w:rPr>
                <w:color w:val="000000"/>
                <w:sz w:val="22"/>
                <w:szCs w:val="22"/>
              </w:rPr>
            </w:pPr>
            <w:r w:rsidRPr="002E106F">
              <w:rPr>
                <w:color w:val="000000"/>
                <w:sz w:val="20"/>
              </w:rPr>
              <w:t>REDACTED</w:t>
            </w:r>
          </w:p>
        </w:tc>
        <w:tc>
          <w:tcPr>
            <w:tcW w:w="2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C0DA5" w14:textId="14F18092" w:rsidR="00247876" w:rsidRPr="001A1836" w:rsidRDefault="00247876" w:rsidP="00247876">
            <w:pPr>
              <w:pStyle w:val="Normal14"/>
              <w:spacing w:before="60" w:after="60"/>
              <w:rPr>
                <w:color w:val="000000"/>
                <w:sz w:val="22"/>
                <w:szCs w:val="22"/>
              </w:rPr>
            </w:pPr>
            <w:r w:rsidRPr="002E106F">
              <w:rPr>
                <w:color w:val="000000"/>
                <w:sz w:val="20"/>
              </w:rPr>
              <w:t>REDACTED</w:t>
            </w:r>
          </w:p>
        </w:tc>
        <w:tc>
          <w:tcPr>
            <w:tcW w:w="2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744968" w14:textId="0FDE2FF1" w:rsidR="00247876" w:rsidRPr="001A1836" w:rsidRDefault="00247876" w:rsidP="00247876">
            <w:pPr>
              <w:pStyle w:val="Normal14"/>
              <w:spacing w:before="60" w:after="60"/>
              <w:rPr>
                <w:color w:val="000000"/>
                <w:sz w:val="22"/>
                <w:szCs w:val="22"/>
              </w:rPr>
            </w:pPr>
            <w:r w:rsidRPr="002E106F">
              <w:rPr>
                <w:color w:val="000000"/>
                <w:sz w:val="20"/>
              </w:rPr>
              <w:t>REDACTED</w:t>
            </w: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10C25" w14:textId="59E1EE4A" w:rsidR="00247876" w:rsidRPr="001A1836" w:rsidRDefault="00247876" w:rsidP="00247876">
            <w:pPr>
              <w:pStyle w:val="Normal14"/>
              <w:spacing w:before="60" w:after="60"/>
              <w:rPr>
                <w:color w:val="000000"/>
                <w:sz w:val="22"/>
                <w:szCs w:val="22"/>
              </w:rPr>
            </w:pPr>
            <w:r w:rsidRPr="002E106F">
              <w:rPr>
                <w:color w:val="000000"/>
                <w:sz w:val="20"/>
              </w:rPr>
              <w:t>REDACTED</w:t>
            </w:r>
          </w:p>
        </w:tc>
      </w:tr>
    </w:tbl>
    <w:p w14:paraId="18A8B9B1" w14:textId="77777777" w:rsidR="00EB4C42" w:rsidRPr="001A1836" w:rsidRDefault="00EB4C42" w:rsidP="00EB4C42"/>
    <w:p w14:paraId="336D57AC" w14:textId="77777777" w:rsidR="00626054" w:rsidRPr="001A1836" w:rsidRDefault="00626054" w:rsidP="00626054"/>
    <w:p w14:paraId="04C932C9" w14:textId="77777777" w:rsidR="00626054" w:rsidRPr="001A1836" w:rsidRDefault="00626054" w:rsidP="00626054">
      <w:pPr>
        <w:spacing w:after="0"/>
        <w:rPr>
          <w:rFonts w:cs="Arial"/>
        </w:rPr>
      </w:pPr>
    </w:p>
    <w:p w14:paraId="0653CC27" w14:textId="648DD879" w:rsidR="00626054" w:rsidRPr="001A1836" w:rsidRDefault="00626054" w:rsidP="00CF1BDA"/>
    <w:bookmarkEnd w:id="2791"/>
    <w:p w14:paraId="3B7CD9D4" w14:textId="77777777" w:rsidR="00626054" w:rsidRPr="001A1836" w:rsidRDefault="00626054" w:rsidP="00CF1BDA"/>
    <w:p w14:paraId="3FBD7D98" w14:textId="77777777" w:rsidR="00626054" w:rsidRPr="001A1836" w:rsidRDefault="00626054" w:rsidP="00CF1BDA"/>
    <w:p w14:paraId="6388196B" w14:textId="77777777" w:rsidR="00626054" w:rsidRPr="001A1836" w:rsidRDefault="00626054" w:rsidP="00CF1BDA"/>
    <w:p w14:paraId="7A4DAC31" w14:textId="77777777" w:rsidR="00394111" w:rsidRPr="001A1836" w:rsidRDefault="00394111" w:rsidP="00CF1BDA">
      <w:pPr>
        <w:pStyle w:val="GSRL1Scheduleheader"/>
        <w:sectPr w:rsidR="00394111" w:rsidRPr="001A1836" w:rsidSect="00F87B8D">
          <w:footerReference w:type="default" r:id="rId35"/>
          <w:pgSz w:w="11900" w:h="16840"/>
          <w:pgMar w:top="1134" w:right="1440" w:bottom="1440" w:left="1440" w:header="1077" w:footer="833" w:gutter="0"/>
          <w:cols w:space="708"/>
        </w:sectPr>
      </w:pPr>
    </w:p>
    <w:p w14:paraId="7743F89B" w14:textId="02E084A7" w:rsidR="00626054" w:rsidRPr="001A1836" w:rsidRDefault="00626054" w:rsidP="00CF1BDA">
      <w:pPr>
        <w:pStyle w:val="GSRL1Scheduleheader"/>
      </w:pPr>
      <w:bookmarkStart w:id="2822" w:name="_Toc129038300"/>
      <w:bookmarkStart w:id="2823" w:name="_Toc129038586"/>
      <w:bookmarkStart w:id="2824" w:name="_Toc132268164"/>
      <w:bookmarkStart w:id="2825" w:name="_Toc132268470"/>
      <w:bookmarkStart w:id="2826" w:name="_Toc136198720"/>
      <w:bookmarkStart w:id="2827" w:name="_Toc136199001"/>
      <w:bookmarkStart w:id="2828" w:name="_Toc188885260"/>
      <w:r w:rsidRPr="001A1836">
        <w:lastRenderedPageBreak/>
        <w:t xml:space="preserve">SCHEDULE 14: </w:t>
      </w:r>
      <w:r w:rsidR="004C2FF4" w:rsidRPr="001A1836">
        <w:t>Key Personnel</w:t>
      </w:r>
      <w:bookmarkEnd w:id="2822"/>
      <w:bookmarkEnd w:id="2823"/>
      <w:bookmarkEnd w:id="2824"/>
      <w:bookmarkEnd w:id="2825"/>
      <w:bookmarkEnd w:id="2826"/>
      <w:bookmarkEnd w:id="2827"/>
      <w:bookmarkEnd w:id="2828"/>
    </w:p>
    <w:p w14:paraId="3049B3C8" w14:textId="5386AE51" w:rsidR="00626054" w:rsidRPr="001A1836" w:rsidRDefault="00626054">
      <w:bookmarkStart w:id="2829" w:name="_Toc506214743"/>
    </w:p>
    <w:p w14:paraId="1682C99D" w14:textId="6AF31306" w:rsidR="00A62C70" w:rsidRPr="001A1836" w:rsidRDefault="00A62C70">
      <w:pPr>
        <w:spacing w:before="0" w:after="0"/>
        <w:rPr>
          <w:b/>
          <w:kern w:val="0"/>
          <w:sz w:val="24"/>
        </w:rPr>
      </w:pPr>
      <w:r w:rsidRPr="001A1836">
        <w:br w:type="page"/>
      </w:r>
    </w:p>
    <w:p w14:paraId="0A2DBFD3" w14:textId="77777777" w:rsidR="00626054" w:rsidRPr="001A1836" w:rsidRDefault="00626054" w:rsidP="00CA27F1"/>
    <w:p w14:paraId="327D4A3A" w14:textId="77777777" w:rsidR="00626054" w:rsidRPr="001A1836" w:rsidRDefault="00626054" w:rsidP="004E2262">
      <w:pPr>
        <w:pStyle w:val="GSRL3heading"/>
        <w:numPr>
          <w:ilvl w:val="0"/>
          <w:numId w:val="72"/>
        </w:numPr>
      </w:pPr>
      <w:bookmarkStart w:id="2830" w:name="_Toc508870773"/>
      <w:bookmarkStart w:id="2831" w:name="_Toc521327150"/>
      <w:bookmarkStart w:id="2832" w:name="_Toc521333383"/>
      <w:bookmarkStart w:id="2833" w:name="_Toc521484114"/>
      <w:bookmarkStart w:id="2834" w:name="_Toc521484877"/>
      <w:bookmarkStart w:id="2835" w:name="_Toc521485208"/>
      <w:bookmarkStart w:id="2836" w:name="_Toc521496945"/>
      <w:bookmarkStart w:id="2837" w:name="_Toc521498387"/>
      <w:bookmarkStart w:id="2838" w:name="_Toc529346083"/>
      <w:bookmarkStart w:id="2839" w:name="_Toc129038302"/>
      <w:bookmarkStart w:id="2840" w:name="_Toc129038588"/>
      <w:bookmarkStart w:id="2841" w:name="_Toc132268166"/>
      <w:bookmarkStart w:id="2842" w:name="_Toc132268472"/>
      <w:bookmarkStart w:id="2843" w:name="_Toc136198722"/>
      <w:bookmarkStart w:id="2844" w:name="_Toc136199003"/>
      <w:bookmarkStart w:id="2845" w:name="Schedule14"/>
      <w:r w:rsidRPr="001A1836">
        <w:t>Purpose and effect</w:t>
      </w:r>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r w:rsidRPr="001A1836">
        <w:t xml:space="preserve"> </w:t>
      </w:r>
    </w:p>
    <w:p w14:paraId="27A01201" w14:textId="60D05127" w:rsidR="00BC1434" w:rsidRPr="00BC1434" w:rsidRDefault="00626054" w:rsidP="00BC1434">
      <w:pPr>
        <w:pStyle w:val="GSRL4numberedclause"/>
      </w:pPr>
      <w:r w:rsidRPr="001A1836">
        <w:t>Annex 1 to this Schedule 14 sets out the Key Personnel appointed by the Provider to fulfil the Key Roles.</w:t>
      </w:r>
      <w:r w:rsidR="00327997">
        <w:t xml:space="preserve">  Where names of Key Personnel have not been populated in Annex 1 by the Services Start Date, the Provider must ensure that such names are provided within </w:t>
      </w:r>
      <w:r w:rsidR="00C223D6">
        <w:t xml:space="preserve">30 </w:t>
      </w:r>
      <w:r w:rsidR="00327997">
        <w:t>days of the Services Start Date</w:t>
      </w:r>
      <w:r w:rsidR="00BC1434">
        <w:t xml:space="preserve"> in accordance with paragraph </w:t>
      </w:r>
      <w:r w:rsidR="0014723F">
        <w:t>1.</w:t>
      </w:r>
      <w:r w:rsidR="00BC1434">
        <w:t>2</w:t>
      </w:r>
      <w:r w:rsidR="00327997">
        <w:t>.</w:t>
      </w:r>
      <w:r w:rsidRPr="001A1836">
        <w:t xml:space="preserve"> </w:t>
      </w:r>
    </w:p>
    <w:p w14:paraId="161876F1" w14:textId="2A35BDD4" w:rsidR="00BC1434" w:rsidRPr="00BC1434" w:rsidRDefault="00BC1434" w:rsidP="00BC1434">
      <w:pPr>
        <w:pStyle w:val="GSRL4numberedclause"/>
      </w:pPr>
      <w:r w:rsidRPr="00BC1434">
        <w:t xml:space="preserve">The Provider agrees to keep </w:t>
      </w:r>
      <w:r>
        <w:t>Annex</w:t>
      </w:r>
      <w:r w:rsidRPr="00BC1434">
        <w:t xml:space="preserve"> 1 </w:t>
      </w:r>
      <w:r>
        <w:t>of this Schedule 14</w:t>
      </w:r>
      <w:r w:rsidRPr="00BC1434">
        <w:t xml:space="preserve"> updated throughout the Term and this Schedule shall be amended accordingly through the Change Control Procedure.</w:t>
      </w:r>
    </w:p>
    <w:p w14:paraId="0B9563C6" w14:textId="464C87F9" w:rsidR="00626054" w:rsidRPr="001A1836" w:rsidRDefault="00626054" w:rsidP="00BC1434">
      <w:pPr>
        <w:pStyle w:val="GSRL4numberedclause"/>
        <w:numPr>
          <w:ilvl w:val="0"/>
          <w:numId w:val="0"/>
        </w:numPr>
        <w:ind w:left="720"/>
      </w:pPr>
    </w:p>
    <w:p w14:paraId="7D214817" w14:textId="47CD9C1B" w:rsidR="00626054" w:rsidRPr="001A1836" w:rsidRDefault="00626054" w:rsidP="008E18BD">
      <w:pPr>
        <w:pStyle w:val="GSRL2Sectionheading"/>
        <w:tabs>
          <w:tab w:val="clear" w:pos="1656"/>
        </w:tabs>
      </w:pPr>
      <w:r w:rsidRPr="001A1836">
        <w:br w:type="page"/>
      </w:r>
      <w:bookmarkStart w:id="2846" w:name="_Toc508870774"/>
      <w:bookmarkStart w:id="2847" w:name="_Toc521327151"/>
      <w:bookmarkStart w:id="2848" w:name="_Toc521333384"/>
      <w:bookmarkStart w:id="2849" w:name="_Toc521484115"/>
      <w:bookmarkStart w:id="2850" w:name="_Toc521484878"/>
      <w:bookmarkStart w:id="2851" w:name="_Toc521485209"/>
      <w:bookmarkStart w:id="2852" w:name="_Toc521496946"/>
      <w:bookmarkStart w:id="2853" w:name="_Toc521498388"/>
      <w:bookmarkStart w:id="2854" w:name="_Toc529346084"/>
      <w:bookmarkStart w:id="2855" w:name="_Toc129038303"/>
      <w:bookmarkStart w:id="2856" w:name="_Toc129038589"/>
      <w:bookmarkStart w:id="2857" w:name="_Toc132268167"/>
      <w:bookmarkStart w:id="2858" w:name="_Toc132268473"/>
      <w:bookmarkStart w:id="2859" w:name="_Toc136198723"/>
      <w:bookmarkStart w:id="2860" w:name="_Toc136199004"/>
      <w:r w:rsidRPr="001A1836">
        <w:lastRenderedPageBreak/>
        <w:t>Annex 1 – Key Roles and Key Personnel</w:t>
      </w:r>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58" w:type="dxa"/>
          <w:bottom w:w="113" w:type="dxa"/>
          <w:right w:w="58" w:type="dxa"/>
        </w:tblCellMar>
        <w:tblLook w:val="04A0" w:firstRow="1" w:lastRow="0" w:firstColumn="1" w:lastColumn="0" w:noHBand="0" w:noVBand="1"/>
      </w:tblPr>
      <w:tblGrid>
        <w:gridCol w:w="2599"/>
        <w:gridCol w:w="2793"/>
        <w:gridCol w:w="1730"/>
        <w:gridCol w:w="1888"/>
      </w:tblGrid>
      <w:tr w:rsidR="00626054" w:rsidRPr="001A1836" w14:paraId="54186484" w14:textId="77777777" w:rsidTr="003B50F4">
        <w:trPr>
          <w:cantSplit/>
          <w:tblHeader/>
        </w:trPr>
        <w:tc>
          <w:tcPr>
            <w:tcW w:w="2599" w:type="dxa"/>
            <w:shd w:val="clear" w:color="auto" w:fill="auto"/>
          </w:tcPr>
          <w:p w14:paraId="00D79E29" w14:textId="77777777" w:rsidR="00626054" w:rsidRPr="001A1836" w:rsidRDefault="00626054" w:rsidP="00626054">
            <w:pPr>
              <w:rPr>
                <w:rFonts w:cs="Arial"/>
                <w:b/>
              </w:rPr>
            </w:pPr>
            <w:r w:rsidRPr="001A1836">
              <w:rPr>
                <w:rFonts w:cs="Arial"/>
                <w:b/>
              </w:rPr>
              <w:t>Proposed role</w:t>
            </w:r>
          </w:p>
        </w:tc>
        <w:tc>
          <w:tcPr>
            <w:tcW w:w="2793" w:type="dxa"/>
            <w:shd w:val="clear" w:color="auto" w:fill="auto"/>
          </w:tcPr>
          <w:p w14:paraId="6ADB2B7C" w14:textId="77777777" w:rsidR="00626054" w:rsidRPr="001A1836" w:rsidRDefault="00626054" w:rsidP="00626054">
            <w:pPr>
              <w:rPr>
                <w:rFonts w:cs="Arial"/>
                <w:b/>
              </w:rPr>
            </w:pPr>
            <w:r w:rsidRPr="001A1836">
              <w:rPr>
                <w:rFonts w:cs="Arial"/>
                <w:b/>
              </w:rPr>
              <w:t>Nature and purpose of the role</w:t>
            </w:r>
          </w:p>
        </w:tc>
        <w:tc>
          <w:tcPr>
            <w:tcW w:w="1730" w:type="dxa"/>
          </w:tcPr>
          <w:p w14:paraId="752034C6" w14:textId="77777777" w:rsidR="00626054" w:rsidRPr="001A1836" w:rsidRDefault="00626054" w:rsidP="00626054">
            <w:pPr>
              <w:rPr>
                <w:rFonts w:cs="Arial"/>
                <w:b/>
              </w:rPr>
            </w:pPr>
            <w:r w:rsidRPr="001A1836">
              <w:rPr>
                <w:rFonts w:cs="Arial"/>
                <w:b/>
              </w:rPr>
              <w:t>Period of responsibility</w:t>
            </w:r>
          </w:p>
        </w:tc>
        <w:tc>
          <w:tcPr>
            <w:tcW w:w="1888" w:type="dxa"/>
            <w:shd w:val="clear" w:color="auto" w:fill="auto"/>
          </w:tcPr>
          <w:p w14:paraId="6F95778E" w14:textId="77777777" w:rsidR="00626054" w:rsidRPr="001A1836" w:rsidRDefault="00626054" w:rsidP="00626054">
            <w:pPr>
              <w:rPr>
                <w:rFonts w:cs="Arial"/>
                <w:b/>
              </w:rPr>
            </w:pPr>
            <w:r w:rsidRPr="001A1836">
              <w:rPr>
                <w:rFonts w:cs="Arial"/>
                <w:b/>
              </w:rPr>
              <w:t>Name</w:t>
            </w:r>
          </w:p>
        </w:tc>
      </w:tr>
      <w:tr w:rsidR="00626054" w:rsidRPr="001A1836" w14:paraId="2CA7830D" w14:textId="77777777" w:rsidTr="003B50F4">
        <w:trPr>
          <w:cantSplit/>
        </w:trPr>
        <w:tc>
          <w:tcPr>
            <w:tcW w:w="2599" w:type="dxa"/>
            <w:shd w:val="clear" w:color="auto" w:fill="auto"/>
          </w:tcPr>
          <w:p w14:paraId="46D50561" w14:textId="67EBE3AD" w:rsidR="00626054" w:rsidRPr="001A1836" w:rsidRDefault="00482F7A" w:rsidP="00626054">
            <w:pPr>
              <w:rPr>
                <w:rFonts w:cs="Arial"/>
              </w:rPr>
            </w:pPr>
            <w:r>
              <w:rPr>
                <w:rFonts w:cs="Arial"/>
              </w:rPr>
              <w:t>Contract Manager / Managing Director</w:t>
            </w:r>
          </w:p>
        </w:tc>
        <w:tc>
          <w:tcPr>
            <w:tcW w:w="2793" w:type="dxa"/>
            <w:shd w:val="clear" w:color="auto" w:fill="auto"/>
          </w:tcPr>
          <w:p w14:paraId="753C2384" w14:textId="77777777" w:rsidR="00626054" w:rsidRPr="001A1836" w:rsidRDefault="00626054" w:rsidP="00626054">
            <w:pPr>
              <w:rPr>
                <w:rFonts w:cs="Arial"/>
              </w:rPr>
            </w:pPr>
            <w:r w:rsidRPr="001A1836">
              <w:rPr>
                <w:rFonts w:cs="Arial"/>
              </w:rPr>
              <w:t>Overall responsibility for transition and service delivery</w:t>
            </w:r>
          </w:p>
        </w:tc>
        <w:tc>
          <w:tcPr>
            <w:tcW w:w="1730" w:type="dxa"/>
          </w:tcPr>
          <w:p w14:paraId="1F2B7185" w14:textId="77777777" w:rsidR="00626054" w:rsidRPr="001A1836" w:rsidRDefault="00626054" w:rsidP="00626054">
            <w:pPr>
              <w:rPr>
                <w:rFonts w:cs="Arial"/>
              </w:rPr>
            </w:pPr>
            <w:r w:rsidRPr="001A1836">
              <w:rPr>
                <w:rFonts w:cs="Arial"/>
              </w:rPr>
              <w:t>Transition and subsequent Term</w:t>
            </w:r>
          </w:p>
        </w:tc>
        <w:tc>
          <w:tcPr>
            <w:tcW w:w="1888" w:type="dxa"/>
            <w:shd w:val="clear" w:color="auto" w:fill="auto"/>
          </w:tcPr>
          <w:p w14:paraId="60AECAD0" w14:textId="796FE189" w:rsidR="00626054" w:rsidRPr="001A1836" w:rsidRDefault="00247876" w:rsidP="00626054">
            <w:pPr>
              <w:rPr>
                <w:rFonts w:cs="Arial"/>
              </w:rPr>
            </w:pPr>
            <w:r>
              <w:rPr>
                <w:rFonts w:cs="Arial"/>
                <w:color w:val="000000"/>
                <w:sz w:val="20"/>
              </w:rPr>
              <w:t>REDACTED</w:t>
            </w:r>
          </w:p>
        </w:tc>
      </w:tr>
      <w:tr w:rsidR="004B1E87" w:rsidRPr="001A1836" w14:paraId="10ACB2A2" w14:textId="77777777" w:rsidTr="003B50F4">
        <w:trPr>
          <w:cantSplit/>
        </w:trPr>
        <w:tc>
          <w:tcPr>
            <w:tcW w:w="2599" w:type="dxa"/>
            <w:shd w:val="clear" w:color="auto" w:fill="auto"/>
          </w:tcPr>
          <w:p w14:paraId="315B5C5F" w14:textId="77777777" w:rsidR="004B1E87" w:rsidRPr="001A1836" w:rsidRDefault="004B1E87" w:rsidP="004B1E87">
            <w:pPr>
              <w:rPr>
                <w:rFonts w:cs="Arial"/>
              </w:rPr>
            </w:pPr>
            <w:r w:rsidRPr="001A1836">
              <w:rPr>
                <w:rFonts w:cs="Arial"/>
              </w:rPr>
              <w:t xml:space="preserve">Service operations </w:t>
            </w:r>
          </w:p>
          <w:p w14:paraId="18F36967" w14:textId="7CD846AE" w:rsidR="004B1E87" w:rsidRPr="001A1836" w:rsidRDefault="004B1E87" w:rsidP="004B1E87">
            <w:pPr>
              <w:rPr>
                <w:rFonts w:cs="Arial"/>
              </w:rPr>
            </w:pPr>
            <w:r w:rsidRPr="001A1836">
              <w:rPr>
                <w:rFonts w:cs="Arial"/>
              </w:rPr>
              <w:t xml:space="preserve">(Director of </w:t>
            </w:r>
            <w:r w:rsidR="00416F3E">
              <w:rPr>
                <w:rFonts w:cs="Arial"/>
              </w:rPr>
              <w:t>Gas Safe Services)</w:t>
            </w:r>
          </w:p>
        </w:tc>
        <w:tc>
          <w:tcPr>
            <w:tcW w:w="2793" w:type="dxa"/>
            <w:shd w:val="clear" w:color="auto" w:fill="auto"/>
          </w:tcPr>
          <w:p w14:paraId="4D1F536F" w14:textId="7B0903F1" w:rsidR="004B1E87" w:rsidRPr="001A1836" w:rsidRDefault="004B1E87" w:rsidP="004B1E87">
            <w:pPr>
              <w:rPr>
                <w:rFonts w:cs="Arial"/>
              </w:rPr>
            </w:pPr>
            <w:r w:rsidRPr="001A1836">
              <w:rPr>
                <w:rFonts w:cs="Arial"/>
              </w:rPr>
              <w:t>Management of service delivery, inc marketing, contact centre, complaints</w:t>
            </w:r>
          </w:p>
          <w:p w14:paraId="45D099F2" w14:textId="77777777" w:rsidR="004B1E87" w:rsidRPr="001A1836" w:rsidRDefault="004B1E87" w:rsidP="004B1E87">
            <w:pPr>
              <w:rPr>
                <w:rFonts w:cs="Arial"/>
              </w:rPr>
            </w:pPr>
            <w:r w:rsidRPr="001A1836">
              <w:rPr>
                <w:rFonts w:cs="Arial"/>
              </w:rPr>
              <w:t>Set up and transition, and ongoing operation</w:t>
            </w:r>
          </w:p>
        </w:tc>
        <w:tc>
          <w:tcPr>
            <w:tcW w:w="1730" w:type="dxa"/>
          </w:tcPr>
          <w:p w14:paraId="6EAEC3D6" w14:textId="77777777" w:rsidR="004B1E87" w:rsidRPr="001A1836" w:rsidRDefault="004B1E87" w:rsidP="004B1E87">
            <w:pPr>
              <w:rPr>
                <w:rFonts w:cs="Arial"/>
              </w:rPr>
            </w:pPr>
            <w:r w:rsidRPr="001A1836">
              <w:rPr>
                <w:rFonts w:cs="Arial"/>
              </w:rPr>
              <w:t>Transition and subsequent Term</w:t>
            </w:r>
          </w:p>
        </w:tc>
        <w:tc>
          <w:tcPr>
            <w:tcW w:w="1888" w:type="dxa"/>
            <w:shd w:val="clear" w:color="auto" w:fill="auto"/>
          </w:tcPr>
          <w:p w14:paraId="419BCA4D" w14:textId="67615AFE" w:rsidR="004B1E87" w:rsidRPr="001A1836" w:rsidRDefault="00416F3E" w:rsidP="00327997">
            <w:pPr>
              <w:rPr>
                <w:rFonts w:cs="Arial"/>
              </w:rPr>
            </w:pPr>
            <w:r>
              <w:rPr>
                <w:rFonts w:cs="Arial"/>
              </w:rPr>
              <w:t>TBD</w:t>
            </w:r>
          </w:p>
        </w:tc>
      </w:tr>
      <w:tr w:rsidR="004B1E87" w:rsidRPr="001A1836" w14:paraId="1DBB3205" w14:textId="77777777" w:rsidTr="003B50F4">
        <w:trPr>
          <w:cantSplit/>
        </w:trPr>
        <w:tc>
          <w:tcPr>
            <w:tcW w:w="2599" w:type="dxa"/>
            <w:shd w:val="clear" w:color="auto" w:fill="auto"/>
          </w:tcPr>
          <w:p w14:paraId="4C4DAF57" w14:textId="31F681BD" w:rsidR="004B1E87" w:rsidRPr="001A1836" w:rsidRDefault="00416F3E" w:rsidP="004B1E87">
            <w:pPr>
              <w:rPr>
                <w:rFonts w:cs="Arial"/>
              </w:rPr>
            </w:pPr>
            <w:r>
              <w:rPr>
                <w:rFonts w:cs="Arial"/>
              </w:rPr>
              <w:t>Business &amp; Improvement Director</w:t>
            </w:r>
            <w:r w:rsidR="004B1E87" w:rsidRPr="001A1836">
              <w:rPr>
                <w:rFonts w:cs="Arial"/>
              </w:rPr>
              <w:t xml:space="preserve"> </w:t>
            </w:r>
          </w:p>
        </w:tc>
        <w:tc>
          <w:tcPr>
            <w:tcW w:w="2793" w:type="dxa"/>
            <w:shd w:val="clear" w:color="auto" w:fill="auto"/>
          </w:tcPr>
          <w:p w14:paraId="7737C171" w14:textId="77777777" w:rsidR="0012143F" w:rsidRDefault="0012143F" w:rsidP="004B1E87">
            <w:pPr>
              <w:rPr>
                <w:rFonts w:cs="Arial"/>
              </w:rPr>
            </w:pPr>
            <w:r w:rsidRPr="001A1836">
              <w:rPr>
                <w:rFonts w:cs="Arial"/>
              </w:rPr>
              <w:t>Business improvement, IT and data management</w:t>
            </w:r>
            <w:r>
              <w:rPr>
                <w:rFonts w:cs="Arial"/>
              </w:rPr>
              <w:t>, risk and compliance, marketing and supply chain management</w:t>
            </w:r>
            <w:r w:rsidRPr="001A1836">
              <w:rPr>
                <w:rFonts w:cs="Arial"/>
              </w:rPr>
              <w:t xml:space="preserve"> </w:t>
            </w:r>
          </w:p>
          <w:p w14:paraId="223764C2" w14:textId="0AD9D158" w:rsidR="004B1E87" w:rsidRPr="001A1836" w:rsidRDefault="004B1E87" w:rsidP="004B1E87">
            <w:pPr>
              <w:rPr>
                <w:rFonts w:cs="Arial"/>
              </w:rPr>
            </w:pPr>
            <w:r w:rsidRPr="001A1836">
              <w:rPr>
                <w:rFonts w:cs="Arial"/>
              </w:rPr>
              <w:t xml:space="preserve"> </w:t>
            </w:r>
          </w:p>
        </w:tc>
        <w:tc>
          <w:tcPr>
            <w:tcW w:w="1730" w:type="dxa"/>
          </w:tcPr>
          <w:p w14:paraId="42211F0C" w14:textId="77777777" w:rsidR="004B1E87" w:rsidRPr="001A1836" w:rsidRDefault="004B1E87" w:rsidP="004B1E87">
            <w:pPr>
              <w:rPr>
                <w:rFonts w:cs="Arial"/>
              </w:rPr>
            </w:pPr>
            <w:r w:rsidRPr="001A1836">
              <w:rPr>
                <w:rFonts w:cs="Arial"/>
              </w:rPr>
              <w:t>Transition and subsequent Term</w:t>
            </w:r>
          </w:p>
        </w:tc>
        <w:tc>
          <w:tcPr>
            <w:tcW w:w="1888" w:type="dxa"/>
            <w:shd w:val="clear" w:color="auto" w:fill="auto"/>
          </w:tcPr>
          <w:p w14:paraId="0BB0EE86" w14:textId="56FFAB89" w:rsidR="004B1E87" w:rsidRPr="001A1836" w:rsidRDefault="0012143F" w:rsidP="00327997">
            <w:pPr>
              <w:rPr>
                <w:rFonts w:cs="Arial"/>
              </w:rPr>
            </w:pPr>
            <w:r>
              <w:rPr>
                <w:rFonts w:cs="Arial"/>
              </w:rPr>
              <w:t>TBD</w:t>
            </w:r>
            <w:r w:rsidR="00327997">
              <w:t xml:space="preserve"> </w:t>
            </w:r>
          </w:p>
        </w:tc>
      </w:tr>
      <w:tr w:rsidR="004B1E87" w:rsidRPr="001A1836" w14:paraId="26601048" w14:textId="77777777" w:rsidTr="003B50F4">
        <w:trPr>
          <w:cantSplit/>
        </w:trPr>
        <w:tc>
          <w:tcPr>
            <w:tcW w:w="2599" w:type="dxa"/>
            <w:shd w:val="clear" w:color="auto" w:fill="auto"/>
          </w:tcPr>
          <w:p w14:paraId="317AAB28" w14:textId="77777777" w:rsidR="004B1E87" w:rsidRPr="001A1836" w:rsidRDefault="004B1E87" w:rsidP="004B1E87">
            <w:pPr>
              <w:rPr>
                <w:rFonts w:cs="Arial"/>
              </w:rPr>
            </w:pPr>
            <w:r w:rsidRPr="001A1836">
              <w:rPr>
                <w:rFonts w:cs="Arial"/>
              </w:rPr>
              <w:t xml:space="preserve">Finance </w:t>
            </w:r>
          </w:p>
          <w:p w14:paraId="4A04DFFE" w14:textId="77777777" w:rsidR="004B1E87" w:rsidRPr="001A1836" w:rsidRDefault="004B1E87" w:rsidP="004B1E87">
            <w:pPr>
              <w:rPr>
                <w:rFonts w:cs="Arial"/>
              </w:rPr>
            </w:pPr>
            <w:r w:rsidRPr="001A1836">
              <w:rPr>
                <w:rFonts w:cs="Arial"/>
              </w:rPr>
              <w:t>(Director of Finance)</w:t>
            </w:r>
          </w:p>
        </w:tc>
        <w:tc>
          <w:tcPr>
            <w:tcW w:w="2793" w:type="dxa"/>
            <w:shd w:val="clear" w:color="auto" w:fill="auto"/>
          </w:tcPr>
          <w:p w14:paraId="3811F189" w14:textId="77777777" w:rsidR="004B1E87" w:rsidRPr="001A1836" w:rsidRDefault="004B1E87" w:rsidP="004B1E87">
            <w:pPr>
              <w:rPr>
                <w:rFonts w:cs="Arial"/>
              </w:rPr>
            </w:pPr>
            <w:r w:rsidRPr="001A1836">
              <w:rPr>
                <w:rFonts w:cs="Arial"/>
              </w:rPr>
              <w:t>Management of financial transition</w:t>
            </w:r>
          </w:p>
          <w:p w14:paraId="236BDB94" w14:textId="77777777" w:rsidR="004B1E87" w:rsidRPr="001A1836" w:rsidRDefault="004B1E87" w:rsidP="004B1E87">
            <w:pPr>
              <w:rPr>
                <w:rFonts w:cs="Arial"/>
              </w:rPr>
            </w:pPr>
            <w:r w:rsidRPr="001A1836">
              <w:rPr>
                <w:rFonts w:cs="Arial"/>
              </w:rPr>
              <w:t>Financial oversight during operation</w:t>
            </w:r>
          </w:p>
          <w:p w14:paraId="7BD38930" w14:textId="77777777" w:rsidR="004B1E87" w:rsidRPr="001A1836" w:rsidRDefault="004B1E87" w:rsidP="004B1E87">
            <w:pPr>
              <w:rPr>
                <w:rFonts w:cs="Arial"/>
              </w:rPr>
            </w:pPr>
            <w:r w:rsidRPr="001A1836">
              <w:rPr>
                <w:rFonts w:cs="Arial"/>
              </w:rPr>
              <w:t>Responsible for Management Information, Resource Management and Compliance</w:t>
            </w:r>
          </w:p>
        </w:tc>
        <w:tc>
          <w:tcPr>
            <w:tcW w:w="1730" w:type="dxa"/>
          </w:tcPr>
          <w:p w14:paraId="7D430120" w14:textId="77777777" w:rsidR="004B1E87" w:rsidRPr="001A1836" w:rsidRDefault="004B1E87" w:rsidP="004B1E87">
            <w:pPr>
              <w:rPr>
                <w:rFonts w:cs="Arial"/>
              </w:rPr>
            </w:pPr>
            <w:r w:rsidRPr="001A1836">
              <w:rPr>
                <w:rFonts w:cs="Arial"/>
              </w:rPr>
              <w:t>Transition and subsequent Term</w:t>
            </w:r>
          </w:p>
        </w:tc>
        <w:tc>
          <w:tcPr>
            <w:tcW w:w="1888" w:type="dxa"/>
            <w:shd w:val="clear" w:color="auto" w:fill="auto"/>
          </w:tcPr>
          <w:p w14:paraId="0E8F3139" w14:textId="542C3BFB" w:rsidR="004B1E87" w:rsidRPr="001A1836" w:rsidRDefault="00247876" w:rsidP="004B1E87">
            <w:pPr>
              <w:rPr>
                <w:rFonts w:cs="Arial"/>
              </w:rPr>
            </w:pPr>
            <w:r>
              <w:rPr>
                <w:rFonts w:cs="Arial"/>
                <w:color w:val="000000"/>
                <w:sz w:val="20"/>
              </w:rPr>
              <w:t xml:space="preserve"> </w:t>
            </w:r>
            <w:r>
              <w:rPr>
                <w:rFonts w:cs="Arial"/>
                <w:color w:val="000000"/>
                <w:sz w:val="20"/>
              </w:rPr>
              <w:t>REDACTED</w:t>
            </w:r>
          </w:p>
        </w:tc>
      </w:tr>
      <w:tr w:rsidR="004B1E87" w:rsidRPr="001A1836" w14:paraId="3098993B" w14:textId="77777777" w:rsidTr="003B50F4">
        <w:trPr>
          <w:cantSplit/>
        </w:trPr>
        <w:tc>
          <w:tcPr>
            <w:tcW w:w="2599" w:type="dxa"/>
            <w:shd w:val="clear" w:color="auto" w:fill="auto"/>
          </w:tcPr>
          <w:p w14:paraId="4E5D52F4" w14:textId="77777777" w:rsidR="004B1E87" w:rsidRPr="001A1836" w:rsidRDefault="004B1E87" w:rsidP="004B1E87">
            <w:pPr>
              <w:rPr>
                <w:rFonts w:cs="Arial"/>
              </w:rPr>
            </w:pPr>
            <w:r w:rsidRPr="001A1836">
              <w:rPr>
                <w:rFonts w:cs="Arial"/>
              </w:rPr>
              <w:t>Transition management</w:t>
            </w:r>
          </w:p>
        </w:tc>
        <w:tc>
          <w:tcPr>
            <w:tcW w:w="2793" w:type="dxa"/>
            <w:shd w:val="clear" w:color="auto" w:fill="auto"/>
          </w:tcPr>
          <w:p w14:paraId="6D442857" w14:textId="77777777" w:rsidR="004B1E87" w:rsidRPr="001A1836" w:rsidRDefault="004B1E87" w:rsidP="004B1E87">
            <w:pPr>
              <w:rPr>
                <w:rFonts w:cs="Arial"/>
              </w:rPr>
            </w:pPr>
            <w:r w:rsidRPr="001A1836">
              <w:rPr>
                <w:rFonts w:cs="Arial"/>
              </w:rPr>
              <w:t>Responsibility for managing service transition</w:t>
            </w:r>
          </w:p>
        </w:tc>
        <w:tc>
          <w:tcPr>
            <w:tcW w:w="1730" w:type="dxa"/>
          </w:tcPr>
          <w:p w14:paraId="6ACC794E" w14:textId="77777777" w:rsidR="004B1E87" w:rsidRPr="001A1836" w:rsidRDefault="004B1E87" w:rsidP="004B1E87">
            <w:pPr>
              <w:rPr>
                <w:rFonts w:cs="Arial"/>
              </w:rPr>
            </w:pPr>
            <w:r w:rsidRPr="001A1836">
              <w:rPr>
                <w:rFonts w:cs="Arial"/>
              </w:rPr>
              <w:t>Transition only</w:t>
            </w:r>
          </w:p>
        </w:tc>
        <w:tc>
          <w:tcPr>
            <w:tcW w:w="1888" w:type="dxa"/>
            <w:shd w:val="clear" w:color="auto" w:fill="auto"/>
          </w:tcPr>
          <w:p w14:paraId="41568E29" w14:textId="4005E5B9" w:rsidR="004B1E87" w:rsidRPr="001A1836" w:rsidRDefault="00247876" w:rsidP="004B1E87">
            <w:pPr>
              <w:rPr>
                <w:rFonts w:cs="Arial"/>
              </w:rPr>
            </w:pPr>
            <w:r>
              <w:rPr>
                <w:rFonts w:cs="Arial"/>
                <w:color w:val="000000"/>
                <w:sz w:val="20"/>
              </w:rPr>
              <w:t xml:space="preserve"> </w:t>
            </w:r>
            <w:r>
              <w:rPr>
                <w:rFonts w:cs="Arial"/>
                <w:color w:val="000000"/>
                <w:sz w:val="20"/>
              </w:rPr>
              <w:t>REDACTED</w:t>
            </w:r>
          </w:p>
        </w:tc>
      </w:tr>
      <w:tr w:rsidR="004B1E87" w:rsidRPr="001A1836" w14:paraId="33976570" w14:textId="77777777" w:rsidTr="003B50F4">
        <w:trPr>
          <w:cantSplit/>
        </w:trPr>
        <w:tc>
          <w:tcPr>
            <w:tcW w:w="2599" w:type="dxa"/>
            <w:shd w:val="clear" w:color="auto" w:fill="auto"/>
          </w:tcPr>
          <w:p w14:paraId="693B3A35" w14:textId="77777777" w:rsidR="004B1E87" w:rsidRPr="001A1836" w:rsidRDefault="004B1E87" w:rsidP="004B1E87">
            <w:pPr>
              <w:rPr>
                <w:rFonts w:cs="Arial"/>
              </w:rPr>
            </w:pPr>
            <w:r w:rsidRPr="001A1836">
              <w:rPr>
                <w:rFonts w:cs="Arial"/>
              </w:rPr>
              <w:t xml:space="preserve">IT – Technical Architect </w:t>
            </w:r>
          </w:p>
        </w:tc>
        <w:tc>
          <w:tcPr>
            <w:tcW w:w="2793" w:type="dxa"/>
            <w:shd w:val="clear" w:color="auto" w:fill="auto"/>
          </w:tcPr>
          <w:p w14:paraId="2034F1ED" w14:textId="77777777" w:rsidR="004B1E87" w:rsidRPr="001A1836" w:rsidRDefault="004B1E87" w:rsidP="004B1E87">
            <w:pPr>
              <w:rPr>
                <w:rFonts w:cs="Arial"/>
              </w:rPr>
            </w:pPr>
            <w:r w:rsidRPr="001A1836">
              <w:rPr>
                <w:rFonts w:cs="Arial"/>
              </w:rPr>
              <w:t>System design</w:t>
            </w:r>
          </w:p>
        </w:tc>
        <w:tc>
          <w:tcPr>
            <w:tcW w:w="1730" w:type="dxa"/>
          </w:tcPr>
          <w:p w14:paraId="2A31CF71" w14:textId="77777777" w:rsidR="004B1E87" w:rsidRPr="001A1836" w:rsidRDefault="004B1E87" w:rsidP="004B1E87">
            <w:pPr>
              <w:rPr>
                <w:rFonts w:cs="Arial"/>
              </w:rPr>
            </w:pPr>
            <w:r w:rsidRPr="001A1836">
              <w:rPr>
                <w:rFonts w:cs="Arial"/>
              </w:rPr>
              <w:t>Transition only</w:t>
            </w:r>
          </w:p>
        </w:tc>
        <w:tc>
          <w:tcPr>
            <w:tcW w:w="1888" w:type="dxa"/>
            <w:shd w:val="clear" w:color="auto" w:fill="auto"/>
          </w:tcPr>
          <w:p w14:paraId="53EFDA52" w14:textId="3D4AC65F" w:rsidR="004B1E87" w:rsidRPr="001A1836" w:rsidRDefault="00247876" w:rsidP="004B1E87">
            <w:pPr>
              <w:rPr>
                <w:rFonts w:cs="Arial"/>
              </w:rPr>
            </w:pPr>
            <w:r>
              <w:rPr>
                <w:rFonts w:cs="Arial"/>
                <w:color w:val="000000"/>
                <w:sz w:val="20"/>
              </w:rPr>
              <w:t xml:space="preserve"> </w:t>
            </w:r>
            <w:r>
              <w:rPr>
                <w:rFonts w:cs="Arial"/>
                <w:color w:val="000000"/>
                <w:sz w:val="20"/>
              </w:rPr>
              <w:t>REDACTED</w:t>
            </w:r>
          </w:p>
        </w:tc>
      </w:tr>
      <w:tr w:rsidR="004B1E87" w:rsidRPr="001A1836" w14:paraId="5432FF73" w14:textId="77777777" w:rsidTr="003B50F4">
        <w:trPr>
          <w:cantSplit/>
        </w:trPr>
        <w:tc>
          <w:tcPr>
            <w:tcW w:w="2599" w:type="dxa"/>
            <w:shd w:val="clear" w:color="auto" w:fill="auto"/>
          </w:tcPr>
          <w:p w14:paraId="521B57DF" w14:textId="77777777" w:rsidR="004B1E87" w:rsidRPr="001A1836" w:rsidRDefault="004B1E87" w:rsidP="004B1E87">
            <w:pPr>
              <w:rPr>
                <w:rFonts w:cs="Arial"/>
              </w:rPr>
            </w:pPr>
            <w:r w:rsidRPr="001A1836">
              <w:rPr>
                <w:rFonts w:cs="Arial"/>
              </w:rPr>
              <w:t>IT – Data Analyst</w:t>
            </w:r>
          </w:p>
        </w:tc>
        <w:tc>
          <w:tcPr>
            <w:tcW w:w="2793" w:type="dxa"/>
            <w:shd w:val="clear" w:color="auto" w:fill="auto"/>
          </w:tcPr>
          <w:p w14:paraId="7E06EC36" w14:textId="77777777" w:rsidR="004B1E87" w:rsidRPr="001A1836" w:rsidRDefault="004B1E87" w:rsidP="004B1E87">
            <w:pPr>
              <w:rPr>
                <w:rFonts w:cs="Arial"/>
              </w:rPr>
            </w:pPr>
            <w:r w:rsidRPr="001A1836">
              <w:rPr>
                <w:rFonts w:cs="Arial"/>
              </w:rPr>
              <w:t>Manage data transfer</w:t>
            </w:r>
          </w:p>
          <w:p w14:paraId="6AA0CA87" w14:textId="77777777" w:rsidR="004B1E87" w:rsidRPr="001A1836" w:rsidRDefault="004B1E87" w:rsidP="004B1E87">
            <w:pPr>
              <w:rPr>
                <w:rFonts w:cs="Arial"/>
              </w:rPr>
            </w:pPr>
            <w:r w:rsidRPr="001A1836">
              <w:rPr>
                <w:rFonts w:cs="Arial"/>
              </w:rPr>
              <w:t>Data management during operation</w:t>
            </w:r>
          </w:p>
        </w:tc>
        <w:tc>
          <w:tcPr>
            <w:tcW w:w="1730" w:type="dxa"/>
          </w:tcPr>
          <w:p w14:paraId="35868113" w14:textId="77777777" w:rsidR="004B1E87" w:rsidRPr="001A1836" w:rsidRDefault="004B1E87" w:rsidP="004B1E87">
            <w:pPr>
              <w:rPr>
                <w:rFonts w:cs="Arial"/>
              </w:rPr>
            </w:pPr>
            <w:r w:rsidRPr="001A1836">
              <w:rPr>
                <w:rFonts w:cs="Arial"/>
              </w:rPr>
              <w:t>Transition and subsequent Term</w:t>
            </w:r>
          </w:p>
        </w:tc>
        <w:tc>
          <w:tcPr>
            <w:tcW w:w="1888" w:type="dxa"/>
            <w:shd w:val="clear" w:color="auto" w:fill="auto"/>
          </w:tcPr>
          <w:p w14:paraId="04127C30" w14:textId="78A8EE05" w:rsidR="004B1E87" w:rsidRPr="001A1836" w:rsidRDefault="00247876" w:rsidP="004B1E87">
            <w:pPr>
              <w:rPr>
                <w:rFonts w:cs="Arial"/>
              </w:rPr>
            </w:pPr>
            <w:r>
              <w:rPr>
                <w:rFonts w:cs="Arial"/>
                <w:color w:val="000000"/>
                <w:sz w:val="20"/>
              </w:rPr>
              <w:t xml:space="preserve"> </w:t>
            </w:r>
            <w:r>
              <w:rPr>
                <w:rFonts w:cs="Arial"/>
                <w:color w:val="000000"/>
                <w:sz w:val="20"/>
              </w:rPr>
              <w:t>REDACTED</w:t>
            </w:r>
          </w:p>
        </w:tc>
      </w:tr>
      <w:tr w:rsidR="004B1E87" w:rsidRPr="001A1836" w14:paraId="51EFD217" w14:textId="77777777" w:rsidTr="003B50F4">
        <w:trPr>
          <w:cantSplit/>
        </w:trPr>
        <w:tc>
          <w:tcPr>
            <w:tcW w:w="2599" w:type="dxa"/>
            <w:shd w:val="clear" w:color="auto" w:fill="auto"/>
          </w:tcPr>
          <w:p w14:paraId="437EB997" w14:textId="77777777" w:rsidR="004B1E87" w:rsidRPr="001A1836" w:rsidRDefault="004B1E87" w:rsidP="004B1E87">
            <w:pPr>
              <w:rPr>
                <w:rFonts w:cs="Arial"/>
              </w:rPr>
            </w:pPr>
            <w:r w:rsidRPr="001A1836">
              <w:rPr>
                <w:rFonts w:cs="Arial"/>
              </w:rPr>
              <w:t>IT – Technical Project Manager</w:t>
            </w:r>
          </w:p>
          <w:p w14:paraId="6FA2B563" w14:textId="7E3994A8" w:rsidR="004B1E87" w:rsidRPr="001A1836" w:rsidRDefault="004B1E87" w:rsidP="004B1E87">
            <w:pPr>
              <w:rPr>
                <w:rFonts w:cs="Arial"/>
              </w:rPr>
            </w:pPr>
            <w:r w:rsidRPr="001A1836">
              <w:rPr>
                <w:rFonts w:cs="Arial"/>
              </w:rPr>
              <w:t xml:space="preserve">(IT </w:t>
            </w:r>
            <w:r w:rsidR="003B50F4">
              <w:rPr>
                <w:rFonts w:cs="Arial"/>
              </w:rPr>
              <w:t xml:space="preserve">Service Delivery </w:t>
            </w:r>
            <w:r w:rsidRPr="001A1836">
              <w:rPr>
                <w:rFonts w:cs="Arial"/>
              </w:rPr>
              <w:t>Manager)</w:t>
            </w:r>
          </w:p>
        </w:tc>
        <w:tc>
          <w:tcPr>
            <w:tcW w:w="2793" w:type="dxa"/>
            <w:shd w:val="clear" w:color="auto" w:fill="auto"/>
          </w:tcPr>
          <w:p w14:paraId="50158782" w14:textId="77777777" w:rsidR="004B1E87" w:rsidRPr="001A1836" w:rsidRDefault="004B1E87" w:rsidP="004B1E87">
            <w:pPr>
              <w:rPr>
                <w:rFonts w:cs="Arial"/>
              </w:rPr>
            </w:pPr>
            <w:r w:rsidRPr="001A1836">
              <w:rPr>
                <w:rFonts w:cs="Arial"/>
              </w:rPr>
              <w:t>Project manage IT including system design and data transfer</w:t>
            </w:r>
          </w:p>
          <w:p w14:paraId="64FC5978" w14:textId="77777777" w:rsidR="004B1E87" w:rsidRPr="001A1836" w:rsidRDefault="004B1E87" w:rsidP="004B1E87">
            <w:pPr>
              <w:rPr>
                <w:rFonts w:cs="Arial"/>
              </w:rPr>
            </w:pPr>
            <w:r w:rsidRPr="001A1836">
              <w:rPr>
                <w:rFonts w:cs="Arial"/>
              </w:rPr>
              <w:t>System management during operation</w:t>
            </w:r>
          </w:p>
        </w:tc>
        <w:tc>
          <w:tcPr>
            <w:tcW w:w="1730" w:type="dxa"/>
          </w:tcPr>
          <w:p w14:paraId="4001493B" w14:textId="77777777" w:rsidR="004B1E87" w:rsidRPr="001A1836" w:rsidRDefault="004B1E87" w:rsidP="004B1E87">
            <w:pPr>
              <w:rPr>
                <w:rFonts w:cs="Arial"/>
              </w:rPr>
            </w:pPr>
            <w:r w:rsidRPr="001A1836">
              <w:rPr>
                <w:rFonts w:cs="Arial"/>
              </w:rPr>
              <w:t>Transition and subsequent Term</w:t>
            </w:r>
          </w:p>
        </w:tc>
        <w:tc>
          <w:tcPr>
            <w:tcW w:w="1888" w:type="dxa"/>
            <w:shd w:val="clear" w:color="auto" w:fill="auto"/>
          </w:tcPr>
          <w:p w14:paraId="0C6320D9" w14:textId="6FC8FD1F" w:rsidR="004B1E87" w:rsidRPr="001A1836" w:rsidRDefault="003B50F4" w:rsidP="004B1E87">
            <w:pPr>
              <w:rPr>
                <w:rFonts w:cs="Arial"/>
              </w:rPr>
            </w:pPr>
            <w:r>
              <w:rPr>
                <w:rFonts w:cs="Arial"/>
              </w:rPr>
              <w:t>TBD</w:t>
            </w:r>
          </w:p>
        </w:tc>
      </w:tr>
      <w:tr w:rsidR="004B1E87" w:rsidRPr="001A1836" w14:paraId="1F5BFAF4" w14:textId="77777777" w:rsidTr="003B50F4">
        <w:trPr>
          <w:cantSplit/>
        </w:trPr>
        <w:tc>
          <w:tcPr>
            <w:tcW w:w="2599" w:type="dxa"/>
            <w:shd w:val="clear" w:color="auto" w:fill="auto"/>
          </w:tcPr>
          <w:p w14:paraId="785B8B1A" w14:textId="77777777" w:rsidR="004B1E87" w:rsidRPr="001A1836" w:rsidRDefault="004B1E87" w:rsidP="004B1E87">
            <w:pPr>
              <w:rPr>
                <w:rFonts w:cs="Arial"/>
              </w:rPr>
            </w:pPr>
            <w:r w:rsidRPr="001A1836">
              <w:rPr>
                <w:rFonts w:cs="Arial"/>
              </w:rPr>
              <w:lastRenderedPageBreak/>
              <w:t xml:space="preserve">Field operations </w:t>
            </w:r>
          </w:p>
          <w:p w14:paraId="6AF460F9" w14:textId="0CA3743E" w:rsidR="004B1E87" w:rsidRPr="001A1836" w:rsidRDefault="004B1E87" w:rsidP="004B1E87">
            <w:pPr>
              <w:rPr>
                <w:rFonts w:cs="Arial"/>
              </w:rPr>
            </w:pPr>
            <w:r w:rsidRPr="001A1836">
              <w:rPr>
                <w:rFonts w:cs="Arial"/>
              </w:rPr>
              <w:t>(</w:t>
            </w:r>
            <w:r w:rsidR="003B50F4">
              <w:rPr>
                <w:rFonts w:cs="Arial"/>
              </w:rPr>
              <w:t>Head of Field Operations</w:t>
            </w:r>
            <w:r w:rsidRPr="001A1836">
              <w:rPr>
                <w:rFonts w:cs="Arial"/>
              </w:rPr>
              <w:t>)</w:t>
            </w:r>
          </w:p>
        </w:tc>
        <w:tc>
          <w:tcPr>
            <w:tcW w:w="2793" w:type="dxa"/>
            <w:shd w:val="clear" w:color="auto" w:fill="auto"/>
          </w:tcPr>
          <w:p w14:paraId="3C392C77" w14:textId="38DCFD7F" w:rsidR="004B1E87" w:rsidRPr="001A1836" w:rsidRDefault="004B1E87" w:rsidP="004B1E87">
            <w:pPr>
              <w:rPr>
                <w:rFonts w:cs="Arial"/>
              </w:rPr>
            </w:pPr>
            <w:r w:rsidRPr="001A1836">
              <w:rPr>
                <w:rFonts w:cs="Arial"/>
              </w:rPr>
              <w:t>Management of field inspectorate and delivery of</w:t>
            </w:r>
            <w:r w:rsidR="003B47F4">
              <w:rPr>
                <w:rFonts w:cs="Arial"/>
              </w:rPr>
              <w:t xml:space="preserve"> </w:t>
            </w:r>
            <w:r w:rsidR="008C4BC2">
              <w:rPr>
                <w:rFonts w:cs="Arial"/>
              </w:rPr>
              <w:t>Inspection</w:t>
            </w:r>
            <w:r w:rsidRPr="001A1836">
              <w:rPr>
                <w:rFonts w:cs="Arial"/>
              </w:rPr>
              <w:t xml:space="preserve"> targets</w:t>
            </w:r>
          </w:p>
          <w:p w14:paraId="786B9C61" w14:textId="77777777" w:rsidR="004B1E87" w:rsidRPr="001A1836" w:rsidRDefault="004B1E87" w:rsidP="004B1E87">
            <w:pPr>
              <w:rPr>
                <w:rFonts w:cs="Arial"/>
              </w:rPr>
            </w:pPr>
            <w:r w:rsidRPr="001A1836">
              <w:rPr>
                <w:rFonts w:cs="Arial"/>
              </w:rPr>
              <w:t>Responsible for the technical helpline and scheduling team</w:t>
            </w:r>
          </w:p>
        </w:tc>
        <w:tc>
          <w:tcPr>
            <w:tcW w:w="1730" w:type="dxa"/>
          </w:tcPr>
          <w:p w14:paraId="535B3C8F" w14:textId="77777777" w:rsidR="004B1E87" w:rsidRPr="001A1836" w:rsidRDefault="004B1E87" w:rsidP="004B1E87">
            <w:pPr>
              <w:rPr>
                <w:rFonts w:cs="Arial"/>
              </w:rPr>
            </w:pPr>
            <w:r w:rsidRPr="001A1836">
              <w:rPr>
                <w:rFonts w:cs="Arial"/>
              </w:rPr>
              <w:t>Term</w:t>
            </w:r>
          </w:p>
        </w:tc>
        <w:tc>
          <w:tcPr>
            <w:tcW w:w="1888" w:type="dxa"/>
            <w:shd w:val="clear" w:color="auto" w:fill="auto"/>
          </w:tcPr>
          <w:p w14:paraId="6E2F1596" w14:textId="75AF2A3D" w:rsidR="004B1E87" w:rsidRPr="001A1836" w:rsidRDefault="003B50F4" w:rsidP="004B1E87">
            <w:pPr>
              <w:rPr>
                <w:rFonts w:cs="Arial"/>
              </w:rPr>
            </w:pPr>
            <w:r>
              <w:rPr>
                <w:rFonts w:cs="Arial"/>
              </w:rPr>
              <w:t>TBD</w:t>
            </w:r>
          </w:p>
        </w:tc>
      </w:tr>
      <w:tr w:rsidR="00CF1697" w:rsidRPr="001A1836" w14:paraId="55F11EED" w14:textId="77777777" w:rsidTr="003B50F4">
        <w:trPr>
          <w:cantSplit/>
        </w:trPr>
        <w:tc>
          <w:tcPr>
            <w:tcW w:w="2599" w:type="dxa"/>
            <w:shd w:val="clear" w:color="auto" w:fill="auto"/>
          </w:tcPr>
          <w:p w14:paraId="11638087" w14:textId="7DEE261E" w:rsidR="00CF1697" w:rsidRPr="001A1836" w:rsidRDefault="00AD5E07" w:rsidP="004B1E87">
            <w:pPr>
              <w:rPr>
                <w:rFonts w:cs="Arial"/>
              </w:rPr>
            </w:pPr>
            <w:r>
              <w:rPr>
                <w:rFonts w:cs="Arial"/>
              </w:rPr>
              <w:t>SME Champion</w:t>
            </w:r>
            <w:r w:rsidR="005E4997">
              <w:rPr>
                <w:rFonts w:cs="Arial"/>
              </w:rPr>
              <w:t xml:space="preserve"> </w:t>
            </w:r>
            <w:r w:rsidR="00247876">
              <w:rPr>
                <w:rFonts w:cs="Arial"/>
                <w:color w:val="000000"/>
                <w:sz w:val="20"/>
              </w:rPr>
              <w:t>REDACTED</w:t>
            </w:r>
          </w:p>
        </w:tc>
        <w:tc>
          <w:tcPr>
            <w:tcW w:w="2793" w:type="dxa"/>
            <w:shd w:val="clear" w:color="auto" w:fill="auto"/>
          </w:tcPr>
          <w:p w14:paraId="3146756A" w14:textId="29407C9D" w:rsidR="00CF1697" w:rsidRPr="001A1836" w:rsidRDefault="00543F75" w:rsidP="004B1E87">
            <w:pPr>
              <w:rPr>
                <w:rFonts w:cs="Arial"/>
              </w:rPr>
            </w:pPr>
            <w:r>
              <w:rPr>
                <w:rFonts w:cs="Arial"/>
              </w:rPr>
              <w:t xml:space="preserve">To facilitate </w:t>
            </w:r>
            <w:r w:rsidR="005112BF">
              <w:rPr>
                <w:rFonts w:cs="Arial"/>
              </w:rPr>
              <w:t xml:space="preserve">and engage </w:t>
            </w:r>
            <w:r w:rsidR="00E12C5E">
              <w:rPr>
                <w:rFonts w:cs="Arial"/>
              </w:rPr>
              <w:t>with SME</w:t>
            </w:r>
            <w:r w:rsidR="000979F2">
              <w:rPr>
                <w:rFonts w:cs="Arial"/>
              </w:rPr>
              <w:t>s</w:t>
            </w:r>
            <w:r w:rsidR="00E12C5E">
              <w:rPr>
                <w:rFonts w:cs="Arial"/>
              </w:rPr>
              <w:t xml:space="preserve"> </w:t>
            </w:r>
            <w:r w:rsidR="000979F2">
              <w:rPr>
                <w:rFonts w:cs="Arial"/>
              </w:rPr>
              <w:t>on the register</w:t>
            </w:r>
          </w:p>
        </w:tc>
        <w:tc>
          <w:tcPr>
            <w:tcW w:w="1730" w:type="dxa"/>
          </w:tcPr>
          <w:p w14:paraId="77132A16" w14:textId="2768DCF0" w:rsidR="00CF1697" w:rsidRPr="001A1836" w:rsidRDefault="000979F2" w:rsidP="004B1E87">
            <w:pPr>
              <w:rPr>
                <w:rFonts w:cs="Arial"/>
              </w:rPr>
            </w:pPr>
            <w:r>
              <w:rPr>
                <w:rFonts w:cs="Arial"/>
              </w:rPr>
              <w:t>Term</w:t>
            </w:r>
          </w:p>
        </w:tc>
        <w:tc>
          <w:tcPr>
            <w:tcW w:w="1888" w:type="dxa"/>
            <w:shd w:val="clear" w:color="auto" w:fill="auto"/>
          </w:tcPr>
          <w:p w14:paraId="3542923E" w14:textId="4ED657BC" w:rsidR="00CF1697" w:rsidRDefault="000979F2" w:rsidP="004B1E87">
            <w:pPr>
              <w:rPr>
                <w:rFonts w:cs="Arial"/>
              </w:rPr>
            </w:pPr>
            <w:r>
              <w:rPr>
                <w:rFonts w:cs="Arial"/>
              </w:rPr>
              <w:t>TBD</w:t>
            </w:r>
          </w:p>
        </w:tc>
      </w:tr>
    </w:tbl>
    <w:p w14:paraId="442CDF05" w14:textId="77777777" w:rsidR="00626054" w:rsidRPr="001A1836" w:rsidRDefault="00626054" w:rsidP="00626054">
      <w:pPr>
        <w:spacing w:after="0"/>
        <w:rPr>
          <w:rFonts w:cs="Arial"/>
        </w:rPr>
      </w:pPr>
    </w:p>
    <w:p w14:paraId="14996E37" w14:textId="254701E1" w:rsidR="00626054" w:rsidRPr="001A1836" w:rsidRDefault="00626054" w:rsidP="00CF1BDA"/>
    <w:bookmarkEnd w:id="2845"/>
    <w:p w14:paraId="2569FB3C" w14:textId="77777777" w:rsidR="00626054" w:rsidRPr="001A1836" w:rsidRDefault="00626054" w:rsidP="00CF1BDA"/>
    <w:p w14:paraId="6DD7F194" w14:textId="77777777" w:rsidR="00626054" w:rsidRPr="001A1836" w:rsidRDefault="00626054" w:rsidP="00CF1BDA"/>
    <w:p w14:paraId="105BB13B" w14:textId="77777777" w:rsidR="00626054" w:rsidRPr="001A1836" w:rsidRDefault="00626054" w:rsidP="00CF1BDA"/>
    <w:p w14:paraId="2F5A94A0" w14:textId="77777777" w:rsidR="00394111" w:rsidRPr="001A1836" w:rsidRDefault="00394111" w:rsidP="00CF1BDA">
      <w:pPr>
        <w:pStyle w:val="GSRL1Scheduleheader"/>
        <w:sectPr w:rsidR="00394111" w:rsidRPr="001A1836" w:rsidSect="00F87B8D">
          <w:footerReference w:type="default" r:id="rId36"/>
          <w:pgSz w:w="11900" w:h="16840"/>
          <w:pgMar w:top="1134" w:right="1440" w:bottom="1440" w:left="1440" w:header="1077" w:footer="833" w:gutter="0"/>
          <w:cols w:space="708"/>
        </w:sectPr>
      </w:pPr>
    </w:p>
    <w:p w14:paraId="28AADEA8" w14:textId="3E7EAA2F" w:rsidR="00626054" w:rsidRPr="001A1836" w:rsidRDefault="00626054" w:rsidP="00CF1BDA">
      <w:pPr>
        <w:pStyle w:val="GSRL1Scheduleheader"/>
      </w:pPr>
      <w:bookmarkStart w:id="2861" w:name="_Toc129038304"/>
      <w:bookmarkStart w:id="2862" w:name="_Toc129038590"/>
      <w:bookmarkStart w:id="2863" w:name="_Toc132268168"/>
      <w:bookmarkStart w:id="2864" w:name="_Toc132268474"/>
      <w:bookmarkStart w:id="2865" w:name="_Toc136198724"/>
      <w:bookmarkStart w:id="2866" w:name="_Toc136199005"/>
      <w:bookmarkStart w:id="2867" w:name="_Toc188885261"/>
      <w:r w:rsidRPr="001A1836">
        <w:lastRenderedPageBreak/>
        <w:t xml:space="preserve">SCHEDULE 15: </w:t>
      </w:r>
      <w:r w:rsidR="008A6963">
        <w:rPr>
          <w:caps w:val="0"/>
        </w:rPr>
        <w:t>Service</w:t>
      </w:r>
      <w:r w:rsidR="008A6963" w:rsidRPr="001A1836">
        <w:rPr>
          <w:caps w:val="0"/>
        </w:rPr>
        <w:t xml:space="preserve"> Continuity </w:t>
      </w:r>
      <w:r w:rsidR="008A6963">
        <w:rPr>
          <w:caps w:val="0"/>
        </w:rPr>
        <w:t xml:space="preserve">Plan </w:t>
      </w:r>
      <w:r w:rsidR="008A7D0F">
        <w:rPr>
          <w:caps w:val="0"/>
        </w:rPr>
        <w:t>a</w:t>
      </w:r>
      <w:r w:rsidR="008A6963" w:rsidRPr="001A1836">
        <w:rPr>
          <w:caps w:val="0"/>
        </w:rPr>
        <w:t xml:space="preserve">nd </w:t>
      </w:r>
      <w:bookmarkEnd w:id="2861"/>
      <w:bookmarkEnd w:id="2862"/>
      <w:r w:rsidR="008A7D0F">
        <w:rPr>
          <w:caps w:val="0"/>
        </w:rPr>
        <w:t>C</w:t>
      </w:r>
      <w:r w:rsidR="008A6963">
        <w:rPr>
          <w:caps w:val="0"/>
        </w:rPr>
        <w:t>orporate Resolution Planning</w:t>
      </w:r>
      <w:bookmarkEnd w:id="2863"/>
      <w:bookmarkEnd w:id="2864"/>
      <w:bookmarkEnd w:id="2865"/>
      <w:bookmarkEnd w:id="2866"/>
      <w:bookmarkEnd w:id="2867"/>
    </w:p>
    <w:p w14:paraId="3E2C8BAD" w14:textId="77777777" w:rsidR="00626054" w:rsidRPr="001A1836" w:rsidRDefault="00626054" w:rsidP="00CF1BDA"/>
    <w:p w14:paraId="4DF751F9" w14:textId="77777777" w:rsidR="00626054" w:rsidRPr="001A1836" w:rsidRDefault="00626054" w:rsidP="00CF1BDA"/>
    <w:p w14:paraId="2DB258BD" w14:textId="39AE734D" w:rsidR="000358F4" w:rsidRPr="001A1836" w:rsidRDefault="000358F4">
      <w:pPr>
        <w:spacing w:before="0" w:after="0"/>
      </w:pPr>
      <w:r w:rsidRPr="001A1836">
        <w:br w:type="page"/>
      </w:r>
    </w:p>
    <w:p w14:paraId="329538E3" w14:textId="77777777" w:rsidR="00626054" w:rsidRPr="001A1836" w:rsidRDefault="00626054" w:rsidP="00626054"/>
    <w:p w14:paraId="2E0D7DB4" w14:textId="3DDC51F1" w:rsidR="0026419D" w:rsidRDefault="0026419D" w:rsidP="0026419D">
      <w:pPr>
        <w:pStyle w:val="GSRL3heading"/>
        <w:numPr>
          <w:ilvl w:val="0"/>
          <w:numId w:val="0"/>
        </w:numPr>
        <w:ind w:left="720" w:hanging="720"/>
      </w:pPr>
      <w:bookmarkStart w:id="2868" w:name="_Toc132268170"/>
      <w:bookmarkStart w:id="2869" w:name="_Toc132268476"/>
      <w:bookmarkStart w:id="2870" w:name="_Toc136198726"/>
      <w:bookmarkStart w:id="2871" w:name="_Toc136199007"/>
      <w:bookmarkStart w:id="2872" w:name="_Toc508717292"/>
      <w:bookmarkStart w:id="2873" w:name="_Toc521327153"/>
      <w:bookmarkStart w:id="2874" w:name="_Toc521333386"/>
      <w:bookmarkStart w:id="2875" w:name="_Toc521484117"/>
      <w:bookmarkStart w:id="2876" w:name="_Toc521484880"/>
      <w:bookmarkStart w:id="2877" w:name="_Toc521485211"/>
      <w:bookmarkStart w:id="2878" w:name="_Toc521496948"/>
      <w:bookmarkStart w:id="2879" w:name="_Toc521498390"/>
      <w:bookmarkStart w:id="2880" w:name="_Toc529346085"/>
      <w:bookmarkStart w:id="2881" w:name="_Toc129038306"/>
      <w:bookmarkStart w:id="2882" w:name="_Toc129038592"/>
      <w:bookmarkStart w:id="2883" w:name="_Ref72255205"/>
      <w:bookmarkStart w:id="2884" w:name="Schedule15"/>
      <w:r>
        <w:t>Part A: Service Continuity Plan</w:t>
      </w:r>
      <w:bookmarkEnd w:id="2868"/>
      <w:bookmarkEnd w:id="2869"/>
      <w:bookmarkEnd w:id="2870"/>
      <w:bookmarkEnd w:id="2871"/>
    </w:p>
    <w:p w14:paraId="2E030F5F" w14:textId="5CDCB7CE" w:rsidR="00626054" w:rsidRPr="001A1836" w:rsidRDefault="006D71CD" w:rsidP="004E2262">
      <w:pPr>
        <w:pStyle w:val="GSRL3heading"/>
        <w:numPr>
          <w:ilvl w:val="0"/>
          <w:numId w:val="73"/>
        </w:numPr>
      </w:pPr>
      <w:bookmarkStart w:id="2885" w:name="_Toc132268171"/>
      <w:bookmarkStart w:id="2886" w:name="_Toc132268477"/>
      <w:bookmarkStart w:id="2887" w:name="_Toc136198727"/>
      <w:bookmarkStart w:id="2888" w:name="_Toc136199008"/>
      <w:r>
        <w:t>Service Continuity</w:t>
      </w:r>
      <w:r w:rsidR="00626054" w:rsidRPr="001A1836">
        <w:t xml:space="preserve"> Plan</w:t>
      </w:r>
      <w:bookmarkEnd w:id="2872"/>
      <w:bookmarkEnd w:id="2873"/>
      <w:bookmarkEnd w:id="2874"/>
      <w:bookmarkEnd w:id="2875"/>
      <w:bookmarkEnd w:id="2876"/>
      <w:bookmarkEnd w:id="2877"/>
      <w:bookmarkEnd w:id="2878"/>
      <w:bookmarkEnd w:id="2879"/>
      <w:bookmarkEnd w:id="2880"/>
      <w:bookmarkEnd w:id="2881"/>
      <w:bookmarkEnd w:id="2882"/>
      <w:bookmarkEnd w:id="2885"/>
      <w:bookmarkEnd w:id="2886"/>
      <w:bookmarkEnd w:id="2887"/>
      <w:bookmarkEnd w:id="2888"/>
    </w:p>
    <w:p w14:paraId="467178A4" w14:textId="06813850" w:rsidR="00626054" w:rsidRPr="001A1836" w:rsidRDefault="00626054">
      <w:pPr>
        <w:pStyle w:val="GSRL4numberedclause"/>
      </w:pPr>
      <w:r w:rsidRPr="001A1836">
        <w:t xml:space="preserve">Within 30 Working Days from the Effective Date the Provider shall prepare and deliver to HSE for HSE’s written approval a plan (the </w:t>
      </w:r>
      <w:r w:rsidR="006D71CD">
        <w:t>Service Continuity</w:t>
      </w:r>
      <w:r w:rsidR="006D71CD" w:rsidRPr="001A1836">
        <w:t xml:space="preserve"> </w:t>
      </w:r>
      <w:r w:rsidRPr="001A1836">
        <w:t>Plan) in draft, which shall detail the processes and arrangements that the Provider shall follow to:</w:t>
      </w:r>
    </w:p>
    <w:p w14:paraId="0A2E1036" w14:textId="0BCAD507" w:rsidR="00626054" w:rsidRPr="001A1836" w:rsidRDefault="00626054">
      <w:pPr>
        <w:pStyle w:val="GSRL5numberedclause"/>
      </w:pPr>
      <w:r w:rsidRPr="001A1836">
        <w:t>ensure continuity of the business processes and operations supported by the Services following any failure or disruption of any element of the Services</w:t>
      </w:r>
      <w:r w:rsidR="006D71CD">
        <w:t xml:space="preserve">, </w:t>
      </w:r>
      <w:r w:rsidR="006D71CD" w:rsidRPr="006D71CD">
        <w:t xml:space="preserve">(including where caused by an Insolvency Event of the </w:t>
      </w:r>
      <w:r w:rsidR="006D71CD">
        <w:t>Provider, any Key Sub-C</w:t>
      </w:r>
      <w:r w:rsidR="006D71CD" w:rsidRPr="006D71CD">
        <w:t xml:space="preserve">ontractor and/or any </w:t>
      </w:r>
      <w:r w:rsidR="006D71CD">
        <w:t>Provider</w:t>
      </w:r>
      <w:r w:rsidR="006D71CD" w:rsidRPr="006D71CD">
        <w:t xml:space="preserve"> </w:t>
      </w:r>
      <w:r w:rsidR="00EC1AC9">
        <w:t>Affiliate</w:t>
      </w:r>
      <w:r w:rsidR="006D71CD" w:rsidRPr="006D71CD">
        <w:t>)</w:t>
      </w:r>
      <w:r w:rsidRPr="001A1836">
        <w:t>; and</w:t>
      </w:r>
    </w:p>
    <w:p w14:paraId="243098EC" w14:textId="77777777" w:rsidR="00626054" w:rsidRPr="001A1836" w:rsidRDefault="00626054">
      <w:pPr>
        <w:pStyle w:val="GSRL5numberedclause"/>
      </w:pPr>
      <w:r w:rsidRPr="001A1836">
        <w:t>the recovery of the Services in the event of a Disaster.</w:t>
      </w:r>
    </w:p>
    <w:p w14:paraId="77675D23" w14:textId="486BECF2" w:rsidR="00626054" w:rsidRPr="001A1836" w:rsidRDefault="00626054">
      <w:pPr>
        <w:pStyle w:val="GSRL4numberedclause"/>
      </w:pPr>
      <w:r w:rsidRPr="001A1836">
        <w:t xml:space="preserve">The </w:t>
      </w:r>
      <w:r w:rsidR="006D71CD">
        <w:t>Service Continuity</w:t>
      </w:r>
      <w:r w:rsidR="006D71CD" w:rsidRPr="001A1836">
        <w:t xml:space="preserve"> </w:t>
      </w:r>
      <w:r w:rsidRPr="001A1836">
        <w:t>Plan shall:</w:t>
      </w:r>
    </w:p>
    <w:p w14:paraId="536D0BE3" w14:textId="3E79FE04" w:rsidR="00626054" w:rsidRPr="001A1836" w:rsidRDefault="00626054">
      <w:pPr>
        <w:pStyle w:val="GSRL5numberedclause"/>
      </w:pPr>
      <w:r w:rsidRPr="001A1836">
        <w:t xml:space="preserve">be divided into </w:t>
      </w:r>
      <w:r w:rsidR="00143A79">
        <w:t>four</w:t>
      </w:r>
      <w:r w:rsidR="00143A79" w:rsidRPr="001A1836">
        <w:t xml:space="preserve"> </w:t>
      </w:r>
      <w:r w:rsidRPr="001A1836">
        <w:t>parts:</w:t>
      </w:r>
    </w:p>
    <w:p w14:paraId="196DED31" w14:textId="7F7D50D3" w:rsidR="00626054" w:rsidRPr="001A1836" w:rsidRDefault="00626054">
      <w:pPr>
        <w:pStyle w:val="GSRL6numberedclause"/>
      </w:pPr>
      <w:bookmarkStart w:id="2889" w:name="_Ref365641163"/>
      <w:bookmarkStart w:id="2890" w:name="_Ref144353370"/>
      <w:r w:rsidRPr="001A1836">
        <w:t xml:space="preserve">Part A which shall set out general principles applicable to the </w:t>
      </w:r>
      <w:r w:rsidR="00143A79">
        <w:t>Service Continuity</w:t>
      </w:r>
      <w:r w:rsidR="00143A79" w:rsidRPr="001A1836">
        <w:t xml:space="preserve"> </w:t>
      </w:r>
      <w:r w:rsidRPr="001A1836">
        <w:t>Plan;</w:t>
      </w:r>
      <w:bookmarkEnd w:id="2889"/>
      <w:r w:rsidRPr="001A1836">
        <w:t xml:space="preserve"> </w:t>
      </w:r>
      <w:bookmarkEnd w:id="2890"/>
    </w:p>
    <w:p w14:paraId="29312F98" w14:textId="77777777" w:rsidR="00626054" w:rsidRPr="001A1836" w:rsidRDefault="00626054">
      <w:pPr>
        <w:pStyle w:val="GSRL6numberedclause"/>
        <w:tabs>
          <w:tab w:val="num" w:pos="360"/>
        </w:tabs>
      </w:pPr>
      <w:bookmarkStart w:id="2891" w:name="_Ref144353343"/>
      <w:r w:rsidRPr="001A1836">
        <w:t xml:space="preserve">Part B which shall relate to business continuity (the </w:t>
      </w:r>
      <w:r w:rsidRPr="001A1836">
        <w:rPr>
          <w:b/>
          <w:bCs/>
        </w:rPr>
        <w:t>“Business Continuity Plan”</w:t>
      </w:r>
      <w:r w:rsidRPr="001A1836">
        <w:t>); and</w:t>
      </w:r>
      <w:bookmarkEnd w:id="2891"/>
    </w:p>
    <w:p w14:paraId="5EFB95EF" w14:textId="46166392" w:rsidR="00626054" w:rsidRDefault="00626054">
      <w:pPr>
        <w:pStyle w:val="GSRL6numberedclause"/>
        <w:tabs>
          <w:tab w:val="num" w:pos="360"/>
        </w:tabs>
      </w:pPr>
      <w:bookmarkStart w:id="2892" w:name="_Ref144353357"/>
      <w:r w:rsidRPr="001A1836">
        <w:t xml:space="preserve">Part C which shall relate to disaster recovery (the </w:t>
      </w:r>
      <w:r w:rsidRPr="001A1836">
        <w:rPr>
          <w:b/>
          <w:bCs/>
        </w:rPr>
        <w:t>“Disaster Recovery Plan”</w:t>
      </w:r>
      <w:r w:rsidRPr="001A1836">
        <w:t>); and</w:t>
      </w:r>
      <w:bookmarkEnd w:id="2892"/>
    </w:p>
    <w:p w14:paraId="63F6AD4E" w14:textId="3D0C349F" w:rsidR="006D71CD" w:rsidRPr="001A1836" w:rsidRDefault="006D71CD">
      <w:pPr>
        <w:pStyle w:val="GSRL6numberedclause"/>
      </w:pPr>
      <w:r w:rsidRPr="006D71CD">
        <w:t xml:space="preserve">Part D which shall relate to an Insolvency Event of the </w:t>
      </w:r>
      <w:r>
        <w:t>Provider, any Key Sub-C</w:t>
      </w:r>
      <w:r w:rsidRPr="006D71CD">
        <w:t xml:space="preserve">ontractors and/or any </w:t>
      </w:r>
      <w:r>
        <w:t>Provider</w:t>
      </w:r>
      <w:r w:rsidRPr="006D71CD">
        <w:t xml:space="preserve"> </w:t>
      </w:r>
      <w:r w:rsidR="00EC1AC9">
        <w:t>Affiliate</w:t>
      </w:r>
      <w:r w:rsidRPr="006D71CD">
        <w:t xml:space="preserve"> (the </w:t>
      </w:r>
      <w:r w:rsidRPr="006D71CD">
        <w:rPr>
          <w:b/>
        </w:rPr>
        <w:t>“Insolvency Continuity Plan”</w:t>
      </w:r>
      <w:r w:rsidRPr="006D71CD">
        <w:t>)</w:t>
      </w:r>
      <w:r>
        <w:t>; and</w:t>
      </w:r>
    </w:p>
    <w:p w14:paraId="74B3E91B" w14:textId="6AF73CF4" w:rsidR="00626054" w:rsidRPr="001A1836" w:rsidRDefault="00626054">
      <w:pPr>
        <w:pStyle w:val="GSRL5numberedclause"/>
      </w:pPr>
      <w:bookmarkStart w:id="2893" w:name="_Ref65989073"/>
      <w:bookmarkEnd w:id="2883"/>
      <w:r w:rsidRPr="001A1836">
        <w:t>unless otherwise required by HSE in writing, be based upon and be consistent with the provisions of paragraphs 2, 3</w:t>
      </w:r>
      <w:r w:rsidR="006D71CD">
        <w:t>,</w:t>
      </w:r>
      <w:r w:rsidRPr="001A1836">
        <w:t xml:space="preserve"> 4</w:t>
      </w:r>
      <w:r w:rsidR="006D71CD">
        <w:t xml:space="preserve"> and 5</w:t>
      </w:r>
      <w:r w:rsidRPr="001A1836">
        <w:t>.</w:t>
      </w:r>
    </w:p>
    <w:p w14:paraId="3502B79B" w14:textId="302C0B6C" w:rsidR="00626054" w:rsidRPr="001A1836" w:rsidRDefault="00626054">
      <w:pPr>
        <w:pStyle w:val="GSRL4numberedclause"/>
      </w:pPr>
      <w:bookmarkStart w:id="2894" w:name="_Ref365641451"/>
      <w:r w:rsidRPr="001A1836">
        <w:t xml:space="preserve">Following receipt of the draft </w:t>
      </w:r>
      <w:r w:rsidR="00143A79">
        <w:t>Service Continuity</w:t>
      </w:r>
      <w:r w:rsidR="00143A79" w:rsidRPr="001A1836">
        <w:t xml:space="preserve"> </w:t>
      </w:r>
      <w:r w:rsidRPr="001A1836">
        <w:t>Plan from the Provider, HSE shall:</w:t>
      </w:r>
      <w:bookmarkEnd w:id="2894"/>
    </w:p>
    <w:p w14:paraId="444A8675" w14:textId="173A6273" w:rsidR="00626054" w:rsidRPr="001A1836" w:rsidRDefault="00626054">
      <w:pPr>
        <w:pStyle w:val="GSRL5numberedclause"/>
      </w:pPr>
      <w:r w:rsidRPr="001A1836">
        <w:t xml:space="preserve">review and comment on the draft </w:t>
      </w:r>
      <w:r w:rsidR="00143A79">
        <w:t>Service Continuity</w:t>
      </w:r>
      <w:r w:rsidRPr="001A1836">
        <w:t xml:space="preserve"> Plan as soon as reasonably practicable; and</w:t>
      </w:r>
    </w:p>
    <w:p w14:paraId="7A15057A" w14:textId="7978788F" w:rsidR="00626054" w:rsidRPr="001A1836" w:rsidRDefault="00626054">
      <w:pPr>
        <w:pStyle w:val="GSRL5numberedclause"/>
      </w:pPr>
      <w:r w:rsidRPr="001A1836">
        <w:t xml:space="preserve">notify the Provider in writing that it approves or rejects the draft </w:t>
      </w:r>
      <w:r w:rsidR="00143A79">
        <w:t>Service Continuity</w:t>
      </w:r>
      <w:r w:rsidRPr="001A1836">
        <w:t xml:space="preserve"> Plan no later than twenty (20) Working Days after the date on which the draft </w:t>
      </w:r>
      <w:r w:rsidR="00143A79">
        <w:t>Service Continuity</w:t>
      </w:r>
      <w:r w:rsidRPr="001A1836">
        <w:t xml:space="preserve"> Plan is first delivered to HSE. </w:t>
      </w:r>
    </w:p>
    <w:p w14:paraId="13800465" w14:textId="2F35FCC6" w:rsidR="00626054" w:rsidRPr="001A1836" w:rsidRDefault="00626054">
      <w:pPr>
        <w:pStyle w:val="GSRL4numberedclause"/>
      </w:pPr>
      <w:bookmarkStart w:id="2895" w:name="_Ref365641455"/>
      <w:r w:rsidRPr="001A1836">
        <w:t xml:space="preserve">If HSE rejects the draft </w:t>
      </w:r>
      <w:r w:rsidR="00143A79">
        <w:t>Service Continuity</w:t>
      </w:r>
      <w:r w:rsidRPr="001A1836">
        <w:t xml:space="preserve"> Plan:</w:t>
      </w:r>
      <w:bookmarkEnd w:id="2895"/>
    </w:p>
    <w:p w14:paraId="31355FE6" w14:textId="77777777" w:rsidR="00626054" w:rsidRPr="001A1836" w:rsidRDefault="00626054">
      <w:pPr>
        <w:pStyle w:val="GSRL5numberedclause"/>
      </w:pPr>
      <w:r w:rsidRPr="001A1836">
        <w:t>HSE shall inform the Provider in writing of its reasons for its rejection; and</w:t>
      </w:r>
    </w:p>
    <w:p w14:paraId="67ACBFC9" w14:textId="36CA9AD2" w:rsidR="00626054" w:rsidRPr="001A1836" w:rsidRDefault="00626054">
      <w:pPr>
        <w:pStyle w:val="GSRL5numberedclause"/>
      </w:pPr>
      <w:r w:rsidRPr="001A1836">
        <w:t xml:space="preserve">the Provider shall then revise the draft </w:t>
      </w:r>
      <w:r w:rsidR="00143A79">
        <w:t>Service Continuity</w:t>
      </w:r>
      <w:r w:rsidRPr="001A1836">
        <w:t xml:space="preserve"> Plan (taking reasonable account of HSE’s comments) and shall re-submit a revised draft </w:t>
      </w:r>
      <w:r w:rsidR="00143A79">
        <w:t>Service Continuity</w:t>
      </w:r>
      <w:r w:rsidRPr="001A1836">
        <w:t xml:space="preserve"> Plan to HSE for HSE's approval within twenty (20) Working Days of the date of HSE’s notice of rejection. The provisions of </w:t>
      </w:r>
      <w:hyperlink r:id="rId37" w:anchor="a372155" w:history="1">
        <w:r w:rsidRPr="001A1836">
          <w:t>paragraph</w:t>
        </w:r>
      </w:hyperlink>
      <w:r w:rsidRPr="001A1836">
        <w:t>s </w:t>
      </w:r>
      <w:r w:rsidRPr="001A1836">
        <w:fldChar w:fldCharType="begin"/>
      </w:r>
      <w:r w:rsidRPr="001A1836">
        <w:instrText xml:space="preserve"> REF _Ref365641451 \r \h  \* MERGEFORMAT </w:instrText>
      </w:r>
      <w:r w:rsidRPr="001A1836">
        <w:fldChar w:fldCharType="separate"/>
      </w:r>
      <w:r w:rsidR="00C87D85">
        <w:t>1.3</w:t>
      </w:r>
      <w:r w:rsidRPr="001A1836">
        <w:fldChar w:fldCharType="end"/>
      </w:r>
      <w:r w:rsidRPr="001A1836">
        <w:t xml:space="preserve"> and </w:t>
      </w:r>
      <w:r w:rsidRPr="001A1836">
        <w:fldChar w:fldCharType="begin"/>
      </w:r>
      <w:r w:rsidRPr="001A1836">
        <w:instrText xml:space="preserve"> REF _Ref365641455 \r \h  \* MERGEFORMAT </w:instrText>
      </w:r>
      <w:r w:rsidRPr="001A1836">
        <w:fldChar w:fldCharType="separate"/>
      </w:r>
      <w:r w:rsidR="00C87D85">
        <w:t>1.4</w:t>
      </w:r>
      <w:r w:rsidRPr="001A1836">
        <w:fldChar w:fldCharType="end"/>
      </w:r>
      <w:r w:rsidRPr="001A1836">
        <w:t xml:space="preserve"> of this Schedule 15 shall apply again to any resubmitted draft </w:t>
      </w:r>
      <w:r w:rsidR="00143A79">
        <w:t>Service Continuity</w:t>
      </w:r>
      <w:r w:rsidRPr="001A1836">
        <w:t xml:space="preserve"> Plan, provided that either Party may refer any disputed matters for resolution by the Dispute Resolution Procedure at any time.</w:t>
      </w:r>
    </w:p>
    <w:p w14:paraId="6136BC91" w14:textId="058FFB50" w:rsidR="00C97C1A" w:rsidRPr="001A1836" w:rsidRDefault="00C97C1A">
      <w:pPr>
        <w:pStyle w:val="GSRL4numberedclause"/>
      </w:pPr>
      <w:r w:rsidRPr="001A1836">
        <w:lastRenderedPageBreak/>
        <w:t xml:space="preserve">Until the </w:t>
      </w:r>
      <w:r w:rsidR="00143A79">
        <w:t>Service Continuity</w:t>
      </w:r>
      <w:r w:rsidRPr="001A1836">
        <w:t xml:space="preserve"> Plan to be delivered by the Provider pursuant to paragraph 1.1 has been approved by HSE, the Provider shall comply with the plan entitled </w:t>
      </w:r>
      <w:r w:rsidR="00143A79">
        <w:t>[</w:t>
      </w:r>
      <w:r w:rsidR="00B12835">
        <w:t>Gas_Safe_Register_Business_Continuity_Plan_3_0 Aug 2024.pdf</w:t>
      </w:r>
      <w:r w:rsidR="00143A79">
        <w:t xml:space="preserve">                   </w:t>
      </w:r>
      <w:r w:rsidRPr="001A1836">
        <w:t>.</w:t>
      </w:r>
      <w:r w:rsidR="00143A79">
        <w:t xml:space="preserve"> </w:t>
      </w:r>
    </w:p>
    <w:p w14:paraId="69467BED" w14:textId="3279111D" w:rsidR="00626054" w:rsidRPr="001A1836" w:rsidRDefault="00626054">
      <w:pPr>
        <w:pStyle w:val="GSRL3heading"/>
        <w:spacing w:before="240"/>
      </w:pPr>
      <w:bookmarkStart w:id="2896" w:name="_Toc508717293"/>
      <w:bookmarkStart w:id="2897" w:name="_Toc521327154"/>
      <w:bookmarkStart w:id="2898" w:name="_Toc521333387"/>
      <w:bookmarkStart w:id="2899" w:name="_Toc521484118"/>
      <w:bookmarkStart w:id="2900" w:name="_Toc521484881"/>
      <w:bookmarkStart w:id="2901" w:name="_Toc521485212"/>
      <w:bookmarkStart w:id="2902" w:name="_Toc521496949"/>
      <w:bookmarkStart w:id="2903" w:name="_Toc521498391"/>
      <w:bookmarkStart w:id="2904" w:name="_Toc529346086"/>
      <w:bookmarkStart w:id="2905" w:name="_Toc129038307"/>
      <w:bookmarkStart w:id="2906" w:name="_Toc129038593"/>
      <w:bookmarkStart w:id="2907" w:name="_Toc132268172"/>
      <w:bookmarkStart w:id="2908" w:name="_Toc132268478"/>
      <w:bookmarkStart w:id="2909" w:name="_Toc136198728"/>
      <w:bookmarkStart w:id="2910" w:name="_Toc136199009"/>
      <w:bookmarkStart w:id="2911" w:name="_Ref127783136"/>
      <w:bookmarkStart w:id="2912" w:name="_Ref54102610"/>
      <w:bookmarkEnd w:id="2893"/>
      <w:r w:rsidRPr="001A1836">
        <w:t xml:space="preserve">Part A of the </w:t>
      </w:r>
      <w:r w:rsidR="00143A79">
        <w:t>Service Continuity</w:t>
      </w:r>
      <w:r w:rsidRPr="001A1836">
        <w:t xml:space="preserve"> Plan and General Principles and Requirements</w:t>
      </w:r>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r w:rsidRPr="001A1836">
        <w:t xml:space="preserve"> </w:t>
      </w:r>
      <w:bookmarkEnd w:id="2911"/>
    </w:p>
    <w:bookmarkEnd w:id="2912"/>
    <w:p w14:paraId="500D213E" w14:textId="79F89315" w:rsidR="00626054" w:rsidRPr="001A1836" w:rsidRDefault="00626054">
      <w:pPr>
        <w:pStyle w:val="GSRL4numberedclause"/>
      </w:pPr>
      <w:r w:rsidRPr="001A1836">
        <w:t xml:space="preserve">Part A of the </w:t>
      </w:r>
      <w:r w:rsidR="00143A79">
        <w:t>Service Continuity</w:t>
      </w:r>
      <w:r w:rsidRPr="001A1836">
        <w:t xml:space="preserve"> Plan shall:</w:t>
      </w:r>
    </w:p>
    <w:p w14:paraId="22C121D0" w14:textId="545BA700" w:rsidR="00626054" w:rsidRPr="001A1836" w:rsidRDefault="00626054">
      <w:pPr>
        <w:pStyle w:val="GSRL5numberedclause"/>
      </w:pPr>
      <w:r w:rsidRPr="001A1836">
        <w:t>set out how the business continuity</w:t>
      </w:r>
      <w:r w:rsidR="003E1E80">
        <w:t>,</w:t>
      </w:r>
      <w:r w:rsidRPr="001A1836">
        <w:t xml:space="preserve"> disaster recovery </w:t>
      </w:r>
      <w:r w:rsidR="003E1E80">
        <w:t xml:space="preserve">and insolvency continuity </w:t>
      </w:r>
      <w:r w:rsidRPr="001A1836">
        <w:t xml:space="preserve">elements of the </w:t>
      </w:r>
      <w:r w:rsidR="00143A79">
        <w:t>Service Continuity</w:t>
      </w:r>
      <w:r w:rsidRPr="001A1836">
        <w:t xml:space="preserve"> Plan link to each other;</w:t>
      </w:r>
    </w:p>
    <w:p w14:paraId="663AFDAE" w14:textId="415A7A0D" w:rsidR="00626054" w:rsidRPr="001A1836" w:rsidRDefault="00626054">
      <w:pPr>
        <w:pStyle w:val="GSRL5numberedclause"/>
      </w:pPr>
      <w:r w:rsidRPr="001A1836">
        <w:t xml:space="preserve">provide details of how the invocation of any element of the </w:t>
      </w:r>
      <w:r w:rsidR="00143A79">
        <w:t>Service Continuity</w:t>
      </w:r>
      <w:r w:rsidRPr="001A1836">
        <w:t xml:space="preserve"> Plan may impact upon the operation of the provision of the Services and any </w:t>
      </w:r>
      <w:r w:rsidR="003E1E80">
        <w:t>s</w:t>
      </w:r>
      <w:r w:rsidRPr="001A1836">
        <w:t>ervices provided to HSE by a Related Provider;</w:t>
      </w:r>
    </w:p>
    <w:p w14:paraId="0022E33E" w14:textId="12DD6CB8" w:rsidR="00626054" w:rsidRPr="001A1836" w:rsidRDefault="00626054">
      <w:pPr>
        <w:pStyle w:val="GSRL5numberedclause"/>
      </w:pPr>
      <w:r w:rsidRPr="001A1836">
        <w:t>contain an obligation upon the Provider to liaise with HSE and (at HSE’s request) any Related Providers with respect to issues concerning business continuity</w:t>
      </w:r>
      <w:r w:rsidR="003E1E80">
        <w:t>,</w:t>
      </w:r>
      <w:r w:rsidRPr="001A1836">
        <w:t xml:space="preserve"> disaster recovery </w:t>
      </w:r>
      <w:r w:rsidR="003E1E80">
        <w:t xml:space="preserve">and insolvency continuity </w:t>
      </w:r>
      <w:r w:rsidRPr="001A1836">
        <w:t>where applicable;</w:t>
      </w:r>
    </w:p>
    <w:p w14:paraId="55746BA2" w14:textId="2ADB4A2E" w:rsidR="00626054" w:rsidRPr="001A1836" w:rsidRDefault="00626054">
      <w:pPr>
        <w:pStyle w:val="GSRL5numberedclause"/>
      </w:pPr>
      <w:r w:rsidRPr="001A1836">
        <w:t xml:space="preserve">detail how the </w:t>
      </w:r>
      <w:r w:rsidR="00143A79">
        <w:t>Service Continuity</w:t>
      </w:r>
      <w:r w:rsidRPr="001A1836">
        <w:t xml:space="preserve"> Plan links and interoperates with any overarching and/or connected disaster recovery</w:t>
      </w:r>
      <w:r w:rsidR="00EC1AC9">
        <w:t>,</w:t>
      </w:r>
      <w:r w:rsidRPr="001A1836">
        <w:t xml:space="preserve"> business continuity </w:t>
      </w:r>
      <w:r w:rsidR="00EC1AC9">
        <w:t xml:space="preserve">and/or insolvency continuity </w:t>
      </w:r>
      <w:r w:rsidRPr="001A1836">
        <w:t>plan of HSE and any of its other Related Provider in each case as notified to the Provider by HSE from time to time;</w:t>
      </w:r>
    </w:p>
    <w:p w14:paraId="6E5202D6" w14:textId="77777777" w:rsidR="00626054" w:rsidRPr="001A1836" w:rsidRDefault="00626054">
      <w:pPr>
        <w:pStyle w:val="GSRL5numberedclause"/>
      </w:pPr>
      <w:r w:rsidRPr="001A1836">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HSE;</w:t>
      </w:r>
    </w:p>
    <w:p w14:paraId="5B43C3ED" w14:textId="77777777" w:rsidR="00626054" w:rsidRPr="001A1836" w:rsidRDefault="00626054">
      <w:pPr>
        <w:pStyle w:val="GSRL5numberedclause"/>
      </w:pPr>
      <w:r w:rsidRPr="001A1836">
        <w:t>contain a risk analysis, including:</w:t>
      </w:r>
    </w:p>
    <w:p w14:paraId="51C0426C" w14:textId="77777777" w:rsidR="00626054" w:rsidRPr="001A1836" w:rsidRDefault="00626054">
      <w:pPr>
        <w:pStyle w:val="GSRL6numberedclause"/>
        <w:tabs>
          <w:tab w:val="num" w:pos="360"/>
        </w:tabs>
      </w:pPr>
      <w:r w:rsidRPr="001A1836">
        <w:t>failure or disruption scenarios and assessments and estimates of frequency of occurrence;</w:t>
      </w:r>
    </w:p>
    <w:p w14:paraId="57C11594" w14:textId="77777777" w:rsidR="00626054" w:rsidRPr="001A1836" w:rsidRDefault="00626054">
      <w:pPr>
        <w:pStyle w:val="GSRL6numberedclause"/>
        <w:tabs>
          <w:tab w:val="num" w:pos="360"/>
        </w:tabs>
      </w:pPr>
      <w:r w:rsidRPr="001A1836">
        <w:t>identification of any single points of failure within the provision of Services and processes for managing the risks arising therefrom;</w:t>
      </w:r>
    </w:p>
    <w:p w14:paraId="2565C1A2" w14:textId="0FF9BC88" w:rsidR="00626054" w:rsidRPr="001A1836" w:rsidRDefault="00626054">
      <w:pPr>
        <w:pStyle w:val="GSRL6numberedclause"/>
        <w:tabs>
          <w:tab w:val="num" w:pos="360"/>
        </w:tabs>
      </w:pPr>
      <w:r w:rsidRPr="001A1836">
        <w:t xml:space="preserve">identification of risks arising from the interaction of the provision of Services and with the </w:t>
      </w:r>
      <w:r w:rsidR="00EC1AC9">
        <w:t>s</w:t>
      </w:r>
      <w:r w:rsidRPr="001A1836">
        <w:t xml:space="preserve">ervices provided by a Related Provider; </w:t>
      </w:r>
    </w:p>
    <w:p w14:paraId="1941B0FF" w14:textId="5DF6EC30" w:rsidR="00EC1AC9" w:rsidRDefault="00EC1AC9">
      <w:pPr>
        <w:pStyle w:val="GSRL6numberedclause"/>
      </w:pPr>
      <w:r w:rsidRPr="00EC1AC9">
        <w:t xml:space="preserve">identification of risks arising from an Insolvency Event of the </w:t>
      </w:r>
      <w:r>
        <w:t>Provider, any Key Sub-C</w:t>
      </w:r>
      <w:r w:rsidRPr="00EC1AC9">
        <w:t xml:space="preserve">ontractors and/or </w:t>
      </w:r>
      <w:r>
        <w:t>Provider</w:t>
      </w:r>
      <w:r w:rsidRPr="00EC1AC9">
        <w:t xml:space="preserve"> </w:t>
      </w:r>
      <w:r>
        <w:t>Affiliate; and</w:t>
      </w:r>
    </w:p>
    <w:p w14:paraId="4BC228C9" w14:textId="588FA1DE" w:rsidR="00626054" w:rsidRPr="001A1836" w:rsidRDefault="00626054">
      <w:pPr>
        <w:pStyle w:val="GSRL6numberedclause"/>
        <w:tabs>
          <w:tab w:val="num" w:pos="360"/>
        </w:tabs>
      </w:pPr>
      <w:r w:rsidRPr="001A1836">
        <w:t>a business impact analysis (detailing the impact on business processes and operations) of different anticipated failures or disruptions;</w:t>
      </w:r>
    </w:p>
    <w:p w14:paraId="72A3850D" w14:textId="77777777" w:rsidR="00626054" w:rsidRPr="001A1836" w:rsidRDefault="00626054">
      <w:pPr>
        <w:pStyle w:val="GSRL5numberedclause"/>
      </w:pPr>
      <w:r w:rsidRPr="001A1836">
        <w:t>provide for documentation of processes, including business processes, and procedures;</w:t>
      </w:r>
    </w:p>
    <w:p w14:paraId="0634425B" w14:textId="77777777" w:rsidR="00626054" w:rsidRPr="001A1836" w:rsidRDefault="00626054">
      <w:pPr>
        <w:pStyle w:val="GSRL5numberedclause"/>
      </w:pPr>
      <w:r w:rsidRPr="001A1836">
        <w:t>set out key contact details (including roles and responsibilities) for the Provider (and any Sub-Contractors) and for HSE;</w:t>
      </w:r>
    </w:p>
    <w:p w14:paraId="1DE24FA3" w14:textId="77777777" w:rsidR="00626054" w:rsidRPr="001A1836" w:rsidRDefault="00626054">
      <w:pPr>
        <w:pStyle w:val="GSRL5numberedclause"/>
      </w:pPr>
      <w:r w:rsidRPr="001A1836">
        <w:t>identify the procedures for reverting to “normal service”;</w:t>
      </w:r>
    </w:p>
    <w:p w14:paraId="0E15EAFF" w14:textId="77777777" w:rsidR="00626054" w:rsidRPr="001A1836" w:rsidRDefault="00626054">
      <w:pPr>
        <w:pStyle w:val="GSRL5numberedclause"/>
      </w:pPr>
      <w:r w:rsidRPr="001A1836">
        <w:t>set out method(s) of recovering or updating data collected (or which ought to have been collected) during a failure or disruption to ensure that there is no more than the accepted amount of data loss and to preserve data integrity;</w:t>
      </w:r>
    </w:p>
    <w:p w14:paraId="79E4F6C0" w14:textId="7AA3F65E" w:rsidR="00626054" w:rsidRPr="001A1836" w:rsidRDefault="00626054">
      <w:pPr>
        <w:pStyle w:val="GSRL5numberedclause"/>
      </w:pPr>
      <w:r w:rsidRPr="001A1836">
        <w:lastRenderedPageBreak/>
        <w:t xml:space="preserve">identify the responsibilities (if any) that HSE has agreed it will assume in the event of the invocation of the </w:t>
      </w:r>
      <w:r w:rsidR="00143A79">
        <w:t>Service Continuity</w:t>
      </w:r>
      <w:r w:rsidRPr="001A1836">
        <w:t xml:space="preserve"> Plan; and</w:t>
      </w:r>
    </w:p>
    <w:p w14:paraId="5FDB13D7" w14:textId="77777777" w:rsidR="00626054" w:rsidRPr="001A1836" w:rsidRDefault="00626054">
      <w:pPr>
        <w:pStyle w:val="GSRL5numberedclause"/>
      </w:pPr>
      <w:r w:rsidRPr="001A1836">
        <w:t>provide for the provision of technical advice and assistance to key contacts at HSE as notified by HSE from time to time to inform decisions in support of HSE’s business continuity plans.</w:t>
      </w:r>
    </w:p>
    <w:p w14:paraId="7295151D" w14:textId="413903D2" w:rsidR="00626054" w:rsidRPr="001A1836" w:rsidRDefault="00626054">
      <w:pPr>
        <w:pStyle w:val="GSRL4numberedclause"/>
      </w:pPr>
      <w:r w:rsidRPr="001A1836">
        <w:t xml:space="preserve">The </w:t>
      </w:r>
      <w:r w:rsidR="00143A79">
        <w:t>Service Continuity</w:t>
      </w:r>
      <w:r w:rsidRPr="001A1836">
        <w:t xml:space="preserve"> Plan shall be designed so as to ensure that:</w:t>
      </w:r>
    </w:p>
    <w:p w14:paraId="5C57FCF5" w14:textId="35C783C9" w:rsidR="00626054" w:rsidRPr="001A1836" w:rsidRDefault="00626054">
      <w:pPr>
        <w:pStyle w:val="GSRL5numberedclause"/>
      </w:pPr>
      <w:r w:rsidRPr="001A1836">
        <w:t xml:space="preserve">the Services are provided in accordance with this Agreement at all times during and after the invocation of the </w:t>
      </w:r>
      <w:r w:rsidR="00143A79">
        <w:t>Service Continuity</w:t>
      </w:r>
      <w:r w:rsidRPr="001A1836">
        <w:t xml:space="preserve"> Plan;</w:t>
      </w:r>
    </w:p>
    <w:p w14:paraId="369033EC" w14:textId="326D4C81" w:rsidR="00626054" w:rsidRPr="001A1836" w:rsidRDefault="00626054">
      <w:pPr>
        <w:pStyle w:val="GSRL5numberedclause"/>
      </w:pPr>
      <w:r w:rsidRPr="001A1836">
        <w:t xml:space="preserve">the adverse impact of any Disaster, service failure, </w:t>
      </w:r>
      <w:r w:rsidR="00EC1AC9" w:rsidRPr="00EC1AC9">
        <w:t xml:space="preserve">an Insolvency Event of the </w:t>
      </w:r>
      <w:r w:rsidR="00EC1AC9">
        <w:t>Provider, any Key Sub-C</w:t>
      </w:r>
      <w:r w:rsidR="00EC1AC9" w:rsidRPr="00EC1AC9">
        <w:t xml:space="preserve">ontractor and/or any </w:t>
      </w:r>
      <w:r w:rsidR="00EC1AC9">
        <w:t>Provider Affiliate</w:t>
      </w:r>
      <w:r w:rsidR="00EC1AC9" w:rsidRPr="00EC1AC9">
        <w:t xml:space="preserve"> </w:t>
      </w:r>
      <w:r w:rsidRPr="001A1836">
        <w:t>or disruption on the operations of HSE is minimal as far as reasonably possible;</w:t>
      </w:r>
    </w:p>
    <w:p w14:paraId="5524B44F" w14:textId="279451DE" w:rsidR="00626054" w:rsidRPr="001A1836" w:rsidRDefault="00626054">
      <w:pPr>
        <w:pStyle w:val="GSRL5numberedclause"/>
      </w:pPr>
      <w:r w:rsidRPr="001A1836">
        <w:t xml:space="preserve">it complies with the relevant </w:t>
      </w:r>
      <w:r w:rsidR="00B17739">
        <w:t xml:space="preserve">provisions of ISO/IEC </w:t>
      </w:r>
      <w:r w:rsidR="00EC1AC9" w:rsidRPr="00EC1AC9">
        <w:t>22301</w:t>
      </w:r>
      <w:r w:rsidRPr="001A1836">
        <w:t xml:space="preserve"> and all other industry standards from time to time in force; and</w:t>
      </w:r>
    </w:p>
    <w:p w14:paraId="7C2610CA" w14:textId="03154545" w:rsidR="00626054" w:rsidRPr="001A1836" w:rsidRDefault="00626054">
      <w:pPr>
        <w:pStyle w:val="GSRL5numberedclause"/>
      </w:pPr>
      <w:r w:rsidRPr="001A1836">
        <w:t xml:space="preserve">there is a process for the management of disaster recovery testing detailed in the </w:t>
      </w:r>
      <w:r w:rsidR="00143A79">
        <w:t>Service Continuity</w:t>
      </w:r>
      <w:r w:rsidRPr="001A1836">
        <w:t xml:space="preserve"> Plan.</w:t>
      </w:r>
    </w:p>
    <w:p w14:paraId="5B5F0A45" w14:textId="708C9367" w:rsidR="00626054" w:rsidRPr="001A1836" w:rsidRDefault="00626054">
      <w:pPr>
        <w:pStyle w:val="GSRL4numberedclause"/>
      </w:pPr>
      <w:r w:rsidRPr="001A1836">
        <w:t xml:space="preserve">The </w:t>
      </w:r>
      <w:r w:rsidR="00143A79">
        <w:t>Service Continuity</w:t>
      </w:r>
      <w:r w:rsidRPr="001A1836">
        <w:t xml:space="preserve"> Plan shall be upgradeable and sufficiently flexible to support any changes to the Services or to the business processes facilitated by and the business operations supported by the provision of Services</w:t>
      </w:r>
      <w:r w:rsidR="00EC1AC9">
        <w:t xml:space="preserve">, </w:t>
      </w:r>
      <w:r w:rsidR="00EC1AC9" w:rsidRPr="00EC1AC9">
        <w:t xml:space="preserve">and/or changes to the </w:t>
      </w:r>
      <w:r w:rsidR="003116E2">
        <w:t>Provider G</w:t>
      </w:r>
      <w:r w:rsidR="00EC1AC9" w:rsidRPr="00EC1AC9">
        <w:t>roup structure</w:t>
      </w:r>
      <w:r w:rsidRPr="001A1836">
        <w:t>.</w:t>
      </w:r>
    </w:p>
    <w:p w14:paraId="6819E0B1" w14:textId="77777777" w:rsidR="00626054" w:rsidRPr="001A1836" w:rsidRDefault="00626054">
      <w:pPr>
        <w:pStyle w:val="GSRL4numberedclause"/>
      </w:pPr>
      <w:r w:rsidRPr="001A1836">
        <w:t>The Provider shall not be entitled to any relief from its obligations under the Service Levels or to any increase in the Charges to the extent that a Disaster occurs as a consequence of any breach by the Provider of this Agreement.</w:t>
      </w:r>
    </w:p>
    <w:p w14:paraId="43CDC828" w14:textId="77777777" w:rsidR="00626054" w:rsidRPr="001A1836" w:rsidRDefault="00626054">
      <w:pPr>
        <w:pStyle w:val="GSRL3heading"/>
        <w:spacing w:before="240"/>
      </w:pPr>
      <w:bookmarkStart w:id="2913" w:name="_Toc508717294"/>
      <w:bookmarkStart w:id="2914" w:name="_Toc521327155"/>
      <w:bookmarkStart w:id="2915" w:name="_Toc521333388"/>
      <w:bookmarkStart w:id="2916" w:name="_Toc521484119"/>
      <w:bookmarkStart w:id="2917" w:name="_Toc521484882"/>
      <w:bookmarkStart w:id="2918" w:name="_Toc521485213"/>
      <w:bookmarkStart w:id="2919" w:name="_Toc521496950"/>
      <w:bookmarkStart w:id="2920" w:name="_Toc521498392"/>
      <w:bookmarkStart w:id="2921" w:name="_Toc529346087"/>
      <w:bookmarkStart w:id="2922" w:name="_Toc129038308"/>
      <w:bookmarkStart w:id="2923" w:name="_Toc129038594"/>
      <w:bookmarkStart w:id="2924" w:name="_Toc132268173"/>
      <w:bookmarkStart w:id="2925" w:name="_Toc132268479"/>
      <w:bookmarkStart w:id="2926" w:name="_Toc136198729"/>
      <w:bookmarkStart w:id="2927" w:name="_Toc136199010"/>
      <w:r w:rsidRPr="001A1836">
        <w:t>Business Continuity Plan – Principles and Contents</w:t>
      </w:r>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r w:rsidRPr="001A1836">
        <w:t xml:space="preserve"> </w:t>
      </w:r>
    </w:p>
    <w:p w14:paraId="488488E9" w14:textId="705F057D" w:rsidR="00626054" w:rsidRPr="001A1836" w:rsidRDefault="00626054">
      <w:pPr>
        <w:pStyle w:val="GSRL4numberedclause"/>
      </w:pPr>
      <w:bookmarkStart w:id="2928" w:name="_Ref54104278"/>
      <w:r w:rsidRPr="001A1836">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HSE expressly states otherwise in writing:</w:t>
      </w:r>
      <w:bookmarkEnd w:id="2928"/>
    </w:p>
    <w:p w14:paraId="1F853F71" w14:textId="77777777" w:rsidR="00626054" w:rsidRPr="001A1836" w:rsidRDefault="00626054">
      <w:pPr>
        <w:pStyle w:val="GSRL5numberedclause"/>
      </w:pPr>
      <w:r w:rsidRPr="001A1836">
        <w:t>the alternative processes (including business processes), options and responsibilities that may be adopted in the event of a failure in or disruption to the provision of Services; and</w:t>
      </w:r>
    </w:p>
    <w:p w14:paraId="55DFA200" w14:textId="77777777" w:rsidR="00626054" w:rsidRPr="001A1836" w:rsidRDefault="00626054">
      <w:pPr>
        <w:pStyle w:val="GSRL5numberedclause"/>
      </w:pPr>
      <w:r w:rsidRPr="001A1836">
        <w:t>the steps to be taken by the Provider upon resumption of the provision of Services in order to address any prevailing effect of the failure or disruption including a root cause analysis of the failure or disruption.</w:t>
      </w:r>
    </w:p>
    <w:p w14:paraId="7F56AC91" w14:textId="77777777" w:rsidR="00626054" w:rsidRPr="001A1836" w:rsidRDefault="00626054">
      <w:pPr>
        <w:pStyle w:val="GSRL4numberedclause"/>
      </w:pPr>
      <w:r w:rsidRPr="001A1836">
        <w:t>The Business Continuity Plan shall:</w:t>
      </w:r>
    </w:p>
    <w:p w14:paraId="3B273D53" w14:textId="77777777" w:rsidR="00626054" w:rsidRPr="001A1836" w:rsidRDefault="00626054">
      <w:pPr>
        <w:pStyle w:val="GSRL5numberedclause"/>
      </w:pPr>
      <w:r w:rsidRPr="001A1836">
        <w:t>address the various possible levels of failures of or disruptions to the provision of Services;</w:t>
      </w:r>
    </w:p>
    <w:p w14:paraId="6B685C5C" w14:textId="77777777" w:rsidR="00626054" w:rsidRPr="001A1836" w:rsidRDefault="00626054">
      <w:pPr>
        <w:pStyle w:val="GSRL5numberedclause"/>
      </w:pPr>
      <w:bookmarkStart w:id="2929" w:name="_Ref365641209"/>
      <w:r w:rsidRPr="001A1836">
        <w:t>set out the Services to be provided and the steps to be taken to remedy the different levels of failures of and disruption to the Services (such Services and steps, the “</w:t>
      </w:r>
      <w:r w:rsidRPr="001A1836">
        <w:rPr>
          <w:b/>
        </w:rPr>
        <w:t>Business Continuity Services</w:t>
      </w:r>
      <w:r w:rsidRPr="001A1836">
        <w:t>”);</w:t>
      </w:r>
      <w:bookmarkEnd w:id="2929"/>
    </w:p>
    <w:p w14:paraId="1DAC3301" w14:textId="77777777" w:rsidR="00626054" w:rsidRPr="001A1836" w:rsidRDefault="00626054">
      <w:pPr>
        <w:pStyle w:val="GSRL5numberedclause"/>
      </w:pPr>
      <w:r w:rsidRPr="001A1836">
        <w:t>specify any applicable Service Levels with respect to the provision of the Business Continuity Services and details of any agreed relaxation to the Service Levels in respect of the provision of other Services during any period of invocation of the Business Continuity Plan; and</w:t>
      </w:r>
    </w:p>
    <w:p w14:paraId="722D7152" w14:textId="77777777" w:rsidR="00626054" w:rsidRPr="001A1836" w:rsidRDefault="00626054">
      <w:pPr>
        <w:pStyle w:val="GSRL5numberedclause"/>
      </w:pPr>
      <w:r w:rsidRPr="001A1836">
        <w:t>clearly set out the conditions and/or circumstances under which the Business Continuity Plan is invoked.</w:t>
      </w:r>
    </w:p>
    <w:p w14:paraId="54614D53" w14:textId="77777777" w:rsidR="00626054" w:rsidRPr="001A1836" w:rsidRDefault="00626054">
      <w:pPr>
        <w:pStyle w:val="GSRL3heading"/>
        <w:spacing w:before="240"/>
      </w:pPr>
      <w:bookmarkStart w:id="2930" w:name="_Toc508717295"/>
      <w:bookmarkStart w:id="2931" w:name="_Toc521327156"/>
      <w:bookmarkStart w:id="2932" w:name="_Toc521333389"/>
      <w:bookmarkStart w:id="2933" w:name="_Toc521484120"/>
      <w:bookmarkStart w:id="2934" w:name="_Toc521484883"/>
      <w:bookmarkStart w:id="2935" w:name="_Toc521485214"/>
      <w:bookmarkStart w:id="2936" w:name="_Toc521496951"/>
      <w:bookmarkStart w:id="2937" w:name="_Toc521498393"/>
      <w:bookmarkStart w:id="2938" w:name="_Toc529346088"/>
      <w:bookmarkStart w:id="2939" w:name="_Toc129038309"/>
      <w:bookmarkStart w:id="2940" w:name="_Toc129038595"/>
      <w:bookmarkStart w:id="2941" w:name="_Toc132268174"/>
      <w:bookmarkStart w:id="2942" w:name="_Toc132268480"/>
      <w:bookmarkStart w:id="2943" w:name="_Toc136198730"/>
      <w:bookmarkStart w:id="2944" w:name="_Toc136199011"/>
      <w:bookmarkStart w:id="2945" w:name="_Ref127783143"/>
      <w:r w:rsidRPr="001A1836">
        <w:lastRenderedPageBreak/>
        <w:t>Disaster R</w:t>
      </w:r>
      <w:r w:rsidRPr="001A1836">
        <w:rPr>
          <w:rFonts w:hint="eastAsia"/>
        </w:rPr>
        <w:t>e</w:t>
      </w:r>
      <w:r w:rsidRPr="001A1836">
        <w:t>covery Plan – Principles and Contents</w:t>
      </w:r>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r w:rsidRPr="001A1836">
        <w:t xml:space="preserve"> </w:t>
      </w:r>
      <w:bookmarkEnd w:id="2945"/>
    </w:p>
    <w:p w14:paraId="33E050C7" w14:textId="77777777" w:rsidR="00626054" w:rsidRPr="001A1836" w:rsidRDefault="00626054">
      <w:pPr>
        <w:pStyle w:val="GSRL4numberedclause"/>
      </w:pPr>
      <w:bookmarkStart w:id="2946" w:name="_Ref139426394"/>
      <w:r w:rsidRPr="001A1836">
        <w:t>The Disaster Recovery Plan shall be designed so as to ensure that upon the occurrence of a Disaster the Provider ensures continuity of the business operations of HSE supported by the Services following any Disaster or during any period of service failure or disruption with, as far as reasonably possible, minimal adverse impact.</w:t>
      </w:r>
      <w:bookmarkEnd w:id="2946"/>
    </w:p>
    <w:p w14:paraId="3F87C426" w14:textId="77777777" w:rsidR="00626054" w:rsidRPr="001A1836" w:rsidRDefault="00626054">
      <w:pPr>
        <w:pStyle w:val="GSRL4numberedclause"/>
      </w:pPr>
      <w:r w:rsidRPr="001A1836">
        <w:t>The Disaster Recovery Plan shall be invoked only upon the occurrence of a Disaster.</w:t>
      </w:r>
    </w:p>
    <w:p w14:paraId="567CC82F" w14:textId="77777777" w:rsidR="00626054" w:rsidRPr="001A1836" w:rsidRDefault="00626054">
      <w:pPr>
        <w:pStyle w:val="GSRL4numberedclause"/>
      </w:pPr>
      <w:bookmarkStart w:id="2947" w:name="_Ref67443759"/>
      <w:r w:rsidRPr="001A1836">
        <w:t>The Disaster Recovery Plan shall include the following</w:t>
      </w:r>
      <w:bookmarkEnd w:id="2947"/>
      <w:r w:rsidRPr="001A1836">
        <w:t>:</w:t>
      </w:r>
    </w:p>
    <w:p w14:paraId="0C189FE0" w14:textId="77777777" w:rsidR="00626054" w:rsidRPr="001A1836" w:rsidRDefault="00626054">
      <w:pPr>
        <w:pStyle w:val="GSRL5numberedclause"/>
      </w:pPr>
      <w:r w:rsidRPr="001A1836">
        <w:t>the technical design and build specification of the Disaster Recovery System;</w:t>
      </w:r>
    </w:p>
    <w:p w14:paraId="27B9FDF6" w14:textId="77777777" w:rsidR="00626054" w:rsidRPr="001A1836" w:rsidRDefault="00626054">
      <w:pPr>
        <w:pStyle w:val="GSRL5numberedclause"/>
      </w:pPr>
      <w:r w:rsidRPr="001A1836">
        <w:t>details of the procedures and processes to be put in place by the Provider in relation to the Disaster Recovery System and the provision of the Disaster Recovery Services and any testing of the same including but not limited to the following:</w:t>
      </w:r>
    </w:p>
    <w:p w14:paraId="255098F1" w14:textId="059B822A" w:rsidR="00626054" w:rsidRPr="001A1836" w:rsidRDefault="00626054">
      <w:pPr>
        <w:pStyle w:val="GSRL6numberedclause"/>
        <w:tabs>
          <w:tab w:val="num" w:pos="360"/>
        </w:tabs>
      </w:pPr>
      <w:r w:rsidRPr="001A1836">
        <w:t>data centre and disaster recovery site audits;</w:t>
      </w:r>
    </w:p>
    <w:p w14:paraId="20080F79" w14:textId="77777777" w:rsidR="00626054" w:rsidRPr="001A1836" w:rsidRDefault="00626054">
      <w:pPr>
        <w:pStyle w:val="GSRL6numberedclause"/>
        <w:tabs>
          <w:tab w:val="num" w:pos="360"/>
        </w:tabs>
      </w:pPr>
      <w:r w:rsidRPr="001A1836">
        <w:t>backup methodology and details of the Provider's approach to data back-up and data verification;</w:t>
      </w:r>
    </w:p>
    <w:p w14:paraId="70465817" w14:textId="77777777" w:rsidR="00626054" w:rsidRPr="001A1836" w:rsidRDefault="00626054">
      <w:pPr>
        <w:pStyle w:val="GSRL6numberedclause"/>
        <w:tabs>
          <w:tab w:val="num" w:pos="360"/>
        </w:tabs>
      </w:pPr>
      <w:r w:rsidRPr="001A1836">
        <w:t>identification of all potential disaster scenarios;</w:t>
      </w:r>
    </w:p>
    <w:p w14:paraId="55AE60F7" w14:textId="77777777" w:rsidR="00626054" w:rsidRPr="001A1836" w:rsidRDefault="00626054">
      <w:pPr>
        <w:pStyle w:val="GSRL6numberedclause"/>
        <w:tabs>
          <w:tab w:val="num" w:pos="360"/>
        </w:tabs>
      </w:pPr>
      <w:r w:rsidRPr="001A1836">
        <w:t>risk analysis;</w:t>
      </w:r>
    </w:p>
    <w:p w14:paraId="1DCAD241" w14:textId="77777777" w:rsidR="00626054" w:rsidRPr="001A1836" w:rsidRDefault="00626054">
      <w:pPr>
        <w:pStyle w:val="GSRL6numberedclause"/>
        <w:tabs>
          <w:tab w:val="num" w:pos="360"/>
        </w:tabs>
      </w:pPr>
      <w:r w:rsidRPr="001A1836">
        <w:t>documentation of processes and procedures;</w:t>
      </w:r>
    </w:p>
    <w:p w14:paraId="08F0B805" w14:textId="77777777" w:rsidR="00626054" w:rsidRPr="001A1836" w:rsidRDefault="00626054">
      <w:pPr>
        <w:pStyle w:val="GSRL6numberedclause"/>
        <w:tabs>
          <w:tab w:val="num" w:pos="360"/>
        </w:tabs>
      </w:pPr>
      <w:r w:rsidRPr="001A1836">
        <w:t>hardware configuration details;</w:t>
      </w:r>
    </w:p>
    <w:p w14:paraId="15D05855" w14:textId="77777777" w:rsidR="00626054" w:rsidRPr="001A1836" w:rsidRDefault="00626054">
      <w:pPr>
        <w:pStyle w:val="GSRL6numberedclause"/>
        <w:tabs>
          <w:tab w:val="num" w:pos="360"/>
        </w:tabs>
      </w:pPr>
      <w:r w:rsidRPr="001A1836">
        <w:t>network planning including details of all relevant data networks and communication links;</w:t>
      </w:r>
    </w:p>
    <w:p w14:paraId="74D9776A" w14:textId="77777777" w:rsidR="00626054" w:rsidRPr="001A1836" w:rsidRDefault="00626054">
      <w:pPr>
        <w:pStyle w:val="GSRL6numberedclause"/>
        <w:tabs>
          <w:tab w:val="num" w:pos="360"/>
        </w:tabs>
      </w:pPr>
      <w:r w:rsidRPr="001A1836">
        <w:t>invocation rules;</w:t>
      </w:r>
    </w:p>
    <w:p w14:paraId="55C702BC" w14:textId="77777777" w:rsidR="00626054" w:rsidRPr="001A1836" w:rsidRDefault="00626054">
      <w:pPr>
        <w:pStyle w:val="GSRL6numberedclause"/>
        <w:tabs>
          <w:tab w:val="num" w:pos="360"/>
        </w:tabs>
      </w:pPr>
      <w:r w:rsidRPr="001A1836">
        <w:t>Service recovery procedures; and</w:t>
      </w:r>
    </w:p>
    <w:p w14:paraId="4EC0CF6C" w14:textId="12CDD1E0" w:rsidR="00626054" w:rsidRPr="001A1836" w:rsidRDefault="00626054">
      <w:pPr>
        <w:pStyle w:val="GSRL6numberedclause"/>
        <w:tabs>
          <w:tab w:val="num" w:pos="360"/>
        </w:tabs>
      </w:pPr>
      <w:r w:rsidRPr="001A1836">
        <w:t>steps to be taken upon resumption of the provision of Services to address any prevailing effect of the failure or disruption of the provision of Services;</w:t>
      </w:r>
    </w:p>
    <w:p w14:paraId="55E23601" w14:textId="77777777" w:rsidR="00626054" w:rsidRPr="001A1836" w:rsidRDefault="00626054">
      <w:pPr>
        <w:pStyle w:val="GSRL5numberedclause"/>
      </w:pPr>
      <w:r w:rsidRPr="001A1836">
        <w:t>any applicable Service Levels with respect to the provision of the Disaster Recovery Services and details of any agreed relaxation to the Service Levels in respect of the provision of other Services during any period of invocation of the Disaster Recovery Plan;</w:t>
      </w:r>
    </w:p>
    <w:p w14:paraId="623EA10C" w14:textId="08628007" w:rsidR="00626054" w:rsidRPr="001A1836" w:rsidRDefault="00626054">
      <w:pPr>
        <w:pStyle w:val="GSRL5numberedclause"/>
      </w:pPr>
      <w:r w:rsidRPr="001A1836">
        <w:t>details of how the Provider shall ensure compliance with security standards ensuring that compliance is maintained for any period during which the Disaster Recovery Plan is invoked;</w:t>
      </w:r>
    </w:p>
    <w:p w14:paraId="17B53DA7" w14:textId="77777777" w:rsidR="00626054" w:rsidRPr="001A1836" w:rsidRDefault="00626054">
      <w:pPr>
        <w:pStyle w:val="GSRL5numberedclause"/>
      </w:pPr>
      <w:r w:rsidRPr="001A1836">
        <w:t>access controls to any disaster recovery sites used by the Provider in relation to its obligations pursuant to this Schedule 15; and</w:t>
      </w:r>
    </w:p>
    <w:p w14:paraId="1F0ADF8D" w14:textId="77777777" w:rsidR="00626054" w:rsidRPr="001A1836" w:rsidRDefault="00626054">
      <w:pPr>
        <w:pStyle w:val="GSRL5numberedclause"/>
      </w:pPr>
      <w:r w:rsidRPr="001A1836">
        <w:t>testing and management arrangements.</w:t>
      </w:r>
    </w:p>
    <w:p w14:paraId="773128A0" w14:textId="4A5F12D2" w:rsidR="00347D34" w:rsidRDefault="00347D34">
      <w:pPr>
        <w:pStyle w:val="GSRL3heading"/>
      </w:pPr>
      <w:bookmarkStart w:id="2948" w:name="_Toc132268175"/>
      <w:bookmarkStart w:id="2949" w:name="_Toc132268481"/>
      <w:bookmarkStart w:id="2950" w:name="_Toc136198731"/>
      <w:bookmarkStart w:id="2951" w:name="_Toc136199012"/>
      <w:bookmarkStart w:id="2952" w:name="_Toc508717296"/>
      <w:bookmarkStart w:id="2953" w:name="_Toc521327157"/>
      <w:bookmarkStart w:id="2954" w:name="_Toc521333390"/>
      <w:bookmarkStart w:id="2955" w:name="_Toc521484121"/>
      <w:bookmarkStart w:id="2956" w:name="_Toc521484884"/>
      <w:bookmarkStart w:id="2957" w:name="_Toc521485215"/>
      <w:bookmarkStart w:id="2958" w:name="_Toc521496952"/>
      <w:bookmarkStart w:id="2959" w:name="_Toc521498394"/>
      <w:bookmarkStart w:id="2960" w:name="_Toc529346089"/>
      <w:bookmarkStart w:id="2961" w:name="_Toc129038310"/>
      <w:bookmarkStart w:id="2962" w:name="_Toc129038596"/>
      <w:bookmarkStart w:id="2963" w:name="_Ref76273541"/>
      <w:r w:rsidRPr="00347D34">
        <w:t>Insolvency Continuity Plan</w:t>
      </w:r>
      <w:r>
        <w:t xml:space="preserve"> – Principles and Contents</w:t>
      </w:r>
      <w:bookmarkEnd w:id="2948"/>
      <w:bookmarkEnd w:id="2949"/>
      <w:bookmarkEnd w:id="2950"/>
      <w:bookmarkEnd w:id="2951"/>
    </w:p>
    <w:p w14:paraId="307EEFD7" w14:textId="7F8D12F3" w:rsidR="00347D34" w:rsidRDefault="00347D34">
      <w:pPr>
        <w:pStyle w:val="GSRL4numberedclause"/>
      </w:pPr>
      <w:r>
        <w:t>The Insolvency Continuity Plan shall be designed by the Provider to permit continuity of the business operations of HSE supported by the Services through continued provision of the Services following an Insolvency Event of the Provider, any Key Sub-Contractor and/or any Provider Affiliate with, as far as reasonably possible, minimal adverse impact.</w:t>
      </w:r>
    </w:p>
    <w:p w14:paraId="10C3D6A3" w14:textId="77777777" w:rsidR="00347D34" w:rsidRDefault="00347D34">
      <w:pPr>
        <w:pStyle w:val="GSRL4numberedclause"/>
      </w:pPr>
      <w:r>
        <w:lastRenderedPageBreak/>
        <w:t>The Insolvency Continuity Plan shall include the following:</w:t>
      </w:r>
    </w:p>
    <w:p w14:paraId="440DE24A" w14:textId="2039984A" w:rsidR="00347D34" w:rsidRDefault="00347D34">
      <w:pPr>
        <w:pStyle w:val="GSRL5numberedclause"/>
      </w:pPr>
      <w:r>
        <w:t xml:space="preserve">communication strategies which are designed to minimise the potential disruption to the provision of the Services, including key contact details in respect of the supply chain and key contact details for operational and contract Provider Personnel, Key Sub-Contractor personnel and Provider Affiliate personnel;  </w:t>
      </w:r>
    </w:p>
    <w:p w14:paraId="63AEF7C3" w14:textId="1044D0B2" w:rsidR="00347D34" w:rsidRDefault="00347D34">
      <w:pPr>
        <w:pStyle w:val="GSRL5numberedclause"/>
      </w:pPr>
      <w:r>
        <w:t xml:space="preserve">identification, explanation, assessment and an impact analysis of risks in respect of dependencies between the Provider, Key Sub-Contractors and Provider Affiliates where failure of those dependencies could reasonably have an adverse impact on the Services; </w:t>
      </w:r>
    </w:p>
    <w:p w14:paraId="4A63ED99" w14:textId="77777777" w:rsidR="00347D34" w:rsidRDefault="00347D34">
      <w:pPr>
        <w:pStyle w:val="GSRL5numberedclause"/>
      </w:pPr>
      <w:r>
        <w:t>plans to manage and mitigate identified risks;</w:t>
      </w:r>
    </w:p>
    <w:p w14:paraId="769EE6C9" w14:textId="3554CDC5" w:rsidR="00347D34" w:rsidRDefault="00347D34">
      <w:pPr>
        <w:pStyle w:val="GSRL5numberedclause"/>
      </w:pPr>
      <w:r>
        <w:t xml:space="preserve">details of the roles and responsibilities of the </w:t>
      </w:r>
      <w:r w:rsidR="00E441C1">
        <w:t>Provider, Key Sub-C</w:t>
      </w:r>
      <w:r>
        <w:t xml:space="preserve">ontractors and/or </w:t>
      </w:r>
      <w:r w:rsidR="00E441C1">
        <w:t>Provider Affiliates</w:t>
      </w:r>
      <w:r>
        <w:t xml:space="preserve"> to minimise and mitigate the effects of an Insolvency Event of such persons on the Services;</w:t>
      </w:r>
    </w:p>
    <w:p w14:paraId="4908B5EA" w14:textId="050D05CD" w:rsidR="00347D34" w:rsidRDefault="00347D34">
      <w:pPr>
        <w:pStyle w:val="GSRL5numberedclause"/>
      </w:pPr>
      <w:r>
        <w:t xml:space="preserve">details of the recovery team to be put in place by the </w:t>
      </w:r>
      <w:r w:rsidR="00010038">
        <w:t>Provider</w:t>
      </w:r>
      <w:r>
        <w:t xml:space="preserve"> (which may include representatives of the </w:t>
      </w:r>
      <w:r w:rsidR="00E441C1">
        <w:t>Provider, Key Sub-C</w:t>
      </w:r>
      <w:r>
        <w:t xml:space="preserve">ontractors and </w:t>
      </w:r>
      <w:r w:rsidR="00E441C1">
        <w:t>Provider Affiliates</w:t>
      </w:r>
      <w:r>
        <w:t xml:space="preserve">); and </w:t>
      </w:r>
    </w:p>
    <w:p w14:paraId="6E37A673" w14:textId="3414F4C3" w:rsidR="00347D34" w:rsidRDefault="00347D34">
      <w:pPr>
        <w:pStyle w:val="GSRL5numberedclause"/>
      </w:pPr>
      <w:r>
        <w:t xml:space="preserve">sufficient detail to enable an appointed insolvency practitioner to invoke the plan in the event of an Insolvency Event of the </w:t>
      </w:r>
      <w:r w:rsidR="00E441C1">
        <w:t>Provider</w:t>
      </w:r>
      <w:r>
        <w:t>.</w:t>
      </w:r>
    </w:p>
    <w:p w14:paraId="7F2EDA51" w14:textId="261ABA37" w:rsidR="00626054" w:rsidRPr="001A1836" w:rsidRDefault="00626054">
      <w:pPr>
        <w:pStyle w:val="GSRL3heading"/>
        <w:spacing w:before="240"/>
      </w:pPr>
      <w:bookmarkStart w:id="2964" w:name="_Toc132268176"/>
      <w:bookmarkStart w:id="2965" w:name="_Toc132268482"/>
      <w:bookmarkStart w:id="2966" w:name="_Toc136198732"/>
      <w:bookmarkStart w:id="2967" w:name="_Toc136199013"/>
      <w:r w:rsidRPr="001A1836">
        <w:t xml:space="preserve">Review and Amendment of the </w:t>
      </w:r>
      <w:r w:rsidR="00A46936">
        <w:t>Service Continuity</w:t>
      </w:r>
      <w:r w:rsidRPr="001A1836">
        <w:t xml:space="preserve"> Plan</w:t>
      </w:r>
      <w:bookmarkEnd w:id="2952"/>
      <w:bookmarkEnd w:id="2953"/>
      <w:bookmarkEnd w:id="2954"/>
      <w:bookmarkEnd w:id="2955"/>
      <w:bookmarkEnd w:id="2956"/>
      <w:bookmarkEnd w:id="2957"/>
      <w:bookmarkEnd w:id="2958"/>
      <w:bookmarkEnd w:id="2959"/>
      <w:bookmarkEnd w:id="2960"/>
      <w:bookmarkEnd w:id="2961"/>
      <w:bookmarkEnd w:id="2962"/>
      <w:bookmarkEnd w:id="2964"/>
      <w:bookmarkEnd w:id="2965"/>
      <w:bookmarkEnd w:id="2966"/>
      <w:bookmarkEnd w:id="2967"/>
      <w:r w:rsidRPr="001A1836">
        <w:t xml:space="preserve"> </w:t>
      </w:r>
      <w:bookmarkEnd w:id="2963"/>
    </w:p>
    <w:p w14:paraId="437A5B2C" w14:textId="73D96BA5" w:rsidR="00626054" w:rsidRPr="001A1836" w:rsidRDefault="00626054">
      <w:pPr>
        <w:pStyle w:val="GSRL4numberedclause"/>
      </w:pPr>
      <w:bookmarkStart w:id="2968" w:name="_Ref71085729"/>
      <w:r w:rsidRPr="001A1836">
        <w:t xml:space="preserve">The Provider shall review the </w:t>
      </w:r>
      <w:r w:rsidR="00143A79">
        <w:t>Service Continuity</w:t>
      </w:r>
      <w:r w:rsidRPr="001A1836">
        <w:t xml:space="preserve"> Plan (and the risk analysis on which it is based):</w:t>
      </w:r>
      <w:bookmarkEnd w:id="2968"/>
    </w:p>
    <w:p w14:paraId="480889AA" w14:textId="77777777" w:rsidR="00626054" w:rsidRPr="001A1836" w:rsidRDefault="00626054">
      <w:pPr>
        <w:pStyle w:val="GSRL5numberedclause"/>
      </w:pPr>
      <w:bookmarkStart w:id="2969" w:name="_Ref72315121"/>
      <w:r w:rsidRPr="001A1836">
        <w:t>on a regular basis and as a minimum once every six (6) months;</w:t>
      </w:r>
      <w:bookmarkEnd w:id="2969"/>
    </w:p>
    <w:p w14:paraId="79B04087" w14:textId="5097A88B" w:rsidR="003116E2" w:rsidRDefault="00626054">
      <w:pPr>
        <w:pStyle w:val="GSRL5numberedclause"/>
      </w:pPr>
      <w:bookmarkStart w:id="2970" w:name="_Ref72315138"/>
      <w:r w:rsidRPr="001A1836">
        <w:t xml:space="preserve">within three calendar months of the </w:t>
      </w:r>
      <w:r w:rsidR="00143A79">
        <w:t>Service Continuity</w:t>
      </w:r>
      <w:r w:rsidRPr="001A1836">
        <w:t xml:space="preserve"> Plan (or any part) having been invoked pursuant to paragraph 7; </w:t>
      </w:r>
    </w:p>
    <w:p w14:paraId="38183A3C" w14:textId="57135040" w:rsidR="003116E2" w:rsidRDefault="003116E2">
      <w:pPr>
        <w:pStyle w:val="GSRL5numberedclause"/>
      </w:pPr>
      <w:r w:rsidRPr="003116E2">
        <w:t>within 14 days of a Financial Distress Event</w:t>
      </w:r>
      <w:r>
        <w:t>;</w:t>
      </w:r>
      <w:r w:rsidRPr="003116E2">
        <w:t xml:space="preserve"> </w:t>
      </w:r>
    </w:p>
    <w:p w14:paraId="0A962111" w14:textId="318695A0" w:rsidR="00626054" w:rsidRPr="001A1836" w:rsidRDefault="003116E2">
      <w:pPr>
        <w:pStyle w:val="GSRL5numberedclause"/>
      </w:pPr>
      <w:r w:rsidRPr="003116E2">
        <w:t xml:space="preserve">within 30 days of a Corporate Change Event (unless the Relevant Authority (acting reasonably) agrees to a Corporate Change Event Grace Period, as set out in </w:t>
      </w:r>
      <w:r w:rsidR="00A77559">
        <w:t>p</w:t>
      </w:r>
      <w:r w:rsidR="00A46936">
        <w:t>aragraph 10</w:t>
      </w:r>
      <w:r w:rsidRPr="003116E2">
        <w:t>.8(b)(i)</w:t>
      </w:r>
      <w:r>
        <w:t xml:space="preserve"> of Part B of this Schedule</w:t>
      </w:r>
      <w:r w:rsidRPr="003116E2">
        <w:t xml:space="preserve">, in which case that Corporate Change Event Grace Period will apply); </w:t>
      </w:r>
      <w:r w:rsidR="00626054" w:rsidRPr="001A1836">
        <w:t>and</w:t>
      </w:r>
      <w:bookmarkEnd w:id="2970"/>
    </w:p>
    <w:p w14:paraId="3C7F48A4" w14:textId="38B977DC" w:rsidR="00626054" w:rsidRPr="001A1836" w:rsidRDefault="00626054">
      <w:pPr>
        <w:pStyle w:val="GSRL5numberedclause"/>
      </w:pPr>
      <w:bookmarkStart w:id="2971" w:name="_Ref127783211"/>
      <w:r w:rsidRPr="001A1836">
        <w:t>where HSE requests any additional reviews (over and above those provided for in paragraphs </w:t>
      </w:r>
      <w:r w:rsidRPr="001A1836">
        <w:fldChar w:fldCharType="begin"/>
      </w:r>
      <w:r w:rsidRPr="001A1836">
        <w:instrText xml:space="preserve"> REF _Ref72315121 \r \h  \* MERGEFORMAT </w:instrText>
      </w:r>
      <w:r w:rsidRPr="001A1836">
        <w:fldChar w:fldCharType="separate"/>
      </w:r>
      <w:r w:rsidR="00C87D85">
        <w:t>6.1.1</w:t>
      </w:r>
      <w:r w:rsidRPr="001A1836">
        <w:fldChar w:fldCharType="end"/>
      </w:r>
      <w:r w:rsidRPr="001A1836">
        <w:t xml:space="preserve"> and </w:t>
      </w:r>
      <w:r w:rsidRPr="001A1836">
        <w:fldChar w:fldCharType="begin"/>
      </w:r>
      <w:r w:rsidRPr="001A1836">
        <w:instrText xml:space="preserve"> REF _Ref72315138 \r \h  \* MERGEFORMAT </w:instrText>
      </w:r>
      <w:r w:rsidRPr="001A1836">
        <w:fldChar w:fldCharType="separate"/>
      </w:r>
      <w:r w:rsidR="00C87D85">
        <w:t>6.1.2</w:t>
      </w:r>
      <w:r w:rsidRPr="001A1836">
        <w:fldChar w:fldCharType="end"/>
      </w:r>
      <w:r w:rsidRPr="001A1836">
        <w:t xml:space="preserve"> of this Schedule 15) by notifying the Provider to such effect in writing, whereupon the Provider shall conduct such reviews in accordance with HSE’s written requirements. Prior to starting its review, the Provider shall provide an accurate written estimate of the total costs payable by HSE for HSE’s approval.  The costs of both Parties of any such additional reviews shall be met by HSE except that the Provider shall not be entitled to charge HSE for any costs that it may incur above any estimate without HSE’s prior written approval. </w:t>
      </w:r>
      <w:bookmarkEnd w:id="2971"/>
    </w:p>
    <w:p w14:paraId="7A128FA5" w14:textId="04CD635B" w:rsidR="00626054" w:rsidRPr="001A1836" w:rsidRDefault="00626054">
      <w:pPr>
        <w:pStyle w:val="GSRL4numberedclause"/>
      </w:pPr>
      <w:bookmarkStart w:id="2972" w:name="_Ref365641241"/>
      <w:r w:rsidRPr="001A1836">
        <w:t xml:space="preserve">Each review of the </w:t>
      </w:r>
      <w:r w:rsidR="00143A79">
        <w:t>Service Continuity</w:t>
      </w:r>
      <w:r w:rsidRPr="001A1836">
        <w:t xml:space="preserve"> Plan pursuant to paragraph </w:t>
      </w:r>
      <w:r w:rsidRPr="001A1836">
        <w:fldChar w:fldCharType="begin"/>
      </w:r>
      <w:r w:rsidRPr="001A1836">
        <w:instrText xml:space="preserve"> REF _Ref71085729 \r \h  \* MERGEFORMAT </w:instrText>
      </w:r>
      <w:r w:rsidRPr="001A1836">
        <w:fldChar w:fldCharType="separate"/>
      </w:r>
      <w:r w:rsidR="00C87D85">
        <w:t>6.1</w:t>
      </w:r>
      <w:r w:rsidRPr="001A1836">
        <w:fldChar w:fldCharType="end"/>
      </w:r>
      <w:r w:rsidRPr="001A1836">
        <w:t xml:space="preserve"> of this Schedule 15 shall be a review of the procedures and methodologies set out in the </w:t>
      </w:r>
      <w:r w:rsidR="00143A79">
        <w:t>Service Continuity</w:t>
      </w:r>
      <w:r w:rsidRPr="001A1836">
        <w:t xml:space="preserve"> Plan and shall assess their suitability having regard to any change to the Services or any underlying business processes and operations facilitated by or supported by the Services which have taken place since the later of the original approval of the </w:t>
      </w:r>
      <w:r w:rsidR="00143A79">
        <w:t>Service Continuity</w:t>
      </w:r>
      <w:r w:rsidRPr="001A1836">
        <w:t xml:space="preserve"> Plan or the last review of the </w:t>
      </w:r>
      <w:r w:rsidR="00143A79">
        <w:t>Service Continuity</w:t>
      </w:r>
      <w:r w:rsidRPr="001A1836">
        <w:t xml:space="preserve"> Plan and shall also have regard to any occurrence of any event since that date (or the </w:t>
      </w:r>
      <w:r w:rsidRPr="001A1836">
        <w:lastRenderedPageBreak/>
        <w:t xml:space="preserve">likelihood of any such event taking place in the foreseeable future) which may increase the likelihood of the need to invoke the </w:t>
      </w:r>
      <w:r w:rsidR="00143A79">
        <w:t>Service Continuity</w:t>
      </w:r>
      <w:r w:rsidRPr="001A1836">
        <w:t xml:space="preserve"> Plan. </w:t>
      </w:r>
      <w:bookmarkStart w:id="2973" w:name="_Ref71562248"/>
      <w:r w:rsidRPr="001A1836">
        <w:t xml:space="preserve">The review shall be completed by the Provider within the period required by the </w:t>
      </w:r>
      <w:r w:rsidR="00143A79">
        <w:t>Service Continuity</w:t>
      </w:r>
      <w:r w:rsidRPr="001A1836">
        <w:t xml:space="preserve"> Plan or, if no such period is required, within such period as HSE shall reasonably require.  The Provider shall, within twenty (20) Working Days of the conclusion of each such review of the </w:t>
      </w:r>
      <w:r w:rsidR="00143A79">
        <w:t>Service Continuity</w:t>
      </w:r>
      <w:r w:rsidRPr="001A1836">
        <w:t xml:space="preserve"> Plan, provide to HSE a report (a </w:t>
      </w:r>
      <w:r w:rsidRPr="001A1836">
        <w:rPr>
          <w:b/>
          <w:bCs/>
        </w:rPr>
        <w:t>“Review Report”</w:t>
      </w:r>
      <w:r w:rsidRPr="001A1836">
        <w:t>) setting out:</w:t>
      </w:r>
      <w:bookmarkEnd w:id="2972"/>
      <w:bookmarkEnd w:id="2973"/>
    </w:p>
    <w:p w14:paraId="351DA581" w14:textId="77777777" w:rsidR="00626054" w:rsidRPr="001A1836" w:rsidRDefault="00626054">
      <w:pPr>
        <w:pStyle w:val="GSRL5numberedclause"/>
      </w:pPr>
      <w:r w:rsidRPr="001A1836">
        <w:t>the findings of the review;</w:t>
      </w:r>
    </w:p>
    <w:p w14:paraId="4D630361" w14:textId="77777777" w:rsidR="00626054" w:rsidRPr="001A1836" w:rsidRDefault="00626054">
      <w:pPr>
        <w:pStyle w:val="GSRL5numberedclause"/>
      </w:pPr>
      <w:r w:rsidRPr="001A1836">
        <w:t>any changes in the risk profile associated with the provision of Services; and</w:t>
      </w:r>
    </w:p>
    <w:p w14:paraId="6A857EF2" w14:textId="1657280A" w:rsidR="00626054" w:rsidRPr="001A1836" w:rsidRDefault="00626054">
      <w:pPr>
        <w:pStyle w:val="GSRL5numberedclause"/>
      </w:pPr>
      <w:bookmarkStart w:id="2974" w:name="_Ref365641249"/>
      <w:r w:rsidRPr="001A1836">
        <w:t xml:space="preserve">the Provider's proposals (the </w:t>
      </w:r>
      <w:r w:rsidRPr="001A1836">
        <w:rPr>
          <w:b/>
          <w:bCs/>
        </w:rPr>
        <w:t>“Provider's Proposals”</w:t>
      </w:r>
      <w:r w:rsidRPr="001A1836">
        <w:t xml:space="preserve">) for addressing any changes in the risk profile and its proposals for amendments to the </w:t>
      </w:r>
      <w:r w:rsidR="00143A79">
        <w:t>Service Continuity</w:t>
      </w:r>
      <w:r w:rsidRPr="001A1836">
        <w:t xml:space="preserve"> Plan following the review detailing the impact (if any and to the extent that the Provider can reasonably be expected to be aware of the same) that the implementation of such proposals may have on any goods, services or systems provided by a third party.</w:t>
      </w:r>
      <w:bookmarkEnd w:id="2974"/>
    </w:p>
    <w:p w14:paraId="1E63FA89" w14:textId="77777777" w:rsidR="00626054" w:rsidRPr="001A1836" w:rsidRDefault="00626054">
      <w:pPr>
        <w:pStyle w:val="GSRL4numberedclause"/>
      </w:pPr>
      <w:bookmarkStart w:id="2975" w:name="_Ref365641604"/>
      <w:r w:rsidRPr="001A1836">
        <w:t>Following receipt of the Review Report and the Provider’s Proposals, HSE shall:</w:t>
      </w:r>
      <w:bookmarkEnd w:id="2975"/>
    </w:p>
    <w:p w14:paraId="7C8F0D77" w14:textId="77777777" w:rsidR="00626054" w:rsidRPr="001A1836" w:rsidRDefault="00626054">
      <w:pPr>
        <w:pStyle w:val="GSRL5numberedclause"/>
      </w:pPr>
      <w:r w:rsidRPr="001A1836">
        <w:t>review and comment on the Review Report and the Provider’s Proposals as soon as reasonably practicable; and</w:t>
      </w:r>
    </w:p>
    <w:p w14:paraId="17049B2C" w14:textId="77777777" w:rsidR="00626054" w:rsidRPr="001A1836" w:rsidRDefault="00626054">
      <w:pPr>
        <w:pStyle w:val="GSRL5numberedclause"/>
      </w:pPr>
      <w:r w:rsidRPr="001A1836">
        <w:t xml:space="preserve">notify the Provider in writing that it approves or rejects the Review Report and the Provider’s Proposals no later than twenty (20) Working Days after the date on which they are first delivered to HSE. </w:t>
      </w:r>
    </w:p>
    <w:p w14:paraId="26C1B416" w14:textId="77777777" w:rsidR="00626054" w:rsidRPr="001A1836" w:rsidRDefault="00626054">
      <w:pPr>
        <w:pStyle w:val="GSRL4numberedclause"/>
      </w:pPr>
      <w:bookmarkStart w:id="2976" w:name="_Ref365641607"/>
      <w:r w:rsidRPr="001A1836">
        <w:t>If HSE rejects the Review Report and/or the Provider’s Proposals:</w:t>
      </w:r>
      <w:bookmarkEnd w:id="2976"/>
    </w:p>
    <w:p w14:paraId="7026864F" w14:textId="77777777" w:rsidR="00626054" w:rsidRPr="001A1836" w:rsidRDefault="00626054">
      <w:pPr>
        <w:pStyle w:val="GSRL5numberedclause"/>
      </w:pPr>
      <w:r w:rsidRPr="001A1836">
        <w:t>HSE shall inform the Provider in writing of its reasons for its rejection; and</w:t>
      </w:r>
    </w:p>
    <w:p w14:paraId="10FB6822" w14:textId="3F14B165" w:rsidR="00626054" w:rsidRPr="001A1836" w:rsidRDefault="00626054">
      <w:pPr>
        <w:pStyle w:val="GSRL5numberedclause"/>
      </w:pPr>
      <w:r w:rsidRPr="001A1836">
        <w:t xml:space="preserve">the Provider shall then revise the Review Report and/or the Provider’s Proposals as the case may be (taking reasonable account of HSE’s comments and carrying out any necessary actions in connection with the revision) and shall re-submit a revised Review Report and/or revised Provider’s Proposals to HSE for HSE’s approval within twenty (20) Working Days of the date of HSE’s notice of rejection. The provisions of </w:t>
      </w:r>
      <w:hyperlink r:id="rId38" w:anchor="a372155" w:history="1">
        <w:r w:rsidRPr="001A1836">
          <w:t>paragraphs</w:t>
        </w:r>
      </w:hyperlink>
      <w:r w:rsidRPr="001A1836">
        <w:t xml:space="preserve"> </w:t>
      </w:r>
      <w:r w:rsidRPr="001A1836">
        <w:fldChar w:fldCharType="begin"/>
      </w:r>
      <w:r w:rsidRPr="001A1836">
        <w:instrText xml:space="preserve"> REF _Ref365641604 \r \h  \* MERGEFORMAT </w:instrText>
      </w:r>
      <w:r w:rsidRPr="001A1836">
        <w:fldChar w:fldCharType="separate"/>
      </w:r>
      <w:r w:rsidR="00C87D85">
        <w:t>6.3</w:t>
      </w:r>
      <w:r w:rsidRPr="001A1836">
        <w:fldChar w:fldCharType="end"/>
      </w:r>
      <w:r w:rsidRPr="001A1836">
        <w:t xml:space="preserve"> and </w:t>
      </w:r>
      <w:r w:rsidRPr="001A1836">
        <w:fldChar w:fldCharType="begin"/>
      </w:r>
      <w:r w:rsidRPr="001A1836">
        <w:instrText xml:space="preserve"> REF _Ref365641607 \r \h  \* MERGEFORMAT </w:instrText>
      </w:r>
      <w:r w:rsidRPr="001A1836">
        <w:fldChar w:fldCharType="separate"/>
      </w:r>
      <w:r w:rsidR="00C87D85">
        <w:t>6.4</w:t>
      </w:r>
      <w:r w:rsidRPr="001A1836">
        <w:fldChar w:fldCharType="end"/>
      </w:r>
      <w:r w:rsidRPr="001A1836">
        <w:t xml:space="preserve"> of this Schedule 15 shall apply again to any resubmitted Review Report and Provider’s Proposals, provided that either Party may refer any disputed matters for resolution by the Dispute Resolution Procedure at any time.</w:t>
      </w:r>
    </w:p>
    <w:p w14:paraId="17D69554" w14:textId="77777777" w:rsidR="00626054" w:rsidRPr="001A1836" w:rsidRDefault="00626054">
      <w:pPr>
        <w:pStyle w:val="GSRL4numberedclause"/>
      </w:pPr>
      <w:r w:rsidRPr="001A1836">
        <w:t>The Provider shall as soon as is reasonably practicable after receiving HSE’s approval of the Provider's Proposals (having regard to the significance of any risks highlighted in the Review Report) effect any change in its practices or procedures necessary so as to give effect to the Provider's Proposals. Any such change shall be at the Provider’s expense unless it can be reasonably shown that the changes are required because of a material change to the risk profile of the Services.</w:t>
      </w:r>
    </w:p>
    <w:p w14:paraId="1E2B7B1A" w14:textId="4324E63D" w:rsidR="00626054" w:rsidRPr="001A1836" w:rsidRDefault="00626054">
      <w:pPr>
        <w:pStyle w:val="GSRL3heading"/>
        <w:spacing w:before="240"/>
      </w:pPr>
      <w:bookmarkStart w:id="2977" w:name="_Ref67461440"/>
      <w:bookmarkStart w:id="2978" w:name="_Toc508717297"/>
      <w:bookmarkStart w:id="2979" w:name="_Toc521327158"/>
      <w:bookmarkStart w:id="2980" w:name="_Toc521333391"/>
      <w:bookmarkStart w:id="2981" w:name="_Toc521484122"/>
      <w:bookmarkStart w:id="2982" w:name="_Toc521484885"/>
      <w:bookmarkStart w:id="2983" w:name="_Toc521485216"/>
      <w:bookmarkStart w:id="2984" w:name="_Toc521496953"/>
      <w:bookmarkStart w:id="2985" w:name="_Toc521498395"/>
      <w:bookmarkStart w:id="2986" w:name="_Toc529346090"/>
      <w:bookmarkStart w:id="2987" w:name="_Toc129038311"/>
      <w:bookmarkStart w:id="2988" w:name="_Toc129038597"/>
      <w:bookmarkStart w:id="2989" w:name="_Toc132268177"/>
      <w:bookmarkStart w:id="2990" w:name="_Toc132268483"/>
      <w:bookmarkStart w:id="2991" w:name="_Toc136198733"/>
      <w:bookmarkStart w:id="2992" w:name="_Toc136199014"/>
      <w:bookmarkStart w:id="2993" w:name="_Toc65568226"/>
      <w:bookmarkStart w:id="2994" w:name="_Toc65584446"/>
      <w:bookmarkStart w:id="2995" w:name="_Toc65656963"/>
      <w:bookmarkStart w:id="2996" w:name="_Ref65668317"/>
      <w:bookmarkStart w:id="2997" w:name="_Ref65668424"/>
      <w:bookmarkStart w:id="2998" w:name="_Toc65984317"/>
      <w:bookmarkStart w:id="2999" w:name="_Ref65990049"/>
      <w:bookmarkStart w:id="3000" w:name="_Ref66094954"/>
      <w:bookmarkStart w:id="3001" w:name="_Ref66165746"/>
      <w:bookmarkStart w:id="3002" w:name="_Ref66169873"/>
      <w:bookmarkStart w:id="3003" w:name="_Toc66261921"/>
      <w:r w:rsidRPr="001A1836">
        <w:t xml:space="preserve">Testing of the </w:t>
      </w:r>
      <w:bookmarkEnd w:id="2977"/>
      <w:r w:rsidR="00143A79">
        <w:t>Service Continuity</w:t>
      </w:r>
      <w:r w:rsidRPr="001A1836">
        <w:t xml:space="preserve"> Plan</w:t>
      </w:r>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p>
    <w:p w14:paraId="051E6825" w14:textId="7A54A46B" w:rsidR="00626054" w:rsidRPr="001A1836" w:rsidRDefault="00626054">
      <w:pPr>
        <w:pStyle w:val="GSRL4numberedclause"/>
      </w:pPr>
      <w:bookmarkStart w:id="3004" w:name="_Ref52105329"/>
      <w:bookmarkStart w:id="3005" w:name="_Toc139080397"/>
      <w:r w:rsidRPr="001A1836">
        <w:t xml:space="preserve">The Provider shall test the </w:t>
      </w:r>
      <w:r w:rsidR="00143A79">
        <w:t>Service Continuity</w:t>
      </w:r>
      <w:r w:rsidRPr="001A1836">
        <w:t xml:space="preserve"> Plan on a regular basis (and in any event not less than once in every Contract Year).  Subject to paragraph </w:t>
      </w:r>
      <w:r w:rsidRPr="001A1836">
        <w:fldChar w:fldCharType="begin"/>
      </w:r>
      <w:r w:rsidRPr="001A1836">
        <w:instrText xml:space="preserve"> REF _Ref63738703 \r \h  \* MERGEFORMAT </w:instrText>
      </w:r>
      <w:r w:rsidRPr="001A1836">
        <w:fldChar w:fldCharType="separate"/>
      </w:r>
      <w:r w:rsidR="00C87D85">
        <w:t>7.2</w:t>
      </w:r>
      <w:r w:rsidRPr="001A1836">
        <w:fldChar w:fldCharType="end"/>
      </w:r>
      <w:r w:rsidRPr="001A1836">
        <w:t xml:space="preserve"> of this Schedule 15, HSE may require the Provider to conduct additional tests of some or all aspects of the </w:t>
      </w:r>
      <w:r w:rsidR="00143A79">
        <w:t>Service Continuity</w:t>
      </w:r>
      <w:r w:rsidRPr="001A1836">
        <w:t xml:space="preserve"> Plan at any time where HSE considers it necessary, including where there has been any change to the Services or any underlying business processes, or on the occurrence of any event which may increase the likelihood of the need to implement the </w:t>
      </w:r>
      <w:r w:rsidR="00143A79">
        <w:t>Service Continuity</w:t>
      </w:r>
      <w:r w:rsidRPr="001A1836">
        <w:t xml:space="preserve"> Plan.</w:t>
      </w:r>
      <w:bookmarkEnd w:id="3004"/>
      <w:bookmarkEnd w:id="3005"/>
    </w:p>
    <w:p w14:paraId="7A8E02CB" w14:textId="18D0CF53" w:rsidR="00626054" w:rsidRPr="001A1836" w:rsidRDefault="00626054">
      <w:pPr>
        <w:pStyle w:val="GSRL4numberedclause"/>
      </w:pPr>
      <w:bookmarkStart w:id="3006" w:name="_Ref63738703"/>
      <w:bookmarkStart w:id="3007" w:name="_Toc139080398"/>
      <w:r w:rsidRPr="001A1836">
        <w:lastRenderedPageBreak/>
        <w:t xml:space="preserve">If HSE requires an additional test of the </w:t>
      </w:r>
      <w:r w:rsidR="00143A79">
        <w:t>Service Continuity</w:t>
      </w:r>
      <w:r w:rsidRPr="001A1836">
        <w:t xml:space="preserve"> Plan, it shall give the Provider written notice and the Provider shall conduct the test in accordance with HSE’s requirements and the relevant provisions of the </w:t>
      </w:r>
      <w:r w:rsidR="00143A79">
        <w:t>Service Continuity</w:t>
      </w:r>
      <w:r w:rsidRPr="001A1836">
        <w:t xml:space="preserve"> Plan.  The Provider's costs of the additional test shall be borne by HSE unless the </w:t>
      </w:r>
      <w:r w:rsidR="00143A79">
        <w:t>Service Continuity</w:t>
      </w:r>
      <w:r w:rsidRPr="001A1836">
        <w:t xml:space="preserve"> Plan fails the additional test in which case the Provider's costs of that failed test shall be borne by the Provider.</w:t>
      </w:r>
      <w:bookmarkEnd w:id="3006"/>
      <w:bookmarkEnd w:id="3007"/>
    </w:p>
    <w:p w14:paraId="350E1E28" w14:textId="1558BBB4" w:rsidR="00626054" w:rsidRPr="001A1836" w:rsidRDefault="00626054">
      <w:pPr>
        <w:pStyle w:val="GSRL4numberedclause"/>
      </w:pPr>
      <w:r w:rsidRPr="001A1836">
        <w:t xml:space="preserve">The Provider shall undertake and manage testing of the </w:t>
      </w:r>
      <w:r w:rsidR="00143A79">
        <w:t>Service Continuity</w:t>
      </w:r>
      <w:r w:rsidRPr="001A1836">
        <w:t xml:space="preserve"> Plan in full consultation with HSE and shall liaise with HSE in respect of the planning, performance, and review, of each test, and shall comply with the reasonable requirements of HSE in this regard.  Each test shall be carried out under the supervision of HSE or its nominee.</w:t>
      </w:r>
    </w:p>
    <w:p w14:paraId="79A7BA79" w14:textId="77777777" w:rsidR="00626054" w:rsidRPr="001A1836" w:rsidRDefault="00626054">
      <w:pPr>
        <w:pStyle w:val="GSRL4numberedclause"/>
      </w:pPr>
      <w:r w:rsidRPr="001A1836">
        <w:t>The Provider shall ensure that any use by it or any Sub-Contractor of “live” data in such testing is first approved with HSE. Copies of live test data used in any such testing shall be (if so required by HSE) destroyed or returned to HSE on completion of the test.</w:t>
      </w:r>
    </w:p>
    <w:p w14:paraId="32A99AE9" w14:textId="77777777" w:rsidR="00626054" w:rsidRPr="001A1836" w:rsidRDefault="00626054">
      <w:pPr>
        <w:pStyle w:val="GSRL4numberedclause"/>
      </w:pPr>
      <w:r w:rsidRPr="001A1836">
        <w:t>The Provider shall, within twenty (20) Working Days of the conclusion of each test, provide to HSE a report setting out:</w:t>
      </w:r>
    </w:p>
    <w:p w14:paraId="2FA8A64D" w14:textId="77777777" w:rsidR="00626054" w:rsidRPr="001A1836" w:rsidRDefault="00626054">
      <w:pPr>
        <w:pStyle w:val="GSRL5numberedclause"/>
      </w:pPr>
      <w:r w:rsidRPr="001A1836">
        <w:t>the outcome of the test;</w:t>
      </w:r>
    </w:p>
    <w:p w14:paraId="7400A0A6" w14:textId="738B221D" w:rsidR="00626054" w:rsidRPr="001A1836" w:rsidRDefault="00626054">
      <w:pPr>
        <w:pStyle w:val="GSRL5numberedclause"/>
      </w:pPr>
      <w:r w:rsidRPr="001A1836">
        <w:t xml:space="preserve">any failures in the </w:t>
      </w:r>
      <w:r w:rsidR="00143A79">
        <w:t>Service Continuity</w:t>
      </w:r>
      <w:r w:rsidRPr="001A1836">
        <w:t xml:space="preserve"> Plan (including the </w:t>
      </w:r>
      <w:r w:rsidR="00143A79">
        <w:t>Service Continuity</w:t>
      </w:r>
      <w:r w:rsidRPr="001A1836">
        <w:t xml:space="preserve"> Plan's procedures) revealed by the test; and</w:t>
      </w:r>
    </w:p>
    <w:p w14:paraId="572007D9" w14:textId="77777777" w:rsidR="00626054" w:rsidRPr="001A1836" w:rsidRDefault="00626054">
      <w:pPr>
        <w:pStyle w:val="GSRL5numberedclause"/>
      </w:pPr>
      <w:r w:rsidRPr="001A1836">
        <w:t>the Provider's proposals for remedying any such failures.</w:t>
      </w:r>
    </w:p>
    <w:p w14:paraId="02DA004E" w14:textId="06BF4F12" w:rsidR="00626054" w:rsidRPr="001A1836" w:rsidRDefault="00626054">
      <w:pPr>
        <w:pStyle w:val="GSRL4numberedclause"/>
      </w:pPr>
      <w:bookmarkStart w:id="3008" w:name="_Ref71563056"/>
      <w:r w:rsidRPr="001A1836">
        <w:t xml:space="preserve">Following each test, the Provider shall take all measures requested by HSE, (including requests for the re-testing of the </w:t>
      </w:r>
      <w:r w:rsidR="00143A79">
        <w:t>Service Continuity</w:t>
      </w:r>
      <w:r w:rsidRPr="001A1836">
        <w:t xml:space="preserve"> Plan) to remedy any failures in the </w:t>
      </w:r>
      <w:r w:rsidR="00143A79">
        <w:t>Service Continuity</w:t>
      </w:r>
      <w:r w:rsidRPr="001A1836">
        <w:t xml:space="preserve"> Plan and such remedial activity and re-testing shall be completed by the Provider, at no additional cost to HSE, by the date reasonably required by HSE and set out in such notice.</w:t>
      </w:r>
    </w:p>
    <w:bookmarkEnd w:id="3008"/>
    <w:p w14:paraId="004A561B" w14:textId="1876C676" w:rsidR="00626054" w:rsidRPr="001A1836" w:rsidRDefault="00626054">
      <w:pPr>
        <w:pStyle w:val="GSRL4numberedclause"/>
      </w:pPr>
      <w:r w:rsidRPr="001A1836">
        <w:t xml:space="preserve">For the avoidance of doubt, the carrying out of a test of the </w:t>
      </w:r>
      <w:r w:rsidR="00143A79">
        <w:t>Service Continuity</w:t>
      </w:r>
      <w:r w:rsidRPr="001A1836">
        <w:t xml:space="preserve"> Plan (including a test of the </w:t>
      </w:r>
      <w:r w:rsidR="00143A79">
        <w:t>Service Continuity</w:t>
      </w:r>
      <w:r w:rsidRPr="001A1836">
        <w:t xml:space="preserve"> Plan’s procedures) shall not relieve the Provider of any of its obligations under this Agreement.</w:t>
      </w:r>
    </w:p>
    <w:p w14:paraId="3ED5EBE7" w14:textId="07D4D51E" w:rsidR="00626054" w:rsidRPr="001A1836" w:rsidRDefault="00626054">
      <w:pPr>
        <w:pStyle w:val="GSRL4numberedclause"/>
      </w:pPr>
      <w:r w:rsidRPr="001A1836">
        <w:t xml:space="preserve">The Provider shall also perform a test of the </w:t>
      </w:r>
      <w:r w:rsidR="00143A79">
        <w:t>Service Continuity</w:t>
      </w:r>
      <w:r w:rsidRPr="001A1836">
        <w:t xml:space="preserve"> Plan in the event of any major reconfiguration of the Services or as otherwise reasonably requested by HSE.</w:t>
      </w:r>
    </w:p>
    <w:p w14:paraId="2FC7E032" w14:textId="7205BC3E" w:rsidR="00626054" w:rsidRPr="001A1836" w:rsidRDefault="00626054">
      <w:pPr>
        <w:pStyle w:val="GSRL3heading"/>
        <w:spacing w:before="240"/>
      </w:pPr>
      <w:bookmarkStart w:id="3009" w:name="_Ref71085594"/>
      <w:bookmarkStart w:id="3010" w:name="_Toc508717298"/>
      <w:bookmarkStart w:id="3011" w:name="_Toc521327159"/>
      <w:bookmarkStart w:id="3012" w:name="_Toc521333392"/>
      <w:bookmarkStart w:id="3013" w:name="_Toc521484123"/>
      <w:bookmarkStart w:id="3014" w:name="_Toc521484886"/>
      <w:bookmarkStart w:id="3015" w:name="_Toc521485217"/>
      <w:bookmarkStart w:id="3016" w:name="_Toc521496954"/>
      <w:bookmarkStart w:id="3017" w:name="_Toc521498396"/>
      <w:bookmarkStart w:id="3018" w:name="_Toc529346091"/>
      <w:bookmarkStart w:id="3019" w:name="_Toc129038312"/>
      <w:bookmarkStart w:id="3020" w:name="_Toc129038598"/>
      <w:bookmarkStart w:id="3021" w:name="_Toc132268178"/>
      <w:bookmarkStart w:id="3022" w:name="_Toc132268484"/>
      <w:bookmarkStart w:id="3023" w:name="_Toc136198734"/>
      <w:bookmarkStart w:id="3024" w:name="_Toc136199015"/>
      <w:bookmarkEnd w:id="2993"/>
      <w:bookmarkEnd w:id="2994"/>
      <w:bookmarkEnd w:id="2995"/>
      <w:bookmarkEnd w:id="2996"/>
      <w:bookmarkEnd w:id="2997"/>
      <w:bookmarkEnd w:id="2998"/>
      <w:bookmarkEnd w:id="2999"/>
      <w:bookmarkEnd w:id="3000"/>
      <w:bookmarkEnd w:id="3001"/>
      <w:bookmarkEnd w:id="3002"/>
      <w:bookmarkEnd w:id="3003"/>
      <w:r w:rsidRPr="001A1836">
        <w:t xml:space="preserve">Invocation of the </w:t>
      </w:r>
      <w:r w:rsidR="00143A79">
        <w:t>Service Continuity</w:t>
      </w:r>
      <w:r w:rsidRPr="001A1836">
        <w:t xml:space="preserve"> </w:t>
      </w:r>
      <w:bookmarkEnd w:id="3009"/>
      <w:r w:rsidRPr="001A1836">
        <w:t>Plan</w:t>
      </w:r>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p>
    <w:p w14:paraId="21F09B3C" w14:textId="709CCB5C" w:rsidR="00626054" w:rsidRPr="00A71547" w:rsidRDefault="00626054">
      <w:pPr>
        <w:pStyle w:val="GSRL4numberedclause"/>
      </w:pPr>
      <w:r w:rsidRPr="001A1836">
        <w:t xml:space="preserve">In the event of a loss of </w:t>
      </w:r>
      <w:r w:rsidR="00A71547">
        <w:t>any critical part of the S</w:t>
      </w:r>
      <w:r w:rsidRPr="001A1836">
        <w:t>ervice</w:t>
      </w:r>
      <w:r w:rsidR="00A71547">
        <w:t>s</w:t>
      </w:r>
      <w:r w:rsidRPr="001A1836">
        <w:t xml:space="preserve"> or in the event of a Disaster, the Provider shall immediately invoke </w:t>
      </w:r>
      <w:r w:rsidRPr="001A1836">
        <w:rPr>
          <w:rFonts w:eastAsia="STZhongsong"/>
        </w:rPr>
        <w:t xml:space="preserve">the </w:t>
      </w:r>
      <w:r w:rsidR="00A71547" w:rsidRPr="00A71547">
        <w:rPr>
          <w:rFonts w:eastAsia="STZhongsong"/>
        </w:rPr>
        <w:t xml:space="preserve">business continuity and disaster recovery provisions in the Service Continuity Plan, including any linked elements in other parts of the </w:t>
      </w:r>
      <w:r w:rsidR="00143A79">
        <w:rPr>
          <w:rFonts w:eastAsia="STZhongsong"/>
        </w:rPr>
        <w:t>Service Continuity</w:t>
      </w:r>
      <w:r w:rsidRPr="001A1836">
        <w:rPr>
          <w:rFonts w:eastAsia="STZhongsong"/>
        </w:rPr>
        <w:t xml:space="preserve"> Plan (and shall inform HSE promptly of such invocation). In all other instances the Provider shall invoke the </w:t>
      </w:r>
      <w:r w:rsidR="00A71547" w:rsidRPr="00A71547">
        <w:rPr>
          <w:rFonts w:eastAsia="STZhongsong"/>
        </w:rPr>
        <w:t xml:space="preserve">business continuity and disaster recovery plan elements </w:t>
      </w:r>
      <w:r w:rsidR="00A71547">
        <w:rPr>
          <w:rFonts w:eastAsia="STZhongsong"/>
        </w:rPr>
        <w:t xml:space="preserve">of the </w:t>
      </w:r>
      <w:r w:rsidR="00143A79">
        <w:rPr>
          <w:rFonts w:eastAsia="STZhongsong"/>
        </w:rPr>
        <w:t>Service Continuity</w:t>
      </w:r>
      <w:r w:rsidRPr="001A1836">
        <w:rPr>
          <w:rFonts w:eastAsia="STZhongsong"/>
        </w:rPr>
        <w:t xml:space="preserve"> Plan only with the prior consent of HSE.</w:t>
      </w:r>
    </w:p>
    <w:p w14:paraId="3481C34B" w14:textId="3895CA78" w:rsidR="00A71547" w:rsidRDefault="00A71547">
      <w:pPr>
        <w:pStyle w:val="GSRL4numberedclause"/>
      </w:pPr>
      <w:r>
        <w:t>The Insolvency Continuity Plan element of the Service Continuity Plans, including any linked elements in other parts of the Service Continuity Plan, shall be invoked by the Provider:</w:t>
      </w:r>
    </w:p>
    <w:p w14:paraId="712DE0D2" w14:textId="5B4E35E4" w:rsidR="00A71547" w:rsidRDefault="00A71547">
      <w:pPr>
        <w:pStyle w:val="GSRL5numberedclause"/>
      </w:pPr>
      <w:r>
        <w:t xml:space="preserve">where an Insolvency Event of a Key Sub-Contractor and/or </w:t>
      </w:r>
      <w:r w:rsidR="00010038">
        <w:t>Provider</w:t>
      </w:r>
      <w:r>
        <w:t xml:space="preserve"> Group member (other than the Provider) could reasonably be expected to adversely affect delivery of the Services; and/or</w:t>
      </w:r>
    </w:p>
    <w:p w14:paraId="0816CA8F" w14:textId="4E314302" w:rsidR="00A71547" w:rsidRDefault="00A71547">
      <w:pPr>
        <w:pStyle w:val="GSRL5numberedclause"/>
      </w:pPr>
      <w:r>
        <w:lastRenderedPageBreak/>
        <w:t>where there is an Insolvency Event of the Provider and the insolvency arrangements enable the Provider to invoke the plan.</w:t>
      </w:r>
    </w:p>
    <w:p w14:paraId="5A22542D" w14:textId="51133031" w:rsidR="0026419D" w:rsidRDefault="0026419D" w:rsidP="0026419D">
      <w:pPr>
        <w:pStyle w:val="GSRL3heading"/>
        <w:numPr>
          <w:ilvl w:val="0"/>
          <w:numId w:val="0"/>
        </w:numPr>
      </w:pPr>
      <w:bookmarkStart w:id="3025" w:name="_Toc132268179"/>
      <w:bookmarkStart w:id="3026" w:name="_Toc132268485"/>
      <w:bookmarkStart w:id="3027" w:name="_Toc136198735"/>
      <w:bookmarkStart w:id="3028" w:name="_Toc136199016"/>
      <w:r>
        <w:t>Part B: Corporate Resolution Planning</w:t>
      </w:r>
      <w:bookmarkEnd w:id="3025"/>
      <w:bookmarkEnd w:id="3026"/>
      <w:bookmarkEnd w:id="3027"/>
      <w:bookmarkEnd w:id="3028"/>
    </w:p>
    <w:p w14:paraId="3C44F48F" w14:textId="1419306E" w:rsidR="0026419D" w:rsidRDefault="0026419D">
      <w:pPr>
        <w:pStyle w:val="GSRL3heading"/>
      </w:pPr>
      <w:bookmarkStart w:id="3029" w:name="_Toc132268180"/>
      <w:bookmarkStart w:id="3030" w:name="_Toc132268486"/>
      <w:bookmarkStart w:id="3031" w:name="_Toc136198736"/>
      <w:bookmarkStart w:id="3032" w:name="_Toc136199017"/>
      <w:r>
        <w:t>Service Status and Provider Status</w:t>
      </w:r>
      <w:bookmarkEnd w:id="3029"/>
      <w:bookmarkEnd w:id="3030"/>
      <w:bookmarkEnd w:id="3031"/>
      <w:bookmarkEnd w:id="3032"/>
    </w:p>
    <w:p w14:paraId="59F8D49F" w14:textId="6A7B76F6" w:rsidR="0026419D" w:rsidRDefault="0026419D">
      <w:pPr>
        <w:pStyle w:val="GSRL4numberedclause"/>
      </w:pPr>
      <w:r>
        <w:t xml:space="preserve">This Agreement 'is' a Critical Service Contract. </w:t>
      </w:r>
    </w:p>
    <w:p w14:paraId="6D9FB745" w14:textId="0B392DAA" w:rsidR="0026419D" w:rsidRDefault="0026419D">
      <w:pPr>
        <w:pStyle w:val="GSRL4numberedclause"/>
      </w:pPr>
      <w:r>
        <w:t>The Provider shall notify HSE and the Cabinet Office Markets and Suppliers Team (Resolution.planning@cabinetoffice.gov.uk) in writing within 5 Working Days of the Effective Date and throughout the Term within 120 days after each Accounting Reference Date as to whether or not it is a Public Sector Dependent Supplier.</w:t>
      </w:r>
    </w:p>
    <w:p w14:paraId="2346CCBA" w14:textId="77777777" w:rsidR="0026419D" w:rsidRDefault="0026419D">
      <w:pPr>
        <w:pStyle w:val="GSRL3heading"/>
      </w:pPr>
      <w:bookmarkStart w:id="3033" w:name="_Toc132268181"/>
      <w:bookmarkStart w:id="3034" w:name="_Toc132268487"/>
      <w:bookmarkStart w:id="3035" w:name="_Toc136198737"/>
      <w:bookmarkStart w:id="3036" w:name="_Toc136199018"/>
      <w:r>
        <w:t>Provision of Corporate Resolution Planning Information (CRP Information)</w:t>
      </w:r>
      <w:bookmarkEnd w:id="3033"/>
      <w:bookmarkEnd w:id="3034"/>
      <w:bookmarkEnd w:id="3035"/>
      <w:bookmarkEnd w:id="3036"/>
    </w:p>
    <w:p w14:paraId="6E28BC61" w14:textId="72785C44" w:rsidR="0026419D" w:rsidRDefault="0026419D">
      <w:pPr>
        <w:pStyle w:val="GSRL4numberedclause"/>
      </w:pPr>
      <w:r>
        <w:t xml:space="preserve">Paragraphs 10 to 12 shall apply if this Agreement has been specified as a Critical Service Contract under </w:t>
      </w:r>
      <w:r w:rsidR="00A77559">
        <w:t>p</w:t>
      </w:r>
      <w:r>
        <w:t xml:space="preserve">aragraph 9.1 of this Schedule or the </w:t>
      </w:r>
      <w:r w:rsidR="00010038">
        <w:t>Provider</w:t>
      </w:r>
      <w:r>
        <w:t xml:space="preserve"> is or becomes a Public Sector Dependent Supplier.</w:t>
      </w:r>
    </w:p>
    <w:p w14:paraId="2BCFDA03" w14:textId="0E78981D" w:rsidR="0026419D" w:rsidRDefault="0026419D">
      <w:pPr>
        <w:pStyle w:val="GSRL4numberedclause"/>
      </w:pPr>
      <w:r>
        <w:t xml:space="preserve">Subject to </w:t>
      </w:r>
      <w:r w:rsidR="00A77559">
        <w:t>p</w:t>
      </w:r>
      <w:r>
        <w:t>aragraphs 10.6, 10.10 and 10.11 of this Schedule:</w:t>
      </w:r>
    </w:p>
    <w:p w14:paraId="5FEB79D5" w14:textId="3034876D" w:rsidR="0026419D" w:rsidRDefault="0026419D">
      <w:pPr>
        <w:pStyle w:val="GSRL5numberedclause"/>
      </w:pPr>
      <w:r>
        <w:t xml:space="preserve">where </w:t>
      </w:r>
      <w:r w:rsidR="00010038">
        <w:t>the Agreement</w:t>
      </w:r>
      <w:r>
        <w:t xml:space="preserve"> is a Critical Service Contract, the Provider shall provide the Relevant Authority or Relevant Authorities with CRP Information within 60 days of the Effective Date; and</w:t>
      </w:r>
    </w:p>
    <w:p w14:paraId="67ADCAED" w14:textId="4A5E77CC" w:rsidR="0026419D" w:rsidRDefault="0026419D">
      <w:pPr>
        <w:pStyle w:val="GSRL5numberedclause"/>
      </w:pPr>
      <w:r>
        <w:t xml:space="preserve">except where it has already been provided in accordance with paragraph 10.2.1 of this Schedule, where the Provider is a Public Sector Dependent </w:t>
      </w:r>
      <w:r w:rsidR="00010038">
        <w:t>Provider</w:t>
      </w:r>
      <w:r>
        <w:t>, it shall provide the Relevant Authority or Relevant Authorities with the CRP Information within 60 days of the date of the Relevant Authority's or Relevant Authorities' request.</w:t>
      </w:r>
    </w:p>
    <w:p w14:paraId="114ECB2E" w14:textId="43704A4E" w:rsidR="0026419D" w:rsidRDefault="0026419D">
      <w:pPr>
        <w:pStyle w:val="GSRL4numberedclause"/>
      </w:pPr>
      <w:r>
        <w:t xml:space="preserve">The Provider shall ensure that the CRP Information provided pursuant to </w:t>
      </w:r>
      <w:r w:rsidR="00A77559">
        <w:t>p</w:t>
      </w:r>
      <w:r>
        <w:t>aragraphs 10.2, 10.8 and 10.9 of this Schedule:</w:t>
      </w:r>
    </w:p>
    <w:p w14:paraId="16D55877" w14:textId="77777777" w:rsidR="0026419D" w:rsidRDefault="0026419D">
      <w:pPr>
        <w:pStyle w:val="GSRL5numberedclause"/>
      </w:pPr>
      <w:r>
        <w:t>is full, comprehensive, accurate and up to date;</w:t>
      </w:r>
    </w:p>
    <w:p w14:paraId="11AF7BEA" w14:textId="77777777" w:rsidR="0026419D" w:rsidRDefault="0026419D">
      <w:pPr>
        <w:pStyle w:val="GSRL5numberedclause"/>
      </w:pPr>
      <w:r>
        <w:t>is split into three parts:</w:t>
      </w:r>
    </w:p>
    <w:p w14:paraId="143179B5" w14:textId="77777777" w:rsidR="0026419D" w:rsidRDefault="0026419D">
      <w:pPr>
        <w:pStyle w:val="GSRL6numberedclause"/>
      </w:pPr>
      <w:r>
        <w:t>Exposure Information (Contracts List);</w:t>
      </w:r>
    </w:p>
    <w:p w14:paraId="4916C2FC" w14:textId="77777777" w:rsidR="0026419D" w:rsidRDefault="0026419D">
      <w:pPr>
        <w:pStyle w:val="GSRL6numberedclause"/>
      </w:pPr>
      <w:r>
        <w:t>Corporate Resolvability Assessment (Structural Review);</w:t>
      </w:r>
    </w:p>
    <w:p w14:paraId="09431A29" w14:textId="77777777" w:rsidR="0026419D" w:rsidRDefault="0026419D">
      <w:pPr>
        <w:pStyle w:val="GSRL6numberedclause"/>
      </w:pPr>
      <w:r>
        <w:t>Financial Information and Commentary</w:t>
      </w:r>
    </w:p>
    <w:p w14:paraId="6E4F5DD9" w14:textId="4CA1E7ED" w:rsidR="0026419D" w:rsidRDefault="0026419D" w:rsidP="0026419D">
      <w:pPr>
        <w:pStyle w:val="GSRL4numberedclause"/>
        <w:numPr>
          <w:ilvl w:val="0"/>
          <w:numId w:val="0"/>
        </w:numPr>
        <w:ind w:left="1582"/>
      </w:pPr>
      <w:r>
        <w:t>and is structured and presented in accordance with the requirements and explanatory notes set out at the relevant Annex of the latest published versions of the Resolution Planning Guidance Notes published by the Cabinet Office Government Commercial Function and available at https://www.gov.uk/government/publications/the-sourcing-and-consultancy-playbooks and contains the level of detail required (adapted as necessary to the Provider's circumstances);</w:t>
      </w:r>
    </w:p>
    <w:p w14:paraId="75D04E8E" w14:textId="77777777" w:rsidR="0026419D" w:rsidRDefault="0026419D">
      <w:pPr>
        <w:pStyle w:val="GSRL5numberedclause"/>
      </w:pPr>
      <w:r>
        <w:t>incorporates any additional commentary, supporting documents and evidence which would reasonably be required by the Relevant Authority or Relevant Authorities to understand and consider the information for approval;</w:t>
      </w:r>
    </w:p>
    <w:p w14:paraId="5362A02F" w14:textId="28889340" w:rsidR="0026419D" w:rsidRDefault="0026419D">
      <w:pPr>
        <w:pStyle w:val="GSRL5numberedclause"/>
      </w:pPr>
      <w:r>
        <w:lastRenderedPageBreak/>
        <w:t xml:space="preserve">provides a clear description and explanation of the Provider's Group members that have agreements for goods, services </w:t>
      </w:r>
      <w:r w:rsidR="005B3897">
        <w:t>o</w:t>
      </w:r>
      <w:r>
        <w:t>r works provision in respect of UK Public Sector Business and/or CNI and the nature of those agreements; and</w:t>
      </w:r>
    </w:p>
    <w:p w14:paraId="09A81BFF" w14:textId="77777777" w:rsidR="0026419D" w:rsidRDefault="0026419D">
      <w:pPr>
        <w:pStyle w:val="GSRL5numberedclause"/>
      </w:pPr>
      <w:r>
        <w:t>complies with the requirements set out at Annex 1 (Exposure Information (Contracts List)), Annex 2 (Corporate Resolvability Assessment (Structural Review)) and Annex 3 (Financial Information And Commentary) respectively.</w:t>
      </w:r>
    </w:p>
    <w:p w14:paraId="1146AEDA" w14:textId="4E3FECFC" w:rsidR="0026419D" w:rsidRDefault="0026419D">
      <w:pPr>
        <w:pStyle w:val="GSRL4numberedclause"/>
      </w:pPr>
      <w:r>
        <w:t xml:space="preserve">Following receipt by the Relevant Authority or Relevant Authorities of the CRP Information pursuant to </w:t>
      </w:r>
      <w:r w:rsidR="00A77559">
        <w:t>p</w:t>
      </w:r>
      <w:r w:rsidR="00A46936">
        <w:t>aragraphs 10.2, 10.8 and 10</w:t>
      </w:r>
      <w:r>
        <w:t>.9 of this Schedule, HSE shall procure that the Relevant Authority or Relevant Authorities discuss in good faith the contents of the CRP Information with the Provider and no later than 60 days after the date on which the CRP Information was delivered by the Provider either provide an Assurance to the Provider that Relevant Authority or Relevant Authorities approve the CRP Information or that Relevant Authority or Relevant Authorities reject the CRP Information.</w:t>
      </w:r>
    </w:p>
    <w:p w14:paraId="5FAE90EC" w14:textId="77777777" w:rsidR="0026419D" w:rsidRDefault="0026419D">
      <w:pPr>
        <w:pStyle w:val="GSRL4numberedclause"/>
      </w:pPr>
      <w:r>
        <w:t>If the Relevant Authority or Relevant Authorities reject the CRP Information:</w:t>
      </w:r>
    </w:p>
    <w:p w14:paraId="46FAA29F" w14:textId="1E75609C" w:rsidR="0026419D" w:rsidRDefault="0026419D">
      <w:pPr>
        <w:pStyle w:val="GSRL5numberedclause"/>
      </w:pPr>
      <w:r>
        <w:t xml:space="preserve">HSE shall (and shall procure that the Cabinet Office Markets and Suppliers Team shall) inform the </w:t>
      </w:r>
      <w:r w:rsidR="00010038">
        <w:t>Provider</w:t>
      </w:r>
      <w:r>
        <w:t xml:space="preserve"> in writing of its reasons for its rejection; and</w:t>
      </w:r>
    </w:p>
    <w:p w14:paraId="183D9564" w14:textId="2787E90C" w:rsidR="0026419D" w:rsidRDefault="0026419D">
      <w:pPr>
        <w:pStyle w:val="GSRL5numberedclause"/>
      </w:pPr>
      <w:r>
        <w:t xml:space="preserve">the Provider shall revise the CRP Information, taking reasonable account of the Relevant Authority's or Relevant Authorities' comments, and shall re-submit the CRP Information to the Relevant Authority or Relevant Authorities for approval within 30 days of the date of the Relevant Authority's or Relevant Authorities' rejection.  The provisions of </w:t>
      </w:r>
      <w:r w:rsidR="00A77559">
        <w:t>p</w:t>
      </w:r>
      <w:r>
        <w:t>aragraph 10.3 to 10.5 of this Schedule shall apply again to any resubmitted CRP Information provided that either Party may refer any disputed matters for resolution by the Dispute Resolution Procedure at any time.</w:t>
      </w:r>
    </w:p>
    <w:p w14:paraId="0D98D8D3" w14:textId="144F0120" w:rsidR="0026419D" w:rsidRDefault="0026419D">
      <w:pPr>
        <w:pStyle w:val="GSRL4numberedclause"/>
      </w:pPr>
      <w:r>
        <w:t>Where the Provider or a member of the Provider's Group has already provided CRP Information to a Department or the Cabinet Office Markets and Suppliers Team (or, in the case of a Strategic Supplier, solely to the Cabinet Office Markets and Suppliers Team) and has received an Assurance of its CRP Information from that Department and the Cabinet Office Markets and Suppliers Team (or, in the case of a Strategic Supplier, solely from the Cabinet Office Markets and Suppliers Team), then provided that the Assurance remains Valid on the date by which the CRP Information would otherwise be required, the Provider shall not be required to provide the CRP Information under paragraph 10.2 if it provides a copy of the Valid Assurance to the Relevant Authority or Relevant Authorities on or before the date on which the CRP Information would otherwise have been required.</w:t>
      </w:r>
    </w:p>
    <w:p w14:paraId="3BC2D2AC" w14:textId="4810F575" w:rsidR="0026419D" w:rsidRDefault="0026419D">
      <w:pPr>
        <w:pStyle w:val="GSRL4numberedclause"/>
      </w:pPr>
      <w:r>
        <w:t>An Assurance shall be deemed Valid for the purposes of paragraph 10.6 of this Schedule if:</w:t>
      </w:r>
    </w:p>
    <w:p w14:paraId="3C18D6EB" w14:textId="77777777" w:rsidR="0026419D" w:rsidRDefault="0026419D">
      <w:pPr>
        <w:pStyle w:val="GSRL5numberedclause"/>
      </w:pPr>
      <w:r>
        <w:t xml:space="preserve">the Assurance is within the validity period stated in the Assurance (or, if no validity period is stated, no more than 12 months has elapsed since it was issued and no more than 18 months has elapsed since the Accounting Reference Date on which the CRP Information was based); and </w:t>
      </w:r>
    </w:p>
    <w:p w14:paraId="1FF9C552" w14:textId="66DC8972" w:rsidR="0026419D" w:rsidRDefault="0026419D">
      <w:pPr>
        <w:pStyle w:val="GSRL5numberedclause"/>
      </w:pPr>
      <w:r>
        <w:t xml:space="preserve">no Corporate Change Events or Financial Distress Events (or events which would be deemed to be Corporate Change Events or Financial Distress Events if </w:t>
      </w:r>
      <w:r w:rsidR="00010038">
        <w:t>the Agreement</w:t>
      </w:r>
      <w:r>
        <w:t xml:space="preserve"> had then been in force) have occurred since the date of issue of the Assurance.</w:t>
      </w:r>
    </w:p>
    <w:p w14:paraId="4C13AD5C" w14:textId="36D78096" w:rsidR="0026419D" w:rsidRDefault="0026419D">
      <w:pPr>
        <w:pStyle w:val="GSRL4numberedclause"/>
      </w:pPr>
      <w:r>
        <w:t xml:space="preserve">If this Agreement is a Critical Service Contract, the </w:t>
      </w:r>
      <w:r w:rsidR="00010038">
        <w:t>Provider</w:t>
      </w:r>
      <w:r>
        <w:t xml:space="preserve"> shall provide an updated version of the CRP Information (or, in the case of paragraph 10.</w:t>
      </w:r>
      <w:r w:rsidR="00A46936">
        <w:t>2.2</w:t>
      </w:r>
      <w:r>
        <w:t xml:space="preserve"> of this Schedule its initial CRP Information) to the Relevant Authority or Relevant Authorities:</w:t>
      </w:r>
    </w:p>
    <w:p w14:paraId="29EE82B5" w14:textId="55A3E9B2" w:rsidR="0026419D" w:rsidRDefault="0026419D">
      <w:pPr>
        <w:pStyle w:val="GSRL5numberedclause"/>
      </w:pPr>
      <w:r>
        <w:lastRenderedPageBreak/>
        <w:t xml:space="preserve">within 14 days of the occurrence of a Financial Distress Event (along with any additional highly confidential information no longer exempted from disclosure under paragraph 10.11 of this Schedule) unless the </w:t>
      </w:r>
      <w:r w:rsidR="00010038">
        <w:t>Provider</w:t>
      </w:r>
      <w:r>
        <w:t xml:space="preserve"> is relieved of the consequences of the Financial Distress Event under paragraph 7.1 of Schedule 25 (Financial Distress);</w:t>
      </w:r>
    </w:p>
    <w:p w14:paraId="3E191CE4" w14:textId="77777777" w:rsidR="0026419D" w:rsidRDefault="0026419D">
      <w:pPr>
        <w:pStyle w:val="GSRL5numberedclause"/>
      </w:pPr>
      <w:r>
        <w:t>within 30 days of a Corporate Change Event unless:</w:t>
      </w:r>
    </w:p>
    <w:p w14:paraId="64762713" w14:textId="6AB1D68E" w:rsidR="0026419D" w:rsidRDefault="0026419D">
      <w:pPr>
        <w:pStyle w:val="GSRL6numberedclause"/>
      </w:pPr>
      <w:r>
        <w:t>the Provider requests and the Relevant Authority (acting reasonably) agrees to a Corporate Change Event Grace Period, in the event of which the time period for the Provider to comply with this paragraph shall be extended as determined by the Relevant Authority (acting reasonably) but shall in any case be no longer than six months after the Corporate Change Event.  During a Corporate Change Event Grace Period the Provider shall regularly and fully engage with the Relevant Authority to enable it to understand the nature of the Corporate Change Event and the Relevant Authority shall reserve the right to terminate a Corporate Change Event Grace Period at any time if the Provider fails to comply with this paragraph; or</w:t>
      </w:r>
    </w:p>
    <w:p w14:paraId="23C5F259" w14:textId="240438B1" w:rsidR="0026419D" w:rsidRDefault="0026419D">
      <w:pPr>
        <w:pStyle w:val="GSRL6numberedclause"/>
      </w:pPr>
      <w:r>
        <w:t xml:space="preserve">not required pursuant to </w:t>
      </w:r>
      <w:r w:rsidR="00A77559">
        <w:t>p</w:t>
      </w:r>
      <w:r>
        <w:t>aragraph 10.10;</w:t>
      </w:r>
    </w:p>
    <w:p w14:paraId="7BEF1021" w14:textId="77777777" w:rsidR="0026419D" w:rsidRDefault="0026419D">
      <w:pPr>
        <w:pStyle w:val="GSRL5numberedclause"/>
      </w:pPr>
      <w:r>
        <w:t>within 30 days of the date that:</w:t>
      </w:r>
    </w:p>
    <w:p w14:paraId="1D4AACFD" w14:textId="68286BB0" w:rsidR="0026419D" w:rsidRDefault="0026419D">
      <w:pPr>
        <w:pStyle w:val="GSRL6numberedclause"/>
      </w:pPr>
      <w:r>
        <w:t>the credit rating(s) of each of the Provider and its Parent Undertakings fail to meet any of the criteria specified in paragraph 10.10; or</w:t>
      </w:r>
    </w:p>
    <w:p w14:paraId="54DB2812" w14:textId="17DD63C4" w:rsidR="0026419D" w:rsidRDefault="0026419D">
      <w:pPr>
        <w:pStyle w:val="GSRL6numberedclause"/>
      </w:pPr>
      <w:r>
        <w:t xml:space="preserve">none of the credit rating agencies specified at paragraph 10.10 hold a public credit rating for the </w:t>
      </w:r>
      <w:r w:rsidR="00010038">
        <w:t>Provider</w:t>
      </w:r>
      <w:r>
        <w:t xml:space="preserve"> or any of its Parent Undertakings; and</w:t>
      </w:r>
    </w:p>
    <w:p w14:paraId="769D2349" w14:textId="77777777" w:rsidR="0026419D" w:rsidRDefault="0026419D">
      <w:pPr>
        <w:pStyle w:val="GSRL5numberedclause"/>
      </w:pPr>
      <w:r>
        <w:t>in any event, within 6 months after each Accounting Reference Date or within 15 months of the date of the previous Assurance received from the Relevant Authority (whichever is the earlier), unless:</w:t>
      </w:r>
    </w:p>
    <w:p w14:paraId="055FA52E" w14:textId="50FFB524" w:rsidR="0026419D" w:rsidRDefault="0026419D">
      <w:pPr>
        <w:pStyle w:val="GSRL6numberedclause"/>
      </w:pPr>
      <w:r>
        <w:t>updated CRP Information has been provided under any of paragraphs 10</w:t>
      </w:r>
      <w:r w:rsidR="00E76161">
        <w:t>.8.1</w:t>
      </w:r>
      <w:r w:rsidR="00A77559">
        <w:t>,</w:t>
      </w:r>
      <w:r>
        <w:t xml:space="preserve"> 10</w:t>
      </w:r>
      <w:r w:rsidR="00E76161">
        <w:t>.8.2</w:t>
      </w:r>
      <w:r>
        <w:t xml:space="preserve"> or 10</w:t>
      </w:r>
      <w:r w:rsidR="00E76161">
        <w:t>.8.3</w:t>
      </w:r>
      <w:r>
        <w:t xml:space="preserve"> since the most recent Accounting Reference Date (being no more than 12 months previously) within the timescales that would ordinarily be required for the provision of that information under this </w:t>
      </w:r>
      <w:r w:rsidR="00A77559">
        <w:t>p</w:t>
      </w:r>
      <w:r>
        <w:t xml:space="preserve">aragraph </w:t>
      </w:r>
      <w:r w:rsidR="00E76161">
        <w:t>10.8.4</w:t>
      </w:r>
      <w:r>
        <w:t>; or</w:t>
      </w:r>
    </w:p>
    <w:p w14:paraId="41507A5A" w14:textId="7CD513EB" w:rsidR="0026419D" w:rsidRDefault="0026419D">
      <w:pPr>
        <w:pStyle w:val="GSRL6numberedclause"/>
      </w:pPr>
      <w:r>
        <w:t xml:space="preserve">unless not </w:t>
      </w:r>
      <w:r w:rsidR="00E76161">
        <w:t xml:space="preserve">required pursuant to </w:t>
      </w:r>
      <w:r w:rsidR="00A77559">
        <w:t>p</w:t>
      </w:r>
      <w:r w:rsidR="00E76161">
        <w:t>aragraph 10</w:t>
      </w:r>
      <w:r>
        <w:t>.10.</w:t>
      </w:r>
    </w:p>
    <w:p w14:paraId="4772A1B7" w14:textId="156A2984" w:rsidR="0026419D" w:rsidRDefault="0026419D">
      <w:pPr>
        <w:pStyle w:val="GSRL4numberedclause"/>
      </w:pPr>
      <w:r>
        <w:t xml:space="preserve">Where the </w:t>
      </w:r>
      <w:r w:rsidR="00010038">
        <w:t>Provider</w:t>
      </w:r>
      <w:r>
        <w:t xml:space="preserve"> is a Public Sector Dependent Supplier and this </w:t>
      </w:r>
      <w:r w:rsidR="00E76161">
        <w:t>Agreement</w:t>
      </w:r>
      <w:r>
        <w:t xml:space="preserve"> is not a Critical Service Contract, then on the occurrence of any of the event</w:t>
      </w:r>
      <w:r w:rsidR="00E76161">
        <w:t xml:space="preserve">s specified in </w:t>
      </w:r>
      <w:r w:rsidR="00A77559">
        <w:t>p</w:t>
      </w:r>
      <w:r w:rsidR="00E76161">
        <w:t>aragraphs 10.8.1</w:t>
      </w:r>
      <w:r>
        <w:t xml:space="preserve"> to </w:t>
      </w:r>
      <w:r w:rsidR="00E76161">
        <w:t>10.8.4</w:t>
      </w:r>
      <w:r>
        <w:t xml:space="preserve"> of this </w:t>
      </w:r>
      <w:r w:rsidR="00E76161">
        <w:t>Schedule</w:t>
      </w:r>
      <w:r>
        <w:t xml:space="preserve">, the </w:t>
      </w:r>
      <w:r w:rsidR="00E76161">
        <w:t>Provider</w:t>
      </w:r>
      <w:r>
        <w:t xml:space="preserve"> shall provide at the request of the Relevant Authority or Relevant Authorities and within the applicable timescale</w:t>
      </w:r>
      <w:r w:rsidR="00E76161">
        <w:t>s for each event as set out in paragraph 10</w:t>
      </w:r>
      <w:r>
        <w:t xml:space="preserve">.8 (or such longer timescales as may be notified to the </w:t>
      </w:r>
      <w:r w:rsidR="00E76161">
        <w:t>Provider</w:t>
      </w:r>
      <w:r>
        <w:t xml:space="preserve"> by </w:t>
      </w:r>
      <w:r w:rsidR="00E76161">
        <w:t>HSE</w:t>
      </w:r>
      <w:r>
        <w:t>), the CRP Information to the Relevant Authority or Relevant Authorities.</w:t>
      </w:r>
    </w:p>
    <w:p w14:paraId="13B2CD37" w14:textId="08874E41" w:rsidR="0026419D" w:rsidRDefault="0026419D">
      <w:pPr>
        <w:pStyle w:val="GSRL4numberedclause"/>
      </w:pPr>
      <w:r>
        <w:t xml:space="preserve">Where the </w:t>
      </w:r>
      <w:r w:rsidR="00E76161">
        <w:t>Provider</w:t>
      </w:r>
      <w:r>
        <w:t xml:space="preserve"> or a Parent Undertaking of the </w:t>
      </w:r>
      <w:r w:rsidR="00E76161">
        <w:t>Provider</w:t>
      </w:r>
      <w:r>
        <w:t xml:space="preserve"> has a credit rating of either:</w:t>
      </w:r>
    </w:p>
    <w:p w14:paraId="4D776164" w14:textId="77777777" w:rsidR="0026419D" w:rsidRDefault="0026419D">
      <w:pPr>
        <w:pStyle w:val="GSRL5numberedclause"/>
      </w:pPr>
      <w:r>
        <w:t>Aa3 or better from Moody's; or</w:t>
      </w:r>
    </w:p>
    <w:p w14:paraId="77E00BD2" w14:textId="77777777" w:rsidR="0026419D" w:rsidRDefault="0026419D">
      <w:pPr>
        <w:pStyle w:val="GSRL5numberedclause"/>
      </w:pPr>
      <w:r>
        <w:t>AA- or better from Standard and Poor's; or</w:t>
      </w:r>
    </w:p>
    <w:p w14:paraId="693276F7" w14:textId="77777777" w:rsidR="0026419D" w:rsidRDefault="0026419D">
      <w:pPr>
        <w:pStyle w:val="GSRL5numberedclause"/>
      </w:pPr>
      <w:r>
        <w:t>AA- or better from Fitch;</w:t>
      </w:r>
    </w:p>
    <w:p w14:paraId="500ACF5A" w14:textId="24C76C45" w:rsidR="0026419D" w:rsidRDefault="0026419D" w:rsidP="00E76161">
      <w:pPr>
        <w:pStyle w:val="GSRL4numberedclause"/>
        <w:numPr>
          <w:ilvl w:val="0"/>
          <w:numId w:val="0"/>
        </w:numPr>
        <w:ind w:left="720"/>
      </w:pPr>
      <w:r>
        <w:lastRenderedPageBreak/>
        <w:t xml:space="preserve">the </w:t>
      </w:r>
      <w:r w:rsidR="00E76161">
        <w:t>Provider</w:t>
      </w:r>
      <w:r>
        <w:t xml:space="preserve"> will not be required to provide any CRP Information unless or until either (i) a Financial Distress Event occurs (unless the </w:t>
      </w:r>
      <w:r w:rsidR="00010038">
        <w:t>Provider</w:t>
      </w:r>
      <w:r>
        <w:t xml:space="preserve"> is relieved of the consequences of the Financial Distress Event under </w:t>
      </w:r>
      <w:r w:rsidR="00A77559">
        <w:t>p</w:t>
      </w:r>
      <w:r>
        <w:t xml:space="preserve">aragraph 7.1 of Schedule </w:t>
      </w:r>
      <w:r w:rsidR="00E76161">
        <w:t>25</w:t>
      </w:r>
      <w:r>
        <w:t xml:space="preserve"> (Financial Distress)) or (ii) the </w:t>
      </w:r>
      <w:r w:rsidR="00010038">
        <w:t>Provider</w:t>
      </w:r>
      <w:r>
        <w:t xml:space="preserve"> and its Parent Undertakings cease to fulfi</w:t>
      </w:r>
      <w:r w:rsidR="00E76161">
        <w:t>l the criteria set out in this p</w:t>
      </w:r>
      <w:r>
        <w:t>aragrap</w:t>
      </w:r>
      <w:r w:rsidR="00E76161">
        <w:t>h 10</w:t>
      </w:r>
      <w:r>
        <w:t xml:space="preserve">.10, in which cases the </w:t>
      </w:r>
      <w:r w:rsidR="00010038">
        <w:t>Provider</w:t>
      </w:r>
      <w:r>
        <w:t xml:space="preserve"> shall provide the updated version of the CRP Informatio</w:t>
      </w:r>
      <w:r w:rsidR="00E76161">
        <w:t>n in accordance with paragraph 10</w:t>
      </w:r>
      <w:r>
        <w:t xml:space="preserve">.8. </w:t>
      </w:r>
    </w:p>
    <w:p w14:paraId="49C17F92" w14:textId="539BC252" w:rsidR="0026419D" w:rsidRDefault="00E76161">
      <w:pPr>
        <w:pStyle w:val="GSRL4numberedclause"/>
      </w:pPr>
      <w:r>
        <w:t>Subject to paragraph 12</w:t>
      </w:r>
      <w:r w:rsidR="0026419D">
        <w:t xml:space="preserve">, where the </w:t>
      </w:r>
      <w:r>
        <w:t>Provider</w:t>
      </w:r>
      <w:r w:rsidR="0026419D">
        <w:t xml:space="preserve"> demonstrates to the reasonable satisfaction of the Relevant Authority or Relevant Authorities that a particular item of CRP Information is highly confidential, the </w:t>
      </w:r>
      <w:r>
        <w:t>Provider</w:t>
      </w:r>
      <w:r w:rsidR="0026419D">
        <w:t xml:space="preserve"> may, having orally disclosed and discussed that information with the Relevant Authority or Relevant Authorities, redact or omit that information from the CRP Information provided that if a Financial Distress Event occurs, this exemption shall no longer apply and the </w:t>
      </w:r>
      <w:r>
        <w:t>Provider</w:t>
      </w:r>
      <w:r w:rsidR="0026419D">
        <w:t xml:space="preserve"> shall promptly provide the relevant information to the Relevant Authority or Relevant Authoritie</w:t>
      </w:r>
      <w:r>
        <w:t>s to the extent required under p</w:t>
      </w:r>
      <w:r w:rsidR="0026419D">
        <w:t xml:space="preserve">aragraph </w:t>
      </w:r>
      <w:r>
        <w:t>10</w:t>
      </w:r>
      <w:r w:rsidR="0026419D">
        <w:t>.8.</w:t>
      </w:r>
    </w:p>
    <w:p w14:paraId="1F47CFA5" w14:textId="77777777" w:rsidR="0026419D" w:rsidRDefault="0026419D">
      <w:pPr>
        <w:pStyle w:val="GSRL3heading"/>
      </w:pPr>
      <w:bookmarkStart w:id="3037" w:name="_Toc132268182"/>
      <w:bookmarkStart w:id="3038" w:name="_Toc132268488"/>
      <w:bookmarkStart w:id="3039" w:name="_Toc136198738"/>
      <w:bookmarkStart w:id="3040" w:name="_Toc136199019"/>
      <w:r>
        <w:t>Termination Rights</w:t>
      </w:r>
      <w:bookmarkEnd w:id="3037"/>
      <w:bookmarkEnd w:id="3038"/>
      <w:bookmarkEnd w:id="3039"/>
      <w:bookmarkEnd w:id="3040"/>
    </w:p>
    <w:p w14:paraId="20F5AAFC" w14:textId="06FAAEEB" w:rsidR="0026419D" w:rsidRDefault="00E76161">
      <w:pPr>
        <w:pStyle w:val="GSRL4numberedclause"/>
      </w:pPr>
      <w:r>
        <w:t>HSE</w:t>
      </w:r>
      <w:r w:rsidR="0026419D">
        <w:t xml:space="preserve"> shall be entitled to terminate this </w:t>
      </w:r>
      <w:r>
        <w:t>Agreement</w:t>
      </w:r>
      <w:r w:rsidR="0026419D">
        <w:t xml:space="preserve"> under Clause </w:t>
      </w:r>
      <w:r w:rsidR="000E48B3">
        <w:t>41.1(d)</w:t>
      </w:r>
      <w:r w:rsidR="0026419D">
        <w:t xml:space="preserve"> (Termination </w:t>
      </w:r>
      <w:r w:rsidR="000E48B3">
        <w:t>for Material Breach</w:t>
      </w:r>
      <w:r w:rsidR="0026419D">
        <w:t xml:space="preserve">) if the </w:t>
      </w:r>
      <w:r w:rsidR="000E48B3">
        <w:t>Provider</w:t>
      </w:r>
      <w:r w:rsidR="0026419D">
        <w:t xml:space="preserve"> is required to</w:t>
      </w:r>
      <w:r w:rsidR="000E48B3">
        <w:t xml:space="preserve"> provide CRP Information under p</w:t>
      </w:r>
      <w:r w:rsidR="0026419D">
        <w:t xml:space="preserve">aragraph </w:t>
      </w:r>
      <w:r w:rsidR="000E48B3">
        <w:t>10</w:t>
      </w:r>
      <w:r w:rsidR="0026419D">
        <w:t xml:space="preserve"> of this </w:t>
      </w:r>
      <w:r w:rsidR="000E48B3">
        <w:t>Schedule</w:t>
      </w:r>
      <w:r w:rsidR="0026419D">
        <w:t xml:space="preserve"> and either:</w:t>
      </w:r>
    </w:p>
    <w:p w14:paraId="0BAD4850" w14:textId="282FD76B" w:rsidR="0026419D" w:rsidRDefault="0026419D">
      <w:pPr>
        <w:pStyle w:val="GSRL5numberedclause"/>
      </w:pPr>
      <w:r>
        <w:t xml:space="preserve">the </w:t>
      </w:r>
      <w:r w:rsidR="000E48B3">
        <w:t>Provider</w:t>
      </w:r>
      <w:r>
        <w:t xml:space="preserve"> fails to provide the CRP Information within 4 months of the Effective Date if this is a Critical Service Contract or otherwise within 4 months of the Relevant Authority's or Relevant Authorities' request; or</w:t>
      </w:r>
    </w:p>
    <w:p w14:paraId="11BBD279" w14:textId="268B173F" w:rsidR="0026419D" w:rsidRDefault="0026419D">
      <w:pPr>
        <w:pStyle w:val="GSRL5numberedclause"/>
      </w:pPr>
      <w:r>
        <w:t xml:space="preserve">the </w:t>
      </w:r>
      <w:r w:rsidR="000E48B3">
        <w:t>Provider</w:t>
      </w:r>
      <w:r>
        <w:t xml:space="preserve"> fails to obtain an Assurance from the Relevant Authority or Relevant Authorities within 4 months of the date that it was first required to provide the CRP Information under this </w:t>
      </w:r>
      <w:r w:rsidR="000E48B3">
        <w:t>Agreement</w:t>
      </w:r>
      <w:r>
        <w:t>.</w:t>
      </w:r>
    </w:p>
    <w:p w14:paraId="6D862247" w14:textId="77777777" w:rsidR="0026419D" w:rsidRDefault="0026419D">
      <w:pPr>
        <w:pStyle w:val="GSRL3heading"/>
      </w:pPr>
      <w:bookmarkStart w:id="3041" w:name="_Toc132268183"/>
      <w:bookmarkStart w:id="3042" w:name="_Toc132268489"/>
      <w:bookmarkStart w:id="3043" w:name="_Toc136198739"/>
      <w:bookmarkStart w:id="3044" w:name="_Toc136199020"/>
      <w:r>
        <w:t>Confidentiality and usage of CRP Information</w:t>
      </w:r>
      <w:bookmarkEnd w:id="3041"/>
      <w:bookmarkEnd w:id="3042"/>
      <w:bookmarkEnd w:id="3043"/>
      <w:bookmarkEnd w:id="3044"/>
    </w:p>
    <w:p w14:paraId="4DDDF215" w14:textId="5A59D59C" w:rsidR="0026419D" w:rsidRDefault="000E48B3">
      <w:pPr>
        <w:pStyle w:val="GSRL4numberedclause"/>
      </w:pPr>
      <w:r>
        <w:t>HSE</w:t>
      </w:r>
      <w:r w:rsidR="0026419D">
        <w:t xml:space="preserve"> agrees to keep the CRP Information confidential and use it only to understand the implications of an Insolvency Event of the </w:t>
      </w:r>
      <w:r>
        <w:t>Provider</w:t>
      </w:r>
      <w:r w:rsidR="0026419D">
        <w:t xml:space="preserve"> and/or </w:t>
      </w:r>
      <w:r>
        <w:t>Provider</w:t>
      </w:r>
      <w:r w:rsidR="0026419D">
        <w:t xml:space="preserve"> Group members on its UK Public Sector Business and/or services in respect of CNI and to enable contingency planning to maintain service continuity for end users and protect CNI in such eventuality.</w:t>
      </w:r>
    </w:p>
    <w:p w14:paraId="569CE5DF" w14:textId="78287818" w:rsidR="0026419D" w:rsidRDefault="0026419D">
      <w:pPr>
        <w:pStyle w:val="GSRL4numberedclause"/>
      </w:pPr>
      <w:r>
        <w:t xml:space="preserve">Where the Relevant Authority is the Cabinet Office Markets and Suppliers Team, at the </w:t>
      </w:r>
      <w:r w:rsidR="000E48B3">
        <w:t>Provider's</w:t>
      </w:r>
      <w:r>
        <w:t xml:space="preserve"> request, </w:t>
      </w:r>
      <w:r w:rsidR="000E48B3">
        <w:t>HSE</w:t>
      </w:r>
      <w:r>
        <w:t xml:space="preserve"> shall use reasonable endeavours to procure that the Cabinet Office enters into a confidentiality and usage agreement with the </w:t>
      </w:r>
      <w:r w:rsidR="000E48B3">
        <w:t>Provider</w:t>
      </w:r>
      <w:r>
        <w:t xml:space="preserve"> containing terms no less stringent than those placed on </w:t>
      </w:r>
      <w:r w:rsidR="000E48B3">
        <w:t>HSE under paragraph 12</w:t>
      </w:r>
      <w:r>
        <w:t xml:space="preserve">.1 of this </w:t>
      </w:r>
      <w:r w:rsidR="000E48B3">
        <w:t>Schedule</w:t>
      </w:r>
      <w:r>
        <w:t xml:space="preserve"> and Clause </w:t>
      </w:r>
      <w:r w:rsidR="001A54BC">
        <w:t>31</w:t>
      </w:r>
      <w:r>
        <w:t xml:space="preserve"> (Confidentiality).</w:t>
      </w:r>
    </w:p>
    <w:p w14:paraId="5C2B7879" w14:textId="2EFEDCCB" w:rsidR="0026419D" w:rsidRDefault="0026419D">
      <w:pPr>
        <w:pStyle w:val="GSRL4numberedclause"/>
      </w:pPr>
      <w:r>
        <w:t xml:space="preserve">The </w:t>
      </w:r>
      <w:r w:rsidR="000E48B3">
        <w:t>Provider</w:t>
      </w:r>
      <w:r>
        <w:t xml:space="preserve"> shall use reasonable endeavours to obtain consent from any third party which has restricted the disclosure of the CRP Information to enable disclosure of that information to the Relevant Authority or Re</w:t>
      </w:r>
      <w:r w:rsidR="000E48B3">
        <w:t>levant Authorities pursuant to paragraph 10</w:t>
      </w:r>
      <w:r>
        <w:t xml:space="preserve"> of this </w:t>
      </w:r>
      <w:r w:rsidR="000E48B3">
        <w:t>Schedule</w:t>
      </w:r>
      <w:r>
        <w:t xml:space="preserve"> subject, where necessary, to the Relevant Authority or Relevant Authorities entering into an appropriate confidentiality agreement in the form required by the third party.</w:t>
      </w:r>
    </w:p>
    <w:p w14:paraId="0AB99958" w14:textId="58EEEDAB" w:rsidR="0026419D" w:rsidRDefault="0026419D">
      <w:pPr>
        <w:pStyle w:val="GSRL4numberedclause"/>
      </w:pPr>
      <w:r>
        <w:t xml:space="preserve">Where the </w:t>
      </w:r>
      <w:r w:rsidR="000E48B3">
        <w:t>Provider</w:t>
      </w:r>
      <w:r>
        <w:t xml:space="preserve"> is unable to procure</w:t>
      </w:r>
      <w:r w:rsidR="000E48B3">
        <w:t xml:space="preserve"> consent pursuant to paragraph 12</w:t>
      </w:r>
      <w:r>
        <w:t xml:space="preserve">.3 of this </w:t>
      </w:r>
      <w:r w:rsidR="000E48B3">
        <w:t>Schedule</w:t>
      </w:r>
      <w:r>
        <w:t xml:space="preserve">, the </w:t>
      </w:r>
      <w:r w:rsidR="000E48B3">
        <w:t>Provider</w:t>
      </w:r>
      <w:r>
        <w:t xml:space="preserve"> shall use all reasonable endeavours to disclose the CRP Information to the fullest extent possible by limiting the amount of information it withholds including by:</w:t>
      </w:r>
    </w:p>
    <w:p w14:paraId="0D3C8137" w14:textId="77777777" w:rsidR="0026419D" w:rsidRDefault="0026419D">
      <w:pPr>
        <w:pStyle w:val="GSRL5numberedclause"/>
      </w:pPr>
      <w:r>
        <w:lastRenderedPageBreak/>
        <w:t>redacting only those parts of the information which are subject to such obligations of confidentiality</w:t>
      </w:r>
    </w:p>
    <w:p w14:paraId="6535CFF4" w14:textId="77777777" w:rsidR="0026419D" w:rsidRDefault="0026419D">
      <w:pPr>
        <w:pStyle w:val="GSRL5numberedclause"/>
      </w:pPr>
      <w:r>
        <w:t>providing the information in a form that does not breach its obligations of confidentiality including (where possible) by:</w:t>
      </w:r>
    </w:p>
    <w:p w14:paraId="5C77AD96" w14:textId="77777777" w:rsidR="0026419D" w:rsidRDefault="0026419D">
      <w:pPr>
        <w:pStyle w:val="GSRL6numberedclause"/>
      </w:pPr>
      <w:r>
        <w:t>summarising the information;</w:t>
      </w:r>
    </w:p>
    <w:p w14:paraId="764B4D8C" w14:textId="77777777" w:rsidR="0026419D" w:rsidRDefault="0026419D">
      <w:pPr>
        <w:pStyle w:val="GSRL6numberedclause"/>
      </w:pPr>
      <w:r>
        <w:t>grouping the information;</w:t>
      </w:r>
    </w:p>
    <w:p w14:paraId="41EAEFF1" w14:textId="77777777" w:rsidR="0026419D" w:rsidRDefault="0026419D">
      <w:pPr>
        <w:pStyle w:val="GSRL6numberedclause"/>
      </w:pPr>
      <w:r>
        <w:t>anonymising the information; and</w:t>
      </w:r>
    </w:p>
    <w:p w14:paraId="6D03C298" w14:textId="77777777" w:rsidR="0026419D" w:rsidRDefault="0026419D">
      <w:pPr>
        <w:pStyle w:val="GSRL6numberedclause"/>
      </w:pPr>
      <w:r>
        <w:t>presenting the information in general terms</w:t>
      </w:r>
    </w:p>
    <w:p w14:paraId="2B04F82B" w14:textId="6C8E4422" w:rsidR="0026419D" w:rsidRDefault="0026419D">
      <w:pPr>
        <w:pStyle w:val="GSRL4numberedclause"/>
      </w:pPr>
      <w:r>
        <w:t xml:space="preserve">The </w:t>
      </w:r>
      <w:r w:rsidR="000E48B3">
        <w:t>Provider</w:t>
      </w:r>
      <w:r>
        <w:t xml:space="preserve"> shall provide the Relevant Authority or Relevant Authorities with contact details of any third party which has not provided consent to disclose CRP Information where that third party is also a public sector body and where the </w:t>
      </w:r>
      <w:r w:rsidR="000E48B3">
        <w:t>Provider</w:t>
      </w:r>
      <w:r>
        <w:t xml:space="preserve"> is legally permitted to do so.</w:t>
      </w:r>
    </w:p>
    <w:p w14:paraId="502771CA" w14:textId="74BFC1B6" w:rsidR="000E48B3" w:rsidRDefault="000E48B3">
      <w:pPr>
        <w:spacing w:before="0" w:after="0"/>
        <w:rPr>
          <w:lang w:eastAsia="zh-CN"/>
        </w:rPr>
      </w:pPr>
      <w:r>
        <w:rPr>
          <w:lang w:eastAsia="zh-CN"/>
        </w:rPr>
        <w:br w:type="page"/>
      </w:r>
    </w:p>
    <w:p w14:paraId="5637F183" w14:textId="77777777" w:rsidR="000E48B3" w:rsidRPr="006D5557" w:rsidRDefault="000E48B3" w:rsidP="000E48B3">
      <w:pPr>
        <w:rPr>
          <w:b/>
          <w:lang w:val="fr-FR" w:eastAsia="zh-CN"/>
        </w:rPr>
      </w:pPr>
      <w:r w:rsidRPr="006D5557">
        <w:rPr>
          <w:b/>
          <w:lang w:val="fr-FR" w:eastAsia="zh-CN"/>
        </w:rPr>
        <w:lastRenderedPageBreak/>
        <w:t>ANNEX 1: EXPOSURE INFORMATION (CONTRACTS LIST)</w:t>
      </w:r>
    </w:p>
    <w:p w14:paraId="3B392427" w14:textId="373AF94E" w:rsidR="000E48B3" w:rsidRDefault="000E48B3" w:rsidP="000E48B3">
      <w:pPr>
        <w:rPr>
          <w:lang w:eastAsia="zh-CN"/>
        </w:rPr>
      </w:pPr>
      <w:r>
        <w:rPr>
          <w:lang w:eastAsia="zh-CN"/>
        </w:rPr>
        <w:t>1</w:t>
      </w:r>
      <w:r>
        <w:rPr>
          <w:lang w:eastAsia="zh-CN"/>
        </w:rPr>
        <w:tab/>
        <w:t xml:space="preserve">The </w:t>
      </w:r>
      <w:r w:rsidR="006B7386">
        <w:rPr>
          <w:lang w:eastAsia="zh-CN"/>
        </w:rPr>
        <w:t>Provider</w:t>
      </w:r>
      <w:r>
        <w:rPr>
          <w:lang w:eastAsia="zh-CN"/>
        </w:rPr>
        <w:t xml:space="preserve"> shall:</w:t>
      </w:r>
    </w:p>
    <w:p w14:paraId="1A2CC5C9" w14:textId="630B90F6" w:rsidR="000E48B3" w:rsidRDefault="000E48B3" w:rsidP="006B7386">
      <w:pPr>
        <w:ind w:left="720" w:hanging="720"/>
        <w:rPr>
          <w:lang w:eastAsia="zh-CN"/>
        </w:rPr>
      </w:pPr>
      <w:r>
        <w:rPr>
          <w:lang w:eastAsia="zh-CN"/>
        </w:rPr>
        <w:t>1.1</w:t>
      </w:r>
      <w:r>
        <w:rPr>
          <w:lang w:eastAsia="zh-CN"/>
        </w:rPr>
        <w:tab/>
        <w:t xml:space="preserve">provide details of all agreements held by members of the </w:t>
      </w:r>
      <w:r w:rsidR="006B7386">
        <w:rPr>
          <w:lang w:eastAsia="zh-CN"/>
        </w:rPr>
        <w:t>Provider's</w:t>
      </w:r>
      <w:r>
        <w:rPr>
          <w:lang w:eastAsia="zh-CN"/>
        </w:rPr>
        <w:t xml:space="preserve"> Group where those agreements are for goods, services or works provision and:</w:t>
      </w:r>
    </w:p>
    <w:p w14:paraId="42AC6CC9" w14:textId="77777777" w:rsidR="000E48B3" w:rsidRDefault="000E48B3" w:rsidP="006B7386">
      <w:pPr>
        <w:ind w:left="1440" w:hanging="720"/>
        <w:rPr>
          <w:lang w:eastAsia="zh-CN"/>
        </w:rPr>
      </w:pPr>
      <w:r>
        <w:rPr>
          <w:lang w:eastAsia="zh-CN"/>
        </w:rPr>
        <w:t>(a)</w:t>
      </w:r>
      <w:r>
        <w:rPr>
          <w:lang w:eastAsia="zh-CN"/>
        </w:rPr>
        <w:tab/>
        <w:t>are with any UK public sector bodies including: central Government departments and their arms-length bodies and agencies, non-departmental public bodies, NHS bodies, local authorities, health bodies, police fire and rescue, education bodies and the devolved administrations;</w:t>
      </w:r>
    </w:p>
    <w:p w14:paraId="6BD640C5" w14:textId="569D9834" w:rsidR="000E48B3" w:rsidRDefault="000E48B3" w:rsidP="006B7386">
      <w:pPr>
        <w:ind w:left="1440" w:hanging="720"/>
        <w:rPr>
          <w:lang w:eastAsia="zh-CN"/>
        </w:rPr>
      </w:pPr>
      <w:r>
        <w:rPr>
          <w:lang w:eastAsia="zh-CN"/>
        </w:rPr>
        <w:t>(b)</w:t>
      </w:r>
      <w:r>
        <w:rPr>
          <w:lang w:eastAsia="zh-CN"/>
        </w:rPr>
        <w:tab/>
        <w:t>are with any private sector entities where the end recipient of the service, goods or works provision i</w:t>
      </w:r>
      <w:r w:rsidR="006B7386">
        <w:rPr>
          <w:lang w:eastAsia="zh-CN"/>
        </w:rPr>
        <w:t>s any of the bodies set out in p</w:t>
      </w:r>
      <w:r>
        <w:rPr>
          <w:lang w:eastAsia="zh-CN"/>
        </w:rPr>
        <w:t xml:space="preserve">aragraph 1.1(a) of this Annex 1 and where the member of the </w:t>
      </w:r>
      <w:r w:rsidR="006B7386">
        <w:rPr>
          <w:lang w:eastAsia="zh-CN"/>
        </w:rPr>
        <w:t>Provider's</w:t>
      </w:r>
      <w:r>
        <w:rPr>
          <w:lang w:eastAsia="zh-CN"/>
        </w:rPr>
        <w:t xml:space="preserve"> Group is acting as a key sub-contractor under the agreement with the end recipient; or</w:t>
      </w:r>
    </w:p>
    <w:p w14:paraId="157FB909" w14:textId="77777777" w:rsidR="000E48B3" w:rsidRDefault="000E48B3" w:rsidP="006B7386">
      <w:pPr>
        <w:ind w:firstLine="720"/>
        <w:rPr>
          <w:lang w:eastAsia="zh-CN"/>
        </w:rPr>
      </w:pPr>
      <w:r>
        <w:rPr>
          <w:lang w:eastAsia="zh-CN"/>
        </w:rPr>
        <w:t>(c)</w:t>
      </w:r>
      <w:r>
        <w:rPr>
          <w:lang w:eastAsia="zh-CN"/>
        </w:rPr>
        <w:tab/>
        <w:t>involve or could reasonably be considered to involve CNI;</w:t>
      </w:r>
    </w:p>
    <w:p w14:paraId="5FEA3E4C" w14:textId="77777777" w:rsidR="000E48B3" w:rsidRDefault="000E48B3" w:rsidP="006B7386">
      <w:pPr>
        <w:ind w:left="720" w:hanging="720"/>
        <w:rPr>
          <w:lang w:eastAsia="zh-CN"/>
        </w:rPr>
      </w:pPr>
      <w:r>
        <w:rPr>
          <w:lang w:eastAsia="zh-CN"/>
        </w:rPr>
        <w:t>1.2</w:t>
      </w:r>
      <w:r>
        <w:rPr>
          <w:lang w:eastAsia="zh-CN"/>
        </w:rPr>
        <w:tab/>
        <w:t>provide the Relevant Authority with a copy of the latest version of each underlying contract worth more than £5m per contract year and their related key sub-contracts, which shall be included as embedded documents within the CRP Information or via a directly accessible link.</w:t>
      </w:r>
    </w:p>
    <w:p w14:paraId="3864D402" w14:textId="77777777" w:rsidR="000E48B3" w:rsidRDefault="000E48B3" w:rsidP="000E48B3">
      <w:pPr>
        <w:rPr>
          <w:lang w:eastAsia="zh-CN"/>
        </w:rPr>
      </w:pPr>
      <w:r>
        <w:rPr>
          <w:lang w:eastAsia="zh-CN"/>
        </w:rPr>
        <w:t> </w:t>
      </w:r>
    </w:p>
    <w:p w14:paraId="0F2627DF" w14:textId="77777777" w:rsidR="000E48B3" w:rsidRPr="006B7386" w:rsidRDefault="000E48B3" w:rsidP="000E48B3">
      <w:pPr>
        <w:rPr>
          <w:b/>
          <w:lang w:eastAsia="zh-CN"/>
        </w:rPr>
      </w:pPr>
      <w:r w:rsidRPr="006B7386">
        <w:rPr>
          <w:b/>
          <w:lang w:eastAsia="zh-CN"/>
        </w:rPr>
        <w:t>ANNEX 2: CORPORATE RESOLVABILITY ASSESSMENT (STRUCTURAL REVIEW)</w:t>
      </w:r>
    </w:p>
    <w:p w14:paraId="45D45301" w14:textId="3043159D" w:rsidR="000E48B3" w:rsidRDefault="000E48B3" w:rsidP="000E48B3">
      <w:pPr>
        <w:rPr>
          <w:lang w:eastAsia="zh-CN"/>
        </w:rPr>
      </w:pPr>
      <w:r>
        <w:rPr>
          <w:lang w:eastAsia="zh-CN"/>
        </w:rPr>
        <w:t>1</w:t>
      </w:r>
      <w:r>
        <w:rPr>
          <w:lang w:eastAsia="zh-CN"/>
        </w:rPr>
        <w:tab/>
        <w:t xml:space="preserve">The </w:t>
      </w:r>
      <w:r w:rsidR="006B7386">
        <w:rPr>
          <w:lang w:eastAsia="zh-CN"/>
        </w:rPr>
        <w:t>Provider</w:t>
      </w:r>
      <w:r>
        <w:rPr>
          <w:lang w:eastAsia="zh-CN"/>
        </w:rPr>
        <w:t xml:space="preserve"> shall:</w:t>
      </w:r>
    </w:p>
    <w:p w14:paraId="7D8121A7" w14:textId="159EBD5D" w:rsidR="000E48B3" w:rsidRDefault="000E48B3" w:rsidP="006B7386">
      <w:pPr>
        <w:ind w:left="720" w:hanging="720"/>
        <w:rPr>
          <w:lang w:eastAsia="zh-CN"/>
        </w:rPr>
      </w:pPr>
      <w:r>
        <w:rPr>
          <w:lang w:eastAsia="zh-CN"/>
        </w:rPr>
        <w:t>1.1</w:t>
      </w:r>
      <w:r>
        <w:rPr>
          <w:lang w:eastAsia="zh-CN"/>
        </w:rPr>
        <w:tab/>
        <w:t xml:space="preserve">provide sufficient information to allow the Relevant Authority to understand the implications on the </w:t>
      </w:r>
      <w:r w:rsidR="006B7386">
        <w:rPr>
          <w:lang w:eastAsia="zh-CN"/>
        </w:rPr>
        <w:t>Provider's</w:t>
      </w:r>
      <w:r>
        <w:rPr>
          <w:lang w:eastAsia="zh-CN"/>
        </w:rPr>
        <w:t xml:space="preserve"> Group’s UK Public Sector Business and CNI contracts listed pursuant to Annex 1 if the </w:t>
      </w:r>
      <w:r w:rsidR="006B7386">
        <w:rPr>
          <w:lang w:eastAsia="zh-CN"/>
        </w:rPr>
        <w:t>Provider</w:t>
      </w:r>
      <w:r>
        <w:rPr>
          <w:lang w:eastAsia="zh-CN"/>
        </w:rPr>
        <w:t xml:space="preserve"> or another member of the </w:t>
      </w:r>
      <w:r w:rsidR="006B7386">
        <w:rPr>
          <w:lang w:eastAsia="zh-CN"/>
        </w:rPr>
        <w:t>Provider's</w:t>
      </w:r>
      <w:r>
        <w:rPr>
          <w:lang w:eastAsia="zh-CN"/>
        </w:rPr>
        <w:t xml:space="preserve"> Group is subject to an Insolvency Event.</w:t>
      </w:r>
    </w:p>
    <w:p w14:paraId="5DF51122" w14:textId="7E845CD8" w:rsidR="000E48B3" w:rsidRDefault="000E48B3" w:rsidP="006B7386">
      <w:pPr>
        <w:ind w:left="720" w:hanging="720"/>
        <w:rPr>
          <w:lang w:eastAsia="zh-CN"/>
        </w:rPr>
      </w:pPr>
      <w:r>
        <w:rPr>
          <w:lang w:eastAsia="zh-CN"/>
        </w:rPr>
        <w:t>1.2</w:t>
      </w:r>
      <w:r>
        <w:rPr>
          <w:lang w:eastAsia="zh-CN"/>
        </w:rPr>
        <w:tab/>
        <w:t xml:space="preserve">ensure that the information is presented so as to provide a simple, effective and easily understood overview of the </w:t>
      </w:r>
      <w:r w:rsidR="006B7386">
        <w:rPr>
          <w:lang w:eastAsia="zh-CN"/>
        </w:rPr>
        <w:t>Provider's</w:t>
      </w:r>
      <w:r>
        <w:rPr>
          <w:lang w:eastAsia="zh-CN"/>
        </w:rPr>
        <w:t xml:space="preserve"> Group; and</w:t>
      </w:r>
    </w:p>
    <w:p w14:paraId="1D9F1CCC" w14:textId="0799AA48" w:rsidR="000E48B3" w:rsidRDefault="000E48B3" w:rsidP="006B7386">
      <w:pPr>
        <w:ind w:left="720" w:hanging="720"/>
        <w:rPr>
          <w:lang w:eastAsia="zh-CN"/>
        </w:rPr>
      </w:pPr>
      <w:r>
        <w:rPr>
          <w:lang w:eastAsia="zh-CN"/>
        </w:rPr>
        <w:t>1.3</w:t>
      </w:r>
      <w:r>
        <w:rPr>
          <w:lang w:eastAsia="zh-CN"/>
        </w:rPr>
        <w:tab/>
        <w:t xml:space="preserve">provide full details of the importance of each member of the </w:t>
      </w:r>
      <w:r w:rsidR="006B7386">
        <w:rPr>
          <w:lang w:eastAsia="zh-CN"/>
        </w:rPr>
        <w:t>Provider's</w:t>
      </w:r>
      <w:r>
        <w:rPr>
          <w:lang w:eastAsia="zh-CN"/>
        </w:rPr>
        <w:t xml:space="preserve"> Group to the </w:t>
      </w:r>
      <w:r w:rsidR="006B7386">
        <w:rPr>
          <w:lang w:eastAsia="zh-CN"/>
        </w:rPr>
        <w:t>Provider's</w:t>
      </w:r>
      <w:r>
        <w:rPr>
          <w:lang w:eastAsia="zh-CN"/>
        </w:rPr>
        <w:t xml:space="preserve"> Group’s UK Public Sector Business and CNI contracts listed pursuant to Annex 1 and the dependencies between each.</w:t>
      </w:r>
    </w:p>
    <w:p w14:paraId="7C20709C" w14:textId="77777777" w:rsidR="000E48B3" w:rsidRDefault="000E48B3" w:rsidP="000E48B3">
      <w:pPr>
        <w:rPr>
          <w:lang w:eastAsia="zh-CN"/>
        </w:rPr>
      </w:pPr>
      <w:r>
        <w:rPr>
          <w:lang w:eastAsia="zh-CN"/>
        </w:rPr>
        <w:t> </w:t>
      </w:r>
    </w:p>
    <w:p w14:paraId="038CFAD9" w14:textId="77777777" w:rsidR="000E48B3" w:rsidRPr="006B7386" w:rsidRDefault="000E48B3" w:rsidP="000E48B3">
      <w:pPr>
        <w:rPr>
          <w:b/>
          <w:lang w:eastAsia="zh-CN"/>
        </w:rPr>
      </w:pPr>
      <w:r w:rsidRPr="006B7386">
        <w:rPr>
          <w:b/>
          <w:lang w:eastAsia="zh-CN"/>
        </w:rPr>
        <w:t>ANNEX 3: FINANCIAL INFORMATION AND COMMENTARY</w:t>
      </w:r>
    </w:p>
    <w:p w14:paraId="52801925" w14:textId="30E769FD" w:rsidR="000E48B3" w:rsidRDefault="000E48B3" w:rsidP="000E48B3">
      <w:pPr>
        <w:rPr>
          <w:lang w:eastAsia="zh-CN"/>
        </w:rPr>
      </w:pPr>
      <w:r>
        <w:rPr>
          <w:lang w:eastAsia="zh-CN"/>
        </w:rPr>
        <w:t>1</w:t>
      </w:r>
      <w:r>
        <w:rPr>
          <w:lang w:eastAsia="zh-CN"/>
        </w:rPr>
        <w:tab/>
        <w:t xml:space="preserve">The </w:t>
      </w:r>
      <w:r w:rsidR="006B7386">
        <w:rPr>
          <w:lang w:eastAsia="zh-CN"/>
        </w:rPr>
        <w:t>Provider</w:t>
      </w:r>
      <w:r>
        <w:rPr>
          <w:lang w:eastAsia="zh-CN"/>
        </w:rPr>
        <w:t xml:space="preserve"> shall:</w:t>
      </w:r>
    </w:p>
    <w:p w14:paraId="175170C4" w14:textId="5584AA3B" w:rsidR="000E48B3" w:rsidRDefault="000E48B3" w:rsidP="006B7386">
      <w:pPr>
        <w:ind w:left="720" w:hanging="720"/>
        <w:rPr>
          <w:lang w:eastAsia="zh-CN"/>
        </w:rPr>
      </w:pPr>
      <w:r>
        <w:rPr>
          <w:lang w:eastAsia="zh-CN"/>
        </w:rPr>
        <w:t>1.1</w:t>
      </w:r>
      <w:r>
        <w:rPr>
          <w:lang w:eastAsia="zh-CN"/>
        </w:rPr>
        <w:tab/>
        <w:t xml:space="preserve">provide sufficient financial information for the </w:t>
      </w:r>
      <w:r w:rsidR="006B7386">
        <w:rPr>
          <w:lang w:eastAsia="zh-CN"/>
        </w:rPr>
        <w:t>Provider's</w:t>
      </w:r>
      <w:r>
        <w:rPr>
          <w:lang w:eastAsia="zh-CN"/>
        </w:rPr>
        <w:t xml:space="preserve"> Group level, contracting operating entities level, and shared services entities’ level to allow the Relevant Authority to understand the current financial interconnectedness of the </w:t>
      </w:r>
      <w:r w:rsidR="006B7386">
        <w:rPr>
          <w:lang w:eastAsia="zh-CN"/>
        </w:rPr>
        <w:t>Provider's</w:t>
      </w:r>
      <w:r>
        <w:rPr>
          <w:lang w:eastAsia="zh-CN"/>
        </w:rPr>
        <w:t xml:space="preserve"> Group and the current performance of the </w:t>
      </w:r>
      <w:r w:rsidR="006B7386">
        <w:rPr>
          <w:lang w:eastAsia="zh-CN"/>
        </w:rPr>
        <w:t>Provider</w:t>
      </w:r>
      <w:r>
        <w:rPr>
          <w:lang w:eastAsia="zh-CN"/>
        </w:rPr>
        <w:t xml:space="preserve"> as a standalone entity; and</w:t>
      </w:r>
    </w:p>
    <w:p w14:paraId="2A5FDE41" w14:textId="77777777" w:rsidR="000E48B3" w:rsidRDefault="000E48B3" w:rsidP="006B7386">
      <w:pPr>
        <w:ind w:left="720" w:hanging="720"/>
        <w:rPr>
          <w:lang w:eastAsia="zh-CN"/>
        </w:rPr>
      </w:pPr>
      <w:r>
        <w:rPr>
          <w:lang w:eastAsia="zh-CN"/>
        </w:rPr>
        <w:t>1.2</w:t>
      </w:r>
      <w:r>
        <w:rPr>
          <w:lang w:eastAsia="zh-CN"/>
        </w:rPr>
        <w:tab/>
        <w:t>ensure that the information is presented in a simple, effective and easily understood manner.</w:t>
      </w:r>
    </w:p>
    <w:p w14:paraId="39FA64EE" w14:textId="5DBA2D3C" w:rsidR="00A71547" w:rsidRPr="001A1836" w:rsidRDefault="000E48B3" w:rsidP="006B7386">
      <w:pPr>
        <w:ind w:left="720" w:hanging="720"/>
        <w:rPr>
          <w:lang w:eastAsia="zh-CN"/>
        </w:rPr>
      </w:pPr>
      <w:r>
        <w:rPr>
          <w:lang w:eastAsia="zh-CN"/>
        </w:rPr>
        <w:t>2</w:t>
      </w:r>
      <w:r>
        <w:rPr>
          <w:lang w:eastAsia="zh-CN"/>
        </w:rPr>
        <w:tab/>
        <w:t xml:space="preserve">For the avoidance of doubt the financial information to be provided pursuant to </w:t>
      </w:r>
      <w:r w:rsidR="006B7386">
        <w:rPr>
          <w:lang w:eastAsia="zh-CN"/>
        </w:rPr>
        <w:t>p</w:t>
      </w:r>
      <w:r>
        <w:rPr>
          <w:lang w:eastAsia="zh-CN"/>
        </w:rPr>
        <w:t xml:space="preserve">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w:t>
      </w:r>
      <w:r w:rsidR="006B7386">
        <w:rPr>
          <w:lang w:eastAsia="zh-CN"/>
        </w:rPr>
        <w:t>Provider</w:t>
      </w:r>
      <w:r>
        <w:rPr>
          <w:lang w:eastAsia="zh-CN"/>
        </w:rPr>
        <w:t xml:space="preserve"> to comply with its obligations under this Schedule </w:t>
      </w:r>
      <w:r w:rsidR="006B7386">
        <w:rPr>
          <w:lang w:eastAsia="zh-CN"/>
        </w:rPr>
        <w:t>15</w:t>
      </w:r>
      <w:r>
        <w:rPr>
          <w:lang w:eastAsia="zh-CN"/>
        </w:rPr>
        <w:t xml:space="preserve"> (Service Continuity Plan and Corporate Resolution Planning).  If such accounts are not available in that timeframe, financial information should be based on unpublished unaudited accounts or management accounts (disclosure of which to the Cabinet Office Markets and Suppliers Team remains protected by confidentiality).</w:t>
      </w:r>
    </w:p>
    <w:p w14:paraId="6521C017" w14:textId="0C5637B8" w:rsidR="000358F4" w:rsidRPr="001A1836" w:rsidRDefault="000358F4">
      <w:pPr>
        <w:spacing w:before="0" w:after="0"/>
        <w:rPr>
          <w:rFonts w:eastAsia="STZhongsong" w:cs="Arial"/>
          <w:b/>
          <w:caps/>
          <w:kern w:val="0"/>
          <w:sz w:val="24"/>
          <w:szCs w:val="22"/>
          <w:lang w:eastAsia="zh-CN"/>
        </w:rPr>
      </w:pPr>
      <w:bookmarkStart w:id="3045" w:name="_Toc508717299"/>
      <w:bookmarkStart w:id="3046" w:name="_Toc521327160"/>
      <w:bookmarkStart w:id="3047" w:name="_Toc521333393"/>
      <w:bookmarkStart w:id="3048" w:name="_Toc521484124"/>
      <w:bookmarkStart w:id="3049" w:name="_Toc521484887"/>
      <w:bookmarkStart w:id="3050" w:name="_Toc521485218"/>
    </w:p>
    <w:p w14:paraId="573A9508" w14:textId="23CBB5D3" w:rsidR="00626054" w:rsidRPr="001A1836" w:rsidRDefault="00626054" w:rsidP="00626054">
      <w:pPr>
        <w:rPr>
          <w:rFonts w:cs="Arial"/>
        </w:rPr>
      </w:pPr>
      <w:bookmarkStart w:id="3051" w:name="_Toc521496955"/>
      <w:bookmarkStart w:id="3052" w:name="_Toc521498397"/>
      <w:bookmarkEnd w:id="2884"/>
      <w:bookmarkEnd w:id="3045"/>
      <w:bookmarkEnd w:id="3046"/>
      <w:bookmarkEnd w:id="3047"/>
      <w:bookmarkEnd w:id="3048"/>
      <w:bookmarkEnd w:id="3049"/>
      <w:bookmarkEnd w:id="3050"/>
      <w:bookmarkEnd w:id="3051"/>
      <w:bookmarkEnd w:id="3052"/>
    </w:p>
    <w:p w14:paraId="7D743203" w14:textId="77777777" w:rsidR="00626054" w:rsidRPr="001A1836" w:rsidRDefault="00626054" w:rsidP="00626054">
      <w:pPr>
        <w:rPr>
          <w:rFonts w:cs="Arial"/>
        </w:rPr>
      </w:pPr>
    </w:p>
    <w:p w14:paraId="3B1C0FD5" w14:textId="399FB631" w:rsidR="008E344E" w:rsidRPr="001A1836" w:rsidRDefault="008E344E" w:rsidP="00CF1BDA"/>
    <w:p w14:paraId="346908B9" w14:textId="77777777" w:rsidR="008E344E" w:rsidRPr="001A1836" w:rsidRDefault="008E344E" w:rsidP="00CF1BDA"/>
    <w:p w14:paraId="3C807713" w14:textId="7803F7CA" w:rsidR="008E344E" w:rsidRPr="001A1836" w:rsidRDefault="008E344E" w:rsidP="00CF1BDA"/>
    <w:p w14:paraId="2764F3E3" w14:textId="77777777" w:rsidR="008E344E" w:rsidRPr="001A1836" w:rsidRDefault="008E344E" w:rsidP="00CF1BDA"/>
    <w:p w14:paraId="3F2D4160" w14:textId="77777777" w:rsidR="00394111" w:rsidRPr="001A1836" w:rsidRDefault="00394111" w:rsidP="00CF1BDA">
      <w:pPr>
        <w:pStyle w:val="GSRL1Scheduleheader"/>
        <w:sectPr w:rsidR="00394111" w:rsidRPr="001A1836" w:rsidSect="00F87B8D">
          <w:footerReference w:type="default" r:id="rId39"/>
          <w:pgSz w:w="11900" w:h="16840"/>
          <w:pgMar w:top="1134" w:right="1440" w:bottom="1440" w:left="1440" w:header="1077" w:footer="833" w:gutter="0"/>
          <w:cols w:space="708"/>
        </w:sectPr>
      </w:pPr>
    </w:p>
    <w:p w14:paraId="66ED1917" w14:textId="2EC10D70" w:rsidR="008E344E" w:rsidRPr="001A1836" w:rsidRDefault="008E344E" w:rsidP="00CF1BDA">
      <w:pPr>
        <w:pStyle w:val="GSRL1Scheduleheader"/>
      </w:pPr>
      <w:bookmarkStart w:id="3053" w:name="_Toc129038313"/>
      <w:bookmarkStart w:id="3054" w:name="_Toc129038599"/>
      <w:bookmarkStart w:id="3055" w:name="_Toc132268184"/>
      <w:bookmarkStart w:id="3056" w:name="_Toc132268490"/>
      <w:bookmarkStart w:id="3057" w:name="_Toc136198740"/>
      <w:bookmarkStart w:id="3058" w:name="_Toc136199021"/>
      <w:bookmarkStart w:id="3059" w:name="_Toc188885262"/>
      <w:r w:rsidRPr="001A1836">
        <w:lastRenderedPageBreak/>
        <w:t xml:space="preserve">SCHEDULE 16: </w:t>
      </w:r>
      <w:r w:rsidR="004C2FF4" w:rsidRPr="001A1836">
        <w:t>Transition Plan</w:t>
      </w:r>
      <w:bookmarkEnd w:id="3053"/>
      <w:bookmarkEnd w:id="3054"/>
      <w:bookmarkEnd w:id="3055"/>
      <w:bookmarkEnd w:id="3056"/>
      <w:bookmarkEnd w:id="3057"/>
      <w:bookmarkEnd w:id="3058"/>
      <w:bookmarkEnd w:id="3059"/>
    </w:p>
    <w:p w14:paraId="30E86817" w14:textId="1FFA7603" w:rsidR="008E344E" w:rsidRPr="001A1836" w:rsidRDefault="008E344E" w:rsidP="00CF1BDA"/>
    <w:p w14:paraId="252A37FB" w14:textId="7C002C2B" w:rsidR="000358F4" w:rsidRPr="001A1836" w:rsidRDefault="000358F4">
      <w:pPr>
        <w:spacing w:before="0" w:after="0"/>
        <w:rPr>
          <w:rFonts w:eastAsia="STZhongsong" w:cs="Arial"/>
          <w:b/>
          <w:caps/>
          <w:kern w:val="0"/>
          <w:sz w:val="24"/>
          <w:szCs w:val="22"/>
          <w:lang w:eastAsia="zh-CN"/>
        </w:rPr>
      </w:pPr>
      <w:bookmarkStart w:id="3060" w:name="_Toc508608736"/>
      <w:bookmarkStart w:id="3061" w:name="_Toc521327162"/>
      <w:bookmarkStart w:id="3062" w:name="_Toc521333395"/>
      <w:bookmarkStart w:id="3063" w:name="_Toc521484126"/>
      <w:bookmarkStart w:id="3064" w:name="_Toc521484889"/>
      <w:bookmarkStart w:id="3065" w:name="_Toc521485220"/>
      <w:r w:rsidRPr="001A1836">
        <w:br w:type="page"/>
      </w:r>
    </w:p>
    <w:p w14:paraId="15E72354" w14:textId="428FE3FD" w:rsidR="008E344E" w:rsidRPr="001A1836" w:rsidRDefault="008E344E" w:rsidP="000358F4">
      <w:pPr>
        <w:pStyle w:val="GSRL2Sectionheading"/>
      </w:pPr>
      <w:bookmarkStart w:id="3066" w:name="_Toc521496957"/>
      <w:bookmarkStart w:id="3067" w:name="_Toc521498399"/>
      <w:bookmarkStart w:id="3068" w:name="_Toc529346092"/>
      <w:bookmarkStart w:id="3069" w:name="_Toc129038315"/>
      <w:bookmarkStart w:id="3070" w:name="_Toc129038601"/>
      <w:bookmarkStart w:id="3071" w:name="_Toc132268186"/>
      <w:bookmarkStart w:id="3072" w:name="_Toc132268492"/>
      <w:bookmarkStart w:id="3073" w:name="_Toc136198742"/>
      <w:bookmarkStart w:id="3074" w:name="_Toc136199023"/>
      <w:bookmarkStart w:id="3075" w:name="Schedule16"/>
      <w:r w:rsidRPr="001A1836">
        <w:lastRenderedPageBreak/>
        <w:t>Introduction</w:t>
      </w:r>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p>
    <w:p w14:paraId="5F42FA79" w14:textId="77777777" w:rsidR="008E344E" w:rsidRPr="001A1836" w:rsidRDefault="008E344E" w:rsidP="004E2262">
      <w:pPr>
        <w:pStyle w:val="GSRL3heading"/>
        <w:numPr>
          <w:ilvl w:val="0"/>
          <w:numId w:val="74"/>
        </w:numPr>
      </w:pPr>
      <w:bookmarkStart w:id="3076" w:name="_Toc508608737"/>
      <w:bookmarkStart w:id="3077" w:name="_Toc521327163"/>
      <w:bookmarkStart w:id="3078" w:name="_Toc521333396"/>
      <w:bookmarkStart w:id="3079" w:name="_Toc521484127"/>
      <w:bookmarkStart w:id="3080" w:name="_Toc521484890"/>
      <w:bookmarkStart w:id="3081" w:name="_Toc521485221"/>
      <w:bookmarkStart w:id="3082" w:name="_Toc521496958"/>
      <w:bookmarkStart w:id="3083" w:name="_Toc521498400"/>
      <w:bookmarkStart w:id="3084" w:name="_Toc529346093"/>
      <w:bookmarkStart w:id="3085" w:name="_Toc129038316"/>
      <w:bookmarkStart w:id="3086" w:name="_Toc129038602"/>
      <w:bookmarkStart w:id="3087" w:name="_Toc132268187"/>
      <w:bookmarkStart w:id="3088" w:name="_Toc132268493"/>
      <w:bookmarkStart w:id="3089" w:name="_Toc136198743"/>
      <w:bookmarkStart w:id="3090" w:name="_Toc136199024"/>
      <w:r w:rsidRPr="001A1836">
        <w:t>Introduction</w:t>
      </w:r>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p>
    <w:p w14:paraId="278FCD33" w14:textId="203F8805" w:rsidR="008E344E" w:rsidRPr="001A1836" w:rsidRDefault="008E344E">
      <w:pPr>
        <w:pStyle w:val="GSRL4numberedclause"/>
      </w:pPr>
      <w:r w:rsidRPr="001A1836">
        <w:t xml:space="preserve">Annex 1 of this Schedule 16 sets out the Provider’s Transition Plan </w:t>
      </w:r>
      <w:r w:rsidR="001743C2">
        <w:t>in the form of a Plan on a Page as at the Effective Date</w:t>
      </w:r>
      <w:r w:rsidR="001743C2" w:rsidRPr="001A1836">
        <w:t xml:space="preserve"> </w:t>
      </w:r>
      <w:r w:rsidRPr="001A1836">
        <w:t>and relevant Transition Activities to be performed pursuant to Clause 17 (Transitional Arrangements) of the Agreement.</w:t>
      </w:r>
    </w:p>
    <w:p w14:paraId="7791218A" w14:textId="32AB1800" w:rsidR="00C37CBB" w:rsidRPr="001A1836" w:rsidRDefault="00C37CBB">
      <w:pPr>
        <w:pStyle w:val="GSRL3heading"/>
      </w:pPr>
      <w:bookmarkStart w:id="3091" w:name="_Toc529346094"/>
      <w:bookmarkStart w:id="3092" w:name="_Toc129038317"/>
      <w:bookmarkStart w:id="3093" w:name="_Toc129038603"/>
      <w:bookmarkStart w:id="3094" w:name="_Toc132268188"/>
      <w:bookmarkStart w:id="3095" w:name="_Toc132268494"/>
      <w:bookmarkStart w:id="3096" w:name="_Toc136198744"/>
      <w:bookmarkStart w:id="3097" w:name="_Toc136199025"/>
      <w:bookmarkStart w:id="3098" w:name="_Hlk528060935"/>
      <w:r w:rsidRPr="001A1836">
        <w:t>Transition Plan Phases</w:t>
      </w:r>
      <w:bookmarkEnd w:id="3091"/>
      <w:bookmarkEnd w:id="3092"/>
      <w:bookmarkEnd w:id="3093"/>
      <w:bookmarkEnd w:id="3094"/>
      <w:bookmarkEnd w:id="3095"/>
      <w:bookmarkEnd w:id="3096"/>
      <w:bookmarkEnd w:id="3097"/>
    </w:p>
    <w:p w14:paraId="6B98BC72" w14:textId="77777777" w:rsidR="00C37CBB" w:rsidRPr="001A1836" w:rsidRDefault="00C37CBB">
      <w:pPr>
        <w:pStyle w:val="GSRL4numberedclause"/>
      </w:pPr>
      <w:r w:rsidRPr="001A1836">
        <w:t>The Transition Plan comprises:</w:t>
      </w:r>
    </w:p>
    <w:p w14:paraId="2FE0161D" w14:textId="1D544C8A" w:rsidR="00E30E02" w:rsidRPr="001A1836" w:rsidRDefault="00C37CBB">
      <w:pPr>
        <w:pStyle w:val="GSRL5numberedclause"/>
      </w:pPr>
      <w:r w:rsidRPr="001A1836">
        <w:t>an initial mobilisation phase; and</w:t>
      </w:r>
    </w:p>
    <w:p w14:paraId="4609010E" w14:textId="642A1BD0" w:rsidR="00C37CBB" w:rsidRPr="001A1836" w:rsidRDefault="00C37CBB">
      <w:pPr>
        <w:pStyle w:val="GSRL5numberedclause"/>
      </w:pPr>
      <w:r w:rsidRPr="001A1836">
        <w:t>four phases, the scope of which is summarised in Table 1</w:t>
      </w:r>
    </w:p>
    <w:p w14:paraId="7F17D741" w14:textId="49726E5C" w:rsidR="00C3634C" w:rsidRPr="00100601" w:rsidRDefault="00C3634C" w:rsidP="00100601">
      <w:pPr>
        <w:pStyle w:val="GSRL4numberedclause"/>
        <w:numPr>
          <w:ilvl w:val="0"/>
          <w:numId w:val="0"/>
        </w:numPr>
        <w:ind w:left="720"/>
        <w:rPr>
          <w:b/>
          <w:i/>
          <w:color w:val="000000" w:themeColor="text1"/>
        </w:rPr>
      </w:pPr>
      <w:r w:rsidRPr="00100601">
        <w:rPr>
          <w:bCs/>
          <w:iCs/>
          <w:color w:val="000000" w:themeColor="text1"/>
        </w:rPr>
        <w:t>and the Provider shall provide the final Transition Plan within 20 Working Days of the Effective Date.</w:t>
      </w:r>
    </w:p>
    <w:p w14:paraId="221A227F" w14:textId="77777777" w:rsidR="00C3634C" w:rsidRDefault="00C3634C" w:rsidP="006B7386">
      <w:pPr>
        <w:pStyle w:val="GSRL4numberedclause"/>
        <w:numPr>
          <w:ilvl w:val="0"/>
          <w:numId w:val="0"/>
        </w:numPr>
        <w:rPr>
          <w:b/>
          <w:i/>
          <w:color w:val="FF0000"/>
        </w:rPr>
      </w:pPr>
    </w:p>
    <w:p w14:paraId="37976AE6" w14:textId="361832B0" w:rsidR="007834C6" w:rsidRDefault="008E344E" w:rsidP="000358F4">
      <w:pPr>
        <w:pStyle w:val="GSRL2Sectionheading"/>
      </w:pPr>
      <w:bookmarkStart w:id="3099" w:name="_Toc508608738"/>
      <w:bookmarkStart w:id="3100" w:name="_Toc521327164"/>
      <w:bookmarkStart w:id="3101" w:name="_Toc521333397"/>
      <w:bookmarkStart w:id="3102" w:name="_Toc521484128"/>
      <w:bookmarkStart w:id="3103" w:name="_Toc521484891"/>
      <w:bookmarkStart w:id="3104" w:name="_Toc521485222"/>
      <w:bookmarkStart w:id="3105" w:name="_Toc521496959"/>
      <w:bookmarkStart w:id="3106" w:name="_Toc521498401"/>
      <w:bookmarkStart w:id="3107" w:name="_Toc529346096"/>
      <w:bookmarkStart w:id="3108" w:name="_Toc129038319"/>
      <w:bookmarkStart w:id="3109" w:name="_Toc129038605"/>
      <w:bookmarkStart w:id="3110" w:name="_Toc132268190"/>
      <w:bookmarkStart w:id="3111" w:name="_Toc132268496"/>
      <w:bookmarkStart w:id="3112" w:name="_Toc136198746"/>
      <w:bookmarkStart w:id="3113" w:name="_Toc136199027"/>
      <w:bookmarkEnd w:id="3098"/>
      <w:r w:rsidRPr="001A1836">
        <w:t>Annex 1 – Transition Plan</w:t>
      </w:r>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p>
    <w:p w14:paraId="6A1D6DAB" w14:textId="77777777" w:rsidR="007834C6" w:rsidRDefault="007834C6" w:rsidP="007834C6">
      <w:pPr>
        <w:pStyle w:val="GSRL4numberedclause"/>
        <w:numPr>
          <w:ilvl w:val="0"/>
          <w:numId w:val="0"/>
        </w:numPr>
        <w:rPr>
          <w:b/>
          <w:i/>
          <w:color w:val="FF0000"/>
        </w:rPr>
      </w:pPr>
    </w:p>
    <w:p w14:paraId="52BFDDD1" w14:textId="12A23497" w:rsidR="008E344E" w:rsidRPr="001A1836" w:rsidRDefault="008E344E" w:rsidP="007834C6">
      <w:pPr>
        <w:pStyle w:val="GSRL2Sectionheading"/>
        <w:jc w:val="left"/>
      </w:pPr>
    </w:p>
    <w:bookmarkEnd w:id="3075"/>
    <w:p w14:paraId="25AD6EEC" w14:textId="12FAF630" w:rsidR="008E344E" w:rsidRPr="001A1836" w:rsidRDefault="008E344E" w:rsidP="008E344E">
      <w:pPr>
        <w:pStyle w:val="Number"/>
        <w:ind w:left="0" w:firstLine="0"/>
      </w:pPr>
      <w:r w:rsidRPr="001A1836">
        <w:t xml:space="preserve"> </w:t>
      </w:r>
    </w:p>
    <w:p w14:paraId="38E2F6A8" w14:textId="77777777" w:rsidR="002E7AF9" w:rsidRDefault="002E7AF9" w:rsidP="0081665E">
      <w:pPr>
        <w:jc w:val="center"/>
        <w:rPr>
          <w:noProof/>
          <w:lang w:eastAsia="en-GB"/>
        </w:rPr>
      </w:pPr>
    </w:p>
    <w:p w14:paraId="36DA2257" w14:textId="77777777" w:rsidR="00CB27D3" w:rsidRDefault="00CB27D3" w:rsidP="0081665E">
      <w:pPr>
        <w:jc w:val="center"/>
        <w:rPr>
          <w:noProof/>
          <w:lang w:eastAsia="en-GB"/>
        </w:rPr>
      </w:pPr>
    </w:p>
    <w:p w14:paraId="0AE8C0C8" w14:textId="6595974C" w:rsidR="00CB27D3" w:rsidRDefault="00CB27D3" w:rsidP="0081665E">
      <w:pPr>
        <w:jc w:val="center"/>
        <w:sectPr w:rsidR="00CB27D3" w:rsidSect="00F87B8D">
          <w:footerReference w:type="default" r:id="rId40"/>
          <w:pgSz w:w="11900" w:h="16840"/>
          <w:pgMar w:top="1134" w:right="1440" w:bottom="1440" w:left="1440" w:header="1077" w:footer="833" w:gutter="0"/>
          <w:cols w:space="708"/>
        </w:sectPr>
      </w:pPr>
    </w:p>
    <w:p w14:paraId="09851EF7" w14:textId="7C9212D0" w:rsidR="008E344E" w:rsidRPr="001A1836" w:rsidRDefault="008E344E" w:rsidP="0081665E">
      <w:pPr>
        <w:jc w:val="center"/>
      </w:pPr>
    </w:p>
    <w:p w14:paraId="449D76D8" w14:textId="4134BED4" w:rsidR="008E344E" w:rsidRPr="001A1836" w:rsidRDefault="008E344E" w:rsidP="00CF1BDA">
      <w:pPr>
        <w:pStyle w:val="GSRL1Scheduleheader"/>
      </w:pPr>
      <w:bookmarkStart w:id="3114" w:name="_Toc129038320"/>
      <w:bookmarkStart w:id="3115" w:name="_Toc129038606"/>
      <w:bookmarkStart w:id="3116" w:name="_Toc132268191"/>
      <w:bookmarkStart w:id="3117" w:name="_Toc132268497"/>
      <w:bookmarkStart w:id="3118" w:name="_Toc136198747"/>
      <w:bookmarkStart w:id="3119" w:name="_Toc136199028"/>
      <w:bookmarkStart w:id="3120" w:name="_Toc188885263"/>
      <w:r w:rsidRPr="001A1836">
        <w:lastRenderedPageBreak/>
        <w:t xml:space="preserve">SCHEDULE 17: </w:t>
      </w:r>
      <w:r w:rsidR="004C2FF4" w:rsidRPr="001A1836">
        <w:t>Parent Company Guarantee</w:t>
      </w:r>
      <w:bookmarkEnd w:id="3114"/>
      <w:bookmarkEnd w:id="3115"/>
      <w:bookmarkEnd w:id="3116"/>
      <w:bookmarkEnd w:id="3117"/>
      <w:bookmarkEnd w:id="3118"/>
      <w:bookmarkEnd w:id="3119"/>
      <w:bookmarkEnd w:id="3120"/>
    </w:p>
    <w:p w14:paraId="67E524D7" w14:textId="77777777" w:rsidR="008E344E" w:rsidRPr="001A1836" w:rsidRDefault="008E344E" w:rsidP="00CF1BDA"/>
    <w:p w14:paraId="6E062A7A" w14:textId="2BA21547" w:rsidR="008E344E" w:rsidRPr="001A1836" w:rsidRDefault="008E344E" w:rsidP="008E344E">
      <w:pPr>
        <w:rPr>
          <w:rFonts w:cs="Arial"/>
        </w:rPr>
      </w:pPr>
    </w:p>
    <w:p w14:paraId="374CC722" w14:textId="4F1284B7" w:rsidR="008E344E" w:rsidRPr="001A1836" w:rsidRDefault="008E344E" w:rsidP="000358F4">
      <w:pPr>
        <w:pStyle w:val="GSRL2Sectionheading"/>
      </w:pPr>
      <w:r w:rsidRPr="001A1836">
        <w:br w:type="page"/>
      </w:r>
      <w:bookmarkStart w:id="3121" w:name="_Toc529346097"/>
      <w:bookmarkStart w:id="3122" w:name="_Toc129038322"/>
      <w:bookmarkStart w:id="3123" w:name="_Toc129038608"/>
      <w:bookmarkStart w:id="3124" w:name="_Toc132268193"/>
      <w:bookmarkStart w:id="3125" w:name="_Toc132268499"/>
      <w:bookmarkStart w:id="3126" w:name="_Toc136198749"/>
      <w:bookmarkStart w:id="3127" w:name="_Toc136199030"/>
      <w:bookmarkStart w:id="3128" w:name="Schedule17"/>
      <w:r w:rsidR="004C2FF4" w:rsidRPr="001A1836">
        <w:lastRenderedPageBreak/>
        <w:t>General</w:t>
      </w:r>
      <w:bookmarkEnd w:id="3121"/>
      <w:bookmarkEnd w:id="3122"/>
      <w:bookmarkEnd w:id="3123"/>
      <w:bookmarkEnd w:id="3124"/>
      <w:bookmarkEnd w:id="3125"/>
      <w:bookmarkEnd w:id="3126"/>
      <w:bookmarkEnd w:id="3127"/>
    </w:p>
    <w:p w14:paraId="17804715" w14:textId="77777777" w:rsidR="008E344E" w:rsidRPr="001A1836" w:rsidRDefault="008E344E" w:rsidP="004E2262">
      <w:pPr>
        <w:pStyle w:val="GSRL3heading"/>
        <w:numPr>
          <w:ilvl w:val="0"/>
          <w:numId w:val="75"/>
        </w:numPr>
      </w:pPr>
      <w:bookmarkStart w:id="3129" w:name="_Toc508706411"/>
      <w:bookmarkStart w:id="3130" w:name="_Toc521327167"/>
      <w:bookmarkStart w:id="3131" w:name="_Toc521333400"/>
      <w:bookmarkStart w:id="3132" w:name="_Toc521484131"/>
      <w:bookmarkStart w:id="3133" w:name="_Toc521484894"/>
      <w:bookmarkStart w:id="3134" w:name="_Toc521485225"/>
      <w:bookmarkStart w:id="3135" w:name="_Toc521496962"/>
      <w:bookmarkStart w:id="3136" w:name="_Toc521498404"/>
      <w:bookmarkStart w:id="3137" w:name="_Toc529346098"/>
      <w:bookmarkStart w:id="3138" w:name="_Toc129038323"/>
      <w:bookmarkStart w:id="3139" w:name="_Toc129038609"/>
      <w:bookmarkStart w:id="3140" w:name="_Toc132268194"/>
      <w:bookmarkStart w:id="3141" w:name="_Toc132268500"/>
      <w:bookmarkStart w:id="3142" w:name="_Toc136198750"/>
      <w:bookmarkStart w:id="3143" w:name="_Toc136199031"/>
      <w:r w:rsidRPr="001A1836">
        <w:t>The Guarantee</w:t>
      </w:r>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p>
    <w:p w14:paraId="2F33C167" w14:textId="083FC78B" w:rsidR="008E344E" w:rsidRPr="001A1836" w:rsidRDefault="008E344E">
      <w:pPr>
        <w:pStyle w:val="GSRL4numberedclause"/>
      </w:pPr>
      <w:bookmarkStart w:id="3144" w:name="_Ref492661455"/>
      <w:r w:rsidRPr="001A1836">
        <w:t xml:space="preserve">Where the Provider is </w:t>
      </w:r>
      <w:r w:rsidR="00426B1A">
        <w:t>required to provide</w:t>
      </w:r>
      <w:r w:rsidR="00426B1A" w:rsidRPr="001A1836">
        <w:t xml:space="preserve"> </w:t>
      </w:r>
      <w:r w:rsidRPr="001A1836">
        <w:t>a Guarantee, it shall be in the form set out in Annex 1 to this Schedule 17 or as otherwise agreed in writing by HSE</w:t>
      </w:r>
      <w:bookmarkEnd w:id="3144"/>
      <w:r w:rsidR="006047D5">
        <w:t xml:space="preserve"> in accordance with this Agreement</w:t>
      </w:r>
      <w:r w:rsidRPr="001A1836">
        <w:t>.</w:t>
      </w:r>
    </w:p>
    <w:p w14:paraId="6A391052" w14:textId="355A9532" w:rsidR="008E344E" w:rsidRPr="001A1836" w:rsidRDefault="008E344E" w:rsidP="000358F4">
      <w:pPr>
        <w:pStyle w:val="GSRL2Sectionheading"/>
      </w:pPr>
      <w:r w:rsidRPr="001A1836">
        <w:br w:type="page"/>
      </w:r>
      <w:bookmarkStart w:id="3145" w:name="_Toc508706412"/>
      <w:bookmarkStart w:id="3146" w:name="_Toc521327168"/>
      <w:bookmarkStart w:id="3147" w:name="_Toc521333401"/>
      <w:bookmarkStart w:id="3148" w:name="_Toc521484132"/>
      <w:bookmarkStart w:id="3149" w:name="_Toc521484895"/>
      <w:bookmarkStart w:id="3150" w:name="_Toc521485226"/>
      <w:bookmarkStart w:id="3151" w:name="_Toc521496963"/>
      <w:bookmarkStart w:id="3152" w:name="_Toc521498405"/>
      <w:bookmarkStart w:id="3153" w:name="_Toc529346099"/>
      <w:bookmarkStart w:id="3154" w:name="_Toc129038324"/>
      <w:bookmarkStart w:id="3155" w:name="_Toc129038610"/>
      <w:bookmarkStart w:id="3156" w:name="_Toc132268195"/>
      <w:bookmarkStart w:id="3157" w:name="_Toc132268501"/>
      <w:bookmarkStart w:id="3158" w:name="_Toc136198751"/>
      <w:bookmarkStart w:id="3159" w:name="_Toc136199032"/>
      <w:r w:rsidR="0049305D" w:rsidRPr="001A1836">
        <w:lastRenderedPageBreak/>
        <w:t>Annex</w:t>
      </w:r>
      <w:r w:rsidRPr="001A1836">
        <w:t xml:space="preserve"> 1 PARENT COMPANY GUARANTEE</w:t>
      </w:r>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p>
    <w:p w14:paraId="2A340769" w14:textId="38FA549B" w:rsidR="008E344E" w:rsidRPr="001A1836" w:rsidRDefault="0049305D" w:rsidP="000358F4">
      <w:pPr>
        <w:pStyle w:val="GSRL2Sectionheading"/>
      </w:pPr>
      <w:bookmarkStart w:id="3160" w:name="_Toc529346100"/>
      <w:bookmarkStart w:id="3161" w:name="_Toc129038325"/>
      <w:bookmarkStart w:id="3162" w:name="_Toc129038611"/>
      <w:bookmarkStart w:id="3163" w:name="_Toc132268196"/>
      <w:bookmarkStart w:id="3164" w:name="_Toc132268502"/>
      <w:bookmarkStart w:id="3165" w:name="_Toc136198752"/>
      <w:bookmarkStart w:id="3166" w:name="_Toc136199033"/>
      <w:r w:rsidRPr="001A1836">
        <w:t>Deed of Guarantee</w:t>
      </w:r>
      <w:bookmarkEnd w:id="3160"/>
      <w:bookmarkEnd w:id="3161"/>
      <w:bookmarkEnd w:id="3162"/>
      <w:bookmarkEnd w:id="3163"/>
      <w:bookmarkEnd w:id="3164"/>
      <w:bookmarkEnd w:id="3165"/>
      <w:bookmarkEnd w:id="3166"/>
    </w:p>
    <w:p w14:paraId="6363C442" w14:textId="77777777" w:rsidR="006047D5" w:rsidRPr="006047D5" w:rsidRDefault="006047D5" w:rsidP="006047D5">
      <w:pPr>
        <w:pStyle w:val="BlankDocumentTitle"/>
        <w:rPr>
          <w:rFonts w:cs="Arial"/>
          <w:sz w:val="22"/>
          <w:szCs w:val="22"/>
        </w:rPr>
      </w:pPr>
    </w:p>
    <w:p w14:paraId="056D10B1" w14:textId="77777777" w:rsidR="006047D5" w:rsidRPr="006047D5" w:rsidRDefault="006047D5" w:rsidP="006047D5">
      <w:pPr>
        <w:pStyle w:val="BlankDocumentTitle"/>
        <w:rPr>
          <w:rFonts w:cs="Arial"/>
          <w:sz w:val="22"/>
          <w:szCs w:val="22"/>
        </w:rPr>
      </w:pPr>
      <w:r w:rsidRPr="006047D5">
        <w:rPr>
          <w:rFonts w:cs="Arial"/>
          <w:sz w:val="22"/>
          <w:szCs w:val="22"/>
        </w:rPr>
        <w:t>DEED OF GUARANTEE</w:t>
      </w:r>
    </w:p>
    <w:p w14:paraId="4425FB51" w14:textId="77777777" w:rsidR="006047D5" w:rsidRPr="006047D5" w:rsidRDefault="006047D5" w:rsidP="006047D5">
      <w:pPr>
        <w:pStyle w:val="StdBodyText"/>
        <w:rPr>
          <w:rFonts w:cs="Arial"/>
          <w:sz w:val="22"/>
          <w:szCs w:val="22"/>
        </w:rPr>
      </w:pPr>
      <w:r w:rsidRPr="006047D5">
        <w:rPr>
          <w:rStyle w:val="StdBodyTextBoldChar"/>
          <w:rFonts w:eastAsiaTheme="majorEastAsia" w:cs="Arial"/>
          <w:sz w:val="22"/>
          <w:szCs w:val="22"/>
        </w:rPr>
        <w:t>THIS DEED</w:t>
      </w:r>
      <w:r w:rsidRPr="006047D5">
        <w:rPr>
          <w:rFonts w:cs="Arial"/>
          <w:sz w:val="22"/>
          <w:szCs w:val="22"/>
        </w:rPr>
        <w:t xml:space="preserve"> is executed as a deed and dated [Insert date of execution] (the “</w:t>
      </w:r>
      <w:r w:rsidRPr="006047D5">
        <w:rPr>
          <w:rStyle w:val="StdBodyTextBoldChar"/>
          <w:rFonts w:eastAsiaTheme="majorEastAsia" w:cs="Arial"/>
          <w:sz w:val="22"/>
          <w:szCs w:val="22"/>
        </w:rPr>
        <w:t>Deed</w:t>
      </w:r>
      <w:r w:rsidRPr="006047D5">
        <w:rPr>
          <w:rFonts w:cs="Arial"/>
          <w:sz w:val="22"/>
          <w:szCs w:val="22"/>
        </w:rPr>
        <w:t>”)</w:t>
      </w:r>
    </w:p>
    <w:p w14:paraId="002721EE" w14:textId="77777777" w:rsidR="006047D5" w:rsidRPr="006047D5" w:rsidRDefault="006047D5" w:rsidP="006047D5">
      <w:pPr>
        <w:pStyle w:val="StdBodyTextBold"/>
        <w:rPr>
          <w:rFonts w:cs="Arial"/>
          <w:sz w:val="22"/>
          <w:szCs w:val="22"/>
        </w:rPr>
      </w:pPr>
      <w:r w:rsidRPr="006047D5">
        <w:rPr>
          <w:rFonts w:cs="Arial"/>
          <w:sz w:val="22"/>
          <w:szCs w:val="22"/>
        </w:rPr>
        <w:t>BETWEEN:</w:t>
      </w:r>
    </w:p>
    <w:p w14:paraId="784D5038" w14:textId="77777777" w:rsidR="006047D5" w:rsidRPr="006047D5" w:rsidRDefault="006047D5" w:rsidP="004E2262">
      <w:pPr>
        <w:pStyle w:val="PartiesBodyText"/>
        <w:numPr>
          <w:ilvl w:val="0"/>
          <w:numId w:val="93"/>
        </w:numPr>
        <w:rPr>
          <w:rFonts w:cs="Arial"/>
          <w:sz w:val="22"/>
          <w:szCs w:val="22"/>
        </w:rPr>
      </w:pPr>
      <w:r w:rsidRPr="006047D5">
        <w:rPr>
          <w:rStyle w:val="StdBodyTextBoldChar"/>
          <w:rFonts w:eastAsiaTheme="majorEastAsia" w:cs="Arial"/>
          <w:sz w:val="22"/>
          <w:szCs w:val="22"/>
          <w:highlight w:val="yellow"/>
        </w:rPr>
        <w:t>[INSERT NAME OF THE GUARANTOR]</w:t>
      </w:r>
      <w:r w:rsidRPr="006047D5">
        <w:rPr>
          <w:rFonts w:cs="Arial"/>
          <w:sz w:val="22"/>
          <w:szCs w:val="22"/>
          <w:highlight w:val="yellow"/>
        </w:rPr>
        <w:t xml:space="preserve"> [a company incorporated in [England and Wales] under registered number [insert registered number] whose registered office is at [insert registered office]] [</w:t>
      </w:r>
      <w:r w:rsidRPr="006047D5">
        <w:rPr>
          <w:rStyle w:val="StdBodyTextBoldChar"/>
          <w:rFonts w:eastAsiaTheme="majorEastAsia" w:cs="Arial"/>
          <w:sz w:val="22"/>
          <w:szCs w:val="22"/>
          <w:highlight w:val="yellow"/>
        </w:rPr>
        <w:t>OR]</w:t>
      </w:r>
      <w:r w:rsidRPr="006047D5">
        <w:rPr>
          <w:rFonts w:cs="Arial"/>
          <w:sz w:val="22"/>
          <w:szCs w:val="22"/>
          <w:highlight w:val="yellow"/>
        </w:rPr>
        <w:t xml:space="preserve"> [a company incorporated under the laws of [insert country], registered in [insert country] with number [insert number] at [insert place of registration], whose principal office is at [insert office details]</w:t>
      </w:r>
      <w:r w:rsidRPr="006047D5">
        <w:rPr>
          <w:rFonts w:cs="Arial"/>
          <w:sz w:val="22"/>
          <w:szCs w:val="22"/>
        </w:rPr>
        <w:t xml:space="preserve"> (the "</w:t>
      </w:r>
      <w:r w:rsidRPr="006047D5">
        <w:rPr>
          <w:rStyle w:val="StdBodyTextBoldChar"/>
          <w:rFonts w:eastAsiaTheme="majorEastAsia" w:cs="Arial"/>
          <w:sz w:val="22"/>
          <w:szCs w:val="22"/>
        </w:rPr>
        <w:t>Guarantor</w:t>
      </w:r>
      <w:r w:rsidRPr="006047D5">
        <w:rPr>
          <w:rFonts w:cs="Arial"/>
          <w:sz w:val="22"/>
          <w:szCs w:val="22"/>
        </w:rPr>
        <w:t>"); and</w:t>
      </w:r>
    </w:p>
    <w:p w14:paraId="490B6D5B" w14:textId="2ED936C5" w:rsidR="006047D5" w:rsidRPr="006047D5" w:rsidRDefault="006047D5">
      <w:pPr>
        <w:pStyle w:val="PartiesBodyText"/>
        <w:rPr>
          <w:rFonts w:cs="Arial"/>
          <w:sz w:val="22"/>
          <w:szCs w:val="22"/>
        </w:rPr>
      </w:pPr>
      <w:r w:rsidRPr="006047D5">
        <w:rPr>
          <w:b/>
          <w:sz w:val="22"/>
          <w:szCs w:val="22"/>
        </w:rPr>
        <w:t>HEALTH AND SAFETY EXECUTIVE</w:t>
      </w:r>
      <w:r w:rsidRPr="006047D5">
        <w:rPr>
          <w:sz w:val="22"/>
          <w:szCs w:val="22"/>
        </w:rPr>
        <w:t>, an executive non-departmental public body with Crown status, established under the Health and Safety at Work etc Act 1974 and having its head office at Redgrave Court, Merton Road, Bootle L20 7HS</w:t>
      </w:r>
      <w:r>
        <w:rPr>
          <w:rFonts w:cs="Arial"/>
          <w:sz w:val="22"/>
          <w:szCs w:val="22"/>
        </w:rPr>
        <w:t xml:space="preserve"> (</w:t>
      </w:r>
      <w:r w:rsidRPr="006047D5">
        <w:rPr>
          <w:rFonts w:cs="Arial"/>
          <w:sz w:val="22"/>
          <w:szCs w:val="22"/>
        </w:rPr>
        <w:t>"</w:t>
      </w:r>
      <w:r>
        <w:rPr>
          <w:rStyle w:val="StdBodyTextBoldChar"/>
          <w:rFonts w:eastAsiaTheme="majorEastAsia" w:cs="Arial"/>
          <w:sz w:val="22"/>
          <w:szCs w:val="22"/>
        </w:rPr>
        <w:t>HSE</w:t>
      </w:r>
      <w:r w:rsidRPr="006047D5">
        <w:rPr>
          <w:rFonts w:cs="Arial"/>
          <w:sz w:val="22"/>
          <w:szCs w:val="22"/>
        </w:rPr>
        <w:t>").</w:t>
      </w:r>
    </w:p>
    <w:p w14:paraId="566F0B68" w14:textId="77777777" w:rsidR="006047D5" w:rsidRPr="006047D5" w:rsidRDefault="006047D5" w:rsidP="006047D5">
      <w:pPr>
        <w:pStyle w:val="StdBodyText"/>
        <w:rPr>
          <w:rFonts w:cs="Arial"/>
          <w:sz w:val="22"/>
          <w:szCs w:val="22"/>
        </w:rPr>
      </w:pPr>
      <w:r w:rsidRPr="006047D5">
        <w:rPr>
          <w:rFonts w:cs="Arial"/>
          <w:sz w:val="22"/>
          <w:szCs w:val="22"/>
        </w:rPr>
        <w:t>together the “</w:t>
      </w:r>
      <w:r w:rsidRPr="006047D5">
        <w:rPr>
          <w:rStyle w:val="StdBodyTextBoldChar"/>
          <w:rFonts w:eastAsiaTheme="majorEastAsia" w:cs="Arial"/>
          <w:sz w:val="22"/>
          <w:szCs w:val="22"/>
        </w:rPr>
        <w:t>Parties</w:t>
      </w:r>
      <w:r w:rsidRPr="006047D5">
        <w:rPr>
          <w:rFonts w:cs="Arial"/>
          <w:sz w:val="22"/>
          <w:szCs w:val="22"/>
        </w:rPr>
        <w:t>” and each a “</w:t>
      </w:r>
      <w:r w:rsidRPr="006047D5">
        <w:rPr>
          <w:rStyle w:val="StdBodyTextBoldChar"/>
          <w:rFonts w:eastAsiaTheme="majorEastAsia" w:cs="Arial"/>
          <w:sz w:val="22"/>
          <w:szCs w:val="22"/>
        </w:rPr>
        <w:t>Party</w:t>
      </w:r>
      <w:r w:rsidRPr="006047D5">
        <w:rPr>
          <w:rFonts w:cs="Arial"/>
          <w:sz w:val="22"/>
          <w:szCs w:val="22"/>
        </w:rPr>
        <w:t>”.</w:t>
      </w:r>
    </w:p>
    <w:p w14:paraId="7D157C54" w14:textId="77777777" w:rsidR="006047D5" w:rsidRPr="006047D5" w:rsidRDefault="006047D5" w:rsidP="006047D5">
      <w:pPr>
        <w:pStyle w:val="StdBodyTextBold"/>
        <w:rPr>
          <w:rFonts w:cs="Arial"/>
          <w:sz w:val="22"/>
          <w:szCs w:val="22"/>
        </w:rPr>
      </w:pPr>
      <w:r w:rsidRPr="006047D5">
        <w:rPr>
          <w:rFonts w:cs="Arial"/>
          <w:sz w:val="22"/>
          <w:szCs w:val="22"/>
        </w:rPr>
        <w:t>BACKGROUND:</w:t>
      </w:r>
    </w:p>
    <w:p w14:paraId="3C4FA3C4" w14:textId="6EC5A50A" w:rsidR="006047D5" w:rsidRPr="006047D5" w:rsidRDefault="006047D5" w:rsidP="004E2262">
      <w:pPr>
        <w:pStyle w:val="Recitals"/>
        <w:numPr>
          <w:ilvl w:val="0"/>
          <w:numId w:val="94"/>
        </w:numPr>
        <w:rPr>
          <w:rFonts w:cs="Arial"/>
          <w:sz w:val="22"/>
          <w:szCs w:val="22"/>
        </w:rPr>
      </w:pPr>
      <w:bookmarkStart w:id="3167" w:name="_Ref41993548"/>
      <w:r>
        <w:rPr>
          <w:rFonts w:cs="Arial"/>
          <w:sz w:val="22"/>
          <w:szCs w:val="22"/>
        </w:rPr>
        <w:t>HSE</w:t>
      </w:r>
      <w:r w:rsidRPr="006047D5">
        <w:rPr>
          <w:rFonts w:cs="Arial"/>
          <w:sz w:val="22"/>
          <w:szCs w:val="22"/>
        </w:rPr>
        <w:t xml:space="preserve"> has awarded a </w:t>
      </w:r>
      <w:r>
        <w:rPr>
          <w:rFonts w:cs="Arial"/>
          <w:sz w:val="22"/>
          <w:szCs w:val="22"/>
        </w:rPr>
        <w:t xml:space="preserve">concession </w:t>
      </w:r>
      <w:r w:rsidRPr="006047D5">
        <w:rPr>
          <w:rFonts w:cs="Arial"/>
          <w:sz w:val="22"/>
          <w:szCs w:val="22"/>
        </w:rPr>
        <w:t xml:space="preserve">contract dated </w:t>
      </w:r>
      <w:r w:rsidRPr="006047D5">
        <w:rPr>
          <w:rFonts w:cs="Arial"/>
          <w:sz w:val="22"/>
          <w:szCs w:val="22"/>
          <w:highlight w:val="yellow"/>
        </w:rPr>
        <w:t xml:space="preserve">[insert date] </w:t>
      </w:r>
      <w:r w:rsidRPr="006047D5">
        <w:rPr>
          <w:rFonts w:cs="Arial"/>
          <w:sz w:val="22"/>
          <w:szCs w:val="22"/>
        </w:rPr>
        <w:t xml:space="preserve">to </w:t>
      </w:r>
      <w:r w:rsidRPr="006047D5">
        <w:rPr>
          <w:rFonts w:cs="Arial"/>
          <w:sz w:val="22"/>
          <w:szCs w:val="22"/>
          <w:highlight w:val="yellow"/>
        </w:rPr>
        <w:t xml:space="preserve">[insert details of the </w:t>
      </w:r>
      <w:r>
        <w:rPr>
          <w:rFonts w:cs="Arial"/>
          <w:sz w:val="22"/>
          <w:szCs w:val="22"/>
          <w:highlight w:val="yellow"/>
        </w:rPr>
        <w:t>Provider</w:t>
      </w:r>
      <w:r w:rsidRPr="006047D5">
        <w:rPr>
          <w:rFonts w:cs="Arial"/>
          <w:sz w:val="22"/>
          <w:szCs w:val="22"/>
          <w:highlight w:val="yellow"/>
        </w:rPr>
        <w:t>]</w:t>
      </w:r>
      <w:r w:rsidRPr="006047D5">
        <w:rPr>
          <w:rFonts w:cs="Arial"/>
          <w:sz w:val="22"/>
          <w:szCs w:val="22"/>
        </w:rPr>
        <w:t xml:space="preserve"> (the “</w:t>
      </w:r>
      <w:r>
        <w:rPr>
          <w:rStyle w:val="StdBodyTextBoldChar"/>
          <w:rFonts w:eastAsiaTheme="majorEastAsia" w:cs="Arial"/>
          <w:sz w:val="22"/>
          <w:szCs w:val="22"/>
        </w:rPr>
        <w:t>Provider</w:t>
      </w:r>
      <w:r w:rsidRPr="006047D5">
        <w:rPr>
          <w:rFonts w:cs="Arial"/>
          <w:sz w:val="22"/>
          <w:szCs w:val="22"/>
        </w:rPr>
        <w:t xml:space="preserve">”) </w:t>
      </w:r>
      <w:r>
        <w:rPr>
          <w:rFonts w:cs="Arial"/>
          <w:sz w:val="22"/>
          <w:szCs w:val="22"/>
        </w:rPr>
        <w:t>in relation to the Gas Safe Register</w:t>
      </w:r>
      <w:r w:rsidRPr="006047D5">
        <w:rPr>
          <w:rFonts w:cs="Arial"/>
          <w:sz w:val="22"/>
          <w:szCs w:val="22"/>
        </w:rPr>
        <w:t xml:space="preserve"> (the “</w:t>
      </w:r>
      <w:r w:rsidRPr="006047D5">
        <w:rPr>
          <w:rStyle w:val="StdBodyTextBoldChar"/>
          <w:rFonts w:eastAsiaTheme="majorEastAsia" w:cs="Arial"/>
          <w:sz w:val="22"/>
          <w:szCs w:val="22"/>
        </w:rPr>
        <w:t>Guaranteed Agreement</w:t>
      </w:r>
      <w:r w:rsidRPr="006047D5">
        <w:rPr>
          <w:rFonts w:cs="Arial"/>
          <w:sz w:val="22"/>
          <w:szCs w:val="22"/>
        </w:rPr>
        <w:t>”).</w:t>
      </w:r>
      <w:bookmarkEnd w:id="3167"/>
    </w:p>
    <w:p w14:paraId="564A7CC7" w14:textId="12BB002E" w:rsidR="006047D5" w:rsidRPr="006047D5" w:rsidRDefault="006047D5">
      <w:pPr>
        <w:pStyle w:val="Recitals"/>
        <w:rPr>
          <w:rFonts w:cs="Arial"/>
          <w:sz w:val="22"/>
          <w:szCs w:val="22"/>
        </w:rPr>
      </w:pPr>
      <w:r w:rsidRPr="006047D5">
        <w:rPr>
          <w:rFonts w:cs="Arial"/>
          <w:sz w:val="22"/>
          <w:szCs w:val="22"/>
        </w:rPr>
        <w:t xml:space="preserve">It is a condition of </w:t>
      </w:r>
      <w:r>
        <w:rPr>
          <w:rFonts w:cs="Arial"/>
          <w:sz w:val="22"/>
          <w:szCs w:val="22"/>
        </w:rPr>
        <w:t>HSE</w:t>
      </w:r>
      <w:r w:rsidRPr="006047D5">
        <w:rPr>
          <w:rFonts w:cs="Arial"/>
          <w:sz w:val="22"/>
          <w:szCs w:val="22"/>
        </w:rPr>
        <w:t xml:space="preserve"> entering into the Guaranteed Agreement that the </w:t>
      </w:r>
      <w:r>
        <w:rPr>
          <w:rFonts w:cs="Arial"/>
          <w:sz w:val="22"/>
          <w:szCs w:val="22"/>
        </w:rPr>
        <w:t>Provider</w:t>
      </w:r>
      <w:r w:rsidRPr="006047D5">
        <w:rPr>
          <w:rFonts w:cs="Arial"/>
          <w:sz w:val="22"/>
          <w:szCs w:val="22"/>
        </w:rPr>
        <w:t xml:space="preserve"> procures the execution and delivery to </w:t>
      </w:r>
      <w:r>
        <w:rPr>
          <w:rFonts w:cs="Arial"/>
          <w:sz w:val="22"/>
          <w:szCs w:val="22"/>
        </w:rPr>
        <w:t>HSE</w:t>
      </w:r>
      <w:r w:rsidRPr="006047D5">
        <w:rPr>
          <w:rFonts w:cs="Arial"/>
          <w:sz w:val="22"/>
          <w:szCs w:val="22"/>
        </w:rPr>
        <w:t xml:space="preserve"> of a parent company guarantee substantially in the form of this Deed.</w:t>
      </w:r>
    </w:p>
    <w:p w14:paraId="02A1D1B0" w14:textId="77777777" w:rsidR="006047D5" w:rsidRPr="006047D5" w:rsidRDefault="006047D5">
      <w:pPr>
        <w:pStyle w:val="Recitals"/>
        <w:rPr>
          <w:rFonts w:cs="Arial"/>
          <w:sz w:val="22"/>
          <w:szCs w:val="22"/>
        </w:rPr>
      </w:pPr>
      <w:r w:rsidRPr="006047D5">
        <w:rPr>
          <w:rFonts w:cs="Arial"/>
          <w:sz w:val="22"/>
          <w:szCs w:val="22"/>
        </w:rPr>
        <w:t xml:space="preserve">The Guarantor has agreed to guarantee the due performance of the Guaranteed Agreement. </w:t>
      </w:r>
    </w:p>
    <w:p w14:paraId="14F5F5ED" w14:textId="77777777" w:rsidR="006047D5" w:rsidRPr="006047D5" w:rsidRDefault="006047D5" w:rsidP="006047D5">
      <w:pPr>
        <w:pStyle w:val="StdBodyText"/>
        <w:rPr>
          <w:rFonts w:cs="Arial"/>
          <w:sz w:val="22"/>
          <w:szCs w:val="22"/>
        </w:rPr>
      </w:pPr>
      <w:r w:rsidRPr="006047D5">
        <w:rPr>
          <w:rStyle w:val="StdBodyTextBoldChar"/>
          <w:rFonts w:eastAsiaTheme="majorEastAsia" w:cs="Arial"/>
          <w:sz w:val="22"/>
          <w:szCs w:val="22"/>
        </w:rPr>
        <w:t>IT IS AGREED</w:t>
      </w:r>
      <w:r w:rsidRPr="006047D5">
        <w:rPr>
          <w:rFonts w:cs="Arial"/>
          <w:sz w:val="22"/>
          <w:szCs w:val="22"/>
        </w:rPr>
        <w:t xml:space="preserve"> as follows: </w:t>
      </w:r>
    </w:p>
    <w:p w14:paraId="3AE8464A" w14:textId="77777777" w:rsidR="006047D5" w:rsidRPr="006047D5" w:rsidRDefault="006047D5">
      <w:pPr>
        <w:pStyle w:val="ScheduleText1"/>
        <w:rPr>
          <w:rFonts w:cs="Arial"/>
          <w:sz w:val="22"/>
          <w:szCs w:val="22"/>
        </w:rPr>
      </w:pPr>
      <w:r w:rsidRPr="006047D5">
        <w:rPr>
          <w:rFonts w:cs="Arial"/>
          <w:sz w:val="22"/>
          <w:szCs w:val="22"/>
        </w:rPr>
        <w:t>DEFINITIONS AND INTERPRETATION</w:t>
      </w:r>
    </w:p>
    <w:p w14:paraId="7BDD5068" w14:textId="77777777" w:rsidR="006047D5" w:rsidRPr="006047D5" w:rsidRDefault="006047D5" w:rsidP="006047D5">
      <w:pPr>
        <w:pStyle w:val="StdBodyText1"/>
        <w:rPr>
          <w:rFonts w:cs="Arial"/>
          <w:sz w:val="22"/>
          <w:szCs w:val="22"/>
        </w:rPr>
      </w:pPr>
      <w:r w:rsidRPr="006047D5">
        <w:rPr>
          <w:rStyle w:val="StdBodyTextBoldChar"/>
          <w:rFonts w:eastAsiaTheme="majorEastAsia" w:cs="Arial"/>
          <w:sz w:val="22"/>
          <w:szCs w:val="22"/>
        </w:rPr>
        <w:t>Definitions</w:t>
      </w:r>
    </w:p>
    <w:p w14:paraId="7462A994" w14:textId="77777777" w:rsidR="006047D5" w:rsidRPr="006047D5" w:rsidRDefault="006047D5" w:rsidP="004E2262">
      <w:pPr>
        <w:pStyle w:val="ScheduleText2"/>
        <w:numPr>
          <w:ilvl w:val="1"/>
          <w:numId w:val="83"/>
        </w:numPr>
        <w:rPr>
          <w:rFonts w:cs="Arial"/>
          <w:sz w:val="22"/>
          <w:szCs w:val="22"/>
        </w:rPr>
      </w:pPr>
      <w:r w:rsidRPr="006047D5">
        <w:rPr>
          <w:rFonts w:cs="Arial"/>
          <w:sz w:val="22"/>
          <w:szCs w:val="22"/>
        </w:rPr>
        <w:t xml:space="preserve">The </w:t>
      </w:r>
      <w:r w:rsidRPr="006047D5">
        <w:rPr>
          <w:rStyle w:val="StdBodyTextBoldChar"/>
          <w:rFonts w:eastAsiaTheme="majorEastAsia" w:cs="Arial"/>
          <w:sz w:val="22"/>
          <w:szCs w:val="22"/>
        </w:rPr>
        <w:t>following</w:t>
      </w:r>
      <w:r w:rsidRPr="006047D5">
        <w:rPr>
          <w:rFonts w:cs="Arial"/>
          <w:sz w:val="22"/>
          <w:szCs w:val="22"/>
        </w:rPr>
        <w:t xml:space="preserve"> definitions apply in this Deed:</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9"/>
        <w:gridCol w:w="5629"/>
      </w:tblGrid>
      <w:tr w:rsidR="006047D5" w:rsidRPr="006047D5" w14:paraId="5913AD04" w14:textId="77777777" w:rsidTr="000E33C7">
        <w:tc>
          <w:tcPr>
            <w:tcW w:w="2790" w:type="dxa"/>
          </w:tcPr>
          <w:p w14:paraId="08108017" w14:textId="77777777" w:rsidR="006047D5" w:rsidRPr="006047D5" w:rsidRDefault="006047D5" w:rsidP="000E33C7">
            <w:pPr>
              <w:pStyle w:val="StdBodyTextBold"/>
              <w:rPr>
                <w:rFonts w:cs="Arial"/>
                <w:sz w:val="22"/>
                <w:szCs w:val="22"/>
              </w:rPr>
            </w:pPr>
            <w:r w:rsidRPr="006047D5">
              <w:rPr>
                <w:rFonts w:cs="Arial"/>
                <w:sz w:val="22"/>
                <w:szCs w:val="22"/>
              </w:rPr>
              <w:t>"Business Day"</w:t>
            </w:r>
          </w:p>
        </w:tc>
        <w:tc>
          <w:tcPr>
            <w:tcW w:w="5661" w:type="dxa"/>
          </w:tcPr>
          <w:p w14:paraId="7C0EA66D" w14:textId="77777777" w:rsidR="006047D5" w:rsidRPr="006047D5" w:rsidRDefault="006047D5" w:rsidP="000E33C7">
            <w:pPr>
              <w:pStyle w:val="StdBodyText"/>
              <w:rPr>
                <w:rFonts w:cs="Arial"/>
                <w:sz w:val="22"/>
                <w:szCs w:val="22"/>
              </w:rPr>
            </w:pPr>
            <w:r w:rsidRPr="006047D5">
              <w:rPr>
                <w:rFonts w:cs="Arial"/>
                <w:sz w:val="22"/>
                <w:szCs w:val="22"/>
              </w:rPr>
              <w:t>means a day, other than a Saturday, Sunday or public holiday in England, when banks in London are open for business;</w:t>
            </w:r>
          </w:p>
        </w:tc>
      </w:tr>
      <w:tr w:rsidR="006047D5" w:rsidRPr="006047D5" w14:paraId="7991D9F6" w14:textId="77777777" w:rsidTr="000E33C7">
        <w:tc>
          <w:tcPr>
            <w:tcW w:w="2790" w:type="dxa"/>
          </w:tcPr>
          <w:p w14:paraId="62E15163" w14:textId="77777777" w:rsidR="006047D5" w:rsidRPr="006047D5" w:rsidRDefault="006047D5" w:rsidP="000E33C7">
            <w:pPr>
              <w:pStyle w:val="StdBodyTextBold"/>
              <w:rPr>
                <w:rFonts w:cs="Arial"/>
                <w:sz w:val="22"/>
                <w:szCs w:val="22"/>
              </w:rPr>
            </w:pPr>
            <w:r w:rsidRPr="006047D5">
              <w:rPr>
                <w:rFonts w:cs="Arial"/>
                <w:sz w:val="22"/>
                <w:szCs w:val="22"/>
              </w:rPr>
              <w:t>"Control"</w:t>
            </w:r>
          </w:p>
        </w:tc>
        <w:tc>
          <w:tcPr>
            <w:tcW w:w="5661" w:type="dxa"/>
          </w:tcPr>
          <w:p w14:paraId="78FC221F" w14:textId="77777777" w:rsidR="006047D5" w:rsidRPr="006047D5" w:rsidRDefault="006047D5" w:rsidP="000E33C7">
            <w:pPr>
              <w:pStyle w:val="StdBodyText"/>
              <w:rPr>
                <w:rFonts w:cs="Arial"/>
                <w:sz w:val="22"/>
                <w:szCs w:val="22"/>
              </w:rPr>
            </w:pPr>
            <w:r w:rsidRPr="006047D5">
              <w:rPr>
                <w:rFonts w:cs="Arial"/>
                <w:sz w:val="22"/>
                <w:szCs w:val="22"/>
              </w:rPr>
              <w:t>means the power of a person to secure that the affairs of a body corporate are conducted in accordance with the wishes of that person:</w:t>
            </w:r>
          </w:p>
          <w:p w14:paraId="7BB5F353" w14:textId="77777777" w:rsidR="006047D5" w:rsidRPr="006047D5" w:rsidRDefault="006047D5" w:rsidP="004E2262">
            <w:pPr>
              <w:pStyle w:val="DefinitionList"/>
              <w:numPr>
                <w:ilvl w:val="0"/>
                <w:numId w:val="90"/>
              </w:numPr>
              <w:rPr>
                <w:rFonts w:cs="Arial"/>
                <w:sz w:val="22"/>
                <w:szCs w:val="22"/>
              </w:rPr>
            </w:pPr>
            <w:r w:rsidRPr="006047D5">
              <w:rPr>
                <w:rFonts w:cs="Arial"/>
                <w:sz w:val="22"/>
                <w:szCs w:val="22"/>
              </w:rPr>
              <w:lastRenderedPageBreak/>
              <w:t>by means of the holding of shares or the possession of voting power in relation to that body or any other body corporate; or</w:t>
            </w:r>
          </w:p>
          <w:p w14:paraId="0E449EEE" w14:textId="77777777" w:rsidR="006047D5" w:rsidRPr="006047D5" w:rsidRDefault="006047D5" w:rsidP="004E2262">
            <w:pPr>
              <w:pStyle w:val="DefinitionList"/>
              <w:numPr>
                <w:ilvl w:val="0"/>
                <w:numId w:val="90"/>
              </w:numPr>
              <w:rPr>
                <w:rFonts w:cs="Arial"/>
                <w:sz w:val="22"/>
                <w:szCs w:val="22"/>
              </w:rPr>
            </w:pPr>
            <w:r w:rsidRPr="006047D5">
              <w:rPr>
                <w:rFonts w:cs="Arial"/>
                <w:sz w:val="22"/>
                <w:szCs w:val="22"/>
              </w:rPr>
              <w:t>as a result of any powers conferred by the constitutional or corporate documents, or any other document regulating that body or any other body corporate;</w:t>
            </w:r>
          </w:p>
        </w:tc>
      </w:tr>
      <w:tr w:rsidR="006047D5" w:rsidRPr="006047D5" w14:paraId="1F8DAAFA" w14:textId="77777777" w:rsidTr="000E33C7">
        <w:tc>
          <w:tcPr>
            <w:tcW w:w="2790" w:type="dxa"/>
          </w:tcPr>
          <w:p w14:paraId="6B63B9D6" w14:textId="77777777" w:rsidR="006047D5" w:rsidRPr="006047D5" w:rsidRDefault="006047D5" w:rsidP="000E33C7">
            <w:pPr>
              <w:pStyle w:val="StdBodyTextBold"/>
              <w:rPr>
                <w:rFonts w:cs="Arial"/>
                <w:sz w:val="22"/>
                <w:szCs w:val="22"/>
              </w:rPr>
            </w:pPr>
            <w:r w:rsidRPr="006047D5">
              <w:rPr>
                <w:rFonts w:cs="Arial"/>
                <w:sz w:val="22"/>
                <w:szCs w:val="22"/>
              </w:rPr>
              <w:lastRenderedPageBreak/>
              <w:t>"Guaranteed Agreement"</w:t>
            </w:r>
          </w:p>
        </w:tc>
        <w:tc>
          <w:tcPr>
            <w:tcW w:w="5661" w:type="dxa"/>
          </w:tcPr>
          <w:p w14:paraId="6BDD302A" w14:textId="27868A27" w:rsidR="006047D5" w:rsidRPr="006047D5" w:rsidRDefault="006047D5" w:rsidP="000E33C7">
            <w:pPr>
              <w:pStyle w:val="StdBodyText"/>
              <w:rPr>
                <w:rFonts w:cs="Arial"/>
                <w:sz w:val="22"/>
                <w:szCs w:val="22"/>
              </w:rPr>
            </w:pPr>
            <w:r w:rsidRPr="006047D5">
              <w:rPr>
                <w:rFonts w:cs="Arial"/>
                <w:sz w:val="22"/>
                <w:szCs w:val="22"/>
              </w:rPr>
              <w:t xml:space="preserve">has the meaning given to it in Recital </w:t>
            </w:r>
            <w:r w:rsidRPr="006047D5">
              <w:rPr>
                <w:rFonts w:cs="Arial"/>
                <w:sz w:val="22"/>
                <w:szCs w:val="22"/>
              </w:rPr>
              <w:fldChar w:fldCharType="begin"/>
            </w:r>
            <w:r w:rsidRPr="006047D5">
              <w:rPr>
                <w:rFonts w:cs="Arial"/>
                <w:sz w:val="22"/>
                <w:szCs w:val="22"/>
              </w:rPr>
              <w:instrText xml:space="preserve"> REF _Ref41993548 \r \h  \* MERGEFORMAT </w:instrText>
            </w:r>
            <w:r w:rsidRPr="006047D5">
              <w:rPr>
                <w:rFonts w:cs="Arial"/>
                <w:sz w:val="22"/>
                <w:szCs w:val="22"/>
              </w:rPr>
            </w:r>
            <w:r w:rsidRPr="006047D5">
              <w:rPr>
                <w:rFonts w:cs="Arial"/>
                <w:sz w:val="22"/>
                <w:szCs w:val="22"/>
              </w:rPr>
              <w:fldChar w:fldCharType="separate"/>
            </w:r>
            <w:r w:rsidR="00C87D85">
              <w:rPr>
                <w:rFonts w:cs="Arial"/>
                <w:sz w:val="22"/>
                <w:szCs w:val="22"/>
              </w:rPr>
              <w:t>(A)</w:t>
            </w:r>
            <w:r w:rsidRPr="006047D5">
              <w:rPr>
                <w:rFonts w:cs="Arial"/>
                <w:sz w:val="22"/>
                <w:szCs w:val="22"/>
              </w:rPr>
              <w:fldChar w:fldCharType="end"/>
            </w:r>
            <w:r w:rsidRPr="006047D5">
              <w:rPr>
                <w:rFonts w:cs="Arial"/>
                <w:sz w:val="22"/>
                <w:szCs w:val="22"/>
              </w:rPr>
              <w:t>;</w:t>
            </w:r>
          </w:p>
        </w:tc>
      </w:tr>
      <w:tr w:rsidR="006047D5" w:rsidRPr="006047D5" w14:paraId="51599230" w14:textId="77777777" w:rsidTr="000E33C7">
        <w:tc>
          <w:tcPr>
            <w:tcW w:w="2790" w:type="dxa"/>
          </w:tcPr>
          <w:p w14:paraId="18E50C11" w14:textId="77777777" w:rsidR="006047D5" w:rsidRPr="006047D5" w:rsidRDefault="006047D5" w:rsidP="000E33C7">
            <w:pPr>
              <w:pStyle w:val="StdBodyTextBold"/>
              <w:rPr>
                <w:rFonts w:cs="Arial"/>
                <w:sz w:val="22"/>
                <w:szCs w:val="22"/>
              </w:rPr>
            </w:pPr>
            <w:r w:rsidRPr="006047D5">
              <w:rPr>
                <w:rFonts w:cs="Arial"/>
                <w:sz w:val="22"/>
                <w:szCs w:val="22"/>
              </w:rPr>
              <w:t>"Guaranteed Obligations"</w:t>
            </w:r>
          </w:p>
        </w:tc>
        <w:tc>
          <w:tcPr>
            <w:tcW w:w="5661" w:type="dxa"/>
          </w:tcPr>
          <w:p w14:paraId="260CBA73" w14:textId="08FC0B96" w:rsidR="006047D5" w:rsidRPr="006047D5" w:rsidRDefault="006047D5" w:rsidP="000E33C7">
            <w:pPr>
              <w:pStyle w:val="StdBodyText"/>
              <w:rPr>
                <w:rFonts w:cs="Arial"/>
                <w:sz w:val="22"/>
                <w:szCs w:val="22"/>
              </w:rPr>
            </w:pPr>
            <w:r w:rsidRPr="006047D5">
              <w:rPr>
                <w:rFonts w:cs="Arial"/>
                <w:sz w:val="22"/>
                <w:szCs w:val="22"/>
              </w:rPr>
              <w:t xml:space="preserve">has the meaning given to it in </w:t>
            </w:r>
            <w:bookmarkStart w:id="3168" w:name="_9kMHG5YVtCIC9DJHDmf0vturB3p4KHICySdTHDO"/>
            <w:bookmarkStart w:id="3169" w:name="_9kMHG5YVtCJD9FKGDmf0vturB3p4KHICySdTHDO"/>
            <w:r w:rsidRPr="006047D5">
              <w:rPr>
                <w:rFonts w:cs="Arial"/>
                <w:sz w:val="22"/>
                <w:szCs w:val="22"/>
              </w:rPr>
              <w:t xml:space="preserve">Clause </w:t>
            </w:r>
            <w:r w:rsidRPr="006047D5">
              <w:rPr>
                <w:rFonts w:cs="Arial"/>
                <w:sz w:val="22"/>
                <w:szCs w:val="22"/>
              </w:rPr>
              <w:fldChar w:fldCharType="begin"/>
            </w:r>
            <w:r w:rsidRPr="006047D5">
              <w:rPr>
                <w:rFonts w:cs="Arial"/>
                <w:sz w:val="22"/>
                <w:szCs w:val="22"/>
              </w:rPr>
              <w:instrText xml:space="preserve"> REF _Ref_ContractCompanion_9kb9Ut37B \w \h \t \* MERGEFORMAT </w:instrText>
            </w:r>
            <w:r w:rsidRPr="006047D5">
              <w:rPr>
                <w:rFonts w:cs="Arial"/>
                <w:sz w:val="22"/>
                <w:szCs w:val="22"/>
              </w:rPr>
            </w:r>
            <w:r w:rsidRPr="006047D5">
              <w:rPr>
                <w:rFonts w:cs="Arial"/>
                <w:sz w:val="22"/>
                <w:szCs w:val="22"/>
              </w:rPr>
              <w:fldChar w:fldCharType="separate"/>
            </w:r>
            <w:r w:rsidR="00C87D85">
              <w:rPr>
                <w:rFonts w:cs="Arial"/>
                <w:sz w:val="22"/>
                <w:szCs w:val="22"/>
              </w:rPr>
              <w:t>2.1(a)</w:t>
            </w:r>
            <w:r w:rsidRPr="006047D5">
              <w:rPr>
                <w:rFonts w:cs="Arial"/>
                <w:sz w:val="22"/>
                <w:szCs w:val="22"/>
              </w:rPr>
              <w:fldChar w:fldCharType="end"/>
            </w:r>
            <w:bookmarkEnd w:id="3168"/>
            <w:bookmarkEnd w:id="3169"/>
            <w:r w:rsidRPr="006047D5">
              <w:rPr>
                <w:rFonts w:cs="Arial"/>
                <w:sz w:val="22"/>
                <w:szCs w:val="22"/>
              </w:rPr>
              <w:t>;</w:t>
            </w:r>
          </w:p>
        </w:tc>
      </w:tr>
      <w:tr w:rsidR="006047D5" w:rsidRPr="006047D5" w14:paraId="57D957C5" w14:textId="77777777" w:rsidTr="000E33C7">
        <w:tc>
          <w:tcPr>
            <w:tcW w:w="2790" w:type="dxa"/>
          </w:tcPr>
          <w:p w14:paraId="744A0F0E" w14:textId="0BC5D581" w:rsidR="006047D5" w:rsidRPr="006047D5" w:rsidRDefault="006047D5" w:rsidP="000E33C7">
            <w:pPr>
              <w:pStyle w:val="StdBodyTextBold"/>
              <w:rPr>
                <w:rFonts w:cs="Arial"/>
                <w:sz w:val="22"/>
                <w:szCs w:val="22"/>
              </w:rPr>
            </w:pPr>
            <w:r w:rsidRPr="006047D5">
              <w:rPr>
                <w:rFonts w:cs="Arial"/>
                <w:sz w:val="22"/>
                <w:szCs w:val="22"/>
              </w:rPr>
              <w:t>"</w:t>
            </w:r>
            <w:r>
              <w:rPr>
                <w:rFonts w:cs="Arial"/>
                <w:sz w:val="22"/>
                <w:szCs w:val="22"/>
              </w:rPr>
              <w:t>Provider</w:t>
            </w:r>
            <w:r w:rsidRPr="006047D5">
              <w:rPr>
                <w:rFonts w:cs="Arial"/>
                <w:sz w:val="22"/>
                <w:szCs w:val="22"/>
              </w:rPr>
              <w:t>"</w:t>
            </w:r>
          </w:p>
        </w:tc>
        <w:tc>
          <w:tcPr>
            <w:tcW w:w="5661" w:type="dxa"/>
          </w:tcPr>
          <w:p w14:paraId="58308133" w14:textId="0477911E" w:rsidR="006047D5" w:rsidRPr="006047D5" w:rsidRDefault="006047D5" w:rsidP="000E33C7">
            <w:pPr>
              <w:pStyle w:val="StdBodyText"/>
              <w:rPr>
                <w:rFonts w:cs="Arial"/>
                <w:sz w:val="22"/>
                <w:szCs w:val="22"/>
              </w:rPr>
            </w:pPr>
            <w:r w:rsidRPr="006047D5">
              <w:rPr>
                <w:rFonts w:cs="Arial"/>
                <w:sz w:val="22"/>
                <w:szCs w:val="22"/>
              </w:rPr>
              <w:t xml:space="preserve">has the meaning given to it in Recital </w:t>
            </w:r>
            <w:r w:rsidRPr="006047D5">
              <w:rPr>
                <w:rFonts w:cs="Arial"/>
                <w:sz w:val="22"/>
                <w:szCs w:val="22"/>
              </w:rPr>
              <w:fldChar w:fldCharType="begin"/>
            </w:r>
            <w:r w:rsidRPr="006047D5">
              <w:rPr>
                <w:rFonts w:cs="Arial"/>
                <w:sz w:val="22"/>
                <w:szCs w:val="22"/>
              </w:rPr>
              <w:instrText xml:space="preserve"> REF _Ref41993548 \r \h  \* MERGEFORMAT </w:instrText>
            </w:r>
            <w:r w:rsidRPr="006047D5">
              <w:rPr>
                <w:rFonts w:cs="Arial"/>
                <w:sz w:val="22"/>
                <w:szCs w:val="22"/>
              </w:rPr>
            </w:r>
            <w:r w:rsidRPr="006047D5">
              <w:rPr>
                <w:rFonts w:cs="Arial"/>
                <w:sz w:val="22"/>
                <w:szCs w:val="22"/>
              </w:rPr>
              <w:fldChar w:fldCharType="separate"/>
            </w:r>
            <w:r w:rsidR="00C87D85">
              <w:rPr>
                <w:rFonts w:cs="Arial"/>
                <w:sz w:val="22"/>
                <w:szCs w:val="22"/>
              </w:rPr>
              <w:t>(A)</w:t>
            </w:r>
            <w:r w:rsidRPr="006047D5">
              <w:rPr>
                <w:rFonts w:cs="Arial"/>
                <w:sz w:val="22"/>
                <w:szCs w:val="22"/>
              </w:rPr>
              <w:fldChar w:fldCharType="end"/>
            </w:r>
            <w:r w:rsidRPr="006047D5">
              <w:rPr>
                <w:rFonts w:cs="Arial"/>
                <w:sz w:val="22"/>
                <w:szCs w:val="22"/>
              </w:rPr>
              <w:t>;</w:t>
            </w:r>
          </w:p>
        </w:tc>
      </w:tr>
      <w:tr w:rsidR="006047D5" w:rsidRPr="006047D5" w14:paraId="74F86AB3" w14:textId="77777777" w:rsidTr="000E33C7">
        <w:tc>
          <w:tcPr>
            <w:tcW w:w="2790" w:type="dxa"/>
          </w:tcPr>
          <w:p w14:paraId="4808FD07" w14:textId="77777777" w:rsidR="006047D5" w:rsidRPr="006047D5" w:rsidRDefault="006047D5" w:rsidP="000E33C7">
            <w:pPr>
              <w:pStyle w:val="StdBodyTextBold"/>
              <w:rPr>
                <w:rFonts w:cs="Arial"/>
                <w:sz w:val="22"/>
                <w:szCs w:val="22"/>
              </w:rPr>
            </w:pPr>
            <w:r w:rsidRPr="006047D5">
              <w:rPr>
                <w:rFonts w:cs="Arial"/>
                <w:sz w:val="22"/>
                <w:szCs w:val="22"/>
              </w:rPr>
              <w:t>"VAT"</w:t>
            </w:r>
          </w:p>
        </w:tc>
        <w:tc>
          <w:tcPr>
            <w:tcW w:w="5661" w:type="dxa"/>
          </w:tcPr>
          <w:p w14:paraId="1BDFD4EE" w14:textId="77777777" w:rsidR="006047D5" w:rsidRPr="006047D5" w:rsidRDefault="006047D5" w:rsidP="000E33C7">
            <w:pPr>
              <w:pStyle w:val="StdBodyText"/>
              <w:rPr>
                <w:rFonts w:cs="Arial"/>
                <w:sz w:val="22"/>
                <w:szCs w:val="22"/>
              </w:rPr>
            </w:pPr>
            <w:r w:rsidRPr="006047D5">
              <w:rPr>
                <w:rFonts w:cs="Arial"/>
                <w:sz w:val="22"/>
                <w:szCs w:val="22"/>
              </w:rPr>
              <w:t>means value added tax or any equivalent tax chargeable in the UK or elsewhere.</w:t>
            </w:r>
          </w:p>
        </w:tc>
      </w:tr>
    </w:tbl>
    <w:p w14:paraId="792256BA" w14:textId="77777777" w:rsidR="006047D5" w:rsidRPr="006047D5" w:rsidRDefault="006047D5" w:rsidP="006047D5">
      <w:pPr>
        <w:pStyle w:val="StdBodyText1"/>
        <w:rPr>
          <w:rFonts w:cs="Arial"/>
          <w:sz w:val="22"/>
          <w:szCs w:val="22"/>
        </w:rPr>
      </w:pPr>
      <w:r w:rsidRPr="006047D5">
        <w:rPr>
          <w:rStyle w:val="StdBodyTextBoldChar"/>
          <w:rFonts w:eastAsiaTheme="majorEastAsia" w:cs="Arial"/>
          <w:sz w:val="22"/>
          <w:szCs w:val="22"/>
        </w:rPr>
        <w:t>Interpretation</w:t>
      </w:r>
    </w:p>
    <w:p w14:paraId="35660798" w14:textId="77777777" w:rsidR="006047D5" w:rsidRPr="006047D5" w:rsidRDefault="006047D5" w:rsidP="004E2262">
      <w:pPr>
        <w:pStyle w:val="ScheduleText2"/>
        <w:numPr>
          <w:ilvl w:val="1"/>
          <w:numId w:val="83"/>
        </w:numPr>
        <w:rPr>
          <w:rFonts w:cs="Arial"/>
          <w:sz w:val="22"/>
          <w:szCs w:val="22"/>
        </w:rPr>
      </w:pPr>
      <w:r w:rsidRPr="006047D5">
        <w:rPr>
          <w:rFonts w:cs="Arial"/>
          <w:sz w:val="22"/>
          <w:szCs w:val="22"/>
        </w:rPr>
        <w:t>Unless otherwise stated, any reference in this Deed to:</w:t>
      </w:r>
    </w:p>
    <w:p w14:paraId="263E2CF5" w14:textId="03E576B6" w:rsidR="006047D5" w:rsidRPr="006047D5" w:rsidRDefault="006047D5" w:rsidP="004E2262">
      <w:pPr>
        <w:pStyle w:val="ScheduleText4"/>
        <w:numPr>
          <w:ilvl w:val="3"/>
          <w:numId w:val="83"/>
        </w:numPr>
        <w:rPr>
          <w:rFonts w:cs="Arial"/>
          <w:sz w:val="22"/>
          <w:szCs w:val="22"/>
        </w:rPr>
      </w:pPr>
      <w:r w:rsidRPr="006047D5">
        <w:rPr>
          <w:rFonts w:cs="Arial"/>
          <w:sz w:val="22"/>
          <w:szCs w:val="22"/>
        </w:rPr>
        <w:t>the "Guarantor", "</w:t>
      </w:r>
      <w:r w:rsidR="00F1524D">
        <w:rPr>
          <w:rFonts w:cs="Arial"/>
          <w:sz w:val="22"/>
          <w:szCs w:val="22"/>
        </w:rPr>
        <w:t>HSE</w:t>
      </w:r>
      <w:r w:rsidRPr="006047D5">
        <w:rPr>
          <w:rFonts w:cs="Arial"/>
          <w:sz w:val="22"/>
          <w:szCs w:val="22"/>
        </w:rPr>
        <w:t>", the “</w:t>
      </w:r>
      <w:r>
        <w:rPr>
          <w:rFonts w:cs="Arial"/>
          <w:sz w:val="22"/>
          <w:szCs w:val="22"/>
        </w:rPr>
        <w:t>Provider</w:t>
      </w:r>
      <w:r w:rsidRPr="006047D5">
        <w:rPr>
          <w:rFonts w:cs="Arial"/>
          <w:sz w:val="22"/>
          <w:szCs w:val="22"/>
        </w:rPr>
        <w:t>” or any other person shall be construed so as to include their successors in title, permitted assigns and permitted transferees, whether direct or indirect;</w:t>
      </w:r>
    </w:p>
    <w:p w14:paraId="3A4F8B92" w14:textId="77777777" w:rsidR="006047D5" w:rsidRPr="006047D5" w:rsidRDefault="006047D5" w:rsidP="004E2262">
      <w:pPr>
        <w:pStyle w:val="ScheduleText4"/>
        <w:numPr>
          <w:ilvl w:val="3"/>
          <w:numId w:val="83"/>
        </w:numPr>
        <w:rPr>
          <w:rFonts w:cs="Arial"/>
          <w:sz w:val="22"/>
          <w:szCs w:val="22"/>
        </w:rPr>
      </w:pPr>
      <w:r w:rsidRPr="006047D5">
        <w:rPr>
          <w:rFonts w:cs="Arial"/>
          <w:sz w:val="22"/>
          <w:szCs w:val="22"/>
        </w:rPr>
        <w:t>"assets" includes present and future properties, revenues and rights of every description;</w:t>
      </w:r>
    </w:p>
    <w:p w14:paraId="18AA2E58" w14:textId="77777777" w:rsidR="006047D5" w:rsidRPr="006047D5" w:rsidRDefault="006047D5" w:rsidP="004E2262">
      <w:pPr>
        <w:pStyle w:val="ScheduleText4"/>
        <w:numPr>
          <w:ilvl w:val="3"/>
          <w:numId w:val="83"/>
        </w:numPr>
        <w:rPr>
          <w:rFonts w:cs="Arial"/>
          <w:sz w:val="22"/>
          <w:szCs w:val="22"/>
        </w:rPr>
      </w:pPr>
      <w:r w:rsidRPr="006047D5">
        <w:rPr>
          <w:rFonts w:cs="Arial"/>
          <w:sz w:val="22"/>
          <w:szCs w:val="22"/>
        </w:rPr>
        <w:t xml:space="preserve">this "Deed", or any other agreement or instrument is a reference to, this deed or other agreement or instrument as amended, novated, supplemented, extended or restated; </w:t>
      </w:r>
    </w:p>
    <w:p w14:paraId="53C09253" w14:textId="77777777" w:rsidR="006047D5" w:rsidRPr="006047D5" w:rsidRDefault="006047D5" w:rsidP="004E2262">
      <w:pPr>
        <w:pStyle w:val="ScheduleText4"/>
        <w:numPr>
          <w:ilvl w:val="3"/>
          <w:numId w:val="83"/>
        </w:numPr>
        <w:rPr>
          <w:rFonts w:cs="Arial"/>
          <w:sz w:val="22"/>
          <w:szCs w:val="22"/>
        </w:rPr>
      </w:pPr>
      <w:r w:rsidRPr="006047D5">
        <w:rPr>
          <w:rFonts w:cs="Arial"/>
          <w:sz w:val="22"/>
          <w:szCs w:val="22"/>
        </w:rPr>
        <w:t>"indebtedness" includes any obligation (whether incurred as principal or as surety) for the payment or repayment of money, whether present or future, actual or contingent;</w:t>
      </w:r>
    </w:p>
    <w:p w14:paraId="1DBA6860" w14:textId="77777777" w:rsidR="006047D5" w:rsidRPr="006047D5" w:rsidRDefault="006047D5" w:rsidP="004E2262">
      <w:pPr>
        <w:pStyle w:val="ScheduleText4"/>
        <w:numPr>
          <w:ilvl w:val="3"/>
          <w:numId w:val="83"/>
        </w:numPr>
        <w:rPr>
          <w:rFonts w:cs="Arial"/>
          <w:sz w:val="22"/>
          <w:szCs w:val="22"/>
        </w:rPr>
      </w:pPr>
      <w:r w:rsidRPr="006047D5">
        <w:rPr>
          <w:rFonts w:cs="Arial"/>
          <w:sz w:val="22"/>
          <w:szCs w:val="22"/>
        </w:rPr>
        <w:t xml:space="preserve">a "person" includes any individual, firm, company, corporation, government, state or agency of a state or any association, trust, joint venture, consortium, partnership or other entity (whether or not having separate legal personality); </w:t>
      </w:r>
    </w:p>
    <w:p w14:paraId="1342E5C6" w14:textId="77777777" w:rsidR="006047D5" w:rsidRPr="006047D5" w:rsidRDefault="006047D5" w:rsidP="004E2262">
      <w:pPr>
        <w:pStyle w:val="ScheduleText4"/>
        <w:numPr>
          <w:ilvl w:val="3"/>
          <w:numId w:val="83"/>
        </w:numPr>
        <w:rPr>
          <w:rFonts w:cs="Arial"/>
          <w:sz w:val="22"/>
          <w:szCs w:val="22"/>
        </w:rPr>
      </w:pPr>
      <w:r w:rsidRPr="006047D5">
        <w:rPr>
          <w:rFonts w:cs="Arial"/>
          <w:sz w:val="22"/>
          <w:szCs w:val="22"/>
        </w:rPr>
        <w:t>the words “including”, “includes”, “in particular”, “for example” or similar shall be construed as illustrative and without limitation to the generality of the related general words; and</w:t>
      </w:r>
    </w:p>
    <w:p w14:paraId="08758791" w14:textId="77777777" w:rsidR="006047D5" w:rsidRPr="006047D5" w:rsidRDefault="006047D5" w:rsidP="004E2262">
      <w:pPr>
        <w:pStyle w:val="ScheduleText4"/>
        <w:numPr>
          <w:ilvl w:val="3"/>
          <w:numId w:val="83"/>
        </w:numPr>
        <w:rPr>
          <w:rFonts w:cs="Arial"/>
          <w:sz w:val="22"/>
          <w:szCs w:val="22"/>
        </w:rPr>
      </w:pPr>
      <w:r w:rsidRPr="006047D5">
        <w:rPr>
          <w:rFonts w:cs="Arial"/>
          <w:sz w:val="22"/>
          <w:szCs w:val="22"/>
        </w:rPr>
        <w:t>a time of day is a reference to London time.</w:t>
      </w:r>
    </w:p>
    <w:p w14:paraId="1FDE86B7" w14:textId="77777777" w:rsidR="006047D5" w:rsidRPr="006047D5" w:rsidRDefault="006047D5" w:rsidP="004E2262">
      <w:pPr>
        <w:pStyle w:val="ScheduleText1"/>
        <w:numPr>
          <w:ilvl w:val="0"/>
          <w:numId w:val="83"/>
        </w:numPr>
        <w:rPr>
          <w:rFonts w:cs="Arial"/>
          <w:sz w:val="22"/>
          <w:szCs w:val="22"/>
        </w:rPr>
      </w:pPr>
      <w:r w:rsidRPr="006047D5">
        <w:rPr>
          <w:rFonts w:cs="Arial"/>
          <w:sz w:val="22"/>
          <w:szCs w:val="22"/>
        </w:rPr>
        <w:t>GUARANTEE AND INDEMNITY</w:t>
      </w:r>
    </w:p>
    <w:p w14:paraId="36E2E76F" w14:textId="77777777" w:rsidR="006047D5" w:rsidRPr="006047D5" w:rsidRDefault="006047D5" w:rsidP="004E2262">
      <w:pPr>
        <w:pStyle w:val="ScheduleText2"/>
        <w:numPr>
          <w:ilvl w:val="1"/>
          <w:numId w:val="83"/>
        </w:numPr>
        <w:rPr>
          <w:rFonts w:cs="Arial"/>
          <w:sz w:val="22"/>
          <w:szCs w:val="22"/>
        </w:rPr>
      </w:pPr>
      <w:bookmarkStart w:id="3170" w:name="_9kR3WTrAGA7DLHBdRjJUvturBDC"/>
      <w:bookmarkStart w:id="3171" w:name="_Ref_ContractCompanion_9kb9Ut39F"/>
      <w:r w:rsidRPr="006047D5">
        <w:rPr>
          <w:rFonts w:cs="Arial"/>
          <w:sz w:val="22"/>
          <w:szCs w:val="22"/>
        </w:rPr>
        <w:t>The Guarantor:</w:t>
      </w:r>
      <w:bookmarkEnd w:id="3170"/>
      <w:r w:rsidRPr="006047D5">
        <w:rPr>
          <w:rFonts w:cs="Arial"/>
          <w:sz w:val="22"/>
          <w:szCs w:val="22"/>
        </w:rPr>
        <w:t xml:space="preserve"> </w:t>
      </w:r>
      <w:bookmarkEnd w:id="3171"/>
    </w:p>
    <w:p w14:paraId="39D555B5" w14:textId="398301F1" w:rsidR="006047D5" w:rsidRPr="006047D5" w:rsidRDefault="006047D5" w:rsidP="004E2262">
      <w:pPr>
        <w:pStyle w:val="ScheduleText4"/>
        <w:numPr>
          <w:ilvl w:val="3"/>
          <w:numId w:val="83"/>
        </w:numPr>
        <w:rPr>
          <w:rFonts w:cs="Arial"/>
          <w:sz w:val="22"/>
          <w:szCs w:val="22"/>
        </w:rPr>
      </w:pPr>
      <w:bookmarkStart w:id="3172" w:name="_9kR3WTrAGA7BHFBkdytrsp91n2IFGAwQbRFBMHK"/>
      <w:bookmarkStart w:id="3173" w:name="_9kR3WTrAHB7DIEBkdytrsp91n2IFGAwQbRFBMHK"/>
      <w:bookmarkStart w:id="3174" w:name="_Ref_ContractCompanion_9kb9Ut37B"/>
      <w:r w:rsidRPr="006047D5">
        <w:rPr>
          <w:rFonts w:cs="Arial"/>
          <w:sz w:val="22"/>
          <w:szCs w:val="22"/>
        </w:rPr>
        <w:lastRenderedPageBreak/>
        <w:t xml:space="preserve">guarantees to </w:t>
      </w:r>
      <w:r>
        <w:rPr>
          <w:rFonts w:cs="Arial"/>
          <w:sz w:val="22"/>
          <w:szCs w:val="22"/>
        </w:rPr>
        <w:t>HSE</w:t>
      </w:r>
      <w:r w:rsidRPr="006047D5">
        <w:rPr>
          <w:rFonts w:cs="Arial"/>
          <w:sz w:val="22"/>
          <w:szCs w:val="22"/>
        </w:rPr>
        <w:t xml:space="preserve"> the due and punctual performance of all of the </w:t>
      </w:r>
      <w:r>
        <w:rPr>
          <w:rFonts w:cs="Arial"/>
          <w:sz w:val="22"/>
          <w:szCs w:val="22"/>
        </w:rPr>
        <w:t>Provider</w:t>
      </w:r>
      <w:r w:rsidRPr="006047D5">
        <w:rPr>
          <w:rFonts w:cs="Arial"/>
          <w:sz w:val="22"/>
          <w:szCs w:val="22"/>
        </w:rPr>
        <w:t>'s present and future obligations under and in connection with the Guaranteed Agreement if and when they become due and performable in accordance with the terms of the Guaranteed Agreement (the “</w:t>
      </w:r>
      <w:r w:rsidRPr="006047D5">
        <w:rPr>
          <w:rStyle w:val="StdBodyTextBoldChar"/>
          <w:rFonts w:eastAsiaTheme="majorEastAsia" w:cs="Arial"/>
          <w:sz w:val="22"/>
          <w:szCs w:val="22"/>
        </w:rPr>
        <w:t>Guaranteed Obligations</w:t>
      </w:r>
      <w:r w:rsidRPr="006047D5">
        <w:rPr>
          <w:rFonts w:cs="Arial"/>
          <w:sz w:val="22"/>
          <w:szCs w:val="22"/>
        </w:rPr>
        <w:t>”);</w:t>
      </w:r>
      <w:bookmarkEnd w:id="3172"/>
      <w:bookmarkEnd w:id="3173"/>
      <w:r w:rsidRPr="006047D5">
        <w:rPr>
          <w:rFonts w:cs="Arial"/>
          <w:sz w:val="22"/>
          <w:szCs w:val="22"/>
        </w:rPr>
        <w:t xml:space="preserve"> </w:t>
      </w:r>
      <w:bookmarkEnd w:id="3174"/>
    </w:p>
    <w:p w14:paraId="4845C610" w14:textId="224B8177" w:rsidR="006047D5" w:rsidRPr="006047D5" w:rsidRDefault="006047D5" w:rsidP="004E2262">
      <w:pPr>
        <w:pStyle w:val="ScheduleText4"/>
        <w:numPr>
          <w:ilvl w:val="3"/>
          <w:numId w:val="83"/>
        </w:numPr>
        <w:rPr>
          <w:rFonts w:cs="Arial"/>
          <w:sz w:val="22"/>
          <w:szCs w:val="22"/>
        </w:rPr>
      </w:pPr>
      <w:r w:rsidRPr="006047D5">
        <w:rPr>
          <w:rFonts w:cs="Arial"/>
          <w:sz w:val="22"/>
          <w:szCs w:val="22"/>
        </w:rPr>
        <w:t xml:space="preserve">shall pay to </w:t>
      </w:r>
      <w:r>
        <w:rPr>
          <w:rFonts w:cs="Arial"/>
          <w:sz w:val="22"/>
          <w:szCs w:val="22"/>
        </w:rPr>
        <w:t>HSE</w:t>
      </w:r>
      <w:r w:rsidRPr="006047D5">
        <w:rPr>
          <w:rFonts w:cs="Arial"/>
          <w:sz w:val="22"/>
          <w:szCs w:val="22"/>
        </w:rPr>
        <w:t xml:space="preserve"> from time to time on demand all monies (together with interest on such sum accrued before and after the date of demand until the date of payment) that have become payable by the </w:t>
      </w:r>
      <w:r>
        <w:rPr>
          <w:rFonts w:cs="Arial"/>
          <w:sz w:val="22"/>
          <w:szCs w:val="22"/>
        </w:rPr>
        <w:t>Provider</w:t>
      </w:r>
      <w:r w:rsidRPr="006047D5">
        <w:rPr>
          <w:rFonts w:cs="Arial"/>
          <w:sz w:val="22"/>
          <w:szCs w:val="22"/>
        </w:rPr>
        <w:t xml:space="preserve"> to </w:t>
      </w:r>
      <w:r>
        <w:rPr>
          <w:rFonts w:cs="Arial"/>
          <w:sz w:val="22"/>
          <w:szCs w:val="22"/>
        </w:rPr>
        <w:t>HSE</w:t>
      </w:r>
      <w:r w:rsidRPr="006047D5">
        <w:rPr>
          <w:rFonts w:cs="Arial"/>
          <w:sz w:val="22"/>
          <w:szCs w:val="22"/>
        </w:rPr>
        <w:t xml:space="preserve"> under or in connection with the Guaranteed Agreement but which has not been paid at the time the demand is made; and</w:t>
      </w:r>
    </w:p>
    <w:p w14:paraId="37CC2E54" w14:textId="380B48CF" w:rsidR="006047D5" w:rsidRPr="006047D5" w:rsidRDefault="006047D5" w:rsidP="004E2262">
      <w:pPr>
        <w:pStyle w:val="ScheduleText4"/>
        <w:numPr>
          <w:ilvl w:val="3"/>
          <w:numId w:val="83"/>
        </w:numPr>
        <w:rPr>
          <w:rFonts w:cs="Arial"/>
          <w:sz w:val="22"/>
          <w:szCs w:val="22"/>
        </w:rPr>
      </w:pPr>
      <w:r w:rsidRPr="006047D5">
        <w:rPr>
          <w:rFonts w:cs="Arial"/>
          <w:sz w:val="22"/>
          <w:szCs w:val="22"/>
        </w:rPr>
        <w:t xml:space="preserve">shall, if the </w:t>
      </w:r>
      <w:r>
        <w:rPr>
          <w:rFonts w:cs="Arial"/>
          <w:sz w:val="22"/>
          <w:szCs w:val="22"/>
        </w:rPr>
        <w:t>Provider</w:t>
      </w:r>
      <w:r w:rsidRPr="006047D5">
        <w:rPr>
          <w:rFonts w:cs="Arial"/>
          <w:sz w:val="22"/>
          <w:szCs w:val="22"/>
        </w:rPr>
        <w:t xml:space="preserve"> fails to perform in full and on time any of the Guaranteed Obligations and upon written notice from </w:t>
      </w:r>
      <w:r>
        <w:rPr>
          <w:rFonts w:cs="Arial"/>
          <w:sz w:val="22"/>
          <w:szCs w:val="22"/>
        </w:rPr>
        <w:t>HSE</w:t>
      </w:r>
      <w:r w:rsidRPr="006047D5">
        <w:rPr>
          <w:rFonts w:cs="Arial"/>
          <w:sz w:val="22"/>
          <w:szCs w:val="22"/>
        </w:rPr>
        <w:t>, immediately on demand perform or procure performance of the same at the Guarantor’s own expense.</w:t>
      </w:r>
    </w:p>
    <w:p w14:paraId="2F1A102D" w14:textId="74F374B3" w:rsidR="006047D5" w:rsidRPr="006047D5" w:rsidRDefault="006047D5" w:rsidP="004E2262">
      <w:pPr>
        <w:pStyle w:val="ScheduleText2"/>
        <w:numPr>
          <w:ilvl w:val="1"/>
          <w:numId w:val="83"/>
        </w:numPr>
        <w:rPr>
          <w:rFonts w:cs="Arial"/>
          <w:sz w:val="22"/>
          <w:szCs w:val="22"/>
        </w:rPr>
      </w:pPr>
      <w:bookmarkStart w:id="3175" w:name="_9kR3WTrAGA7ABACeRjJUvturBDCz1HHB83zD63I"/>
      <w:bookmarkStart w:id="3176" w:name="_Ref_ContractCompanion_9kb9Ut35E"/>
      <w:r w:rsidRPr="006047D5">
        <w:rPr>
          <w:rFonts w:cs="Arial"/>
          <w:sz w:val="22"/>
          <w:szCs w:val="22"/>
        </w:rPr>
        <w:t xml:space="preserve">The Guarantor, as principal obligor and as a separate and independent obligation and liability from its obligations and liabilities under </w:t>
      </w:r>
      <w:bookmarkStart w:id="3177" w:name="_9kMHG5YVtCIC9FNJDfTlLWxvwtDFE"/>
      <w:r w:rsidRPr="006047D5">
        <w:rPr>
          <w:rFonts w:cs="Arial"/>
          <w:sz w:val="22"/>
          <w:szCs w:val="22"/>
        </w:rPr>
        <w:t xml:space="preserve">Clause </w:t>
      </w:r>
      <w:r w:rsidRPr="006047D5">
        <w:rPr>
          <w:rFonts w:cs="Arial"/>
          <w:sz w:val="22"/>
          <w:szCs w:val="22"/>
        </w:rPr>
        <w:fldChar w:fldCharType="begin"/>
      </w:r>
      <w:r w:rsidRPr="006047D5">
        <w:rPr>
          <w:rFonts w:cs="Arial"/>
          <w:sz w:val="22"/>
          <w:szCs w:val="22"/>
        </w:rPr>
        <w:instrText xml:space="preserve"> REF _Ref_ContractCompanion_9kb9Ut39F \n \h \t \* MERGEFORMAT </w:instrText>
      </w:r>
      <w:r w:rsidRPr="006047D5">
        <w:rPr>
          <w:rFonts w:cs="Arial"/>
          <w:sz w:val="22"/>
          <w:szCs w:val="22"/>
        </w:rPr>
      </w:r>
      <w:r w:rsidRPr="006047D5">
        <w:rPr>
          <w:rFonts w:cs="Arial"/>
          <w:sz w:val="22"/>
          <w:szCs w:val="22"/>
        </w:rPr>
        <w:fldChar w:fldCharType="separate"/>
      </w:r>
      <w:r w:rsidR="00C87D85">
        <w:rPr>
          <w:rFonts w:cs="Arial"/>
          <w:sz w:val="22"/>
          <w:szCs w:val="22"/>
        </w:rPr>
        <w:t>2.1</w:t>
      </w:r>
      <w:r w:rsidRPr="006047D5">
        <w:rPr>
          <w:rFonts w:cs="Arial"/>
          <w:sz w:val="22"/>
          <w:szCs w:val="22"/>
        </w:rPr>
        <w:fldChar w:fldCharType="end"/>
      </w:r>
      <w:bookmarkEnd w:id="3177"/>
      <w:r w:rsidRPr="006047D5">
        <w:rPr>
          <w:rFonts w:cs="Arial"/>
          <w:sz w:val="22"/>
          <w:szCs w:val="22"/>
        </w:rPr>
        <w:t xml:space="preserve">, shall indemnify and keep indemnified </w:t>
      </w:r>
      <w:r>
        <w:rPr>
          <w:rFonts w:cs="Arial"/>
          <w:sz w:val="22"/>
          <w:szCs w:val="22"/>
        </w:rPr>
        <w:t>HSE</w:t>
      </w:r>
      <w:r w:rsidRPr="006047D5">
        <w:rPr>
          <w:rFonts w:cs="Arial"/>
          <w:sz w:val="22"/>
          <w:szCs w:val="22"/>
        </w:rPr>
        <w:t xml:space="preserve"> in full and on demand from and against all and any losses, damages, costs and expenses suffered or incurred by </w:t>
      </w:r>
      <w:r>
        <w:rPr>
          <w:rFonts w:cs="Arial"/>
          <w:sz w:val="22"/>
          <w:szCs w:val="22"/>
        </w:rPr>
        <w:t>HSE</w:t>
      </w:r>
      <w:r w:rsidRPr="006047D5">
        <w:rPr>
          <w:rFonts w:cs="Arial"/>
          <w:sz w:val="22"/>
          <w:szCs w:val="22"/>
        </w:rPr>
        <w:t xml:space="preserve"> arising out of, or in connection with:</w:t>
      </w:r>
      <w:bookmarkEnd w:id="3175"/>
      <w:r w:rsidRPr="006047D5">
        <w:rPr>
          <w:rFonts w:cs="Arial"/>
          <w:sz w:val="22"/>
          <w:szCs w:val="22"/>
        </w:rPr>
        <w:t xml:space="preserve"> </w:t>
      </w:r>
      <w:bookmarkEnd w:id="3176"/>
    </w:p>
    <w:p w14:paraId="15EB6904" w14:textId="31D88850" w:rsidR="006047D5" w:rsidRPr="006047D5" w:rsidRDefault="006047D5" w:rsidP="004E2262">
      <w:pPr>
        <w:pStyle w:val="ScheduleText4"/>
        <w:numPr>
          <w:ilvl w:val="3"/>
          <w:numId w:val="83"/>
        </w:numPr>
        <w:rPr>
          <w:rFonts w:cs="Arial"/>
          <w:sz w:val="22"/>
          <w:szCs w:val="22"/>
        </w:rPr>
      </w:pPr>
      <w:r w:rsidRPr="006047D5">
        <w:rPr>
          <w:rFonts w:cs="Arial"/>
          <w:sz w:val="22"/>
          <w:szCs w:val="22"/>
        </w:rPr>
        <w:t xml:space="preserve">any failure by the </w:t>
      </w:r>
      <w:r>
        <w:rPr>
          <w:rFonts w:cs="Arial"/>
          <w:sz w:val="22"/>
          <w:szCs w:val="22"/>
        </w:rPr>
        <w:t>Provider</w:t>
      </w:r>
      <w:r w:rsidRPr="006047D5">
        <w:rPr>
          <w:rFonts w:cs="Arial"/>
          <w:sz w:val="22"/>
          <w:szCs w:val="22"/>
        </w:rPr>
        <w:t xml:space="preserve"> to perform or discharge the Guaranteed Obligations; or </w:t>
      </w:r>
    </w:p>
    <w:p w14:paraId="032869B1" w14:textId="77777777" w:rsidR="006047D5" w:rsidRPr="006047D5" w:rsidRDefault="006047D5" w:rsidP="004E2262">
      <w:pPr>
        <w:pStyle w:val="ScheduleText4"/>
        <w:numPr>
          <w:ilvl w:val="3"/>
          <w:numId w:val="83"/>
        </w:numPr>
        <w:rPr>
          <w:rFonts w:cs="Arial"/>
          <w:sz w:val="22"/>
          <w:szCs w:val="22"/>
        </w:rPr>
      </w:pPr>
      <w:r w:rsidRPr="006047D5">
        <w:rPr>
          <w:rFonts w:cs="Arial"/>
          <w:sz w:val="22"/>
          <w:szCs w:val="22"/>
        </w:rPr>
        <w:t>any of the Guaranteed Obligations being or becoming wholly or partially unenforceable for any reason,</w:t>
      </w:r>
    </w:p>
    <w:p w14:paraId="406B575C" w14:textId="7B817D02" w:rsidR="006047D5" w:rsidRPr="006047D5" w:rsidRDefault="006047D5" w:rsidP="004E2262">
      <w:pPr>
        <w:pStyle w:val="ScheduleText4"/>
        <w:numPr>
          <w:ilvl w:val="3"/>
          <w:numId w:val="83"/>
        </w:numPr>
        <w:rPr>
          <w:rFonts w:cs="Arial"/>
          <w:sz w:val="22"/>
          <w:szCs w:val="22"/>
        </w:rPr>
      </w:pPr>
      <w:r w:rsidRPr="006047D5">
        <w:rPr>
          <w:rFonts w:cs="Arial"/>
          <w:sz w:val="22"/>
          <w:szCs w:val="22"/>
        </w:rPr>
        <w:t xml:space="preserve">provided that the Guarantor's liability under this </w:t>
      </w:r>
      <w:bookmarkStart w:id="3178" w:name="_9kMHG5YVtCIC9CDCEgTlLWxvwtDFE13JJDA51F8"/>
      <w:r w:rsidRPr="006047D5">
        <w:rPr>
          <w:rFonts w:cs="Arial"/>
          <w:sz w:val="22"/>
          <w:szCs w:val="22"/>
        </w:rPr>
        <w:t xml:space="preserve">Clause </w:t>
      </w:r>
      <w:r w:rsidRPr="006047D5">
        <w:rPr>
          <w:rFonts w:cs="Arial"/>
          <w:sz w:val="22"/>
          <w:szCs w:val="22"/>
        </w:rPr>
        <w:fldChar w:fldCharType="begin"/>
      </w:r>
      <w:r w:rsidRPr="006047D5">
        <w:rPr>
          <w:rFonts w:cs="Arial"/>
          <w:sz w:val="22"/>
          <w:szCs w:val="22"/>
        </w:rPr>
        <w:instrText xml:space="preserve"> REF _Ref_ContractCompanion_9kb9Ut35E \n \h \t \* MERGEFORMAT </w:instrText>
      </w:r>
      <w:r w:rsidRPr="006047D5">
        <w:rPr>
          <w:rFonts w:cs="Arial"/>
          <w:sz w:val="22"/>
          <w:szCs w:val="22"/>
        </w:rPr>
      </w:r>
      <w:r w:rsidRPr="006047D5">
        <w:rPr>
          <w:rFonts w:cs="Arial"/>
          <w:sz w:val="22"/>
          <w:szCs w:val="22"/>
        </w:rPr>
        <w:fldChar w:fldCharType="separate"/>
      </w:r>
      <w:r w:rsidR="00C87D85">
        <w:rPr>
          <w:rFonts w:cs="Arial"/>
          <w:sz w:val="22"/>
          <w:szCs w:val="22"/>
        </w:rPr>
        <w:t>2.2</w:t>
      </w:r>
      <w:r w:rsidRPr="006047D5">
        <w:rPr>
          <w:rFonts w:cs="Arial"/>
          <w:sz w:val="22"/>
          <w:szCs w:val="22"/>
        </w:rPr>
        <w:fldChar w:fldCharType="end"/>
      </w:r>
      <w:bookmarkEnd w:id="3178"/>
      <w:r w:rsidRPr="006047D5">
        <w:rPr>
          <w:rFonts w:cs="Arial"/>
          <w:sz w:val="22"/>
          <w:szCs w:val="22"/>
        </w:rPr>
        <w:t xml:space="preserve"> shall be no greater than the </w:t>
      </w:r>
      <w:r>
        <w:rPr>
          <w:rFonts w:cs="Arial"/>
          <w:sz w:val="22"/>
          <w:szCs w:val="22"/>
        </w:rPr>
        <w:t>Provider</w:t>
      </w:r>
      <w:r w:rsidRPr="006047D5">
        <w:rPr>
          <w:rFonts w:cs="Arial"/>
          <w:sz w:val="22"/>
          <w:szCs w:val="22"/>
        </w:rPr>
        <w:t>'s liability under the Guaranteed Agreement was (or would have been had the relevant Guaranteed Obligation been fully enforceable).</w:t>
      </w:r>
    </w:p>
    <w:p w14:paraId="710336C5" w14:textId="1507DA85" w:rsidR="006047D5" w:rsidRPr="006047D5" w:rsidRDefault="00F1524D" w:rsidP="004E2262">
      <w:pPr>
        <w:pStyle w:val="ScheduleText1"/>
        <w:numPr>
          <w:ilvl w:val="0"/>
          <w:numId w:val="83"/>
        </w:numPr>
        <w:rPr>
          <w:rFonts w:cs="Arial"/>
          <w:sz w:val="22"/>
          <w:szCs w:val="22"/>
        </w:rPr>
      </w:pPr>
      <w:r>
        <w:rPr>
          <w:rFonts w:cs="Arial"/>
          <w:sz w:val="22"/>
          <w:szCs w:val="22"/>
        </w:rPr>
        <w:t>HSE</w:t>
      </w:r>
      <w:r w:rsidR="006047D5" w:rsidRPr="006047D5">
        <w:rPr>
          <w:rFonts w:cs="Arial"/>
          <w:sz w:val="22"/>
          <w:szCs w:val="22"/>
        </w:rPr>
        <w:t xml:space="preserve"> PROTECTIONS</w:t>
      </w:r>
    </w:p>
    <w:p w14:paraId="235905F3" w14:textId="77777777" w:rsidR="006047D5" w:rsidRPr="006047D5" w:rsidRDefault="006047D5" w:rsidP="006047D5">
      <w:pPr>
        <w:pStyle w:val="StdBodyText1"/>
        <w:rPr>
          <w:rFonts w:cs="Arial"/>
          <w:sz w:val="22"/>
          <w:szCs w:val="22"/>
        </w:rPr>
      </w:pPr>
      <w:r w:rsidRPr="006047D5">
        <w:rPr>
          <w:rStyle w:val="StdBodyTextBoldChar"/>
          <w:rFonts w:eastAsiaTheme="majorEastAsia" w:cs="Arial"/>
          <w:sz w:val="22"/>
          <w:szCs w:val="22"/>
        </w:rPr>
        <w:t>Continuing</w:t>
      </w:r>
      <w:r w:rsidRPr="006047D5">
        <w:rPr>
          <w:rFonts w:cs="Arial"/>
          <w:sz w:val="22"/>
          <w:szCs w:val="22"/>
        </w:rPr>
        <w:t xml:space="preserve"> </w:t>
      </w:r>
      <w:r w:rsidRPr="006047D5">
        <w:rPr>
          <w:rStyle w:val="StdBodyTextBoldChar"/>
          <w:rFonts w:eastAsiaTheme="majorEastAsia" w:cs="Arial"/>
          <w:sz w:val="22"/>
          <w:szCs w:val="22"/>
        </w:rPr>
        <w:t>Guarantee</w:t>
      </w:r>
    </w:p>
    <w:p w14:paraId="294601C9" w14:textId="054D7733" w:rsidR="006047D5" w:rsidRPr="006047D5" w:rsidRDefault="006047D5" w:rsidP="004E2262">
      <w:pPr>
        <w:pStyle w:val="ScheduleText2"/>
        <w:numPr>
          <w:ilvl w:val="1"/>
          <w:numId w:val="83"/>
        </w:numPr>
        <w:rPr>
          <w:rFonts w:cs="Arial"/>
          <w:sz w:val="22"/>
          <w:szCs w:val="22"/>
        </w:rPr>
      </w:pPr>
      <w:r w:rsidRPr="006047D5">
        <w:rPr>
          <w:rFonts w:cs="Arial"/>
          <w:sz w:val="22"/>
          <w:szCs w:val="22"/>
        </w:rPr>
        <w:t xml:space="preserve">This Deed is, and shall at all times be, a continuing and irrevocable security until the Guaranteed Obligations have been satisfied or performed in full, and is in addition to and not in substitution for and shall not merge with any other right, remedy, guarantee or security which </w:t>
      </w:r>
      <w:r>
        <w:rPr>
          <w:rFonts w:cs="Arial"/>
          <w:sz w:val="22"/>
          <w:szCs w:val="22"/>
        </w:rPr>
        <w:t>HSE</w:t>
      </w:r>
      <w:r w:rsidRPr="006047D5">
        <w:rPr>
          <w:rFonts w:cs="Arial"/>
          <w:sz w:val="22"/>
          <w:szCs w:val="22"/>
        </w:rPr>
        <w:t xml:space="preserve"> may at any time hold for the performance of the Guaranteed Obligations and may be enforced without first having recourse to any such security.</w:t>
      </w:r>
    </w:p>
    <w:p w14:paraId="7DBF52EF" w14:textId="77777777" w:rsidR="006047D5" w:rsidRPr="006047D5" w:rsidRDefault="006047D5" w:rsidP="006047D5">
      <w:pPr>
        <w:pStyle w:val="StdBodyText1"/>
        <w:rPr>
          <w:rFonts w:cs="Arial"/>
          <w:sz w:val="22"/>
          <w:szCs w:val="22"/>
        </w:rPr>
      </w:pPr>
      <w:r w:rsidRPr="006047D5">
        <w:rPr>
          <w:rStyle w:val="StdBodyTextBoldChar"/>
          <w:rFonts w:eastAsiaTheme="majorEastAsia" w:cs="Arial"/>
          <w:sz w:val="22"/>
          <w:szCs w:val="22"/>
        </w:rPr>
        <w:t>Preservation of the Guarantor's</w:t>
      </w:r>
      <w:r w:rsidRPr="006047D5">
        <w:rPr>
          <w:rFonts w:cs="Arial"/>
          <w:sz w:val="22"/>
          <w:szCs w:val="22"/>
        </w:rPr>
        <w:t xml:space="preserve"> </w:t>
      </w:r>
      <w:r w:rsidRPr="006047D5">
        <w:rPr>
          <w:rStyle w:val="StdBodyTextBoldChar"/>
          <w:rFonts w:eastAsiaTheme="majorEastAsia" w:cs="Arial"/>
          <w:sz w:val="22"/>
          <w:szCs w:val="22"/>
        </w:rPr>
        <w:t>liability</w:t>
      </w:r>
    </w:p>
    <w:p w14:paraId="2FDD8FA4" w14:textId="77777777" w:rsidR="006047D5" w:rsidRPr="006047D5" w:rsidRDefault="006047D5" w:rsidP="004E2262">
      <w:pPr>
        <w:pStyle w:val="ScheduleText2"/>
        <w:numPr>
          <w:ilvl w:val="1"/>
          <w:numId w:val="83"/>
        </w:numPr>
        <w:rPr>
          <w:rFonts w:cs="Arial"/>
          <w:sz w:val="22"/>
          <w:szCs w:val="22"/>
        </w:rPr>
      </w:pPr>
      <w:r w:rsidRPr="006047D5">
        <w:rPr>
          <w:rFonts w:cs="Arial"/>
          <w:sz w:val="22"/>
          <w:szCs w:val="22"/>
        </w:rPr>
        <w:t>The Guarantor's liability under this Deed shall not be reduced, discharged or otherwise adversely affected by:</w:t>
      </w:r>
    </w:p>
    <w:p w14:paraId="61DC40F2" w14:textId="3C0743FB" w:rsidR="006047D5" w:rsidRPr="006047D5" w:rsidRDefault="006047D5" w:rsidP="004E2262">
      <w:pPr>
        <w:pStyle w:val="ScheduleText4"/>
        <w:numPr>
          <w:ilvl w:val="3"/>
          <w:numId w:val="83"/>
        </w:numPr>
        <w:rPr>
          <w:rFonts w:cs="Arial"/>
          <w:sz w:val="22"/>
          <w:szCs w:val="22"/>
        </w:rPr>
      </w:pPr>
      <w:r w:rsidRPr="006047D5">
        <w:rPr>
          <w:rFonts w:cs="Arial"/>
          <w:sz w:val="22"/>
          <w:szCs w:val="22"/>
        </w:rPr>
        <w:t xml:space="preserve">any arrangement made between the </w:t>
      </w:r>
      <w:r>
        <w:rPr>
          <w:rFonts w:cs="Arial"/>
          <w:sz w:val="22"/>
          <w:szCs w:val="22"/>
        </w:rPr>
        <w:t>Provider</w:t>
      </w:r>
      <w:r w:rsidRPr="006047D5">
        <w:rPr>
          <w:rFonts w:cs="Arial"/>
          <w:sz w:val="22"/>
          <w:szCs w:val="22"/>
        </w:rPr>
        <w:t xml:space="preserve"> and </w:t>
      </w:r>
      <w:r>
        <w:rPr>
          <w:rFonts w:cs="Arial"/>
          <w:sz w:val="22"/>
          <w:szCs w:val="22"/>
        </w:rPr>
        <w:t>HSE</w:t>
      </w:r>
      <w:r w:rsidRPr="006047D5">
        <w:rPr>
          <w:rFonts w:cs="Arial"/>
          <w:sz w:val="22"/>
          <w:szCs w:val="22"/>
        </w:rPr>
        <w:t xml:space="preserve">; </w:t>
      </w:r>
    </w:p>
    <w:p w14:paraId="59B470DC" w14:textId="23A8387C" w:rsidR="006047D5" w:rsidRPr="006047D5" w:rsidRDefault="006047D5" w:rsidP="004E2262">
      <w:pPr>
        <w:pStyle w:val="ScheduleText4"/>
        <w:numPr>
          <w:ilvl w:val="3"/>
          <w:numId w:val="83"/>
        </w:numPr>
        <w:rPr>
          <w:rFonts w:cs="Arial"/>
          <w:sz w:val="22"/>
          <w:szCs w:val="22"/>
        </w:rPr>
      </w:pPr>
      <w:r w:rsidRPr="006047D5">
        <w:rPr>
          <w:rFonts w:cs="Arial"/>
          <w:sz w:val="22"/>
          <w:szCs w:val="22"/>
        </w:rPr>
        <w:t xml:space="preserve">any partial performance (except to the extent of such partial performance) by the </w:t>
      </w:r>
      <w:r>
        <w:rPr>
          <w:rFonts w:cs="Arial"/>
          <w:sz w:val="22"/>
          <w:szCs w:val="22"/>
        </w:rPr>
        <w:t>Provider</w:t>
      </w:r>
      <w:r w:rsidRPr="006047D5">
        <w:rPr>
          <w:rFonts w:cs="Arial"/>
          <w:sz w:val="22"/>
          <w:szCs w:val="22"/>
        </w:rPr>
        <w:t xml:space="preserve"> of the Guaranteed Obligations; </w:t>
      </w:r>
    </w:p>
    <w:p w14:paraId="7A5A85CE" w14:textId="3C136ADD" w:rsidR="006047D5" w:rsidRPr="006047D5" w:rsidRDefault="006047D5" w:rsidP="004E2262">
      <w:pPr>
        <w:pStyle w:val="ScheduleText4"/>
        <w:numPr>
          <w:ilvl w:val="3"/>
          <w:numId w:val="83"/>
        </w:numPr>
        <w:rPr>
          <w:rFonts w:cs="Arial"/>
          <w:sz w:val="22"/>
          <w:szCs w:val="22"/>
        </w:rPr>
      </w:pPr>
      <w:r w:rsidRPr="006047D5">
        <w:rPr>
          <w:rFonts w:cs="Arial"/>
          <w:sz w:val="22"/>
          <w:szCs w:val="22"/>
        </w:rPr>
        <w:t xml:space="preserve">any alteration in the obligations undertaken by the </w:t>
      </w:r>
      <w:r>
        <w:rPr>
          <w:rFonts w:cs="Arial"/>
          <w:sz w:val="22"/>
          <w:szCs w:val="22"/>
        </w:rPr>
        <w:t>Provider</w:t>
      </w:r>
      <w:r w:rsidRPr="006047D5">
        <w:rPr>
          <w:rFonts w:cs="Arial"/>
          <w:sz w:val="22"/>
          <w:szCs w:val="22"/>
        </w:rPr>
        <w:t xml:space="preserve"> whether by way of any variation referred to in </w:t>
      </w:r>
      <w:bookmarkStart w:id="3179" w:name="_9kMHG5YVtCIBBBAdLhkhy7s9JVhu85EyAJFLMFL"/>
      <w:r w:rsidRPr="006047D5">
        <w:rPr>
          <w:rFonts w:cs="Arial"/>
          <w:sz w:val="22"/>
          <w:szCs w:val="22"/>
        </w:rPr>
        <w:t xml:space="preserve">Clause </w:t>
      </w:r>
      <w:r w:rsidRPr="006047D5">
        <w:rPr>
          <w:rFonts w:cs="Arial"/>
          <w:sz w:val="22"/>
          <w:szCs w:val="22"/>
        </w:rPr>
        <w:fldChar w:fldCharType="begin"/>
      </w:r>
      <w:r w:rsidRPr="006047D5">
        <w:rPr>
          <w:rFonts w:cs="Arial"/>
          <w:sz w:val="22"/>
          <w:szCs w:val="22"/>
        </w:rPr>
        <w:instrText xml:space="preserve"> REF _Ref_ContractCompanion_9kb9Us552 \w \n \h \t \* MERGEFORMAT </w:instrText>
      </w:r>
      <w:r w:rsidRPr="006047D5">
        <w:rPr>
          <w:rFonts w:cs="Arial"/>
          <w:sz w:val="22"/>
          <w:szCs w:val="22"/>
        </w:rPr>
      </w:r>
      <w:r w:rsidRPr="006047D5">
        <w:rPr>
          <w:rFonts w:cs="Arial"/>
          <w:sz w:val="22"/>
          <w:szCs w:val="22"/>
        </w:rPr>
        <w:fldChar w:fldCharType="separate"/>
      </w:r>
      <w:r w:rsidR="00C87D85">
        <w:rPr>
          <w:rFonts w:cs="Arial"/>
          <w:sz w:val="22"/>
          <w:szCs w:val="22"/>
        </w:rPr>
        <w:t>4</w:t>
      </w:r>
      <w:r w:rsidRPr="006047D5">
        <w:rPr>
          <w:rFonts w:cs="Arial"/>
          <w:sz w:val="22"/>
          <w:szCs w:val="22"/>
        </w:rPr>
        <w:fldChar w:fldCharType="end"/>
      </w:r>
      <w:bookmarkEnd w:id="3179"/>
      <w:r w:rsidRPr="006047D5">
        <w:rPr>
          <w:rFonts w:cs="Arial"/>
          <w:sz w:val="22"/>
          <w:szCs w:val="22"/>
        </w:rPr>
        <w:t xml:space="preserve"> or otherwise; </w:t>
      </w:r>
    </w:p>
    <w:p w14:paraId="7DCC2086" w14:textId="03110A9B" w:rsidR="006047D5" w:rsidRPr="006047D5" w:rsidRDefault="006047D5" w:rsidP="004E2262">
      <w:pPr>
        <w:pStyle w:val="ScheduleText4"/>
        <w:numPr>
          <w:ilvl w:val="3"/>
          <w:numId w:val="83"/>
        </w:numPr>
        <w:rPr>
          <w:rFonts w:cs="Arial"/>
          <w:sz w:val="22"/>
          <w:szCs w:val="22"/>
        </w:rPr>
      </w:pPr>
      <w:r w:rsidRPr="006047D5">
        <w:rPr>
          <w:rFonts w:cs="Arial"/>
          <w:sz w:val="22"/>
          <w:szCs w:val="22"/>
        </w:rPr>
        <w:lastRenderedPageBreak/>
        <w:t xml:space="preserve">any waiver or forbearance by </w:t>
      </w:r>
      <w:r>
        <w:rPr>
          <w:rFonts w:cs="Arial"/>
          <w:sz w:val="22"/>
          <w:szCs w:val="22"/>
        </w:rPr>
        <w:t>HSE</w:t>
      </w:r>
      <w:r w:rsidRPr="006047D5">
        <w:rPr>
          <w:rFonts w:cs="Arial"/>
          <w:sz w:val="22"/>
          <w:szCs w:val="22"/>
        </w:rPr>
        <w:t xml:space="preserve"> whether as to payment, time, performance or otherwise;</w:t>
      </w:r>
    </w:p>
    <w:p w14:paraId="1B08BC14" w14:textId="286C5064" w:rsidR="006047D5" w:rsidRPr="006047D5" w:rsidRDefault="006047D5" w:rsidP="004E2262">
      <w:pPr>
        <w:pStyle w:val="ScheduleText4"/>
        <w:numPr>
          <w:ilvl w:val="3"/>
          <w:numId w:val="83"/>
        </w:numPr>
        <w:rPr>
          <w:rFonts w:cs="Arial"/>
          <w:sz w:val="22"/>
          <w:szCs w:val="22"/>
        </w:rPr>
      </w:pPr>
      <w:r w:rsidRPr="006047D5">
        <w:rPr>
          <w:rFonts w:cs="Arial"/>
          <w:sz w:val="22"/>
          <w:szCs w:val="22"/>
        </w:rPr>
        <w:t xml:space="preserve">the taking, variation, renewal or release of, the enforcement or neglect to perfect or enforce any right, guarantee, remedy or security from or against the </w:t>
      </w:r>
      <w:r>
        <w:rPr>
          <w:rFonts w:cs="Arial"/>
          <w:sz w:val="22"/>
          <w:szCs w:val="22"/>
        </w:rPr>
        <w:t>Provider</w:t>
      </w:r>
      <w:r w:rsidRPr="006047D5">
        <w:rPr>
          <w:rFonts w:cs="Arial"/>
          <w:sz w:val="22"/>
          <w:szCs w:val="22"/>
        </w:rPr>
        <w:t xml:space="preserve"> or any other person;</w:t>
      </w:r>
    </w:p>
    <w:p w14:paraId="3924076F" w14:textId="71ECF9D4" w:rsidR="006047D5" w:rsidRPr="006047D5" w:rsidRDefault="006047D5" w:rsidP="004E2262">
      <w:pPr>
        <w:pStyle w:val="ScheduleText4"/>
        <w:numPr>
          <w:ilvl w:val="3"/>
          <w:numId w:val="83"/>
        </w:numPr>
        <w:rPr>
          <w:rFonts w:cs="Arial"/>
          <w:sz w:val="22"/>
          <w:szCs w:val="22"/>
        </w:rPr>
      </w:pPr>
      <w:r w:rsidRPr="006047D5">
        <w:rPr>
          <w:rFonts w:cs="Arial"/>
          <w:sz w:val="22"/>
          <w:szCs w:val="22"/>
        </w:rPr>
        <w:t xml:space="preserve">any unenforceability, illegality or invalidity of any of the provisions of the Guaranteed Agreement or any of the </w:t>
      </w:r>
      <w:r>
        <w:rPr>
          <w:rFonts w:cs="Arial"/>
          <w:sz w:val="22"/>
          <w:szCs w:val="22"/>
        </w:rPr>
        <w:t>Provider</w:t>
      </w:r>
      <w:r w:rsidRPr="006047D5">
        <w:rPr>
          <w:rFonts w:cs="Arial"/>
          <w:sz w:val="22"/>
          <w:szCs w:val="22"/>
        </w:rPr>
        <w:t>'s obligations under the Guaranteed Agreement, so that this Deed shall be construed as if there were no such unenforceability, illegality or invalidity;</w:t>
      </w:r>
    </w:p>
    <w:p w14:paraId="363E01B2" w14:textId="6D01CD9C" w:rsidR="006047D5" w:rsidRPr="006047D5" w:rsidRDefault="006047D5" w:rsidP="004E2262">
      <w:pPr>
        <w:pStyle w:val="ScheduleText4"/>
        <w:numPr>
          <w:ilvl w:val="3"/>
          <w:numId w:val="83"/>
        </w:numPr>
        <w:rPr>
          <w:rFonts w:cs="Arial"/>
          <w:sz w:val="22"/>
          <w:szCs w:val="22"/>
        </w:rPr>
      </w:pPr>
      <w:r w:rsidRPr="006047D5">
        <w:rPr>
          <w:rFonts w:cs="Arial"/>
          <w:sz w:val="22"/>
          <w:szCs w:val="22"/>
        </w:rPr>
        <w:t xml:space="preserve">any dissolution, amalgamation, reconstruction, reorganisation, change in status, function, Control or ownership, insolvency, liquidation, administration, voluntary arrangement, or appointment of a receiver, of the </w:t>
      </w:r>
      <w:r>
        <w:rPr>
          <w:rFonts w:cs="Arial"/>
          <w:sz w:val="22"/>
          <w:szCs w:val="22"/>
        </w:rPr>
        <w:t>Provider</w:t>
      </w:r>
      <w:r w:rsidRPr="006047D5">
        <w:rPr>
          <w:rFonts w:cs="Arial"/>
          <w:sz w:val="22"/>
          <w:szCs w:val="22"/>
        </w:rPr>
        <w:t xml:space="preserve"> or any other person.</w:t>
      </w:r>
    </w:p>
    <w:p w14:paraId="03D3D160" w14:textId="77777777" w:rsidR="006047D5" w:rsidRPr="006047D5" w:rsidRDefault="006047D5" w:rsidP="006047D5">
      <w:pPr>
        <w:pStyle w:val="StdBodyText1"/>
        <w:rPr>
          <w:rFonts w:cs="Arial"/>
          <w:sz w:val="22"/>
          <w:szCs w:val="22"/>
        </w:rPr>
      </w:pPr>
      <w:r w:rsidRPr="006047D5">
        <w:rPr>
          <w:rStyle w:val="StdBodyTextBoldChar"/>
          <w:rFonts w:eastAsiaTheme="majorEastAsia" w:cs="Arial"/>
          <w:sz w:val="22"/>
          <w:szCs w:val="22"/>
        </w:rPr>
        <w:t>Immediate</w:t>
      </w:r>
      <w:r w:rsidRPr="006047D5">
        <w:rPr>
          <w:rFonts w:cs="Arial"/>
          <w:sz w:val="22"/>
          <w:szCs w:val="22"/>
        </w:rPr>
        <w:t xml:space="preserve"> </w:t>
      </w:r>
      <w:r w:rsidRPr="006047D5">
        <w:rPr>
          <w:rStyle w:val="StdBodyTextBoldChar"/>
          <w:rFonts w:eastAsiaTheme="majorEastAsia" w:cs="Arial"/>
          <w:sz w:val="22"/>
          <w:szCs w:val="22"/>
        </w:rPr>
        <w:t>demand</w:t>
      </w:r>
    </w:p>
    <w:p w14:paraId="7013FCD4" w14:textId="268697BD" w:rsidR="006047D5" w:rsidRPr="006047D5" w:rsidRDefault="006047D5" w:rsidP="004E2262">
      <w:pPr>
        <w:pStyle w:val="ScheduleText2"/>
        <w:numPr>
          <w:ilvl w:val="1"/>
          <w:numId w:val="83"/>
        </w:numPr>
        <w:rPr>
          <w:rFonts w:cs="Arial"/>
          <w:sz w:val="22"/>
          <w:szCs w:val="22"/>
        </w:rPr>
      </w:pPr>
      <w:r w:rsidRPr="006047D5">
        <w:rPr>
          <w:rFonts w:cs="Arial"/>
          <w:sz w:val="22"/>
          <w:szCs w:val="22"/>
        </w:rPr>
        <w:t xml:space="preserve">The Guarantor waives any right it may have to require </w:t>
      </w:r>
      <w:r>
        <w:rPr>
          <w:rFonts w:cs="Arial"/>
          <w:sz w:val="22"/>
          <w:szCs w:val="22"/>
        </w:rPr>
        <w:t>HSE</w:t>
      </w:r>
      <w:r w:rsidRPr="006047D5">
        <w:rPr>
          <w:rFonts w:cs="Arial"/>
          <w:sz w:val="22"/>
          <w:szCs w:val="22"/>
        </w:rPr>
        <w:t xml:space="preserve"> to proceed against, enforce any other right or claim for payment against, or take any other action against, the </w:t>
      </w:r>
      <w:r>
        <w:rPr>
          <w:rFonts w:cs="Arial"/>
          <w:sz w:val="22"/>
          <w:szCs w:val="22"/>
        </w:rPr>
        <w:t>Provider</w:t>
      </w:r>
      <w:r w:rsidRPr="006047D5">
        <w:rPr>
          <w:rFonts w:cs="Arial"/>
          <w:sz w:val="22"/>
          <w:szCs w:val="22"/>
        </w:rPr>
        <w:t xml:space="preserve"> or any other person before claiming from the Guarantor under this Guarantee.</w:t>
      </w:r>
    </w:p>
    <w:p w14:paraId="49D7509E" w14:textId="77777777" w:rsidR="006047D5" w:rsidRPr="006047D5" w:rsidRDefault="006047D5" w:rsidP="006047D5">
      <w:pPr>
        <w:pStyle w:val="StdBodyText1"/>
        <w:rPr>
          <w:rFonts w:cs="Arial"/>
          <w:sz w:val="22"/>
          <w:szCs w:val="22"/>
        </w:rPr>
      </w:pPr>
      <w:r w:rsidRPr="006047D5">
        <w:rPr>
          <w:rStyle w:val="StdBodyTextBoldChar"/>
          <w:rFonts w:eastAsiaTheme="majorEastAsia" w:cs="Arial"/>
          <w:sz w:val="22"/>
          <w:szCs w:val="22"/>
        </w:rPr>
        <w:t>Deferral of</w:t>
      </w:r>
      <w:r w:rsidRPr="006047D5">
        <w:rPr>
          <w:rFonts w:cs="Arial"/>
          <w:sz w:val="22"/>
          <w:szCs w:val="22"/>
        </w:rPr>
        <w:t xml:space="preserve"> </w:t>
      </w:r>
      <w:r w:rsidRPr="006047D5">
        <w:rPr>
          <w:rStyle w:val="StdBodyTextBoldChar"/>
          <w:rFonts w:eastAsiaTheme="majorEastAsia" w:cs="Arial"/>
          <w:sz w:val="22"/>
          <w:szCs w:val="22"/>
        </w:rPr>
        <w:t>rights</w:t>
      </w:r>
    </w:p>
    <w:p w14:paraId="643CA420" w14:textId="77777777" w:rsidR="006047D5" w:rsidRPr="006047D5" w:rsidRDefault="006047D5" w:rsidP="004E2262">
      <w:pPr>
        <w:pStyle w:val="ScheduleText2"/>
        <w:numPr>
          <w:ilvl w:val="1"/>
          <w:numId w:val="83"/>
        </w:numPr>
        <w:rPr>
          <w:rFonts w:cs="Arial"/>
          <w:sz w:val="22"/>
          <w:szCs w:val="22"/>
        </w:rPr>
      </w:pPr>
      <w:bookmarkStart w:id="3180" w:name="_Ref_ContractCompanion_9kb9Ut34B"/>
      <w:bookmarkStart w:id="3181" w:name="_9kR3WTrAGA78HJFhY40tmnzpr6FFFLPF2yy93GI"/>
      <w:r w:rsidRPr="006047D5">
        <w:rPr>
          <w:rFonts w:cs="Arial"/>
          <w:sz w:val="22"/>
          <w:szCs w:val="22"/>
        </w:rPr>
        <w:t>Until all amounts which may be or become payable under the Guaranteed Agreement or this Deed have been irrevocably paid in full, the Guarantor shall not, as a result of this Deed or any payment performance under this Deed:</w:t>
      </w:r>
      <w:bookmarkEnd w:id="3180"/>
      <w:bookmarkEnd w:id="3181"/>
    </w:p>
    <w:p w14:paraId="05713A98" w14:textId="37237C8C" w:rsidR="006047D5" w:rsidRPr="006047D5" w:rsidRDefault="006047D5" w:rsidP="004E2262">
      <w:pPr>
        <w:pStyle w:val="ScheduleText4"/>
        <w:numPr>
          <w:ilvl w:val="3"/>
          <w:numId w:val="83"/>
        </w:numPr>
        <w:rPr>
          <w:rFonts w:cs="Arial"/>
          <w:sz w:val="22"/>
          <w:szCs w:val="22"/>
        </w:rPr>
      </w:pPr>
      <w:r w:rsidRPr="006047D5">
        <w:rPr>
          <w:rFonts w:cs="Arial"/>
          <w:sz w:val="22"/>
          <w:szCs w:val="22"/>
        </w:rPr>
        <w:t xml:space="preserve">be subrogated to any right or security of </w:t>
      </w:r>
      <w:r>
        <w:rPr>
          <w:rFonts w:cs="Arial"/>
          <w:sz w:val="22"/>
          <w:szCs w:val="22"/>
        </w:rPr>
        <w:t>HSE</w:t>
      </w:r>
      <w:r w:rsidRPr="006047D5">
        <w:rPr>
          <w:rFonts w:cs="Arial"/>
          <w:sz w:val="22"/>
          <w:szCs w:val="22"/>
        </w:rPr>
        <w:t>;</w:t>
      </w:r>
    </w:p>
    <w:p w14:paraId="63E179F6" w14:textId="3E2E17A7" w:rsidR="006047D5" w:rsidRPr="006047D5" w:rsidRDefault="006047D5" w:rsidP="004E2262">
      <w:pPr>
        <w:pStyle w:val="ScheduleText4"/>
        <w:numPr>
          <w:ilvl w:val="3"/>
          <w:numId w:val="83"/>
        </w:numPr>
        <w:rPr>
          <w:rFonts w:cs="Arial"/>
          <w:sz w:val="22"/>
          <w:szCs w:val="22"/>
        </w:rPr>
      </w:pPr>
      <w:r w:rsidRPr="006047D5">
        <w:rPr>
          <w:rFonts w:cs="Arial"/>
          <w:sz w:val="22"/>
          <w:szCs w:val="22"/>
        </w:rPr>
        <w:t xml:space="preserve">claim or prove in competition with </w:t>
      </w:r>
      <w:r>
        <w:rPr>
          <w:rFonts w:cs="Arial"/>
          <w:sz w:val="22"/>
          <w:szCs w:val="22"/>
        </w:rPr>
        <w:t>HSE</w:t>
      </w:r>
      <w:r w:rsidRPr="006047D5">
        <w:rPr>
          <w:rFonts w:cs="Arial"/>
          <w:sz w:val="22"/>
          <w:szCs w:val="22"/>
        </w:rPr>
        <w:t xml:space="preserve"> against the </w:t>
      </w:r>
      <w:r>
        <w:rPr>
          <w:rFonts w:cs="Arial"/>
          <w:sz w:val="22"/>
          <w:szCs w:val="22"/>
        </w:rPr>
        <w:t>Provider</w:t>
      </w:r>
      <w:r w:rsidRPr="006047D5">
        <w:rPr>
          <w:rFonts w:cs="Arial"/>
          <w:sz w:val="22"/>
          <w:szCs w:val="22"/>
        </w:rPr>
        <w:t xml:space="preserve"> or any other person;</w:t>
      </w:r>
    </w:p>
    <w:p w14:paraId="5C10BAAA" w14:textId="35E59199" w:rsidR="006047D5" w:rsidRPr="006047D5" w:rsidRDefault="006047D5" w:rsidP="004E2262">
      <w:pPr>
        <w:pStyle w:val="ScheduleText4"/>
        <w:numPr>
          <w:ilvl w:val="3"/>
          <w:numId w:val="83"/>
        </w:numPr>
        <w:rPr>
          <w:rFonts w:cs="Arial"/>
          <w:sz w:val="22"/>
          <w:szCs w:val="22"/>
        </w:rPr>
      </w:pPr>
      <w:r w:rsidRPr="006047D5">
        <w:rPr>
          <w:rFonts w:cs="Arial"/>
          <w:sz w:val="22"/>
          <w:szCs w:val="22"/>
        </w:rPr>
        <w:t xml:space="preserve">demand or accept repayment in whole or in part of any indebtedness due from the </w:t>
      </w:r>
      <w:r>
        <w:rPr>
          <w:rFonts w:cs="Arial"/>
          <w:sz w:val="22"/>
          <w:szCs w:val="22"/>
        </w:rPr>
        <w:t>Provider</w:t>
      </w:r>
      <w:r w:rsidRPr="006047D5">
        <w:rPr>
          <w:rFonts w:cs="Arial"/>
          <w:sz w:val="22"/>
          <w:szCs w:val="22"/>
        </w:rPr>
        <w:t xml:space="preserve">; </w:t>
      </w:r>
    </w:p>
    <w:p w14:paraId="08D605F8" w14:textId="67D8D841" w:rsidR="006047D5" w:rsidRPr="006047D5" w:rsidRDefault="006047D5" w:rsidP="004E2262">
      <w:pPr>
        <w:pStyle w:val="ScheduleText4"/>
        <w:numPr>
          <w:ilvl w:val="3"/>
          <w:numId w:val="83"/>
        </w:numPr>
        <w:rPr>
          <w:rFonts w:cs="Arial"/>
          <w:sz w:val="22"/>
          <w:szCs w:val="22"/>
        </w:rPr>
      </w:pPr>
      <w:r w:rsidRPr="006047D5">
        <w:rPr>
          <w:rFonts w:cs="Arial"/>
          <w:sz w:val="22"/>
          <w:szCs w:val="22"/>
        </w:rPr>
        <w:t xml:space="preserve">take the benefit of, share in or enforce any security or other guarantee or indemnity against the </w:t>
      </w:r>
      <w:r>
        <w:rPr>
          <w:rFonts w:cs="Arial"/>
          <w:sz w:val="22"/>
          <w:szCs w:val="22"/>
        </w:rPr>
        <w:t>Provider</w:t>
      </w:r>
      <w:r w:rsidRPr="006047D5">
        <w:rPr>
          <w:rFonts w:cs="Arial"/>
          <w:sz w:val="22"/>
          <w:szCs w:val="22"/>
        </w:rPr>
        <w:t>; or</w:t>
      </w:r>
    </w:p>
    <w:p w14:paraId="15AFB863" w14:textId="590DD7B8" w:rsidR="006047D5" w:rsidRPr="006047D5" w:rsidRDefault="006047D5" w:rsidP="004E2262">
      <w:pPr>
        <w:pStyle w:val="ScheduleText4"/>
        <w:numPr>
          <w:ilvl w:val="3"/>
          <w:numId w:val="83"/>
        </w:numPr>
        <w:rPr>
          <w:rFonts w:cs="Arial"/>
          <w:sz w:val="22"/>
          <w:szCs w:val="22"/>
        </w:rPr>
      </w:pPr>
      <w:r w:rsidRPr="006047D5">
        <w:rPr>
          <w:rFonts w:cs="Arial"/>
          <w:sz w:val="22"/>
          <w:szCs w:val="22"/>
        </w:rPr>
        <w:t xml:space="preserve">claim any right of contribution, set-off or indemnity from the </w:t>
      </w:r>
      <w:r>
        <w:rPr>
          <w:rFonts w:cs="Arial"/>
          <w:sz w:val="22"/>
          <w:szCs w:val="22"/>
        </w:rPr>
        <w:t>Provider</w:t>
      </w:r>
      <w:r w:rsidRPr="006047D5">
        <w:rPr>
          <w:rFonts w:cs="Arial"/>
          <w:sz w:val="22"/>
          <w:szCs w:val="22"/>
        </w:rPr>
        <w:t>,</w:t>
      </w:r>
    </w:p>
    <w:p w14:paraId="114177C6" w14:textId="3D765480" w:rsidR="006047D5" w:rsidRPr="006047D5" w:rsidRDefault="006047D5" w:rsidP="006047D5">
      <w:pPr>
        <w:pStyle w:val="StdBodyText2"/>
        <w:rPr>
          <w:rFonts w:cs="Arial"/>
          <w:sz w:val="22"/>
          <w:szCs w:val="22"/>
        </w:rPr>
      </w:pPr>
      <w:r w:rsidRPr="006047D5">
        <w:rPr>
          <w:rFonts w:cs="Arial"/>
          <w:sz w:val="22"/>
          <w:szCs w:val="22"/>
        </w:rPr>
        <w:t xml:space="preserve">without the prior written consent of </w:t>
      </w:r>
      <w:r>
        <w:rPr>
          <w:rFonts w:cs="Arial"/>
          <w:sz w:val="22"/>
          <w:szCs w:val="22"/>
        </w:rPr>
        <w:t>HSE</w:t>
      </w:r>
      <w:r w:rsidRPr="006047D5">
        <w:rPr>
          <w:rFonts w:cs="Arial"/>
          <w:sz w:val="22"/>
          <w:szCs w:val="22"/>
        </w:rPr>
        <w:t xml:space="preserve"> (and in such case only in accordance with any written instructions of </w:t>
      </w:r>
      <w:r>
        <w:rPr>
          <w:rFonts w:cs="Arial"/>
          <w:sz w:val="22"/>
          <w:szCs w:val="22"/>
        </w:rPr>
        <w:t>HSE</w:t>
      </w:r>
      <w:r w:rsidRPr="006047D5">
        <w:rPr>
          <w:rFonts w:cs="Arial"/>
          <w:sz w:val="22"/>
          <w:szCs w:val="22"/>
        </w:rPr>
        <w:t>).</w:t>
      </w:r>
    </w:p>
    <w:p w14:paraId="179C9730" w14:textId="767467E6" w:rsidR="006047D5" w:rsidRPr="006047D5" w:rsidRDefault="006047D5" w:rsidP="004E2262">
      <w:pPr>
        <w:pStyle w:val="ScheduleText2"/>
        <w:numPr>
          <w:ilvl w:val="1"/>
          <w:numId w:val="83"/>
        </w:numPr>
        <w:rPr>
          <w:rFonts w:cs="Arial"/>
          <w:sz w:val="22"/>
          <w:szCs w:val="22"/>
        </w:rPr>
      </w:pPr>
      <w:r w:rsidRPr="006047D5">
        <w:rPr>
          <w:rFonts w:cs="Arial"/>
          <w:sz w:val="22"/>
          <w:szCs w:val="22"/>
        </w:rPr>
        <w:t xml:space="preserve">If the Guarantor receives any payment or other benefit in breach of </w:t>
      </w:r>
      <w:bookmarkStart w:id="3182" w:name="_9kMHG5YVtCIC9AJLHja62vop1rt8HHHNRH400B5"/>
      <w:r w:rsidRPr="006047D5">
        <w:rPr>
          <w:rFonts w:cs="Arial"/>
          <w:sz w:val="22"/>
          <w:szCs w:val="22"/>
        </w:rPr>
        <w:t xml:space="preserve">Clause </w:t>
      </w:r>
      <w:r w:rsidRPr="006047D5">
        <w:rPr>
          <w:rFonts w:cs="Arial"/>
          <w:sz w:val="22"/>
          <w:szCs w:val="22"/>
        </w:rPr>
        <w:fldChar w:fldCharType="begin"/>
      </w:r>
      <w:r w:rsidRPr="006047D5">
        <w:rPr>
          <w:rFonts w:cs="Arial"/>
          <w:sz w:val="22"/>
          <w:szCs w:val="22"/>
        </w:rPr>
        <w:instrText xml:space="preserve"> REF _Ref_ContractCompanion_9kb9Ut34B \n \h \t \* MERGEFORMAT </w:instrText>
      </w:r>
      <w:r w:rsidRPr="006047D5">
        <w:rPr>
          <w:rFonts w:cs="Arial"/>
          <w:sz w:val="22"/>
          <w:szCs w:val="22"/>
        </w:rPr>
      </w:r>
      <w:r w:rsidRPr="006047D5">
        <w:rPr>
          <w:rFonts w:cs="Arial"/>
          <w:sz w:val="22"/>
          <w:szCs w:val="22"/>
        </w:rPr>
        <w:fldChar w:fldCharType="separate"/>
      </w:r>
      <w:r w:rsidR="00C87D85">
        <w:rPr>
          <w:rFonts w:cs="Arial"/>
          <w:sz w:val="22"/>
          <w:szCs w:val="22"/>
        </w:rPr>
        <w:t>3.4</w:t>
      </w:r>
      <w:r w:rsidRPr="006047D5">
        <w:rPr>
          <w:rFonts w:cs="Arial"/>
          <w:sz w:val="22"/>
          <w:szCs w:val="22"/>
        </w:rPr>
        <w:fldChar w:fldCharType="end"/>
      </w:r>
      <w:bookmarkEnd w:id="3182"/>
      <w:r w:rsidRPr="006047D5">
        <w:rPr>
          <w:rFonts w:cs="Arial"/>
          <w:sz w:val="22"/>
          <w:szCs w:val="22"/>
        </w:rPr>
        <w:t xml:space="preserve">, or as a result of any action taken in accordance with a written instruction of </w:t>
      </w:r>
      <w:r>
        <w:rPr>
          <w:rFonts w:cs="Arial"/>
          <w:sz w:val="22"/>
          <w:szCs w:val="22"/>
        </w:rPr>
        <w:t>HSE</w:t>
      </w:r>
      <w:r w:rsidRPr="006047D5">
        <w:rPr>
          <w:rFonts w:cs="Arial"/>
          <w:sz w:val="22"/>
          <w:szCs w:val="22"/>
        </w:rPr>
        <w:t xml:space="preserve"> given pursuant to </w:t>
      </w:r>
      <w:bookmarkStart w:id="3183" w:name="_9kMIH5YVtCIC9AJLHja62vop1rt8HHHNRH400B5"/>
      <w:r w:rsidRPr="006047D5">
        <w:rPr>
          <w:rFonts w:cs="Arial"/>
          <w:sz w:val="22"/>
          <w:szCs w:val="22"/>
        </w:rPr>
        <w:t xml:space="preserve">Clause </w:t>
      </w:r>
      <w:r w:rsidRPr="006047D5">
        <w:rPr>
          <w:rFonts w:cs="Arial"/>
          <w:sz w:val="22"/>
          <w:szCs w:val="22"/>
        </w:rPr>
        <w:fldChar w:fldCharType="begin"/>
      </w:r>
      <w:r w:rsidRPr="006047D5">
        <w:rPr>
          <w:rFonts w:cs="Arial"/>
          <w:sz w:val="22"/>
          <w:szCs w:val="22"/>
        </w:rPr>
        <w:instrText xml:space="preserve"> REF _Ref_ContractCompanion_9kb9Ut34B \n \h \t \* MERGEFORMAT </w:instrText>
      </w:r>
      <w:r w:rsidRPr="006047D5">
        <w:rPr>
          <w:rFonts w:cs="Arial"/>
          <w:sz w:val="22"/>
          <w:szCs w:val="22"/>
        </w:rPr>
      </w:r>
      <w:r w:rsidRPr="006047D5">
        <w:rPr>
          <w:rFonts w:cs="Arial"/>
          <w:sz w:val="22"/>
          <w:szCs w:val="22"/>
        </w:rPr>
        <w:fldChar w:fldCharType="separate"/>
      </w:r>
      <w:r w:rsidR="00C87D85">
        <w:rPr>
          <w:rFonts w:cs="Arial"/>
          <w:sz w:val="22"/>
          <w:szCs w:val="22"/>
        </w:rPr>
        <w:t>3.4</w:t>
      </w:r>
      <w:r w:rsidRPr="006047D5">
        <w:rPr>
          <w:rFonts w:cs="Arial"/>
          <w:sz w:val="22"/>
          <w:szCs w:val="22"/>
        </w:rPr>
        <w:fldChar w:fldCharType="end"/>
      </w:r>
      <w:bookmarkEnd w:id="3183"/>
      <w:r w:rsidRPr="006047D5">
        <w:rPr>
          <w:rFonts w:cs="Arial"/>
          <w:sz w:val="22"/>
          <w:szCs w:val="22"/>
        </w:rPr>
        <w:t xml:space="preserve">, such payment of other benefit, and any benefit derived directly or indirectly by the Guarantor therefrom, shall be held by the Guarantor on trust for </w:t>
      </w:r>
      <w:r>
        <w:rPr>
          <w:rFonts w:cs="Arial"/>
          <w:sz w:val="22"/>
          <w:szCs w:val="22"/>
        </w:rPr>
        <w:t>HSE</w:t>
      </w:r>
      <w:r w:rsidRPr="006047D5">
        <w:rPr>
          <w:rFonts w:cs="Arial"/>
          <w:sz w:val="22"/>
          <w:szCs w:val="22"/>
        </w:rPr>
        <w:t xml:space="preserve"> applied towards the discharge of the Guarantor’s obligations to </w:t>
      </w:r>
      <w:r>
        <w:rPr>
          <w:rFonts w:cs="Arial"/>
          <w:sz w:val="22"/>
          <w:szCs w:val="22"/>
        </w:rPr>
        <w:t>HSE</w:t>
      </w:r>
      <w:r w:rsidRPr="006047D5">
        <w:rPr>
          <w:rFonts w:cs="Arial"/>
          <w:sz w:val="22"/>
          <w:szCs w:val="22"/>
        </w:rPr>
        <w:t xml:space="preserve"> under this Deed.</w:t>
      </w:r>
    </w:p>
    <w:p w14:paraId="6D60BF03" w14:textId="77777777" w:rsidR="006047D5" w:rsidRPr="006047D5" w:rsidRDefault="006047D5" w:rsidP="004E2262">
      <w:pPr>
        <w:pStyle w:val="ScheduleText1"/>
        <w:numPr>
          <w:ilvl w:val="0"/>
          <w:numId w:val="83"/>
        </w:numPr>
        <w:rPr>
          <w:rFonts w:cs="Arial"/>
          <w:sz w:val="22"/>
          <w:szCs w:val="22"/>
        </w:rPr>
      </w:pPr>
      <w:bookmarkStart w:id="3184" w:name="_Ref_ContractCompanion_9kb9Us552"/>
      <w:bookmarkStart w:id="3185" w:name="_9kR3WTrAG9998bJfifw5q7HTfs63Cw8HDJKDJM8"/>
      <w:r w:rsidRPr="006047D5">
        <w:rPr>
          <w:rFonts w:cs="Arial"/>
          <w:sz w:val="22"/>
          <w:szCs w:val="22"/>
        </w:rPr>
        <w:t>VARIATION OF THE GUARANTEED AGREEMENT</w:t>
      </w:r>
      <w:bookmarkEnd w:id="3184"/>
      <w:bookmarkEnd w:id="3185"/>
    </w:p>
    <w:p w14:paraId="338CC73C" w14:textId="77777777" w:rsidR="006047D5" w:rsidRPr="006047D5" w:rsidRDefault="006047D5" w:rsidP="004E2262">
      <w:pPr>
        <w:pStyle w:val="ScheduleText2"/>
        <w:numPr>
          <w:ilvl w:val="1"/>
          <w:numId w:val="83"/>
        </w:numPr>
        <w:rPr>
          <w:rFonts w:cs="Arial"/>
          <w:sz w:val="22"/>
          <w:szCs w:val="22"/>
        </w:rPr>
      </w:pPr>
      <w:r w:rsidRPr="006047D5">
        <w:rPr>
          <w:rFonts w:cs="Arial"/>
          <w:sz w:val="22"/>
          <w:szCs w:val="22"/>
        </w:rPr>
        <w:lastRenderedPageBreak/>
        <w:t>The Guarantor confirms that it intends that this Deed shall extend and apply from time to time to any variation, increase, extension or addition of the Guaranteed Agreement, however, fundamental, and any associated fees, costs and/or expenses.</w:t>
      </w:r>
    </w:p>
    <w:p w14:paraId="3AC40710" w14:textId="77777777" w:rsidR="006047D5" w:rsidRPr="006047D5" w:rsidRDefault="006047D5" w:rsidP="004E2262">
      <w:pPr>
        <w:pStyle w:val="ScheduleText1"/>
        <w:numPr>
          <w:ilvl w:val="0"/>
          <w:numId w:val="83"/>
        </w:numPr>
        <w:rPr>
          <w:rFonts w:cs="Arial"/>
          <w:sz w:val="22"/>
          <w:szCs w:val="22"/>
        </w:rPr>
      </w:pPr>
      <w:r w:rsidRPr="006047D5">
        <w:rPr>
          <w:rFonts w:cs="Arial"/>
          <w:sz w:val="22"/>
          <w:szCs w:val="22"/>
        </w:rPr>
        <w:t>PAYMENT AND COSTS</w:t>
      </w:r>
    </w:p>
    <w:p w14:paraId="0D4FC87B" w14:textId="31A7875D" w:rsidR="006047D5" w:rsidRPr="006047D5" w:rsidRDefault="006047D5" w:rsidP="004E2262">
      <w:pPr>
        <w:pStyle w:val="ScheduleText2"/>
        <w:numPr>
          <w:ilvl w:val="1"/>
          <w:numId w:val="83"/>
        </w:numPr>
        <w:rPr>
          <w:rFonts w:cs="Arial"/>
          <w:sz w:val="22"/>
          <w:szCs w:val="22"/>
        </w:rPr>
      </w:pPr>
      <w:r w:rsidRPr="006047D5">
        <w:rPr>
          <w:rFonts w:cs="Arial"/>
          <w:sz w:val="22"/>
          <w:szCs w:val="22"/>
        </w:rPr>
        <w:t xml:space="preserve">All sums payable by the Guarantor under this Deed shall be paid in full to </w:t>
      </w:r>
      <w:r>
        <w:rPr>
          <w:rFonts w:cs="Arial"/>
          <w:sz w:val="22"/>
          <w:szCs w:val="22"/>
        </w:rPr>
        <w:t>HSE</w:t>
      </w:r>
      <w:r w:rsidRPr="006047D5">
        <w:rPr>
          <w:rFonts w:cs="Arial"/>
          <w:sz w:val="22"/>
          <w:szCs w:val="22"/>
        </w:rPr>
        <w:t xml:space="preserve"> in pounds sterling:</w:t>
      </w:r>
    </w:p>
    <w:p w14:paraId="48CADE17" w14:textId="77777777" w:rsidR="006047D5" w:rsidRPr="006047D5" w:rsidRDefault="006047D5" w:rsidP="004E2262">
      <w:pPr>
        <w:pStyle w:val="ScheduleText4"/>
        <w:numPr>
          <w:ilvl w:val="3"/>
          <w:numId w:val="83"/>
        </w:numPr>
        <w:rPr>
          <w:rFonts w:cs="Arial"/>
          <w:sz w:val="22"/>
          <w:szCs w:val="22"/>
        </w:rPr>
      </w:pPr>
      <w:r w:rsidRPr="006047D5">
        <w:rPr>
          <w:rFonts w:cs="Arial"/>
          <w:sz w:val="22"/>
          <w:szCs w:val="22"/>
        </w:rPr>
        <w:t>without any set-off, condition or counterclaim whatsoever; and</w:t>
      </w:r>
    </w:p>
    <w:p w14:paraId="29B6F62B" w14:textId="77777777" w:rsidR="006047D5" w:rsidRPr="006047D5" w:rsidRDefault="006047D5" w:rsidP="004E2262">
      <w:pPr>
        <w:pStyle w:val="ScheduleText4"/>
        <w:numPr>
          <w:ilvl w:val="3"/>
          <w:numId w:val="83"/>
        </w:numPr>
        <w:rPr>
          <w:rFonts w:cs="Arial"/>
          <w:sz w:val="22"/>
          <w:szCs w:val="22"/>
        </w:rPr>
      </w:pPr>
      <w:r w:rsidRPr="006047D5">
        <w:rPr>
          <w:rFonts w:cs="Arial"/>
          <w:sz w:val="22"/>
          <w:szCs w:val="22"/>
        </w:rPr>
        <w:t>free and clear of any deductions or withholdings whatsoever except as may be required by applicable law which is binding on the Guarantor.</w:t>
      </w:r>
    </w:p>
    <w:p w14:paraId="6B0E92FB" w14:textId="77777777" w:rsidR="006047D5" w:rsidRPr="006047D5" w:rsidRDefault="006047D5" w:rsidP="004E2262">
      <w:pPr>
        <w:pStyle w:val="ScheduleText2"/>
        <w:numPr>
          <w:ilvl w:val="1"/>
          <w:numId w:val="83"/>
        </w:numPr>
        <w:rPr>
          <w:rFonts w:cs="Arial"/>
          <w:sz w:val="22"/>
          <w:szCs w:val="22"/>
        </w:rPr>
      </w:pPr>
      <w:r w:rsidRPr="006047D5">
        <w:rPr>
          <w:rFonts w:cs="Arial"/>
          <w:sz w:val="22"/>
          <w:szCs w:val="22"/>
        </w:rPr>
        <w:t>If any deduction or withholding is required by any applicable law to be made by the Guarantor:</w:t>
      </w:r>
    </w:p>
    <w:p w14:paraId="29298C57" w14:textId="77777777" w:rsidR="006047D5" w:rsidRPr="006047D5" w:rsidRDefault="006047D5" w:rsidP="004E2262">
      <w:pPr>
        <w:pStyle w:val="ScheduleText4"/>
        <w:numPr>
          <w:ilvl w:val="3"/>
          <w:numId w:val="83"/>
        </w:numPr>
        <w:rPr>
          <w:rFonts w:cs="Arial"/>
          <w:sz w:val="22"/>
          <w:szCs w:val="22"/>
        </w:rPr>
      </w:pPr>
      <w:r w:rsidRPr="006047D5">
        <w:rPr>
          <w:rFonts w:cs="Arial"/>
          <w:sz w:val="22"/>
          <w:szCs w:val="22"/>
        </w:rPr>
        <w:t>the amount of the payment due from the Guarantor shall be increased to an amount which (after making any deduction or withholding) leaves an amount equal to the payment which would have been due if no deduction or withholding had been required; and</w:t>
      </w:r>
    </w:p>
    <w:p w14:paraId="39F9A179" w14:textId="746FA316" w:rsidR="006047D5" w:rsidRPr="006047D5" w:rsidRDefault="006047D5" w:rsidP="004E2262">
      <w:pPr>
        <w:pStyle w:val="ScheduleText4"/>
        <w:numPr>
          <w:ilvl w:val="3"/>
          <w:numId w:val="83"/>
        </w:numPr>
        <w:rPr>
          <w:rFonts w:cs="Arial"/>
          <w:sz w:val="22"/>
          <w:szCs w:val="22"/>
        </w:rPr>
      </w:pPr>
      <w:r w:rsidRPr="006047D5">
        <w:rPr>
          <w:rFonts w:cs="Arial"/>
          <w:sz w:val="22"/>
          <w:szCs w:val="22"/>
        </w:rPr>
        <w:t xml:space="preserve">the Guarantor shall promptly deliver to </w:t>
      </w:r>
      <w:r>
        <w:rPr>
          <w:rFonts w:cs="Arial"/>
          <w:sz w:val="22"/>
          <w:szCs w:val="22"/>
        </w:rPr>
        <w:t>HSE</w:t>
      </w:r>
      <w:r w:rsidRPr="006047D5">
        <w:rPr>
          <w:rFonts w:cs="Arial"/>
          <w:sz w:val="22"/>
          <w:szCs w:val="22"/>
        </w:rPr>
        <w:t xml:space="preserve"> all receipts issued to it evidencing each deduction or withholding which it has made.</w:t>
      </w:r>
    </w:p>
    <w:p w14:paraId="38B47DD1" w14:textId="28F59709" w:rsidR="006047D5" w:rsidRPr="006047D5" w:rsidRDefault="006047D5" w:rsidP="004E2262">
      <w:pPr>
        <w:pStyle w:val="ScheduleText2"/>
        <w:numPr>
          <w:ilvl w:val="1"/>
          <w:numId w:val="83"/>
        </w:numPr>
        <w:rPr>
          <w:rFonts w:cs="Arial"/>
          <w:sz w:val="22"/>
          <w:szCs w:val="22"/>
        </w:rPr>
      </w:pPr>
      <w:r w:rsidRPr="006047D5">
        <w:rPr>
          <w:rFonts w:cs="Arial"/>
          <w:sz w:val="22"/>
          <w:szCs w:val="22"/>
        </w:rPr>
        <w:t xml:space="preserve">The Guarantor shall not and may not direct the application by </w:t>
      </w:r>
      <w:r>
        <w:rPr>
          <w:rFonts w:cs="Arial"/>
          <w:sz w:val="22"/>
          <w:szCs w:val="22"/>
        </w:rPr>
        <w:t>HSE</w:t>
      </w:r>
      <w:r w:rsidRPr="006047D5">
        <w:rPr>
          <w:rFonts w:cs="Arial"/>
          <w:sz w:val="22"/>
          <w:szCs w:val="22"/>
        </w:rPr>
        <w:t xml:space="preserve"> of any sums received by </w:t>
      </w:r>
      <w:r>
        <w:rPr>
          <w:rFonts w:cs="Arial"/>
          <w:sz w:val="22"/>
          <w:szCs w:val="22"/>
        </w:rPr>
        <w:t>HSE</w:t>
      </w:r>
      <w:r w:rsidRPr="006047D5">
        <w:rPr>
          <w:rFonts w:cs="Arial"/>
          <w:sz w:val="22"/>
          <w:szCs w:val="22"/>
        </w:rPr>
        <w:t xml:space="preserve"> from the Guarantor under any of the terms in this Deed.</w:t>
      </w:r>
    </w:p>
    <w:p w14:paraId="7F4B931D" w14:textId="77777777" w:rsidR="006047D5" w:rsidRPr="006047D5" w:rsidRDefault="006047D5" w:rsidP="004E2262">
      <w:pPr>
        <w:pStyle w:val="ScheduleText2"/>
        <w:numPr>
          <w:ilvl w:val="1"/>
          <w:numId w:val="83"/>
        </w:numPr>
        <w:rPr>
          <w:rFonts w:cs="Arial"/>
          <w:sz w:val="22"/>
          <w:szCs w:val="22"/>
        </w:rPr>
      </w:pPr>
      <w:r w:rsidRPr="006047D5">
        <w:rPr>
          <w:rFonts w:cs="Arial"/>
          <w:sz w:val="22"/>
          <w:szCs w:val="22"/>
        </w:rPr>
        <w:t>The Guarantor shall pay interest on any amount due under this Deed at the applicable rate under the Late Payment of Commercial Debts (Interest) Act 1998, accruing on a daily basis from the due date up to the date of actual payment, whether before or after judgment.</w:t>
      </w:r>
    </w:p>
    <w:p w14:paraId="1157B7B9" w14:textId="71AEF90A" w:rsidR="006047D5" w:rsidRPr="006047D5" w:rsidRDefault="006047D5" w:rsidP="004E2262">
      <w:pPr>
        <w:pStyle w:val="ScheduleText2"/>
        <w:numPr>
          <w:ilvl w:val="1"/>
          <w:numId w:val="83"/>
        </w:numPr>
        <w:rPr>
          <w:rFonts w:cs="Arial"/>
          <w:sz w:val="22"/>
          <w:szCs w:val="22"/>
        </w:rPr>
      </w:pPr>
      <w:r w:rsidRPr="006047D5">
        <w:rPr>
          <w:rFonts w:cs="Arial"/>
          <w:sz w:val="22"/>
          <w:szCs w:val="22"/>
        </w:rPr>
        <w:t xml:space="preserve">The Guarantor shall, on a full indemnity basis, pay to </w:t>
      </w:r>
      <w:r>
        <w:rPr>
          <w:rFonts w:cs="Arial"/>
          <w:sz w:val="22"/>
          <w:szCs w:val="22"/>
        </w:rPr>
        <w:t>HSE</w:t>
      </w:r>
      <w:r w:rsidRPr="006047D5">
        <w:rPr>
          <w:rFonts w:cs="Arial"/>
          <w:sz w:val="22"/>
          <w:szCs w:val="22"/>
        </w:rPr>
        <w:t xml:space="preserve"> on demand the amount of all costs and expenses (including legal and out-of-pocket expenses and any VAT on those costs and expenses) which </w:t>
      </w:r>
      <w:r>
        <w:rPr>
          <w:rFonts w:cs="Arial"/>
          <w:sz w:val="22"/>
          <w:szCs w:val="22"/>
        </w:rPr>
        <w:t>HSE</w:t>
      </w:r>
      <w:r w:rsidRPr="006047D5">
        <w:rPr>
          <w:rFonts w:cs="Arial"/>
          <w:sz w:val="22"/>
          <w:szCs w:val="22"/>
        </w:rPr>
        <w:t xml:space="preserve"> incurs in connection with:</w:t>
      </w:r>
    </w:p>
    <w:p w14:paraId="6D2FF52B" w14:textId="77777777" w:rsidR="006047D5" w:rsidRPr="006047D5" w:rsidRDefault="006047D5" w:rsidP="004E2262">
      <w:pPr>
        <w:pStyle w:val="ScheduleText4"/>
        <w:numPr>
          <w:ilvl w:val="3"/>
          <w:numId w:val="83"/>
        </w:numPr>
        <w:rPr>
          <w:rFonts w:cs="Arial"/>
          <w:sz w:val="22"/>
          <w:szCs w:val="22"/>
        </w:rPr>
      </w:pPr>
      <w:r w:rsidRPr="006047D5">
        <w:rPr>
          <w:rFonts w:cs="Arial"/>
          <w:sz w:val="22"/>
          <w:szCs w:val="22"/>
        </w:rPr>
        <w:t>the preservation, or exercise and enforcement, of any rights under or in connection with this Deed or any attempt to do so; and</w:t>
      </w:r>
    </w:p>
    <w:p w14:paraId="63DD5EF7" w14:textId="77777777" w:rsidR="006047D5" w:rsidRPr="006047D5" w:rsidRDefault="006047D5" w:rsidP="004E2262">
      <w:pPr>
        <w:pStyle w:val="ScheduleText4"/>
        <w:numPr>
          <w:ilvl w:val="3"/>
          <w:numId w:val="83"/>
        </w:numPr>
        <w:rPr>
          <w:rFonts w:cs="Arial"/>
          <w:sz w:val="22"/>
          <w:szCs w:val="22"/>
        </w:rPr>
      </w:pPr>
      <w:r w:rsidRPr="006047D5">
        <w:rPr>
          <w:rFonts w:cs="Arial"/>
          <w:sz w:val="22"/>
          <w:szCs w:val="22"/>
        </w:rPr>
        <w:t>any discharge or release of this Deed.</w:t>
      </w:r>
    </w:p>
    <w:p w14:paraId="3E911CBF" w14:textId="77777777" w:rsidR="006047D5" w:rsidRPr="006047D5" w:rsidRDefault="006047D5" w:rsidP="004E2262">
      <w:pPr>
        <w:pStyle w:val="ScheduleText1"/>
        <w:keepNext/>
        <w:numPr>
          <w:ilvl w:val="0"/>
          <w:numId w:val="83"/>
        </w:numPr>
        <w:rPr>
          <w:rFonts w:cs="Arial"/>
          <w:sz w:val="22"/>
          <w:szCs w:val="22"/>
        </w:rPr>
      </w:pPr>
      <w:r w:rsidRPr="006047D5">
        <w:rPr>
          <w:rFonts w:cs="Arial"/>
          <w:sz w:val="22"/>
          <w:szCs w:val="22"/>
        </w:rPr>
        <w:t>CONDITIONAL DISCHARGE</w:t>
      </w:r>
    </w:p>
    <w:p w14:paraId="60089E41" w14:textId="538806D3" w:rsidR="006047D5" w:rsidRPr="006047D5" w:rsidRDefault="006047D5" w:rsidP="004E2262">
      <w:pPr>
        <w:pStyle w:val="ScheduleText2"/>
        <w:numPr>
          <w:ilvl w:val="1"/>
          <w:numId w:val="83"/>
        </w:numPr>
        <w:rPr>
          <w:rFonts w:cs="Arial"/>
          <w:sz w:val="22"/>
          <w:szCs w:val="22"/>
        </w:rPr>
      </w:pPr>
      <w:bookmarkStart w:id="3186" w:name="_Ref_ContractCompanion_9kb9Ut345"/>
      <w:bookmarkStart w:id="3187" w:name="_9kR3WTrAGA78BGFKE9Evqrhw1ns83ts3Ay7LQEG"/>
      <w:r w:rsidRPr="006047D5">
        <w:rPr>
          <w:rFonts w:cs="Arial"/>
          <w:sz w:val="22"/>
          <w:szCs w:val="22"/>
        </w:rPr>
        <w:t xml:space="preserve">Any release, discharge or settlement between the Guarantor and </w:t>
      </w:r>
      <w:r>
        <w:rPr>
          <w:rFonts w:cs="Arial"/>
          <w:sz w:val="22"/>
          <w:szCs w:val="22"/>
        </w:rPr>
        <w:t>HSE</w:t>
      </w:r>
      <w:r w:rsidRPr="006047D5">
        <w:rPr>
          <w:rFonts w:cs="Arial"/>
          <w:sz w:val="22"/>
          <w:szCs w:val="22"/>
        </w:rPr>
        <w:t xml:space="preserve"> in relation to this Deed shall be conditional on no right, security, disposition or payment to </w:t>
      </w:r>
      <w:r>
        <w:rPr>
          <w:rFonts w:cs="Arial"/>
          <w:sz w:val="22"/>
          <w:szCs w:val="22"/>
        </w:rPr>
        <w:t>HSE</w:t>
      </w:r>
      <w:r w:rsidRPr="006047D5">
        <w:rPr>
          <w:rFonts w:cs="Arial"/>
          <w:sz w:val="22"/>
          <w:szCs w:val="22"/>
        </w:rPr>
        <w:t xml:space="preserve"> by the Guarantor, the </w:t>
      </w:r>
      <w:r>
        <w:rPr>
          <w:rFonts w:cs="Arial"/>
          <w:sz w:val="22"/>
          <w:szCs w:val="22"/>
        </w:rPr>
        <w:t>Provider</w:t>
      </w:r>
      <w:r w:rsidRPr="006047D5">
        <w:rPr>
          <w:rFonts w:cs="Arial"/>
          <w:sz w:val="22"/>
          <w:szCs w:val="22"/>
        </w:rPr>
        <w:t xml:space="preserve"> or any other person being avoided, set aside or ordered to be refunded pursuant to any enactment or law relating to breach of duty by any person, bankruptcy, liquidation, administration, protection from creditors generally or insolvency for any other reason.</w:t>
      </w:r>
      <w:bookmarkEnd w:id="3186"/>
      <w:bookmarkEnd w:id="3187"/>
    </w:p>
    <w:p w14:paraId="45AC1FC5" w14:textId="51681F76" w:rsidR="006047D5" w:rsidRPr="006047D5" w:rsidRDefault="006047D5" w:rsidP="004E2262">
      <w:pPr>
        <w:pStyle w:val="ScheduleText2"/>
        <w:numPr>
          <w:ilvl w:val="1"/>
          <w:numId w:val="83"/>
        </w:numPr>
        <w:rPr>
          <w:rFonts w:cs="Arial"/>
          <w:sz w:val="22"/>
          <w:szCs w:val="22"/>
        </w:rPr>
      </w:pPr>
      <w:r w:rsidRPr="006047D5">
        <w:rPr>
          <w:rFonts w:cs="Arial"/>
          <w:sz w:val="22"/>
          <w:szCs w:val="22"/>
        </w:rPr>
        <w:t xml:space="preserve">If any such right, security, disposition or payment as referred to in </w:t>
      </w:r>
      <w:bookmarkStart w:id="3188" w:name="_9kMHG5YVtCIC9ADIHMGBGxstjy3puA5vu5C09NS"/>
      <w:r w:rsidRPr="006047D5">
        <w:rPr>
          <w:rFonts w:cs="Arial"/>
          <w:sz w:val="22"/>
          <w:szCs w:val="22"/>
        </w:rPr>
        <w:t xml:space="preserve">Clause </w:t>
      </w:r>
      <w:r w:rsidRPr="006047D5">
        <w:rPr>
          <w:rFonts w:cs="Arial"/>
          <w:sz w:val="22"/>
          <w:szCs w:val="22"/>
        </w:rPr>
        <w:fldChar w:fldCharType="begin"/>
      </w:r>
      <w:r w:rsidRPr="006047D5">
        <w:rPr>
          <w:rFonts w:cs="Arial"/>
          <w:sz w:val="22"/>
          <w:szCs w:val="22"/>
        </w:rPr>
        <w:instrText xml:space="preserve"> REF _Ref_ContractCompanion_9kb9Ut345 \n \h \t \* MERGEFORMAT </w:instrText>
      </w:r>
      <w:r w:rsidRPr="006047D5">
        <w:rPr>
          <w:rFonts w:cs="Arial"/>
          <w:sz w:val="22"/>
          <w:szCs w:val="22"/>
        </w:rPr>
      </w:r>
      <w:r w:rsidRPr="006047D5">
        <w:rPr>
          <w:rFonts w:cs="Arial"/>
          <w:sz w:val="22"/>
          <w:szCs w:val="22"/>
        </w:rPr>
        <w:fldChar w:fldCharType="separate"/>
      </w:r>
      <w:r w:rsidR="00C87D85">
        <w:rPr>
          <w:rFonts w:cs="Arial"/>
          <w:sz w:val="22"/>
          <w:szCs w:val="22"/>
        </w:rPr>
        <w:t>6.1</w:t>
      </w:r>
      <w:r w:rsidRPr="006047D5">
        <w:rPr>
          <w:rFonts w:cs="Arial"/>
          <w:sz w:val="22"/>
          <w:szCs w:val="22"/>
        </w:rPr>
        <w:fldChar w:fldCharType="end"/>
      </w:r>
      <w:bookmarkEnd w:id="3188"/>
      <w:r w:rsidRPr="006047D5">
        <w:rPr>
          <w:rFonts w:cs="Arial"/>
          <w:sz w:val="22"/>
          <w:szCs w:val="22"/>
        </w:rPr>
        <w:t xml:space="preserve"> is avoided, set aside or ordered to be refunded, </w:t>
      </w:r>
      <w:r>
        <w:rPr>
          <w:rFonts w:cs="Arial"/>
          <w:sz w:val="22"/>
          <w:szCs w:val="22"/>
        </w:rPr>
        <w:t>HSE</w:t>
      </w:r>
      <w:r w:rsidRPr="006047D5">
        <w:rPr>
          <w:rFonts w:cs="Arial"/>
          <w:sz w:val="22"/>
          <w:szCs w:val="22"/>
        </w:rPr>
        <w:t xml:space="preserve"> shall be entitled subsequently to enforce this Deed against the Guarantor as if such release, discharge or settlement had not occurred and any such security, disposition or payment has not been made.</w:t>
      </w:r>
    </w:p>
    <w:p w14:paraId="774BA194" w14:textId="77777777" w:rsidR="006047D5" w:rsidRPr="006047D5" w:rsidRDefault="006047D5" w:rsidP="004E2262">
      <w:pPr>
        <w:pStyle w:val="ScheduleText1"/>
        <w:numPr>
          <w:ilvl w:val="0"/>
          <w:numId w:val="83"/>
        </w:numPr>
        <w:rPr>
          <w:rFonts w:cs="Arial"/>
          <w:sz w:val="22"/>
          <w:szCs w:val="22"/>
        </w:rPr>
      </w:pPr>
      <w:r w:rsidRPr="006047D5">
        <w:rPr>
          <w:rFonts w:cs="Arial"/>
          <w:sz w:val="22"/>
          <w:szCs w:val="22"/>
        </w:rPr>
        <w:t>REPRESENTATIONS AND WARRANTIES</w:t>
      </w:r>
    </w:p>
    <w:p w14:paraId="2B82A2E1" w14:textId="06F8F7D3" w:rsidR="006047D5" w:rsidRPr="006047D5" w:rsidRDefault="006047D5" w:rsidP="004E2262">
      <w:pPr>
        <w:pStyle w:val="ScheduleText2"/>
        <w:numPr>
          <w:ilvl w:val="1"/>
          <w:numId w:val="83"/>
        </w:numPr>
        <w:rPr>
          <w:rFonts w:cs="Arial"/>
          <w:sz w:val="22"/>
          <w:szCs w:val="22"/>
        </w:rPr>
      </w:pPr>
      <w:r w:rsidRPr="006047D5">
        <w:rPr>
          <w:rFonts w:cs="Arial"/>
          <w:sz w:val="22"/>
          <w:szCs w:val="22"/>
        </w:rPr>
        <w:lastRenderedPageBreak/>
        <w:t xml:space="preserve">The Guarantor represents and warrants to </w:t>
      </w:r>
      <w:r>
        <w:rPr>
          <w:rFonts w:cs="Arial"/>
          <w:sz w:val="22"/>
          <w:szCs w:val="22"/>
        </w:rPr>
        <w:t>HSE</w:t>
      </w:r>
      <w:r w:rsidRPr="006047D5">
        <w:rPr>
          <w:rFonts w:cs="Arial"/>
          <w:sz w:val="22"/>
          <w:szCs w:val="22"/>
        </w:rPr>
        <w:t xml:space="preserve"> that:</w:t>
      </w:r>
    </w:p>
    <w:p w14:paraId="4DAF4BCF" w14:textId="77777777" w:rsidR="006047D5" w:rsidRPr="006047D5" w:rsidRDefault="006047D5" w:rsidP="004E2262">
      <w:pPr>
        <w:pStyle w:val="ScheduleText4"/>
        <w:numPr>
          <w:ilvl w:val="3"/>
          <w:numId w:val="83"/>
        </w:numPr>
        <w:rPr>
          <w:rFonts w:cs="Arial"/>
          <w:sz w:val="22"/>
          <w:szCs w:val="22"/>
        </w:rPr>
      </w:pPr>
      <w:r w:rsidRPr="006047D5">
        <w:rPr>
          <w:rFonts w:cs="Arial"/>
          <w:sz w:val="22"/>
          <w:szCs w:val="22"/>
        </w:rPr>
        <w:t xml:space="preserve">it is duly incorporated with limited liability and is a validly existing company under the laws of its place of incorporation, has the capacity to sue or be sued in its own name, and has power to carry on its business as now being conducted and to own its property and other assets; </w:t>
      </w:r>
    </w:p>
    <w:p w14:paraId="58FC1545" w14:textId="77777777" w:rsidR="006047D5" w:rsidRPr="006047D5" w:rsidRDefault="006047D5" w:rsidP="004E2262">
      <w:pPr>
        <w:pStyle w:val="ScheduleText4"/>
        <w:numPr>
          <w:ilvl w:val="3"/>
          <w:numId w:val="83"/>
        </w:numPr>
        <w:rPr>
          <w:rFonts w:cs="Arial"/>
          <w:sz w:val="22"/>
          <w:szCs w:val="22"/>
        </w:rPr>
      </w:pPr>
      <w:r w:rsidRPr="006047D5">
        <w:rPr>
          <w:rFonts w:cs="Arial"/>
          <w:sz w:val="22"/>
          <w:szCs w:val="22"/>
        </w:rPr>
        <w:t>it has full power under its constitution or equivalent constitutional documents in the jurisdiction in which it is established to enter into this Deed;</w:t>
      </w:r>
    </w:p>
    <w:p w14:paraId="59C8E66F" w14:textId="77777777" w:rsidR="006047D5" w:rsidRPr="006047D5" w:rsidRDefault="006047D5" w:rsidP="004E2262">
      <w:pPr>
        <w:pStyle w:val="ScheduleText4"/>
        <w:numPr>
          <w:ilvl w:val="3"/>
          <w:numId w:val="83"/>
        </w:numPr>
        <w:rPr>
          <w:rFonts w:cs="Arial"/>
          <w:sz w:val="22"/>
          <w:szCs w:val="22"/>
        </w:rPr>
      </w:pPr>
      <w:r w:rsidRPr="006047D5">
        <w:rPr>
          <w:rFonts w:cs="Arial"/>
          <w:sz w:val="22"/>
          <w:szCs w:val="22"/>
        </w:rPr>
        <w:t>it has full power to perform the obligations expressed to be assumed by it or contemplated by this Deed;</w:t>
      </w:r>
    </w:p>
    <w:p w14:paraId="0B3D1F85" w14:textId="77777777" w:rsidR="006047D5" w:rsidRPr="006047D5" w:rsidRDefault="006047D5" w:rsidP="004E2262">
      <w:pPr>
        <w:pStyle w:val="ScheduleText4"/>
        <w:numPr>
          <w:ilvl w:val="3"/>
          <w:numId w:val="83"/>
        </w:numPr>
        <w:rPr>
          <w:rFonts w:cs="Arial"/>
          <w:sz w:val="22"/>
          <w:szCs w:val="22"/>
        </w:rPr>
      </w:pPr>
      <w:r w:rsidRPr="006047D5">
        <w:rPr>
          <w:rFonts w:cs="Arial"/>
          <w:sz w:val="22"/>
          <w:szCs w:val="22"/>
        </w:rPr>
        <w:t>it has been duly authorised to enter into this Deed;</w:t>
      </w:r>
    </w:p>
    <w:p w14:paraId="42EEFA12" w14:textId="77777777" w:rsidR="006047D5" w:rsidRPr="006047D5" w:rsidRDefault="006047D5" w:rsidP="004E2262">
      <w:pPr>
        <w:pStyle w:val="ScheduleText4"/>
        <w:numPr>
          <w:ilvl w:val="3"/>
          <w:numId w:val="83"/>
        </w:numPr>
        <w:rPr>
          <w:rFonts w:cs="Arial"/>
          <w:sz w:val="22"/>
          <w:szCs w:val="22"/>
        </w:rPr>
      </w:pPr>
      <w:r w:rsidRPr="006047D5">
        <w:rPr>
          <w:rFonts w:cs="Arial"/>
          <w:sz w:val="22"/>
          <w:szCs w:val="22"/>
        </w:rPr>
        <w:t>it has taken all necessary corporate action to authorise the execution, delivery and performance of this Deed;</w:t>
      </w:r>
    </w:p>
    <w:p w14:paraId="64FC6CB0" w14:textId="77777777" w:rsidR="006047D5" w:rsidRPr="006047D5" w:rsidRDefault="006047D5" w:rsidP="004E2262">
      <w:pPr>
        <w:pStyle w:val="ScheduleText4"/>
        <w:numPr>
          <w:ilvl w:val="3"/>
          <w:numId w:val="83"/>
        </w:numPr>
        <w:rPr>
          <w:rFonts w:cs="Arial"/>
          <w:sz w:val="22"/>
          <w:szCs w:val="22"/>
        </w:rPr>
      </w:pPr>
      <w:r w:rsidRPr="006047D5">
        <w:rPr>
          <w:rFonts w:cs="Arial"/>
          <w:sz w:val="22"/>
          <w:szCs w:val="22"/>
        </w:rPr>
        <w:t>this Deed when executed and delivered will constitute a legally binding obligation on it enforceable in accordance with its terms;</w:t>
      </w:r>
    </w:p>
    <w:p w14:paraId="42E28836" w14:textId="77777777" w:rsidR="006047D5" w:rsidRPr="006047D5" w:rsidRDefault="006047D5" w:rsidP="004E2262">
      <w:pPr>
        <w:pStyle w:val="ScheduleText4"/>
        <w:numPr>
          <w:ilvl w:val="3"/>
          <w:numId w:val="83"/>
        </w:numPr>
        <w:rPr>
          <w:rFonts w:cs="Arial"/>
          <w:sz w:val="22"/>
          <w:szCs w:val="22"/>
        </w:rPr>
      </w:pPr>
      <w:r w:rsidRPr="006047D5">
        <w:rPr>
          <w:rFonts w:cs="Arial"/>
          <w:sz w:val="22"/>
          <w:szCs w:val="22"/>
        </w:rPr>
        <w:t>all necessary consents and authorisations for the giving and implementation of this Deed have been obtained;</w:t>
      </w:r>
    </w:p>
    <w:p w14:paraId="07904528" w14:textId="77777777" w:rsidR="006047D5" w:rsidRPr="006047D5" w:rsidRDefault="006047D5" w:rsidP="004E2262">
      <w:pPr>
        <w:pStyle w:val="ScheduleText4"/>
        <w:numPr>
          <w:ilvl w:val="3"/>
          <w:numId w:val="83"/>
        </w:numPr>
        <w:rPr>
          <w:rFonts w:cs="Arial"/>
          <w:sz w:val="22"/>
          <w:szCs w:val="22"/>
        </w:rPr>
      </w:pPr>
      <w:r w:rsidRPr="006047D5">
        <w:rPr>
          <w:rFonts w:cs="Arial"/>
          <w:sz w:val="22"/>
          <w:szCs w:val="22"/>
        </w:rPr>
        <w:t>that its entry into and performance of its obligations under this Deed will not constitute any breach of or default under any contractual, government or public obligation binding on it; and</w:t>
      </w:r>
    </w:p>
    <w:p w14:paraId="44B9B239" w14:textId="77777777" w:rsidR="006047D5" w:rsidRPr="006047D5" w:rsidRDefault="006047D5" w:rsidP="004E2262">
      <w:pPr>
        <w:pStyle w:val="ScheduleText4"/>
        <w:numPr>
          <w:ilvl w:val="3"/>
          <w:numId w:val="83"/>
        </w:numPr>
        <w:rPr>
          <w:rFonts w:cs="Arial"/>
          <w:sz w:val="22"/>
          <w:szCs w:val="22"/>
        </w:rPr>
      </w:pPr>
      <w:r w:rsidRPr="006047D5">
        <w:rPr>
          <w:rFonts w:cs="Arial"/>
          <w:sz w:val="22"/>
          <w:szCs w:val="22"/>
        </w:rPr>
        <w:t>that it is not engaged in any litigation or arbitration proceedings that might affect its capacity or ability to perform its obligations under this Deed and to the best of its knowledge no such legal or arbitration proceedings have been threatened or are pending against it.</w:t>
      </w:r>
    </w:p>
    <w:p w14:paraId="22F7125F" w14:textId="77777777" w:rsidR="006047D5" w:rsidRPr="006047D5" w:rsidRDefault="006047D5" w:rsidP="004E2262">
      <w:pPr>
        <w:pStyle w:val="ScheduleText1"/>
        <w:keepNext/>
        <w:numPr>
          <w:ilvl w:val="0"/>
          <w:numId w:val="83"/>
        </w:numPr>
        <w:rPr>
          <w:rFonts w:cs="Arial"/>
          <w:sz w:val="22"/>
          <w:szCs w:val="22"/>
        </w:rPr>
      </w:pPr>
      <w:r w:rsidRPr="006047D5">
        <w:rPr>
          <w:rFonts w:cs="Arial"/>
          <w:sz w:val="22"/>
          <w:szCs w:val="22"/>
        </w:rPr>
        <w:t>ASSIGNMENT</w:t>
      </w:r>
    </w:p>
    <w:p w14:paraId="7B887BEF" w14:textId="7B353AF9" w:rsidR="006047D5" w:rsidRPr="006047D5" w:rsidRDefault="006047D5" w:rsidP="004E2262">
      <w:pPr>
        <w:pStyle w:val="ScheduleText2"/>
        <w:numPr>
          <w:ilvl w:val="1"/>
          <w:numId w:val="83"/>
        </w:numPr>
        <w:rPr>
          <w:rFonts w:cs="Arial"/>
          <w:sz w:val="22"/>
          <w:szCs w:val="22"/>
        </w:rPr>
      </w:pPr>
      <w:r>
        <w:rPr>
          <w:rFonts w:cs="Arial"/>
          <w:sz w:val="22"/>
          <w:szCs w:val="22"/>
        </w:rPr>
        <w:t>HSE</w:t>
      </w:r>
      <w:r w:rsidRPr="006047D5">
        <w:rPr>
          <w:rFonts w:cs="Arial"/>
          <w:sz w:val="22"/>
          <w:szCs w:val="22"/>
        </w:rPr>
        <w:t xml:space="preserve"> shall be entitled by notice in writing to the Guarantor to assign the benefit of this Deed at any time to any person without the consent of the Guarantor being required and any such assignment shall not release the Guarantor from liability under this Deed.</w:t>
      </w:r>
    </w:p>
    <w:p w14:paraId="3E076D38" w14:textId="372F513D" w:rsidR="006047D5" w:rsidRPr="006047D5" w:rsidRDefault="006047D5" w:rsidP="004E2262">
      <w:pPr>
        <w:pStyle w:val="ScheduleText2"/>
        <w:numPr>
          <w:ilvl w:val="1"/>
          <w:numId w:val="83"/>
        </w:numPr>
        <w:rPr>
          <w:rFonts w:cs="Arial"/>
          <w:sz w:val="22"/>
          <w:szCs w:val="22"/>
        </w:rPr>
      </w:pPr>
      <w:r w:rsidRPr="006047D5">
        <w:rPr>
          <w:rFonts w:cs="Arial"/>
          <w:sz w:val="22"/>
          <w:szCs w:val="22"/>
        </w:rPr>
        <w:t xml:space="preserve">The Guarantor may not assign or transfer any of its rights and/or obligations under this Deed without the prior written consent of </w:t>
      </w:r>
      <w:r>
        <w:rPr>
          <w:rFonts w:cs="Arial"/>
          <w:sz w:val="22"/>
          <w:szCs w:val="22"/>
        </w:rPr>
        <w:t>HSE</w:t>
      </w:r>
      <w:r w:rsidRPr="006047D5">
        <w:rPr>
          <w:rFonts w:cs="Arial"/>
          <w:sz w:val="22"/>
          <w:szCs w:val="22"/>
        </w:rPr>
        <w:t>.</w:t>
      </w:r>
    </w:p>
    <w:p w14:paraId="3DF5DEAD" w14:textId="77777777" w:rsidR="006047D5" w:rsidRPr="006047D5" w:rsidRDefault="006047D5" w:rsidP="004E2262">
      <w:pPr>
        <w:pStyle w:val="ScheduleText1"/>
        <w:numPr>
          <w:ilvl w:val="0"/>
          <w:numId w:val="83"/>
        </w:numPr>
        <w:rPr>
          <w:rFonts w:cs="Arial"/>
          <w:sz w:val="22"/>
          <w:szCs w:val="22"/>
        </w:rPr>
      </w:pPr>
      <w:r w:rsidRPr="006047D5">
        <w:rPr>
          <w:rFonts w:cs="Arial"/>
          <w:sz w:val="22"/>
          <w:szCs w:val="22"/>
        </w:rPr>
        <w:t>VARIATION</w:t>
      </w:r>
    </w:p>
    <w:p w14:paraId="1C6C6AD1" w14:textId="77777777" w:rsidR="006047D5" w:rsidRPr="006047D5" w:rsidRDefault="006047D5" w:rsidP="004E2262">
      <w:pPr>
        <w:pStyle w:val="ScheduleText2"/>
        <w:numPr>
          <w:ilvl w:val="1"/>
          <w:numId w:val="83"/>
        </w:numPr>
        <w:rPr>
          <w:rFonts w:cs="Arial"/>
          <w:sz w:val="22"/>
          <w:szCs w:val="22"/>
        </w:rPr>
      </w:pPr>
      <w:r w:rsidRPr="006047D5">
        <w:rPr>
          <w:rFonts w:cs="Arial"/>
          <w:sz w:val="22"/>
          <w:szCs w:val="22"/>
        </w:rPr>
        <w:t>No variation of this Deed shall be effective unless it is in writing and signed by the parties.</w:t>
      </w:r>
    </w:p>
    <w:p w14:paraId="064A90D9" w14:textId="77777777" w:rsidR="006047D5" w:rsidRPr="006047D5" w:rsidRDefault="006047D5" w:rsidP="004E2262">
      <w:pPr>
        <w:pStyle w:val="ScheduleText1"/>
        <w:numPr>
          <w:ilvl w:val="0"/>
          <w:numId w:val="83"/>
        </w:numPr>
        <w:rPr>
          <w:rFonts w:cs="Arial"/>
          <w:sz w:val="22"/>
          <w:szCs w:val="22"/>
        </w:rPr>
      </w:pPr>
      <w:r w:rsidRPr="006047D5">
        <w:rPr>
          <w:rFonts w:cs="Arial"/>
          <w:sz w:val="22"/>
          <w:szCs w:val="22"/>
        </w:rPr>
        <w:t>DEMANDS AND NOTICES</w:t>
      </w:r>
    </w:p>
    <w:p w14:paraId="75A37BCB" w14:textId="6D387066" w:rsidR="006047D5" w:rsidRPr="006047D5" w:rsidRDefault="006047D5" w:rsidP="004E2262">
      <w:pPr>
        <w:pStyle w:val="ScheduleText2"/>
        <w:numPr>
          <w:ilvl w:val="1"/>
          <w:numId w:val="83"/>
        </w:numPr>
        <w:rPr>
          <w:rFonts w:cs="Arial"/>
          <w:sz w:val="22"/>
          <w:szCs w:val="22"/>
        </w:rPr>
      </w:pPr>
      <w:r w:rsidRPr="006047D5">
        <w:rPr>
          <w:rFonts w:cs="Arial"/>
          <w:sz w:val="22"/>
          <w:szCs w:val="22"/>
        </w:rPr>
        <w:t xml:space="preserve">Any demand or notice served by </w:t>
      </w:r>
      <w:r>
        <w:rPr>
          <w:rFonts w:cs="Arial"/>
          <w:sz w:val="22"/>
          <w:szCs w:val="22"/>
        </w:rPr>
        <w:t>HSE</w:t>
      </w:r>
      <w:r w:rsidRPr="006047D5">
        <w:rPr>
          <w:rFonts w:cs="Arial"/>
          <w:sz w:val="22"/>
          <w:szCs w:val="22"/>
        </w:rPr>
        <w:t xml:space="preserve"> on the Guarantor under this Deed shall be in writing, addressed to:</w:t>
      </w:r>
    </w:p>
    <w:p w14:paraId="1BD105F9" w14:textId="77777777" w:rsidR="006047D5" w:rsidRPr="006047D5" w:rsidRDefault="006047D5" w:rsidP="004E2262">
      <w:pPr>
        <w:pStyle w:val="ScheduleText4"/>
        <w:numPr>
          <w:ilvl w:val="3"/>
          <w:numId w:val="83"/>
        </w:numPr>
        <w:rPr>
          <w:rFonts w:cs="Arial"/>
          <w:sz w:val="22"/>
          <w:szCs w:val="22"/>
        </w:rPr>
      </w:pPr>
      <w:r w:rsidRPr="006047D5">
        <w:rPr>
          <w:rFonts w:cs="Arial"/>
          <w:sz w:val="22"/>
          <w:szCs w:val="22"/>
        </w:rPr>
        <w:t xml:space="preserve">For the Attention of </w:t>
      </w:r>
      <w:r w:rsidRPr="006047D5">
        <w:rPr>
          <w:rFonts w:cs="Arial"/>
          <w:sz w:val="22"/>
          <w:szCs w:val="22"/>
          <w:highlight w:val="yellow"/>
        </w:rPr>
        <w:t>[insert details]</w:t>
      </w:r>
    </w:p>
    <w:p w14:paraId="3CDED23C" w14:textId="77777777" w:rsidR="006047D5" w:rsidRPr="006047D5" w:rsidRDefault="006047D5" w:rsidP="004E2262">
      <w:pPr>
        <w:pStyle w:val="ScheduleText4"/>
        <w:numPr>
          <w:ilvl w:val="3"/>
          <w:numId w:val="83"/>
        </w:numPr>
        <w:rPr>
          <w:rFonts w:cs="Arial"/>
          <w:sz w:val="22"/>
          <w:szCs w:val="22"/>
          <w:highlight w:val="yellow"/>
        </w:rPr>
      </w:pPr>
      <w:r w:rsidRPr="006047D5">
        <w:rPr>
          <w:rFonts w:cs="Arial"/>
          <w:sz w:val="22"/>
          <w:szCs w:val="22"/>
          <w:highlight w:val="yellow"/>
        </w:rPr>
        <w:t>[Address of the Guarantor in England and Wales]</w:t>
      </w:r>
    </w:p>
    <w:p w14:paraId="4B342B27" w14:textId="32B941E0" w:rsidR="006047D5" w:rsidRPr="006047D5" w:rsidRDefault="006047D5" w:rsidP="004E2262">
      <w:pPr>
        <w:pStyle w:val="ScheduleText2"/>
        <w:numPr>
          <w:ilvl w:val="1"/>
          <w:numId w:val="83"/>
        </w:numPr>
        <w:rPr>
          <w:rFonts w:cs="Arial"/>
          <w:sz w:val="22"/>
          <w:szCs w:val="22"/>
        </w:rPr>
      </w:pPr>
      <w:r w:rsidRPr="006047D5">
        <w:rPr>
          <w:rFonts w:cs="Arial"/>
          <w:sz w:val="22"/>
          <w:szCs w:val="22"/>
        </w:rPr>
        <w:lastRenderedPageBreak/>
        <w:t xml:space="preserve">or such other address in England and Wales as the Guarantor has from time to time notified to </w:t>
      </w:r>
      <w:r>
        <w:rPr>
          <w:rFonts w:cs="Arial"/>
          <w:sz w:val="22"/>
          <w:szCs w:val="22"/>
        </w:rPr>
        <w:t>HSE</w:t>
      </w:r>
      <w:r w:rsidRPr="006047D5">
        <w:rPr>
          <w:rFonts w:cs="Arial"/>
          <w:sz w:val="22"/>
          <w:szCs w:val="22"/>
        </w:rPr>
        <w:t xml:space="preserve"> in writing in accordance with the terms of this Deed as being an address or facsimile number for the receipt of such demands or notices.</w:t>
      </w:r>
    </w:p>
    <w:p w14:paraId="2B684B77" w14:textId="166F53B7" w:rsidR="006047D5" w:rsidRPr="006047D5" w:rsidRDefault="006047D5" w:rsidP="004E2262">
      <w:pPr>
        <w:pStyle w:val="ScheduleText2"/>
        <w:numPr>
          <w:ilvl w:val="1"/>
          <w:numId w:val="83"/>
        </w:numPr>
        <w:rPr>
          <w:rFonts w:cs="Arial"/>
          <w:sz w:val="22"/>
          <w:szCs w:val="22"/>
        </w:rPr>
      </w:pPr>
      <w:r w:rsidRPr="006047D5">
        <w:rPr>
          <w:rFonts w:cs="Arial"/>
          <w:sz w:val="22"/>
          <w:szCs w:val="22"/>
        </w:rPr>
        <w:t xml:space="preserve">Any notice or demand served on the Guarantor or </w:t>
      </w:r>
      <w:r>
        <w:rPr>
          <w:rFonts w:cs="Arial"/>
          <w:sz w:val="22"/>
          <w:szCs w:val="22"/>
        </w:rPr>
        <w:t>HSE</w:t>
      </w:r>
      <w:r w:rsidRPr="006047D5">
        <w:rPr>
          <w:rFonts w:cs="Arial"/>
          <w:sz w:val="22"/>
          <w:szCs w:val="22"/>
        </w:rPr>
        <w:t xml:space="preserve"> under this Deed shall be deemed to have been served:</w:t>
      </w:r>
    </w:p>
    <w:p w14:paraId="5B23D4F8" w14:textId="77777777" w:rsidR="006047D5" w:rsidRPr="006047D5" w:rsidRDefault="006047D5" w:rsidP="004E2262">
      <w:pPr>
        <w:pStyle w:val="ScheduleText4"/>
        <w:numPr>
          <w:ilvl w:val="3"/>
          <w:numId w:val="83"/>
        </w:numPr>
        <w:rPr>
          <w:rFonts w:cs="Arial"/>
          <w:sz w:val="22"/>
          <w:szCs w:val="22"/>
        </w:rPr>
      </w:pPr>
      <w:r w:rsidRPr="006047D5">
        <w:rPr>
          <w:rFonts w:cs="Arial"/>
          <w:sz w:val="22"/>
          <w:szCs w:val="22"/>
        </w:rPr>
        <w:t>if delivered by hand, at the time of delivery; or</w:t>
      </w:r>
    </w:p>
    <w:p w14:paraId="08AE058A" w14:textId="77777777" w:rsidR="006047D5" w:rsidRPr="006047D5" w:rsidRDefault="006047D5" w:rsidP="004E2262">
      <w:pPr>
        <w:pStyle w:val="ScheduleText4"/>
        <w:numPr>
          <w:ilvl w:val="3"/>
          <w:numId w:val="83"/>
        </w:numPr>
        <w:rPr>
          <w:rFonts w:cs="Arial"/>
          <w:sz w:val="22"/>
          <w:szCs w:val="22"/>
        </w:rPr>
      </w:pPr>
      <w:r w:rsidRPr="006047D5">
        <w:rPr>
          <w:rFonts w:cs="Arial"/>
          <w:sz w:val="22"/>
          <w:szCs w:val="22"/>
        </w:rPr>
        <w:t>if posted, at 10.00 a.m. on the second Business Day after it was put into the post.</w:t>
      </w:r>
    </w:p>
    <w:p w14:paraId="171731A3" w14:textId="77777777" w:rsidR="006047D5" w:rsidRPr="006047D5" w:rsidRDefault="006047D5" w:rsidP="004E2262">
      <w:pPr>
        <w:pStyle w:val="ScheduleText2"/>
        <w:numPr>
          <w:ilvl w:val="1"/>
          <w:numId w:val="83"/>
        </w:numPr>
        <w:rPr>
          <w:rFonts w:cs="Arial"/>
          <w:sz w:val="22"/>
          <w:szCs w:val="22"/>
        </w:rPr>
      </w:pPr>
      <w:r w:rsidRPr="006047D5">
        <w:rPr>
          <w:rFonts w:cs="Arial"/>
          <w:sz w:val="22"/>
          <w:szCs w:val="22"/>
        </w:rPr>
        <w:t>In proving service of a notice or demand on the Guarantor it shall be sufficient to prove that delivery was made, or that the envelope containing the notice or demand was properly addressed and posted as a prepaid first class recorded delivery letter.</w:t>
      </w:r>
    </w:p>
    <w:p w14:paraId="6FD7FE06" w14:textId="5045E4D8" w:rsidR="006047D5" w:rsidRPr="006047D5" w:rsidRDefault="006047D5" w:rsidP="004E2262">
      <w:pPr>
        <w:pStyle w:val="ScheduleText2"/>
        <w:numPr>
          <w:ilvl w:val="1"/>
          <w:numId w:val="83"/>
        </w:numPr>
        <w:rPr>
          <w:rFonts w:cs="Arial"/>
          <w:sz w:val="22"/>
          <w:szCs w:val="22"/>
        </w:rPr>
      </w:pPr>
      <w:r w:rsidRPr="006047D5">
        <w:rPr>
          <w:rFonts w:cs="Arial"/>
          <w:sz w:val="22"/>
          <w:szCs w:val="22"/>
        </w:rPr>
        <w:t xml:space="preserve">Any notice purported to be served on </w:t>
      </w:r>
      <w:r>
        <w:rPr>
          <w:rFonts w:cs="Arial"/>
          <w:sz w:val="22"/>
          <w:szCs w:val="22"/>
        </w:rPr>
        <w:t>HSE</w:t>
      </w:r>
      <w:r w:rsidRPr="006047D5">
        <w:rPr>
          <w:rFonts w:cs="Arial"/>
          <w:sz w:val="22"/>
          <w:szCs w:val="22"/>
        </w:rPr>
        <w:t xml:space="preserve"> under this Deed shall only be valid when received in writing by </w:t>
      </w:r>
      <w:r>
        <w:rPr>
          <w:rFonts w:cs="Arial"/>
          <w:sz w:val="22"/>
          <w:szCs w:val="22"/>
        </w:rPr>
        <w:t>HSE</w:t>
      </w:r>
      <w:r w:rsidRPr="006047D5">
        <w:rPr>
          <w:rFonts w:cs="Arial"/>
          <w:sz w:val="22"/>
          <w:szCs w:val="22"/>
        </w:rPr>
        <w:t>.</w:t>
      </w:r>
    </w:p>
    <w:p w14:paraId="4C3914C7" w14:textId="77777777" w:rsidR="006047D5" w:rsidRPr="006047D5" w:rsidRDefault="006047D5" w:rsidP="004E2262">
      <w:pPr>
        <w:pStyle w:val="ScheduleText1"/>
        <w:numPr>
          <w:ilvl w:val="0"/>
          <w:numId w:val="83"/>
        </w:numPr>
        <w:rPr>
          <w:rFonts w:cs="Arial"/>
          <w:sz w:val="22"/>
          <w:szCs w:val="22"/>
        </w:rPr>
      </w:pPr>
      <w:r w:rsidRPr="006047D5">
        <w:rPr>
          <w:rFonts w:cs="Arial"/>
          <w:sz w:val="22"/>
          <w:szCs w:val="22"/>
        </w:rPr>
        <w:t>ENTIRE AGREEMENT</w:t>
      </w:r>
    </w:p>
    <w:p w14:paraId="44DF0603" w14:textId="77777777" w:rsidR="006047D5" w:rsidRPr="006047D5" w:rsidRDefault="006047D5" w:rsidP="004E2262">
      <w:pPr>
        <w:pStyle w:val="ScheduleText2"/>
        <w:numPr>
          <w:ilvl w:val="1"/>
          <w:numId w:val="83"/>
        </w:numPr>
        <w:rPr>
          <w:rFonts w:cs="Arial"/>
          <w:sz w:val="22"/>
          <w:szCs w:val="22"/>
        </w:rPr>
      </w:pPr>
      <w:r w:rsidRPr="006047D5">
        <w:rPr>
          <w:rFonts w:cs="Arial"/>
          <w:sz w:val="22"/>
          <w:szCs w:val="22"/>
        </w:rPr>
        <w:t>This Deed constitutes the entire agreement between the parties and supersedes and extinguishes all previous agreements, promises, assurances, warranties, representations and understandings between them, whether written or oral, relating to its subject matter.</w:t>
      </w:r>
    </w:p>
    <w:p w14:paraId="3AF67443" w14:textId="16233D41" w:rsidR="006047D5" w:rsidRPr="006047D5" w:rsidRDefault="006047D5" w:rsidP="004E2262">
      <w:pPr>
        <w:pStyle w:val="ScheduleText2"/>
        <w:numPr>
          <w:ilvl w:val="1"/>
          <w:numId w:val="83"/>
        </w:numPr>
        <w:rPr>
          <w:rFonts w:cs="Arial"/>
          <w:sz w:val="22"/>
          <w:szCs w:val="22"/>
        </w:rPr>
      </w:pPr>
      <w:r w:rsidRPr="006047D5">
        <w:rPr>
          <w:rFonts w:cs="Arial"/>
          <w:sz w:val="22"/>
          <w:szCs w:val="22"/>
        </w:rPr>
        <w:t xml:space="preserve">The Guarantor acknowledges that it has not entered into this Deed in reliance upon, nor has it been induced to enter into this Deed by, any representation, warranty or undertaking made by or on behalf of </w:t>
      </w:r>
      <w:r>
        <w:rPr>
          <w:rFonts w:cs="Arial"/>
          <w:sz w:val="22"/>
          <w:szCs w:val="22"/>
        </w:rPr>
        <w:t>HSE</w:t>
      </w:r>
      <w:r w:rsidRPr="006047D5">
        <w:rPr>
          <w:rFonts w:cs="Arial"/>
          <w:sz w:val="22"/>
          <w:szCs w:val="22"/>
        </w:rPr>
        <w:t xml:space="preserve"> (whether express or implied and whether pursuant to statute or otherwise) which is not set out in this Deed.</w:t>
      </w:r>
    </w:p>
    <w:p w14:paraId="1BD6F9A5" w14:textId="77777777" w:rsidR="006047D5" w:rsidRPr="006047D5" w:rsidRDefault="006047D5" w:rsidP="004E2262">
      <w:pPr>
        <w:pStyle w:val="ScheduleText1"/>
        <w:numPr>
          <w:ilvl w:val="0"/>
          <w:numId w:val="83"/>
        </w:numPr>
        <w:rPr>
          <w:rFonts w:cs="Arial"/>
          <w:sz w:val="22"/>
          <w:szCs w:val="22"/>
        </w:rPr>
      </w:pPr>
      <w:r w:rsidRPr="006047D5">
        <w:rPr>
          <w:rFonts w:cs="Arial"/>
          <w:sz w:val="22"/>
          <w:szCs w:val="22"/>
        </w:rPr>
        <w:t>WAIVER</w:t>
      </w:r>
    </w:p>
    <w:p w14:paraId="2133F779" w14:textId="14EC82B7" w:rsidR="006047D5" w:rsidRPr="006047D5" w:rsidRDefault="006047D5" w:rsidP="004E2262">
      <w:pPr>
        <w:pStyle w:val="ScheduleText2"/>
        <w:numPr>
          <w:ilvl w:val="1"/>
          <w:numId w:val="83"/>
        </w:numPr>
        <w:rPr>
          <w:rFonts w:cs="Arial"/>
          <w:sz w:val="22"/>
          <w:szCs w:val="22"/>
        </w:rPr>
      </w:pPr>
      <w:r w:rsidRPr="006047D5">
        <w:rPr>
          <w:rFonts w:cs="Arial"/>
          <w:sz w:val="22"/>
          <w:szCs w:val="22"/>
        </w:rPr>
        <w:t xml:space="preserve">No failure or delay by </w:t>
      </w:r>
      <w:r>
        <w:rPr>
          <w:rFonts w:cs="Arial"/>
          <w:sz w:val="22"/>
          <w:szCs w:val="22"/>
        </w:rPr>
        <w:t>HSE</w:t>
      </w:r>
      <w:r w:rsidRPr="006047D5">
        <w:rPr>
          <w:rFonts w:cs="Arial"/>
          <w:sz w:val="22"/>
          <w:szCs w:val="22"/>
        </w:rPr>
        <w:t xml:space="preserve"> to exercise any right or remedy provided under this Deed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61A9B033" w14:textId="71EE0895" w:rsidR="006047D5" w:rsidRPr="006047D5" w:rsidRDefault="006047D5" w:rsidP="004E2262">
      <w:pPr>
        <w:pStyle w:val="ScheduleText2"/>
        <w:numPr>
          <w:ilvl w:val="1"/>
          <w:numId w:val="83"/>
        </w:numPr>
        <w:rPr>
          <w:rFonts w:cs="Arial"/>
          <w:sz w:val="22"/>
          <w:szCs w:val="22"/>
        </w:rPr>
      </w:pPr>
      <w:r w:rsidRPr="006047D5">
        <w:rPr>
          <w:rFonts w:cs="Arial"/>
          <w:sz w:val="22"/>
          <w:szCs w:val="22"/>
        </w:rPr>
        <w:t xml:space="preserve">Any waiver by </w:t>
      </w:r>
      <w:r>
        <w:rPr>
          <w:rFonts w:cs="Arial"/>
          <w:sz w:val="22"/>
          <w:szCs w:val="22"/>
        </w:rPr>
        <w:t>HSE</w:t>
      </w:r>
      <w:r w:rsidRPr="006047D5">
        <w:rPr>
          <w:rFonts w:cs="Arial"/>
          <w:sz w:val="22"/>
          <w:szCs w:val="22"/>
        </w:rPr>
        <w:t xml:space="preserve"> of any terms of this Deed, or of any Guaranteed Obligations, shall only be effective if given in writing and then only for the purpose and upon the terms and conditions, if any, on which it is given.</w:t>
      </w:r>
    </w:p>
    <w:p w14:paraId="45D98D29" w14:textId="77777777" w:rsidR="006047D5" w:rsidRPr="006047D5" w:rsidRDefault="006047D5" w:rsidP="004E2262">
      <w:pPr>
        <w:pStyle w:val="ScheduleText1"/>
        <w:numPr>
          <w:ilvl w:val="0"/>
          <w:numId w:val="83"/>
        </w:numPr>
        <w:rPr>
          <w:rFonts w:cs="Arial"/>
          <w:sz w:val="22"/>
          <w:szCs w:val="22"/>
        </w:rPr>
      </w:pPr>
      <w:r w:rsidRPr="006047D5">
        <w:rPr>
          <w:rFonts w:cs="Arial"/>
          <w:sz w:val="22"/>
          <w:szCs w:val="22"/>
        </w:rPr>
        <w:t>SEVERANCE</w:t>
      </w:r>
    </w:p>
    <w:p w14:paraId="460948AB" w14:textId="77777777" w:rsidR="006047D5" w:rsidRPr="006047D5" w:rsidRDefault="006047D5" w:rsidP="004E2262">
      <w:pPr>
        <w:pStyle w:val="ScheduleText2"/>
        <w:numPr>
          <w:ilvl w:val="1"/>
          <w:numId w:val="83"/>
        </w:numPr>
        <w:rPr>
          <w:rFonts w:cs="Arial"/>
          <w:sz w:val="22"/>
          <w:szCs w:val="22"/>
        </w:rPr>
      </w:pPr>
      <w:r w:rsidRPr="006047D5">
        <w:rPr>
          <w:rFonts w:cs="Arial"/>
          <w:sz w:val="22"/>
          <w:szCs w:val="22"/>
        </w:rPr>
        <w:t>If any provision or part-provision of this Deed is or becomes invalid, illegal or unenforceable for any reason, such provision or part-provision shall be deemed deleted, but that shall not affect the validity and enforceability of the rest of this Deed.</w:t>
      </w:r>
    </w:p>
    <w:p w14:paraId="6D359BBD" w14:textId="77777777" w:rsidR="006047D5" w:rsidRPr="006047D5" w:rsidRDefault="006047D5" w:rsidP="004E2262">
      <w:pPr>
        <w:pStyle w:val="ScheduleText1"/>
        <w:numPr>
          <w:ilvl w:val="0"/>
          <w:numId w:val="83"/>
        </w:numPr>
        <w:rPr>
          <w:rFonts w:cs="Arial"/>
          <w:sz w:val="22"/>
          <w:szCs w:val="22"/>
        </w:rPr>
      </w:pPr>
      <w:r w:rsidRPr="006047D5">
        <w:rPr>
          <w:rFonts w:cs="Arial"/>
          <w:sz w:val="22"/>
          <w:szCs w:val="22"/>
        </w:rPr>
        <w:t>THIRD PARTY RIGHTS</w:t>
      </w:r>
    </w:p>
    <w:p w14:paraId="3CA496C6" w14:textId="77777777" w:rsidR="006047D5" w:rsidRPr="006047D5" w:rsidRDefault="006047D5" w:rsidP="004E2262">
      <w:pPr>
        <w:pStyle w:val="ScheduleText2"/>
        <w:numPr>
          <w:ilvl w:val="1"/>
          <w:numId w:val="83"/>
        </w:numPr>
        <w:rPr>
          <w:rFonts w:cs="Arial"/>
          <w:sz w:val="22"/>
          <w:szCs w:val="22"/>
        </w:rPr>
      </w:pPr>
      <w:r w:rsidRPr="006047D5">
        <w:rPr>
          <w:rFonts w:cs="Arial"/>
          <w:sz w:val="22"/>
          <w:szCs w:val="22"/>
        </w:rPr>
        <w:t>A person who is not a Party to this Deed shall have no right under the Contracts (Rights of Third Parties) Act 1999 (as amended, updated or replaced from time to time) to enforce any of its terms but this does not affect any third party right which exists or is available independently of that Act.</w:t>
      </w:r>
    </w:p>
    <w:p w14:paraId="1139002D" w14:textId="77777777" w:rsidR="006047D5" w:rsidRPr="006047D5" w:rsidRDefault="006047D5" w:rsidP="004E2262">
      <w:pPr>
        <w:pStyle w:val="ScheduleText1"/>
        <w:keepNext/>
        <w:numPr>
          <w:ilvl w:val="0"/>
          <w:numId w:val="83"/>
        </w:numPr>
        <w:rPr>
          <w:rFonts w:cs="Arial"/>
          <w:sz w:val="22"/>
          <w:szCs w:val="22"/>
        </w:rPr>
      </w:pPr>
      <w:bookmarkStart w:id="3189" w:name="_Ref_ContractCompanion_9kb9Us555"/>
      <w:bookmarkStart w:id="3190" w:name="_9kR3WTrAG999BeJfifw5q7HTcPf6MDAKCDCB6IJ"/>
      <w:r w:rsidRPr="006047D5">
        <w:rPr>
          <w:rFonts w:cs="Arial"/>
          <w:sz w:val="22"/>
          <w:szCs w:val="22"/>
        </w:rPr>
        <w:lastRenderedPageBreak/>
        <w:t>GOVERNING LAW AND JURISDICTION</w:t>
      </w:r>
      <w:bookmarkEnd w:id="3189"/>
      <w:bookmarkEnd w:id="3190"/>
    </w:p>
    <w:p w14:paraId="52C87472" w14:textId="77777777" w:rsidR="006047D5" w:rsidRPr="006047D5" w:rsidRDefault="006047D5" w:rsidP="004E2262">
      <w:pPr>
        <w:pStyle w:val="ScheduleText2"/>
        <w:numPr>
          <w:ilvl w:val="1"/>
          <w:numId w:val="83"/>
        </w:numPr>
        <w:rPr>
          <w:rFonts w:cs="Arial"/>
          <w:sz w:val="22"/>
          <w:szCs w:val="22"/>
        </w:rPr>
      </w:pPr>
      <w:r w:rsidRPr="006047D5">
        <w:rPr>
          <w:rFonts w:cs="Arial"/>
          <w:sz w:val="22"/>
          <w:szCs w:val="22"/>
        </w:rPr>
        <w:t>This Deed and any issues, disputes or claims (whether contractual or non-contractual) arising out of or in connection with it or its subject matter or formation shall be governed by and construed in accordance with the laws of England and Wales.</w:t>
      </w:r>
    </w:p>
    <w:p w14:paraId="6F2818CC" w14:textId="6E4FD15E" w:rsidR="006047D5" w:rsidRPr="006047D5" w:rsidRDefault="006047D5" w:rsidP="004E2262">
      <w:pPr>
        <w:pStyle w:val="ScheduleText2"/>
        <w:numPr>
          <w:ilvl w:val="1"/>
          <w:numId w:val="83"/>
        </w:numPr>
        <w:rPr>
          <w:rFonts w:cs="Arial"/>
          <w:sz w:val="22"/>
          <w:szCs w:val="22"/>
        </w:rPr>
      </w:pPr>
      <w:bookmarkStart w:id="3191" w:name="_Ref_ContractCompanion_9kb9Ut39I"/>
      <w:bookmarkStart w:id="3192" w:name="_9kR3WTrAGA7EF9EGfSkKVwuvsCED89J7CN5ss4S"/>
      <w:r w:rsidRPr="006047D5">
        <w:rPr>
          <w:rFonts w:cs="Arial"/>
          <w:sz w:val="22"/>
          <w:szCs w:val="22"/>
        </w:rPr>
        <w:t xml:space="preserve">The Guarantor irrevocably agrees for the benefit of </w:t>
      </w:r>
      <w:r>
        <w:rPr>
          <w:rFonts w:cs="Arial"/>
          <w:sz w:val="22"/>
          <w:szCs w:val="22"/>
        </w:rPr>
        <w:t>HSE</w:t>
      </w:r>
      <w:r w:rsidRPr="006047D5">
        <w:rPr>
          <w:rFonts w:cs="Arial"/>
          <w:sz w:val="22"/>
          <w:szCs w:val="22"/>
        </w:rPr>
        <w:t xml:space="preserve"> that the courts of England shall have jurisdiction to settle any dispute or claim (whether contractual or non-contractual) that arises out of or in connection with this Deed or its subject matter or formation.</w:t>
      </w:r>
      <w:bookmarkEnd w:id="3191"/>
      <w:bookmarkEnd w:id="3192"/>
    </w:p>
    <w:p w14:paraId="704C2CB6" w14:textId="69E73B58" w:rsidR="006047D5" w:rsidRPr="006047D5" w:rsidRDefault="006047D5" w:rsidP="004E2262">
      <w:pPr>
        <w:pStyle w:val="ScheduleText2"/>
        <w:numPr>
          <w:ilvl w:val="1"/>
          <w:numId w:val="83"/>
        </w:numPr>
        <w:rPr>
          <w:rFonts w:cs="Arial"/>
          <w:sz w:val="22"/>
          <w:szCs w:val="22"/>
        </w:rPr>
      </w:pPr>
      <w:r w:rsidRPr="006047D5">
        <w:rPr>
          <w:rFonts w:cs="Arial"/>
          <w:sz w:val="22"/>
          <w:szCs w:val="22"/>
        </w:rPr>
        <w:t xml:space="preserve">Nothing contained in </w:t>
      </w:r>
      <w:bookmarkStart w:id="3193" w:name="_9kMHG5YVtCIC9GHBGIhUmMXywxuEGFABL9EP7uu"/>
      <w:r w:rsidRPr="006047D5">
        <w:rPr>
          <w:rFonts w:cs="Arial"/>
          <w:sz w:val="22"/>
          <w:szCs w:val="22"/>
        </w:rPr>
        <w:t xml:space="preserve">Clause </w:t>
      </w:r>
      <w:r w:rsidRPr="006047D5">
        <w:rPr>
          <w:rFonts w:cs="Arial"/>
          <w:sz w:val="22"/>
          <w:szCs w:val="22"/>
        </w:rPr>
        <w:fldChar w:fldCharType="begin"/>
      </w:r>
      <w:r w:rsidRPr="006047D5">
        <w:rPr>
          <w:rFonts w:cs="Arial"/>
          <w:sz w:val="22"/>
          <w:szCs w:val="22"/>
        </w:rPr>
        <w:instrText xml:space="preserve"> REF _Ref_ContractCompanion_9kb9Ut39I \n \h \t \* MERGEFORMAT </w:instrText>
      </w:r>
      <w:r w:rsidRPr="006047D5">
        <w:rPr>
          <w:rFonts w:cs="Arial"/>
          <w:sz w:val="22"/>
          <w:szCs w:val="22"/>
        </w:rPr>
      </w:r>
      <w:r w:rsidRPr="006047D5">
        <w:rPr>
          <w:rFonts w:cs="Arial"/>
          <w:sz w:val="22"/>
          <w:szCs w:val="22"/>
        </w:rPr>
        <w:fldChar w:fldCharType="separate"/>
      </w:r>
      <w:r w:rsidR="00C87D85">
        <w:rPr>
          <w:rFonts w:cs="Arial"/>
          <w:sz w:val="22"/>
          <w:szCs w:val="22"/>
        </w:rPr>
        <w:t>15.2</w:t>
      </w:r>
      <w:r w:rsidRPr="006047D5">
        <w:rPr>
          <w:rFonts w:cs="Arial"/>
          <w:sz w:val="22"/>
          <w:szCs w:val="22"/>
        </w:rPr>
        <w:fldChar w:fldCharType="end"/>
      </w:r>
      <w:bookmarkEnd w:id="3193"/>
      <w:r w:rsidRPr="006047D5">
        <w:rPr>
          <w:rFonts w:cs="Arial"/>
          <w:sz w:val="22"/>
          <w:szCs w:val="22"/>
        </w:rPr>
        <w:t xml:space="preserve"> shall limit the rights of </w:t>
      </w:r>
      <w:r>
        <w:rPr>
          <w:rFonts w:cs="Arial"/>
          <w:sz w:val="22"/>
          <w:szCs w:val="22"/>
        </w:rPr>
        <w:t>HSE</w:t>
      </w:r>
      <w:r w:rsidRPr="006047D5">
        <w:rPr>
          <w:rFonts w:cs="Arial"/>
          <w:sz w:val="22"/>
          <w:szCs w:val="22"/>
        </w:rPr>
        <w:t xml:space="preserve">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355C43D2" w14:textId="77777777" w:rsidR="006047D5" w:rsidRPr="006047D5" w:rsidRDefault="006047D5" w:rsidP="004E2262">
      <w:pPr>
        <w:pStyle w:val="ScheduleText2"/>
        <w:numPr>
          <w:ilvl w:val="1"/>
          <w:numId w:val="83"/>
        </w:numPr>
        <w:rPr>
          <w:rFonts w:cs="Arial"/>
          <w:sz w:val="22"/>
          <w:szCs w:val="22"/>
        </w:rPr>
      </w:pPr>
      <w:r w:rsidRPr="006047D5">
        <w:rPr>
          <w:rFonts w:cs="Arial"/>
          <w:sz w:val="22"/>
          <w:szCs w:val="22"/>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2FA292F3" w14:textId="35D3AF30" w:rsidR="006047D5" w:rsidRPr="006047D5" w:rsidRDefault="006047D5" w:rsidP="004E2262">
      <w:pPr>
        <w:pStyle w:val="ScheduleText2"/>
        <w:numPr>
          <w:ilvl w:val="1"/>
          <w:numId w:val="83"/>
        </w:numPr>
        <w:rPr>
          <w:rFonts w:cs="Arial"/>
          <w:sz w:val="22"/>
          <w:szCs w:val="22"/>
        </w:rPr>
      </w:pPr>
      <w:bookmarkStart w:id="3194" w:name="_9kR3WTrAG8DHA9EJiSkKVwuvsCED89J7CN5ss4S"/>
      <w:r w:rsidRPr="006047D5">
        <w:rPr>
          <w:rFonts w:cs="Arial"/>
          <w:sz w:val="22"/>
          <w:szCs w:val="22"/>
        </w:rPr>
        <w:t>[The Guarantor irrevocably appoints [Insert name of agent]</w:t>
      </w:r>
      <w:bookmarkEnd w:id="3194"/>
      <w:r w:rsidRPr="006047D5">
        <w:rPr>
          <w:rFonts w:cs="Arial"/>
          <w:sz w:val="22"/>
          <w:szCs w:val="22"/>
        </w:rPr>
        <w:t xml:space="preserve"> of [Insert address of agent] as its agent to receive on its behalf in England or Wales service of any proceedings under this </w:t>
      </w:r>
      <w:bookmarkStart w:id="3195" w:name="_9kMHG5YVtCIBBBDgLhkhy7s9JVeRh8OFCMEFED8"/>
      <w:r w:rsidRPr="006047D5">
        <w:rPr>
          <w:rFonts w:cs="Arial"/>
          <w:sz w:val="22"/>
          <w:szCs w:val="22"/>
        </w:rPr>
        <w:t xml:space="preserve">Clause </w:t>
      </w:r>
      <w:r w:rsidRPr="006047D5">
        <w:rPr>
          <w:rFonts w:cs="Arial"/>
          <w:sz w:val="22"/>
          <w:szCs w:val="22"/>
        </w:rPr>
        <w:fldChar w:fldCharType="begin"/>
      </w:r>
      <w:r w:rsidRPr="006047D5">
        <w:rPr>
          <w:rFonts w:cs="Arial"/>
          <w:sz w:val="22"/>
          <w:szCs w:val="22"/>
        </w:rPr>
        <w:instrText xml:space="preserve"> REF _Ref_ContractCompanion_9kb9Us555 \w \n \h \t \* MERGEFORMAT </w:instrText>
      </w:r>
      <w:r w:rsidRPr="006047D5">
        <w:rPr>
          <w:rFonts w:cs="Arial"/>
          <w:sz w:val="22"/>
          <w:szCs w:val="22"/>
        </w:rPr>
      </w:r>
      <w:r w:rsidRPr="006047D5">
        <w:rPr>
          <w:rFonts w:cs="Arial"/>
          <w:sz w:val="22"/>
          <w:szCs w:val="22"/>
        </w:rPr>
        <w:fldChar w:fldCharType="separate"/>
      </w:r>
      <w:r w:rsidR="00C87D85">
        <w:rPr>
          <w:rFonts w:cs="Arial"/>
          <w:sz w:val="22"/>
          <w:szCs w:val="22"/>
        </w:rPr>
        <w:t>15</w:t>
      </w:r>
      <w:r w:rsidRPr="006047D5">
        <w:rPr>
          <w:rFonts w:cs="Arial"/>
          <w:sz w:val="22"/>
          <w:szCs w:val="22"/>
        </w:rPr>
        <w:fldChar w:fldCharType="end"/>
      </w:r>
      <w:bookmarkEnd w:id="3195"/>
      <w:r w:rsidRPr="006047D5">
        <w:rPr>
          <w:rFonts w:cs="Arial"/>
          <w:sz w:val="22"/>
          <w:szCs w:val="22"/>
        </w:rPr>
        <w:t>.  Such service shall be deemed completed on delivery to such agent (whether or not it is forwarded to and received by the Guarantor) and shall be valid until such time as HSE has received prior written notice that such agent has ceased to act as agent.  If for any reason such agent ceases to be able to act as agent or no longer has an address in England or Wales, the Guarantor shall appoint a substitute acceptable to HSE and deliver to HSE the new agent's name and address within England and Wales.]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6047D5" w:rsidRPr="006047D5" w14:paraId="18D3A46B" w14:textId="77777777" w:rsidTr="000E33C7">
        <w:tc>
          <w:tcPr>
            <w:tcW w:w="4531" w:type="dxa"/>
          </w:tcPr>
          <w:p w14:paraId="0AEC4EF2" w14:textId="77777777" w:rsidR="006047D5" w:rsidRPr="006047D5" w:rsidRDefault="006047D5" w:rsidP="000E33C7">
            <w:pPr>
              <w:pStyle w:val="StdBodyText"/>
              <w:keepNext/>
              <w:rPr>
                <w:rFonts w:cs="Arial"/>
                <w:sz w:val="22"/>
                <w:szCs w:val="22"/>
              </w:rPr>
            </w:pPr>
            <w:r w:rsidRPr="006047D5">
              <w:rPr>
                <w:rFonts w:cs="Arial"/>
                <w:sz w:val="22"/>
                <w:szCs w:val="22"/>
              </w:rPr>
              <w:lastRenderedPageBreak/>
              <w:t xml:space="preserve">Executed as a deed by </w:t>
            </w:r>
            <w:r w:rsidRPr="006047D5">
              <w:rPr>
                <w:rFonts w:cs="Arial"/>
                <w:sz w:val="22"/>
                <w:szCs w:val="22"/>
                <w:highlight w:val="yellow"/>
              </w:rPr>
              <w:t xml:space="preserve">[insert the name of the Guarantor] </w:t>
            </w:r>
            <w:r w:rsidRPr="006047D5">
              <w:rPr>
                <w:rFonts w:cs="Arial"/>
                <w:sz w:val="22"/>
                <w:szCs w:val="22"/>
              </w:rPr>
              <w:t xml:space="preserve">acting by </w:t>
            </w:r>
            <w:r w:rsidRPr="006047D5">
              <w:rPr>
                <w:rFonts w:cs="Arial"/>
                <w:sz w:val="22"/>
                <w:szCs w:val="22"/>
                <w:highlight w:val="yellow"/>
              </w:rPr>
              <w:t xml:space="preserve">[insert name of Director] </w:t>
            </w:r>
            <w:r w:rsidRPr="006047D5">
              <w:rPr>
                <w:rFonts w:cs="Arial"/>
                <w:sz w:val="22"/>
                <w:szCs w:val="22"/>
              </w:rPr>
              <w:t>a director, in the presence of a witness:</w:t>
            </w:r>
          </w:p>
          <w:p w14:paraId="269D4526" w14:textId="77777777" w:rsidR="006047D5" w:rsidRPr="006047D5" w:rsidRDefault="006047D5" w:rsidP="000E33C7">
            <w:pPr>
              <w:pStyle w:val="StdBodyText"/>
              <w:keepNext/>
              <w:rPr>
                <w:rFonts w:cs="Arial"/>
                <w:sz w:val="22"/>
                <w:szCs w:val="22"/>
              </w:rPr>
            </w:pPr>
          </w:p>
        </w:tc>
        <w:tc>
          <w:tcPr>
            <w:tcW w:w="4532" w:type="dxa"/>
          </w:tcPr>
          <w:p w14:paraId="7A729539" w14:textId="77777777" w:rsidR="006047D5" w:rsidRPr="006047D5" w:rsidRDefault="006047D5" w:rsidP="000E33C7">
            <w:pPr>
              <w:pStyle w:val="StdBodyText"/>
              <w:keepNext/>
              <w:rPr>
                <w:rFonts w:cs="Arial"/>
                <w:sz w:val="22"/>
                <w:szCs w:val="22"/>
              </w:rPr>
            </w:pPr>
          </w:p>
        </w:tc>
      </w:tr>
      <w:tr w:rsidR="006047D5" w:rsidRPr="006047D5" w14:paraId="23CF625E" w14:textId="77777777" w:rsidTr="000E33C7">
        <w:tc>
          <w:tcPr>
            <w:tcW w:w="4531" w:type="dxa"/>
          </w:tcPr>
          <w:p w14:paraId="0A576854" w14:textId="77777777" w:rsidR="006047D5" w:rsidRPr="006047D5" w:rsidRDefault="006047D5" w:rsidP="000E33C7">
            <w:pPr>
              <w:pStyle w:val="StdBodyText"/>
              <w:keepNext/>
              <w:rPr>
                <w:rFonts w:cs="Arial"/>
                <w:sz w:val="22"/>
                <w:szCs w:val="22"/>
              </w:rPr>
            </w:pPr>
            <w:r w:rsidRPr="006047D5">
              <w:rPr>
                <w:rFonts w:cs="Arial"/>
                <w:sz w:val="22"/>
                <w:szCs w:val="22"/>
              </w:rPr>
              <w:t>…………………………………………….</w:t>
            </w:r>
            <w:r w:rsidRPr="006047D5">
              <w:rPr>
                <w:rFonts w:cs="Arial"/>
                <w:sz w:val="22"/>
                <w:szCs w:val="22"/>
              </w:rPr>
              <w:br/>
            </w:r>
            <w:r w:rsidRPr="006047D5">
              <w:rPr>
                <w:rFonts w:cs="Arial"/>
                <w:sz w:val="22"/>
                <w:szCs w:val="22"/>
                <w:highlight w:val="yellow"/>
              </w:rPr>
              <w:t>[Signature of Witness]</w:t>
            </w:r>
          </w:p>
        </w:tc>
        <w:tc>
          <w:tcPr>
            <w:tcW w:w="4532" w:type="dxa"/>
          </w:tcPr>
          <w:p w14:paraId="564A0E9E" w14:textId="77777777" w:rsidR="006047D5" w:rsidRPr="006047D5" w:rsidRDefault="006047D5" w:rsidP="000E33C7">
            <w:pPr>
              <w:pStyle w:val="StdBodyText"/>
              <w:keepNext/>
              <w:rPr>
                <w:rFonts w:cs="Arial"/>
                <w:sz w:val="22"/>
                <w:szCs w:val="22"/>
              </w:rPr>
            </w:pPr>
            <w:r w:rsidRPr="006047D5">
              <w:rPr>
                <w:rFonts w:cs="Arial"/>
                <w:sz w:val="22"/>
                <w:szCs w:val="22"/>
              </w:rPr>
              <w:t>…………………………………………….</w:t>
            </w:r>
            <w:r w:rsidRPr="006047D5">
              <w:rPr>
                <w:rFonts w:cs="Arial"/>
                <w:sz w:val="22"/>
                <w:szCs w:val="22"/>
              </w:rPr>
              <w:br/>
            </w:r>
            <w:r w:rsidRPr="006047D5">
              <w:rPr>
                <w:rFonts w:cs="Arial"/>
                <w:sz w:val="22"/>
                <w:szCs w:val="22"/>
                <w:highlight w:val="yellow"/>
              </w:rPr>
              <w:t>[Signature of Director]</w:t>
            </w:r>
          </w:p>
          <w:p w14:paraId="721FB4C3" w14:textId="77777777" w:rsidR="006047D5" w:rsidRPr="006047D5" w:rsidRDefault="006047D5" w:rsidP="000E33C7">
            <w:pPr>
              <w:pStyle w:val="StdBodyText"/>
              <w:keepNext/>
              <w:rPr>
                <w:rFonts w:cs="Arial"/>
                <w:sz w:val="22"/>
                <w:szCs w:val="22"/>
              </w:rPr>
            </w:pPr>
          </w:p>
          <w:p w14:paraId="45669639" w14:textId="77777777" w:rsidR="006047D5" w:rsidRPr="006047D5" w:rsidRDefault="006047D5" w:rsidP="000E33C7">
            <w:pPr>
              <w:pStyle w:val="StdBodyText"/>
              <w:keepNext/>
              <w:rPr>
                <w:rFonts w:cs="Arial"/>
                <w:sz w:val="22"/>
                <w:szCs w:val="22"/>
              </w:rPr>
            </w:pPr>
            <w:r w:rsidRPr="006047D5">
              <w:rPr>
                <w:rFonts w:cs="Arial"/>
                <w:sz w:val="22"/>
                <w:szCs w:val="22"/>
              </w:rPr>
              <w:t>Name of Director:</w:t>
            </w:r>
          </w:p>
          <w:p w14:paraId="0B9DEC71" w14:textId="77777777" w:rsidR="006047D5" w:rsidRPr="006047D5" w:rsidRDefault="006047D5" w:rsidP="000E33C7">
            <w:pPr>
              <w:pStyle w:val="StdBodyText"/>
              <w:keepNext/>
              <w:rPr>
                <w:rFonts w:cs="Arial"/>
                <w:sz w:val="22"/>
                <w:szCs w:val="22"/>
              </w:rPr>
            </w:pPr>
            <w:r w:rsidRPr="006047D5">
              <w:rPr>
                <w:rFonts w:cs="Arial"/>
                <w:sz w:val="22"/>
                <w:szCs w:val="22"/>
              </w:rPr>
              <w:br/>
              <w:t>……………………………………………</w:t>
            </w:r>
          </w:p>
          <w:p w14:paraId="44845576" w14:textId="77777777" w:rsidR="006047D5" w:rsidRPr="006047D5" w:rsidRDefault="006047D5" w:rsidP="000E33C7">
            <w:pPr>
              <w:pStyle w:val="StdBodyText"/>
              <w:keepNext/>
              <w:rPr>
                <w:rFonts w:cs="Arial"/>
                <w:sz w:val="22"/>
                <w:szCs w:val="22"/>
              </w:rPr>
            </w:pPr>
          </w:p>
        </w:tc>
      </w:tr>
      <w:tr w:rsidR="006047D5" w:rsidRPr="006047D5" w14:paraId="4FBEFC4E" w14:textId="77777777" w:rsidTr="000E33C7">
        <w:tc>
          <w:tcPr>
            <w:tcW w:w="4531" w:type="dxa"/>
          </w:tcPr>
          <w:p w14:paraId="65FD6319" w14:textId="77777777" w:rsidR="006047D5" w:rsidRPr="006047D5" w:rsidRDefault="006047D5" w:rsidP="000E33C7">
            <w:pPr>
              <w:pStyle w:val="StdBodyText"/>
              <w:keepNext/>
              <w:rPr>
                <w:rFonts w:cs="Arial"/>
                <w:sz w:val="22"/>
                <w:szCs w:val="22"/>
              </w:rPr>
            </w:pPr>
            <w:r w:rsidRPr="006047D5">
              <w:rPr>
                <w:rFonts w:cs="Arial"/>
                <w:sz w:val="22"/>
                <w:szCs w:val="22"/>
              </w:rPr>
              <w:t>Name of Witness:</w:t>
            </w:r>
          </w:p>
          <w:p w14:paraId="44CFA3B4" w14:textId="77777777" w:rsidR="006047D5" w:rsidRPr="006047D5" w:rsidRDefault="006047D5" w:rsidP="000E33C7">
            <w:pPr>
              <w:pStyle w:val="StdBodyText"/>
              <w:keepNext/>
              <w:rPr>
                <w:rFonts w:cs="Arial"/>
                <w:sz w:val="22"/>
                <w:szCs w:val="22"/>
              </w:rPr>
            </w:pPr>
          </w:p>
        </w:tc>
        <w:tc>
          <w:tcPr>
            <w:tcW w:w="4532" w:type="dxa"/>
          </w:tcPr>
          <w:p w14:paraId="6CC80043" w14:textId="77777777" w:rsidR="006047D5" w:rsidRPr="006047D5" w:rsidRDefault="006047D5" w:rsidP="000E33C7">
            <w:pPr>
              <w:pStyle w:val="StdBodyText"/>
              <w:keepNext/>
              <w:rPr>
                <w:rFonts w:cs="Arial"/>
                <w:sz w:val="22"/>
                <w:szCs w:val="22"/>
              </w:rPr>
            </w:pPr>
            <w:r w:rsidRPr="006047D5">
              <w:rPr>
                <w:rFonts w:cs="Arial"/>
                <w:sz w:val="22"/>
                <w:szCs w:val="22"/>
              </w:rPr>
              <w:t>……………………………………………</w:t>
            </w:r>
          </w:p>
        </w:tc>
      </w:tr>
      <w:tr w:rsidR="006047D5" w:rsidRPr="006047D5" w14:paraId="26CF5893" w14:textId="77777777" w:rsidTr="000E33C7">
        <w:tc>
          <w:tcPr>
            <w:tcW w:w="4531" w:type="dxa"/>
          </w:tcPr>
          <w:p w14:paraId="6CE220D0" w14:textId="77777777" w:rsidR="006047D5" w:rsidRPr="006047D5" w:rsidRDefault="006047D5" w:rsidP="000E33C7">
            <w:pPr>
              <w:pStyle w:val="StdBodyText"/>
              <w:keepNext/>
              <w:rPr>
                <w:rFonts w:cs="Arial"/>
                <w:sz w:val="22"/>
                <w:szCs w:val="22"/>
              </w:rPr>
            </w:pPr>
            <w:r w:rsidRPr="006047D5">
              <w:rPr>
                <w:rFonts w:cs="Arial"/>
                <w:sz w:val="22"/>
                <w:szCs w:val="22"/>
              </w:rPr>
              <w:t>Address of Witness:</w:t>
            </w:r>
          </w:p>
          <w:p w14:paraId="3A11BBA8" w14:textId="77777777" w:rsidR="006047D5" w:rsidRPr="006047D5" w:rsidRDefault="006047D5" w:rsidP="000E33C7">
            <w:pPr>
              <w:pStyle w:val="StdBodyText"/>
              <w:keepNext/>
              <w:rPr>
                <w:rFonts w:cs="Arial"/>
                <w:sz w:val="22"/>
                <w:szCs w:val="22"/>
              </w:rPr>
            </w:pPr>
          </w:p>
        </w:tc>
        <w:tc>
          <w:tcPr>
            <w:tcW w:w="4532" w:type="dxa"/>
          </w:tcPr>
          <w:p w14:paraId="5558EBAE" w14:textId="77777777" w:rsidR="006047D5" w:rsidRPr="006047D5" w:rsidRDefault="006047D5" w:rsidP="000E33C7">
            <w:pPr>
              <w:pStyle w:val="StdBodyText"/>
              <w:keepNext/>
              <w:rPr>
                <w:rFonts w:cs="Arial"/>
                <w:sz w:val="22"/>
                <w:szCs w:val="22"/>
              </w:rPr>
            </w:pPr>
            <w:r w:rsidRPr="006047D5">
              <w:rPr>
                <w:rFonts w:cs="Arial"/>
                <w:sz w:val="22"/>
                <w:szCs w:val="22"/>
              </w:rPr>
              <w:t>……………………………………….</w:t>
            </w:r>
          </w:p>
          <w:p w14:paraId="4F564F45" w14:textId="77777777" w:rsidR="006047D5" w:rsidRPr="006047D5" w:rsidRDefault="006047D5" w:rsidP="000E33C7">
            <w:pPr>
              <w:pStyle w:val="StdBodyText"/>
              <w:keepNext/>
              <w:rPr>
                <w:rFonts w:cs="Arial"/>
                <w:sz w:val="22"/>
                <w:szCs w:val="22"/>
              </w:rPr>
            </w:pPr>
          </w:p>
          <w:p w14:paraId="3D2BFAD5" w14:textId="77777777" w:rsidR="006047D5" w:rsidRPr="006047D5" w:rsidRDefault="006047D5" w:rsidP="000E33C7">
            <w:pPr>
              <w:pStyle w:val="StdBodyText"/>
              <w:keepNext/>
              <w:rPr>
                <w:rFonts w:cs="Arial"/>
                <w:sz w:val="22"/>
                <w:szCs w:val="22"/>
              </w:rPr>
            </w:pPr>
            <w:r w:rsidRPr="006047D5">
              <w:rPr>
                <w:rFonts w:cs="Arial"/>
                <w:sz w:val="22"/>
                <w:szCs w:val="22"/>
              </w:rPr>
              <w:t>……………………………………….</w:t>
            </w:r>
          </w:p>
          <w:p w14:paraId="5B42A561" w14:textId="77777777" w:rsidR="006047D5" w:rsidRPr="006047D5" w:rsidRDefault="006047D5" w:rsidP="000E33C7">
            <w:pPr>
              <w:pStyle w:val="StdBodyText"/>
              <w:keepNext/>
              <w:rPr>
                <w:rFonts w:cs="Arial"/>
                <w:sz w:val="22"/>
                <w:szCs w:val="22"/>
              </w:rPr>
            </w:pPr>
          </w:p>
        </w:tc>
      </w:tr>
      <w:tr w:rsidR="006047D5" w:rsidRPr="006047D5" w14:paraId="14484C3C" w14:textId="77777777" w:rsidTr="000E33C7">
        <w:tc>
          <w:tcPr>
            <w:tcW w:w="4531" w:type="dxa"/>
          </w:tcPr>
          <w:p w14:paraId="7B85CD2D" w14:textId="77777777" w:rsidR="006047D5" w:rsidRPr="006047D5" w:rsidRDefault="006047D5" w:rsidP="000E33C7">
            <w:pPr>
              <w:pStyle w:val="StdBodyText"/>
              <w:keepNext/>
              <w:rPr>
                <w:rFonts w:cs="Arial"/>
                <w:sz w:val="22"/>
                <w:szCs w:val="22"/>
              </w:rPr>
            </w:pPr>
            <w:r w:rsidRPr="006047D5">
              <w:rPr>
                <w:rFonts w:cs="Arial"/>
                <w:sz w:val="22"/>
                <w:szCs w:val="22"/>
              </w:rPr>
              <w:t>Occupation of Witness:</w:t>
            </w:r>
          </w:p>
        </w:tc>
        <w:tc>
          <w:tcPr>
            <w:tcW w:w="4532" w:type="dxa"/>
          </w:tcPr>
          <w:p w14:paraId="571D2604" w14:textId="77777777" w:rsidR="006047D5" w:rsidRPr="006047D5" w:rsidRDefault="006047D5" w:rsidP="000E33C7">
            <w:pPr>
              <w:pStyle w:val="StdBodyText"/>
              <w:keepNext/>
              <w:rPr>
                <w:rFonts w:cs="Arial"/>
                <w:sz w:val="22"/>
                <w:szCs w:val="22"/>
              </w:rPr>
            </w:pPr>
            <w:r w:rsidRPr="006047D5">
              <w:rPr>
                <w:rFonts w:cs="Arial"/>
                <w:sz w:val="22"/>
                <w:szCs w:val="22"/>
              </w:rPr>
              <w:t>……………………………………….</w:t>
            </w:r>
          </w:p>
        </w:tc>
      </w:tr>
    </w:tbl>
    <w:p w14:paraId="20C50888" w14:textId="77777777" w:rsidR="006047D5" w:rsidRDefault="006047D5" w:rsidP="008E344E">
      <w:pPr>
        <w:tabs>
          <w:tab w:val="left" w:pos="-144"/>
          <w:tab w:val="left" w:pos="1008"/>
          <w:tab w:val="left" w:pos="2160"/>
          <w:tab w:val="left" w:pos="3060"/>
          <w:tab w:val="left" w:pos="4464"/>
          <w:tab w:val="left" w:pos="5616"/>
          <w:tab w:val="left" w:pos="6768"/>
          <w:tab w:val="left" w:pos="7920"/>
          <w:tab w:val="left" w:pos="9072"/>
          <w:tab w:val="left" w:pos="10224"/>
        </w:tabs>
        <w:suppressAutoHyphens/>
        <w:rPr>
          <w:rFonts w:cs="Arial"/>
          <w:b/>
          <w:bCs/>
        </w:rPr>
      </w:pPr>
    </w:p>
    <w:p w14:paraId="3D0C86F8" w14:textId="77777777" w:rsidR="006047D5" w:rsidRDefault="006047D5" w:rsidP="008E344E">
      <w:pPr>
        <w:tabs>
          <w:tab w:val="left" w:pos="-144"/>
          <w:tab w:val="left" w:pos="1008"/>
          <w:tab w:val="left" w:pos="2160"/>
          <w:tab w:val="left" w:pos="3060"/>
          <w:tab w:val="left" w:pos="4464"/>
          <w:tab w:val="left" w:pos="5616"/>
          <w:tab w:val="left" w:pos="6768"/>
          <w:tab w:val="left" w:pos="7920"/>
          <w:tab w:val="left" w:pos="9072"/>
          <w:tab w:val="left" w:pos="10224"/>
        </w:tabs>
        <w:suppressAutoHyphens/>
        <w:rPr>
          <w:rFonts w:cs="Arial"/>
          <w:b/>
          <w:bCs/>
        </w:rPr>
      </w:pPr>
    </w:p>
    <w:p w14:paraId="62391560" w14:textId="77777777" w:rsidR="009D61DA" w:rsidRPr="001A1836" w:rsidRDefault="009D61DA" w:rsidP="009D61DA">
      <w:pPr>
        <w:ind w:firstLine="720"/>
      </w:pPr>
    </w:p>
    <w:p w14:paraId="2EDBE20D" w14:textId="77777777" w:rsidR="009D61DA" w:rsidRPr="001A1836" w:rsidRDefault="009D61DA" w:rsidP="008E344E">
      <w:pPr>
        <w:ind w:left="720"/>
        <w:rPr>
          <w:rFonts w:cs="Arial"/>
        </w:rPr>
      </w:pPr>
    </w:p>
    <w:p w14:paraId="1533D4FE" w14:textId="77777777" w:rsidR="009D61DA" w:rsidRPr="001A1836" w:rsidRDefault="009D61DA" w:rsidP="008E344E">
      <w:pPr>
        <w:ind w:left="720"/>
        <w:rPr>
          <w:rFonts w:cs="Arial"/>
        </w:rPr>
      </w:pPr>
    </w:p>
    <w:p w14:paraId="650F26B7" w14:textId="3512418F" w:rsidR="008E344E" w:rsidRPr="001A1836" w:rsidRDefault="008E344E" w:rsidP="00CF1BDA"/>
    <w:p w14:paraId="1869D31C" w14:textId="77777777" w:rsidR="00CF1BDA" w:rsidRPr="001A1836" w:rsidRDefault="00CF1BDA" w:rsidP="00CF1BDA"/>
    <w:bookmarkEnd w:id="3128"/>
    <w:p w14:paraId="396A639A" w14:textId="77777777" w:rsidR="008E344E" w:rsidRPr="001A1836" w:rsidRDefault="008E344E" w:rsidP="00CF1BDA"/>
    <w:p w14:paraId="417BCF94" w14:textId="77777777" w:rsidR="008E344E" w:rsidRPr="001A1836" w:rsidRDefault="008E344E" w:rsidP="00CF1BDA"/>
    <w:p w14:paraId="45D7494A" w14:textId="77777777" w:rsidR="008E344E" w:rsidRPr="001A1836" w:rsidRDefault="008E344E" w:rsidP="00CF1BDA"/>
    <w:p w14:paraId="6F2384A1" w14:textId="77777777" w:rsidR="008E344E" w:rsidRPr="001A1836" w:rsidRDefault="008E344E" w:rsidP="00CF1BDA"/>
    <w:p w14:paraId="40A41225" w14:textId="77777777" w:rsidR="008E344E" w:rsidRPr="001A1836" w:rsidRDefault="008E344E" w:rsidP="00CF1BDA"/>
    <w:p w14:paraId="09256E05" w14:textId="77777777" w:rsidR="00394111" w:rsidRPr="001A1836" w:rsidRDefault="00394111" w:rsidP="00CF1BDA">
      <w:pPr>
        <w:pStyle w:val="GSRL1Scheduleheader"/>
        <w:sectPr w:rsidR="00394111" w:rsidRPr="001A1836" w:rsidSect="00F87B8D">
          <w:footerReference w:type="default" r:id="rId41"/>
          <w:pgSz w:w="11900" w:h="16840"/>
          <w:pgMar w:top="1134" w:right="1440" w:bottom="1440" w:left="1440" w:header="1077" w:footer="833" w:gutter="0"/>
          <w:cols w:space="708"/>
        </w:sectPr>
      </w:pPr>
    </w:p>
    <w:p w14:paraId="7158E071" w14:textId="134996A8" w:rsidR="008E344E" w:rsidRPr="001A1836" w:rsidRDefault="008E344E" w:rsidP="00CF1BDA">
      <w:pPr>
        <w:pStyle w:val="GSRL1Scheduleheader"/>
      </w:pPr>
      <w:bookmarkStart w:id="3196" w:name="_Toc129038342"/>
      <w:bookmarkStart w:id="3197" w:name="_Toc129038628"/>
      <w:bookmarkStart w:id="3198" w:name="_Toc132268212"/>
      <w:bookmarkStart w:id="3199" w:name="_Toc132268518"/>
      <w:bookmarkStart w:id="3200" w:name="_Toc136198753"/>
      <w:bookmarkStart w:id="3201" w:name="_Toc136199034"/>
      <w:bookmarkStart w:id="3202" w:name="_Toc188885264"/>
      <w:r w:rsidRPr="001A1836">
        <w:lastRenderedPageBreak/>
        <w:t xml:space="preserve">SCHEDULE 18: </w:t>
      </w:r>
      <w:r w:rsidR="0049305D" w:rsidRPr="001A1836">
        <w:t>Assets</w:t>
      </w:r>
      <w:bookmarkEnd w:id="3196"/>
      <w:bookmarkEnd w:id="3197"/>
      <w:bookmarkEnd w:id="3198"/>
      <w:bookmarkEnd w:id="3199"/>
      <w:bookmarkEnd w:id="3200"/>
      <w:bookmarkEnd w:id="3201"/>
      <w:bookmarkEnd w:id="3202"/>
    </w:p>
    <w:p w14:paraId="79A7486E" w14:textId="77777777" w:rsidR="008E344E" w:rsidRPr="001A1836" w:rsidRDefault="008E344E" w:rsidP="00CF1BDA"/>
    <w:p w14:paraId="2192AE0E" w14:textId="77777777" w:rsidR="008E344E" w:rsidRPr="001A1836" w:rsidRDefault="008E344E" w:rsidP="00CF1BDA"/>
    <w:p w14:paraId="78584645" w14:textId="183366CB" w:rsidR="0063470D" w:rsidRPr="001A1836" w:rsidRDefault="0063470D">
      <w:pPr>
        <w:spacing w:before="0" w:after="0"/>
        <w:rPr>
          <w:rFonts w:eastAsia="STZhongsong" w:cs="Arial"/>
          <w:b/>
          <w:caps/>
          <w:kern w:val="0"/>
          <w:sz w:val="24"/>
          <w:szCs w:val="22"/>
          <w:lang w:eastAsia="zh-CN"/>
        </w:rPr>
      </w:pPr>
      <w:bookmarkStart w:id="3203" w:name="_Toc508960173"/>
      <w:bookmarkStart w:id="3204" w:name="_Toc521327187"/>
      <w:bookmarkStart w:id="3205" w:name="_Toc521333420"/>
      <w:bookmarkStart w:id="3206" w:name="_Toc521484151"/>
      <w:bookmarkStart w:id="3207" w:name="_Toc521484914"/>
      <w:bookmarkStart w:id="3208" w:name="_Toc521485245"/>
      <w:r w:rsidRPr="001A1836">
        <w:br w:type="page"/>
      </w:r>
    </w:p>
    <w:p w14:paraId="257E1E60" w14:textId="2DBAF511" w:rsidR="008E344E" w:rsidRPr="001A1836" w:rsidRDefault="008E344E" w:rsidP="0063470D">
      <w:pPr>
        <w:pStyle w:val="GSRL2Sectionheading"/>
      </w:pPr>
      <w:bookmarkStart w:id="3209" w:name="_Toc521496982"/>
      <w:bookmarkStart w:id="3210" w:name="_Toc521498424"/>
      <w:bookmarkStart w:id="3211" w:name="_Toc529346117"/>
      <w:bookmarkStart w:id="3212" w:name="_Toc129038344"/>
      <w:bookmarkStart w:id="3213" w:name="_Toc129038630"/>
      <w:bookmarkStart w:id="3214" w:name="_Toc132268214"/>
      <w:bookmarkStart w:id="3215" w:name="_Toc132268520"/>
      <w:bookmarkStart w:id="3216" w:name="_Toc136198755"/>
      <w:bookmarkStart w:id="3217" w:name="_Toc136199036"/>
      <w:bookmarkStart w:id="3218" w:name="Schedule18"/>
      <w:r w:rsidRPr="001A1836">
        <w:lastRenderedPageBreak/>
        <w:t>Purpose</w:t>
      </w:r>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p>
    <w:p w14:paraId="726009C3" w14:textId="77777777" w:rsidR="008E344E" w:rsidRPr="001A1836" w:rsidRDefault="008E344E">
      <w:pPr>
        <w:pStyle w:val="GSRL3heading"/>
      </w:pPr>
      <w:bookmarkStart w:id="3219" w:name="_Toc508960174"/>
      <w:bookmarkStart w:id="3220" w:name="_Toc521327188"/>
      <w:bookmarkStart w:id="3221" w:name="_Toc521333421"/>
      <w:bookmarkStart w:id="3222" w:name="_Toc521484152"/>
      <w:bookmarkStart w:id="3223" w:name="_Toc521484915"/>
      <w:bookmarkStart w:id="3224" w:name="_Toc521485246"/>
      <w:bookmarkStart w:id="3225" w:name="_Toc521496983"/>
      <w:bookmarkStart w:id="3226" w:name="_Toc521498425"/>
      <w:bookmarkStart w:id="3227" w:name="_Toc529346118"/>
      <w:bookmarkStart w:id="3228" w:name="_Toc129038345"/>
      <w:bookmarkStart w:id="3229" w:name="_Toc129038631"/>
      <w:bookmarkStart w:id="3230" w:name="_Toc132268215"/>
      <w:bookmarkStart w:id="3231" w:name="_Toc132268521"/>
      <w:bookmarkStart w:id="3232" w:name="_Toc136198756"/>
      <w:bookmarkStart w:id="3233" w:name="_Toc136199037"/>
      <w:r w:rsidRPr="001A1836">
        <w:t>Purpose and effect</w:t>
      </w:r>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p>
    <w:p w14:paraId="69636337" w14:textId="768260E5" w:rsidR="008E344E" w:rsidRPr="001A1836" w:rsidRDefault="008E344E">
      <w:pPr>
        <w:pStyle w:val="GSRL4numberedclause"/>
      </w:pPr>
      <w:r w:rsidRPr="001A1836">
        <w:t xml:space="preserve">The tables in Annex 1 to this Schedule 18 list the assets which are (or at the Services Start Date will be) owned by HSE (including the HSE Data and the HSE </w:t>
      </w:r>
      <w:r w:rsidR="000E33C7">
        <w:t>Existing</w:t>
      </w:r>
      <w:r w:rsidR="000E33C7" w:rsidRPr="001A1836">
        <w:t xml:space="preserve"> </w:t>
      </w:r>
      <w:r w:rsidRPr="001A1836">
        <w:t xml:space="preserve">IPR). </w:t>
      </w:r>
    </w:p>
    <w:p w14:paraId="24E22C0B" w14:textId="157A8551" w:rsidR="008E344E" w:rsidRPr="001A1836" w:rsidRDefault="008E344E">
      <w:pPr>
        <w:pStyle w:val="GSRL4numberedclause"/>
      </w:pPr>
      <w:r w:rsidRPr="001A1836">
        <w:t xml:space="preserve">The Provider shall maintain up-to-date lists of the </w:t>
      </w:r>
      <w:r w:rsidR="006047D5">
        <w:t>a</w:t>
      </w:r>
      <w:r w:rsidRPr="001A1836">
        <w:t>ssets contained in this Schedule and any update shall be incorporated in this Schedule through the Change Control Procedure.</w:t>
      </w:r>
    </w:p>
    <w:p w14:paraId="13C06D87" w14:textId="77777777" w:rsidR="008E344E" w:rsidRPr="001A1836" w:rsidRDefault="008E344E">
      <w:pPr>
        <w:rPr>
          <w:rFonts w:ascii="Arial Bold" w:eastAsiaTheme="majorEastAsia" w:hAnsi="Arial Bold" w:cs="Arial"/>
          <w:b/>
          <w:bCs/>
          <w:caps/>
          <w:kern w:val="32"/>
          <w:szCs w:val="32"/>
        </w:rPr>
      </w:pPr>
      <w:r w:rsidRPr="001A1836">
        <w:br w:type="page"/>
      </w:r>
    </w:p>
    <w:p w14:paraId="58368B1D" w14:textId="610890A4" w:rsidR="008E344E" w:rsidRPr="001A1836" w:rsidRDefault="008E344E" w:rsidP="001B6EBC">
      <w:pPr>
        <w:pStyle w:val="GSRL2Sectionheading"/>
        <w:tabs>
          <w:tab w:val="clear" w:pos="1656"/>
        </w:tabs>
      </w:pPr>
      <w:bookmarkStart w:id="3234" w:name="_Toc508960175"/>
      <w:bookmarkStart w:id="3235" w:name="_Toc521327189"/>
      <w:bookmarkStart w:id="3236" w:name="_Toc521333422"/>
      <w:bookmarkStart w:id="3237" w:name="_Toc521484153"/>
      <w:bookmarkStart w:id="3238" w:name="_Toc521484916"/>
      <w:bookmarkStart w:id="3239" w:name="_Toc521485247"/>
      <w:bookmarkStart w:id="3240" w:name="_Toc521496984"/>
      <w:bookmarkStart w:id="3241" w:name="_Toc521498426"/>
      <w:bookmarkStart w:id="3242" w:name="_Toc529346119"/>
      <w:bookmarkStart w:id="3243" w:name="_Toc129038346"/>
      <w:bookmarkStart w:id="3244" w:name="_Toc129038632"/>
      <w:bookmarkStart w:id="3245" w:name="_Toc132268216"/>
      <w:bookmarkStart w:id="3246" w:name="_Toc132268522"/>
      <w:bookmarkStart w:id="3247" w:name="_Toc136198757"/>
      <w:bookmarkStart w:id="3248" w:name="_Toc136199038"/>
      <w:r w:rsidRPr="001A1836">
        <w:lastRenderedPageBreak/>
        <w:t xml:space="preserve">Annex 1 </w:t>
      </w:r>
      <w:r w:rsidR="0049305D" w:rsidRPr="001A1836">
        <w:t xml:space="preserve">– </w:t>
      </w:r>
      <w:r w:rsidRPr="001A1836">
        <w:t>Assets</w:t>
      </w:r>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p>
    <w:p w14:paraId="3F83C4C8" w14:textId="7A01FDFE" w:rsidR="008E344E" w:rsidRPr="001A1836" w:rsidRDefault="008E344E" w:rsidP="008E344E"/>
    <w:p w14:paraId="3D21000D" w14:textId="2765C7AA" w:rsidR="008E344E" w:rsidRDefault="008E344E" w:rsidP="008E344E">
      <w:pPr>
        <w:rPr>
          <w:b/>
        </w:rPr>
      </w:pPr>
      <w:r w:rsidRPr="001A1836">
        <w:rPr>
          <w:b/>
        </w:rPr>
        <w:t xml:space="preserve">Table 1 </w:t>
      </w:r>
    </w:p>
    <w:p w14:paraId="360BD2EE" w14:textId="77777777" w:rsidR="008E344E" w:rsidRPr="001A1836" w:rsidRDefault="008E344E" w:rsidP="008E344E"/>
    <w:tbl>
      <w:tblPr>
        <w:tblStyle w:val="TableGrid"/>
        <w:tblW w:w="0" w:type="auto"/>
        <w:tblLook w:val="04A0" w:firstRow="1" w:lastRow="0" w:firstColumn="1" w:lastColumn="0" w:noHBand="0" w:noVBand="1"/>
      </w:tblPr>
      <w:tblGrid>
        <w:gridCol w:w="959"/>
        <w:gridCol w:w="2835"/>
        <w:gridCol w:w="4734"/>
      </w:tblGrid>
      <w:tr w:rsidR="008E344E" w:rsidRPr="001A1836" w14:paraId="0CB1825F" w14:textId="77777777" w:rsidTr="008E344E">
        <w:trPr>
          <w:cantSplit/>
          <w:tblHeader/>
        </w:trPr>
        <w:tc>
          <w:tcPr>
            <w:tcW w:w="959" w:type="dxa"/>
          </w:tcPr>
          <w:p w14:paraId="7EA7D6FD" w14:textId="77777777" w:rsidR="008E344E" w:rsidRPr="001A1836" w:rsidRDefault="008E344E" w:rsidP="008E344E">
            <w:pPr>
              <w:rPr>
                <w:b/>
              </w:rPr>
            </w:pPr>
            <w:r w:rsidRPr="001A1836">
              <w:rPr>
                <w:b/>
              </w:rPr>
              <w:t>Ref</w:t>
            </w:r>
          </w:p>
        </w:tc>
        <w:tc>
          <w:tcPr>
            <w:tcW w:w="2835" w:type="dxa"/>
          </w:tcPr>
          <w:p w14:paraId="07EFA2A5" w14:textId="77777777" w:rsidR="008E344E" w:rsidRPr="001A1836" w:rsidRDefault="008E344E" w:rsidP="008E344E">
            <w:pPr>
              <w:rPr>
                <w:b/>
              </w:rPr>
            </w:pPr>
            <w:r w:rsidRPr="001A1836">
              <w:rPr>
                <w:b/>
              </w:rPr>
              <w:t>Asset</w:t>
            </w:r>
          </w:p>
        </w:tc>
        <w:tc>
          <w:tcPr>
            <w:tcW w:w="4734" w:type="dxa"/>
          </w:tcPr>
          <w:p w14:paraId="0F3F5BCD" w14:textId="77777777" w:rsidR="008E344E" w:rsidRPr="001A1836" w:rsidRDefault="008E344E" w:rsidP="008E344E">
            <w:pPr>
              <w:rPr>
                <w:b/>
              </w:rPr>
            </w:pPr>
            <w:r w:rsidRPr="001A1836">
              <w:rPr>
                <w:b/>
              </w:rPr>
              <w:t>Description</w:t>
            </w:r>
          </w:p>
        </w:tc>
      </w:tr>
      <w:tr w:rsidR="008E344E" w:rsidRPr="001A1836" w14:paraId="747B6FD7" w14:textId="77777777" w:rsidTr="001B6EBC">
        <w:trPr>
          <w:cantSplit/>
        </w:trPr>
        <w:tc>
          <w:tcPr>
            <w:tcW w:w="8528" w:type="dxa"/>
            <w:gridSpan w:val="3"/>
          </w:tcPr>
          <w:p w14:paraId="10E32126" w14:textId="77777777" w:rsidR="008E344E" w:rsidRPr="001A1836" w:rsidRDefault="008E344E" w:rsidP="008E344E">
            <w:pPr>
              <w:rPr>
                <w:b/>
              </w:rPr>
            </w:pPr>
            <w:r w:rsidRPr="001A1836">
              <w:rPr>
                <w:b/>
              </w:rPr>
              <w:t>1 Registration IPRs: data relating to Gas Safe registration</w:t>
            </w:r>
          </w:p>
        </w:tc>
      </w:tr>
      <w:tr w:rsidR="008E344E" w:rsidRPr="001A1836" w14:paraId="28993329" w14:textId="77777777" w:rsidTr="008E344E">
        <w:trPr>
          <w:cantSplit/>
        </w:trPr>
        <w:tc>
          <w:tcPr>
            <w:tcW w:w="959" w:type="dxa"/>
          </w:tcPr>
          <w:p w14:paraId="3E7E7E6C" w14:textId="77777777" w:rsidR="008E344E" w:rsidRPr="001A1836" w:rsidRDefault="008E344E" w:rsidP="008E344E">
            <w:r w:rsidRPr="001A1836">
              <w:t>1.1</w:t>
            </w:r>
          </w:p>
        </w:tc>
        <w:tc>
          <w:tcPr>
            <w:tcW w:w="2835" w:type="dxa"/>
          </w:tcPr>
          <w:p w14:paraId="15C4BDB1" w14:textId="77777777" w:rsidR="008E344E" w:rsidRPr="001A1836" w:rsidRDefault="008E344E" w:rsidP="008E344E">
            <w:r w:rsidRPr="001A1836">
              <w:t>Registration Data</w:t>
            </w:r>
          </w:p>
        </w:tc>
        <w:tc>
          <w:tcPr>
            <w:tcW w:w="4734" w:type="dxa"/>
          </w:tcPr>
          <w:p w14:paraId="37ADFB94" w14:textId="77777777" w:rsidR="008E344E" w:rsidRPr="001A1836" w:rsidRDefault="008E344E" w:rsidP="008E344E">
            <w:r w:rsidRPr="001A1836">
              <w:t>Business and Engineer details, qualifications, suspensions, removals, renewals, registration certificate and licence cards etc</w:t>
            </w:r>
          </w:p>
        </w:tc>
      </w:tr>
      <w:tr w:rsidR="008E344E" w:rsidRPr="001A1836" w14:paraId="625B8D44" w14:textId="77777777" w:rsidTr="008E344E">
        <w:trPr>
          <w:cantSplit/>
        </w:trPr>
        <w:tc>
          <w:tcPr>
            <w:tcW w:w="959" w:type="dxa"/>
          </w:tcPr>
          <w:p w14:paraId="184C6FEF" w14:textId="77777777" w:rsidR="008E344E" w:rsidRPr="001A1836" w:rsidRDefault="008E344E" w:rsidP="008E344E">
            <w:r w:rsidRPr="001A1836">
              <w:t>1.1.1</w:t>
            </w:r>
          </w:p>
        </w:tc>
        <w:tc>
          <w:tcPr>
            <w:tcW w:w="2835" w:type="dxa"/>
          </w:tcPr>
          <w:p w14:paraId="476ED49A" w14:textId="77777777" w:rsidR="008E344E" w:rsidRPr="001A1836" w:rsidRDefault="008E344E" w:rsidP="008E344E">
            <w:r w:rsidRPr="001A1836">
              <w:t>Registration financial history data</w:t>
            </w:r>
          </w:p>
        </w:tc>
        <w:tc>
          <w:tcPr>
            <w:tcW w:w="4734" w:type="dxa"/>
          </w:tcPr>
          <w:p w14:paraId="01DEFB4E" w14:textId="1CE2D5C9" w:rsidR="008E344E" w:rsidRPr="001A1836" w:rsidRDefault="008E344E" w:rsidP="008E344E">
            <w:r w:rsidRPr="001A1836">
              <w:t>All financial details, current and historical relating to invoices, Direct Debits, credit history (historical record of payments in respect of Concession Charges) relating to a registered business</w:t>
            </w:r>
          </w:p>
        </w:tc>
      </w:tr>
      <w:tr w:rsidR="008E344E" w:rsidRPr="001A1836" w14:paraId="5B215561" w14:textId="77777777" w:rsidTr="008E344E">
        <w:trPr>
          <w:cantSplit/>
        </w:trPr>
        <w:tc>
          <w:tcPr>
            <w:tcW w:w="959" w:type="dxa"/>
          </w:tcPr>
          <w:p w14:paraId="6D4750CE" w14:textId="77777777" w:rsidR="008E344E" w:rsidRPr="001A1836" w:rsidRDefault="008E344E" w:rsidP="008E344E">
            <w:r w:rsidRPr="001A1836">
              <w:t>1.1.2</w:t>
            </w:r>
          </w:p>
        </w:tc>
        <w:tc>
          <w:tcPr>
            <w:tcW w:w="2835" w:type="dxa"/>
          </w:tcPr>
          <w:p w14:paraId="63F3DD47" w14:textId="61425044" w:rsidR="008E344E" w:rsidRPr="001A1836" w:rsidRDefault="00F17A2B" w:rsidP="008E344E">
            <w:r>
              <w:t xml:space="preserve">Competency Check </w:t>
            </w:r>
            <w:r w:rsidR="007B0519">
              <w:t xml:space="preserve">and </w:t>
            </w:r>
            <w:r w:rsidR="008C4BC2">
              <w:t>Inspection</w:t>
            </w:r>
            <w:r w:rsidR="008E344E" w:rsidRPr="001A1836">
              <w:t xml:space="preserve"> data</w:t>
            </w:r>
          </w:p>
        </w:tc>
        <w:tc>
          <w:tcPr>
            <w:tcW w:w="4734" w:type="dxa"/>
          </w:tcPr>
          <w:p w14:paraId="1D7CE31B" w14:textId="113AD176" w:rsidR="008E344E" w:rsidRPr="001A1836" w:rsidRDefault="008E344E" w:rsidP="008C4BC2">
            <w:r w:rsidRPr="001A1836">
              <w:t>Details and history of</w:t>
            </w:r>
            <w:r w:rsidR="00F17A2B">
              <w:t xml:space="preserve"> Competency Check</w:t>
            </w:r>
            <w:r w:rsidR="007B0519">
              <w:t xml:space="preserve"> and </w:t>
            </w:r>
            <w:r w:rsidR="008C4BC2">
              <w:t>Inspection</w:t>
            </w:r>
            <w:r w:rsidR="00F17A2B">
              <w:t xml:space="preserve"> </w:t>
            </w:r>
            <w:r w:rsidRPr="001A1836">
              <w:t>of registered businesses/engineers</w:t>
            </w:r>
            <w:r w:rsidR="00230682">
              <w:t xml:space="preserve"> including all data collected through Inspection Events</w:t>
            </w:r>
          </w:p>
        </w:tc>
      </w:tr>
      <w:tr w:rsidR="008E344E" w:rsidRPr="001A1836" w14:paraId="67A6216D" w14:textId="77777777" w:rsidTr="008E344E">
        <w:trPr>
          <w:cantSplit/>
        </w:trPr>
        <w:tc>
          <w:tcPr>
            <w:tcW w:w="959" w:type="dxa"/>
          </w:tcPr>
          <w:p w14:paraId="28D54A86" w14:textId="77777777" w:rsidR="008E344E" w:rsidRPr="001A1836" w:rsidRDefault="008E344E" w:rsidP="008E344E">
            <w:r w:rsidRPr="001A1836">
              <w:t>1.1.3</w:t>
            </w:r>
          </w:p>
        </w:tc>
        <w:tc>
          <w:tcPr>
            <w:tcW w:w="2835" w:type="dxa"/>
          </w:tcPr>
          <w:p w14:paraId="1998B9D1" w14:textId="77777777" w:rsidR="008E344E" w:rsidRPr="001A1836" w:rsidRDefault="008E344E" w:rsidP="008E344E">
            <w:r w:rsidRPr="001A1836">
              <w:t>Complaint data</w:t>
            </w:r>
          </w:p>
        </w:tc>
        <w:tc>
          <w:tcPr>
            <w:tcW w:w="4734" w:type="dxa"/>
          </w:tcPr>
          <w:p w14:paraId="131D572D" w14:textId="77777777" w:rsidR="008E344E" w:rsidRPr="001A1836" w:rsidRDefault="008E344E" w:rsidP="008E344E">
            <w:r w:rsidRPr="001A1836">
              <w:t>Details of all complaints against registered businesses</w:t>
            </w:r>
          </w:p>
        </w:tc>
      </w:tr>
      <w:tr w:rsidR="008E344E" w:rsidRPr="001A1836" w14:paraId="78B50681" w14:textId="77777777" w:rsidTr="008E344E">
        <w:trPr>
          <w:cantSplit/>
        </w:trPr>
        <w:tc>
          <w:tcPr>
            <w:tcW w:w="959" w:type="dxa"/>
          </w:tcPr>
          <w:p w14:paraId="6B5D48C2" w14:textId="77777777" w:rsidR="008E344E" w:rsidRPr="001A1836" w:rsidRDefault="008E344E" w:rsidP="008E344E">
            <w:r w:rsidRPr="001A1836">
              <w:t>1.1.4</w:t>
            </w:r>
          </w:p>
        </w:tc>
        <w:tc>
          <w:tcPr>
            <w:tcW w:w="2835" w:type="dxa"/>
          </w:tcPr>
          <w:p w14:paraId="74BD2579" w14:textId="77777777" w:rsidR="008E344E" w:rsidRPr="001A1836" w:rsidRDefault="008E344E" w:rsidP="008E344E">
            <w:r w:rsidRPr="001A1836">
              <w:t>Notification data</w:t>
            </w:r>
          </w:p>
        </w:tc>
        <w:tc>
          <w:tcPr>
            <w:tcW w:w="4734" w:type="dxa"/>
          </w:tcPr>
          <w:p w14:paraId="17537B7C" w14:textId="4530536A" w:rsidR="008E344E" w:rsidRPr="001A1836" w:rsidRDefault="008E344E" w:rsidP="008E344E">
            <w:r w:rsidRPr="001A1836">
              <w:t xml:space="preserve">Details of all notifications of </w:t>
            </w:r>
            <w:r w:rsidR="000C1F5C" w:rsidRPr="001A1836">
              <w:t>Gas Work</w:t>
            </w:r>
            <w:r w:rsidRPr="001A1836">
              <w:t xml:space="preserve"> made to the Register</w:t>
            </w:r>
          </w:p>
        </w:tc>
      </w:tr>
      <w:tr w:rsidR="008E344E" w:rsidRPr="001A1836" w14:paraId="499E62AD" w14:textId="77777777" w:rsidTr="008E344E">
        <w:trPr>
          <w:cantSplit/>
        </w:trPr>
        <w:tc>
          <w:tcPr>
            <w:tcW w:w="959" w:type="dxa"/>
          </w:tcPr>
          <w:p w14:paraId="53C7877C" w14:textId="77777777" w:rsidR="008E344E" w:rsidRPr="001A1836" w:rsidRDefault="008E344E" w:rsidP="008E344E">
            <w:r w:rsidRPr="001A1836">
              <w:t>1.2</w:t>
            </w:r>
          </w:p>
        </w:tc>
        <w:tc>
          <w:tcPr>
            <w:tcW w:w="2835" w:type="dxa"/>
          </w:tcPr>
          <w:p w14:paraId="28A58D5E" w14:textId="77777777" w:rsidR="008E344E" w:rsidRPr="001A1836" w:rsidRDefault="008E344E" w:rsidP="008E344E">
            <w:r w:rsidRPr="001A1836">
              <w:t>Key Account management data</w:t>
            </w:r>
          </w:p>
        </w:tc>
        <w:tc>
          <w:tcPr>
            <w:tcW w:w="4734" w:type="dxa"/>
          </w:tcPr>
          <w:p w14:paraId="722D2982" w14:textId="77777777" w:rsidR="008E344E" w:rsidRPr="001A1836" w:rsidRDefault="008E344E" w:rsidP="008E344E">
            <w:r w:rsidRPr="001A1836">
              <w:t>Details relating to all Key Accounts and the management of those accounts</w:t>
            </w:r>
          </w:p>
        </w:tc>
      </w:tr>
      <w:tr w:rsidR="008E344E" w:rsidRPr="001A1836" w14:paraId="5252D7C6" w14:textId="77777777" w:rsidTr="008E344E">
        <w:trPr>
          <w:cantSplit/>
        </w:trPr>
        <w:tc>
          <w:tcPr>
            <w:tcW w:w="959" w:type="dxa"/>
          </w:tcPr>
          <w:p w14:paraId="5C3C69D4" w14:textId="77777777" w:rsidR="008E344E" w:rsidRPr="001A1836" w:rsidRDefault="008E344E" w:rsidP="008E344E">
            <w:r w:rsidRPr="001A1836">
              <w:t>1.3</w:t>
            </w:r>
          </w:p>
        </w:tc>
        <w:tc>
          <w:tcPr>
            <w:tcW w:w="2835" w:type="dxa"/>
          </w:tcPr>
          <w:p w14:paraId="14B4C1D6" w14:textId="77777777" w:rsidR="008E344E" w:rsidRPr="001A1836" w:rsidRDefault="008E344E" w:rsidP="008E344E">
            <w:r w:rsidRPr="001A1836">
              <w:t>Scanned documents and correspondence relating to registrations</w:t>
            </w:r>
          </w:p>
        </w:tc>
        <w:tc>
          <w:tcPr>
            <w:tcW w:w="4734" w:type="dxa"/>
          </w:tcPr>
          <w:p w14:paraId="757CDDB8" w14:textId="77777777" w:rsidR="008E344E" w:rsidRPr="001A1836" w:rsidRDefault="008E344E" w:rsidP="008E344E">
            <w:r w:rsidRPr="001A1836">
              <w:t>Copies of all scanned documents relating to registrations</w:t>
            </w:r>
          </w:p>
        </w:tc>
      </w:tr>
      <w:tr w:rsidR="008E344E" w:rsidRPr="001A1836" w14:paraId="00A45A46" w14:textId="77777777" w:rsidTr="001B6EBC">
        <w:trPr>
          <w:cantSplit/>
        </w:trPr>
        <w:tc>
          <w:tcPr>
            <w:tcW w:w="8528" w:type="dxa"/>
            <w:gridSpan w:val="3"/>
          </w:tcPr>
          <w:p w14:paraId="4F2CB18D" w14:textId="77777777" w:rsidR="008E344E" w:rsidRPr="001A1836" w:rsidRDefault="008E344E" w:rsidP="008E344E">
            <w:pPr>
              <w:rPr>
                <w:b/>
              </w:rPr>
            </w:pPr>
            <w:r w:rsidRPr="001A1836">
              <w:rPr>
                <w:b/>
              </w:rPr>
              <w:t>2 Investigation and enforcement support data</w:t>
            </w:r>
          </w:p>
        </w:tc>
      </w:tr>
      <w:tr w:rsidR="008E344E" w:rsidRPr="001A1836" w14:paraId="15D5CEA4" w14:textId="77777777" w:rsidTr="008E344E">
        <w:trPr>
          <w:cantSplit/>
        </w:trPr>
        <w:tc>
          <w:tcPr>
            <w:tcW w:w="959" w:type="dxa"/>
          </w:tcPr>
          <w:p w14:paraId="3C27E00F" w14:textId="77777777" w:rsidR="008E344E" w:rsidRPr="001A1836" w:rsidRDefault="008E344E" w:rsidP="008E344E">
            <w:r w:rsidRPr="001A1836">
              <w:t>2.1</w:t>
            </w:r>
          </w:p>
        </w:tc>
        <w:tc>
          <w:tcPr>
            <w:tcW w:w="2835" w:type="dxa"/>
          </w:tcPr>
          <w:p w14:paraId="60CB74DE" w14:textId="77777777" w:rsidR="008E344E" w:rsidRPr="001A1836" w:rsidRDefault="008E344E" w:rsidP="008E344E">
            <w:r w:rsidRPr="001A1836">
              <w:t>Incident investigation data</w:t>
            </w:r>
          </w:p>
        </w:tc>
        <w:tc>
          <w:tcPr>
            <w:tcW w:w="4734" w:type="dxa"/>
          </w:tcPr>
          <w:p w14:paraId="784F50A5" w14:textId="77777777" w:rsidR="008E344E" w:rsidRPr="001A1836" w:rsidRDefault="008E344E" w:rsidP="008E344E">
            <w:r w:rsidRPr="001A1836">
              <w:t>Details of all incident investigations, past and current</w:t>
            </w:r>
          </w:p>
        </w:tc>
      </w:tr>
      <w:tr w:rsidR="008E344E" w:rsidRPr="001A1836" w14:paraId="5852043F" w14:textId="77777777" w:rsidTr="008E344E">
        <w:trPr>
          <w:cantSplit/>
        </w:trPr>
        <w:tc>
          <w:tcPr>
            <w:tcW w:w="959" w:type="dxa"/>
          </w:tcPr>
          <w:p w14:paraId="4665376E" w14:textId="77777777" w:rsidR="008E344E" w:rsidRPr="001A1836" w:rsidRDefault="008E344E" w:rsidP="008E344E">
            <w:r w:rsidRPr="001A1836">
              <w:t>2.2</w:t>
            </w:r>
          </w:p>
        </w:tc>
        <w:tc>
          <w:tcPr>
            <w:tcW w:w="2835" w:type="dxa"/>
          </w:tcPr>
          <w:p w14:paraId="340C463C" w14:textId="77777777" w:rsidR="008E344E" w:rsidRPr="001A1836" w:rsidRDefault="008E344E" w:rsidP="008E344E">
            <w:r w:rsidRPr="001A1836">
              <w:t>Illegals data</w:t>
            </w:r>
          </w:p>
        </w:tc>
        <w:tc>
          <w:tcPr>
            <w:tcW w:w="4734" w:type="dxa"/>
          </w:tcPr>
          <w:p w14:paraId="55EF4C61" w14:textId="77777777" w:rsidR="008E344E" w:rsidRPr="001A1836" w:rsidRDefault="008E344E" w:rsidP="008E344E">
            <w:r w:rsidRPr="001A1836">
              <w:t>Details relating to the management and investigations of illegal gas workers</w:t>
            </w:r>
          </w:p>
        </w:tc>
      </w:tr>
      <w:tr w:rsidR="008E344E" w:rsidRPr="001A1836" w14:paraId="4EC0A67C" w14:textId="77777777" w:rsidTr="001E007E">
        <w:trPr>
          <w:cantSplit/>
        </w:trPr>
        <w:tc>
          <w:tcPr>
            <w:tcW w:w="959" w:type="dxa"/>
          </w:tcPr>
          <w:p w14:paraId="5D79CB03" w14:textId="77777777" w:rsidR="008E344E" w:rsidRPr="001A1836" w:rsidRDefault="008E344E" w:rsidP="008E344E">
            <w:r w:rsidRPr="001A1836">
              <w:t>2.3</w:t>
            </w:r>
          </w:p>
        </w:tc>
        <w:tc>
          <w:tcPr>
            <w:tcW w:w="2835" w:type="dxa"/>
          </w:tcPr>
          <w:p w14:paraId="246E2209" w14:textId="77777777" w:rsidR="008E344E" w:rsidRPr="001A1836" w:rsidRDefault="008E344E" w:rsidP="008E344E">
            <w:r w:rsidRPr="001A1836">
              <w:t>Inspection data</w:t>
            </w:r>
          </w:p>
        </w:tc>
        <w:tc>
          <w:tcPr>
            <w:tcW w:w="4734" w:type="dxa"/>
            <w:shd w:val="clear" w:color="auto" w:fill="auto"/>
          </w:tcPr>
          <w:p w14:paraId="301C74FC" w14:textId="73DF0014" w:rsidR="008E344E" w:rsidRPr="001A1836" w:rsidRDefault="008E344E" w:rsidP="008E344E">
            <w:r w:rsidRPr="001A1836">
              <w:t>Details and history of inspections of unregistered businesses/engineers</w:t>
            </w:r>
          </w:p>
        </w:tc>
      </w:tr>
      <w:tr w:rsidR="008E344E" w:rsidRPr="001A1836" w14:paraId="53D3000D" w14:textId="77777777" w:rsidTr="008E344E">
        <w:trPr>
          <w:cantSplit/>
        </w:trPr>
        <w:tc>
          <w:tcPr>
            <w:tcW w:w="959" w:type="dxa"/>
          </w:tcPr>
          <w:p w14:paraId="4FBFD310" w14:textId="77777777" w:rsidR="008E344E" w:rsidRPr="001A1836" w:rsidRDefault="008E344E" w:rsidP="008E344E">
            <w:r w:rsidRPr="001A1836">
              <w:t>2.4</w:t>
            </w:r>
          </w:p>
        </w:tc>
        <w:tc>
          <w:tcPr>
            <w:tcW w:w="2835" w:type="dxa"/>
          </w:tcPr>
          <w:p w14:paraId="0D10FBDC" w14:textId="77777777" w:rsidR="008E344E" w:rsidRPr="001A1836" w:rsidRDefault="008E344E" w:rsidP="008E344E">
            <w:r w:rsidRPr="001A1836">
              <w:t>Witness statements</w:t>
            </w:r>
          </w:p>
        </w:tc>
        <w:tc>
          <w:tcPr>
            <w:tcW w:w="4734" w:type="dxa"/>
          </w:tcPr>
          <w:p w14:paraId="5F9AE1BD" w14:textId="77777777" w:rsidR="008E344E" w:rsidRPr="001A1836" w:rsidRDefault="008E344E" w:rsidP="008E344E">
            <w:r w:rsidRPr="001A1836">
              <w:t>All data and records relating to witness statements</w:t>
            </w:r>
          </w:p>
        </w:tc>
      </w:tr>
      <w:tr w:rsidR="008E344E" w:rsidRPr="001A1836" w14:paraId="3C1BE377" w14:textId="77777777" w:rsidTr="001B6EBC">
        <w:trPr>
          <w:cantSplit/>
        </w:trPr>
        <w:tc>
          <w:tcPr>
            <w:tcW w:w="8528" w:type="dxa"/>
            <w:gridSpan w:val="3"/>
          </w:tcPr>
          <w:p w14:paraId="60B5DE3E" w14:textId="77777777" w:rsidR="008E344E" w:rsidRPr="001A1836" w:rsidRDefault="008E344E" w:rsidP="008E344E">
            <w:pPr>
              <w:rPr>
                <w:b/>
              </w:rPr>
            </w:pPr>
            <w:r w:rsidRPr="001A1836">
              <w:rPr>
                <w:b/>
              </w:rPr>
              <w:t>3 Management Information and performance data</w:t>
            </w:r>
          </w:p>
        </w:tc>
      </w:tr>
      <w:tr w:rsidR="008E344E" w:rsidRPr="001A1836" w14:paraId="4009C43D" w14:textId="77777777" w:rsidTr="008E344E">
        <w:trPr>
          <w:cantSplit/>
        </w:trPr>
        <w:tc>
          <w:tcPr>
            <w:tcW w:w="959" w:type="dxa"/>
          </w:tcPr>
          <w:p w14:paraId="14F21823" w14:textId="77777777" w:rsidR="008E344E" w:rsidRPr="001A1836" w:rsidRDefault="008E344E" w:rsidP="008E344E">
            <w:r w:rsidRPr="001A1836">
              <w:t>3.1</w:t>
            </w:r>
          </w:p>
        </w:tc>
        <w:tc>
          <w:tcPr>
            <w:tcW w:w="2835" w:type="dxa"/>
          </w:tcPr>
          <w:p w14:paraId="2694AA44" w14:textId="77777777" w:rsidR="008E344E" w:rsidRPr="001A1836" w:rsidRDefault="008E344E" w:rsidP="008E344E">
            <w:r w:rsidRPr="001A1836">
              <w:t>Key Performance Indicator (KPI) data</w:t>
            </w:r>
          </w:p>
        </w:tc>
        <w:tc>
          <w:tcPr>
            <w:tcW w:w="4734" w:type="dxa"/>
          </w:tcPr>
          <w:p w14:paraId="3054CB58" w14:textId="77777777" w:rsidR="008E344E" w:rsidRPr="001A1836" w:rsidRDefault="008E344E" w:rsidP="008E344E">
            <w:r w:rsidRPr="001A1836">
              <w:t>KPI statistics</w:t>
            </w:r>
          </w:p>
        </w:tc>
      </w:tr>
      <w:tr w:rsidR="008E344E" w:rsidRPr="001A1836" w14:paraId="2D293743" w14:textId="77777777" w:rsidTr="008E344E">
        <w:trPr>
          <w:cantSplit/>
        </w:trPr>
        <w:tc>
          <w:tcPr>
            <w:tcW w:w="959" w:type="dxa"/>
          </w:tcPr>
          <w:p w14:paraId="51BA26C2" w14:textId="77777777" w:rsidR="008E344E" w:rsidRPr="001A1836" w:rsidRDefault="008E344E" w:rsidP="008E344E">
            <w:r w:rsidRPr="001A1836">
              <w:t>3.2</w:t>
            </w:r>
          </w:p>
        </w:tc>
        <w:tc>
          <w:tcPr>
            <w:tcW w:w="2835" w:type="dxa"/>
          </w:tcPr>
          <w:p w14:paraId="6D6DCF11" w14:textId="77777777" w:rsidR="008E344E" w:rsidRPr="001A1836" w:rsidRDefault="008E344E" w:rsidP="008E344E">
            <w:r w:rsidRPr="001A1836">
              <w:t>Service Level data</w:t>
            </w:r>
          </w:p>
        </w:tc>
        <w:tc>
          <w:tcPr>
            <w:tcW w:w="4734" w:type="dxa"/>
          </w:tcPr>
          <w:p w14:paraId="28ADC347" w14:textId="77777777" w:rsidR="008E344E" w:rsidRPr="001A1836" w:rsidRDefault="008E344E" w:rsidP="008E344E">
            <w:r w:rsidRPr="001A1836">
              <w:t>Service level statistics</w:t>
            </w:r>
          </w:p>
        </w:tc>
      </w:tr>
      <w:tr w:rsidR="008E344E" w:rsidRPr="001A1836" w14:paraId="0F15CC50" w14:textId="77777777" w:rsidTr="008E344E">
        <w:trPr>
          <w:cantSplit/>
        </w:trPr>
        <w:tc>
          <w:tcPr>
            <w:tcW w:w="959" w:type="dxa"/>
          </w:tcPr>
          <w:p w14:paraId="2139CF39" w14:textId="77777777" w:rsidR="008E344E" w:rsidRPr="001A1836" w:rsidRDefault="008E344E" w:rsidP="008E344E">
            <w:r w:rsidRPr="001A1836">
              <w:t>3.3</w:t>
            </w:r>
          </w:p>
        </w:tc>
        <w:tc>
          <w:tcPr>
            <w:tcW w:w="2835" w:type="dxa"/>
          </w:tcPr>
          <w:p w14:paraId="41CF74EE" w14:textId="77777777" w:rsidR="008E344E" w:rsidRPr="001A1836" w:rsidRDefault="008E344E" w:rsidP="008E344E">
            <w:r w:rsidRPr="001A1836">
              <w:t>Performance data</w:t>
            </w:r>
          </w:p>
        </w:tc>
        <w:tc>
          <w:tcPr>
            <w:tcW w:w="4734" w:type="dxa"/>
          </w:tcPr>
          <w:p w14:paraId="4EC5A347" w14:textId="77777777" w:rsidR="008E344E" w:rsidRPr="001A1836" w:rsidRDefault="008E344E" w:rsidP="008E344E">
            <w:r w:rsidRPr="001A1836">
              <w:t>All other statistics and data relating to Provider performance</w:t>
            </w:r>
          </w:p>
        </w:tc>
      </w:tr>
      <w:tr w:rsidR="008E344E" w:rsidRPr="001A1836" w14:paraId="4203AF85" w14:textId="77777777" w:rsidTr="001B6EBC">
        <w:trPr>
          <w:cantSplit/>
        </w:trPr>
        <w:tc>
          <w:tcPr>
            <w:tcW w:w="8528" w:type="dxa"/>
            <w:gridSpan w:val="3"/>
          </w:tcPr>
          <w:p w14:paraId="524BD3A8" w14:textId="77777777" w:rsidR="008E344E" w:rsidRPr="001A1836" w:rsidRDefault="008E344E" w:rsidP="008E344E">
            <w:pPr>
              <w:rPr>
                <w:b/>
              </w:rPr>
            </w:pPr>
            <w:r w:rsidRPr="001A1836">
              <w:rPr>
                <w:b/>
              </w:rPr>
              <w:lastRenderedPageBreak/>
              <w:t>4 Programs / systems / software</w:t>
            </w:r>
          </w:p>
        </w:tc>
      </w:tr>
      <w:tr w:rsidR="008E344E" w:rsidRPr="001A1836" w14:paraId="257C7D07" w14:textId="77777777" w:rsidTr="008E344E">
        <w:trPr>
          <w:cantSplit/>
        </w:trPr>
        <w:tc>
          <w:tcPr>
            <w:tcW w:w="959" w:type="dxa"/>
          </w:tcPr>
          <w:p w14:paraId="227152D7" w14:textId="77777777" w:rsidR="008E344E" w:rsidRPr="001A1836" w:rsidRDefault="008E344E" w:rsidP="008E344E">
            <w:r w:rsidRPr="001A1836">
              <w:t>4.1</w:t>
            </w:r>
          </w:p>
        </w:tc>
        <w:tc>
          <w:tcPr>
            <w:tcW w:w="2835" w:type="dxa"/>
          </w:tcPr>
          <w:p w14:paraId="7083CD8E" w14:textId="77777777" w:rsidR="008E344E" w:rsidRPr="001A1836" w:rsidRDefault="008E344E" w:rsidP="008E344E">
            <w:r w:rsidRPr="001A1836">
              <w:t>Risk Model (algorithm coding)</w:t>
            </w:r>
          </w:p>
        </w:tc>
        <w:tc>
          <w:tcPr>
            <w:tcW w:w="4734" w:type="dxa"/>
          </w:tcPr>
          <w:p w14:paraId="0B71BD6C" w14:textId="77777777" w:rsidR="008E344E" w:rsidRPr="001A1836" w:rsidRDefault="008E344E" w:rsidP="008E344E">
            <w:r w:rsidRPr="001A1836">
              <w:t>Mechanism (code) for system for applying risk rating to engineers</w:t>
            </w:r>
          </w:p>
        </w:tc>
      </w:tr>
      <w:tr w:rsidR="008E344E" w:rsidRPr="001A1836" w14:paraId="25D3B3F6" w14:textId="77777777" w:rsidTr="008E344E">
        <w:trPr>
          <w:cantSplit/>
        </w:trPr>
        <w:tc>
          <w:tcPr>
            <w:tcW w:w="959" w:type="dxa"/>
          </w:tcPr>
          <w:p w14:paraId="33D53023" w14:textId="77777777" w:rsidR="008E344E" w:rsidRPr="001A1836" w:rsidRDefault="008E344E" w:rsidP="008E344E">
            <w:r w:rsidRPr="001A1836">
              <w:t>4.2</w:t>
            </w:r>
          </w:p>
        </w:tc>
        <w:tc>
          <w:tcPr>
            <w:tcW w:w="2835" w:type="dxa"/>
          </w:tcPr>
          <w:p w14:paraId="14A48A35" w14:textId="77777777" w:rsidR="008E344E" w:rsidRPr="001A1836" w:rsidRDefault="008E344E" w:rsidP="008E344E">
            <w:r w:rsidRPr="001A1836">
              <w:t>Domain accounts</w:t>
            </w:r>
          </w:p>
        </w:tc>
        <w:tc>
          <w:tcPr>
            <w:tcW w:w="4734" w:type="dxa"/>
          </w:tcPr>
          <w:p w14:paraId="0756BE6B" w14:textId="77777777" w:rsidR="008E344E" w:rsidRPr="001A1836" w:rsidRDefault="008E344E" w:rsidP="008E344E">
            <w:r w:rsidRPr="001A1836">
              <w:t>Websites, social media (as set out in more detail in Table 4)</w:t>
            </w:r>
          </w:p>
        </w:tc>
      </w:tr>
      <w:tr w:rsidR="008E344E" w:rsidRPr="001A1836" w14:paraId="0C664184" w14:textId="77777777" w:rsidTr="008E344E">
        <w:trPr>
          <w:cantSplit/>
        </w:trPr>
        <w:tc>
          <w:tcPr>
            <w:tcW w:w="959" w:type="dxa"/>
          </w:tcPr>
          <w:p w14:paraId="45ABBAD6" w14:textId="77777777" w:rsidR="008E344E" w:rsidRPr="001A1836" w:rsidRDefault="008E344E" w:rsidP="008E344E">
            <w:r w:rsidRPr="001A1836">
              <w:t>4.3</w:t>
            </w:r>
          </w:p>
        </w:tc>
        <w:tc>
          <w:tcPr>
            <w:tcW w:w="2835" w:type="dxa"/>
          </w:tcPr>
          <w:p w14:paraId="682B6EBE" w14:textId="77777777" w:rsidR="008E344E" w:rsidRPr="001A1836" w:rsidRDefault="008E344E" w:rsidP="008E344E">
            <w:r w:rsidRPr="001A1836">
              <w:t>Telephone numbers</w:t>
            </w:r>
          </w:p>
        </w:tc>
        <w:tc>
          <w:tcPr>
            <w:tcW w:w="4734" w:type="dxa"/>
          </w:tcPr>
          <w:p w14:paraId="65446868" w14:textId="77777777" w:rsidR="008E344E" w:rsidRPr="001A1836" w:rsidRDefault="008E344E" w:rsidP="008E344E">
            <w:r w:rsidRPr="001A1836">
              <w:t>All GSR/GSAL contact telephone numbers (as set out in more detail in Table 4)</w:t>
            </w:r>
          </w:p>
        </w:tc>
      </w:tr>
      <w:tr w:rsidR="008E344E" w:rsidRPr="001A1836" w14:paraId="7677BD36" w14:textId="77777777" w:rsidTr="008E344E">
        <w:trPr>
          <w:cantSplit/>
        </w:trPr>
        <w:tc>
          <w:tcPr>
            <w:tcW w:w="959" w:type="dxa"/>
          </w:tcPr>
          <w:p w14:paraId="49EC0F5D" w14:textId="77777777" w:rsidR="008E344E" w:rsidRPr="001A1836" w:rsidRDefault="008E344E" w:rsidP="008E344E">
            <w:r w:rsidRPr="001A1836">
              <w:t>4.4</w:t>
            </w:r>
          </w:p>
        </w:tc>
        <w:tc>
          <w:tcPr>
            <w:tcW w:w="2835" w:type="dxa"/>
          </w:tcPr>
          <w:p w14:paraId="00163549" w14:textId="77777777" w:rsidR="008E344E" w:rsidRPr="001A1836" w:rsidRDefault="008E344E" w:rsidP="008E344E">
            <w:r w:rsidRPr="001A1836">
              <w:t>RGE App</w:t>
            </w:r>
          </w:p>
        </w:tc>
        <w:tc>
          <w:tcPr>
            <w:tcW w:w="4734" w:type="dxa"/>
          </w:tcPr>
          <w:p w14:paraId="6F06E478" w14:textId="77777777" w:rsidR="008E344E" w:rsidRPr="001A1836" w:rsidRDefault="008E344E" w:rsidP="008E344E">
            <w:r w:rsidRPr="001A1836">
              <w:t>Third-party hosted app for Registered businesses</w:t>
            </w:r>
          </w:p>
        </w:tc>
      </w:tr>
      <w:tr w:rsidR="008E344E" w:rsidRPr="001A1836" w14:paraId="6A4323BB" w14:textId="77777777" w:rsidTr="008E344E">
        <w:trPr>
          <w:cantSplit/>
        </w:trPr>
        <w:tc>
          <w:tcPr>
            <w:tcW w:w="959" w:type="dxa"/>
          </w:tcPr>
          <w:p w14:paraId="6AA2C490" w14:textId="77777777" w:rsidR="008E344E" w:rsidRPr="001A1836" w:rsidRDefault="008E344E" w:rsidP="008E344E">
            <w:r w:rsidRPr="001A1836">
              <w:t>4.5</w:t>
            </w:r>
          </w:p>
        </w:tc>
        <w:tc>
          <w:tcPr>
            <w:tcW w:w="2835" w:type="dxa"/>
          </w:tcPr>
          <w:p w14:paraId="015BC393" w14:textId="77777777" w:rsidR="008E344E" w:rsidRPr="001A1836" w:rsidRDefault="008E344E" w:rsidP="008E344E">
            <w:r w:rsidRPr="001A1836">
              <w:t>Online learning modules</w:t>
            </w:r>
          </w:p>
        </w:tc>
        <w:tc>
          <w:tcPr>
            <w:tcW w:w="4734" w:type="dxa"/>
          </w:tcPr>
          <w:p w14:paraId="386A8A29" w14:textId="77777777" w:rsidR="008E344E" w:rsidRPr="001A1836" w:rsidRDefault="008E344E" w:rsidP="008E344E">
            <w:r w:rsidRPr="001A1836">
              <w:t xml:space="preserve">Online consumer/engineer training program content (as set out in more detail in Table 5)  </w:t>
            </w:r>
          </w:p>
        </w:tc>
      </w:tr>
      <w:tr w:rsidR="008E344E" w:rsidRPr="001A1836" w14:paraId="28B06453" w14:textId="77777777" w:rsidTr="001B6EBC">
        <w:trPr>
          <w:cantSplit/>
        </w:trPr>
        <w:tc>
          <w:tcPr>
            <w:tcW w:w="8528" w:type="dxa"/>
            <w:gridSpan w:val="3"/>
          </w:tcPr>
          <w:p w14:paraId="2CBEA443" w14:textId="77777777" w:rsidR="008E344E" w:rsidRPr="001A1836" w:rsidRDefault="008E344E" w:rsidP="008E344E">
            <w:pPr>
              <w:rPr>
                <w:b/>
              </w:rPr>
            </w:pPr>
            <w:r w:rsidRPr="001A1836">
              <w:rPr>
                <w:b/>
              </w:rPr>
              <w:t>5 Policies and procedures</w:t>
            </w:r>
          </w:p>
        </w:tc>
      </w:tr>
      <w:tr w:rsidR="008E344E" w:rsidRPr="001A1836" w14:paraId="0C689D42" w14:textId="77777777" w:rsidTr="008E344E">
        <w:trPr>
          <w:cantSplit/>
        </w:trPr>
        <w:tc>
          <w:tcPr>
            <w:tcW w:w="959" w:type="dxa"/>
          </w:tcPr>
          <w:p w14:paraId="120590A8" w14:textId="77777777" w:rsidR="008E344E" w:rsidRPr="001A1836" w:rsidRDefault="008E344E" w:rsidP="008E344E">
            <w:r w:rsidRPr="001A1836">
              <w:t>5.1</w:t>
            </w:r>
          </w:p>
        </w:tc>
        <w:tc>
          <w:tcPr>
            <w:tcW w:w="2835" w:type="dxa"/>
          </w:tcPr>
          <w:p w14:paraId="7A8B41F6" w14:textId="77777777" w:rsidR="008E344E" w:rsidRPr="001A1836" w:rsidRDefault="008E344E" w:rsidP="008E344E">
            <w:r w:rsidRPr="001A1836">
              <w:t>Policies</w:t>
            </w:r>
          </w:p>
          <w:p w14:paraId="4B6E7EC4" w14:textId="77777777" w:rsidR="008E344E" w:rsidRPr="001A1836" w:rsidRDefault="008E344E" w:rsidP="008E344E"/>
        </w:tc>
        <w:tc>
          <w:tcPr>
            <w:tcW w:w="4734" w:type="dxa"/>
          </w:tcPr>
          <w:p w14:paraId="6901FD8B" w14:textId="77777777" w:rsidR="008E344E" w:rsidRPr="001A1836" w:rsidRDefault="008E344E" w:rsidP="008E344E">
            <w:r w:rsidRPr="001A1836">
              <w:t>Policies relating to the running of the Gas Safe Register (as set out in more detail in Table 2)</w:t>
            </w:r>
          </w:p>
        </w:tc>
      </w:tr>
      <w:tr w:rsidR="008E344E" w:rsidRPr="001A1836" w14:paraId="3355DD3B" w14:textId="77777777" w:rsidTr="008E344E">
        <w:trPr>
          <w:cantSplit/>
        </w:trPr>
        <w:tc>
          <w:tcPr>
            <w:tcW w:w="959" w:type="dxa"/>
          </w:tcPr>
          <w:p w14:paraId="2465A5B3" w14:textId="77777777" w:rsidR="008E344E" w:rsidRPr="001A1836" w:rsidRDefault="008E344E" w:rsidP="008E344E">
            <w:r w:rsidRPr="001A1836">
              <w:t>5.2</w:t>
            </w:r>
          </w:p>
        </w:tc>
        <w:tc>
          <w:tcPr>
            <w:tcW w:w="2835" w:type="dxa"/>
          </w:tcPr>
          <w:p w14:paraId="6A928AC2" w14:textId="77777777" w:rsidR="008E344E" w:rsidRPr="001A1836" w:rsidRDefault="008E344E" w:rsidP="008E344E">
            <w:r w:rsidRPr="001A1836">
              <w:t>Procedures</w:t>
            </w:r>
          </w:p>
          <w:p w14:paraId="12E2204D" w14:textId="77777777" w:rsidR="008E344E" w:rsidRPr="001A1836" w:rsidRDefault="008E344E" w:rsidP="008E344E"/>
        </w:tc>
        <w:tc>
          <w:tcPr>
            <w:tcW w:w="4734" w:type="dxa"/>
          </w:tcPr>
          <w:p w14:paraId="07FDEC10" w14:textId="77777777" w:rsidR="008E344E" w:rsidRPr="001A1836" w:rsidRDefault="008E344E" w:rsidP="008E344E">
            <w:r w:rsidRPr="001A1836">
              <w:t>Procedures followed for the running of the Gas Safe Register (as set out in more detail in Table 3)</w:t>
            </w:r>
          </w:p>
        </w:tc>
      </w:tr>
      <w:tr w:rsidR="008E344E" w:rsidRPr="001A1836" w14:paraId="0F1170DE" w14:textId="77777777" w:rsidTr="008E344E">
        <w:trPr>
          <w:cantSplit/>
        </w:trPr>
        <w:tc>
          <w:tcPr>
            <w:tcW w:w="959" w:type="dxa"/>
          </w:tcPr>
          <w:p w14:paraId="0014FBDA" w14:textId="77777777" w:rsidR="008E344E" w:rsidRPr="001A1836" w:rsidRDefault="008E344E" w:rsidP="008E344E">
            <w:r w:rsidRPr="001A1836">
              <w:t>5.3</w:t>
            </w:r>
          </w:p>
        </w:tc>
        <w:tc>
          <w:tcPr>
            <w:tcW w:w="2835" w:type="dxa"/>
          </w:tcPr>
          <w:p w14:paraId="400E7E63" w14:textId="77777777" w:rsidR="008E344E" w:rsidRPr="001A1836" w:rsidRDefault="008E344E" w:rsidP="008E344E">
            <w:r w:rsidRPr="001A1836">
              <w:t>Processes &amp; Procedures Register</w:t>
            </w:r>
          </w:p>
        </w:tc>
        <w:tc>
          <w:tcPr>
            <w:tcW w:w="4734" w:type="dxa"/>
          </w:tcPr>
          <w:p w14:paraId="07136B8B" w14:textId="77777777" w:rsidR="008E344E" w:rsidRPr="001A1836" w:rsidRDefault="008E344E" w:rsidP="008E344E">
            <w:r w:rsidRPr="001A1836">
              <w:t>Register detailing all processes used as part of running the Gas Safe Register</w:t>
            </w:r>
          </w:p>
        </w:tc>
      </w:tr>
      <w:tr w:rsidR="008E344E" w:rsidRPr="001A1836" w14:paraId="1099D4F3" w14:textId="77777777" w:rsidTr="001B6EBC">
        <w:trPr>
          <w:cantSplit/>
        </w:trPr>
        <w:tc>
          <w:tcPr>
            <w:tcW w:w="8528" w:type="dxa"/>
            <w:gridSpan w:val="3"/>
          </w:tcPr>
          <w:p w14:paraId="2B239F0F" w14:textId="77777777" w:rsidR="008E344E" w:rsidRPr="001A1836" w:rsidRDefault="008E344E" w:rsidP="008E344E">
            <w:pPr>
              <w:rPr>
                <w:b/>
              </w:rPr>
            </w:pPr>
            <w:r w:rsidRPr="001A1836">
              <w:rPr>
                <w:b/>
              </w:rPr>
              <w:t>6 Customer service data</w:t>
            </w:r>
          </w:p>
        </w:tc>
      </w:tr>
      <w:tr w:rsidR="008E344E" w:rsidRPr="001A1836" w14:paraId="2A435AD3" w14:textId="77777777" w:rsidTr="008E344E">
        <w:trPr>
          <w:cantSplit/>
        </w:trPr>
        <w:tc>
          <w:tcPr>
            <w:tcW w:w="959" w:type="dxa"/>
          </w:tcPr>
          <w:p w14:paraId="788B213A" w14:textId="77777777" w:rsidR="008E344E" w:rsidRPr="001A1836" w:rsidRDefault="008E344E" w:rsidP="008E344E">
            <w:r w:rsidRPr="001A1836">
              <w:t>6.1</w:t>
            </w:r>
          </w:p>
        </w:tc>
        <w:tc>
          <w:tcPr>
            <w:tcW w:w="2835" w:type="dxa"/>
          </w:tcPr>
          <w:p w14:paraId="0C869BB2" w14:textId="77777777" w:rsidR="008E344E" w:rsidRPr="001A1836" w:rsidRDefault="008E344E" w:rsidP="008E344E">
            <w:r w:rsidRPr="001A1836">
              <w:t>Complaints against service data</w:t>
            </w:r>
          </w:p>
        </w:tc>
        <w:tc>
          <w:tcPr>
            <w:tcW w:w="4734" w:type="dxa"/>
          </w:tcPr>
          <w:p w14:paraId="230FA540" w14:textId="77777777" w:rsidR="008E344E" w:rsidRPr="001A1836" w:rsidRDefault="008E344E" w:rsidP="008E344E">
            <w:r w:rsidRPr="001A1836">
              <w:t>Details of all complaints against service received and actions taken</w:t>
            </w:r>
          </w:p>
        </w:tc>
      </w:tr>
      <w:tr w:rsidR="008E344E" w:rsidRPr="001A1836" w14:paraId="313D09AF" w14:textId="77777777" w:rsidTr="008E344E">
        <w:trPr>
          <w:cantSplit/>
        </w:trPr>
        <w:tc>
          <w:tcPr>
            <w:tcW w:w="959" w:type="dxa"/>
          </w:tcPr>
          <w:p w14:paraId="75000A92" w14:textId="77777777" w:rsidR="008E344E" w:rsidRPr="001A1836" w:rsidRDefault="008E344E" w:rsidP="008E344E">
            <w:r w:rsidRPr="001A1836">
              <w:t>6.2</w:t>
            </w:r>
          </w:p>
        </w:tc>
        <w:tc>
          <w:tcPr>
            <w:tcW w:w="2835" w:type="dxa"/>
          </w:tcPr>
          <w:p w14:paraId="1DA26C8A" w14:textId="77777777" w:rsidR="008E344E" w:rsidRPr="001A1836" w:rsidRDefault="008E344E" w:rsidP="008E344E">
            <w:r w:rsidRPr="001A1836">
              <w:t>MP correspondence</w:t>
            </w:r>
          </w:p>
        </w:tc>
        <w:tc>
          <w:tcPr>
            <w:tcW w:w="4734" w:type="dxa"/>
          </w:tcPr>
          <w:p w14:paraId="7B2ABA61" w14:textId="77777777" w:rsidR="008E344E" w:rsidRPr="001A1836" w:rsidRDefault="008E344E" w:rsidP="008E344E">
            <w:r w:rsidRPr="001A1836">
              <w:t>All records relating to these processes</w:t>
            </w:r>
          </w:p>
        </w:tc>
      </w:tr>
      <w:tr w:rsidR="008E344E" w:rsidRPr="001A1836" w14:paraId="0B936AE9" w14:textId="77777777" w:rsidTr="008E344E">
        <w:trPr>
          <w:cantSplit/>
        </w:trPr>
        <w:tc>
          <w:tcPr>
            <w:tcW w:w="959" w:type="dxa"/>
          </w:tcPr>
          <w:p w14:paraId="0DA94E87" w14:textId="77777777" w:rsidR="008E344E" w:rsidRPr="001A1836" w:rsidRDefault="008E344E" w:rsidP="008E344E">
            <w:r w:rsidRPr="001A1836">
              <w:t>6.3</w:t>
            </w:r>
          </w:p>
        </w:tc>
        <w:tc>
          <w:tcPr>
            <w:tcW w:w="2835" w:type="dxa"/>
          </w:tcPr>
          <w:p w14:paraId="33363D40" w14:textId="77777777" w:rsidR="008E344E" w:rsidRPr="001A1836" w:rsidRDefault="008E344E" w:rsidP="008E344E">
            <w:r w:rsidRPr="001A1836">
              <w:t>Gas Safety Advice Line data</w:t>
            </w:r>
          </w:p>
        </w:tc>
        <w:tc>
          <w:tcPr>
            <w:tcW w:w="4734" w:type="dxa"/>
          </w:tcPr>
          <w:p w14:paraId="42D8A088" w14:textId="77777777" w:rsidR="008E344E" w:rsidRPr="001A1836" w:rsidRDefault="008E344E" w:rsidP="008E344E">
            <w:r w:rsidRPr="001A1836">
              <w:t>All records relating to the advice line including Knowledge Bank</w:t>
            </w:r>
          </w:p>
        </w:tc>
      </w:tr>
      <w:tr w:rsidR="008E344E" w:rsidRPr="001A1836" w14:paraId="0D62277E" w14:textId="77777777" w:rsidTr="001B6EBC">
        <w:trPr>
          <w:cantSplit/>
        </w:trPr>
        <w:tc>
          <w:tcPr>
            <w:tcW w:w="8528" w:type="dxa"/>
            <w:gridSpan w:val="3"/>
          </w:tcPr>
          <w:p w14:paraId="31791688" w14:textId="77777777" w:rsidR="008E344E" w:rsidRPr="001A1836" w:rsidRDefault="008E344E" w:rsidP="008E344E">
            <w:pPr>
              <w:rPr>
                <w:b/>
              </w:rPr>
            </w:pPr>
            <w:r w:rsidRPr="001A1836">
              <w:rPr>
                <w:b/>
              </w:rPr>
              <w:t>7 Certificates and ID cards</w:t>
            </w:r>
          </w:p>
        </w:tc>
      </w:tr>
      <w:tr w:rsidR="008E344E" w:rsidRPr="001A1836" w14:paraId="1F0601AF" w14:textId="77777777" w:rsidTr="008E344E">
        <w:trPr>
          <w:cantSplit/>
        </w:trPr>
        <w:tc>
          <w:tcPr>
            <w:tcW w:w="959" w:type="dxa"/>
          </w:tcPr>
          <w:p w14:paraId="0991B636" w14:textId="77777777" w:rsidR="008E344E" w:rsidRPr="001A1836" w:rsidRDefault="008E344E" w:rsidP="008E344E">
            <w:r w:rsidRPr="001A1836">
              <w:t>7.1</w:t>
            </w:r>
          </w:p>
        </w:tc>
        <w:tc>
          <w:tcPr>
            <w:tcW w:w="2835" w:type="dxa"/>
          </w:tcPr>
          <w:p w14:paraId="3607FA41" w14:textId="77777777" w:rsidR="008E344E" w:rsidRPr="001A1836" w:rsidRDefault="008E344E" w:rsidP="008E344E">
            <w:r w:rsidRPr="001A1836">
              <w:t>Certificates of Registration</w:t>
            </w:r>
          </w:p>
        </w:tc>
        <w:tc>
          <w:tcPr>
            <w:tcW w:w="4734" w:type="dxa"/>
          </w:tcPr>
          <w:p w14:paraId="6B1851C6" w14:textId="77777777" w:rsidR="008E344E" w:rsidRPr="001A1836" w:rsidRDefault="008E344E" w:rsidP="008E344E">
            <w:r w:rsidRPr="001A1836">
              <w:t>Certificates of Registration provided to Businesses</w:t>
            </w:r>
          </w:p>
        </w:tc>
      </w:tr>
      <w:tr w:rsidR="008E344E" w:rsidRPr="001A1836" w14:paraId="399CCF5E" w14:textId="77777777" w:rsidTr="008E344E">
        <w:trPr>
          <w:cantSplit/>
        </w:trPr>
        <w:tc>
          <w:tcPr>
            <w:tcW w:w="959" w:type="dxa"/>
          </w:tcPr>
          <w:p w14:paraId="447B47A7" w14:textId="77777777" w:rsidR="008E344E" w:rsidRPr="001A1836" w:rsidRDefault="008E344E" w:rsidP="008E344E">
            <w:r w:rsidRPr="001A1836">
              <w:t>7.2</w:t>
            </w:r>
          </w:p>
        </w:tc>
        <w:tc>
          <w:tcPr>
            <w:tcW w:w="2835" w:type="dxa"/>
          </w:tcPr>
          <w:p w14:paraId="4878AA88" w14:textId="77777777" w:rsidR="008E344E" w:rsidRPr="001A1836" w:rsidRDefault="008E344E" w:rsidP="008E344E">
            <w:r w:rsidRPr="001A1836">
              <w:t>Identity Cards</w:t>
            </w:r>
          </w:p>
        </w:tc>
        <w:tc>
          <w:tcPr>
            <w:tcW w:w="4734" w:type="dxa"/>
          </w:tcPr>
          <w:p w14:paraId="58330D94" w14:textId="77777777" w:rsidR="008E344E" w:rsidRPr="001A1836" w:rsidRDefault="008E344E" w:rsidP="008E344E">
            <w:r w:rsidRPr="001A1836">
              <w:t>Identity Cards provided to self-employed Businesses and Engineers</w:t>
            </w:r>
          </w:p>
        </w:tc>
      </w:tr>
      <w:tr w:rsidR="008E344E" w:rsidRPr="001A1836" w14:paraId="3D71A5EF" w14:textId="77777777" w:rsidTr="008E344E">
        <w:trPr>
          <w:cantSplit/>
        </w:trPr>
        <w:tc>
          <w:tcPr>
            <w:tcW w:w="959" w:type="dxa"/>
          </w:tcPr>
          <w:p w14:paraId="4FCC1281" w14:textId="77777777" w:rsidR="008E344E" w:rsidRPr="001A1836" w:rsidRDefault="008E344E" w:rsidP="008E344E">
            <w:r w:rsidRPr="001A1836">
              <w:t>7.3</w:t>
            </w:r>
          </w:p>
        </w:tc>
        <w:tc>
          <w:tcPr>
            <w:tcW w:w="2835" w:type="dxa"/>
          </w:tcPr>
          <w:p w14:paraId="62EEB208" w14:textId="77777777" w:rsidR="008E344E" w:rsidRPr="001A1836" w:rsidRDefault="008E344E" w:rsidP="008E344E">
            <w:r w:rsidRPr="001A1836">
              <w:t>Building Regulations Certificates</w:t>
            </w:r>
          </w:p>
        </w:tc>
        <w:tc>
          <w:tcPr>
            <w:tcW w:w="4734" w:type="dxa"/>
          </w:tcPr>
          <w:p w14:paraId="7A30CE92" w14:textId="69FCE9B7" w:rsidR="008E344E" w:rsidRPr="001A1836" w:rsidRDefault="008E344E" w:rsidP="008E344E">
            <w:r w:rsidRPr="001A1836">
              <w:t xml:space="preserve">All Building Regulations Certificates provided to consumers or to local authorities warranting or representing that </w:t>
            </w:r>
            <w:r w:rsidR="000C1F5C" w:rsidRPr="001A1836">
              <w:t>Gas Work</w:t>
            </w:r>
            <w:r w:rsidRPr="001A1836">
              <w:t xml:space="preserve"> undertaken by registered Businesses or Engineers was carried out competently and according to all applicable standards </w:t>
            </w:r>
          </w:p>
        </w:tc>
      </w:tr>
      <w:tr w:rsidR="008E344E" w:rsidRPr="001A1836" w14:paraId="741EA5CF" w14:textId="77777777" w:rsidTr="001B6EBC">
        <w:trPr>
          <w:cantSplit/>
        </w:trPr>
        <w:tc>
          <w:tcPr>
            <w:tcW w:w="8528" w:type="dxa"/>
            <w:gridSpan w:val="3"/>
          </w:tcPr>
          <w:p w14:paraId="4BF79512" w14:textId="3531CEF8" w:rsidR="008E344E" w:rsidRPr="001A1836" w:rsidRDefault="008E344E" w:rsidP="008E344E">
            <w:pPr>
              <w:rPr>
                <w:b/>
              </w:rPr>
            </w:pPr>
            <w:r w:rsidRPr="001A1836">
              <w:rPr>
                <w:b/>
              </w:rPr>
              <w:t>8 Brand IPR and brand management</w:t>
            </w:r>
          </w:p>
        </w:tc>
      </w:tr>
      <w:tr w:rsidR="008E344E" w:rsidRPr="001A1836" w14:paraId="0A935384" w14:textId="77777777" w:rsidTr="008E344E">
        <w:trPr>
          <w:cantSplit/>
        </w:trPr>
        <w:tc>
          <w:tcPr>
            <w:tcW w:w="959" w:type="dxa"/>
          </w:tcPr>
          <w:p w14:paraId="56CBE0F9" w14:textId="77777777" w:rsidR="008E344E" w:rsidRPr="001A1836" w:rsidRDefault="008E344E" w:rsidP="008E344E">
            <w:r w:rsidRPr="001A1836">
              <w:t>8.1</w:t>
            </w:r>
          </w:p>
        </w:tc>
        <w:tc>
          <w:tcPr>
            <w:tcW w:w="2835" w:type="dxa"/>
          </w:tcPr>
          <w:p w14:paraId="66828426" w14:textId="52DDD536" w:rsidR="008E344E" w:rsidRPr="001A1836" w:rsidRDefault="008E344E" w:rsidP="008E344E">
            <w:r w:rsidRPr="001A1836">
              <w:t>Gas Safe Brand IPR</w:t>
            </w:r>
          </w:p>
        </w:tc>
        <w:tc>
          <w:tcPr>
            <w:tcW w:w="4734" w:type="dxa"/>
          </w:tcPr>
          <w:p w14:paraId="3814A1E3" w14:textId="6C9E19E7" w:rsidR="008E344E" w:rsidRPr="001A1836" w:rsidRDefault="008E344E" w:rsidP="008E344E">
            <w:r w:rsidRPr="001A1836">
              <w:t xml:space="preserve">All IPR subsisting in the Brand are HSE owned and used under licence in accordance with </w:t>
            </w:r>
            <w:r w:rsidR="00D3326E">
              <w:t>C</w:t>
            </w:r>
            <w:r w:rsidRPr="001A1836">
              <w:t>lause 30.</w:t>
            </w:r>
            <w:r w:rsidR="00D3326E">
              <w:t>8</w:t>
            </w:r>
            <w:r w:rsidRPr="001A1836">
              <w:t xml:space="preserve"> of the SCA</w:t>
            </w:r>
          </w:p>
        </w:tc>
      </w:tr>
      <w:tr w:rsidR="008E344E" w:rsidRPr="001A1836" w14:paraId="3BC6BD01" w14:textId="77777777" w:rsidTr="008E344E">
        <w:trPr>
          <w:cantSplit/>
        </w:trPr>
        <w:tc>
          <w:tcPr>
            <w:tcW w:w="959" w:type="dxa"/>
          </w:tcPr>
          <w:p w14:paraId="50F79E75" w14:textId="77777777" w:rsidR="008E344E" w:rsidRPr="001A1836" w:rsidRDefault="008E344E" w:rsidP="008E344E">
            <w:r w:rsidRPr="001A1836">
              <w:lastRenderedPageBreak/>
              <w:t>8.2</w:t>
            </w:r>
          </w:p>
        </w:tc>
        <w:tc>
          <w:tcPr>
            <w:tcW w:w="2835" w:type="dxa"/>
          </w:tcPr>
          <w:p w14:paraId="4686CE7D" w14:textId="77777777" w:rsidR="008E344E" w:rsidRPr="001A1836" w:rsidRDefault="008E344E" w:rsidP="008E344E">
            <w:r w:rsidRPr="001A1836">
              <w:t>Brand trade marks</w:t>
            </w:r>
          </w:p>
        </w:tc>
        <w:tc>
          <w:tcPr>
            <w:tcW w:w="4734" w:type="dxa"/>
          </w:tcPr>
          <w:p w14:paraId="3CAC5F09" w14:textId="32F5AEC4" w:rsidR="008E344E" w:rsidRPr="001A1836" w:rsidRDefault="008E344E" w:rsidP="008E344E">
            <w:r w:rsidRPr="001A1836">
              <w:t xml:space="preserve">All IPR subsisting in the Brand are HSE owned and used under licence in accordance with </w:t>
            </w:r>
            <w:r w:rsidR="00D3326E">
              <w:t>C</w:t>
            </w:r>
            <w:r w:rsidRPr="001A1836">
              <w:t>lause 30.</w:t>
            </w:r>
            <w:r w:rsidR="00D3326E">
              <w:t>8</w:t>
            </w:r>
            <w:r w:rsidRPr="001A1836">
              <w:t xml:space="preserve"> of the SCA</w:t>
            </w:r>
          </w:p>
        </w:tc>
      </w:tr>
      <w:tr w:rsidR="008E344E" w:rsidRPr="001A1836" w14:paraId="3421A581" w14:textId="77777777" w:rsidTr="008E344E">
        <w:trPr>
          <w:cantSplit/>
        </w:trPr>
        <w:tc>
          <w:tcPr>
            <w:tcW w:w="959" w:type="dxa"/>
          </w:tcPr>
          <w:p w14:paraId="524D95F2" w14:textId="77777777" w:rsidR="008E344E" w:rsidRPr="001A1836" w:rsidRDefault="008E344E" w:rsidP="008E344E">
            <w:r w:rsidRPr="001A1836">
              <w:t>8.3</w:t>
            </w:r>
          </w:p>
        </w:tc>
        <w:tc>
          <w:tcPr>
            <w:tcW w:w="2835" w:type="dxa"/>
          </w:tcPr>
          <w:p w14:paraId="057E42CE" w14:textId="77777777" w:rsidR="008E344E" w:rsidRPr="001A1836" w:rsidRDefault="008E344E" w:rsidP="008E344E">
            <w:r w:rsidRPr="001A1836">
              <w:t>Brand licences</w:t>
            </w:r>
          </w:p>
        </w:tc>
        <w:tc>
          <w:tcPr>
            <w:tcW w:w="4734" w:type="dxa"/>
          </w:tcPr>
          <w:p w14:paraId="57D57CCD" w14:textId="756A5CD4" w:rsidR="008E344E" w:rsidRPr="001A1836" w:rsidRDefault="008E344E" w:rsidP="008E344E">
            <w:r w:rsidRPr="001A1836">
              <w:t xml:space="preserve">Licences to use the Brand issued by the Provider to third-parties in accordance with </w:t>
            </w:r>
            <w:r w:rsidR="00D3326E">
              <w:t>C</w:t>
            </w:r>
            <w:r w:rsidRPr="001A1836">
              <w:t>lause 30.</w:t>
            </w:r>
            <w:r w:rsidR="00D3326E">
              <w:t>8</w:t>
            </w:r>
            <w:r w:rsidRPr="001A1836">
              <w:t xml:space="preserve"> of the SCA</w:t>
            </w:r>
          </w:p>
        </w:tc>
      </w:tr>
      <w:tr w:rsidR="008E344E" w:rsidRPr="001A1836" w14:paraId="24C98170" w14:textId="77777777" w:rsidTr="008E344E">
        <w:trPr>
          <w:cantSplit/>
        </w:trPr>
        <w:tc>
          <w:tcPr>
            <w:tcW w:w="959" w:type="dxa"/>
          </w:tcPr>
          <w:p w14:paraId="09D72853" w14:textId="77777777" w:rsidR="008E344E" w:rsidRPr="001A1836" w:rsidRDefault="008E344E" w:rsidP="008E344E">
            <w:r w:rsidRPr="001A1836">
              <w:t>8.4</w:t>
            </w:r>
          </w:p>
        </w:tc>
        <w:tc>
          <w:tcPr>
            <w:tcW w:w="2835" w:type="dxa"/>
          </w:tcPr>
          <w:p w14:paraId="1E329F31" w14:textId="77777777" w:rsidR="008E344E" w:rsidRPr="001A1836" w:rsidRDefault="008E344E" w:rsidP="008E344E">
            <w:r w:rsidRPr="001A1836">
              <w:t>Brand licencing records/data</w:t>
            </w:r>
          </w:p>
        </w:tc>
        <w:tc>
          <w:tcPr>
            <w:tcW w:w="4734" w:type="dxa"/>
          </w:tcPr>
          <w:p w14:paraId="1711E6A2" w14:textId="77777777" w:rsidR="008E344E" w:rsidRPr="001A1836" w:rsidRDefault="008E344E" w:rsidP="008E344E">
            <w:r w:rsidRPr="001A1836">
              <w:t>Brand Management – all records relating to this (as set out in more detail in Table 6)</w:t>
            </w:r>
          </w:p>
        </w:tc>
      </w:tr>
      <w:tr w:rsidR="008E344E" w:rsidRPr="001A1836" w14:paraId="71690153" w14:textId="77777777" w:rsidTr="008E344E">
        <w:trPr>
          <w:cantSplit/>
        </w:trPr>
        <w:tc>
          <w:tcPr>
            <w:tcW w:w="959" w:type="dxa"/>
          </w:tcPr>
          <w:p w14:paraId="61775C15" w14:textId="77777777" w:rsidR="008E344E" w:rsidRPr="001A1836" w:rsidRDefault="008E344E" w:rsidP="008E344E">
            <w:r w:rsidRPr="001A1836">
              <w:t>8.5</w:t>
            </w:r>
          </w:p>
        </w:tc>
        <w:tc>
          <w:tcPr>
            <w:tcW w:w="2835" w:type="dxa"/>
          </w:tcPr>
          <w:p w14:paraId="3B148CE3" w14:textId="77777777" w:rsidR="008E344E" w:rsidRPr="001A1836" w:rsidRDefault="008E344E" w:rsidP="008E344E">
            <w:r w:rsidRPr="001A1836">
              <w:t>Brand appeals data</w:t>
            </w:r>
          </w:p>
        </w:tc>
        <w:tc>
          <w:tcPr>
            <w:tcW w:w="4734" w:type="dxa"/>
          </w:tcPr>
          <w:p w14:paraId="1E6DB297" w14:textId="77777777" w:rsidR="008E344E" w:rsidRPr="001A1836" w:rsidRDefault="008E344E" w:rsidP="008E344E">
            <w:r w:rsidRPr="001A1836">
              <w:t>All records relating to these processes</w:t>
            </w:r>
          </w:p>
        </w:tc>
      </w:tr>
      <w:tr w:rsidR="008E344E" w:rsidRPr="001A1836" w14:paraId="0A748A64" w14:textId="77777777" w:rsidTr="001B6EBC">
        <w:trPr>
          <w:cantSplit/>
        </w:trPr>
        <w:tc>
          <w:tcPr>
            <w:tcW w:w="8528" w:type="dxa"/>
            <w:gridSpan w:val="3"/>
          </w:tcPr>
          <w:p w14:paraId="6464CF60" w14:textId="77777777" w:rsidR="008E344E" w:rsidRPr="001A1836" w:rsidRDefault="008E344E" w:rsidP="008E344E">
            <w:pPr>
              <w:rPr>
                <w:b/>
              </w:rPr>
            </w:pPr>
            <w:r w:rsidRPr="001A1836">
              <w:rPr>
                <w:b/>
              </w:rPr>
              <w:t>9 Marketing &amp; communications data</w:t>
            </w:r>
          </w:p>
        </w:tc>
      </w:tr>
      <w:tr w:rsidR="008E344E" w:rsidRPr="001A1836" w14:paraId="3461A377" w14:textId="77777777" w:rsidTr="008E344E">
        <w:trPr>
          <w:cantSplit/>
        </w:trPr>
        <w:tc>
          <w:tcPr>
            <w:tcW w:w="959" w:type="dxa"/>
          </w:tcPr>
          <w:p w14:paraId="33EDE31D" w14:textId="77777777" w:rsidR="008E344E" w:rsidRPr="001A1836" w:rsidRDefault="008E344E" w:rsidP="008E344E">
            <w:r w:rsidRPr="001A1836">
              <w:t>9.1</w:t>
            </w:r>
          </w:p>
        </w:tc>
        <w:tc>
          <w:tcPr>
            <w:tcW w:w="2835" w:type="dxa"/>
          </w:tcPr>
          <w:p w14:paraId="482E9FA2" w14:textId="77777777" w:rsidR="008E344E" w:rsidRPr="001A1836" w:rsidRDefault="008E344E" w:rsidP="008E344E">
            <w:r w:rsidRPr="001A1836">
              <w:t>Marketing Data/Materials</w:t>
            </w:r>
          </w:p>
        </w:tc>
        <w:tc>
          <w:tcPr>
            <w:tcW w:w="4734" w:type="dxa"/>
          </w:tcPr>
          <w:p w14:paraId="3FAEEA5C" w14:textId="77777777" w:rsidR="008E344E" w:rsidRPr="001A1836" w:rsidRDefault="008E344E" w:rsidP="008E344E">
            <w:r w:rsidRPr="001A1836">
              <w:t>Information relating to marketing activities and any materials such as leaflets, factsheets etc</w:t>
            </w:r>
          </w:p>
        </w:tc>
      </w:tr>
      <w:tr w:rsidR="008E344E" w:rsidRPr="001A1836" w14:paraId="2055FE8B" w14:textId="77777777" w:rsidTr="008E344E">
        <w:trPr>
          <w:cantSplit/>
        </w:trPr>
        <w:tc>
          <w:tcPr>
            <w:tcW w:w="959" w:type="dxa"/>
          </w:tcPr>
          <w:p w14:paraId="20C8D01E" w14:textId="77777777" w:rsidR="008E344E" w:rsidRPr="001A1836" w:rsidRDefault="008E344E" w:rsidP="008E344E">
            <w:r w:rsidRPr="001A1836">
              <w:t>9.2</w:t>
            </w:r>
          </w:p>
        </w:tc>
        <w:tc>
          <w:tcPr>
            <w:tcW w:w="2835" w:type="dxa"/>
          </w:tcPr>
          <w:p w14:paraId="52E4D81A" w14:textId="77777777" w:rsidR="008E344E" w:rsidRPr="001A1836" w:rsidRDefault="008E344E" w:rsidP="008E344E">
            <w:r w:rsidRPr="001A1836">
              <w:t>Stakeholder Data/Database</w:t>
            </w:r>
          </w:p>
        </w:tc>
        <w:tc>
          <w:tcPr>
            <w:tcW w:w="4734" w:type="dxa"/>
          </w:tcPr>
          <w:p w14:paraId="3043490B" w14:textId="77777777" w:rsidR="008E344E" w:rsidRPr="001A1836" w:rsidRDefault="008E344E" w:rsidP="008E344E">
            <w:r w:rsidRPr="001A1836">
              <w:t>List of all Register stakeholders</w:t>
            </w:r>
          </w:p>
        </w:tc>
      </w:tr>
      <w:tr w:rsidR="008E344E" w:rsidRPr="001A1836" w14:paraId="0B79B06B" w14:textId="77777777" w:rsidTr="008E344E">
        <w:trPr>
          <w:cantSplit/>
        </w:trPr>
        <w:tc>
          <w:tcPr>
            <w:tcW w:w="959" w:type="dxa"/>
          </w:tcPr>
          <w:p w14:paraId="1E12E248" w14:textId="77777777" w:rsidR="008E344E" w:rsidRPr="001A1836" w:rsidRDefault="008E344E" w:rsidP="008E344E">
            <w:r w:rsidRPr="001A1836">
              <w:t>9.3</w:t>
            </w:r>
          </w:p>
        </w:tc>
        <w:tc>
          <w:tcPr>
            <w:tcW w:w="2835" w:type="dxa"/>
          </w:tcPr>
          <w:p w14:paraId="557F9815" w14:textId="77777777" w:rsidR="008E344E" w:rsidRPr="001A1836" w:rsidRDefault="008E344E" w:rsidP="008E344E">
            <w:r w:rsidRPr="001A1836">
              <w:t>Website data/content (IPR)</w:t>
            </w:r>
          </w:p>
        </w:tc>
        <w:tc>
          <w:tcPr>
            <w:tcW w:w="4734" w:type="dxa"/>
          </w:tcPr>
          <w:p w14:paraId="1AFA32C0" w14:textId="77777777" w:rsidR="008E344E" w:rsidRPr="001A1836" w:rsidRDefault="008E344E" w:rsidP="008E344E">
            <w:r w:rsidRPr="001A1836">
              <w:t>Data/content/information published on the website</w:t>
            </w:r>
          </w:p>
        </w:tc>
      </w:tr>
      <w:tr w:rsidR="008E344E" w:rsidRPr="001A1836" w14:paraId="7222F7FD" w14:textId="77777777" w:rsidTr="008E344E">
        <w:trPr>
          <w:cantSplit/>
        </w:trPr>
        <w:tc>
          <w:tcPr>
            <w:tcW w:w="959" w:type="dxa"/>
          </w:tcPr>
          <w:p w14:paraId="5671A2FB" w14:textId="77777777" w:rsidR="008E344E" w:rsidRPr="001A1836" w:rsidRDefault="008E344E" w:rsidP="008E344E">
            <w:r w:rsidRPr="001A1836">
              <w:t>9.4</w:t>
            </w:r>
          </w:p>
        </w:tc>
        <w:tc>
          <w:tcPr>
            <w:tcW w:w="2835" w:type="dxa"/>
          </w:tcPr>
          <w:p w14:paraId="6086542B" w14:textId="77777777" w:rsidR="008E344E" w:rsidRPr="001A1836" w:rsidRDefault="008E344E" w:rsidP="008E344E">
            <w:r w:rsidRPr="001A1836">
              <w:t>Website factsheets</w:t>
            </w:r>
          </w:p>
        </w:tc>
        <w:tc>
          <w:tcPr>
            <w:tcW w:w="4734" w:type="dxa"/>
          </w:tcPr>
          <w:p w14:paraId="1C57DF6C" w14:textId="77777777" w:rsidR="008E344E" w:rsidRPr="001A1836" w:rsidRDefault="008E344E" w:rsidP="008E344E">
            <w:r w:rsidRPr="001A1836">
              <w:t>Consumer information fact sheets (as set out in more detail in Table 7)</w:t>
            </w:r>
          </w:p>
        </w:tc>
      </w:tr>
      <w:tr w:rsidR="008E344E" w:rsidRPr="001A1836" w14:paraId="28D82C1A" w14:textId="77777777" w:rsidTr="008E344E">
        <w:trPr>
          <w:cantSplit/>
        </w:trPr>
        <w:tc>
          <w:tcPr>
            <w:tcW w:w="959" w:type="dxa"/>
          </w:tcPr>
          <w:p w14:paraId="4290A93C" w14:textId="77777777" w:rsidR="008E344E" w:rsidRPr="001A1836" w:rsidRDefault="008E344E" w:rsidP="008E344E">
            <w:r w:rsidRPr="001A1836">
              <w:t>9.5</w:t>
            </w:r>
          </w:p>
        </w:tc>
        <w:tc>
          <w:tcPr>
            <w:tcW w:w="2835" w:type="dxa"/>
          </w:tcPr>
          <w:p w14:paraId="42B9343E" w14:textId="77777777" w:rsidR="008E344E" w:rsidRPr="001A1836" w:rsidRDefault="008E344E" w:rsidP="008E344E">
            <w:r w:rsidRPr="001A1836">
              <w:t>Gas Map content</w:t>
            </w:r>
          </w:p>
        </w:tc>
        <w:tc>
          <w:tcPr>
            <w:tcW w:w="4734" w:type="dxa"/>
          </w:tcPr>
          <w:p w14:paraId="5616195F" w14:textId="77777777" w:rsidR="008E344E" w:rsidRPr="001A1836" w:rsidRDefault="008E344E" w:rsidP="008E344E">
            <w:r w:rsidRPr="001A1836">
              <w:t>How safe are consumers – Service Reminder sign up</w:t>
            </w:r>
          </w:p>
        </w:tc>
      </w:tr>
      <w:tr w:rsidR="008E344E" w:rsidRPr="001A1836" w14:paraId="68762B71" w14:textId="77777777" w:rsidTr="001B6EBC">
        <w:trPr>
          <w:cantSplit/>
        </w:trPr>
        <w:tc>
          <w:tcPr>
            <w:tcW w:w="8528" w:type="dxa"/>
            <w:gridSpan w:val="3"/>
          </w:tcPr>
          <w:p w14:paraId="0820AC14" w14:textId="77777777" w:rsidR="008E344E" w:rsidRPr="001A1836" w:rsidRDefault="008E344E" w:rsidP="008E344E">
            <w:pPr>
              <w:rPr>
                <w:b/>
              </w:rPr>
            </w:pPr>
            <w:r w:rsidRPr="001A1836">
              <w:rPr>
                <w:b/>
              </w:rPr>
              <w:t>10 Stakeholder information</w:t>
            </w:r>
          </w:p>
        </w:tc>
      </w:tr>
      <w:tr w:rsidR="008E344E" w:rsidRPr="001A1836" w14:paraId="58B9E594" w14:textId="77777777" w:rsidTr="008E344E">
        <w:trPr>
          <w:cantSplit/>
        </w:trPr>
        <w:tc>
          <w:tcPr>
            <w:tcW w:w="959" w:type="dxa"/>
          </w:tcPr>
          <w:p w14:paraId="186D8663" w14:textId="77777777" w:rsidR="008E344E" w:rsidRPr="001A1836" w:rsidRDefault="008E344E" w:rsidP="008E344E">
            <w:r w:rsidRPr="001A1836">
              <w:t>10.1</w:t>
            </w:r>
          </w:p>
        </w:tc>
        <w:tc>
          <w:tcPr>
            <w:tcW w:w="2835" w:type="dxa"/>
          </w:tcPr>
          <w:p w14:paraId="3CC952DD" w14:textId="77777777" w:rsidR="008E344E" w:rsidRPr="001A1836" w:rsidRDefault="008E344E" w:rsidP="008E344E">
            <w:r w:rsidRPr="001A1836">
              <w:t>Stakeholder Data/Database</w:t>
            </w:r>
          </w:p>
        </w:tc>
        <w:tc>
          <w:tcPr>
            <w:tcW w:w="4734" w:type="dxa"/>
          </w:tcPr>
          <w:p w14:paraId="127CCC64" w14:textId="77777777" w:rsidR="008E344E" w:rsidRPr="001A1836" w:rsidRDefault="008E344E" w:rsidP="008E344E">
            <w:r w:rsidRPr="001A1836">
              <w:t>List of all Register stakeholders</w:t>
            </w:r>
          </w:p>
        </w:tc>
      </w:tr>
      <w:tr w:rsidR="008E344E" w:rsidRPr="001A1836" w14:paraId="69E7DAC1" w14:textId="77777777" w:rsidTr="008E344E">
        <w:trPr>
          <w:cantSplit/>
        </w:trPr>
        <w:tc>
          <w:tcPr>
            <w:tcW w:w="959" w:type="dxa"/>
          </w:tcPr>
          <w:p w14:paraId="6EA94304" w14:textId="77777777" w:rsidR="008E344E" w:rsidRPr="001A1836" w:rsidRDefault="008E344E" w:rsidP="008E344E">
            <w:r w:rsidRPr="001A1836">
              <w:t>10.2</w:t>
            </w:r>
          </w:p>
        </w:tc>
        <w:tc>
          <w:tcPr>
            <w:tcW w:w="2835" w:type="dxa"/>
          </w:tcPr>
          <w:p w14:paraId="6E7CF200" w14:textId="77777777" w:rsidR="008E344E" w:rsidRPr="001A1836" w:rsidRDefault="008E344E" w:rsidP="008E344E">
            <w:r w:rsidRPr="001A1836">
              <w:t>Stakeholder management data</w:t>
            </w:r>
          </w:p>
        </w:tc>
        <w:tc>
          <w:tcPr>
            <w:tcW w:w="4734" w:type="dxa"/>
          </w:tcPr>
          <w:p w14:paraId="4A5CEC73" w14:textId="77777777" w:rsidR="008E344E" w:rsidRPr="001A1836" w:rsidRDefault="008E344E" w:rsidP="008E344E">
            <w:r w:rsidRPr="001A1836">
              <w:t>All files and information relating to its membership of gas industry and other bodies where membership results from operation of the Register</w:t>
            </w:r>
          </w:p>
        </w:tc>
      </w:tr>
      <w:tr w:rsidR="008E344E" w:rsidRPr="001A1836" w14:paraId="2B0A3E97" w14:textId="77777777" w:rsidTr="001B6EBC">
        <w:trPr>
          <w:cantSplit/>
        </w:trPr>
        <w:tc>
          <w:tcPr>
            <w:tcW w:w="8528" w:type="dxa"/>
            <w:gridSpan w:val="3"/>
          </w:tcPr>
          <w:p w14:paraId="7EC01C4A" w14:textId="77777777" w:rsidR="008E344E" w:rsidRPr="001A1836" w:rsidRDefault="008E344E" w:rsidP="008E344E">
            <w:pPr>
              <w:rPr>
                <w:b/>
              </w:rPr>
            </w:pPr>
            <w:r w:rsidRPr="001A1836">
              <w:rPr>
                <w:b/>
              </w:rPr>
              <w:t>11 Technical and safety information</w:t>
            </w:r>
          </w:p>
        </w:tc>
      </w:tr>
      <w:tr w:rsidR="008E344E" w:rsidRPr="001A1836" w14:paraId="580CC3B8" w14:textId="77777777" w:rsidTr="008E344E">
        <w:trPr>
          <w:cantSplit/>
        </w:trPr>
        <w:tc>
          <w:tcPr>
            <w:tcW w:w="959" w:type="dxa"/>
          </w:tcPr>
          <w:p w14:paraId="430FFC80" w14:textId="77777777" w:rsidR="008E344E" w:rsidRPr="001A1836" w:rsidRDefault="008E344E" w:rsidP="008E344E">
            <w:r w:rsidRPr="001A1836">
              <w:t>11.1</w:t>
            </w:r>
          </w:p>
        </w:tc>
        <w:tc>
          <w:tcPr>
            <w:tcW w:w="2835" w:type="dxa"/>
          </w:tcPr>
          <w:p w14:paraId="57568594" w14:textId="269EF403" w:rsidR="008E344E" w:rsidRPr="001A1836" w:rsidRDefault="008E344E" w:rsidP="008E344E">
            <w:r w:rsidRPr="001A1836">
              <w:t>Technical standards</w:t>
            </w:r>
          </w:p>
        </w:tc>
        <w:tc>
          <w:tcPr>
            <w:tcW w:w="4734" w:type="dxa"/>
          </w:tcPr>
          <w:p w14:paraId="2D4F58C2" w14:textId="3B03EB76" w:rsidR="008E344E" w:rsidRPr="001A1836" w:rsidRDefault="008E344E" w:rsidP="008E344E"/>
        </w:tc>
      </w:tr>
      <w:tr w:rsidR="008E344E" w:rsidRPr="001A1836" w14:paraId="3A0F160E" w14:textId="77777777" w:rsidTr="008E344E">
        <w:trPr>
          <w:cantSplit/>
        </w:trPr>
        <w:tc>
          <w:tcPr>
            <w:tcW w:w="959" w:type="dxa"/>
          </w:tcPr>
          <w:p w14:paraId="7CBD615A" w14:textId="77777777" w:rsidR="008E344E" w:rsidRPr="001A1836" w:rsidRDefault="008E344E" w:rsidP="008E344E">
            <w:r w:rsidRPr="001A1836">
              <w:t>11.2</w:t>
            </w:r>
          </w:p>
        </w:tc>
        <w:tc>
          <w:tcPr>
            <w:tcW w:w="2835" w:type="dxa"/>
          </w:tcPr>
          <w:p w14:paraId="084CAF09" w14:textId="77777777" w:rsidR="008E344E" w:rsidRPr="001A1836" w:rsidRDefault="008E344E" w:rsidP="008E344E">
            <w:r w:rsidRPr="001A1836">
              <w:t>Technical bulletins</w:t>
            </w:r>
          </w:p>
        </w:tc>
        <w:tc>
          <w:tcPr>
            <w:tcW w:w="4734" w:type="dxa"/>
          </w:tcPr>
          <w:p w14:paraId="00E3B122" w14:textId="77777777" w:rsidR="008E344E" w:rsidRPr="001A1836" w:rsidRDefault="008E344E" w:rsidP="008E344E">
            <w:r w:rsidRPr="001A1836">
              <w:t>Product &amp; safety bulletins</w:t>
            </w:r>
          </w:p>
        </w:tc>
      </w:tr>
      <w:tr w:rsidR="008E344E" w:rsidRPr="001A1836" w14:paraId="70FDE843" w14:textId="77777777" w:rsidTr="008E344E">
        <w:trPr>
          <w:cantSplit/>
        </w:trPr>
        <w:tc>
          <w:tcPr>
            <w:tcW w:w="959" w:type="dxa"/>
          </w:tcPr>
          <w:p w14:paraId="6FCDF379" w14:textId="77777777" w:rsidR="008E344E" w:rsidRPr="001A1836" w:rsidRDefault="008E344E" w:rsidP="008E344E">
            <w:r w:rsidRPr="001A1836">
              <w:t>11.3</w:t>
            </w:r>
          </w:p>
        </w:tc>
        <w:tc>
          <w:tcPr>
            <w:tcW w:w="2835" w:type="dxa"/>
          </w:tcPr>
          <w:p w14:paraId="4B024CD6" w14:textId="77777777" w:rsidR="008E344E" w:rsidRPr="001A1836" w:rsidRDefault="008E344E" w:rsidP="008E344E">
            <w:r w:rsidRPr="001A1836">
              <w:t>Safety alerts</w:t>
            </w:r>
          </w:p>
        </w:tc>
        <w:tc>
          <w:tcPr>
            <w:tcW w:w="4734" w:type="dxa"/>
          </w:tcPr>
          <w:p w14:paraId="324A8C87" w14:textId="77777777" w:rsidR="008E344E" w:rsidRPr="001A1836" w:rsidRDefault="008E344E" w:rsidP="008E344E"/>
        </w:tc>
      </w:tr>
      <w:tr w:rsidR="008E344E" w:rsidRPr="001A1836" w14:paraId="3CD68FAA" w14:textId="77777777" w:rsidTr="008E344E">
        <w:trPr>
          <w:cantSplit/>
        </w:trPr>
        <w:tc>
          <w:tcPr>
            <w:tcW w:w="959" w:type="dxa"/>
          </w:tcPr>
          <w:p w14:paraId="57C44EA5" w14:textId="77777777" w:rsidR="008E344E" w:rsidRPr="001A1836" w:rsidRDefault="008E344E" w:rsidP="008E344E">
            <w:r w:rsidRPr="001A1836">
              <w:t>11.4</w:t>
            </w:r>
          </w:p>
        </w:tc>
        <w:tc>
          <w:tcPr>
            <w:tcW w:w="2835" w:type="dxa"/>
          </w:tcPr>
          <w:p w14:paraId="2109F6F8" w14:textId="77777777" w:rsidR="008E344E" w:rsidRPr="001A1836" w:rsidRDefault="008E344E" w:rsidP="008E344E">
            <w:r w:rsidRPr="001A1836">
              <w:rPr>
                <w:i/>
              </w:rPr>
              <w:t>Registered Gas Engineer</w:t>
            </w:r>
            <w:r w:rsidRPr="001A1836">
              <w:t xml:space="preserve"> / magazine articles</w:t>
            </w:r>
          </w:p>
        </w:tc>
        <w:tc>
          <w:tcPr>
            <w:tcW w:w="4734" w:type="dxa"/>
          </w:tcPr>
          <w:p w14:paraId="16545892" w14:textId="77777777" w:rsidR="008E344E" w:rsidRPr="001A1836" w:rsidRDefault="008E344E" w:rsidP="00984C94"/>
        </w:tc>
      </w:tr>
      <w:tr w:rsidR="008E344E" w:rsidRPr="001A1836" w14:paraId="020FB3ED" w14:textId="77777777" w:rsidTr="001B6EBC">
        <w:trPr>
          <w:cantSplit/>
        </w:trPr>
        <w:tc>
          <w:tcPr>
            <w:tcW w:w="8528" w:type="dxa"/>
            <w:gridSpan w:val="3"/>
          </w:tcPr>
          <w:p w14:paraId="0E523032" w14:textId="77777777" w:rsidR="008E344E" w:rsidRPr="001A1836" w:rsidRDefault="008E344E" w:rsidP="008E344E">
            <w:pPr>
              <w:rPr>
                <w:b/>
              </w:rPr>
            </w:pPr>
            <w:r w:rsidRPr="001A1836">
              <w:rPr>
                <w:b/>
              </w:rPr>
              <w:t>12 Financial</w:t>
            </w:r>
          </w:p>
        </w:tc>
      </w:tr>
      <w:tr w:rsidR="008E344E" w:rsidRPr="001A1836" w14:paraId="545FFFEB" w14:textId="77777777" w:rsidTr="008E344E">
        <w:trPr>
          <w:cantSplit/>
        </w:trPr>
        <w:tc>
          <w:tcPr>
            <w:tcW w:w="959" w:type="dxa"/>
          </w:tcPr>
          <w:p w14:paraId="2F7642B2" w14:textId="77777777" w:rsidR="008E344E" w:rsidRPr="001A1836" w:rsidRDefault="008E344E" w:rsidP="008E344E">
            <w:r w:rsidRPr="001A1836">
              <w:t>12.1</w:t>
            </w:r>
          </w:p>
        </w:tc>
        <w:tc>
          <w:tcPr>
            <w:tcW w:w="2835" w:type="dxa"/>
          </w:tcPr>
          <w:p w14:paraId="66E977F6" w14:textId="77777777" w:rsidR="008E344E" w:rsidRPr="001A1836" w:rsidRDefault="008E344E" w:rsidP="008E344E">
            <w:r w:rsidRPr="001A1836">
              <w:t xml:space="preserve">Installation Defect Repair Fund </w:t>
            </w:r>
          </w:p>
        </w:tc>
        <w:tc>
          <w:tcPr>
            <w:tcW w:w="4734" w:type="dxa"/>
          </w:tcPr>
          <w:p w14:paraId="25AC0C48" w14:textId="0C781DD1" w:rsidR="008E344E" w:rsidRPr="001A1836" w:rsidRDefault="008E344E" w:rsidP="008E344E">
            <w:r w:rsidRPr="001A1836">
              <w:t xml:space="preserve">Financial protection fund for customers with faulty installation work to allow for correction of defect where the installing business is unable to, due to being unregistered or having ceased to trade (as required by the </w:t>
            </w:r>
            <w:r w:rsidR="00E15F6A">
              <w:rPr>
                <w:lang w:val="en"/>
              </w:rPr>
              <w:t>Department for Levelling Up, Housing and Communities</w:t>
            </w:r>
            <w:r w:rsidRPr="001A1836">
              <w:t>)</w:t>
            </w:r>
          </w:p>
        </w:tc>
      </w:tr>
      <w:tr w:rsidR="008E344E" w:rsidRPr="001A1836" w14:paraId="012E6534" w14:textId="77777777" w:rsidTr="001B6EBC">
        <w:trPr>
          <w:cantSplit/>
        </w:trPr>
        <w:tc>
          <w:tcPr>
            <w:tcW w:w="8528" w:type="dxa"/>
            <w:gridSpan w:val="3"/>
          </w:tcPr>
          <w:p w14:paraId="01E9CB71" w14:textId="77777777" w:rsidR="008E344E" w:rsidRPr="001A1836" w:rsidRDefault="008E344E" w:rsidP="008E344E">
            <w:pPr>
              <w:rPr>
                <w:b/>
              </w:rPr>
            </w:pPr>
            <w:r w:rsidRPr="001A1836">
              <w:rPr>
                <w:b/>
              </w:rPr>
              <w:t>13 Field equipment</w:t>
            </w:r>
          </w:p>
        </w:tc>
      </w:tr>
      <w:tr w:rsidR="008E344E" w:rsidRPr="001A1836" w14:paraId="4CC5380D" w14:textId="77777777" w:rsidTr="008E344E">
        <w:trPr>
          <w:cantSplit/>
        </w:trPr>
        <w:tc>
          <w:tcPr>
            <w:tcW w:w="959" w:type="dxa"/>
          </w:tcPr>
          <w:p w14:paraId="02E73768" w14:textId="032941CC" w:rsidR="008E344E" w:rsidRPr="001A1836" w:rsidRDefault="008E344E" w:rsidP="008E344E">
            <w:r w:rsidRPr="001A1836">
              <w:lastRenderedPageBreak/>
              <w:t>13.</w:t>
            </w:r>
            <w:r w:rsidR="00100601">
              <w:t>1</w:t>
            </w:r>
          </w:p>
        </w:tc>
        <w:tc>
          <w:tcPr>
            <w:tcW w:w="2835" w:type="dxa"/>
          </w:tcPr>
          <w:p w14:paraId="7B453BC9" w14:textId="77777777" w:rsidR="008E344E" w:rsidRPr="001A1836" w:rsidRDefault="008E344E" w:rsidP="008E344E">
            <w:r w:rsidRPr="001A1836">
              <w:t>Online assessment software</w:t>
            </w:r>
          </w:p>
        </w:tc>
        <w:tc>
          <w:tcPr>
            <w:tcW w:w="4734" w:type="dxa"/>
          </w:tcPr>
          <w:p w14:paraId="2A139844" w14:textId="77777777" w:rsidR="008E344E" w:rsidRPr="001A1836" w:rsidRDefault="008E344E" w:rsidP="008E344E"/>
        </w:tc>
      </w:tr>
    </w:tbl>
    <w:p w14:paraId="45043246" w14:textId="77777777" w:rsidR="008E344E" w:rsidRPr="001A1836" w:rsidRDefault="008E344E" w:rsidP="008E344E"/>
    <w:p w14:paraId="4D098251" w14:textId="77777777" w:rsidR="008E344E" w:rsidRPr="001A1836" w:rsidRDefault="008E344E" w:rsidP="008E344E"/>
    <w:p w14:paraId="1DDECE96" w14:textId="77777777" w:rsidR="00C615F7" w:rsidRDefault="008E344E" w:rsidP="008E344E">
      <w:r w:rsidRPr="001A1836">
        <w:rPr>
          <w:b/>
        </w:rPr>
        <w:t xml:space="preserve">Table 2 </w:t>
      </w:r>
      <w:r w:rsidRPr="001A1836">
        <w:t>Assets 5.1: Policies</w:t>
      </w:r>
    </w:p>
    <w:p w14:paraId="2A0FC785" w14:textId="77777777" w:rsidR="008E344E" w:rsidRPr="001A1836" w:rsidRDefault="008E344E" w:rsidP="008E344E">
      <w:r w:rsidRPr="001A1836">
        <w:tab/>
      </w:r>
      <w:r w:rsidRPr="001A1836">
        <w:tab/>
      </w:r>
      <w:r w:rsidRPr="001A1836">
        <w:tab/>
      </w:r>
      <w:r w:rsidRPr="001A1836">
        <w:tab/>
      </w:r>
      <w:r w:rsidRPr="001A1836">
        <w:tab/>
      </w:r>
      <w:r w:rsidRPr="001A1836">
        <w:tab/>
      </w:r>
    </w:p>
    <w:tbl>
      <w:tblPr>
        <w:tblStyle w:val="TableGrid"/>
        <w:tblW w:w="0" w:type="auto"/>
        <w:tblLook w:val="04A0" w:firstRow="1" w:lastRow="0" w:firstColumn="1" w:lastColumn="0" w:noHBand="0" w:noVBand="1"/>
      </w:tblPr>
      <w:tblGrid>
        <w:gridCol w:w="5211"/>
        <w:gridCol w:w="3317"/>
      </w:tblGrid>
      <w:tr w:rsidR="008E344E" w:rsidRPr="001A1836" w14:paraId="034E32C4" w14:textId="77777777" w:rsidTr="008E344E">
        <w:tc>
          <w:tcPr>
            <w:tcW w:w="5211" w:type="dxa"/>
          </w:tcPr>
          <w:p w14:paraId="3A660CCA" w14:textId="77777777" w:rsidR="008E344E" w:rsidRPr="001A1836" w:rsidRDefault="008E344E" w:rsidP="008E344E">
            <w:pPr>
              <w:rPr>
                <w:rFonts w:cs="Arial"/>
                <w:b/>
              </w:rPr>
            </w:pPr>
            <w:r w:rsidRPr="001A1836">
              <w:rPr>
                <w:rFonts w:cs="Arial"/>
                <w:b/>
              </w:rPr>
              <w:t>Title</w:t>
            </w:r>
          </w:p>
        </w:tc>
        <w:tc>
          <w:tcPr>
            <w:tcW w:w="3317" w:type="dxa"/>
          </w:tcPr>
          <w:p w14:paraId="78056DB2" w14:textId="77777777" w:rsidR="008E344E" w:rsidRPr="001A1836" w:rsidRDefault="008E344E" w:rsidP="008E344E">
            <w:pPr>
              <w:rPr>
                <w:rFonts w:cs="Arial"/>
                <w:b/>
              </w:rPr>
            </w:pPr>
            <w:r w:rsidRPr="001A1836">
              <w:rPr>
                <w:rFonts w:cs="Arial"/>
                <w:b/>
              </w:rPr>
              <w:t>Audience</w:t>
            </w:r>
          </w:p>
        </w:tc>
      </w:tr>
      <w:tr w:rsidR="008E344E" w:rsidRPr="001A1836" w14:paraId="42403C3C" w14:textId="77777777" w:rsidTr="008E344E">
        <w:tc>
          <w:tcPr>
            <w:tcW w:w="5211" w:type="dxa"/>
          </w:tcPr>
          <w:p w14:paraId="69FE284C" w14:textId="77777777" w:rsidR="008E344E" w:rsidRPr="001A1836" w:rsidRDefault="008E344E" w:rsidP="008E344E">
            <w:pPr>
              <w:rPr>
                <w:rFonts w:cs="Arial"/>
              </w:rPr>
            </w:pPr>
            <w:r w:rsidRPr="001A1836">
              <w:rPr>
                <w:rFonts w:cs="Arial"/>
              </w:rPr>
              <w:t>Refund Policy</w:t>
            </w:r>
          </w:p>
        </w:tc>
        <w:tc>
          <w:tcPr>
            <w:tcW w:w="3317" w:type="dxa"/>
          </w:tcPr>
          <w:p w14:paraId="565CD410" w14:textId="77777777" w:rsidR="008E344E" w:rsidRPr="001A1836" w:rsidRDefault="008E344E" w:rsidP="008E344E">
            <w:pPr>
              <w:rPr>
                <w:rFonts w:cs="Arial"/>
              </w:rPr>
            </w:pPr>
            <w:r w:rsidRPr="001A1836">
              <w:rPr>
                <w:rFonts w:cs="Arial"/>
              </w:rPr>
              <w:t>Internal (available to public under specific need or request)</w:t>
            </w:r>
          </w:p>
        </w:tc>
      </w:tr>
      <w:tr w:rsidR="008E344E" w:rsidRPr="001A1836" w14:paraId="7BCE0456" w14:textId="77777777" w:rsidTr="008E344E">
        <w:tc>
          <w:tcPr>
            <w:tcW w:w="5211" w:type="dxa"/>
          </w:tcPr>
          <w:p w14:paraId="72307181" w14:textId="77777777" w:rsidR="008E344E" w:rsidRPr="001A1836" w:rsidRDefault="008E344E" w:rsidP="008E344E">
            <w:pPr>
              <w:rPr>
                <w:rFonts w:cs="Arial"/>
              </w:rPr>
            </w:pPr>
            <w:r w:rsidRPr="001A1836">
              <w:rPr>
                <w:rFonts w:cs="Arial"/>
              </w:rPr>
              <w:t>Installation Defect Repair Fund Policy</w:t>
            </w:r>
          </w:p>
        </w:tc>
        <w:tc>
          <w:tcPr>
            <w:tcW w:w="3317" w:type="dxa"/>
          </w:tcPr>
          <w:p w14:paraId="477F5ADF" w14:textId="77777777" w:rsidR="008E344E" w:rsidRPr="001A1836" w:rsidRDefault="008E344E" w:rsidP="008E344E">
            <w:pPr>
              <w:rPr>
                <w:rFonts w:cs="Arial"/>
              </w:rPr>
            </w:pPr>
            <w:r w:rsidRPr="001A1836">
              <w:rPr>
                <w:rFonts w:cs="Arial"/>
              </w:rPr>
              <w:t>Internal (available to public under specific need or request)</w:t>
            </w:r>
          </w:p>
        </w:tc>
      </w:tr>
      <w:tr w:rsidR="008E344E" w:rsidRPr="001A1836" w14:paraId="29698219" w14:textId="77777777" w:rsidTr="008E344E">
        <w:tc>
          <w:tcPr>
            <w:tcW w:w="5211" w:type="dxa"/>
          </w:tcPr>
          <w:p w14:paraId="29894397" w14:textId="77777777" w:rsidR="008E344E" w:rsidRPr="001A1836" w:rsidRDefault="008E344E" w:rsidP="008E344E">
            <w:pPr>
              <w:rPr>
                <w:rFonts w:cs="Arial"/>
              </w:rPr>
            </w:pPr>
            <w:r w:rsidRPr="001A1836">
              <w:rPr>
                <w:rFonts w:cs="Arial"/>
              </w:rPr>
              <w:t>Brand Enforcement Policy</w:t>
            </w:r>
          </w:p>
        </w:tc>
        <w:tc>
          <w:tcPr>
            <w:tcW w:w="3317" w:type="dxa"/>
          </w:tcPr>
          <w:p w14:paraId="11F2C483" w14:textId="77777777" w:rsidR="008E344E" w:rsidRPr="001A1836" w:rsidRDefault="008E344E" w:rsidP="008E344E">
            <w:pPr>
              <w:rPr>
                <w:rFonts w:cs="Arial"/>
              </w:rPr>
            </w:pPr>
            <w:r w:rsidRPr="001A1836">
              <w:rPr>
                <w:rFonts w:cs="Arial"/>
              </w:rPr>
              <w:t>Public</w:t>
            </w:r>
          </w:p>
        </w:tc>
      </w:tr>
      <w:tr w:rsidR="008E344E" w:rsidRPr="001A1836" w14:paraId="2A9C0E14" w14:textId="77777777" w:rsidTr="008E344E">
        <w:tc>
          <w:tcPr>
            <w:tcW w:w="5211" w:type="dxa"/>
          </w:tcPr>
          <w:p w14:paraId="4FB0CEE0" w14:textId="77777777" w:rsidR="008E344E" w:rsidRPr="001A1836" w:rsidRDefault="008E344E" w:rsidP="008E344E">
            <w:pPr>
              <w:rPr>
                <w:rFonts w:cs="Arial"/>
              </w:rPr>
            </w:pPr>
            <w:r w:rsidRPr="001A1836">
              <w:rPr>
                <w:rFonts w:cs="Arial"/>
              </w:rPr>
              <w:t>Complaints Against the Register Policy</w:t>
            </w:r>
          </w:p>
        </w:tc>
        <w:tc>
          <w:tcPr>
            <w:tcW w:w="3317" w:type="dxa"/>
          </w:tcPr>
          <w:p w14:paraId="4CFD4064" w14:textId="77777777" w:rsidR="008E344E" w:rsidRPr="001A1836" w:rsidRDefault="008E344E" w:rsidP="008E344E">
            <w:pPr>
              <w:rPr>
                <w:rFonts w:cs="Arial"/>
              </w:rPr>
            </w:pPr>
            <w:r w:rsidRPr="001A1836">
              <w:rPr>
                <w:rFonts w:cs="Arial"/>
              </w:rPr>
              <w:t>Public</w:t>
            </w:r>
          </w:p>
        </w:tc>
      </w:tr>
      <w:tr w:rsidR="008E344E" w:rsidRPr="001A1836" w14:paraId="01CA6C8C" w14:textId="77777777" w:rsidTr="008E344E">
        <w:tc>
          <w:tcPr>
            <w:tcW w:w="5211" w:type="dxa"/>
          </w:tcPr>
          <w:p w14:paraId="3FD4CF43" w14:textId="77777777" w:rsidR="008E344E" w:rsidRPr="001A1836" w:rsidRDefault="008E344E" w:rsidP="008E344E">
            <w:pPr>
              <w:rPr>
                <w:rFonts w:cs="Arial"/>
              </w:rPr>
            </w:pPr>
            <w:r w:rsidRPr="001A1836">
              <w:rPr>
                <w:rFonts w:cs="Arial"/>
              </w:rPr>
              <w:t>Consumer Policy – Our Service Explained</w:t>
            </w:r>
          </w:p>
        </w:tc>
        <w:tc>
          <w:tcPr>
            <w:tcW w:w="3317" w:type="dxa"/>
          </w:tcPr>
          <w:p w14:paraId="62200771" w14:textId="77777777" w:rsidR="008E344E" w:rsidRPr="001A1836" w:rsidRDefault="008E344E" w:rsidP="008E344E">
            <w:pPr>
              <w:rPr>
                <w:rFonts w:cs="Arial"/>
              </w:rPr>
            </w:pPr>
            <w:r w:rsidRPr="001A1836">
              <w:rPr>
                <w:rFonts w:cs="Arial"/>
              </w:rPr>
              <w:t>Public</w:t>
            </w:r>
          </w:p>
        </w:tc>
      </w:tr>
      <w:tr w:rsidR="008E344E" w:rsidRPr="001A1836" w14:paraId="02AA28C5" w14:textId="77777777" w:rsidTr="008E344E">
        <w:tc>
          <w:tcPr>
            <w:tcW w:w="5211" w:type="dxa"/>
          </w:tcPr>
          <w:p w14:paraId="4DB2D8F4" w14:textId="77777777" w:rsidR="008E344E" w:rsidRPr="001A1836" w:rsidRDefault="008E344E" w:rsidP="008E344E">
            <w:pPr>
              <w:rPr>
                <w:rFonts w:cs="Arial"/>
              </w:rPr>
            </w:pPr>
            <w:r w:rsidRPr="001A1836">
              <w:rPr>
                <w:rFonts w:cs="Arial"/>
              </w:rPr>
              <w:t>GSR Customer Charter</w:t>
            </w:r>
          </w:p>
        </w:tc>
        <w:tc>
          <w:tcPr>
            <w:tcW w:w="3317" w:type="dxa"/>
          </w:tcPr>
          <w:p w14:paraId="6139D4EB" w14:textId="77777777" w:rsidR="008E344E" w:rsidRPr="001A1836" w:rsidRDefault="008E344E" w:rsidP="008E344E">
            <w:pPr>
              <w:rPr>
                <w:rFonts w:cs="Arial"/>
              </w:rPr>
            </w:pPr>
            <w:r w:rsidRPr="001A1836">
              <w:rPr>
                <w:rFonts w:cs="Arial"/>
              </w:rPr>
              <w:t>Public</w:t>
            </w:r>
          </w:p>
        </w:tc>
      </w:tr>
      <w:tr w:rsidR="008E344E" w:rsidRPr="001A1836" w14:paraId="2461B195" w14:textId="77777777" w:rsidTr="008E344E">
        <w:tc>
          <w:tcPr>
            <w:tcW w:w="5211" w:type="dxa"/>
          </w:tcPr>
          <w:p w14:paraId="54EAC889" w14:textId="77777777" w:rsidR="008E344E" w:rsidRPr="001A1836" w:rsidRDefault="008E344E" w:rsidP="008E344E">
            <w:pPr>
              <w:rPr>
                <w:rFonts w:cs="Arial"/>
              </w:rPr>
            </w:pPr>
            <w:r w:rsidRPr="001A1836">
              <w:rPr>
                <w:rFonts w:cs="Arial"/>
              </w:rPr>
              <w:t>GSR Privacy Policy</w:t>
            </w:r>
          </w:p>
        </w:tc>
        <w:tc>
          <w:tcPr>
            <w:tcW w:w="3317" w:type="dxa"/>
          </w:tcPr>
          <w:p w14:paraId="4E1C07BD" w14:textId="77777777" w:rsidR="008E344E" w:rsidRPr="001A1836" w:rsidRDefault="008E344E" w:rsidP="008E344E">
            <w:pPr>
              <w:rPr>
                <w:rFonts w:cs="Arial"/>
              </w:rPr>
            </w:pPr>
            <w:r w:rsidRPr="001A1836">
              <w:rPr>
                <w:rFonts w:cs="Arial"/>
              </w:rPr>
              <w:t>Public</w:t>
            </w:r>
          </w:p>
        </w:tc>
      </w:tr>
      <w:tr w:rsidR="008E344E" w:rsidRPr="001A1836" w14:paraId="1D651116" w14:textId="77777777" w:rsidTr="008E344E">
        <w:tc>
          <w:tcPr>
            <w:tcW w:w="5211" w:type="dxa"/>
          </w:tcPr>
          <w:p w14:paraId="52E66563" w14:textId="77777777" w:rsidR="008E344E" w:rsidRPr="001A1836" w:rsidRDefault="008E344E" w:rsidP="008E344E">
            <w:pPr>
              <w:rPr>
                <w:rFonts w:cs="Arial"/>
              </w:rPr>
            </w:pPr>
            <w:r w:rsidRPr="001A1836">
              <w:rPr>
                <w:rFonts w:cs="Arial"/>
              </w:rPr>
              <w:t>GSR Registration Policy</w:t>
            </w:r>
          </w:p>
        </w:tc>
        <w:tc>
          <w:tcPr>
            <w:tcW w:w="3317" w:type="dxa"/>
          </w:tcPr>
          <w:p w14:paraId="6BCC7302" w14:textId="77777777" w:rsidR="008E344E" w:rsidRPr="001A1836" w:rsidRDefault="008E344E" w:rsidP="008E344E">
            <w:pPr>
              <w:rPr>
                <w:rFonts w:cs="Arial"/>
              </w:rPr>
            </w:pPr>
            <w:r w:rsidRPr="001A1836">
              <w:rPr>
                <w:rFonts w:cs="Arial"/>
              </w:rPr>
              <w:t>Public</w:t>
            </w:r>
          </w:p>
        </w:tc>
      </w:tr>
      <w:tr w:rsidR="008E344E" w:rsidRPr="001A1836" w14:paraId="66D5116F" w14:textId="77777777" w:rsidTr="008E344E">
        <w:tc>
          <w:tcPr>
            <w:tcW w:w="5211" w:type="dxa"/>
          </w:tcPr>
          <w:p w14:paraId="494D281F" w14:textId="11118BDE" w:rsidR="008E344E" w:rsidRPr="001A1836" w:rsidRDefault="008E344E" w:rsidP="008E344E">
            <w:pPr>
              <w:rPr>
                <w:rFonts w:cs="Arial"/>
              </w:rPr>
            </w:pPr>
            <w:r w:rsidRPr="001A1836">
              <w:rPr>
                <w:rFonts w:cs="Arial"/>
              </w:rPr>
              <w:t>GSR Sanctions Policy</w:t>
            </w:r>
            <w:r w:rsidR="002C0CCA">
              <w:rPr>
                <w:rFonts w:cs="Arial"/>
              </w:rPr>
              <w:t xml:space="preserve"> (includes Appeals Policy)</w:t>
            </w:r>
          </w:p>
        </w:tc>
        <w:tc>
          <w:tcPr>
            <w:tcW w:w="3317" w:type="dxa"/>
          </w:tcPr>
          <w:p w14:paraId="300910C5" w14:textId="77777777" w:rsidR="008E344E" w:rsidRPr="001A1836" w:rsidRDefault="008E344E" w:rsidP="008E344E">
            <w:pPr>
              <w:rPr>
                <w:rFonts w:cs="Arial"/>
              </w:rPr>
            </w:pPr>
            <w:r w:rsidRPr="001A1836">
              <w:rPr>
                <w:rFonts w:cs="Arial"/>
              </w:rPr>
              <w:t>Public</w:t>
            </w:r>
          </w:p>
        </w:tc>
      </w:tr>
      <w:tr w:rsidR="008E344E" w:rsidRPr="001A1836" w14:paraId="30DB1787" w14:textId="77777777" w:rsidTr="008E344E">
        <w:tc>
          <w:tcPr>
            <w:tcW w:w="5211" w:type="dxa"/>
          </w:tcPr>
          <w:p w14:paraId="170AAE30" w14:textId="44F1846C" w:rsidR="008E344E" w:rsidRPr="001A1836" w:rsidRDefault="008E344E" w:rsidP="008E344E">
            <w:pPr>
              <w:rPr>
                <w:rFonts w:cs="Arial"/>
              </w:rPr>
            </w:pPr>
            <w:r w:rsidRPr="001A1836">
              <w:rPr>
                <w:rFonts w:cs="Arial"/>
              </w:rPr>
              <w:t>Gas Safety</w:t>
            </w:r>
            <w:r w:rsidR="008D0C72">
              <w:rPr>
                <w:rFonts w:cs="Arial"/>
              </w:rPr>
              <w:t xml:space="preserve"> </w:t>
            </w:r>
            <w:r w:rsidR="00C04370">
              <w:rPr>
                <w:rFonts w:cs="Arial"/>
              </w:rPr>
              <w:t>Inspection Factsheet</w:t>
            </w:r>
          </w:p>
        </w:tc>
        <w:tc>
          <w:tcPr>
            <w:tcW w:w="3317" w:type="dxa"/>
          </w:tcPr>
          <w:p w14:paraId="0FC91945" w14:textId="77777777" w:rsidR="008E344E" w:rsidRPr="001A1836" w:rsidRDefault="008E344E" w:rsidP="008E344E">
            <w:pPr>
              <w:rPr>
                <w:rFonts w:cs="Arial"/>
              </w:rPr>
            </w:pPr>
            <w:r w:rsidRPr="001A1836">
              <w:rPr>
                <w:rFonts w:cs="Arial"/>
              </w:rPr>
              <w:t>Public</w:t>
            </w:r>
          </w:p>
        </w:tc>
      </w:tr>
    </w:tbl>
    <w:p w14:paraId="1DC4EB9F" w14:textId="5463D51B" w:rsidR="008E344E" w:rsidRPr="001A1836" w:rsidRDefault="008E344E" w:rsidP="008E344E">
      <w:pPr>
        <w:rPr>
          <w:b/>
        </w:rPr>
      </w:pPr>
    </w:p>
    <w:p w14:paraId="268FF7B3" w14:textId="77777777" w:rsidR="008E344E" w:rsidRPr="001A1836" w:rsidRDefault="008E344E" w:rsidP="008E344E">
      <w:pPr>
        <w:rPr>
          <w:b/>
        </w:rPr>
      </w:pPr>
    </w:p>
    <w:p w14:paraId="7C1E45B2" w14:textId="77777777" w:rsidR="008E344E" w:rsidRPr="001A1836" w:rsidRDefault="008E344E" w:rsidP="008E344E">
      <w:r w:rsidRPr="001A1836">
        <w:rPr>
          <w:b/>
        </w:rPr>
        <w:t xml:space="preserve">Table 3 </w:t>
      </w:r>
      <w:r w:rsidRPr="001A1836">
        <w:t>Assets 5.2: Procedures</w:t>
      </w:r>
    </w:p>
    <w:p w14:paraId="3064BC4B" w14:textId="33640C33" w:rsidR="008E344E" w:rsidRDefault="008E344E" w:rsidP="008E344E"/>
    <w:tbl>
      <w:tblPr>
        <w:tblStyle w:val="TableGrid"/>
        <w:tblW w:w="0" w:type="auto"/>
        <w:tblLayout w:type="fixed"/>
        <w:tblLook w:val="04A0" w:firstRow="1" w:lastRow="0" w:firstColumn="1" w:lastColumn="0" w:noHBand="0" w:noVBand="1"/>
      </w:tblPr>
      <w:tblGrid>
        <w:gridCol w:w="5211"/>
        <w:gridCol w:w="3317"/>
      </w:tblGrid>
      <w:tr w:rsidR="0007607F" w:rsidRPr="001A1836" w14:paraId="27FF368C" w14:textId="77777777" w:rsidTr="006110D6">
        <w:trPr>
          <w:cantSplit/>
          <w:tblHeader/>
        </w:trPr>
        <w:tc>
          <w:tcPr>
            <w:tcW w:w="5211" w:type="dxa"/>
          </w:tcPr>
          <w:p w14:paraId="57DB499B" w14:textId="77777777" w:rsidR="0007607F" w:rsidRPr="001A1836" w:rsidRDefault="0007607F" w:rsidP="006110D6">
            <w:pPr>
              <w:rPr>
                <w:b/>
              </w:rPr>
            </w:pPr>
            <w:r w:rsidRPr="001A1836">
              <w:rPr>
                <w:b/>
              </w:rPr>
              <w:t>Title</w:t>
            </w:r>
          </w:p>
        </w:tc>
        <w:tc>
          <w:tcPr>
            <w:tcW w:w="3317" w:type="dxa"/>
          </w:tcPr>
          <w:p w14:paraId="12A39105" w14:textId="77777777" w:rsidR="0007607F" w:rsidRPr="001A1836" w:rsidRDefault="0007607F" w:rsidP="006110D6">
            <w:pPr>
              <w:rPr>
                <w:b/>
              </w:rPr>
            </w:pPr>
            <w:r w:rsidRPr="001A1836">
              <w:rPr>
                <w:b/>
              </w:rPr>
              <w:t xml:space="preserve">Audience </w:t>
            </w:r>
          </w:p>
        </w:tc>
      </w:tr>
      <w:tr w:rsidR="0007607F" w:rsidRPr="001A1836" w14:paraId="16A2204A" w14:textId="77777777" w:rsidTr="006110D6">
        <w:trPr>
          <w:cantSplit/>
        </w:trPr>
        <w:tc>
          <w:tcPr>
            <w:tcW w:w="8528" w:type="dxa"/>
            <w:gridSpan w:val="2"/>
          </w:tcPr>
          <w:p w14:paraId="04DC6883" w14:textId="77777777" w:rsidR="0007607F" w:rsidRPr="001A1836" w:rsidRDefault="0007607F" w:rsidP="006110D6">
            <w:pPr>
              <w:rPr>
                <w:b/>
              </w:rPr>
            </w:pPr>
            <w:r>
              <w:rPr>
                <w:b/>
              </w:rPr>
              <w:t>Customer Service</w:t>
            </w:r>
            <w:r w:rsidRPr="001A1836">
              <w:rPr>
                <w:b/>
              </w:rPr>
              <w:t xml:space="preserve"> Centre</w:t>
            </w:r>
          </w:p>
        </w:tc>
      </w:tr>
      <w:tr w:rsidR="0007607F" w:rsidRPr="001A1836" w14:paraId="3CE18DA7" w14:textId="77777777" w:rsidTr="006110D6">
        <w:trPr>
          <w:cantSplit/>
        </w:trPr>
        <w:tc>
          <w:tcPr>
            <w:tcW w:w="5211" w:type="dxa"/>
          </w:tcPr>
          <w:p w14:paraId="64BD8149" w14:textId="77777777" w:rsidR="0007607F" w:rsidRPr="001A1836" w:rsidRDefault="0007607F" w:rsidP="006110D6"/>
        </w:tc>
        <w:tc>
          <w:tcPr>
            <w:tcW w:w="3317" w:type="dxa"/>
          </w:tcPr>
          <w:p w14:paraId="5515B585" w14:textId="77777777" w:rsidR="0007607F" w:rsidRPr="001A1836" w:rsidRDefault="0007607F" w:rsidP="006110D6"/>
        </w:tc>
      </w:tr>
      <w:tr w:rsidR="0007607F" w:rsidRPr="001A1836" w14:paraId="6B96F58C" w14:textId="77777777" w:rsidTr="006110D6">
        <w:trPr>
          <w:cantSplit/>
        </w:trPr>
        <w:tc>
          <w:tcPr>
            <w:tcW w:w="5211" w:type="dxa"/>
          </w:tcPr>
          <w:p w14:paraId="34040D72" w14:textId="77777777" w:rsidR="0007607F" w:rsidRPr="00DE39D6" w:rsidRDefault="0007607F" w:rsidP="006110D6">
            <w:pPr>
              <w:rPr>
                <w:b/>
              </w:rPr>
            </w:pPr>
            <w:r>
              <w:rPr>
                <w:b/>
              </w:rPr>
              <w:t>Consumer interaction</w:t>
            </w:r>
          </w:p>
        </w:tc>
        <w:tc>
          <w:tcPr>
            <w:tcW w:w="3317" w:type="dxa"/>
          </w:tcPr>
          <w:p w14:paraId="1A8496B9" w14:textId="77777777" w:rsidR="0007607F" w:rsidRPr="001A1836" w:rsidRDefault="0007607F" w:rsidP="006110D6"/>
        </w:tc>
      </w:tr>
      <w:tr w:rsidR="0007607F" w:rsidRPr="001A1836" w14:paraId="57F1D64A" w14:textId="77777777" w:rsidTr="006110D6">
        <w:trPr>
          <w:cantSplit/>
        </w:trPr>
        <w:tc>
          <w:tcPr>
            <w:tcW w:w="5211" w:type="dxa"/>
          </w:tcPr>
          <w:p w14:paraId="1956DA7F" w14:textId="77777777" w:rsidR="0007607F" w:rsidRPr="001A1836" w:rsidRDefault="0007607F" w:rsidP="006110D6">
            <w:r>
              <w:t>Providing consumers with advice</w:t>
            </w:r>
          </w:p>
        </w:tc>
        <w:tc>
          <w:tcPr>
            <w:tcW w:w="3317" w:type="dxa"/>
          </w:tcPr>
          <w:p w14:paraId="3408FD80" w14:textId="77777777" w:rsidR="0007607F" w:rsidRPr="001A1836" w:rsidRDefault="0007607F" w:rsidP="006110D6">
            <w:r>
              <w:t>Internal</w:t>
            </w:r>
          </w:p>
        </w:tc>
      </w:tr>
      <w:tr w:rsidR="0007607F" w:rsidRPr="001A1836" w14:paraId="6A8AD119" w14:textId="77777777" w:rsidTr="006110D6">
        <w:trPr>
          <w:cantSplit/>
        </w:trPr>
        <w:tc>
          <w:tcPr>
            <w:tcW w:w="5211" w:type="dxa"/>
          </w:tcPr>
          <w:p w14:paraId="73B6B6F6" w14:textId="77777777" w:rsidR="0007607F" w:rsidRPr="001A1836" w:rsidRDefault="0007607F" w:rsidP="006110D6">
            <w:r w:rsidRPr="00DE39D6">
              <w:rPr>
                <w:b/>
              </w:rPr>
              <w:t>Applications</w:t>
            </w:r>
          </w:p>
        </w:tc>
        <w:tc>
          <w:tcPr>
            <w:tcW w:w="3317" w:type="dxa"/>
          </w:tcPr>
          <w:p w14:paraId="4395F2A7" w14:textId="77777777" w:rsidR="0007607F" w:rsidRPr="001A1836" w:rsidRDefault="0007607F" w:rsidP="006110D6"/>
        </w:tc>
      </w:tr>
      <w:tr w:rsidR="0007607F" w:rsidRPr="001A1836" w14:paraId="7C7A51FB" w14:textId="77777777" w:rsidTr="006110D6">
        <w:trPr>
          <w:cantSplit/>
        </w:trPr>
        <w:tc>
          <w:tcPr>
            <w:tcW w:w="5211" w:type="dxa"/>
          </w:tcPr>
          <w:p w14:paraId="6A84A384" w14:textId="77777777" w:rsidR="0007607F" w:rsidRPr="00DE39D6" w:rsidRDefault="0007607F" w:rsidP="006110D6">
            <w:r>
              <w:t>Requesting application packs</w:t>
            </w:r>
          </w:p>
        </w:tc>
        <w:tc>
          <w:tcPr>
            <w:tcW w:w="3317" w:type="dxa"/>
          </w:tcPr>
          <w:p w14:paraId="7D81ED52" w14:textId="77777777" w:rsidR="0007607F" w:rsidRPr="001A1836" w:rsidRDefault="0007607F" w:rsidP="006110D6">
            <w:r>
              <w:t>Internal</w:t>
            </w:r>
          </w:p>
        </w:tc>
      </w:tr>
      <w:tr w:rsidR="0007607F" w:rsidRPr="001A1836" w14:paraId="74995C7A" w14:textId="77777777" w:rsidTr="006110D6">
        <w:trPr>
          <w:cantSplit/>
        </w:trPr>
        <w:tc>
          <w:tcPr>
            <w:tcW w:w="5211" w:type="dxa"/>
          </w:tcPr>
          <w:p w14:paraId="7BA7F94D" w14:textId="77777777" w:rsidR="0007607F" w:rsidRPr="001A1836" w:rsidRDefault="0007607F" w:rsidP="006110D6">
            <w:r>
              <w:t>Processing hard copy applications</w:t>
            </w:r>
          </w:p>
        </w:tc>
        <w:tc>
          <w:tcPr>
            <w:tcW w:w="3317" w:type="dxa"/>
          </w:tcPr>
          <w:p w14:paraId="7613E732" w14:textId="77777777" w:rsidR="0007607F" w:rsidRPr="001A1836" w:rsidRDefault="0007607F" w:rsidP="006110D6">
            <w:r>
              <w:t>Internal</w:t>
            </w:r>
          </w:p>
        </w:tc>
      </w:tr>
      <w:tr w:rsidR="0007607F" w:rsidRPr="001A1836" w14:paraId="6EFB2152" w14:textId="77777777" w:rsidTr="006110D6">
        <w:trPr>
          <w:cantSplit/>
        </w:trPr>
        <w:tc>
          <w:tcPr>
            <w:tcW w:w="5211" w:type="dxa"/>
          </w:tcPr>
          <w:p w14:paraId="3A7DA324" w14:textId="77777777" w:rsidR="0007607F" w:rsidRPr="001A1836" w:rsidRDefault="0007607F" w:rsidP="006110D6">
            <w:r>
              <w:t>Probationary forms</w:t>
            </w:r>
          </w:p>
        </w:tc>
        <w:tc>
          <w:tcPr>
            <w:tcW w:w="3317" w:type="dxa"/>
          </w:tcPr>
          <w:p w14:paraId="00E8686F" w14:textId="77777777" w:rsidR="0007607F" w:rsidRPr="001A1836" w:rsidRDefault="0007607F" w:rsidP="006110D6">
            <w:r>
              <w:t>Internal</w:t>
            </w:r>
          </w:p>
        </w:tc>
      </w:tr>
      <w:tr w:rsidR="0007607F" w:rsidRPr="001A1836" w14:paraId="79143E16" w14:textId="77777777" w:rsidTr="006110D6">
        <w:trPr>
          <w:cantSplit/>
        </w:trPr>
        <w:tc>
          <w:tcPr>
            <w:tcW w:w="5211" w:type="dxa"/>
          </w:tcPr>
          <w:p w14:paraId="333A2D12" w14:textId="77777777" w:rsidR="0007607F" w:rsidRPr="001A1836" w:rsidRDefault="0007607F" w:rsidP="006110D6">
            <w:r>
              <w:t>Probationary booking process</w:t>
            </w:r>
          </w:p>
        </w:tc>
        <w:tc>
          <w:tcPr>
            <w:tcW w:w="3317" w:type="dxa"/>
          </w:tcPr>
          <w:p w14:paraId="59DFC84E" w14:textId="77777777" w:rsidR="0007607F" w:rsidRPr="001A1836" w:rsidRDefault="0007607F" w:rsidP="006110D6">
            <w:r>
              <w:t>Internal</w:t>
            </w:r>
          </w:p>
        </w:tc>
      </w:tr>
      <w:tr w:rsidR="0007607F" w:rsidRPr="001A1836" w14:paraId="7E450E96" w14:textId="77777777" w:rsidTr="006110D6">
        <w:trPr>
          <w:cantSplit/>
        </w:trPr>
        <w:tc>
          <w:tcPr>
            <w:tcW w:w="5211" w:type="dxa"/>
          </w:tcPr>
          <w:p w14:paraId="189EC576" w14:textId="77777777" w:rsidR="0007607F" w:rsidRPr="001A1836" w:rsidRDefault="0007607F" w:rsidP="006110D6">
            <w:r>
              <w:t>Web applications</w:t>
            </w:r>
          </w:p>
        </w:tc>
        <w:tc>
          <w:tcPr>
            <w:tcW w:w="3317" w:type="dxa"/>
          </w:tcPr>
          <w:p w14:paraId="1E09EFE6" w14:textId="77777777" w:rsidR="0007607F" w:rsidRPr="001A1836" w:rsidRDefault="0007607F" w:rsidP="006110D6">
            <w:r>
              <w:t>Internal</w:t>
            </w:r>
          </w:p>
        </w:tc>
      </w:tr>
      <w:tr w:rsidR="0007607F" w:rsidRPr="001A1836" w14:paraId="4D788E70" w14:textId="77777777" w:rsidTr="006110D6">
        <w:trPr>
          <w:cantSplit/>
        </w:trPr>
        <w:tc>
          <w:tcPr>
            <w:tcW w:w="5211" w:type="dxa"/>
          </w:tcPr>
          <w:p w14:paraId="3A4D8DFF" w14:textId="77777777" w:rsidR="0007607F" w:rsidRPr="00DE39D6" w:rsidRDefault="0007607F" w:rsidP="006110D6">
            <w:pPr>
              <w:rPr>
                <w:b/>
              </w:rPr>
            </w:pPr>
            <w:r>
              <w:rPr>
                <w:b/>
              </w:rPr>
              <w:t>Complaints</w:t>
            </w:r>
          </w:p>
        </w:tc>
        <w:tc>
          <w:tcPr>
            <w:tcW w:w="3317" w:type="dxa"/>
          </w:tcPr>
          <w:p w14:paraId="4C4D5311" w14:textId="77777777" w:rsidR="0007607F" w:rsidRPr="001A1836" w:rsidRDefault="0007607F" w:rsidP="006110D6"/>
        </w:tc>
      </w:tr>
      <w:tr w:rsidR="0007607F" w:rsidRPr="001A1836" w14:paraId="30A91088" w14:textId="77777777" w:rsidTr="006110D6">
        <w:trPr>
          <w:cantSplit/>
        </w:trPr>
        <w:tc>
          <w:tcPr>
            <w:tcW w:w="5211" w:type="dxa"/>
          </w:tcPr>
          <w:p w14:paraId="24FD41AB" w14:textId="77777777" w:rsidR="0007607F" w:rsidRPr="001A1836" w:rsidRDefault="0007607F" w:rsidP="006110D6">
            <w:r>
              <w:t>Taking a complaint over the phone</w:t>
            </w:r>
          </w:p>
        </w:tc>
        <w:tc>
          <w:tcPr>
            <w:tcW w:w="3317" w:type="dxa"/>
          </w:tcPr>
          <w:p w14:paraId="22CD14F0" w14:textId="77777777" w:rsidR="0007607F" w:rsidRPr="001A1836" w:rsidRDefault="0007607F" w:rsidP="006110D6">
            <w:r>
              <w:t>Internal</w:t>
            </w:r>
          </w:p>
        </w:tc>
      </w:tr>
      <w:tr w:rsidR="0007607F" w:rsidRPr="001A1836" w14:paraId="44CA5092" w14:textId="77777777" w:rsidTr="006110D6">
        <w:trPr>
          <w:cantSplit/>
        </w:trPr>
        <w:tc>
          <w:tcPr>
            <w:tcW w:w="5211" w:type="dxa"/>
          </w:tcPr>
          <w:p w14:paraId="60EC06F9" w14:textId="77777777" w:rsidR="0007607F" w:rsidRPr="001A1836" w:rsidRDefault="0007607F" w:rsidP="006110D6">
            <w:r>
              <w:lastRenderedPageBreak/>
              <w:t>Complaint appointments</w:t>
            </w:r>
          </w:p>
        </w:tc>
        <w:tc>
          <w:tcPr>
            <w:tcW w:w="3317" w:type="dxa"/>
          </w:tcPr>
          <w:p w14:paraId="59D468EE" w14:textId="77777777" w:rsidR="0007607F" w:rsidRPr="001A1836" w:rsidRDefault="0007607F" w:rsidP="006110D6">
            <w:r>
              <w:t>Internal</w:t>
            </w:r>
          </w:p>
        </w:tc>
      </w:tr>
      <w:tr w:rsidR="0007607F" w:rsidRPr="001A1836" w14:paraId="7531BCA9" w14:textId="77777777" w:rsidTr="006110D6">
        <w:trPr>
          <w:cantSplit/>
        </w:trPr>
        <w:tc>
          <w:tcPr>
            <w:tcW w:w="5211" w:type="dxa"/>
          </w:tcPr>
          <w:p w14:paraId="2081D046" w14:textId="77777777" w:rsidR="0007607F" w:rsidRPr="001A1836" w:rsidRDefault="0007607F" w:rsidP="006110D6">
            <w:r>
              <w:t>Complaint defect chase</w:t>
            </w:r>
          </w:p>
        </w:tc>
        <w:tc>
          <w:tcPr>
            <w:tcW w:w="3317" w:type="dxa"/>
          </w:tcPr>
          <w:p w14:paraId="2F1FE21A" w14:textId="77777777" w:rsidR="0007607F" w:rsidRPr="001A1836" w:rsidRDefault="0007607F" w:rsidP="006110D6">
            <w:r>
              <w:t>Internal</w:t>
            </w:r>
          </w:p>
        </w:tc>
      </w:tr>
      <w:tr w:rsidR="0007607F" w:rsidRPr="001A1836" w14:paraId="2932D492" w14:textId="77777777" w:rsidTr="006110D6">
        <w:trPr>
          <w:cantSplit/>
        </w:trPr>
        <w:tc>
          <w:tcPr>
            <w:tcW w:w="5211" w:type="dxa"/>
          </w:tcPr>
          <w:p w14:paraId="101F8899" w14:textId="77777777" w:rsidR="0007607F" w:rsidRPr="00DE39D6" w:rsidRDefault="0007607F" w:rsidP="006110D6">
            <w:pPr>
              <w:rPr>
                <w:b/>
              </w:rPr>
            </w:pPr>
            <w:r>
              <w:rPr>
                <w:b/>
              </w:rPr>
              <w:t>Registration maintenance</w:t>
            </w:r>
          </w:p>
        </w:tc>
        <w:tc>
          <w:tcPr>
            <w:tcW w:w="3317" w:type="dxa"/>
          </w:tcPr>
          <w:p w14:paraId="24C809F5" w14:textId="77777777" w:rsidR="0007607F" w:rsidRPr="001A1836" w:rsidRDefault="0007607F" w:rsidP="006110D6"/>
        </w:tc>
      </w:tr>
      <w:tr w:rsidR="0007607F" w:rsidRPr="001A1836" w14:paraId="0432D560" w14:textId="77777777" w:rsidTr="006110D6">
        <w:trPr>
          <w:cantSplit/>
        </w:trPr>
        <w:tc>
          <w:tcPr>
            <w:tcW w:w="5211" w:type="dxa"/>
          </w:tcPr>
          <w:p w14:paraId="1E11B357" w14:textId="77777777" w:rsidR="0007607F" w:rsidRPr="001A1836" w:rsidRDefault="0007607F" w:rsidP="006110D6">
            <w:r w:rsidRPr="001A1836">
              <w:t>Change of trading title</w:t>
            </w:r>
          </w:p>
        </w:tc>
        <w:tc>
          <w:tcPr>
            <w:tcW w:w="3317" w:type="dxa"/>
          </w:tcPr>
          <w:p w14:paraId="2819E354" w14:textId="77777777" w:rsidR="0007607F" w:rsidRPr="001A1836" w:rsidRDefault="0007607F" w:rsidP="006110D6">
            <w:r w:rsidRPr="001A1836">
              <w:t>Internal</w:t>
            </w:r>
          </w:p>
        </w:tc>
      </w:tr>
      <w:tr w:rsidR="0007607F" w:rsidRPr="001A1836" w14:paraId="0C60A7B8" w14:textId="77777777" w:rsidTr="006110D6">
        <w:trPr>
          <w:cantSplit/>
        </w:trPr>
        <w:tc>
          <w:tcPr>
            <w:tcW w:w="5211" w:type="dxa"/>
          </w:tcPr>
          <w:p w14:paraId="2D307EC5" w14:textId="77777777" w:rsidR="0007607F" w:rsidRPr="001A1836" w:rsidRDefault="0007607F" w:rsidP="006110D6">
            <w:r w:rsidRPr="001A1836">
              <w:t>Cancelling a registration</w:t>
            </w:r>
          </w:p>
        </w:tc>
        <w:tc>
          <w:tcPr>
            <w:tcW w:w="3317" w:type="dxa"/>
          </w:tcPr>
          <w:p w14:paraId="387C1C91" w14:textId="77777777" w:rsidR="0007607F" w:rsidRPr="001A1836" w:rsidRDefault="0007607F" w:rsidP="006110D6">
            <w:r w:rsidRPr="001A1836">
              <w:t>Internal</w:t>
            </w:r>
          </w:p>
        </w:tc>
      </w:tr>
      <w:tr w:rsidR="0007607F" w:rsidRPr="001A1836" w14:paraId="43986B36" w14:textId="77777777" w:rsidTr="006110D6">
        <w:trPr>
          <w:cantSplit/>
        </w:trPr>
        <w:tc>
          <w:tcPr>
            <w:tcW w:w="5211" w:type="dxa"/>
          </w:tcPr>
          <w:p w14:paraId="730EE46E" w14:textId="77777777" w:rsidR="0007607F" w:rsidRPr="001A1836" w:rsidRDefault="0007607F" w:rsidP="006110D6"/>
        </w:tc>
        <w:tc>
          <w:tcPr>
            <w:tcW w:w="3317" w:type="dxa"/>
          </w:tcPr>
          <w:p w14:paraId="1D5E3EB5" w14:textId="77777777" w:rsidR="0007607F" w:rsidRPr="001A1836" w:rsidRDefault="0007607F" w:rsidP="006110D6"/>
        </w:tc>
      </w:tr>
      <w:tr w:rsidR="0007607F" w:rsidRPr="001A1836" w14:paraId="1509426B" w14:textId="77777777" w:rsidTr="006110D6">
        <w:trPr>
          <w:cantSplit/>
        </w:trPr>
        <w:tc>
          <w:tcPr>
            <w:tcW w:w="5211" w:type="dxa"/>
          </w:tcPr>
          <w:p w14:paraId="4955DF11" w14:textId="77777777" w:rsidR="0007607F" w:rsidRPr="001A1836" w:rsidRDefault="0007607F" w:rsidP="006110D6">
            <w:r w:rsidRPr="001A1836">
              <w:t>Adding photo</w:t>
            </w:r>
            <w:r>
              <w:t>graph</w:t>
            </w:r>
            <w:r w:rsidRPr="001A1836">
              <w:t>s</w:t>
            </w:r>
          </w:p>
        </w:tc>
        <w:tc>
          <w:tcPr>
            <w:tcW w:w="3317" w:type="dxa"/>
          </w:tcPr>
          <w:p w14:paraId="7E5B70F4" w14:textId="77777777" w:rsidR="0007607F" w:rsidRPr="001A1836" w:rsidRDefault="0007607F" w:rsidP="006110D6">
            <w:r w:rsidRPr="001A1836">
              <w:t>Internal</w:t>
            </w:r>
          </w:p>
        </w:tc>
      </w:tr>
      <w:tr w:rsidR="0007607F" w:rsidRPr="001A1836" w14:paraId="514ED414" w14:textId="77777777" w:rsidTr="006110D6">
        <w:trPr>
          <w:cantSplit/>
        </w:trPr>
        <w:tc>
          <w:tcPr>
            <w:tcW w:w="5211" w:type="dxa"/>
          </w:tcPr>
          <w:p w14:paraId="1F45CD6D" w14:textId="77777777" w:rsidR="0007607F" w:rsidRPr="001A1836" w:rsidRDefault="0007607F" w:rsidP="006110D6"/>
        </w:tc>
        <w:tc>
          <w:tcPr>
            <w:tcW w:w="3317" w:type="dxa"/>
          </w:tcPr>
          <w:p w14:paraId="53E69E2C" w14:textId="77777777" w:rsidR="0007607F" w:rsidRPr="001A1836" w:rsidRDefault="0007607F" w:rsidP="006110D6"/>
        </w:tc>
      </w:tr>
      <w:tr w:rsidR="0007607F" w:rsidRPr="001A1836" w14:paraId="2755A096" w14:textId="77777777" w:rsidTr="006110D6">
        <w:trPr>
          <w:cantSplit/>
        </w:trPr>
        <w:tc>
          <w:tcPr>
            <w:tcW w:w="5211" w:type="dxa"/>
          </w:tcPr>
          <w:p w14:paraId="582AD1CA" w14:textId="77777777" w:rsidR="0007607F" w:rsidRPr="001A1836" w:rsidRDefault="0007607F" w:rsidP="006110D6">
            <w:r w:rsidRPr="001A1836">
              <w:t>Requesting licence card</w:t>
            </w:r>
          </w:p>
        </w:tc>
        <w:tc>
          <w:tcPr>
            <w:tcW w:w="3317" w:type="dxa"/>
          </w:tcPr>
          <w:p w14:paraId="7DBF1A01" w14:textId="77777777" w:rsidR="0007607F" w:rsidRPr="001A1836" w:rsidRDefault="0007607F" w:rsidP="006110D6">
            <w:r w:rsidRPr="001A1836">
              <w:t>Internal</w:t>
            </w:r>
          </w:p>
        </w:tc>
      </w:tr>
      <w:tr w:rsidR="0007607F" w:rsidRPr="001A1836" w14:paraId="42FFD7E9" w14:textId="77777777" w:rsidTr="006110D6">
        <w:trPr>
          <w:cantSplit/>
        </w:trPr>
        <w:tc>
          <w:tcPr>
            <w:tcW w:w="5211" w:type="dxa"/>
          </w:tcPr>
          <w:p w14:paraId="1AFE56AA" w14:textId="77777777" w:rsidR="0007607F" w:rsidRPr="001A1836" w:rsidRDefault="0007607F" w:rsidP="006110D6">
            <w:r w:rsidRPr="001A1836">
              <w:t>Change of details</w:t>
            </w:r>
          </w:p>
        </w:tc>
        <w:tc>
          <w:tcPr>
            <w:tcW w:w="3317" w:type="dxa"/>
          </w:tcPr>
          <w:p w14:paraId="2A4F65C4" w14:textId="77777777" w:rsidR="0007607F" w:rsidRPr="001A1836" w:rsidRDefault="0007607F" w:rsidP="006110D6">
            <w:r w:rsidRPr="001A1836">
              <w:t>Internal</w:t>
            </w:r>
          </w:p>
        </w:tc>
      </w:tr>
      <w:tr w:rsidR="0007607F" w:rsidRPr="001A1836" w14:paraId="60F294D2" w14:textId="77777777" w:rsidTr="006110D6">
        <w:trPr>
          <w:cantSplit/>
        </w:trPr>
        <w:tc>
          <w:tcPr>
            <w:tcW w:w="5211" w:type="dxa"/>
          </w:tcPr>
          <w:p w14:paraId="6C0AD8F6" w14:textId="77777777" w:rsidR="0007607F" w:rsidRPr="001A1836" w:rsidRDefault="0007607F" w:rsidP="006110D6">
            <w:r w:rsidRPr="001A1836">
              <w:t>Name change by deed poll</w:t>
            </w:r>
          </w:p>
        </w:tc>
        <w:tc>
          <w:tcPr>
            <w:tcW w:w="3317" w:type="dxa"/>
          </w:tcPr>
          <w:p w14:paraId="773254F8" w14:textId="77777777" w:rsidR="0007607F" w:rsidRPr="001A1836" w:rsidRDefault="0007607F" w:rsidP="006110D6">
            <w:r w:rsidRPr="001A1836">
              <w:t>Internal</w:t>
            </w:r>
          </w:p>
        </w:tc>
      </w:tr>
      <w:tr w:rsidR="0007607F" w:rsidRPr="001A1836" w14:paraId="18A5E80A" w14:textId="77777777" w:rsidTr="006110D6">
        <w:trPr>
          <w:cantSplit/>
        </w:trPr>
        <w:tc>
          <w:tcPr>
            <w:tcW w:w="5211" w:type="dxa"/>
          </w:tcPr>
          <w:p w14:paraId="55441753" w14:textId="77777777" w:rsidR="0007607F" w:rsidRPr="001A1836" w:rsidRDefault="0007607F" w:rsidP="006110D6">
            <w:r w:rsidRPr="001A1836">
              <w:t>Ceased to trade</w:t>
            </w:r>
          </w:p>
        </w:tc>
        <w:tc>
          <w:tcPr>
            <w:tcW w:w="3317" w:type="dxa"/>
          </w:tcPr>
          <w:p w14:paraId="303FBF98" w14:textId="77777777" w:rsidR="0007607F" w:rsidRPr="001A1836" w:rsidRDefault="0007607F" w:rsidP="006110D6">
            <w:r w:rsidRPr="001A1836">
              <w:t>Internal</w:t>
            </w:r>
          </w:p>
        </w:tc>
      </w:tr>
      <w:tr w:rsidR="0007607F" w:rsidRPr="001A1836" w14:paraId="3F76DC0F" w14:textId="77777777" w:rsidTr="006110D6">
        <w:trPr>
          <w:cantSplit/>
        </w:trPr>
        <w:tc>
          <w:tcPr>
            <w:tcW w:w="5211" w:type="dxa"/>
          </w:tcPr>
          <w:p w14:paraId="2FC3757E" w14:textId="77777777" w:rsidR="0007607F" w:rsidRPr="001A1836" w:rsidRDefault="0007607F" w:rsidP="006110D6">
            <w:r w:rsidRPr="001A1836">
              <w:t>Setting up website log-in</w:t>
            </w:r>
          </w:p>
        </w:tc>
        <w:tc>
          <w:tcPr>
            <w:tcW w:w="3317" w:type="dxa"/>
          </w:tcPr>
          <w:p w14:paraId="787F1C8A" w14:textId="77777777" w:rsidR="0007607F" w:rsidRPr="001A1836" w:rsidRDefault="0007607F" w:rsidP="006110D6">
            <w:r w:rsidRPr="001A1836">
              <w:t>Internal</w:t>
            </w:r>
          </w:p>
        </w:tc>
      </w:tr>
      <w:tr w:rsidR="0007607F" w:rsidRPr="001A1836" w14:paraId="135CB7BA" w14:textId="77777777" w:rsidTr="006110D6">
        <w:trPr>
          <w:cantSplit/>
        </w:trPr>
        <w:tc>
          <w:tcPr>
            <w:tcW w:w="5211" w:type="dxa"/>
          </w:tcPr>
          <w:p w14:paraId="4DE50417" w14:textId="77777777" w:rsidR="0007607F" w:rsidRPr="001A1836" w:rsidRDefault="0007607F" w:rsidP="006110D6">
            <w:r w:rsidRPr="001A1836">
              <w:t>Concerns over behaviours due to social Issues</w:t>
            </w:r>
          </w:p>
        </w:tc>
        <w:tc>
          <w:tcPr>
            <w:tcW w:w="3317" w:type="dxa"/>
          </w:tcPr>
          <w:p w14:paraId="65DABB9F" w14:textId="77777777" w:rsidR="0007607F" w:rsidRPr="001A1836" w:rsidRDefault="0007607F" w:rsidP="006110D6">
            <w:r w:rsidRPr="001A1836">
              <w:t>Internal</w:t>
            </w:r>
          </w:p>
        </w:tc>
      </w:tr>
      <w:tr w:rsidR="0007607F" w:rsidRPr="001A1836" w14:paraId="062C0403" w14:textId="77777777" w:rsidTr="006110D6">
        <w:trPr>
          <w:cantSplit/>
        </w:trPr>
        <w:tc>
          <w:tcPr>
            <w:tcW w:w="5211" w:type="dxa"/>
          </w:tcPr>
          <w:p w14:paraId="670122CD" w14:textId="77777777" w:rsidR="0007607F" w:rsidRPr="001A1836" w:rsidRDefault="0007607F" w:rsidP="006110D6">
            <w:r w:rsidRPr="001A1836">
              <w:t>Cancelling/rearranging appointments</w:t>
            </w:r>
          </w:p>
        </w:tc>
        <w:tc>
          <w:tcPr>
            <w:tcW w:w="3317" w:type="dxa"/>
          </w:tcPr>
          <w:p w14:paraId="31A0F036" w14:textId="77777777" w:rsidR="0007607F" w:rsidRPr="001A1836" w:rsidRDefault="0007607F" w:rsidP="006110D6">
            <w:r w:rsidRPr="001A1836">
              <w:t>Internal</w:t>
            </w:r>
          </w:p>
        </w:tc>
      </w:tr>
      <w:tr w:rsidR="0007607F" w:rsidRPr="001A1836" w14:paraId="6E752B32" w14:textId="77777777" w:rsidTr="006110D6">
        <w:trPr>
          <w:cantSplit/>
        </w:trPr>
        <w:tc>
          <w:tcPr>
            <w:tcW w:w="5211" w:type="dxa"/>
          </w:tcPr>
          <w:p w14:paraId="61A2AA00" w14:textId="77777777" w:rsidR="0007607F" w:rsidRPr="001A1836" w:rsidRDefault="0007607F" w:rsidP="006110D6">
            <w:r w:rsidRPr="001A1836">
              <w:t>Non-complaint defect chase</w:t>
            </w:r>
          </w:p>
        </w:tc>
        <w:tc>
          <w:tcPr>
            <w:tcW w:w="3317" w:type="dxa"/>
          </w:tcPr>
          <w:p w14:paraId="3860A3B5" w14:textId="77777777" w:rsidR="0007607F" w:rsidRPr="001A1836" w:rsidRDefault="0007607F" w:rsidP="006110D6">
            <w:r w:rsidRPr="001A1836">
              <w:t>Internal</w:t>
            </w:r>
          </w:p>
        </w:tc>
      </w:tr>
      <w:tr w:rsidR="0007607F" w:rsidRPr="001A1836" w14:paraId="4C451FB6" w14:textId="77777777" w:rsidTr="006110D6">
        <w:trPr>
          <w:cantSplit/>
        </w:trPr>
        <w:tc>
          <w:tcPr>
            <w:tcW w:w="5211" w:type="dxa"/>
          </w:tcPr>
          <w:p w14:paraId="20071234" w14:textId="77777777" w:rsidR="0007607F" w:rsidRPr="001A1836" w:rsidRDefault="0007607F" w:rsidP="006110D6">
            <w:r w:rsidRPr="001A1836">
              <w:t>Change of engineer details</w:t>
            </w:r>
          </w:p>
        </w:tc>
        <w:tc>
          <w:tcPr>
            <w:tcW w:w="3317" w:type="dxa"/>
          </w:tcPr>
          <w:p w14:paraId="4A52243D" w14:textId="77777777" w:rsidR="0007607F" w:rsidRPr="001A1836" w:rsidRDefault="0007607F" w:rsidP="006110D6">
            <w:r w:rsidRPr="001A1836">
              <w:t>Internal</w:t>
            </w:r>
          </w:p>
        </w:tc>
      </w:tr>
      <w:tr w:rsidR="0007607F" w:rsidRPr="001A1836" w14:paraId="7B23EAB4" w14:textId="77777777" w:rsidTr="006110D6">
        <w:trPr>
          <w:cantSplit/>
        </w:trPr>
        <w:tc>
          <w:tcPr>
            <w:tcW w:w="5211" w:type="dxa"/>
          </w:tcPr>
          <w:p w14:paraId="12DE6402" w14:textId="77777777" w:rsidR="0007607F" w:rsidRPr="001A1836" w:rsidRDefault="0007607F" w:rsidP="006110D6">
            <w:r w:rsidRPr="001A1836">
              <w:t>Work inspection appointments</w:t>
            </w:r>
          </w:p>
        </w:tc>
        <w:tc>
          <w:tcPr>
            <w:tcW w:w="3317" w:type="dxa"/>
          </w:tcPr>
          <w:p w14:paraId="78AF60DD" w14:textId="77777777" w:rsidR="0007607F" w:rsidRPr="001A1836" w:rsidRDefault="0007607F" w:rsidP="006110D6">
            <w:r w:rsidRPr="001A1836">
              <w:t>Internal</w:t>
            </w:r>
          </w:p>
        </w:tc>
      </w:tr>
      <w:tr w:rsidR="0007607F" w:rsidRPr="001A1836" w14:paraId="01507047" w14:textId="77777777" w:rsidTr="006110D6">
        <w:trPr>
          <w:cantSplit/>
        </w:trPr>
        <w:tc>
          <w:tcPr>
            <w:tcW w:w="5211" w:type="dxa"/>
          </w:tcPr>
          <w:p w14:paraId="2BEFF54D" w14:textId="77777777" w:rsidR="0007607F" w:rsidRPr="001A1836" w:rsidRDefault="0007607F" w:rsidP="006110D6">
            <w:r w:rsidRPr="001A1836">
              <w:t>Hiding information from the web</w:t>
            </w:r>
          </w:p>
        </w:tc>
        <w:tc>
          <w:tcPr>
            <w:tcW w:w="3317" w:type="dxa"/>
          </w:tcPr>
          <w:p w14:paraId="2FA252D5" w14:textId="77777777" w:rsidR="0007607F" w:rsidRPr="001A1836" w:rsidRDefault="0007607F" w:rsidP="006110D6">
            <w:r w:rsidRPr="001A1836">
              <w:t>Internal</w:t>
            </w:r>
          </w:p>
        </w:tc>
      </w:tr>
      <w:tr w:rsidR="0007607F" w:rsidRPr="001A1836" w14:paraId="25AE6F73" w14:textId="77777777" w:rsidTr="006110D6">
        <w:trPr>
          <w:cantSplit/>
        </w:trPr>
        <w:tc>
          <w:tcPr>
            <w:tcW w:w="5211" w:type="dxa"/>
          </w:tcPr>
          <w:p w14:paraId="05EFFE6E" w14:textId="77777777" w:rsidR="0007607F" w:rsidRPr="001A1836" w:rsidRDefault="0007607F" w:rsidP="006110D6"/>
        </w:tc>
        <w:tc>
          <w:tcPr>
            <w:tcW w:w="3317" w:type="dxa"/>
          </w:tcPr>
          <w:p w14:paraId="63008300" w14:textId="77777777" w:rsidR="0007607F" w:rsidRPr="001A1836" w:rsidRDefault="0007607F" w:rsidP="006110D6"/>
        </w:tc>
      </w:tr>
      <w:tr w:rsidR="0007607F" w:rsidRPr="001A1836" w14:paraId="2D2FD821" w14:textId="77777777" w:rsidTr="006110D6">
        <w:trPr>
          <w:cantSplit/>
        </w:trPr>
        <w:tc>
          <w:tcPr>
            <w:tcW w:w="5211" w:type="dxa"/>
          </w:tcPr>
          <w:p w14:paraId="2FF65E34" w14:textId="77777777" w:rsidR="0007607F" w:rsidRPr="001A1836" w:rsidRDefault="0007607F" w:rsidP="006110D6">
            <w:r w:rsidRPr="001A1836">
              <w:t>Working out of scope</w:t>
            </w:r>
          </w:p>
        </w:tc>
        <w:tc>
          <w:tcPr>
            <w:tcW w:w="3317" w:type="dxa"/>
          </w:tcPr>
          <w:p w14:paraId="1988B90D" w14:textId="77777777" w:rsidR="0007607F" w:rsidRPr="001A1836" w:rsidRDefault="0007607F" w:rsidP="006110D6">
            <w:r w:rsidRPr="001A1836">
              <w:t>Internal</w:t>
            </w:r>
          </w:p>
        </w:tc>
      </w:tr>
      <w:tr w:rsidR="0007607F" w:rsidRPr="001A1836" w14:paraId="232C8349" w14:textId="77777777" w:rsidTr="006110D6">
        <w:trPr>
          <w:cantSplit/>
        </w:trPr>
        <w:tc>
          <w:tcPr>
            <w:tcW w:w="5211" w:type="dxa"/>
          </w:tcPr>
          <w:p w14:paraId="1F832A81" w14:textId="77777777" w:rsidR="0007607F" w:rsidRPr="001A1836" w:rsidRDefault="0007607F" w:rsidP="006110D6">
            <w:r>
              <w:t>Competency inspection appointments</w:t>
            </w:r>
          </w:p>
        </w:tc>
        <w:tc>
          <w:tcPr>
            <w:tcW w:w="3317" w:type="dxa"/>
          </w:tcPr>
          <w:p w14:paraId="06025967" w14:textId="77777777" w:rsidR="0007607F" w:rsidRPr="001A1836" w:rsidRDefault="0007607F" w:rsidP="006110D6">
            <w:r>
              <w:t>Internal</w:t>
            </w:r>
          </w:p>
        </w:tc>
      </w:tr>
      <w:tr w:rsidR="0007607F" w:rsidRPr="001A1836" w14:paraId="46C519F8" w14:textId="77777777" w:rsidTr="006110D6">
        <w:trPr>
          <w:cantSplit/>
        </w:trPr>
        <w:tc>
          <w:tcPr>
            <w:tcW w:w="5211" w:type="dxa"/>
          </w:tcPr>
          <w:p w14:paraId="7DB54A34" w14:textId="77777777" w:rsidR="0007607F" w:rsidRPr="00BC2098" w:rsidRDefault="0007607F" w:rsidP="006110D6">
            <w:pPr>
              <w:rPr>
                <w:b/>
              </w:rPr>
            </w:pPr>
            <w:r>
              <w:rPr>
                <w:b/>
              </w:rPr>
              <w:t>Renewals</w:t>
            </w:r>
          </w:p>
        </w:tc>
        <w:tc>
          <w:tcPr>
            <w:tcW w:w="3317" w:type="dxa"/>
          </w:tcPr>
          <w:p w14:paraId="2EECA00F" w14:textId="77777777" w:rsidR="0007607F" w:rsidRPr="001A1836" w:rsidRDefault="0007607F" w:rsidP="006110D6"/>
        </w:tc>
      </w:tr>
      <w:tr w:rsidR="0007607F" w:rsidRPr="001A1836" w14:paraId="1A2C354B" w14:textId="77777777" w:rsidTr="006110D6">
        <w:trPr>
          <w:cantSplit/>
        </w:trPr>
        <w:tc>
          <w:tcPr>
            <w:tcW w:w="5211" w:type="dxa"/>
          </w:tcPr>
          <w:p w14:paraId="1282139E" w14:textId="77777777" w:rsidR="0007607F" w:rsidRPr="001A1836" w:rsidRDefault="0007607F" w:rsidP="006110D6">
            <w:r w:rsidRPr="001A1836">
              <w:t>Renewing a registration</w:t>
            </w:r>
          </w:p>
        </w:tc>
        <w:tc>
          <w:tcPr>
            <w:tcW w:w="3317" w:type="dxa"/>
          </w:tcPr>
          <w:p w14:paraId="233743AE" w14:textId="77777777" w:rsidR="0007607F" w:rsidRPr="001A1836" w:rsidRDefault="0007607F" w:rsidP="006110D6">
            <w:r w:rsidRPr="001A1836">
              <w:t>Internal</w:t>
            </w:r>
          </w:p>
        </w:tc>
      </w:tr>
      <w:tr w:rsidR="0007607F" w:rsidRPr="001A1836" w14:paraId="1731FFE9" w14:textId="77777777" w:rsidTr="006110D6">
        <w:trPr>
          <w:cantSplit/>
        </w:trPr>
        <w:tc>
          <w:tcPr>
            <w:tcW w:w="5211" w:type="dxa"/>
          </w:tcPr>
          <w:p w14:paraId="2D0531E0" w14:textId="77777777" w:rsidR="0007607F" w:rsidRPr="00BC2098" w:rsidRDefault="0007607F" w:rsidP="006110D6">
            <w:pPr>
              <w:rPr>
                <w:b/>
              </w:rPr>
            </w:pPr>
            <w:r>
              <w:rPr>
                <w:b/>
              </w:rPr>
              <w:t xml:space="preserve">Work notifications </w:t>
            </w:r>
          </w:p>
        </w:tc>
        <w:tc>
          <w:tcPr>
            <w:tcW w:w="3317" w:type="dxa"/>
          </w:tcPr>
          <w:p w14:paraId="3B57179F" w14:textId="77777777" w:rsidR="0007607F" w:rsidRPr="001A1836" w:rsidRDefault="0007607F" w:rsidP="006110D6"/>
        </w:tc>
      </w:tr>
      <w:tr w:rsidR="0007607F" w:rsidRPr="001A1836" w14:paraId="31395F2A" w14:textId="77777777" w:rsidTr="006110D6">
        <w:trPr>
          <w:cantSplit/>
        </w:trPr>
        <w:tc>
          <w:tcPr>
            <w:tcW w:w="5211" w:type="dxa"/>
          </w:tcPr>
          <w:p w14:paraId="74335C9E" w14:textId="77777777" w:rsidR="0007607F" w:rsidRPr="001A1836" w:rsidRDefault="0007607F" w:rsidP="006110D6">
            <w:r w:rsidRPr="001A1836">
              <w:t>Notifications on system</w:t>
            </w:r>
          </w:p>
        </w:tc>
        <w:tc>
          <w:tcPr>
            <w:tcW w:w="3317" w:type="dxa"/>
          </w:tcPr>
          <w:p w14:paraId="71750478" w14:textId="77777777" w:rsidR="0007607F" w:rsidRPr="001A1836" w:rsidRDefault="0007607F" w:rsidP="006110D6">
            <w:r w:rsidRPr="001A1836">
              <w:t>Internal</w:t>
            </w:r>
          </w:p>
        </w:tc>
      </w:tr>
      <w:tr w:rsidR="0007607F" w:rsidRPr="001A1836" w14:paraId="72E0A776" w14:textId="77777777" w:rsidTr="006110D6">
        <w:trPr>
          <w:cantSplit/>
        </w:trPr>
        <w:tc>
          <w:tcPr>
            <w:tcW w:w="5211" w:type="dxa"/>
          </w:tcPr>
          <w:p w14:paraId="01049392" w14:textId="77777777" w:rsidR="0007607F" w:rsidRPr="001A1836" w:rsidRDefault="0007607F" w:rsidP="006110D6">
            <w:r>
              <w:t>Work notifying local authority</w:t>
            </w:r>
          </w:p>
        </w:tc>
        <w:tc>
          <w:tcPr>
            <w:tcW w:w="3317" w:type="dxa"/>
          </w:tcPr>
          <w:p w14:paraId="279DFC31" w14:textId="77777777" w:rsidR="0007607F" w:rsidRPr="001A1836" w:rsidRDefault="0007607F" w:rsidP="006110D6">
            <w:r>
              <w:t>Internal</w:t>
            </w:r>
          </w:p>
        </w:tc>
      </w:tr>
      <w:tr w:rsidR="0007607F" w:rsidRPr="001A1836" w14:paraId="75E241EF" w14:textId="77777777" w:rsidTr="006110D6">
        <w:trPr>
          <w:cantSplit/>
        </w:trPr>
        <w:tc>
          <w:tcPr>
            <w:tcW w:w="5211" w:type="dxa"/>
          </w:tcPr>
          <w:p w14:paraId="2F854009" w14:textId="77777777" w:rsidR="0007607F" w:rsidRPr="001A1836" w:rsidRDefault="0007607F" w:rsidP="006110D6">
            <w:r>
              <w:t>Third-party reporting process</w:t>
            </w:r>
          </w:p>
        </w:tc>
        <w:tc>
          <w:tcPr>
            <w:tcW w:w="3317" w:type="dxa"/>
          </w:tcPr>
          <w:p w14:paraId="25F65331" w14:textId="77777777" w:rsidR="0007607F" w:rsidRPr="001A1836" w:rsidRDefault="0007607F" w:rsidP="006110D6">
            <w:r>
              <w:t>Internal</w:t>
            </w:r>
          </w:p>
        </w:tc>
      </w:tr>
      <w:tr w:rsidR="0007607F" w:rsidRPr="001A1836" w14:paraId="50B5093C" w14:textId="77777777" w:rsidTr="006110D6">
        <w:trPr>
          <w:cantSplit/>
        </w:trPr>
        <w:tc>
          <w:tcPr>
            <w:tcW w:w="5211" w:type="dxa"/>
          </w:tcPr>
          <w:p w14:paraId="04086471" w14:textId="77777777" w:rsidR="0007607F" w:rsidRPr="001A1836" w:rsidRDefault="0007607F" w:rsidP="006110D6"/>
        </w:tc>
        <w:tc>
          <w:tcPr>
            <w:tcW w:w="3317" w:type="dxa"/>
          </w:tcPr>
          <w:p w14:paraId="5101E4D8" w14:textId="77777777" w:rsidR="0007607F" w:rsidRPr="001A1836" w:rsidRDefault="0007607F" w:rsidP="006110D6"/>
        </w:tc>
      </w:tr>
      <w:tr w:rsidR="0007607F" w:rsidRPr="001A1836" w14:paraId="2D3858D5" w14:textId="77777777" w:rsidTr="006110D6">
        <w:trPr>
          <w:cantSplit/>
        </w:trPr>
        <w:tc>
          <w:tcPr>
            <w:tcW w:w="5211" w:type="dxa"/>
          </w:tcPr>
          <w:p w14:paraId="4C3029AC" w14:textId="77777777" w:rsidR="0007607F" w:rsidRPr="001A1836" w:rsidRDefault="0007607F" w:rsidP="006110D6"/>
        </w:tc>
        <w:tc>
          <w:tcPr>
            <w:tcW w:w="3317" w:type="dxa"/>
          </w:tcPr>
          <w:p w14:paraId="6EBB9462" w14:textId="77777777" w:rsidR="0007607F" w:rsidRPr="001A1836" w:rsidRDefault="0007607F" w:rsidP="006110D6"/>
        </w:tc>
      </w:tr>
      <w:tr w:rsidR="0007607F" w:rsidRPr="001A1836" w14:paraId="38800F85" w14:textId="77777777" w:rsidTr="006110D6">
        <w:trPr>
          <w:cantSplit/>
        </w:trPr>
        <w:tc>
          <w:tcPr>
            <w:tcW w:w="5211" w:type="dxa"/>
          </w:tcPr>
          <w:p w14:paraId="65B4A623" w14:textId="77777777" w:rsidR="0007607F" w:rsidRPr="001A1836" w:rsidRDefault="0007607F" w:rsidP="006110D6"/>
        </w:tc>
        <w:tc>
          <w:tcPr>
            <w:tcW w:w="3317" w:type="dxa"/>
          </w:tcPr>
          <w:p w14:paraId="5E5686D9" w14:textId="77777777" w:rsidR="0007607F" w:rsidRPr="001A1836" w:rsidRDefault="0007607F" w:rsidP="006110D6"/>
        </w:tc>
      </w:tr>
      <w:tr w:rsidR="0007607F" w:rsidRPr="001A1836" w14:paraId="79ABC2A9" w14:textId="77777777" w:rsidTr="006110D6">
        <w:trPr>
          <w:cantSplit/>
        </w:trPr>
        <w:tc>
          <w:tcPr>
            <w:tcW w:w="5211" w:type="dxa"/>
          </w:tcPr>
          <w:p w14:paraId="23E02F3E" w14:textId="77777777" w:rsidR="0007607F" w:rsidRPr="001A1836" w:rsidRDefault="0007607F" w:rsidP="006110D6"/>
        </w:tc>
        <w:tc>
          <w:tcPr>
            <w:tcW w:w="3317" w:type="dxa"/>
          </w:tcPr>
          <w:p w14:paraId="6A8133C3" w14:textId="77777777" w:rsidR="0007607F" w:rsidRPr="001A1836" w:rsidRDefault="0007607F" w:rsidP="006110D6"/>
        </w:tc>
      </w:tr>
      <w:tr w:rsidR="0007607F" w:rsidRPr="001A1836" w14:paraId="25136AC9" w14:textId="77777777" w:rsidTr="006110D6">
        <w:trPr>
          <w:cantSplit/>
        </w:trPr>
        <w:tc>
          <w:tcPr>
            <w:tcW w:w="5211" w:type="dxa"/>
          </w:tcPr>
          <w:p w14:paraId="4D57D324" w14:textId="77777777" w:rsidR="0007607F" w:rsidRPr="001A1836" w:rsidRDefault="0007607F" w:rsidP="006110D6"/>
        </w:tc>
        <w:tc>
          <w:tcPr>
            <w:tcW w:w="3317" w:type="dxa"/>
          </w:tcPr>
          <w:p w14:paraId="3D4BEEC2" w14:textId="77777777" w:rsidR="0007607F" w:rsidRPr="001A1836" w:rsidRDefault="0007607F" w:rsidP="006110D6"/>
        </w:tc>
      </w:tr>
      <w:tr w:rsidR="0007607F" w:rsidRPr="001A1836" w14:paraId="7DCFD63E" w14:textId="77777777" w:rsidTr="006110D6">
        <w:trPr>
          <w:cantSplit/>
        </w:trPr>
        <w:tc>
          <w:tcPr>
            <w:tcW w:w="5211" w:type="dxa"/>
          </w:tcPr>
          <w:p w14:paraId="74F4607B" w14:textId="77777777" w:rsidR="0007607F" w:rsidRPr="001A1836" w:rsidRDefault="0007607F" w:rsidP="006110D6"/>
        </w:tc>
        <w:tc>
          <w:tcPr>
            <w:tcW w:w="3317" w:type="dxa"/>
          </w:tcPr>
          <w:p w14:paraId="5E26491D" w14:textId="77777777" w:rsidR="0007607F" w:rsidRPr="001A1836" w:rsidRDefault="0007607F" w:rsidP="006110D6"/>
        </w:tc>
      </w:tr>
      <w:tr w:rsidR="0007607F" w:rsidRPr="001A1836" w14:paraId="0575A3C3" w14:textId="77777777" w:rsidTr="006110D6">
        <w:trPr>
          <w:cantSplit/>
        </w:trPr>
        <w:tc>
          <w:tcPr>
            <w:tcW w:w="5211" w:type="dxa"/>
          </w:tcPr>
          <w:p w14:paraId="295AFA44" w14:textId="77777777" w:rsidR="0007607F" w:rsidRPr="00BC2098" w:rsidRDefault="0007607F" w:rsidP="006110D6">
            <w:pPr>
              <w:rPr>
                <w:b/>
              </w:rPr>
            </w:pPr>
            <w:r>
              <w:rPr>
                <w:b/>
              </w:rPr>
              <w:lastRenderedPageBreak/>
              <w:t>Web transactions</w:t>
            </w:r>
          </w:p>
        </w:tc>
        <w:tc>
          <w:tcPr>
            <w:tcW w:w="3317" w:type="dxa"/>
          </w:tcPr>
          <w:p w14:paraId="223FD25B" w14:textId="77777777" w:rsidR="0007607F" w:rsidRPr="001A1836" w:rsidRDefault="0007607F" w:rsidP="006110D6"/>
        </w:tc>
      </w:tr>
      <w:tr w:rsidR="0007607F" w:rsidRPr="001A1836" w14:paraId="21A0DEFF" w14:textId="77777777" w:rsidTr="006110D6">
        <w:trPr>
          <w:cantSplit/>
        </w:trPr>
        <w:tc>
          <w:tcPr>
            <w:tcW w:w="5211" w:type="dxa"/>
          </w:tcPr>
          <w:p w14:paraId="0D1813E2" w14:textId="77777777" w:rsidR="0007607F" w:rsidRPr="001A1836" w:rsidRDefault="0007607F" w:rsidP="006110D6">
            <w:r w:rsidRPr="001A1836">
              <w:t>Online application process</w:t>
            </w:r>
          </w:p>
        </w:tc>
        <w:tc>
          <w:tcPr>
            <w:tcW w:w="3317" w:type="dxa"/>
          </w:tcPr>
          <w:p w14:paraId="6FBF86BC" w14:textId="77777777" w:rsidR="0007607F" w:rsidRPr="001A1836" w:rsidRDefault="0007607F" w:rsidP="006110D6">
            <w:r w:rsidRPr="001A1836">
              <w:t>Internal</w:t>
            </w:r>
          </w:p>
        </w:tc>
      </w:tr>
      <w:tr w:rsidR="0007607F" w:rsidRPr="001A1836" w14:paraId="74AEB627" w14:textId="77777777" w:rsidTr="006110D6">
        <w:trPr>
          <w:cantSplit/>
        </w:trPr>
        <w:tc>
          <w:tcPr>
            <w:tcW w:w="5211" w:type="dxa"/>
          </w:tcPr>
          <w:p w14:paraId="3397AA7D" w14:textId="77777777" w:rsidR="0007607F" w:rsidRPr="001A1836" w:rsidRDefault="0007607F" w:rsidP="006110D6">
            <w:r w:rsidRPr="001A1836">
              <w:t>Renewing a registration online</w:t>
            </w:r>
          </w:p>
        </w:tc>
        <w:tc>
          <w:tcPr>
            <w:tcW w:w="3317" w:type="dxa"/>
          </w:tcPr>
          <w:p w14:paraId="5C744CAF" w14:textId="77777777" w:rsidR="0007607F" w:rsidRPr="001A1836" w:rsidRDefault="0007607F" w:rsidP="006110D6">
            <w:r w:rsidRPr="001A1836">
              <w:t>Internal</w:t>
            </w:r>
          </w:p>
        </w:tc>
      </w:tr>
      <w:tr w:rsidR="0007607F" w:rsidRPr="001A1836" w14:paraId="4BD3AAFE" w14:textId="77777777" w:rsidTr="006110D6">
        <w:trPr>
          <w:cantSplit/>
        </w:trPr>
        <w:tc>
          <w:tcPr>
            <w:tcW w:w="5211" w:type="dxa"/>
          </w:tcPr>
          <w:p w14:paraId="6D8EFB8A" w14:textId="77777777" w:rsidR="0007607F" w:rsidRPr="001A1836" w:rsidRDefault="0007607F" w:rsidP="006110D6">
            <w:r w:rsidRPr="001A1836">
              <w:t>Change of details online</w:t>
            </w:r>
          </w:p>
        </w:tc>
        <w:tc>
          <w:tcPr>
            <w:tcW w:w="3317" w:type="dxa"/>
          </w:tcPr>
          <w:p w14:paraId="2154C343" w14:textId="77777777" w:rsidR="0007607F" w:rsidRPr="001A1836" w:rsidRDefault="0007607F" w:rsidP="006110D6">
            <w:r w:rsidRPr="001A1836">
              <w:t>Internal</w:t>
            </w:r>
          </w:p>
        </w:tc>
      </w:tr>
      <w:tr w:rsidR="0007607F" w:rsidRPr="001A1836" w14:paraId="621227B3" w14:textId="77777777" w:rsidTr="006110D6">
        <w:trPr>
          <w:cantSplit/>
        </w:trPr>
        <w:tc>
          <w:tcPr>
            <w:tcW w:w="5211" w:type="dxa"/>
          </w:tcPr>
          <w:p w14:paraId="1253C152" w14:textId="77777777" w:rsidR="0007607F" w:rsidRPr="001A1836" w:rsidRDefault="0007607F" w:rsidP="006110D6"/>
        </w:tc>
        <w:tc>
          <w:tcPr>
            <w:tcW w:w="3317" w:type="dxa"/>
          </w:tcPr>
          <w:p w14:paraId="322C219C" w14:textId="77777777" w:rsidR="0007607F" w:rsidRPr="001A1836" w:rsidRDefault="0007607F" w:rsidP="006110D6"/>
        </w:tc>
      </w:tr>
      <w:tr w:rsidR="0007607F" w:rsidRPr="001A1836" w14:paraId="28F98E87" w14:textId="77777777" w:rsidTr="006110D6">
        <w:trPr>
          <w:cantSplit/>
        </w:trPr>
        <w:tc>
          <w:tcPr>
            <w:tcW w:w="5211" w:type="dxa"/>
          </w:tcPr>
          <w:p w14:paraId="6D89E98C" w14:textId="77777777" w:rsidR="0007607F" w:rsidRPr="001A1836" w:rsidRDefault="0007607F" w:rsidP="006110D6">
            <w:r w:rsidRPr="001A1836">
              <w:t>Uploading engineer photos online</w:t>
            </w:r>
          </w:p>
        </w:tc>
        <w:tc>
          <w:tcPr>
            <w:tcW w:w="3317" w:type="dxa"/>
          </w:tcPr>
          <w:p w14:paraId="5ED192CC" w14:textId="77777777" w:rsidR="0007607F" w:rsidRPr="001A1836" w:rsidRDefault="0007607F" w:rsidP="006110D6">
            <w:r w:rsidRPr="001A1836">
              <w:t>Internal</w:t>
            </w:r>
          </w:p>
        </w:tc>
      </w:tr>
      <w:tr w:rsidR="0007607F" w:rsidRPr="001A1836" w14:paraId="5C4223DA" w14:textId="77777777" w:rsidTr="006110D6">
        <w:trPr>
          <w:cantSplit/>
        </w:trPr>
        <w:tc>
          <w:tcPr>
            <w:tcW w:w="5211" w:type="dxa"/>
          </w:tcPr>
          <w:p w14:paraId="08DD9289" w14:textId="77777777" w:rsidR="0007607F" w:rsidRPr="001A1836" w:rsidRDefault="0007607F" w:rsidP="006110D6">
            <w:r w:rsidRPr="001A1836">
              <w:t xml:space="preserve">Checking and searching for engineers online </w:t>
            </w:r>
          </w:p>
        </w:tc>
        <w:tc>
          <w:tcPr>
            <w:tcW w:w="3317" w:type="dxa"/>
          </w:tcPr>
          <w:p w14:paraId="374B3BCE" w14:textId="77777777" w:rsidR="0007607F" w:rsidRPr="001A1836" w:rsidRDefault="0007607F" w:rsidP="006110D6">
            <w:r w:rsidRPr="001A1836">
              <w:t>Internal</w:t>
            </w:r>
          </w:p>
        </w:tc>
      </w:tr>
      <w:tr w:rsidR="0007607F" w:rsidRPr="001A1836" w14:paraId="79DA2FC9" w14:textId="77777777" w:rsidTr="006110D6">
        <w:trPr>
          <w:cantSplit/>
        </w:trPr>
        <w:tc>
          <w:tcPr>
            <w:tcW w:w="5211" w:type="dxa"/>
          </w:tcPr>
          <w:p w14:paraId="7066501D" w14:textId="77777777" w:rsidR="0007607F" w:rsidRPr="00BC2098" w:rsidRDefault="0007607F" w:rsidP="006110D6">
            <w:pPr>
              <w:rPr>
                <w:b/>
              </w:rPr>
            </w:pPr>
            <w:r>
              <w:rPr>
                <w:b/>
              </w:rPr>
              <w:t>Miscellaneous</w:t>
            </w:r>
          </w:p>
        </w:tc>
        <w:tc>
          <w:tcPr>
            <w:tcW w:w="3317" w:type="dxa"/>
          </w:tcPr>
          <w:p w14:paraId="201C5449" w14:textId="77777777" w:rsidR="0007607F" w:rsidRPr="001A1836" w:rsidRDefault="0007607F" w:rsidP="006110D6"/>
        </w:tc>
      </w:tr>
      <w:tr w:rsidR="0007607F" w:rsidRPr="001A1836" w14:paraId="68E29068" w14:textId="77777777" w:rsidTr="006110D6">
        <w:trPr>
          <w:cantSplit/>
        </w:trPr>
        <w:tc>
          <w:tcPr>
            <w:tcW w:w="5211" w:type="dxa"/>
          </w:tcPr>
          <w:p w14:paraId="426825DC" w14:textId="77777777" w:rsidR="0007607F" w:rsidRPr="001A1836" w:rsidRDefault="0007607F" w:rsidP="006110D6">
            <w:r w:rsidRPr="001A1836">
              <w:t>RIDDOR</w:t>
            </w:r>
          </w:p>
        </w:tc>
        <w:tc>
          <w:tcPr>
            <w:tcW w:w="3317" w:type="dxa"/>
          </w:tcPr>
          <w:p w14:paraId="30813BDE" w14:textId="77777777" w:rsidR="0007607F" w:rsidRPr="001A1836" w:rsidRDefault="0007607F" w:rsidP="006110D6">
            <w:r w:rsidRPr="001A1836">
              <w:t>Internal</w:t>
            </w:r>
          </w:p>
        </w:tc>
      </w:tr>
      <w:tr w:rsidR="0007607F" w:rsidRPr="001A1836" w14:paraId="5BCADEF3" w14:textId="77777777" w:rsidTr="006110D6">
        <w:trPr>
          <w:cantSplit/>
        </w:trPr>
        <w:tc>
          <w:tcPr>
            <w:tcW w:w="5211" w:type="dxa"/>
          </w:tcPr>
          <w:p w14:paraId="56CAE10A" w14:textId="77777777" w:rsidR="0007607F" w:rsidRPr="001A1836" w:rsidRDefault="0007607F" w:rsidP="006110D6"/>
        </w:tc>
        <w:tc>
          <w:tcPr>
            <w:tcW w:w="3317" w:type="dxa"/>
          </w:tcPr>
          <w:p w14:paraId="40280EC1" w14:textId="77777777" w:rsidR="0007607F" w:rsidRPr="001A1836" w:rsidRDefault="0007607F" w:rsidP="006110D6"/>
        </w:tc>
      </w:tr>
      <w:tr w:rsidR="0007607F" w:rsidRPr="001A1836" w14:paraId="5B02AF7A" w14:textId="77777777" w:rsidTr="006110D6">
        <w:trPr>
          <w:cantSplit/>
        </w:trPr>
        <w:tc>
          <w:tcPr>
            <w:tcW w:w="5211" w:type="dxa"/>
          </w:tcPr>
          <w:p w14:paraId="10D7EC25" w14:textId="77777777" w:rsidR="0007607F" w:rsidRPr="001A1836" w:rsidRDefault="0007607F" w:rsidP="006110D6">
            <w:r w:rsidRPr="001A1836">
              <w:t xml:space="preserve">British Gas </w:t>
            </w:r>
          </w:p>
        </w:tc>
        <w:tc>
          <w:tcPr>
            <w:tcW w:w="3317" w:type="dxa"/>
          </w:tcPr>
          <w:p w14:paraId="468AEF14" w14:textId="77777777" w:rsidR="0007607F" w:rsidRPr="001A1836" w:rsidRDefault="0007607F" w:rsidP="006110D6">
            <w:r w:rsidRPr="001A1836">
              <w:t>Internal</w:t>
            </w:r>
          </w:p>
        </w:tc>
      </w:tr>
      <w:tr w:rsidR="0007607F" w:rsidRPr="001A1836" w14:paraId="665AC940" w14:textId="77777777" w:rsidTr="006110D6">
        <w:trPr>
          <w:cantSplit/>
        </w:trPr>
        <w:tc>
          <w:tcPr>
            <w:tcW w:w="5211" w:type="dxa"/>
          </w:tcPr>
          <w:p w14:paraId="1112B3AA" w14:textId="77777777" w:rsidR="0007607F" w:rsidRPr="001A1836" w:rsidRDefault="0007607F" w:rsidP="006110D6">
            <w:r w:rsidRPr="001A1836">
              <w:t>Converting from work management registration</w:t>
            </w:r>
          </w:p>
        </w:tc>
        <w:tc>
          <w:tcPr>
            <w:tcW w:w="3317" w:type="dxa"/>
          </w:tcPr>
          <w:p w14:paraId="15833A28" w14:textId="77777777" w:rsidR="0007607F" w:rsidRPr="001A1836" w:rsidRDefault="0007607F" w:rsidP="006110D6">
            <w:r w:rsidRPr="001A1836">
              <w:t>Internal</w:t>
            </w:r>
          </w:p>
        </w:tc>
      </w:tr>
      <w:tr w:rsidR="0007607F" w:rsidRPr="001A1836" w14:paraId="4B988DD5" w14:textId="77777777" w:rsidTr="006110D6">
        <w:trPr>
          <w:cantSplit/>
        </w:trPr>
        <w:tc>
          <w:tcPr>
            <w:tcW w:w="5211" w:type="dxa"/>
          </w:tcPr>
          <w:p w14:paraId="43E78958" w14:textId="77777777" w:rsidR="0007607F" w:rsidRPr="001A1836" w:rsidRDefault="0007607F" w:rsidP="006110D6">
            <w:r w:rsidRPr="001A1836">
              <w:t xml:space="preserve">Gas work notification (GWN) appointments </w:t>
            </w:r>
          </w:p>
        </w:tc>
        <w:tc>
          <w:tcPr>
            <w:tcW w:w="3317" w:type="dxa"/>
          </w:tcPr>
          <w:p w14:paraId="248CE0CB" w14:textId="77777777" w:rsidR="0007607F" w:rsidRPr="001A1836" w:rsidRDefault="0007607F" w:rsidP="006110D6">
            <w:r w:rsidRPr="001A1836">
              <w:t>Internal</w:t>
            </w:r>
          </w:p>
        </w:tc>
      </w:tr>
      <w:tr w:rsidR="0007607F" w:rsidRPr="001A1836" w14:paraId="7EA85740" w14:textId="77777777" w:rsidTr="006110D6">
        <w:trPr>
          <w:cantSplit/>
        </w:trPr>
        <w:tc>
          <w:tcPr>
            <w:tcW w:w="5211" w:type="dxa"/>
          </w:tcPr>
          <w:p w14:paraId="36860629" w14:textId="77777777" w:rsidR="0007607F" w:rsidRPr="001A1836" w:rsidRDefault="0007607F" w:rsidP="006110D6"/>
        </w:tc>
        <w:tc>
          <w:tcPr>
            <w:tcW w:w="3317" w:type="dxa"/>
          </w:tcPr>
          <w:p w14:paraId="4EA72E4E" w14:textId="77777777" w:rsidR="0007607F" w:rsidRPr="001A1836" w:rsidRDefault="0007607F" w:rsidP="006110D6"/>
        </w:tc>
      </w:tr>
      <w:tr w:rsidR="0007607F" w:rsidRPr="001A1836" w14:paraId="6E9A8FAD" w14:textId="77777777" w:rsidTr="006110D6">
        <w:trPr>
          <w:cantSplit/>
        </w:trPr>
        <w:tc>
          <w:tcPr>
            <w:tcW w:w="8528" w:type="dxa"/>
            <w:gridSpan w:val="2"/>
          </w:tcPr>
          <w:p w14:paraId="1B282831" w14:textId="77777777" w:rsidR="0007607F" w:rsidRPr="001A1836" w:rsidRDefault="0007607F" w:rsidP="006110D6">
            <w:pPr>
              <w:rPr>
                <w:b/>
              </w:rPr>
            </w:pPr>
            <w:r w:rsidRPr="001A1836">
              <w:rPr>
                <w:b/>
              </w:rPr>
              <w:t>Registrations</w:t>
            </w:r>
            <w:r>
              <w:rPr>
                <w:b/>
              </w:rPr>
              <w:t xml:space="preserve"> Team</w:t>
            </w:r>
          </w:p>
        </w:tc>
      </w:tr>
      <w:tr w:rsidR="0007607F" w:rsidRPr="001A1836" w14:paraId="5B7D49FE" w14:textId="77777777" w:rsidTr="006110D6">
        <w:trPr>
          <w:cantSplit/>
        </w:trPr>
        <w:tc>
          <w:tcPr>
            <w:tcW w:w="5211" w:type="dxa"/>
          </w:tcPr>
          <w:p w14:paraId="3A86E2AC" w14:textId="77777777" w:rsidR="0007607F" w:rsidRPr="00BC2098" w:rsidRDefault="0007607F" w:rsidP="006110D6">
            <w:pPr>
              <w:rPr>
                <w:b/>
              </w:rPr>
            </w:pPr>
            <w:r w:rsidRPr="00BC2098">
              <w:rPr>
                <w:b/>
              </w:rPr>
              <w:t>Complaints and appeals</w:t>
            </w:r>
          </w:p>
        </w:tc>
        <w:tc>
          <w:tcPr>
            <w:tcW w:w="3317" w:type="dxa"/>
          </w:tcPr>
          <w:p w14:paraId="63B2C004" w14:textId="77777777" w:rsidR="0007607F" w:rsidRPr="001A1836" w:rsidRDefault="0007607F" w:rsidP="006110D6"/>
        </w:tc>
      </w:tr>
      <w:tr w:rsidR="0007607F" w:rsidRPr="001A1836" w14:paraId="21D5C181" w14:textId="77777777" w:rsidTr="006110D6">
        <w:trPr>
          <w:cantSplit/>
        </w:trPr>
        <w:tc>
          <w:tcPr>
            <w:tcW w:w="5211" w:type="dxa"/>
          </w:tcPr>
          <w:p w14:paraId="708C8EBB" w14:textId="77777777" w:rsidR="0007607F" w:rsidRPr="001A1836" w:rsidRDefault="0007607F" w:rsidP="006110D6">
            <w:r>
              <w:t>Complaints against the Register</w:t>
            </w:r>
          </w:p>
        </w:tc>
        <w:tc>
          <w:tcPr>
            <w:tcW w:w="3317" w:type="dxa"/>
          </w:tcPr>
          <w:p w14:paraId="5B4C86A1" w14:textId="77777777" w:rsidR="0007607F" w:rsidRPr="001A1836" w:rsidRDefault="0007607F" w:rsidP="006110D6">
            <w:r>
              <w:t>Internal</w:t>
            </w:r>
          </w:p>
        </w:tc>
      </w:tr>
      <w:tr w:rsidR="0007607F" w:rsidRPr="001A1836" w14:paraId="6C40695E" w14:textId="77777777" w:rsidTr="006110D6">
        <w:trPr>
          <w:cantSplit/>
        </w:trPr>
        <w:tc>
          <w:tcPr>
            <w:tcW w:w="5211" w:type="dxa"/>
          </w:tcPr>
          <w:p w14:paraId="206D44BC" w14:textId="77777777" w:rsidR="0007607F" w:rsidRPr="001A1836" w:rsidRDefault="0007607F" w:rsidP="006110D6">
            <w:r>
              <w:t>Appeals procedure</w:t>
            </w:r>
          </w:p>
        </w:tc>
        <w:tc>
          <w:tcPr>
            <w:tcW w:w="3317" w:type="dxa"/>
          </w:tcPr>
          <w:p w14:paraId="1AF2B618" w14:textId="77777777" w:rsidR="0007607F" w:rsidRPr="001A1836" w:rsidRDefault="0007607F" w:rsidP="006110D6">
            <w:r>
              <w:t>Internal</w:t>
            </w:r>
          </w:p>
        </w:tc>
      </w:tr>
      <w:tr w:rsidR="0007607F" w:rsidRPr="001A1836" w14:paraId="0157CC4C" w14:textId="77777777" w:rsidTr="006110D6">
        <w:trPr>
          <w:cantSplit/>
        </w:trPr>
        <w:tc>
          <w:tcPr>
            <w:tcW w:w="5211" w:type="dxa"/>
          </w:tcPr>
          <w:p w14:paraId="7E173341" w14:textId="77777777" w:rsidR="0007607F" w:rsidRPr="001A1836" w:rsidRDefault="0007607F" w:rsidP="006110D6">
            <w:r>
              <w:t>Witness statements and information request process</w:t>
            </w:r>
          </w:p>
        </w:tc>
        <w:tc>
          <w:tcPr>
            <w:tcW w:w="3317" w:type="dxa"/>
          </w:tcPr>
          <w:p w14:paraId="5B164B68" w14:textId="77777777" w:rsidR="0007607F" w:rsidRPr="001A1836" w:rsidRDefault="0007607F" w:rsidP="006110D6">
            <w:r>
              <w:t>Internal</w:t>
            </w:r>
          </w:p>
        </w:tc>
      </w:tr>
      <w:tr w:rsidR="0007607F" w:rsidRPr="001A1836" w14:paraId="5868F880" w14:textId="77777777" w:rsidTr="006110D6">
        <w:trPr>
          <w:cantSplit/>
        </w:trPr>
        <w:tc>
          <w:tcPr>
            <w:tcW w:w="5211" w:type="dxa"/>
          </w:tcPr>
          <w:p w14:paraId="20452839" w14:textId="77777777" w:rsidR="0007607F" w:rsidRPr="001A1836" w:rsidRDefault="0007607F" w:rsidP="006110D6">
            <w:r>
              <w:t>Correspondence received from MPs</w:t>
            </w:r>
          </w:p>
        </w:tc>
        <w:tc>
          <w:tcPr>
            <w:tcW w:w="3317" w:type="dxa"/>
          </w:tcPr>
          <w:p w14:paraId="1824D76C" w14:textId="77777777" w:rsidR="0007607F" w:rsidRPr="001A1836" w:rsidRDefault="0007607F" w:rsidP="006110D6">
            <w:r>
              <w:t>Internal</w:t>
            </w:r>
          </w:p>
        </w:tc>
      </w:tr>
      <w:tr w:rsidR="0007607F" w:rsidRPr="001A1836" w14:paraId="163C0A00" w14:textId="77777777" w:rsidTr="006110D6">
        <w:trPr>
          <w:cantSplit/>
        </w:trPr>
        <w:tc>
          <w:tcPr>
            <w:tcW w:w="5211" w:type="dxa"/>
          </w:tcPr>
          <w:p w14:paraId="4E1239C7" w14:textId="77777777" w:rsidR="0007607F" w:rsidRPr="001A1836" w:rsidRDefault="0007607F" w:rsidP="006110D6">
            <w:r w:rsidRPr="001A1836">
              <w:t>Brand Enforcement Process</w:t>
            </w:r>
          </w:p>
        </w:tc>
        <w:tc>
          <w:tcPr>
            <w:tcW w:w="3317" w:type="dxa"/>
          </w:tcPr>
          <w:p w14:paraId="2C3F5F69" w14:textId="77777777" w:rsidR="0007607F" w:rsidRPr="001A1836" w:rsidRDefault="0007607F" w:rsidP="006110D6">
            <w:r w:rsidRPr="001A1836">
              <w:t>Internal</w:t>
            </w:r>
          </w:p>
        </w:tc>
      </w:tr>
      <w:tr w:rsidR="0007607F" w:rsidRPr="001A1836" w14:paraId="12777C9B" w14:textId="77777777" w:rsidTr="006110D6">
        <w:trPr>
          <w:cantSplit/>
        </w:trPr>
        <w:tc>
          <w:tcPr>
            <w:tcW w:w="8528" w:type="dxa"/>
            <w:gridSpan w:val="2"/>
          </w:tcPr>
          <w:p w14:paraId="18586716" w14:textId="77777777" w:rsidR="0007607F" w:rsidRPr="001A1836" w:rsidRDefault="0007607F" w:rsidP="006110D6">
            <w:pPr>
              <w:rPr>
                <w:b/>
              </w:rPr>
            </w:pPr>
            <w:r w:rsidRPr="001A1836">
              <w:rPr>
                <w:b/>
              </w:rPr>
              <w:t>Finance</w:t>
            </w:r>
          </w:p>
        </w:tc>
      </w:tr>
      <w:tr w:rsidR="0007607F" w:rsidRPr="00BC2098" w14:paraId="7CBBE103" w14:textId="77777777" w:rsidTr="006110D6">
        <w:trPr>
          <w:cantSplit/>
        </w:trPr>
        <w:tc>
          <w:tcPr>
            <w:tcW w:w="5211" w:type="dxa"/>
          </w:tcPr>
          <w:p w14:paraId="0CF3EFF9" w14:textId="77777777" w:rsidR="0007607F" w:rsidRPr="00BC2098" w:rsidRDefault="0007607F" w:rsidP="006110D6">
            <w:pPr>
              <w:rPr>
                <w:b/>
              </w:rPr>
            </w:pPr>
            <w:r>
              <w:rPr>
                <w:b/>
              </w:rPr>
              <w:t>Annual Review</w:t>
            </w:r>
          </w:p>
        </w:tc>
        <w:tc>
          <w:tcPr>
            <w:tcW w:w="3317" w:type="dxa"/>
          </w:tcPr>
          <w:p w14:paraId="0549D6A3" w14:textId="77777777" w:rsidR="0007607F" w:rsidRPr="00BC2098" w:rsidRDefault="0007607F" w:rsidP="006110D6">
            <w:pPr>
              <w:rPr>
                <w:b/>
              </w:rPr>
            </w:pPr>
          </w:p>
        </w:tc>
      </w:tr>
      <w:tr w:rsidR="0007607F" w:rsidRPr="001A1836" w14:paraId="49F67337" w14:textId="77777777" w:rsidTr="006110D6">
        <w:trPr>
          <w:cantSplit/>
        </w:trPr>
        <w:tc>
          <w:tcPr>
            <w:tcW w:w="5211" w:type="dxa"/>
          </w:tcPr>
          <w:p w14:paraId="4EB419F7" w14:textId="77777777" w:rsidR="0007607F" w:rsidRPr="001A1836" w:rsidRDefault="0007607F" w:rsidP="006110D6">
            <w:r w:rsidRPr="001A1836">
              <w:t>Annual Review Reporting Process</w:t>
            </w:r>
          </w:p>
        </w:tc>
        <w:tc>
          <w:tcPr>
            <w:tcW w:w="3317" w:type="dxa"/>
          </w:tcPr>
          <w:p w14:paraId="6E54E588" w14:textId="77777777" w:rsidR="0007607F" w:rsidRPr="001A1836" w:rsidRDefault="0007607F" w:rsidP="006110D6">
            <w:r w:rsidRPr="001A1836">
              <w:t>Internal</w:t>
            </w:r>
          </w:p>
        </w:tc>
      </w:tr>
      <w:tr w:rsidR="0007607F" w:rsidRPr="001A1836" w14:paraId="63CF852B" w14:textId="77777777" w:rsidTr="006110D6">
        <w:trPr>
          <w:cantSplit/>
        </w:trPr>
        <w:tc>
          <w:tcPr>
            <w:tcW w:w="8528" w:type="dxa"/>
            <w:gridSpan w:val="2"/>
          </w:tcPr>
          <w:p w14:paraId="0EAED289" w14:textId="77777777" w:rsidR="0007607F" w:rsidRPr="001A1836" w:rsidRDefault="0007607F" w:rsidP="006110D6">
            <w:pPr>
              <w:rPr>
                <w:b/>
              </w:rPr>
            </w:pPr>
          </w:p>
        </w:tc>
      </w:tr>
      <w:tr w:rsidR="0007607F" w:rsidRPr="001A1836" w14:paraId="2CF4BDA1" w14:textId="77777777" w:rsidTr="006110D6">
        <w:trPr>
          <w:cantSplit/>
        </w:trPr>
        <w:tc>
          <w:tcPr>
            <w:tcW w:w="5211" w:type="dxa"/>
          </w:tcPr>
          <w:p w14:paraId="2B34B3B1" w14:textId="77777777" w:rsidR="0007607F" w:rsidRPr="001A1836" w:rsidRDefault="0007607F" w:rsidP="006110D6"/>
        </w:tc>
        <w:tc>
          <w:tcPr>
            <w:tcW w:w="3317" w:type="dxa"/>
          </w:tcPr>
          <w:p w14:paraId="1FDE4473" w14:textId="77777777" w:rsidR="0007607F" w:rsidRPr="001A1836" w:rsidRDefault="0007607F" w:rsidP="006110D6"/>
        </w:tc>
      </w:tr>
      <w:tr w:rsidR="0007607F" w:rsidRPr="001A1836" w14:paraId="7A007B3D" w14:textId="77777777" w:rsidTr="006110D6">
        <w:trPr>
          <w:cantSplit/>
        </w:trPr>
        <w:tc>
          <w:tcPr>
            <w:tcW w:w="5211" w:type="dxa"/>
          </w:tcPr>
          <w:p w14:paraId="441B98C3" w14:textId="77777777" w:rsidR="0007607F" w:rsidRPr="001A1836" w:rsidRDefault="0007607F" w:rsidP="006110D6"/>
        </w:tc>
        <w:tc>
          <w:tcPr>
            <w:tcW w:w="3317" w:type="dxa"/>
          </w:tcPr>
          <w:p w14:paraId="71C0516B" w14:textId="77777777" w:rsidR="0007607F" w:rsidRPr="001A1836" w:rsidRDefault="0007607F" w:rsidP="006110D6"/>
        </w:tc>
      </w:tr>
      <w:tr w:rsidR="0007607F" w:rsidRPr="001A1836" w14:paraId="2784D353" w14:textId="77777777" w:rsidTr="006110D6">
        <w:trPr>
          <w:cantSplit/>
        </w:trPr>
        <w:tc>
          <w:tcPr>
            <w:tcW w:w="8528" w:type="dxa"/>
            <w:gridSpan w:val="2"/>
          </w:tcPr>
          <w:p w14:paraId="7F84DFA6" w14:textId="77777777" w:rsidR="0007607F" w:rsidRPr="001A1836" w:rsidRDefault="0007607F" w:rsidP="006110D6">
            <w:pPr>
              <w:rPr>
                <w:b/>
              </w:rPr>
            </w:pPr>
            <w:r w:rsidRPr="001A1836">
              <w:rPr>
                <w:b/>
              </w:rPr>
              <w:t>Management information</w:t>
            </w:r>
          </w:p>
        </w:tc>
      </w:tr>
      <w:tr w:rsidR="0007607F" w:rsidRPr="001A1836" w14:paraId="2F8BFB3C" w14:textId="77777777" w:rsidTr="006110D6">
        <w:trPr>
          <w:cantSplit/>
        </w:trPr>
        <w:tc>
          <w:tcPr>
            <w:tcW w:w="5211" w:type="dxa"/>
          </w:tcPr>
          <w:p w14:paraId="2DABDFE9" w14:textId="77777777" w:rsidR="0007607F" w:rsidRPr="001A1836" w:rsidRDefault="0007607F" w:rsidP="006110D6">
            <w:r w:rsidRPr="001A1836">
              <w:t>KPI/Management Information Reporting</w:t>
            </w:r>
          </w:p>
        </w:tc>
        <w:tc>
          <w:tcPr>
            <w:tcW w:w="3317" w:type="dxa"/>
          </w:tcPr>
          <w:p w14:paraId="35B9AF6F" w14:textId="77777777" w:rsidR="0007607F" w:rsidRPr="001A1836" w:rsidRDefault="0007607F" w:rsidP="006110D6">
            <w:r w:rsidRPr="001A1836">
              <w:t>Internal</w:t>
            </w:r>
          </w:p>
        </w:tc>
      </w:tr>
      <w:tr w:rsidR="0007607F" w:rsidRPr="001A1836" w14:paraId="3A15017C" w14:textId="77777777" w:rsidTr="006110D6">
        <w:trPr>
          <w:cantSplit/>
        </w:trPr>
        <w:tc>
          <w:tcPr>
            <w:tcW w:w="5211" w:type="dxa"/>
          </w:tcPr>
          <w:p w14:paraId="2831F255" w14:textId="1F2FD655" w:rsidR="0007607F" w:rsidRPr="001A1836" w:rsidRDefault="0007607F" w:rsidP="006110D6">
            <w:r>
              <w:t xml:space="preserve">KPI 1 to </w:t>
            </w:r>
            <w:r w:rsidR="00172546">
              <w:t>4</w:t>
            </w:r>
            <w:r>
              <w:t xml:space="preserve"> methodology and measurement</w:t>
            </w:r>
          </w:p>
        </w:tc>
        <w:tc>
          <w:tcPr>
            <w:tcW w:w="3317" w:type="dxa"/>
          </w:tcPr>
          <w:p w14:paraId="1F2A6FF0" w14:textId="77777777" w:rsidR="0007607F" w:rsidRPr="001A1836" w:rsidRDefault="0007607F" w:rsidP="006110D6">
            <w:r>
              <w:t>Internal</w:t>
            </w:r>
          </w:p>
        </w:tc>
      </w:tr>
      <w:tr w:rsidR="0007607F" w:rsidRPr="001A1836" w14:paraId="7B7351C5" w14:textId="77777777" w:rsidTr="006110D6">
        <w:trPr>
          <w:cantSplit/>
        </w:trPr>
        <w:tc>
          <w:tcPr>
            <w:tcW w:w="8528" w:type="dxa"/>
            <w:gridSpan w:val="2"/>
          </w:tcPr>
          <w:p w14:paraId="52E6CDD5" w14:textId="77777777" w:rsidR="0007607F" w:rsidRPr="001A1836" w:rsidRDefault="0007607F" w:rsidP="006110D6">
            <w:pPr>
              <w:rPr>
                <w:b/>
              </w:rPr>
            </w:pPr>
            <w:r w:rsidRPr="001A1836">
              <w:rPr>
                <w:b/>
              </w:rPr>
              <w:t>Security</w:t>
            </w:r>
          </w:p>
        </w:tc>
      </w:tr>
      <w:tr w:rsidR="0007607F" w:rsidRPr="001A1836" w14:paraId="0D01D77D" w14:textId="77777777" w:rsidTr="006110D6">
        <w:trPr>
          <w:cantSplit/>
        </w:trPr>
        <w:tc>
          <w:tcPr>
            <w:tcW w:w="5211" w:type="dxa"/>
          </w:tcPr>
          <w:p w14:paraId="1214FA44" w14:textId="77777777" w:rsidR="0007607F" w:rsidRPr="001A1836" w:rsidRDefault="0007607F" w:rsidP="006110D6">
            <w:r>
              <w:t xml:space="preserve">ISO 27001 </w:t>
            </w:r>
            <w:r w:rsidRPr="001A1836">
              <w:t xml:space="preserve">Annual Compliance Review </w:t>
            </w:r>
          </w:p>
        </w:tc>
        <w:tc>
          <w:tcPr>
            <w:tcW w:w="3317" w:type="dxa"/>
          </w:tcPr>
          <w:p w14:paraId="49D1B461" w14:textId="77777777" w:rsidR="0007607F" w:rsidRPr="001A1836" w:rsidRDefault="0007607F" w:rsidP="006110D6">
            <w:r w:rsidRPr="001A1836">
              <w:t>Internal</w:t>
            </w:r>
          </w:p>
        </w:tc>
      </w:tr>
      <w:tr w:rsidR="0007607F" w:rsidRPr="001A1836" w14:paraId="52825B65" w14:textId="77777777" w:rsidTr="006110D6">
        <w:trPr>
          <w:cantSplit/>
        </w:trPr>
        <w:tc>
          <w:tcPr>
            <w:tcW w:w="5211" w:type="dxa"/>
          </w:tcPr>
          <w:p w14:paraId="1AB49F9E" w14:textId="77777777" w:rsidR="0007607F" w:rsidRPr="001A1836" w:rsidRDefault="0007607F" w:rsidP="006110D6">
            <w:r w:rsidRPr="001A1836">
              <w:t xml:space="preserve">Subject Access Requests </w:t>
            </w:r>
          </w:p>
        </w:tc>
        <w:tc>
          <w:tcPr>
            <w:tcW w:w="3317" w:type="dxa"/>
          </w:tcPr>
          <w:p w14:paraId="1E5C35A2" w14:textId="77777777" w:rsidR="0007607F" w:rsidRPr="001A1836" w:rsidRDefault="0007607F" w:rsidP="006110D6">
            <w:r w:rsidRPr="001A1836">
              <w:t>Internal</w:t>
            </w:r>
          </w:p>
        </w:tc>
      </w:tr>
      <w:tr w:rsidR="0007607F" w:rsidRPr="001A1836" w14:paraId="0AE41B1A" w14:textId="77777777" w:rsidTr="006110D6">
        <w:trPr>
          <w:cantSplit/>
        </w:trPr>
        <w:tc>
          <w:tcPr>
            <w:tcW w:w="5211" w:type="dxa"/>
          </w:tcPr>
          <w:p w14:paraId="6DF91FD5" w14:textId="77777777" w:rsidR="0007607F" w:rsidRPr="001A1836" w:rsidRDefault="0007607F" w:rsidP="006110D6">
            <w:r w:rsidRPr="001A1836">
              <w:t>Freedom of Information Request Process</w:t>
            </w:r>
          </w:p>
        </w:tc>
        <w:tc>
          <w:tcPr>
            <w:tcW w:w="3317" w:type="dxa"/>
          </w:tcPr>
          <w:p w14:paraId="09472F09" w14:textId="77777777" w:rsidR="0007607F" w:rsidRPr="001A1836" w:rsidRDefault="0007607F" w:rsidP="006110D6">
            <w:r w:rsidRPr="001A1836">
              <w:t>Internal</w:t>
            </w:r>
          </w:p>
        </w:tc>
      </w:tr>
      <w:tr w:rsidR="0007607F" w:rsidRPr="001A1836" w14:paraId="1760A5D6" w14:textId="77777777" w:rsidTr="006110D6">
        <w:trPr>
          <w:cantSplit/>
        </w:trPr>
        <w:tc>
          <w:tcPr>
            <w:tcW w:w="5211" w:type="dxa"/>
          </w:tcPr>
          <w:p w14:paraId="6BF07C13" w14:textId="77777777" w:rsidR="0007607F" w:rsidRPr="001A1836" w:rsidRDefault="0007607F" w:rsidP="006110D6"/>
        </w:tc>
        <w:tc>
          <w:tcPr>
            <w:tcW w:w="3317" w:type="dxa"/>
          </w:tcPr>
          <w:p w14:paraId="03D4D79F" w14:textId="77777777" w:rsidR="0007607F" w:rsidRPr="001A1836" w:rsidRDefault="0007607F" w:rsidP="006110D6"/>
        </w:tc>
      </w:tr>
      <w:tr w:rsidR="0007607F" w:rsidRPr="001A1836" w14:paraId="7231D284" w14:textId="77777777" w:rsidTr="006110D6">
        <w:trPr>
          <w:cantSplit/>
        </w:trPr>
        <w:tc>
          <w:tcPr>
            <w:tcW w:w="8528" w:type="dxa"/>
            <w:gridSpan w:val="2"/>
          </w:tcPr>
          <w:p w14:paraId="71C6C99F" w14:textId="77777777" w:rsidR="0007607F" w:rsidRPr="001A1836" w:rsidRDefault="0007607F" w:rsidP="006110D6">
            <w:pPr>
              <w:rPr>
                <w:b/>
              </w:rPr>
            </w:pPr>
            <w:r w:rsidRPr="001A1836">
              <w:rPr>
                <w:b/>
              </w:rPr>
              <w:t>Marketing Communications &amp; PR</w:t>
            </w:r>
          </w:p>
        </w:tc>
      </w:tr>
      <w:tr w:rsidR="0007607F" w:rsidRPr="001A1836" w14:paraId="3CE2C8D3" w14:textId="77777777" w:rsidTr="006110D6">
        <w:trPr>
          <w:cantSplit/>
        </w:trPr>
        <w:tc>
          <w:tcPr>
            <w:tcW w:w="5211" w:type="dxa"/>
          </w:tcPr>
          <w:p w14:paraId="7C661899" w14:textId="77777777" w:rsidR="0007607F" w:rsidRPr="001A1836" w:rsidRDefault="0007607F" w:rsidP="006110D6">
            <w:r>
              <w:t>Engineer brand guidelines</w:t>
            </w:r>
          </w:p>
        </w:tc>
        <w:tc>
          <w:tcPr>
            <w:tcW w:w="3317" w:type="dxa"/>
          </w:tcPr>
          <w:p w14:paraId="73CA8F27" w14:textId="77777777" w:rsidR="0007607F" w:rsidRPr="001A1836" w:rsidRDefault="0007607F" w:rsidP="006110D6">
            <w:r w:rsidRPr="001A1836">
              <w:t xml:space="preserve">Internal &amp; Public </w:t>
            </w:r>
          </w:p>
        </w:tc>
      </w:tr>
      <w:tr w:rsidR="0007607F" w:rsidRPr="001A1836" w14:paraId="46EE2F74" w14:textId="77777777" w:rsidTr="006110D6">
        <w:trPr>
          <w:cantSplit/>
        </w:trPr>
        <w:tc>
          <w:tcPr>
            <w:tcW w:w="5211" w:type="dxa"/>
          </w:tcPr>
          <w:p w14:paraId="633F11A7" w14:textId="77777777" w:rsidR="0007607F" w:rsidRPr="001A1836" w:rsidRDefault="0007607F" w:rsidP="006110D6">
            <w:r w:rsidRPr="001A1836">
              <w:t>Brand Licence Application &amp; Logo Use Process</w:t>
            </w:r>
          </w:p>
        </w:tc>
        <w:tc>
          <w:tcPr>
            <w:tcW w:w="3317" w:type="dxa"/>
          </w:tcPr>
          <w:p w14:paraId="05952D0E" w14:textId="77777777" w:rsidR="0007607F" w:rsidRPr="001A1836" w:rsidRDefault="0007607F" w:rsidP="006110D6">
            <w:r w:rsidRPr="001A1836">
              <w:t>Internal</w:t>
            </w:r>
          </w:p>
        </w:tc>
      </w:tr>
      <w:tr w:rsidR="0007607F" w:rsidRPr="001A1836" w14:paraId="2F35D22E" w14:textId="77777777" w:rsidTr="006110D6">
        <w:trPr>
          <w:cantSplit/>
        </w:trPr>
        <w:tc>
          <w:tcPr>
            <w:tcW w:w="5211" w:type="dxa"/>
          </w:tcPr>
          <w:p w14:paraId="3A9F45EA" w14:textId="77777777" w:rsidR="0007607F" w:rsidRPr="001A1836" w:rsidRDefault="0007607F" w:rsidP="006110D6">
            <w:r w:rsidRPr="001A1836">
              <w:t>Literature Requests</w:t>
            </w:r>
          </w:p>
        </w:tc>
        <w:tc>
          <w:tcPr>
            <w:tcW w:w="3317" w:type="dxa"/>
          </w:tcPr>
          <w:p w14:paraId="0B49F482" w14:textId="77777777" w:rsidR="0007607F" w:rsidRPr="001A1836" w:rsidRDefault="0007607F" w:rsidP="006110D6">
            <w:r w:rsidRPr="001A1836">
              <w:t>Internal</w:t>
            </w:r>
          </w:p>
        </w:tc>
      </w:tr>
      <w:tr w:rsidR="0007607F" w:rsidRPr="001A1836" w14:paraId="521CC7B2" w14:textId="77777777" w:rsidTr="006110D6">
        <w:trPr>
          <w:cantSplit/>
        </w:trPr>
        <w:tc>
          <w:tcPr>
            <w:tcW w:w="5211" w:type="dxa"/>
          </w:tcPr>
          <w:p w14:paraId="3ECCF5F8" w14:textId="77777777" w:rsidR="0007607F" w:rsidRPr="001A1836" w:rsidRDefault="0007607F" w:rsidP="006110D6">
            <w:r w:rsidRPr="001A1836">
              <w:t>Logo Requests</w:t>
            </w:r>
          </w:p>
        </w:tc>
        <w:tc>
          <w:tcPr>
            <w:tcW w:w="3317" w:type="dxa"/>
          </w:tcPr>
          <w:p w14:paraId="5804FAF7" w14:textId="77777777" w:rsidR="0007607F" w:rsidRPr="001A1836" w:rsidRDefault="0007607F" w:rsidP="006110D6">
            <w:r w:rsidRPr="001A1836">
              <w:t>Internal</w:t>
            </w:r>
          </w:p>
        </w:tc>
      </w:tr>
      <w:tr w:rsidR="0007607F" w:rsidRPr="001A1836" w14:paraId="0D399ABF" w14:textId="77777777" w:rsidTr="006110D6">
        <w:trPr>
          <w:cantSplit/>
        </w:trPr>
        <w:tc>
          <w:tcPr>
            <w:tcW w:w="5211" w:type="dxa"/>
          </w:tcPr>
          <w:p w14:paraId="3525DC12" w14:textId="77777777" w:rsidR="0007607F" w:rsidRPr="001A1836" w:rsidRDefault="0007607F" w:rsidP="006110D6">
            <w:r w:rsidRPr="001A1836">
              <w:t>Social Media Protocol</w:t>
            </w:r>
          </w:p>
        </w:tc>
        <w:tc>
          <w:tcPr>
            <w:tcW w:w="3317" w:type="dxa"/>
          </w:tcPr>
          <w:p w14:paraId="0878614E" w14:textId="77777777" w:rsidR="0007607F" w:rsidRPr="001A1836" w:rsidRDefault="0007607F" w:rsidP="006110D6">
            <w:r w:rsidRPr="001A1836">
              <w:t>Internal</w:t>
            </w:r>
          </w:p>
        </w:tc>
      </w:tr>
      <w:tr w:rsidR="0007607F" w:rsidRPr="001A1836" w14:paraId="5E3A7F3D" w14:textId="77777777" w:rsidTr="006110D6">
        <w:trPr>
          <w:cantSplit/>
        </w:trPr>
        <w:tc>
          <w:tcPr>
            <w:tcW w:w="5211" w:type="dxa"/>
          </w:tcPr>
          <w:p w14:paraId="75F247B5" w14:textId="77777777" w:rsidR="0007607F" w:rsidRPr="001A1836" w:rsidRDefault="0007607F" w:rsidP="006110D6"/>
        </w:tc>
        <w:tc>
          <w:tcPr>
            <w:tcW w:w="3317" w:type="dxa"/>
          </w:tcPr>
          <w:p w14:paraId="6AB5DF0A" w14:textId="77777777" w:rsidR="0007607F" w:rsidRPr="001A1836" w:rsidRDefault="0007607F" w:rsidP="006110D6"/>
        </w:tc>
      </w:tr>
      <w:tr w:rsidR="0007607F" w:rsidRPr="001A1836" w14:paraId="239BF00D" w14:textId="77777777" w:rsidTr="006110D6">
        <w:trPr>
          <w:cantSplit/>
        </w:trPr>
        <w:tc>
          <w:tcPr>
            <w:tcW w:w="5211" w:type="dxa"/>
          </w:tcPr>
          <w:p w14:paraId="053023A0" w14:textId="77777777" w:rsidR="0007607F" w:rsidRPr="001A1836" w:rsidRDefault="0007607F" w:rsidP="006110D6">
            <w:r w:rsidRPr="001A1836">
              <w:t>Design and Print</w:t>
            </w:r>
          </w:p>
        </w:tc>
        <w:tc>
          <w:tcPr>
            <w:tcW w:w="3317" w:type="dxa"/>
          </w:tcPr>
          <w:p w14:paraId="22D36A26" w14:textId="77777777" w:rsidR="0007607F" w:rsidRPr="001A1836" w:rsidRDefault="0007607F" w:rsidP="006110D6">
            <w:r w:rsidRPr="001A1836">
              <w:t>Internal</w:t>
            </w:r>
          </w:p>
        </w:tc>
      </w:tr>
      <w:tr w:rsidR="0007607F" w:rsidRPr="001A1836" w14:paraId="5721A7BB" w14:textId="77777777" w:rsidTr="006110D6">
        <w:trPr>
          <w:cantSplit/>
        </w:trPr>
        <w:tc>
          <w:tcPr>
            <w:tcW w:w="5211" w:type="dxa"/>
          </w:tcPr>
          <w:p w14:paraId="3054D7B3" w14:textId="77777777" w:rsidR="0007607F" w:rsidRPr="001A1836" w:rsidRDefault="0007607F" w:rsidP="006110D6">
            <w:r w:rsidRPr="001A1836">
              <w:t>Email campaigns</w:t>
            </w:r>
          </w:p>
        </w:tc>
        <w:tc>
          <w:tcPr>
            <w:tcW w:w="3317" w:type="dxa"/>
          </w:tcPr>
          <w:p w14:paraId="41E3B19D" w14:textId="77777777" w:rsidR="0007607F" w:rsidRPr="001A1836" w:rsidRDefault="0007607F" w:rsidP="006110D6">
            <w:r w:rsidRPr="001A1836">
              <w:t>Internal</w:t>
            </w:r>
          </w:p>
        </w:tc>
      </w:tr>
      <w:tr w:rsidR="0007607F" w:rsidRPr="001A1836" w14:paraId="1ADAF05A" w14:textId="77777777" w:rsidTr="006110D6">
        <w:trPr>
          <w:cantSplit/>
        </w:trPr>
        <w:tc>
          <w:tcPr>
            <w:tcW w:w="5211" w:type="dxa"/>
          </w:tcPr>
          <w:p w14:paraId="412C86A7" w14:textId="77777777" w:rsidR="0007607F" w:rsidRPr="001A1836" w:rsidRDefault="0007607F" w:rsidP="006110D6">
            <w:r w:rsidRPr="001A1836">
              <w:t>Campaigns</w:t>
            </w:r>
          </w:p>
        </w:tc>
        <w:tc>
          <w:tcPr>
            <w:tcW w:w="3317" w:type="dxa"/>
          </w:tcPr>
          <w:p w14:paraId="643686B6" w14:textId="77777777" w:rsidR="0007607F" w:rsidRPr="001A1836" w:rsidRDefault="0007607F" w:rsidP="006110D6">
            <w:r w:rsidRPr="001A1836">
              <w:t>Internal</w:t>
            </w:r>
          </w:p>
        </w:tc>
      </w:tr>
      <w:tr w:rsidR="0007607F" w:rsidRPr="001A1836" w14:paraId="741D7674" w14:textId="77777777" w:rsidTr="006110D6">
        <w:trPr>
          <w:cantSplit/>
        </w:trPr>
        <w:tc>
          <w:tcPr>
            <w:tcW w:w="5211" w:type="dxa"/>
          </w:tcPr>
          <w:p w14:paraId="5C436650" w14:textId="77777777" w:rsidR="0007607F" w:rsidRPr="001A1836" w:rsidRDefault="0007607F" w:rsidP="006110D6">
            <w:r w:rsidRPr="001A1836">
              <w:t>PPC activity</w:t>
            </w:r>
          </w:p>
        </w:tc>
        <w:tc>
          <w:tcPr>
            <w:tcW w:w="3317" w:type="dxa"/>
          </w:tcPr>
          <w:p w14:paraId="20B8FF0E" w14:textId="77777777" w:rsidR="0007607F" w:rsidRPr="001A1836" w:rsidRDefault="0007607F" w:rsidP="006110D6">
            <w:r w:rsidRPr="001A1836">
              <w:t>Internal</w:t>
            </w:r>
          </w:p>
        </w:tc>
      </w:tr>
      <w:tr w:rsidR="0007607F" w:rsidRPr="001A1836" w14:paraId="7D0B7BCE" w14:textId="77777777" w:rsidTr="006110D6">
        <w:trPr>
          <w:cantSplit/>
        </w:trPr>
        <w:tc>
          <w:tcPr>
            <w:tcW w:w="5211" w:type="dxa"/>
          </w:tcPr>
          <w:p w14:paraId="29562D17" w14:textId="77777777" w:rsidR="0007607F" w:rsidRPr="001A1836" w:rsidRDefault="0007607F" w:rsidP="006110D6">
            <w:r w:rsidRPr="001A1836">
              <w:t>Website statistics</w:t>
            </w:r>
          </w:p>
        </w:tc>
        <w:tc>
          <w:tcPr>
            <w:tcW w:w="3317" w:type="dxa"/>
          </w:tcPr>
          <w:p w14:paraId="6A0C8306" w14:textId="77777777" w:rsidR="0007607F" w:rsidRPr="001A1836" w:rsidRDefault="0007607F" w:rsidP="006110D6">
            <w:r w:rsidRPr="001A1836">
              <w:t>Internal</w:t>
            </w:r>
          </w:p>
        </w:tc>
      </w:tr>
      <w:tr w:rsidR="0007607F" w:rsidRPr="001A1836" w14:paraId="6BE18A20" w14:textId="77777777" w:rsidTr="006110D6">
        <w:trPr>
          <w:cantSplit/>
        </w:trPr>
        <w:tc>
          <w:tcPr>
            <w:tcW w:w="5211" w:type="dxa"/>
          </w:tcPr>
          <w:p w14:paraId="3C998CFD" w14:textId="77777777" w:rsidR="0007607F" w:rsidRPr="001A1836" w:rsidRDefault="0007607F" w:rsidP="006110D6">
            <w:r w:rsidRPr="001A1836">
              <w:t>Website maintenance</w:t>
            </w:r>
          </w:p>
        </w:tc>
        <w:tc>
          <w:tcPr>
            <w:tcW w:w="3317" w:type="dxa"/>
          </w:tcPr>
          <w:p w14:paraId="69C2A930" w14:textId="77777777" w:rsidR="0007607F" w:rsidRPr="001A1836" w:rsidRDefault="0007607F" w:rsidP="006110D6">
            <w:r w:rsidRPr="001A1836">
              <w:t>Internal</w:t>
            </w:r>
          </w:p>
        </w:tc>
      </w:tr>
      <w:tr w:rsidR="0007607F" w:rsidRPr="001A1836" w14:paraId="61ABDACF" w14:textId="77777777" w:rsidTr="006110D6">
        <w:trPr>
          <w:cantSplit/>
        </w:trPr>
        <w:tc>
          <w:tcPr>
            <w:tcW w:w="5211" w:type="dxa"/>
          </w:tcPr>
          <w:p w14:paraId="467CD8D9" w14:textId="77777777" w:rsidR="0007607F" w:rsidRPr="001A1836" w:rsidRDefault="0007607F" w:rsidP="006110D6">
            <w:r w:rsidRPr="001A1836">
              <w:t>Advertising opportunities</w:t>
            </w:r>
          </w:p>
        </w:tc>
        <w:tc>
          <w:tcPr>
            <w:tcW w:w="3317" w:type="dxa"/>
          </w:tcPr>
          <w:p w14:paraId="3E97D3F9" w14:textId="77777777" w:rsidR="0007607F" w:rsidRPr="001A1836" w:rsidRDefault="0007607F" w:rsidP="006110D6">
            <w:r w:rsidRPr="001A1836">
              <w:t>Internal</w:t>
            </w:r>
          </w:p>
        </w:tc>
      </w:tr>
      <w:tr w:rsidR="0007607F" w:rsidRPr="001A1836" w14:paraId="2E8B7BD6" w14:textId="77777777" w:rsidTr="006110D6">
        <w:trPr>
          <w:cantSplit/>
        </w:trPr>
        <w:tc>
          <w:tcPr>
            <w:tcW w:w="5211" w:type="dxa"/>
          </w:tcPr>
          <w:p w14:paraId="18F631DC" w14:textId="77777777" w:rsidR="0007607F" w:rsidRPr="001A1836" w:rsidRDefault="0007607F" w:rsidP="006110D6">
            <w:r>
              <w:t>PR Media Protocol</w:t>
            </w:r>
          </w:p>
        </w:tc>
        <w:tc>
          <w:tcPr>
            <w:tcW w:w="3317" w:type="dxa"/>
          </w:tcPr>
          <w:p w14:paraId="37E385A9" w14:textId="77777777" w:rsidR="0007607F" w:rsidRPr="001A1836" w:rsidRDefault="0007607F" w:rsidP="006110D6">
            <w:r>
              <w:t>Internal</w:t>
            </w:r>
          </w:p>
        </w:tc>
      </w:tr>
      <w:tr w:rsidR="0007607F" w:rsidRPr="001A1836" w14:paraId="2B6F8C49" w14:textId="77777777" w:rsidTr="006110D6">
        <w:trPr>
          <w:cantSplit/>
        </w:trPr>
        <w:tc>
          <w:tcPr>
            <w:tcW w:w="5211" w:type="dxa"/>
          </w:tcPr>
          <w:p w14:paraId="381A999C" w14:textId="77777777" w:rsidR="0007607F" w:rsidRPr="001A1836" w:rsidRDefault="0007607F" w:rsidP="006110D6"/>
        </w:tc>
        <w:tc>
          <w:tcPr>
            <w:tcW w:w="3317" w:type="dxa"/>
          </w:tcPr>
          <w:p w14:paraId="6F83B97B" w14:textId="77777777" w:rsidR="0007607F" w:rsidRPr="001A1836" w:rsidRDefault="0007607F" w:rsidP="006110D6"/>
        </w:tc>
      </w:tr>
      <w:tr w:rsidR="0007607F" w:rsidRPr="001A1836" w14:paraId="10971751" w14:textId="77777777" w:rsidTr="006110D6">
        <w:trPr>
          <w:cantSplit/>
        </w:trPr>
        <w:tc>
          <w:tcPr>
            <w:tcW w:w="5211" w:type="dxa"/>
          </w:tcPr>
          <w:p w14:paraId="716595DF" w14:textId="77777777" w:rsidR="0007607F" w:rsidRPr="001A1836" w:rsidRDefault="0007607F" w:rsidP="006110D6"/>
        </w:tc>
        <w:tc>
          <w:tcPr>
            <w:tcW w:w="3317" w:type="dxa"/>
          </w:tcPr>
          <w:p w14:paraId="6133858B" w14:textId="77777777" w:rsidR="0007607F" w:rsidRPr="001A1836" w:rsidRDefault="0007607F" w:rsidP="006110D6"/>
        </w:tc>
      </w:tr>
      <w:tr w:rsidR="0007607F" w:rsidRPr="001A1836" w14:paraId="3BE1A92A" w14:textId="77777777" w:rsidTr="006110D6">
        <w:trPr>
          <w:cantSplit/>
        </w:trPr>
        <w:tc>
          <w:tcPr>
            <w:tcW w:w="5211" w:type="dxa"/>
          </w:tcPr>
          <w:p w14:paraId="0F662E88" w14:textId="77777777" w:rsidR="0007607F" w:rsidRPr="001A1836" w:rsidRDefault="0007607F" w:rsidP="006110D6">
            <w:r w:rsidRPr="001A1836">
              <w:t>Partnership Marketing MOU signed</w:t>
            </w:r>
          </w:p>
        </w:tc>
        <w:tc>
          <w:tcPr>
            <w:tcW w:w="3317" w:type="dxa"/>
          </w:tcPr>
          <w:p w14:paraId="5E13E268" w14:textId="77777777" w:rsidR="0007607F" w:rsidRPr="001A1836" w:rsidRDefault="0007607F" w:rsidP="006110D6">
            <w:r w:rsidRPr="001A1836">
              <w:t>Internal</w:t>
            </w:r>
          </w:p>
        </w:tc>
      </w:tr>
      <w:tr w:rsidR="0007607F" w:rsidRPr="001A1836" w14:paraId="03A60913" w14:textId="77777777" w:rsidTr="006110D6">
        <w:trPr>
          <w:cantSplit/>
        </w:trPr>
        <w:tc>
          <w:tcPr>
            <w:tcW w:w="5211" w:type="dxa"/>
          </w:tcPr>
          <w:p w14:paraId="5B2393FC" w14:textId="77777777" w:rsidR="0007607F" w:rsidRPr="001A1836" w:rsidRDefault="0007607F" w:rsidP="006110D6">
            <w:r w:rsidRPr="001A1836">
              <w:t>Editorial development and content sign-off for RGE magazine</w:t>
            </w:r>
          </w:p>
        </w:tc>
        <w:tc>
          <w:tcPr>
            <w:tcW w:w="3317" w:type="dxa"/>
          </w:tcPr>
          <w:p w14:paraId="7EF121AE" w14:textId="77777777" w:rsidR="0007607F" w:rsidRPr="001A1836" w:rsidRDefault="0007607F" w:rsidP="006110D6">
            <w:r w:rsidRPr="001A1836">
              <w:t>Internal</w:t>
            </w:r>
          </w:p>
        </w:tc>
      </w:tr>
      <w:tr w:rsidR="0007607F" w:rsidRPr="001A1836" w14:paraId="4FAC13B0" w14:textId="77777777" w:rsidTr="006110D6">
        <w:trPr>
          <w:cantSplit/>
        </w:trPr>
        <w:tc>
          <w:tcPr>
            <w:tcW w:w="5211" w:type="dxa"/>
          </w:tcPr>
          <w:p w14:paraId="13B6D0EE" w14:textId="77777777" w:rsidR="0007607F" w:rsidRPr="001A1836" w:rsidRDefault="0007607F" w:rsidP="006110D6">
            <w:r w:rsidRPr="001A1836">
              <w:rPr>
                <w:b/>
              </w:rPr>
              <w:t xml:space="preserve">Stakeholder management </w:t>
            </w:r>
          </w:p>
        </w:tc>
        <w:tc>
          <w:tcPr>
            <w:tcW w:w="3317" w:type="dxa"/>
          </w:tcPr>
          <w:p w14:paraId="677A08AF" w14:textId="77777777" w:rsidR="0007607F" w:rsidRPr="001A1836" w:rsidRDefault="0007607F" w:rsidP="006110D6"/>
        </w:tc>
      </w:tr>
      <w:tr w:rsidR="0007607F" w:rsidRPr="001A1836" w14:paraId="1DE7765F" w14:textId="77777777" w:rsidTr="006110D6">
        <w:trPr>
          <w:cantSplit/>
        </w:trPr>
        <w:tc>
          <w:tcPr>
            <w:tcW w:w="5211" w:type="dxa"/>
          </w:tcPr>
          <w:p w14:paraId="177C3948" w14:textId="4ECE53B7" w:rsidR="0007607F" w:rsidRPr="001A1836" w:rsidRDefault="0007607F" w:rsidP="006110D6"/>
        </w:tc>
        <w:tc>
          <w:tcPr>
            <w:tcW w:w="3317" w:type="dxa"/>
          </w:tcPr>
          <w:p w14:paraId="13AE39AE" w14:textId="2E81B3B4" w:rsidR="0007607F" w:rsidRPr="001A1836" w:rsidRDefault="0007607F" w:rsidP="006110D6"/>
        </w:tc>
      </w:tr>
      <w:tr w:rsidR="0007607F" w:rsidRPr="001A1836" w14:paraId="0C39E7A5" w14:textId="77777777" w:rsidTr="006110D6">
        <w:trPr>
          <w:cantSplit/>
        </w:trPr>
        <w:tc>
          <w:tcPr>
            <w:tcW w:w="5211" w:type="dxa"/>
          </w:tcPr>
          <w:p w14:paraId="53B4C9CA" w14:textId="77777777" w:rsidR="0007607F" w:rsidRPr="001A1836" w:rsidRDefault="0007607F" w:rsidP="006110D6">
            <w:r w:rsidRPr="001A1836">
              <w:t xml:space="preserve">Stakeholder Events Process </w:t>
            </w:r>
          </w:p>
        </w:tc>
        <w:tc>
          <w:tcPr>
            <w:tcW w:w="3317" w:type="dxa"/>
          </w:tcPr>
          <w:p w14:paraId="59AE3BD3" w14:textId="77777777" w:rsidR="0007607F" w:rsidRPr="001A1836" w:rsidRDefault="0007607F" w:rsidP="006110D6">
            <w:r w:rsidRPr="001A1836">
              <w:t>Internal</w:t>
            </w:r>
          </w:p>
        </w:tc>
      </w:tr>
      <w:tr w:rsidR="0007607F" w:rsidRPr="001A1836" w14:paraId="38C22896" w14:textId="77777777" w:rsidTr="006110D6">
        <w:trPr>
          <w:cantSplit/>
        </w:trPr>
        <w:tc>
          <w:tcPr>
            <w:tcW w:w="8528" w:type="dxa"/>
            <w:gridSpan w:val="2"/>
          </w:tcPr>
          <w:p w14:paraId="24785E30" w14:textId="77777777" w:rsidR="0007607F" w:rsidRPr="001A1836" w:rsidRDefault="0007607F" w:rsidP="006110D6">
            <w:pPr>
              <w:rPr>
                <w:b/>
              </w:rPr>
            </w:pPr>
            <w:r w:rsidRPr="001A1836">
              <w:rPr>
                <w:b/>
              </w:rPr>
              <w:t>Technical</w:t>
            </w:r>
          </w:p>
        </w:tc>
      </w:tr>
      <w:tr w:rsidR="0007607F" w:rsidRPr="001A1836" w14:paraId="1B685278" w14:textId="77777777" w:rsidTr="006110D6">
        <w:trPr>
          <w:cantSplit/>
        </w:trPr>
        <w:tc>
          <w:tcPr>
            <w:tcW w:w="5211" w:type="dxa"/>
          </w:tcPr>
          <w:p w14:paraId="0B9BD178" w14:textId="77777777" w:rsidR="0007607F" w:rsidRPr="001A1836" w:rsidRDefault="0007607F" w:rsidP="006110D6">
            <w:r>
              <w:t>I</w:t>
            </w:r>
            <w:r w:rsidRPr="001A1836">
              <w:t>nvolvement of GSR in the development of Industry Standards</w:t>
            </w:r>
          </w:p>
        </w:tc>
        <w:tc>
          <w:tcPr>
            <w:tcW w:w="3317" w:type="dxa"/>
          </w:tcPr>
          <w:p w14:paraId="73BFAD4D" w14:textId="77777777" w:rsidR="0007607F" w:rsidRPr="001A1836" w:rsidRDefault="0007607F" w:rsidP="006110D6">
            <w:r w:rsidRPr="001A1836">
              <w:t>Internal</w:t>
            </w:r>
          </w:p>
        </w:tc>
      </w:tr>
      <w:tr w:rsidR="0007607F" w:rsidRPr="001A1836" w14:paraId="674F7643" w14:textId="77777777" w:rsidTr="006110D6">
        <w:trPr>
          <w:cantSplit/>
        </w:trPr>
        <w:tc>
          <w:tcPr>
            <w:tcW w:w="5211" w:type="dxa"/>
          </w:tcPr>
          <w:p w14:paraId="0C3083DD" w14:textId="77777777" w:rsidR="0007607F" w:rsidRPr="001A1836" w:rsidRDefault="0007607F" w:rsidP="006110D6">
            <w:r>
              <w:t>D</w:t>
            </w:r>
            <w:r w:rsidRPr="001A1836">
              <w:t xml:space="preserve">evelopment of Consumer Safety Factsheets </w:t>
            </w:r>
          </w:p>
        </w:tc>
        <w:tc>
          <w:tcPr>
            <w:tcW w:w="3317" w:type="dxa"/>
          </w:tcPr>
          <w:p w14:paraId="3C3F6697" w14:textId="77777777" w:rsidR="0007607F" w:rsidRPr="001A1836" w:rsidRDefault="0007607F" w:rsidP="006110D6">
            <w:r w:rsidRPr="001A1836">
              <w:t>Internal</w:t>
            </w:r>
          </w:p>
        </w:tc>
      </w:tr>
      <w:tr w:rsidR="0007607F" w:rsidRPr="001A1836" w14:paraId="54E6E545" w14:textId="77777777" w:rsidTr="006110D6">
        <w:trPr>
          <w:cantSplit/>
        </w:trPr>
        <w:tc>
          <w:tcPr>
            <w:tcW w:w="5211" w:type="dxa"/>
          </w:tcPr>
          <w:p w14:paraId="6E78C626" w14:textId="77777777" w:rsidR="0007607F" w:rsidRPr="001A1836" w:rsidRDefault="0007607F" w:rsidP="006110D6">
            <w:r>
              <w:t>D</w:t>
            </w:r>
            <w:r w:rsidRPr="001A1836">
              <w:t>evelopment of GSR Industry Standard Updates</w:t>
            </w:r>
          </w:p>
        </w:tc>
        <w:tc>
          <w:tcPr>
            <w:tcW w:w="3317" w:type="dxa"/>
          </w:tcPr>
          <w:p w14:paraId="2A568988" w14:textId="77777777" w:rsidR="0007607F" w:rsidRPr="001A1836" w:rsidRDefault="0007607F" w:rsidP="006110D6">
            <w:r w:rsidRPr="001A1836">
              <w:t>Internal</w:t>
            </w:r>
          </w:p>
        </w:tc>
      </w:tr>
      <w:tr w:rsidR="0007607F" w:rsidRPr="001A1836" w14:paraId="7B7DABD5" w14:textId="77777777" w:rsidTr="006110D6">
        <w:trPr>
          <w:cantSplit/>
        </w:trPr>
        <w:tc>
          <w:tcPr>
            <w:tcW w:w="5211" w:type="dxa"/>
          </w:tcPr>
          <w:p w14:paraId="38F6711E" w14:textId="77777777" w:rsidR="0007607F" w:rsidRPr="001A1836" w:rsidRDefault="0007607F" w:rsidP="006110D6">
            <w:r>
              <w:t>D</w:t>
            </w:r>
            <w:r w:rsidRPr="001A1836">
              <w:t>evelopment of GSR Safety Alerts</w:t>
            </w:r>
          </w:p>
        </w:tc>
        <w:tc>
          <w:tcPr>
            <w:tcW w:w="3317" w:type="dxa"/>
          </w:tcPr>
          <w:p w14:paraId="615E58B3" w14:textId="77777777" w:rsidR="0007607F" w:rsidRPr="001A1836" w:rsidRDefault="0007607F" w:rsidP="006110D6">
            <w:r w:rsidRPr="001A1836">
              <w:t>Internal</w:t>
            </w:r>
          </w:p>
        </w:tc>
      </w:tr>
      <w:tr w:rsidR="0007607F" w:rsidRPr="001A1836" w14:paraId="6624E6A9" w14:textId="77777777" w:rsidTr="006110D6">
        <w:trPr>
          <w:cantSplit/>
        </w:trPr>
        <w:tc>
          <w:tcPr>
            <w:tcW w:w="5211" w:type="dxa"/>
          </w:tcPr>
          <w:p w14:paraId="1F35FE4C" w14:textId="77777777" w:rsidR="0007607F" w:rsidRPr="001A1836" w:rsidRDefault="0007607F" w:rsidP="006110D6">
            <w:r>
              <w:t>D</w:t>
            </w:r>
            <w:r w:rsidRPr="001A1836">
              <w:t>evelopment of GSR Technical Bulletins</w:t>
            </w:r>
          </w:p>
        </w:tc>
        <w:tc>
          <w:tcPr>
            <w:tcW w:w="3317" w:type="dxa"/>
          </w:tcPr>
          <w:p w14:paraId="75695D15" w14:textId="77777777" w:rsidR="0007607F" w:rsidRPr="001A1836" w:rsidRDefault="0007607F" w:rsidP="006110D6">
            <w:r w:rsidRPr="001A1836">
              <w:t>Internal</w:t>
            </w:r>
          </w:p>
        </w:tc>
      </w:tr>
      <w:tr w:rsidR="0007607F" w:rsidRPr="001A1836" w14:paraId="7A19FB70" w14:textId="77777777" w:rsidTr="006110D6">
        <w:trPr>
          <w:cantSplit/>
        </w:trPr>
        <w:tc>
          <w:tcPr>
            <w:tcW w:w="5211" w:type="dxa"/>
          </w:tcPr>
          <w:p w14:paraId="30B1E14C" w14:textId="77777777" w:rsidR="0007607F" w:rsidRPr="001A1836" w:rsidRDefault="0007607F" w:rsidP="006110D6">
            <w:r>
              <w:t>A</w:t>
            </w:r>
            <w:r w:rsidRPr="001A1836">
              <w:t>ssessing impact of Technical Bulletins and Safety Alerts on GUISP</w:t>
            </w:r>
          </w:p>
        </w:tc>
        <w:tc>
          <w:tcPr>
            <w:tcW w:w="3317" w:type="dxa"/>
          </w:tcPr>
          <w:p w14:paraId="331CFCC6" w14:textId="77777777" w:rsidR="0007607F" w:rsidRPr="001A1836" w:rsidRDefault="0007607F" w:rsidP="006110D6">
            <w:r w:rsidRPr="001A1836">
              <w:t>Internal</w:t>
            </w:r>
          </w:p>
        </w:tc>
      </w:tr>
      <w:tr w:rsidR="0007607F" w:rsidRPr="001A1836" w14:paraId="211B2007" w14:textId="77777777" w:rsidTr="006110D6">
        <w:trPr>
          <w:cantSplit/>
        </w:trPr>
        <w:tc>
          <w:tcPr>
            <w:tcW w:w="5211" w:type="dxa"/>
          </w:tcPr>
          <w:p w14:paraId="51CFEAC7" w14:textId="77777777" w:rsidR="0007607F" w:rsidRPr="001A1836" w:rsidRDefault="0007607F" w:rsidP="006110D6">
            <w:r w:rsidRPr="001A1836">
              <w:t>Access to Industry Standards initiative with Industry</w:t>
            </w:r>
          </w:p>
        </w:tc>
        <w:tc>
          <w:tcPr>
            <w:tcW w:w="3317" w:type="dxa"/>
          </w:tcPr>
          <w:p w14:paraId="306EAE22" w14:textId="77777777" w:rsidR="0007607F" w:rsidRPr="001A1836" w:rsidRDefault="0007607F" w:rsidP="006110D6">
            <w:r w:rsidRPr="001A1836">
              <w:t>Internal</w:t>
            </w:r>
          </w:p>
        </w:tc>
      </w:tr>
      <w:tr w:rsidR="0007607F" w:rsidRPr="001A1836" w14:paraId="38002675" w14:textId="77777777" w:rsidTr="006110D6">
        <w:trPr>
          <w:cantSplit/>
        </w:trPr>
        <w:tc>
          <w:tcPr>
            <w:tcW w:w="5211" w:type="dxa"/>
          </w:tcPr>
          <w:p w14:paraId="28A85F92" w14:textId="77777777" w:rsidR="0007607F" w:rsidRPr="001A1836" w:rsidRDefault="0007607F" w:rsidP="006110D6">
            <w:r>
              <w:t>D</w:t>
            </w:r>
            <w:r w:rsidRPr="001A1836">
              <w:t>evelopment of GSR Normative Document List</w:t>
            </w:r>
          </w:p>
        </w:tc>
        <w:tc>
          <w:tcPr>
            <w:tcW w:w="3317" w:type="dxa"/>
          </w:tcPr>
          <w:p w14:paraId="5E673243" w14:textId="77777777" w:rsidR="0007607F" w:rsidRPr="001A1836" w:rsidRDefault="0007607F" w:rsidP="006110D6">
            <w:r w:rsidRPr="001A1836">
              <w:t>Internal</w:t>
            </w:r>
          </w:p>
        </w:tc>
      </w:tr>
      <w:tr w:rsidR="0007607F" w:rsidRPr="001A1836" w14:paraId="7DC0F444" w14:textId="77777777" w:rsidTr="006110D6">
        <w:trPr>
          <w:cantSplit/>
        </w:trPr>
        <w:tc>
          <w:tcPr>
            <w:tcW w:w="5211" w:type="dxa"/>
          </w:tcPr>
          <w:p w14:paraId="78D0227A" w14:textId="77777777" w:rsidR="0007607F" w:rsidRPr="001A1836" w:rsidRDefault="0007607F" w:rsidP="006110D6">
            <w:r w:rsidRPr="001A1836">
              <w:lastRenderedPageBreak/>
              <w:t>Functional Technical Guidance</w:t>
            </w:r>
          </w:p>
        </w:tc>
        <w:tc>
          <w:tcPr>
            <w:tcW w:w="3317" w:type="dxa"/>
          </w:tcPr>
          <w:p w14:paraId="63C7A990" w14:textId="77777777" w:rsidR="0007607F" w:rsidRPr="001A1836" w:rsidRDefault="0007607F" w:rsidP="006110D6">
            <w:r w:rsidRPr="001A1836">
              <w:t>Internal &amp; Public</w:t>
            </w:r>
          </w:p>
        </w:tc>
      </w:tr>
      <w:tr w:rsidR="0007607F" w:rsidRPr="001A1836" w14:paraId="20C9F52C" w14:textId="77777777" w:rsidTr="006110D6">
        <w:trPr>
          <w:cantSplit/>
        </w:trPr>
        <w:tc>
          <w:tcPr>
            <w:tcW w:w="8528" w:type="dxa"/>
            <w:gridSpan w:val="2"/>
          </w:tcPr>
          <w:p w14:paraId="6E67D7AD" w14:textId="77777777" w:rsidR="0007607F" w:rsidRPr="001A1836" w:rsidRDefault="0007607F" w:rsidP="006110D6">
            <w:pPr>
              <w:rPr>
                <w:b/>
              </w:rPr>
            </w:pPr>
            <w:r w:rsidRPr="001A1836">
              <w:rPr>
                <w:b/>
              </w:rPr>
              <w:t>Field operations</w:t>
            </w:r>
          </w:p>
        </w:tc>
      </w:tr>
      <w:tr w:rsidR="0007607F" w:rsidRPr="001A1836" w14:paraId="3E4802CC" w14:textId="77777777" w:rsidTr="006110D6">
        <w:trPr>
          <w:cantSplit/>
        </w:trPr>
        <w:tc>
          <w:tcPr>
            <w:tcW w:w="5211" w:type="dxa"/>
          </w:tcPr>
          <w:p w14:paraId="7ECF4D0E" w14:textId="77777777" w:rsidR="0007607F" w:rsidRPr="003A263B" w:rsidRDefault="0007607F" w:rsidP="006110D6">
            <w:pPr>
              <w:rPr>
                <w:b/>
              </w:rPr>
            </w:pPr>
            <w:r>
              <w:rPr>
                <w:b/>
              </w:rPr>
              <w:t>Field operational management</w:t>
            </w:r>
          </w:p>
        </w:tc>
        <w:tc>
          <w:tcPr>
            <w:tcW w:w="3317" w:type="dxa"/>
          </w:tcPr>
          <w:p w14:paraId="71CC1B80" w14:textId="77777777" w:rsidR="0007607F" w:rsidRPr="001A1836" w:rsidRDefault="0007607F" w:rsidP="006110D6"/>
        </w:tc>
      </w:tr>
      <w:tr w:rsidR="0007607F" w:rsidRPr="001A1836" w14:paraId="25B187F2" w14:textId="77777777" w:rsidTr="006110D6">
        <w:trPr>
          <w:cantSplit/>
        </w:trPr>
        <w:tc>
          <w:tcPr>
            <w:tcW w:w="5211" w:type="dxa"/>
          </w:tcPr>
          <w:p w14:paraId="6BA02B57" w14:textId="77777777" w:rsidR="0007607F" w:rsidRPr="001A1836" w:rsidRDefault="0007607F" w:rsidP="006110D6">
            <w:r w:rsidRPr="001A1836">
              <w:t>Scheduling management – data transfer</w:t>
            </w:r>
          </w:p>
        </w:tc>
        <w:tc>
          <w:tcPr>
            <w:tcW w:w="3317" w:type="dxa"/>
          </w:tcPr>
          <w:p w14:paraId="7AABA3A2" w14:textId="77777777" w:rsidR="0007607F" w:rsidRPr="001A1836" w:rsidRDefault="0007607F" w:rsidP="006110D6">
            <w:r w:rsidRPr="001A1836">
              <w:t>Internal</w:t>
            </w:r>
          </w:p>
        </w:tc>
      </w:tr>
      <w:tr w:rsidR="0007607F" w:rsidRPr="001A1836" w14:paraId="6C496687" w14:textId="77777777" w:rsidTr="006110D6">
        <w:trPr>
          <w:cantSplit/>
        </w:trPr>
        <w:tc>
          <w:tcPr>
            <w:tcW w:w="5211" w:type="dxa"/>
          </w:tcPr>
          <w:p w14:paraId="26B91FC3" w14:textId="77777777" w:rsidR="0007607F" w:rsidRPr="001A1836" w:rsidRDefault="0007607F" w:rsidP="006110D6">
            <w:r w:rsidRPr="001A1836">
              <w:t xml:space="preserve">Risk modelling &amp; change control </w:t>
            </w:r>
          </w:p>
        </w:tc>
        <w:tc>
          <w:tcPr>
            <w:tcW w:w="3317" w:type="dxa"/>
          </w:tcPr>
          <w:p w14:paraId="2704554E" w14:textId="77777777" w:rsidR="0007607F" w:rsidRPr="001A1836" w:rsidRDefault="0007607F" w:rsidP="006110D6">
            <w:r w:rsidRPr="001A1836">
              <w:t>Internal</w:t>
            </w:r>
          </w:p>
        </w:tc>
      </w:tr>
      <w:tr w:rsidR="0007607F" w:rsidRPr="001A1836" w14:paraId="74F30EE8" w14:textId="77777777" w:rsidTr="006110D6">
        <w:trPr>
          <w:cantSplit/>
        </w:trPr>
        <w:tc>
          <w:tcPr>
            <w:tcW w:w="5211" w:type="dxa"/>
          </w:tcPr>
          <w:p w14:paraId="56EF3709" w14:textId="77777777" w:rsidR="0007607F" w:rsidRPr="001A1836" w:rsidRDefault="0007607F" w:rsidP="006110D6">
            <w:r w:rsidRPr="001A1836">
              <w:t>Field Operation Manual</w:t>
            </w:r>
          </w:p>
        </w:tc>
        <w:tc>
          <w:tcPr>
            <w:tcW w:w="3317" w:type="dxa"/>
          </w:tcPr>
          <w:p w14:paraId="321F46FC" w14:textId="77777777" w:rsidR="0007607F" w:rsidRPr="001A1836" w:rsidRDefault="0007607F" w:rsidP="006110D6">
            <w:r w:rsidRPr="001A1836">
              <w:t>Internal</w:t>
            </w:r>
          </w:p>
        </w:tc>
      </w:tr>
      <w:tr w:rsidR="0007607F" w:rsidRPr="001A1836" w14:paraId="217065F0" w14:textId="77777777" w:rsidTr="006110D6">
        <w:trPr>
          <w:cantSplit/>
        </w:trPr>
        <w:tc>
          <w:tcPr>
            <w:tcW w:w="5211" w:type="dxa"/>
          </w:tcPr>
          <w:p w14:paraId="2B8FC08F" w14:textId="77777777" w:rsidR="0007607F" w:rsidRPr="003A263B" w:rsidRDefault="0007607F" w:rsidP="006110D6">
            <w:pPr>
              <w:rPr>
                <w:b/>
              </w:rPr>
            </w:pPr>
            <w:r>
              <w:rPr>
                <w:b/>
              </w:rPr>
              <w:t>Field operations processes</w:t>
            </w:r>
          </w:p>
        </w:tc>
        <w:tc>
          <w:tcPr>
            <w:tcW w:w="3317" w:type="dxa"/>
          </w:tcPr>
          <w:p w14:paraId="44DB058A" w14:textId="77777777" w:rsidR="0007607F" w:rsidRPr="001A1836" w:rsidRDefault="0007607F" w:rsidP="006110D6"/>
        </w:tc>
      </w:tr>
      <w:tr w:rsidR="0007607F" w:rsidRPr="001A1836" w14:paraId="7EAEB3B0" w14:textId="77777777" w:rsidTr="006110D6">
        <w:trPr>
          <w:cantSplit/>
        </w:trPr>
        <w:tc>
          <w:tcPr>
            <w:tcW w:w="5211" w:type="dxa"/>
          </w:tcPr>
          <w:p w14:paraId="700363C1" w14:textId="77777777" w:rsidR="0007607F" w:rsidRPr="001A1836" w:rsidRDefault="0007607F" w:rsidP="006110D6">
            <w:r>
              <w:t>I</w:t>
            </w:r>
            <w:r w:rsidRPr="001A1836">
              <w:t xml:space="preserve">nvestigation </w:t>
            </w:r>
            <w:r>
              <w:t>of unregistered gas work</w:t>
            </w:r>
          </w:p>
        </w:tc>
        <w:tc>
          <w:tcPr>
            <w:tcW w:w="3317" w:type="dxa"/>
          </w:tcPr>
          <w:p w14:paraId="4D16CC76" w14:textId="77777777" w:rsidR="0007607F" w:rsidRPr="001A1836" w:rsidRDefault="0007607F" w:rsidP="006110D6">
            <w:r w:rsidRPr="001A1836">
              <w:t>Internal</w:t>
            </w:r>
          </w:p>
        </w:tc>
      </w:tr>
      <w:tr w:rsidR="0007607F" w:rsidRPr="001A1836" w14:paraId="1117436F" w14:textId="77777777" w:rsidTr="006110D6">
        <w:trPr>
          <w:cantSplit/>
        </w:trPr>
        <w:tc>
          <w:tcPr>
            <w:tcW w:w="5211" w:type="dxa"/>
          </w:tcPr>
          <w:p w14:paraId="0F306B90" w14:textId="77777777" w:rsidR="0007607F" w:rsidRPr="001A1836" w:rsidRDefault="0007607F" w:rsidP="006110D6">
            <w:r>
              <w:t>I</w:t>
            </w:r>
            <w:r w:rsidRPr="001A1836">
              <w:t xml:space="preserve">nvestigation </w:t>
            </w:r>
            <w:r>
              <w:t xml:space="preserve">of unregistered gas work </w:t>
            </w:r>
            <w:r w:rsidRPr="001A1836">
              <w:t>– Appendix 1 – Electronic notes taken on site</w:t>
            </w:r>
          </w:p>
        </w:tc>
        <w:tc>
          <w:tcPr>
            <w:tcW w:w="3317" w:type="dxa"/>
          </w:tcPr>
          <w:p w14:paraId="4F9B3A45" w14:textId="77777777" w:rsidR="0007607F" w:rsidRPr="001A1836" w:rsidRDefault="0007607F" w:rsidP="006110D6">
            <w:r w:rsidRPr="001A1836">
              <w:t>Internal</w:t>
            </w:r>
          </w:p>
        </w:tc>
      </w:tr>
      <w:tr w:rsidR="0007607F" w:rsidRPr="001A1836" w14:paraId="7434FB8C" w14:textId="77777777" w:rsidTr="006110D6">
        <w:trPr>
          <w:cantSplit/>
        </w:trPr>
        <w:tc>
          <w:tcPr>
            <w:tcW w:w="5211" w:type="dxa"/>
          </w:tcPr>
          <w:p w14:paraId="4482AF0C" w14:textId="77777777" w:rsidR="0007607F" w:rsidRPr="001A1836" w:rsidRDefault="0007607F" w:rsidP="006110D6">
            <w:r>
              <w:t>I</w:t>
            </w:r>
            <w:r w:rsidRPr="001A1836">
              <w:t xml:space="preserve">nvestigation </w:t>
            </w:r>
            <w:r>
              <w:t xml:space="preserve">of unregistered gas work </w:t>
            </w:r>
            <w:r w:rsidRPr="001A1836">
              <w:t>– Appendices 2 and 3 – Handwritten notes</w:t>
            </w:r>
          </w:p>
        </w:tc>
        <w:tc>
          <w:tcPr>
            <w:tcW w:w="3317" w:type="dxa"/>
          </w:tcPr>
          <w:p w14:paraId="64824243" w14:textId="77777777" w:rsidR="0007607F" w:rsidRPr="001A1836" w:rsidRDefault="0007607F" w:rsidP="006110D6">
            <w:r w:rsidRPr="001A1836">
              <w:t>Internal</w:t>
            </w:r>
          </w:p>
        </w:tc>
      </w:tr>
      <w:tr w:rsidR="0007607F" w:rsidRPr="001A1836" w14:paraId="3D9411BA" w14:textId="77777777" w:rsidTr="006110D6">
        <w:trPr>
          <w:cantSplit/>
        </w:trPr>
        <w:tc>
          <w:tcPr>
            <w:tcW w:w="5211" w:type="dxa"/>
          </w:tcPr>
          <w:p w14:paraId="2FA329B0" w14:textId="77777777" w:rsidR="0007607F" w:rsidRPr="001A1836" w:rsidRDefault="0007607F" w:rsidP="006110D6">
            <w:r>
              <w:t>I</w:t>
            </w:r>
            <w:r w:rsidRPr="001A1836">
              <w:t xml:space="preserve">nvestigation </w:t>
            </w:r>
            <w:r>
              <w:t xml:space="preserve">of unregistered gas work </w:t>
            </w:r>
            <w:r w:rsidRPr="001A1836">
              <w:t>– Appendix 4 – Administration support</w:t>
            </w:r>
          </w:p>
        </w:tc>
        <w:tc>
          <w:tcPr>
            <w:tcW w:w="3317" w:type="dxa"/>
          </w:tcPr>
          <w:p w14:paraId="21831A48" w14:textId="77777777" w:rsidR="0007607F" w:rsidRPr="001A1836" w:rsidRDefault="0007607F" w:rsidP="006110D6">
            <w:r w:rsidRPr="001A1836">
              <w:t>Internal</w:t>
            </w:r>
          </w:p>
        </w:tc>
      </w:tr>
      <w:tr w:rsidR="0007607F" w:rsidRPr="001A1836" w14:paraId="14700607" w14:textId="77777777" w:rsidTr="006110D6">
        <w:trPr>
          <w:cantSplit/>
        </w:trPr>
        <w:tc>
          <w:tcPr>
            <w:tcW w:w="5211" w:type="dxa"/>
          </w:tcPr>
          <w:p w14:paraId="7478D0AD" w14:textId="77777777" w:rsidR="0007607F" w:rsidRPr="001A1836" w:rsidRDefault="0007607F" w:rsidP="006110D6">
            <w:r w:rsidRPr="001A1836">
              <w:t>Carbon monoxide &amp; fire and explosion incident investigation</w:t>
            </w:r>
          </w:p>
        </w:tc>
        <w:tc>
          <w:tcPr>
            <w:tcW w:w="3317" w:type="dxa"/>
          </w:tcPr>
          <w:p w14:paraId="59EA8152" w14:textId="77777777" w:rsidR="0007607F" w:rsidRPr="001A1836" w:rsidRDefault="0007607F" w:rsidP="006110D6">
            <w:r w:rsidRPr="001A1836">
              <w:t>Internal</w:t>
            </w:r>
          </w:p>
        </w:tc>
      </w:tr>
      <w:tr w:rsidR="0007607F" w:rsidRPr="001A1836" w14:paraId="3B049558" w14:textId="77777777" w:rsidTr="006110D6">
        <w:trPr>
          <w:cantSplit/>
        </w:trPr>
        <w:tc>
          <w:tcPr>
            <w:tcW w:w="5211" w:type="dxa"/>
          </w:tcPr>
          <w:p w14:paraId="28A3E8DA" w14:textId="77777777" w:rsidR="0007607F" w:rsidRPr="003A263B" w:rsidRDefault="0007607F" w:rsidP="006110D6">
            <w:r>
              <w:t>Audits and inspections of large businesses</w:t>
            </w:r>
          </w:p>
        </w:tc>
        <w:tc>
          <w:tcPr>
            <w:tcW w:w="3317" w:type="dxa"/>
          </w:tcPr>
          <w:p w14:paraId="3328B06A" w14:textId="77777777" w:rsidR="0007607F" w:rsidRPr="001A1836" w:rsidRDefault="0007607F" w:rsidP="006110D6"/>
        </w:tc>
      </w:tr>
      <w:tr w:rsidR="0007607F" w:rsidRPr="001A1836" w14:paraId="68C0F316" w14:textId="77777777" w:rsidTr="006110D6">
        <w:trPr>
          <w:cantSplit/>
        </w:trPr>
        <w:tc>
          <w:tcPr>
            <w:tcW w:w="5211" w:type="dxa"/>
          </w:tcPr>
          <w:p w14:paraId="39E22BB5" w14:textId="77777777" w:rsidR="0007607F" w:rsidRPr="001A1836" w:rsidRDefault="0007607F" w:rsidP="006110D6">
            <w:r>
              <w:t>Mandatory attendance events</w:t>
            </w:r>
          </w:p>
        </w:tc>
        <w:tc>
          <w:tcPr>
            <w:tcW w:w="3317" w:type="dxa"/>
          </w:tcPr>
          <w:p w14:paraId="34B39752" w14:textId="77777777" w:rsidR="0007607F" w:rsidRPr="001A1836" w:rsidRDefault="0007607F" w:rsidP="006110D6"/>
        </w:tc>
      </w:tr>
      <w:tr w:rsidR="0007607F" w:rsidRPr="001A1836" w14:paraId="17AABD85" w14:textId="77777777" w:rsidTr="006110D6">
        <w:trPr>
          <w:cantSplit/>
        </w:trPr>
        <w:tc>
          <w:tcPr>
            <w:tcW w:w="5211" w:type="dxa"/>
          </w:tcPr>
          <w:p w14:paraId="4D3A8C13" w14:textId="77777777" w:rsidR="0007607F" w:rsidRPr="001A1836" w:rsidRDefault="0007607F" w:rsidP="006110D6">
            <w:r>
              <w:t>Inspection events</w:t>
            </w:r>
          </w:p>
        </w:tc>
        <w:tc>
          <w:tcPr>
            <w:tcW w:w="3317" w:type="dxa"/>
          </w:tcPr>
          <w:p w14:paraId="5A1CA31F" w14:textId="77777777" w:rsidR="0007607F" w:rsidRPr="001A1836" w:rsidRDefault="0007607F" w:rsidP="006110D6"/>
        </w:tc>
      </w:tr>
      <w:tr w:rsidR="0007607F" w:rsidRPr="001A1836" w14:paraId="40B81E2F" w14:textId="77777777" w:rsidTr="006110D6">
        <w:trPr>
          <w:cantSplit/>
        </w:trPr>
        <w:tc>
          <w:tcPr>
            <w:tcW w:w="5211" w:type="dxa"/>
          </w:tcPr>
          <w:p w14:paraId="0C356851" w14:textId="77777777" w:rsidR="0007607F" w:rsidRPr="001A1836" w:rsidRDefault="0007607F" w:rsidP="006110D6">
            <w:r>
              <w:rPr>
                <w:b/>
              </w:rPr>
              <w:t>Field support documents</w:t>
            </w:r>
          </w:p>
        </w:tc>
        <w:tc>
          <w:tcPr>
            <w:tcW w:w="3317" w:type="dxa"/>
          </w:tcPr>
          <w:p w14:paraId="77EFAC76" w14:textId="77777777" w:rsidR="0007607F" w:rsidRPr="001A1836" w:rsidRDefault="0007607F" w:rsidP="006110D6"/>
        </w:tc>
      </w:tr>
      <w:tr w:rsidR="0007607F" w:rsidRPr="001A1836" w14:paraId="0A42AA1F" w14:textId="77777777" w:rsidTr="006110D6">
        <w:trPr>
          <w:cantSplit/>
        </w:trPr>
        <w:tc>
          <w:tcPr>
            <w:tcW w:w="5211" w:type="dxa"/>
          </w:tcPr>
          <w:p w14:paraId="726AB987" w14:textId="77777777" w:rsidR="0007607F" w:rsidRPr="001A1836" w:rsidRDefault="0007607F" w:rsidP="006110D6">
            <w:r w:rsidRPr="001A1836">
              <w:t>Asbestos awareness</w:t>
            </w:r>
          </w:p>
        </w:tc>
        <w:tc>
          <w:tcPr>
            <w:tcW w:w="3317" w:type="dxa"/>
          </w:tcPr>
          <w:p w14:paraId="035C62B0" w14:textId="77777777" w:rsidR="0007607F" w:rsidRPr="001A1836" w:rsidRDefault="0007607F" w:rsidP="006110D6">
            <w:r w:rsidRPr="001A1836">
              <w:t>Internal</w:t>
            </w:r>
          </w:p>
        </w:tc>
      </w:tr>
      <w:tr w:rsidR="0007607F" w:rsidRPr="001A1836" w14:paraId="7635A5BF" w14:textId="77777777" w:rsidTr="006110D6">
        <w:trPr>
          <w:cantSplit/>
        </w:trPr>
        <w:tc>
          <w:tcPr>
            <w:tcW w:w="5211" w:type="dxa"/>
          </w:tcPr>
          <w:p w14:paraId="3A8512DF" w14:textId="77777777" w:rsidR="0007607F" w:rsidRPr="001A1836" w:rsidRDefault="0007607F" w:rsidP="006110D6"/>
        </w:tc>
        <w:tc>
          <w:tcPr>
            <w:tcW w:w="3317" w:type="dxa"/>
          </w:tcPr>
          <w:p w14:paraId="1E31C3EA" w14:textId="77777777" w:rsidR="0007607F" w:rsidRPr="001A1836" w:rsidRDefault="0007607F" w:rsidP="006110D6"/>
        </w:tc>
      </w:tr>
      <w:tr w:rsidR="0007607F" w:rsidRPr="001A1836" w14:paraId="41BFF0AD" w14:textId="77777777" w:rsidTr="006110D6">
        <w:trPr>
          <w:cantSplit/>
        </w:trPr>
        <w:tc>
          <w:tcPr>
            <w:tcW w:w="5211" w:type="dxa"/>
          </w:tcPr>
          <w:p w14:paraId="03248401" w14:textId="77777777" w:rsidR="0007607F" w:rsidRPr="001A1836" w:rsidRDefault="0007607F" w:rsidP="006110D6">
            <w:r>
              <w:t>Report requirements for registered inspections &amp; unregistered investigations</w:t>
            </w:r>
          </w:p>
        </w:tc>
        <w:tc>
          <w:tcPr>
            <w:tcW w:w="3317" w:type="dxa"/>
          </w:tcPr>
          <w:p w14:paraId="2AE8D855" w14:textId="77777777" w:rsidR="0007607F" w:rsidRPr="001A1836" w:rsidRDefault="0007607F" w:rsidP="006110D6">
            <w:r>
              <w:t>Internal</w:t>
            </w:r>
          </w:p>
        </w:tc>
      </w:tr>
      <w:tr w:rsidR="0007607F" w:rsidRPr="001A1836" w14:paraId="7FFCA064" w14:textId="77777777" w:rsidTr="006110D6">
        <w:trPr>
          <w:cantSplit/>
        </w:trPr>
        <w:tc>
          <w:tcPr>
            <w:tcW w:w="5211" w:type="dxa"/>
          </w:tcPr>
          <w:p w14:paraId="7B80E560" w14:textId="77777777" w:rsidR="0007607F" w:rsidRPr="001A1836" w:rsidRDefault="0007607F" w:rsidP="006110D6">
            <w:r w:rsidRPr="001A1836">
              <w:t>Request for service</w:t>
            </w:r>
          </w:p>
        </w:tc>
        <w:tc>
          <w:tcPr>
            <w:tcW w:w="3317" w:type="dxa"/>
          </w:tcPr>
          <w:p w14:paraId="1AEC8D7C" w14:textId="77777777" w:rsidR="0007607F" w:rsidRPr="001A1836" w:rsidRDefault="0007607F" w:rsidP="006110D6">
            <w:r w:rsidRPr="001A1836">
              <w:t>Internal</w:t>
            </w:r>
          </w:p>
        </w:tc>
      </w:tr>
      <w:tr w:rsidR="0007607F" w:rsidRPr="001A1836" w14:paraId="7395467F" w14:textId="77777777" w:rsidTr="006110D6">
        <w:trPr>
          <w:cantSplit/>
        </w:trPr>
        <w:tc>
          <w:tcPr>
            <w:tcW w:w="5211" w:type="dxa"/>
          </w:tcPr>
          <w:p w14:paraId="19A20E12" w14:textId="77777777" w:rsidR="0007607F" w:rsidRPr="001A1836" w:rsidRDefault="0007607F" w:rsidP="006110D6">
            <w:r w:rsidRPr="001A1836">
              <w:t>Quality Field System (QFS)</w:t>
            </w:r>
          </w:p>
        </w:tc>
        <w:tc>
          <w:tcPr>
            <w:tcW w:w="3317" w:type="dxa"/>
          </w:tcPr>
          <w:p w14:paraId="7902982F" w14:textId="77777777" w:rsidR="0007607F" w:rsidRPr="001A1836" w:rsidRDefault="0007607F" w:rsidP="006110D6">
            <w:r w:rsidRPr="001A1836">
              <w:t>Internal</w:t>
            </w:r>
          </w:p>
        </w:tc>
      </w:tr>
      <w:tr w:rsidR="0007607F" w:rsidRPr="001A1836" w14:paraId="668D305B" w14:textId="77777777" w:rsidTr="006110D6">
        <w:trPr>
          <w:cantSplit/>
        </w:trPr>
        <w:tc>
          <w:tcPr>
            <w:tcW w:w="5211" w:type="dxa"/>
          </w:tcPr>
          <w:p w14:paraId="40BE670E" w14:textId="77777777" w:rsidR="0007607F" w:rsidRPr="001A1836" w:rsidRDefault="0007607F" w:rsidP="006110D6">
            <w:r>
              <w:t>Complaint letters and phrases</w:t>
            </w:r>
          </w:p>
        </w:tc>
        <w:tc>
          <w:tcPr>
            <w:tcW w:w="3317" w:type="dxa"/>
          </w:tcPr>
          <w:p w14:paraId="638453BC" w14:textId="77777777" w:rsidR="0007607F" w:rsidRPr="001A1836" w:rsidRDefault="0007607F" w:rsidP="006110D6">
            <w:r>
              <w:t>Internal</w:t>
            </w:r>
          </w:p>
        </w:tc>
      </w:tr>
      <w:tr w:rsidR="0007607F" w:rsidRPr="001A1836" w14:paraId="07DCEE02" w14:textId="77777777" w:rsidTr="006110D6">
        <w:trPr>
          <w:cantSplit/>
        </w:trPr>
        <w:tc>
          <w:tcPr>
            <w:tcW w:w="5211" w:type="dxa"/>
          </w:tcPr>
          <w:p w14:paraId="518503D3" w14:textId="77777777" w:rsidR="0007607F" w:rsidRPr="003A263B" w:rsidRDefault="0007607F" w:rsidP="006110D6">
            <w:pPr>
              <w:rPr>
                <w:b/>
              </w:rPr>
            </w:pPr>
            <w:r>
              <w:rPr>
                <w:b/>
              </w:rPr>
              <w:t>Field guidance documents</w:t>
            </w:r>
          </w:p>
        </w:tc>
        <w:tc>
          <w:tcPr>
            <w:tcW w:w="3317" w:type="dxa"/>
          </w:tcPr>
          <w:p w14:paraId="76F09DA6" w14:textId="77777777" w:rsidR="0007607F" w:rsidRPr="001A1836" w:rsidRDefault="0007607F" w:rsidP="006110D6"/>
        </w:tc>
      </w:tr>
      <w:tr w:rsidR="0007607F" w:rsidRPr="001A1836" w14:paraId="563A9132" w14:textId="77777777" w:rsidTr="006110D6">
        <w:trPr>
          <w:cantSplit/>
        </w:trPr>
        <w:tc>
          <w:tcPr>
            <w:tcW w:w="5211" w:type="dxa"/>
          </w:tcPr>
          <w:p w14:paraId="41A36A37" w14:textId="77777777" w:rsidR="0007607F" w:rsidRPr="001A1836" w:rsidRDefault="0007607F" w:rsidP="006110D6">
            <w:r w:rsidRPr="001A1836">
              <w:t>Field inspector – Safety Health and Environment Guide</w:t>
            </w:r>
          </w:p>
        </w:tc>
        <w:tc>
          <w:tcPr>
            <w:tcW w:w="3317" w:type="dxa"/>
          </w:tcPr>
          <w:p w14:paraId="352E8F41" w14:textId="77777777" w:rsidR="0007607F" w:rsidRPr="001A1836" w:rsidRDefault="0007607F" w:rsidP="006110D6">
            <w:r w:rsidRPr="001A1836">
              <w:t>Internal</w:t>
            </w:r>
          </w:p>
        </w:tc>
      </w:tr>
      <w:tr w:rsidR="0007607F" w:rsidRPr="001A1836" w14:paraId="77ECC21D" w14:textId="77777777" w:rsidTr="006110D6">
        <w:trPr>
          <w:cantSplit/>
        </w:trPr>
        <w:tc>
          <w:tcPr>
            <w:tcW w:w="5211" w:type="dxa"/>
          </w:tcPr>
          <w:p w14:paraId="1FE10A2D" w14:textId="77777777" w:rsidR="0007607F" w:rsidRPr="001A1836" w:rsidRDefault="0007607F" w:rsidP="006110D6">
            <w:r>
              <w:t>Electrical socket loop &amp; dead testing guidance – domestic appliances only</w:t>
            </w:r>
          </w:p>
        </w:tc>
        <w:tc>
          <w:tcPr>
            <w:tcW w:w="3317" w:type="dxa"/>
          </w:tcPr>
          <w:p w14:paraId="1750201D" w14:textId="77777777" w:rsidR="0007607F" w:rsidRPr="001A1836" w:rsidRDefault="0007607F" w:rsidP="006110D6">
            <w:r>
              <w:t>Internal</w:t>
            </w:r>
          </w:p>
        </w:tc>
      </w:tr>
    </w:tbl>
    <w:p w14:paraId="2034C158" w14:textId="75C14BEF" w:rsidR="0007607F" w:rsidRDefault="0007607F" w:rsidP="008E344E"/>
    <w:p w14:paraId="138B17BF" w14:textId="77777777" w:rsidR="0007607F" w:rsidRPr="001A1836" w:rsidRDefault="0007607F" w:rsidP="008E344E"/>
    <w:tbl>
      <w:tblPr>
        <w:tblStyle w:val="TableGrid"/>
        <w:tblW w:w="0" w:type="auto"/>
        <w:tblLayout w:type="fixed"/>
        <w:tblLook w:val="04A0" w:firstRow="1" w:lastRow="0" w:firstColumn="1" w:lastColumn="0" w:noHBand="0" w:noVBand="1"/>
      </w:tblPr>
      <w:tblGrid>
        <w:gridCol w:w="5211"/>
        <w:gridCol w:w="3317"/>
      </w:tblGrid>
      <w:tr w:rsidR="008E344E" w:rsidRPr="001A1836" w14:paraId="79BEA075" w14:textId="77777777" w:rsidTr="008E344E">
        <w:trPr>
          <w:cantSplit/>
          <w:tblHeader/>
        </w:trPr>
        <w:tc>
          <w:tcPr>
            <w:tcW w:w="5211" w:type="dxa"/>
          </w:tcPr>
          <w:p w14:paraId="23986230" w14:textId="77777777" w:rsidR="008E344E" w:rsidRPr="001A1836" w:rsidRDefault="008E344E" w:rsidP="008E344E">
            <w:pPr>
              <w:rPr>
                <w:b/>
              </w:rPr>
            </w:pPr>
            <w:r w:rsidRPr="001A1836">
              <w:rPr>
                <w:b/>
              </w:rPr>
              <w:t>Title</w:t>
            </w:r>
          </w:p>
        </w:tc>
        <w:tc>
          <w:tcPr>
            <w:tcW w:w="3317" w:type="dxa"/>
          </w:tcPr>
          <w:p w14:paraId="27FB9638" w14:textId="77777777" w:rsidR="008E344E" w:rsidRPr="001A1836" w:rsidRDefault="008E344E" w:rsidP="008E344E">
            <w:pPr>
              <w:rPr>
                <w:b/>
              </w:rPr>
            </w:pPr>
            <w:r w:rsidRPr="001A1836">
              <w:rPr>
                <w:b/>
              </w:rPr>
              <w:t xml:space="preserve">Audience </w:t>
            </w:r>
          </w:p>
        </w:tc>
      </w:tr>
      <w:tr w:rsidR="008E344E" w:rsidRPr="001A1836" w14:paraId="2DD0F53B" w14:textId="77777777" w:rsidTr="001B6EBC">
        <w:trPr>
          <w:cantSplit/>
        </w:trPr>
        <w:tc>
          <w:tcPr>
            <w:tcW w:w="8528" w:type="dxa"/>
            <w:gridSpan w:val="2"/>
          </w:tcPr>
          <w:p w14:paraId="211E9899" w14:textId="77777777" w:rsidR="008E344E" w:rsidRPr="001A1836" w:rsidRDefault="008E344E" w:rsidP="008E344E">
            <w:pPr>
              <w:rPr>
                <w:b/>
              </w:rPr>
            </w:pPr>
            <w:r w:rsidRPr="001A1836">
              <w:rPr>
                <w:b/>
              </w:rPr>
              <w:t>Contact Centre</w:t>
            </w:r>
          </w:p>
        </w:tc>
      </w:tr>
      <w:tr w:rsidR="008E344E" w:rsidRPr="001A1836" w14:paraId="5847FD22" w14:textId="77777777" w:rsidTr="008E344E">
        <w:trPr>
          <w:cantSplit/>
        </w:trPr>
        <w:tc>
          <w:tcPr>
            <w:tcW w:w="5211" w:type="dxa"/>
          </w:tcPr>
          <w:p w14:paraId="445CB57F" w14:textId="77777777" w:rsidR="008E344E" w:rsidRPr="001A1836" w:rsidRDefault="008E344E" w:rsidP="008E344E">
            <w:r w:rsidRPr="001A1836">
              <w:t>Archiving/removing a centre</w:t>
            </w:r>
          </w:p>
        </w:tc>
        <w:tc>
          <w:tcPr>
            <w:tcW w:w="3317" w:type="dxa"/>
          </w:tcPr>
          <w:p w14:paraId="33AB938B" w14:textId="77777777" w:rsidR="008E344E" w:rsidRPr="001A1836" w:rsidRDefault="008E344E" w:rsidP="008E344E">
            <w:r w:rsidRPr="001A1836">
              <w:t>Internal</w:t>
            </w:r>
          </w:p>
        </w:tc>
      </w:tr>
      <w:tr w:rsidR="008E344E" w:rsidRPr="001A1836" w14:paraId="54D9A4C9" w14:textId="77777777" w:rsidTr="008E344E">
        <w:trPr>
          <w:cantSplit/>
        </w:trPr>
        <w:tc>
          <w:tcPr>
            <w:tcW w:w="5211" w:type="dxa"/>
          </w:tcPr>
          <w:p w14:paraId="5CC6DFAF" w14:textId="77777777" w:rsidR="008E344E" w:rsidRPr="001A1836" w:rsidRDefault="008E344E" w:rsidP="008E344E">
            <w:r w:rsidRPr="001A1836">
              <w:lastRenderedPageBreak/>
              <w:t>Change of trading title</w:t>
            </w:r>
          </w:p>
        </w:tc>
        <w:tc>
          <w:tcPr>
            <w:tcW w:w="3317" w:type="dxa"/>
          </w:tcPr>
          <w:p w14:paraId="548030B6" w14:textId="77777777" w:rsidR="008E344E" w:rsidRPr="001A1836" w:rsidRDefault="008E344E" w:rsidP="008E344E">
            <w:r w:rsidRPr="001A1836">
              <w:t>Internal</w:t>
            </w:r>
          </w:p>
        </w:tc>
      </w:tr>
      <w:tr w:rsidR="008E344E" w:rsidRPr="001A1836" w14:paraId="2EB28BC1" w14:textId="77777777" w:rsidTr="008E344E">
        <w:trPr>
          <w:cantSplit/>
        </w:trPr>
        <w:tc>
          <w:tcPr>
            <w:tcW w:w="5211" w:type="dxa"/>
          </w:tcPr>
          <w:p w14:paraId="3C9397B9" w14:textId="77777777" w:rsidR="008E344E" w:rsidRPr="001A1836" w:rsidRDefault="008E344E" w:rsidP="008E344E">
            <w:r w:rsidRPr="001A1836">
              <w:t>Cancelling a registration</w:t>
            </w:r>
          </w:p>
        </w:tc>
        <w:tc>
          <w:tcPr>
            <w:tcW w:w="3317" w:type="dxa"/>
          </w:tcPr>
          <w:p w14:paraId="053072D8" w14:textId="77777777" w:rsidR="008E344E" w:rsidRPr="001A1836" w:rsidRDefault="008E344E" w:rsidP="008E344E">
            <w:r w:rsidRPr="001A1836">
              <w:t>Internal</w:t>
            </w:r>
          </w:p>
        </w:tc>
      </w:tr>
      <w:tr w:rsidR="008E344E" w:rsidRPr="001A1836" w14:paraId="68DAD21C" w14:textId="77777777" w:rsidTr="008E344E">
        <w:trPr>
          <w:cantSplit/>
        </w:trPr>
        <w:tc>
          <w:tcPr>
            <w:tcW w:w="5211" w:type="dxa"/>
          </w:tcPr>
          <w:p w14:paraId="12A8494D" w14:textId="77777777" w:rsidR="008E344E" w:rsidRPr="001A1836" w:rsidRDefault="008E344E" w:rsidP="008E344E">
            <w:r w:rsidRPr="001A1836">
              <w:t>Adding and archiving engineers</w:t>
            </w:r>
          </w:p>
        </w:tc>
        <w:tc>
          <w:tcPr>
            <w:tcW w:w="3317" w:type="dxa"/>
          </w:tcPr>
          <w:p w14:paraId="5D10CECF" w14:textId="77777777" w:rsidR="008E344E" w:rsidRPr="001A1836" w:rsidRDefault="008E344E" w:rsidP="008E344E">
            <w:r w:rsidRPr="001A1836">
              <w:t>Internal</w:t>
            </w:r>
          </w:p>
        </w:tc>
      </w:tr>
      <w:tr w:rsidR="008E344E" w:rsidRPr="001A1836" w14:paraId="6ECA2377" w14:textId="77777777" w:rsidTr="008E344E">
        <w:trPr>
          <w:cantSplit/>
        </w:trPr>
        <w:tc>
          <w:tcPr>
            <w:tcW w:w="5211" w:type="dxa"/>
          </w:tcPr>
          <w:p w14:paraId="2DBB6021" w14:textId="77777777" w:rsidR="008E344E" w:rsidRPr="001A1836" w:rsidRDefault="008E344E" w:rsidP="008E344E">
            <w:r w:rsidRPr="001A1836">
              <w:t>Adding photos</w:t>
            </w:r>
          </w:p>
        </w:tc>
        <w:tc>
          <w:tcPr>
            <w:tcW w:w="3317" w:type="dxa"/>
          </w:tcPr>
          <w:p w14:paraId="0863914E" w14:textId="77777777" w:rsidR="008E344E" w:rsidRPr="001A1836" w:rsidRDefault="008E344E" w:rsidP="008E344E">
            <w:r w:rsidRPr="001A1836">
              <w:t>Internal</w:t>
            </w:r>
          </w:p>
        </w:tc>
      </w:tr>
      <w:tr w:rsidR="008E344E" w:rsidRPr="001A1836" w14:paraId="2DEEF206" w14:textId="77777777" w:rsidTr="008E344E">
        <w:trPr>
          <w:cantSplit/>
        </w:trPr>
        <w:tc>
          <w:tcPr>
            <w:tcW w:w="5211" w:type="dxa"/>
          </w:tcPr>
          <w:p w14:paraId="5BBF8D08" w14:textId="77777777" w:rsidR="008E344E" w:rsidRPr="00711CEA" w:rsidRDefault="008E344E" w:rsidP="008E344E">
            <w:r w:rsidRPr="00711CEA">
              <w:t>Archived due to death</w:t>
            </w:r>
          </w:p>
        </w:tc>
        <w:tc>
          <w:tcPr>
            <w:tcW w:w="3317" w:type="dxa"/>
          </w:tcPr>
          <w:p w14:paraId="5E924F09" w14:textId="77777777" w:rsidR="008E344E" w:rsidRPr="001A1836" w:rsidRDefault="008E344E" w:rsidP="008E344E">
            <w:r w:rsidRPr="001A1836">
              <w:t>Internal</w:t>
            </w:r>
          </w:p>
        </w:tc>
      </w:tr>
      <w:tr w:rsidR="008E344E" w:rsidRPr="001A1836" w14:paraId="65176A63" w14:textId="77777777" w:rsidTr="008E344E">
        <w:trPr>
          <w:cantSplit/>
        </w:trPr>
        <w:tc>
          <w:tcPr>
            <w:tcW w:w="5211" w:type="dxa"/>
          </w:tcPr>
          <w:p w14:paraId="42C79D48" w14:textId="77777777" w:rsidR="008E344E" w:rsidRPr="001A1836" w:rsidRDefault="008E344E" w:rsidP="008E344E">
            <w:r w:rsidRPr="001A1836">
              <w:t>Requesting licence card</w:t>
            </w:r>
          </w:p>
        </w:tc>
        <w:tc>
          <w:tcPr>
            <w:tcW w:w="3317" w:type="dxa"/>
          </w:tcPr>
          <w:p w14:paraId="7EE9A978" w14:textId="77777777" w:rsidR="008E344E" w:rsidRPr="001A1836" w:rsidRDefault="008E344E" w:rsidP="008E344E">
            <w:r w:rsidRPr="001A1836">
              <w:t>Internal</w:t>
            </w:r>
          </w:p>
        </w:tc>
      </w:tr>
      <w:tr w:rsidR="008E344E" w:rsidRPr="001A1836" w14:paraId="7FD4036D" w14:textId="77777777" w:rsidTr="008E344E">
        <w:trPr>
          <w:cantSplit/>
        </w:trPr>
        <w:tc>
          <w:tcPr>
            <w:tcW w:w="5211" w:type="dxa"/>
          </w:tcPr>
          <w:p w14:paraId="4E59334D" w14:textId="77777777" w:rsidR="008E344E" w:rsidRPr="001A1836" w:rsidRDefault="008E344E" w:rsidP="008E344E">
            <w:r w:rsidRPr="001A1836">
              <w:t>Change of details</w:t>
            </w:r>
          </w:p>
        </w:tc>
        <w:tc>
          <w:tcPr>
            <w:tcW w:w="3317" w:type="dxa"/>
          </w:tcPr>
          <w:p w14:paraId="4F11FAEC" w14:textId="77777777" w:rsidR="008E344E" w:rsidRPr="001A1836" w:rsidRDefault="008E344E" w:rsidP="008E344E">
            <w:r w:rsidRPr="001A1836">
              <w:t>Internal</w:t>
            </w:r>
          </w:p>
        </w:tc>
      </w:tr>
      <w:tr w:rsidR="008E344E" w:rsidRPr="001A1836" w14:paraId="368392D8" w14:textId="77777777" w:rsidTr="008E344E">
        <w:trPr>
          <w:cantSplit/>
        </w:trPr>
        <w:tc>
          <w:tcPr>
            <w:tcW w:w="5211" w:type="dxa"/>
          </w:tcPr>
          <w:p w14:paraId="039468AF" w14:textId="77777777" w:rsidR="008E344E" w:rsidRPr="001A1836" w:rsidRDefault="008E344E" w:rsidP="008E344E">
            <w:r w:rsidRPr="001A1836">
              <w:t>Name change by deed poll</w:t>
            </w:r>
          </w:p>
        </w:tc>
        <w:tc>
          <w:tcPr>
            <w:tcW w:w="3317" w:type="dxa"/>
          </w:tcPr>
          <w:p w14:paraId="6F80AD41" w14:textId="77777777" w:rsidR="008E344E" w:rsidRPr="001A1836" w:rsidRDefault="008E344E" w:rsidP="008E344E">
            <w:r w:rsidRPr="001A1836">
              <w:t>Internal</w:t>
            </w:r>
          </w:p>
        </w:tc>
      </w:tr>
      <w:tr w:rsidR="008E344E" w:rsidRPr="001A1836" w14:paraId="7C95AEDD" w14:textId="77777777" w:rsidTr="008E344E">
        <w:trPr>
          <w:cantSplit/>
        </w:trPr>
        <w:tc>
          <w:tcPr>
            <w:tcW w:w="5211" w:type="dxa"/>
          </w:tcPr>
          <w:p w14:paraId="70A54899" w14:textId="77777777" w:rsidR="008E344E" w:rsidRPr="001A1836" w:rsidRDefault="008E344E" w:rsidP="008E344E">
            <w:r w:rsidRPr="001A1836">
              <w:t>Ceased to trade</w:t>
            </w:r>
          </w:p>
        </w:tc>
        <w:tc>
          <w:tcPr>
            <w:tcW w:w="3317" w:type="dxa"/>
          </w:tcPr>
          <w:p w14:paraId="0FDF1783" w14:textId="77777777" w:rsidR="008E344E" w:rsidRPr="001A1836" w:rsidRDefault="008E344E" w:rsidP="008E344E">
            <w:r w:rsidRPr="001A1836">
              <w:t>Internal</w:t>
            </w:r>
          </w:p>
        </w:tc>
      </w:tr>
      <w:tr w:rsidR="008E344E" w:rsidRPr="001A1836" w14:paraId="6BEAB06D" w14:textId="77777777" w:rsidTr="008E344E">
        <w:trPr>
          <w:cantSplit/>
        </w:trPr>
        <w:tc>
          <w:tcPr>
            <w:tcW w:w="5211" w:type="dxa"/>
          </w:tcPr>
          <w:p w14:paraId="15624FEB" w14:textId="77777777" w:rsidR="008E344E" w:rsidRPr="001A1836" w:rsidRDefault="008E344E" w:rsidP="008E344E">
            <w:r w:rsidRPr="001A1836">
              <w:t>Setting up website log-in</w:t>
            </w:r>
          </w:p>
        </w:tc>
        <w:tc>
          <w:tcPr>
            <w:tcW w:w="3317" w:type="dxa"/>
          </w:tcPr>
          <w:p w14:paraId="77A0B91E" w14:textId="77777777" w:rsidR="008E344E" w:rsidRPr="001A1836" w:rsidRDefault="008E344E" w:rsidP="008E344E">
            <w:r w:rsidRPr="001A1836">
              <w:t>Internal</w:t>
            </w:r>
          </w:p>
        </w:tc>
      </w:tr>
      <w:tr w:rsidR="008E344E" w:rsidRPr="001A1836" w14:paraId="32D969D3" w14:textId="77777777" w:rsidTr="008E344E">
        <w:trPr>
          <w:cantSplit/>
        </w:trPr>
        <w:tc>
          <w:tcPr>
            <w:tcW w:w="5211" w:type="dxa"/>
          </w:tcPr>
          <w:p w14:paraId="257F419B" w14:textId="77777777" w:rsidR="008E344E" w:rsidRPr="001A1836" w:rsidRDefault="008E344E" w:rsidP="008E344E">
            <w:r w:rsidRPr="001A1836">
              <w:t>Concerns over behaviours due to social Issues</w:t>
            </w:r>
          </w:p>
        </w:tc>
        <w:tc>
          <w:tcPr>
            <w:tcW w:w="3317" w:type="dxa"/>
          </w:tcPr>
          <w:p w14:paraId="1E04A277" w14:textId="77777777" w:rsidR="008E344E" w:rsidRPr="001A1836" w:rsidRDefault="008E344E" w:rsidP="008E344E">
            <w:r w:rsidRPr="001A1836">
              <w:t>Internal</w:t>
            </w:r>
          </w:p>
        </w:tc>
      </w:tr>
      <w:tr w:rsidR="008E344E" w:rsidRPr="001A1836" w14:paraId="3A0A5466" w14:textId="77777777" w:rsidTr="008E344E">
        <w:trPr>
          <w:cantSplit/>
        </w:trPr>
        <w:tc>
          <w:tcPr>
            <w:tcW w:w="5211" w:type="dxa"/>
          </w:tcPr>
          <w:p w14:paraId="59BD9F23" w14:textId="77777777" w:rsidR="008E344E" w:rsidRPr="001A1836" w:rsidRDefault="008E344E" w:rsidP="008E344E">
            <w:r w:rsidRPr="001A1836">
              <w:t>Cancelling/rearranging appointments</w:t>
            </w:r>
          </w:p>
        </w:tc>
        <w:tc>
          <w:tcPr>
            <w:tcW w:w="3317" w:type="dxa"/>
          </w:tcPr>
          <w:p w14:paraId="5A8EF999" w14:textId="77777777" w:rsidR="008E344E" w:rsidRPr="001A1836" w:rsidRDefault="008E344E" w:rsidP="008E344E">
            <w:r w:rsidRPr="001A1836">
              <w:t>Internal</w:t>
            </w:r>
          </w:p>
        </w:tc>
      </w:tr>
      <w:tr w:rsidR="008E344E" w:rsidRPr="001A1836" w14:paraId="73FD0A98" w14:textId="77777777" w:rsidTr="008E344E">
        <w:trPr>
          <w:cantSplit/>
        </w:trPr>
        <w:tc>
          <w:tcPr>
            <w:tcW w:w="5211" w:type="dxa"/>
          </w:tcPr>
          <w:p w14:paraId="3954A386" w14:textId="77777777" w:rsidR="008E344E" w:rsidRPr="001A1836" w:rsidRDefault="008E344E" w:rsidP="008E344E">
            <w:r w:rsidRPr="001A1836">
              <w:t>Non-complaint defect chase</w:t>
            </w:r>
          </w:p>
        </w:tc>
        <w:tc>
          <w:tcPr>
            <w:tcW w:w="3317" w:type="dxa"/>
          </w:tcPr>
          <w:p w14:paraId="7F1216AE" w14:textId="77777777" w:rsidR="008E344E" w:rsidRPr="001A1836" w:rsidRDefault="008E344E" w:rsidP="008E344E">
            <w:r w:rsidRPr="001A1836">
              <w:t>Internal</w:t>
            </w:r>
          </w:p>
        </w:tc>
      </w:tr>
      <w:tr w:rsidR="008E344E" w:rsidRPr="001A1836" w14:paraId="75F9C016" w14:textId="77777777" w:rsidTr="008E344E">
        <w:trPr>
          <w:cantSplit/>
        </w:trPr>
        <w:tc>
          <w:tcPr>
            <w:tcW w:w="5211" w:type="dxa"/>
          </w:tcPr>
          <w:p w14:paraId="4D8C4CF3" w14:textId="77777777" w:rsidR="008E344E" w:rsidRPr="001A1836" w:rsidRDefault="008E344E" w:rsidP="008E344E">
            <w:r w:rsidRPr="001A1836">
              <w:t>Change of engineer details</w:t>
            </w:r>
          </w:p>
        </w:tc>
        <w:tc>
          <w:tcPr>
            <w:tcW w:w="3317" w:type="dxa"/>
          </w:tcPr>
          <w:p w14:paraId="1A70D721" w14:textId="77777777" w:rsidR="008E344E" w:rsidRPr="001A1836" w:rsidRDefault="008E344E" w:rsidP="008E344E">
            <w:r w:rsidRPr="001A1836">
              <w:t>Internal</w:t>
            </w:r>
          </w:p>
        </w:tc>
      </w:tr>
      <w:tr w:rsidR="008E344E" w:rsidRPr="001A1836" w14:paraId="680544C7" w14:textId="77777777" w:rsidTr="008E344E">
        <w:trPr>
          <w:cantSplit/>
        </w:trPr>
        <w:tc>
          <w:tcPr>
            <w:tcW w:w="5211" w:type="dxa"/>
          </w:tcPr>
          <w:p w14:paraId="094B078D" w14:textId="3283B5AC" w:rsidR="008E344E" w:rsidRPr="001A1836" w:rsidRDefault="008E344E" w:rsidP="008C4BC2">
            <w:r w:rsidRPr="001A1836">
              <w:t>Work</w:t>
            </w:r>
            <w:r w:rsidR="004E3879">
              <w:t xml:space="preserve"> Competency Check </w:t>
            </w:r>
            <w:r w:rsidR="007D1789">
              <w:t xml:space="preserve">and </w:t>
            </w:r>
            <w:r w:rsidR="008C4BC2">
              <w:t>Inspection</w:t>
            </w:r>
            <w:r w:rsidRPr="001A1836">
              <w:t xml:space="preserve"> appointments</w:t>
            </w:r>
          </w:p>
        </w:tc>
        <w:tc>
          <w:tcPr>
            <w:tcW w:w="3317" w:type="dxa"/>
          </w:tcPr>
          <w:p w14:paraId="1E6D73EE" w14:textId="77777777" w:rsidR="008E344E" w:rsidRPr="001A1836" w:rsidRDefault="008E344E" w:rsidP="008E344E">
            <w:r w:rsidRPr="001A1836">
              <w:t>Internal</w:t>
            </w:r>
          </w:p>
        </w:tc>
      </w:tr>
      <w:tr w:rsidR="008E344E" w:rsidRPr="001A1836" w14:paraId="0EA39A77" w14:textId="77777777" w:rsidTr="008E344E">
        <w:trPr>
          <w:cantSplit/>
        </w:trPr>
        <w:tc>
          <w:tcPr>
            <w:tcW w:w="5211" w:type="dxa"/>
          </w:tcPr>
          <w:p w14:paraId="2D2C85E6" w14:textId="77777777" w:rsidR="008E344E" w:rsidRPr="001A1836" w:rsidRDefault="008E344E" w:rsidP="008E344E">
            <w:r w:rsidRPr="001A1836">
              <w:t>Hiding information from the web</w:t>
            </w:r>
          </w:p>
        </w:tc>
        <w:tc>
          <w:tcPr>
            <w:tcW w:w="3317" w:type="dxa"/>
          </w:tcPr>
          <w:p w14:paraId="201988D8" w14:textId="77777777" w:rsidR="008E344E" w:rsidRPr="001A1836" w:rsidRDefault="008E344E" w:rsidP="008E344E">
            <w:r w:rsidRPr="001A1836">
              <w:t>Internal</w:t>
            </w:r>
          </w:p>
        </w:tc>
      </w:tr>
      <w:tr w:rsidR="008E344E" w:rsidRPr="001A1836" w14:paraId="4879A554" w14:textId="77777777" w:rsidTr="008E344E">
        <w:trPr>
          <w:cantSplit/>
        </w:trPr>
        <w:tc>
          <w:tcPr>
            <w:tcW w:w="5211" w:type="dxa"/>
          </w:tcPr>
          <w:p w14:paraId="35699276" w14:textId="77777777" w:rsidR="008E344E" w:rsidRPr="001A1836" w:rsidRDefault="008E344E" w:rsidP="008E344E">
            <w:r w:rsidRPr="001A1836">
              <w:t>Building Regulation defect chase</w:t>
            </w:r>
          </w:p>
        </w:tc>
        <w:tc>
          <w:tcPr>
            <w:tcW w:w="3317" w:type="dxa"/>
          </w:tcPr>
          <w:p w14:paraId="2E247A6E" w14:textId="77777777" w:rsidR="008E344E" w:rsidRPr="001A1836" w:rsidRDefault="008E344E" w:rsidP="008E344E">
            <w:r w:rsidRPr="001A1836">
              <w:t>Internal</w:t>
            </w:r>
          </w:p>
        </w:tc>
      </w:tr>
      <w:tr w:rsidR="008E344E" w:rsidRPr="001A1836" w14:paraId="48C653EA" w14:textId="77777777" w:rsidTr="008E344E">
        <w:trPr>
          <w:cantSplit/>
        </w:trPr>
        <w:tc>
          <w:tcPr>
            <w:tcW w:w="5211" w:type="dxa"/>
          </w:tcPr>
          <w:p w14:paraId="7DC85969" w14:textId="77777777" w:rsidR="008E344E" w:rsidRPr="001A1836" w:rsidRDefault="008E344E" w:rsidP="008E344E">
            <w:r w:rsidRPr="001A1836">
              <w:t>Working out of scope</w:t>
            </w:r>
          </w:p>
        </w:tc>
        <w:tc>
          <w:tcPr>
            <w:tcW w:w="3317" w:type="dxa"/>
          </w:tcPr>
          <w:p w14:paraId="0A1AFF71" w14:textId="77777777" w:rsidR="008E344E" w:rsidRPr="001A1836" w:rsidRDefault="008E344E" w:rsidP="008E344E">
            <w:r w:rsidRPr="001A1836">
              <w:t>Internal</w:t>
            </w:r>
          </w:p>
        </w:tc>
      </w:tr>
      <w:tr w:rsidR="008E344E" w:rsidRPr="001A1836" w14:paraId="43DF363E" w14:textId="77777777" w:rsidTr="008E344E">
        <w:trPr>
          <w:cantSplit/>
        </w:trPr>
        <w:tc>
          <w:tcPr>
            <w:tcW w:w="5211" w:type="dxa"/>
          </w:tcPr>
          <w:p w14:paraId="7B8E04E2" w14:textId="77777777" w:rsidR="008E344E" w:rsidRPr="001A1836" w:rsidRDefault="008E344E" w:rsidP="008E344E">
            <w:r w:rsidRPr="001A1836">
              <w:t>Renewing a registration</w:t>
            </w:r>
          </w:p>
        </w:tc>
        <w:tc>
          <w:tcPr>
            <w:tcW w:w="3317" w:type="dxa"/>
          </w:tcPr>
          <w:p w14:paraId="125E39E1" w14:textId="77777777" w:rsidR="008E344E" w:rsidRPr="001A1836" w:rsidRDefault="008E344E" w:rsidP="008E344E">
            <w:r w:rsidRPr="001A1836">
              <w:t>Internal</w:t>
            </w:r>
          </w:p>
        </w:tc>
      </w:tr>
      <w:tr w:rsidR="008E344E" w:rsidRPr="001A1836" w14:paraId="65ACF049" w14:textId="77777777" w:rsidTr="008E344E">
        <w:trPr>
          <w:cantSplit/>
        </w:trPr>
        <w:tc>
          <w:tcPr>
            <w:tcW w:w="5211" w:type="dxa"/>
          </w:tcPr>
          <w:p w14:paraId="6530C9A1" w14:textId="77777777" w:rsidR="008E344E" w:rsidRPr="001A1836" w:rsidRDefault="008E344E" w:rsidP="008E344E">
            <w:r w:rsidRPr="001A1836">
              <w:t>Notifications on system</w:t>
            </w:r>
          </w:p>
        </w:tc>
        <w:tc>
          <w:tcPr>
            <w:tcW w:w="3317" w:type="dxa"/>
          </w:tcPr>
          <w:p w14:paraId="1BB40EEA" w14:textId="77777777" w:rsidR="008E344E" w:rsidRPr="001A1836" w:rsidRDefault="008E344E" w:rsidP="008E344E">
            <w:r w:rsidRPr="001A1836">
              <w:t>Internal</w:t>
            </w:r>
          </w:p>
        </w:tc>
      </w:tr>
      <w:tr w:rsidR="008E344E" w:rsidRPr="001A1836" w14:paraId="01318B08" w14:textId="77777777" w:rsidTr="008E344E">
        <w:trPr>
          <w:cantSplit/>
        </w:trPr>
        <w:tc>
          <w:tcPr>
            <w:tcW w:w="5211" w:type="dxa"/>
          </w:tcPr>
          <w:p w14:paraId="368B1316" w14:textId="77777777" w:rsidR="008E344E" w:rsidRPr="001A1836" w:rsidRDefault="008E344E" w:rsidP="008E344E">
            <w:r w:rsidRPr="001A1836">
              <w:t>Bulk notification</w:t>
            </w:r>
          </w:p>
        </w:tc>
        <w:tc>
          <w:tcPr>
            <w:tcW w:w="3317" w:type="dxa"/>
          </w:tcPr>
          <w:p w14:paraId="1068026B" w14:textId="77777777" w:rsidR="008E344E" w:rsidRPr="001A1836" w:rsidRDefault="008E344E" w:rsidP="008E344E">
            <w:r w:rsidRPr="001A1836">
              <w:t>Internal</w:t>
            </w:r>
          </w:p>
        </w:tc>
      </w:tr>
      <w:tr w:rsidR="008E344E" w:rsidRPr="001A1836" w14:paraId="463B96C4" w14:textId="77777777" w:rsidTr="008E344E">
        <w:trPr>
          <w:cantSplit/>
        </w:trPr>
        <w:tc>
          <w:tcPr>
            <w:tcW w:w="5211" w:type="dxa"/>
          </w:tcPr>
          <w:p w14:paraId="64AF624F" w14:textId="77777777" w:rsidR="008E344E" w:rsidRPr="001A1836" w:rsidRDefault="008E344E" w:rsidP="008E344E">
            <w:r w:rsidRPr="001A1836">
              <w:t>Notifications on the web</w:t>
            </w:r>
          </w:p>
        </w:tc>
        <w:tc>
          <w:tcPr>
            <w:tcW w:w="3317" w:type="dxa"/>
          </w:tcPr>
          <w:p w14:paraId="375B5794" w14:textId="77777777" w:rsidR="008E344E" w:rsidRPr="001A1836" w:rsidRDefault="008E344E" w:rsidP="008E344E">
            <w:r w:rsidRPr="001A1836">
              <w:t>Internal</w:t>
            </w:r>
          </w:p>
        </w:tc>
      </w:tr>
      <w:tr w:rsidR="008E344E" w:rsidRPr="001A1836" w14:paraId="0D0800AB" w14:textId="77777777" w:rsidTr="008E344E">
        <w:trPr>
          <w:cantSplit/>
        </w:trPr>
        <w:tc>
          <w:tcPr>
            <w:tcW w:w="5211" w:type="dxa"/>
          </w:tcPr>
          <w:p w14:paraId="7713BA69" w14:textId="77777777" w:rsidR="008E344E" w:rsidRPr="001A1836" w:rsidRDefault="008E344E" w:rsidP="008E344E">
            <w:r w:rsidRPr="001A1836">
              <w:t>Duplicate Building Regulations certificate requests</w:t>
            </w:r>
          </w:p>
        </w:tc>
        <w:tc>
          <w:tcPr>
            <w:tcW w:w="3317" w:type="dxa"/>
          </w:tcPr>
          <w:p w14:paraId="4AE34CD9" w14:textId="77777777" w:rsidR="008E344E" w:rsidRPr="001A1836" w:rsidRDefault="008E344E" w:rsidP="008E344E">
            <w:r w:rsidRPr="001A1836">
              <w:t>Internal</w:t>
            </w:r>
          </w:p>
        </w:tc>
      </w:tr>
      <w:tr w:rsidR="008E344E" w:rsidRPr="001A1836" w14:paraId="06C8912F" w14:textId="77777777" w:rsidTr="008E344E">
        <w:trPr>
          <w:cantSplit/>
        </w:trPr>
        <w:tc>
          <w:tcPr>
            <w:tcW w:w="5211" w:type="dxa"/>
          </w:tcPr>
          <w:p w14:paraId="070E5FD0" w14:textId="1624138C" w:rsidR="008E344E" w:rsidRPr="001A1836" w:rsidRDefault="008E344E" w:rsidP="008E344E">
            <w:r w:rsidRPr="001A1836">
              <w:t xml:space="preserve">General </w:t>
            </w:r>
            <w:r w:rsidR="000C1F5C" w:rsidRPr="001A1836">
              <w:t>Gas Work</w:t>
            </w:r>
            <w:r w:rsidRPr="001A1836">
              <w:t xml:space="preserve"> notification queries</w:t>
            </w:r>
          </w:p>
        </w:tc>
        <w:tc>
          <w:tcPr>
            <w:tcW w:w="3317" w:type="dxa"/>
          </w:tcPr>
          <w:p w14:paraId="4D7E712C" w14:textId="77777777" w:rsidR="008E344E" w:rsidRPr="001A1836" w:rsidRDefault="008E344E" w:rsidP="008E344E">
            <w:r w:rsidRPr="001A1836">
              <w:t>Internal</w:t>
            </w:r>
          </w:p>
        </w:tc>
      </w:tr>
      <w:tr w:rsidR="008E344E" w:rsidRPr="001A1836" w14:paraId="2F1E4F66" w14:textId="77777777" w:rsidTr="008E344E">
        <w:trPr>
          <w:cantSplit/>
        </w:trPr>
        <w:tc>
          <w:tcPr>
            <w:tcW w:w="5211" w:type="dxa"/>
          </w:tcPr>
          <w:p w14:paraId="577676A3" w14:textId="77777777" w:rsidR="008E344E" w:rsidRPr="001A1836" w:rsidRDefault="008E344E" w:rsidP="008E344E">
            <w:r w:rsidRPr="001A1836">
              <w:t>Cancelling notifications on BiT</w:t>
            </w:r>
          </w:p>
        </w:tc>
        <w:tc>
          <w:tcPr>
            <w:tcW w:w="3317" w:type="dxa"/>
          </w:tcPr>
          <w:p w14:paraId="76B23EC0" w14:textId="77777777" w:rsidR="008E344E" w:rsidRPr="001A1836" w:rsidRDefault="008E344E" w:rsidP="008E344E">
            <w:r w:rsidRPr="001A1836">
              <w:t>Internal</w:t>
            </w:r>
          </w:p>
        </w:tc>
      </w:tr>
      <w:tr w:rsidR="008E344E" w:rsidRPr="001A1836" w14:paraId="7D342A95" w14:textId="77777777" w:rsidTr="008E344E">
        <w:trPr>
          <w:cantSplit/>
        </w:trPr>
        <w:tc>
          <w:tcPr>
            <w:tcW w:w="5211" w:type="dxa"/>
          </w:tcPr>
          <w:p w14:paraId="38D8DB70" w14:textId="77777777" w:rsidR="008E344E" w:rsidRPr="001A1836" w:rsidRDefault="008E344E" w:rsidP="008E344E">
            <w:r w:rsidRPr="001A1836">
              <w:t>Building Regulation certificate cancellation process</w:t>
            </w:r>
          </w:p>
        </w:tc>
        <w:tc>
          <w:tcPr>
            <w:tcW w:w="3317" w:type="dxa"/>
          </w:tcPr>
          <w:p w14:paraId="72673A4A" w14:textId="77777777" w:rsidR="008E344E" w:rsidRPr="001A1836" w:rsidRDefault="008E344E" w:rsidP="008E344E">
            <w:r w:rsidRPr="001A1836">
              <w:t>Internal</w:t>
            </w:r>
          </w:p>
        </w:tc>
      </w:tr>
      <w:tr w:rsidR="008E344E" w:rsidRPr="001A1836" w14:paraId="1DACC6D9" w14:textId="77777777" w:rsidTr="008E344E">
        <w:trPr>
          <w:cantSplit/>
        </w:trPr>
        <w:tc>
          <w:tcPr>
            <w:tcW w:w="5211" w:type="dxa"/>
          </w:tcPr>
          <w:p w14:paraId="55528027" w14:textId="77777777" w:rsidR="008E344E" w:rsidRPr="001A1836" w:rsidRDefault="008E344E" w:rsidP="008E344E">
            <w:r w:rsidRPr="001A1836">
              <w:t>Online application process</w:t>
            </w:r>
          </w:p>
        </w:tc>
        <w:tc>
          <w:tcPr>
            <w:tcW w:w="3317" w:type="dxa"/>
          </w:tcPr>
          <w:p w14:paraId="590B32E8" w14:textId="77777777" w:rsidR="008E344E" w:rsidRPr="001A1836" w:rsidRDefault="008E344E" w:rsidP="008E344E">
            <w:r w:rsidRPr="001A1836">
              <w:t>Internal</w:t>
            </w:r>
          </w:p>
        </w:tc>
      </w:tr>
      <w:tr w:rsidR="008E344E" w:rsidRPr="001A1836" w14:paraId="146108C3" w14:textId="77777777" w:rsidTr="008E344E">
        <w:trPr>
          <w:cantSplit/>
        </w:trPr>
        <w:tc>
          <w:tcPr>
            <w:tcW w:w="5211" w:type="dxa"/>
          </w:tcPr>
          <w:p w14:paraId="08554123" w14:textId="77777777" w:rsidR="008E344E" w:rsidRPr="001A1836" w:rsidRDefault="008E344E" w:rsidP="008E344E">
            <w:r w:rsidRPr="001A1836">
              <w:t>Renewing a registration online</w:t>
            </w:r>
          </w:p>
        </w:tc>
        <w:tc>
          <w:tcPr>
            <w:tcW w:w="3317" w:type="dxa"/>
          </w:tcPr>
          <w:p w14:paraId="49B08812" w14:textId="77777777" w:rsidR="008E344E" w:rsidRPr="001A1836" w:rsidRDefault="008E344E" w:rsidP="008E344E">
            <w:r w:rsidRPr="001A1836">
              <w:t>Internal</w:t>
            </w:r>
          </w:p>
        </w:tc>
      </w:tr>
      <w:tr w:rsidR="008E344E" w:rsidRPr="001A1836" w14:paraId="740600A5" w14:textId="77777777" w:rsidTr="008E344E">
        <w:trPr>
          <w:cantSplit/>
        </w:trPr>
        <w:tc>
          <w:tcPr>
            <w:tcW w:w="5211" w:type="dxa"/>
          </w:tcPr>
          <w:p w14:paraId="6999DBBB" w14:textId="77777777" w:rsidR="008E344E" w:rsidRPr="001A1836" w:rsidRDefault="008E344E" w:rsidP="008E344E">
            <w:r w:rsidRPr="001A1836">
              <w:t>Change of details online</w:t>
            </w:r>
          </w:p>
        </w:tc>
        <w:tc>
          <w:tcPr>
            <w:tcW w:w="3317" w:type="dxa"/>
          </w:tcPr>
          <w:p w14:paraId="4E8F8C4B" w14:textId="77777777" w:rsidR="008E344E" w:rsidRPr="001A1836" w:rsidRDefault="008E344E" w:rsidP="008E344E">
            <w:r w:rsidRPr="001A1836">
              <w:t>Internal</w:t>
            </w:r>
          </w:p>
        </w:tc>
      </w:tr>
      <w:tr w:rsidR="008E344E" w:rsidRPr="001A1836" w14:paraId="784DBF99" w14:textId="77777777" w:rsidTr="008E344E">
        <w:trPr>
          <w:cantSplit/>
        </w:trPr>
        <w:tc>
          <w:tcPr>
            <w:tcW w:w="5211" w:type="dxa"/>
          </w:tcPr>
          <w:p w14:paraId="2553AD42" w14:textId="77777777" w:rsidR="008E344E" w:rsidRPr="001A1836" w:rsidRDefault="008E344E" w:rsidP="008E344E">
            <w:r w:rsidRPr="001A1836">
              <w:t>Change online login</w:t>
            </w:r>
          </w:p>
        </w:tc>
        <w:tc>
          <w:tcPr>
            <w:tcW w:w="3317" w:type="dxa"/>
          </w:tcPr>
          <w:p w14:paraId="162A856F" w14:textId="77777777" w:rsidR="008E344E" w:rsidRPr="001A1836" w:rsidRDefault="008E344E" w:rsidP="008E344E">
            <w:r w:rsidRPr="001A1836">
              <w:t>Internal</w:t>
            </w:r>
          </w:p>
        </w:tc>
      </w:tr>
      <w:tr w:rsidR="008E344E" w:rsidRPr="001A1836" w14:paraId="34A73897" w14:textId="77777777" w:rsidTr="008E344E">
        <w:trPr>
          <w:cantSplit/>
        </w:trPr>
        <w:tc>
          <w:tcPr>
            <w:tcW w:w="5211" w:type="dxa"/>
          </w:tcPr>
          <w:p w14:paraId="59BC4D56" w14:textId="77777777" w:rsidR="008E344E" w:rsidRPr="001A1836" w:rsidRDefault="008E344E" w:rsidP="008E344E">
            <w:r w:rsidRPr="001A1836">
              <w:t>Uploading engineer photos online</w:t>
            </w:r>
          </w:p>
        </w:tc>
        <w:tc>
          <w:tcPr>
            <w:tcW w:w="3317" w:type="dxa"/>
          </w:tcPr>
          <w:p w14:paraId="27EFC6B8" w14:textId="77777777" w:rsidR="008E344E" w:rsidRPr="001A1836" w:rsidRDefault="008E344E" w:rsidP="008E344E">
            <w:r w:rsidRPr="001A1836">
              <w:t>Internal</w:t>
            </w:r>
          </w:p>
        </w:tc>
      </w:tr>
      <w:tr w:rsidR="008E344E" w:rsidRPr="001A1836" w14:paraId="31E52CC3" w14:textId="77777777" w:rsidTr="008E344E">
        <w:trPr>
          <w:cantSplit/>
        </w:trPr>
        <w:tc>
          <w:tcPr>
            <w:tcW w:w="5211" w:type="dxa"/>
          </w:tcPr>
          <w:p w14:paraId="0E32D818" w14:textId="77777777" w:rsidR="008E344E" w:rsidRPr="001A1836" w:rsidRDefault="008E344E" w:rsidP="008E344E">
            <w:r w:rsidRPr="001A1836">
              <w:t xml:space="preserve">Checking and searching for engineers online </w:t>
            </w:r>
          </w:p>
        </w:tc>
        <w:tc>
          <w:tcPr>
            <w:tcW w:w="3317" w:type="dxa"/>
          </w:tcPr>
          <w:p w14:paraId="4F98BF06" w14:textId="77777777" w:rsidR="008E344E" w:rsidRPr="001A1836" w:rsidRDefault="008E344E" w:rsidP="008E344E">
            <w:r w:rsidRPr="001A1836">
              <w:t>Internal</w:t>
            </w:r>
          </w:p>
        </w:tc>
      </w:tr>
      <w:tr w:rsidR="008E344E" w:rsidRPr="001A1836" w14:paraId="18E28D0F" w14:textId="77777777" w:rsidTr="008E344E">
        <w:trPr>
          <w:cantSplit/>
        </w:trPr>
        <w:tc>
          <w:tcPr>
            <w:tcW w:w="5211" w:type="dxa"/>
          </w:tcPr>
          <w:p w14:paraId="3FF2F7AD" w14:textId="77777777" w:rsidR="008E344E" w:rsidRPr="001A1836" w:rsidRDefault="008E344E" w:rsidP="008E344E">
            <w:r w:rsidRPr="001A1836">
              <w:t>RIDDOR</w:t>
            </w:r>
          </w:p>
        </w:tc>
        <w:tc>
          <w:tcPr>
            <w:tcW w:w="3317" w:type="dxa"/>
          </w:tcPr>
          <w:p w14:paraId="67148295" w14:textId="77777777" w:rsidR="008E344E" w:rsidRPr="001A1836" w:rsidRDefault="008E344E" w:rsidP="008E344E">
            <w:r w:rsidRPr="001A1836">
              <w:t>Internal</w:t>
            </w:r>
          </w:p>
        </w:tc>
      </w:tr>
      <w:tr w:rsidR="008E344E" w:rsidRPr="001A1836" w14:paraId="65CA17D0" w14:textId="77777777" w:rsidTr="008E344E">
        <w:trPr>
          <w:cantSplit/>
        </w:trPr>
        <w:tc>
          <w:tcPr>
            <w:tcW w:w="5211" w:type="dxa"/>
          </w:tcPr>
          <w:p w14:paraId="464A46C0" w14:textId="77777777" w:rsidR="008E344E" w:rsidRPr="001A1836" w:rsidRDefault="008E344E" w:rsidP="008E344E">
            <w:r w:rsidRPr="001A1836">
              <w:t xml:space="preserve">Check a gas business </w:t>
            </w:r>
          </w:p>
        </w:tc>
        <w:tc>
          <w:tcPr>
            <w:tcW w:w="3317" w:type="dxa"/>
          </w:tcPr>
          <w:p w14:paraId="2A890679" w14:textId="77777777" w:rsidR="008E344E" w:rsidRPr="001A1836" w:rsidRDefault="008E344E" w:rsidP="008E344E">
            <w:r w:rsidRPr="001A1836">
              <w:t>Internal</w:t>
            </w:r>
          </w:p>
        </w:tc>
      </w:tr>
      <w:tr w:rsidR="008E344E" w:rsidRPr="001A1836" w14:paraId="2F603BEC" w14:textId="77777777" w:rsidTr="008E344E">
        <w:trPr>
          <w:cantSplit/>
        </w:trPr>
        <w:tc>
          <w:tcPr>
            <w:tcW w:w="5211" w:type="dxa"/>
          </w:tcPr>
          <w:p w14:paraId="150067D3" w14:textId="77777777" w:rsidR="008E344E" w:rsidRPr="001A1836" w:rsidRDefault="008E344E" w:rsidP="008E344E">
            <w:r w:rsidRPr="001A1836">
              <w:lastRenderedPageBreak/>
              <w:t xml:space="preserve">British Gas </w:t>
            </w:r>
          </w:p>
        </w:tc>
        <w:tc>
          <w:tcPr>
            <w:tcW w:w="3317" w:type="dxa"/>
          </w:tcPr>
          <w:p w14:paraId="4B9BB449" w14:textId="77777777" w:rsidR="008E344E" w:rsidRPr="001A1836" w:rsidRDefault="008E344E" w:rsidP="008E344E">
            <w:r w:rsidRPr="001A1836">
              <w:t>Internal</w:t>
            </w:r>
          </w:p>
        </w:tc>
      </w:tr>
      <w:tr w:rsidR="008E344E" w:rsidRPr="001A1836" w14:paraId="420EB819" w14:textId="77777777" w:rsidTr="008E344E">
        <w:trPr>
          <w:cantSplit/>
        </w:trPr>
        <w:tc>
          <w:tcPr>
            <w:tcW w:w="5211" w:type="dxa"/>
          </w:tcPr>
          <w:p w14:paraId="19E799B0" w14:textId="77777777" w:rsidR="008E344E" w:rsidRPr="001A1836" w:rsidRDefault="008E344E" w:rsidP="008E344E">
            <w:r w:rsidRPr="001A1836">
              <w:t>Converting from work management registration</w:t>
            </w:r>
          </w:p>
        </w:tc>
        <w:tc>
          <w:tcPr>
            <w:tcW w:w="3317" w:type="dxa"/>
          </w:tcPr>
          <w:p w14:paraId="64FFBD51" w14:textId="77777777" w:rsidR="008E344E" w:rsidRPr="001A1836" w:rsidRDefault="008E344E" w:rsidP="008E344E">
            <w:r w:rsidRPr="001A1836">
              <w:t>Internal</w:t>
            </w:r>
          </w:p>
        </w:tc>
      </w:tr>
      <w:tr w:rsidR="008E344E" w:rsidRPr="001A1836" w14:paraId="5D5A2B2F" w14:textId="77777777" w:rsidTr="008E344E">
        <w:trPr>
          <w:cantSplit/>
        </w:trPr>
        <w:tc>
          <w:tcPr>
            <w:tcW w:w="5211" w:type="dxa"/>
          </w:tcPr>
          <w:p w14:paraId="49B97198" w14:textId="77777777" w:rsidR="008E344E" w:rsidRPr="001A1836" w:rsidRDefault="008E344E" w:rsidP="008E344E">
            <w:r w:rsidRPr="001A1836">
              <w:t xml:space="preserve">Gas work notification (GWN) appointments </w:t>
            </w:r>
          </w:p>
        </w:tc>
        <w:tc>
          <w:tcPr>
            <w:tcW w:w="3317" w:type="dxa"/>
          </w:tcPr>
          <w:p w14:paraId="6A47BE3D" w14:textId="77777777" w:rsidR="008E344E" w:rsidRPr="001A1836" w:rsidRDefault="008E344E" w:rsidP="008E344E">
            <w:r w:rsidRPr="001A1836">
              <w:t>Internal</w:t>
            </w:r>
          </w:p>
        </w:tc>
      </w:tr>
      <w:tr w:rsidR="008E344E" w:rsidRPr="001A1836" w14:paraId="04F729A7" w14:textId="77777777" w:rsidTr="008E344E">
        <w:trPr>
          <w:cantSplit/>
        </w:trPr>
        <w:tc>
          <w:tcPr>
            <w:tcW w:w="5211" w:type="dxa"/>
          </w:tcPr>
          <w:p w14:paraId="6737A208" w14:textId="77777777" w:rsidR="008E344E" w:rsidRPr="001A1836" w:rsidRDefault="008E344E" w:rsidP="008E344E">
            <w:r w:rsidRPr="001A1836">
              <w:t xml:space="preserve">Names and numbers </w:t>
            </w:r>
          </w:p>
        </w:tc>
        <w:tc>
          <w:tcPr>
            <w:tcW w:w="3317" w:type="dxa"/>
          </w:tcPr>
          <w:p w14:paraId="5C5005B0" w14:textId="77777777" w:rsidR="008E344E" w:rsidRPr="001A1836" w:rsidRDefault="008E344E" w:rsidP="008E344E">
            <w:r w:rsidRPr="001A1836">
              <w:t>Internal</w:t>
            </w:r>
          </w:p>
        </w:tc>
      </w:tr>
      <w:tr w:rsidR="008E344E" w:rsidRPr="001A1836" w14:paraId="058C5914" w14:textId="77777777" w:rsidTr="001B6EBC">
        <w:trPr>
          <w:cantSplit/>
        </w:trPr>
        <w:tc>
          <w:tcPr>
            <w:tcW w:w="8528" w:type="dxa"/>
            <w:gridSpan w:val="2"/>
          </w:tcPr>
          <w:p w14:paraId="190590AF" w14:textId="77777777" w:rsidR="008E344E" w:rsidRPr="001A1836" w:rsidRDefault="008E344E" w:rsidP="008E344E">
            <w:pPr>
              <w:rPr>
                <w:b/>
              </w:rPr>
            </w:pPr>
            <w:r w:rsidRPr="001A1836">
              <w:rPr>
                <w:b/>
              </w:rPr>
              <w:t>Registrations</w:t>
            </w:r>
          </w:p>
        </w:tc>
      </w:tr>
      <w:tr w:rsidR="008E344E" w:rsidRPr="001A1836" w14:paraId="40D0C0C4" w14:textId="77777777" w:rsidTr="008E344E">
        <w:trPr>
          <w:cantSplit/>
        </w:trPr>
        <w:tc>
          <w:tcPr>
            <w:tcW w:w="5211" w:type="dxa"/>
          </w:tcPr>
          <w:p w14:paraId="7441FD06" w14:textId="77777777" w:rsidR="008E344E" w:rsidRPr="001A1836" w:rsidRDefault="008E344E" w:rsidP="008E344E">
            <w:r w:rsidRPr="001A1836">
              <w:t>Brand Enforcement Process</w:t>
            </w:r>
          </w:p>
        </w:tc>
        <w:tc>
          <w:tcPr>
            <w:tcW w:w="3317" w:type="dxa"/>
          </w:tcPr>
          <w:p w14:paraId="2294C831" w14:textId="77777777" w:rsidR="008E344E" w:rsidRPr="001A1836" w:rsidRDefault="008E344E" w:rsidP="008E344E">
            <w:r w:rsidRPr="001A1836">
              <w:t>Internal</w:t>
            </w:r>
          </w:p>
        </w:tc>
      </w:tr>
      <w:tr w:rsidR="008E344E" w:rsidRPr="001A1836" w14:paraId="7C882EF0" w14:textId="77777777" w:rsidTr="001B6EBC">
        <w:trPr>
          <w:cantSplit/>
        </w:trPr>
        <w:tc>
          <w:tcPr>
            <w:tcW w:w="8528" w:type="dxa"/>
            <w:gridSpan w:val="2"/>
          </w:tcPr>
          <w:p w14:paraId="237FE530" w14:textId="77777777" w:rsidR="008E344E" w:rsidRPr="001A1836" w:rsidRDefault="008E344E" w:rsidP="008E344E">
            <w:pPr>
              <w:rPr>
                <w:b/>
              </w:rPr>
            </w:pPr>
            <w:r w:rsidRPr="001A1836">
              <w:rPr>
                <w:b/>
              </w:rPr>
              <w:t>Finance</w:t>
            </w:r>
          </w:p>
        </w:tc>
      </w:tr>
      <w:tr w:rsidR="008E344E" w:rsidRPr="001A1836" w14:paraId="6B631CE4" w14:textId="77777777" w:rsidTr="008E344E">
        <w:trPr>
          <w:cantSplit/>
        </w:trPr>
        <w:tc>
          <w:tcPr>
            <w:tcW w:w="5211" w:type="dxa"/>
          </w:tcPr>
          <w:p w14:paraId="0F7D987D" w14:textId="77777777" w:rsidR="008E344E" w:rsidRPr="001A1836" w:rsidRDefault="008E344E" w:rsidP="008E344E">
            <w:r w:rsidRPr="001A1836">
              <w:t>Annual Review Reporting Process</w:t>
            </w:r>
          </w:p>
        </w:tc>
        <w:tc>
          <w:tcPr>
            <w:tcW w:w="3317" w:type="dxa"/>
          </w:tcPr>
          <w:p w14:paraId="604FAB15" w14:textId="77777777" w:rsidR="008E344E" w:rsidRPr="001A1836" w:rsidRDefault="008E344E" w:rsidP="008E344E">
            <w:r w:rsidRPr="001A1836">
              <w:t>Internal</w:t>
            </w:r>
          </w:p>
        </w:tc>
      </w:tr>
      <w:tr w:rsidR="008E344E" w:rsidRPr="001A1836" w14:paraId="5BE76176" w14:textId="77777777" w:rsidTr="001B6EBC">
        <w:trPr>
          <w:cantSplit/>
        </w:trPr>
        <w:tc>
          <w:tcPr>
            <w:tcW w:w="8528" w:type="dxa"/>
            <w:gridSpan w:val="2"/>
          </w:tcPr>
          <w:p w14:paraId="545855FB" w14:textId="77777777" w:rsidR="008E344E" w:rsidRPr="001A1836" w:rsidRDefault="008E344E" w:rsidP="008E344E">
            <w:pPr>
              <w:rPr>
                <w:b/>
              </w:rPr>
            </w:pPr>
            <w:r w:rsidRPr="001A1836">
              <w:rPr>
                <w:b/>
              </w:rPr>
              <w:t xml:space="preserve">Stakeholder management </w:t>
            </w:r>
          </w:p>
        </w:tc>
      </w:tr>
      <w:tr w:rsidR="008E344E" w:rsidRPr="001A1836" w14:paraId="52F81D44" w14:textId="77777777" w:rsidTr="008E344E">
        <w:trPr>
          <w:cantSplit/>
        </w:trPr>
        <w:tc>
          <w:tcPr>
            <w:tcW w:w="5211" w:type="dxa"/>
          </w:tcPr>
          <w:p w14:paraId="5692DF8E" w14:textId="77777777" w:rsidR="008E344E" w:rsidRPr="001A1836" w:rsidRDefault="008E344E" w:rsidP="008E344E">
            <w:r w:rsidRPr="001A1836">
              <w:t xml:space="preserve">Stakeholder Team Process </w:t>
            </w:r>
          </w:p>
        </w:tc>
        <w:tc>
          <w:tcPr>
            <w:tcW w:w="3317" w:type="dxa"/>
          </w:tcPr>
          <w:p w14:paraId="5B9735CF" w14:textId="77777777" w:rsidR="008E344E" w:rsidRPr="001A1836" w:rsidRDefault="008E344E" w:rsidP="008E344E">
            <w:r w:rsidRPr="001A1836">
              <w:t>Internal</w:t>
            </w:r>
          </w:p>
        </w:tc>
      </w:tr>
      <w:tr w:rsidR="008E344E" w:rsidRPr="001A1836" w14:paraId="3444144B" w14:textId="77777777" w:rsidTr="008E344E">
        <w:trPr>
          <w:cantSplit/>
        </w:trPr>
        <w:tc>
          <w:tcPr>
            <w:tcW w:w="5211" w:type="dxa"/>
          </w:tcPr>
          <w:p w14:paraId="13879618" w14:textId="77777777" w:rsidR="008E344E" w:rsidRPr="001A1836" w:rsidRDefault="008E344E" w:rsidP="008E344E">
            <w:r w:rsidRPr="001A1836">
              <w:t xml:space="preserve">Stakeholder Events Process </w:t>
            </w:r>
          </w:p>
        </w:tc>
        <w:tc>
          <w:tcPr>
            <w:tcW w:w="3317" w:type="dxa"/>
          </w:tcPr>
          <w:p w14:paraId="5395C8C5" w14:textId="77777777" w:rsidR="008E344E" w:rsidRPr="001A1836" w:rsidRDefault="008E344E" w:rsidP="008E344E">
            <w:r w:rsidRPr="001A1836">
              <w:t>Internal</w:t>
            </w:r>
          </w:p>
        </w:tc>
      </w:tr>
      <w:tr w:rsidR="008E344E" w:rsidRPr="001A1836" w14:paraId="3E9D4AB9" w14:textId="77777777" w:rsidTr="001B6EBC">
        <w:trPr>
          <w:cantSplit/>
        </w:trPr>
        <w:tc>
          <w:tcPr>
            <w:tcW w:w="8528" w:type="dxa"/>
            <w:gridSpan w:val="2"/>
          </w:tcPr>
          <w:p w14:paraId="32CB5C36" w14:textId="77777777" w:rsidR="008E344E" w:rsidRPr="001A1836" w:rsidRDefault="008E344E" w:rsidP="008E344E">
            <w:pPr>
              <w:rPr>
                <w:b/>
              </w:rPr>
            </w:pPr>
            <w:r w:rsidRPr="001A1836">
              <w:rPr>
                <w:b/>
              </w:rPr>
              <w:t>Management information</w:t>
            </w:r>
          </w:p>
        </w:tc>
      </w:tr>
      <w:tr w:rsidR="008E344E" w:rsidRPr="001A1836" w14:paraId="4B2C2431" w14:textId="77777777" w:rsidTr="008E344E">
        <w:trPr>
          <w:cantSplit/>
        </w:trPr>
        <w:tc>
          <w:tcPr>
            <w:tcW w:w="5211" w:type="dxa"/>
          </w:tcPr>
          <w:p w14:paraId="33488382" w14:textId="77777777" w:rsidR="008E344E" w:rsidRPr="001A1836" w:rsidRDefault="008E344E" w:rsidP="008E344E">
            <w:r w:rsidRPr="001A1836">
              <w:t>KPI/Management Information Reporting</w:t>
            </w:r>
          </w:p>
        </w:tc>
        <w:tc>
          <w:tcPr>
            <w:tcW w:w="3317" w:type="dxa"/>
          </w:tcPr>
          <w:p w14:paraId="7FE9E611" w14:textId="77777777" w:rsidR="008E344E" w:rsidRPr="001A1836" w:rsidRDefault="008E344E" w:rsidP="008E344E">
            <w:r w:rsidRPr="001A1836">
              <w:t>Internal</w:t>
            </w:r>
          </w:p>
        </w:tc>
      </w:tr>
      <w:tr w:rsidR="008E344E" w:rsidRPr="001A1836" w14:paraId="6C5BCF73" w14:textId="77777777" w:rsidTr="001B6EBC">
        <w:trPr>
          <w:cantSplit/>
        </w:trPr>
        <w:tc>
          <w:tcPr>
            <w:tcW w:w="8528" w:type="dxa"/>
            <w:gridSpan w:val="2"/>
          </w:tcPr>
          <w:p w14:paraId="77755C1D" w14:textId="77777777" w:rsidR="008E344E" w:rsidRPr="001A1836" w:rsidRDefault="008E344E" w:rsidP="008E344E">
            <w:pPr>
              <w:rPr>
                <w:b/>
              </w:rPr>
            </w:pPr>
            <w:r w:rsidRPr="001A1836">
              <w:rPr>
                <w:b/>
              </w:rPr>
              <w:t>Security</w:t>
            </w:r>
          </w:p>
        </w:tc>
      </w:tr>
      <w:tr w:rsidR="008E344E" w:rsidRPr="001A1836" w14:paraId="5DA33BF0" w14:textId="77777777" w:rsidTr="008E344E">
        <w:trPr>
          <w:cantSplit/>
        </w:trPr>
        <w:tc>
          <w:tcPr>
            <w:tcW w:w="5211" w:type="dxa"/>
          </w:tcPr>
          <w:p w14:paraId="193265FE" w14:textId="77777777" w:rsidR="008E344E" w:rsidRPr="001A1836" w:rsidRDefault="008E344E" w:rsidP="008E344E">
            <w:r w:rsidRPr="001A1836">
              <w:t xml:space="preserve">Annual Compliance Review </w:t>
            </w:r>
          </w:p>
        </w:tc>
        <w:tc>
          <w:tcPr>
            <w:tcW w:w="3317" w:type="dxa"/>
          </w:tcPr>
          <w:p w14:paraId="3D7F7473" w14:textId="77777777" w:rsidR="008E344E" w:rsidRPr="001A1836" w:rsidRDefault="008E344E" w:rsidP="008E344E">
            <w:r w:rsidRPr="001A1836">
              <w:t>Internal</w:t>
            </w:r>
          </w:p>
        </w:tc>
      </w:tr>
      <w:tr w:rsidR="008E344E" w:rsidRPr="001A1836" w14:paraId="7AD881F8" w14:textId="77777777" w:rsidTr="008E344E">
        <w:trPr>
          <w:cantSplit/>
        </w:trPr>
        <w:tc>
          <w:tcPr>
            <w:tcW w:w="5211" w:type="dxa"/>
          </w:tcPr>
          <w:p w14:paraId="5A3F500F" w14:textId="77777777" w:rsidR="008E344E" w:rsidRPr="001A1836" w:rsidRDefault="008E344E" w:rsidP="008E344E">
            <w:r w:rsidRPr="001A1836">
              <w:t xml:space="preserve">Subject Access Requests </w:t>
            </w:r>
          </w:p>
        </w:tc>
        <w:tc>
          <w:tcPr>
            <w:tcW w:w="3317" w:type="dxa"/>
          </w:tcPr>
          <w:p w14:paraId="49EF428A" w14:textId="77777777" w:rsidR="008E344E" w:rsidRPr="001A1836" w:rsidRDefault="008E344E" w:rsidP="008E344E">
            <w:r w:rsidRPr="001A1836">
              <w:t>Internal</w:t>
            </w:r>
          </w:p>
        </w:tc>
      </w:tr>
      <w:tr w:rsidR="008E344E" w:rsidRPr="001A1836" w14:paraId="2E330D35" w14:textId="77777777" w:rsidTr="008E344E">
        <w:trPr>
          <w:cantSplit/>
        </w:trPr>
        <w:tc>
          <w:tcPr>
            <w:tcW w:w="5211" w:type="dxa"/>
          </w:tcPr>
          <w:p w14:paraId="5EFEFF21" w14:textId="77777777" w:rsidR="008E344E" w:rsidRPr="001A1836" w:rsidRDefault="008E344E" w:rsidP="008E344E">
            <w:r w:rsidRPr="001A1836">
              <w:t>Freedom of Information Request Process</w:t>
            </w:r>
          </w:p>
        </w:tc>
        <w:tc>
          <w:tcPr>
            <w:tcW w:w="3317" w:type="dxa"/>
          </w:tcPr>
          <w:p w14:paraId="778E6E86" w14:textId="77777777" w:rsidR="008E344E" w:rsidRPr="001A1836" w:rsidRDefault="008E344E" w:rsidP="008E344E">
            <w:r w:rsidRPr="001A1836">
              <w:t>Internal</w:t>
            </w:r>
          </w:p>
        </w:tc>
      </w:tr>
      <w:tr w:rsidR="008E344E" w:rsidRPr="001A1836" w14:paraId="70BD8C3A" w14:textId="77777777" w:rsidTr="008E344E">
        <w:trPr>
          <w:cantSplit/>
        </w:trPr>
        <w:tc>
          <w:tcPr>
            <w:tcW w:w="5211" w:type="dxa"/>
          </w:tcPr>
          <w:p w14:paraId="778E6DE9" w14:textId="77777777" w:rsidR="008E344E" w:rsidRPr="001A1836" w:rsidRDefault="008E344E" w:rsidP="008E344E">
            <w:r w:rsidRPr="001A1836">
              <w:t>Processes and Procedures Register</w:t>
            </w:r>
          </w:p>
        </w:tc>
        <w:tc>
          <w:tcPr>
            <w:tcW w:w="3317" w:type="dxa"/>
          </w:tcPr>
          <w:p w14:paraId="2E1B84AC" w14:textId="77777777" w:rsidR="008E344E" w:rsidRPr="001A1836" w:rsidRDefault="008E344E" w:rsidP="008E344E">
            <w:r w:rsidRPr="001A1836">
              <w:t>Internal</w:t>
            </w:r>
          </w:p>
        </w:tc>
      </w:tr>
      <w:tr w:rsidR="008E344E" w:rsidRPr="001A1836" w14:paraId="14679D01" w14:textId="77777777" w:rsidTr="001B6EBC">
        <w:trPr>
          <w:cantSplit/>
        </w:trPr>
        <w:tc>
          <w:tcPr>
            <w:tcW w:w="8528" w:type="dxa"/>
            <w:gridSpan w:val="2"/>
          </w:tcPr>
          <w:p w14:paraId="32B993CB" w14:textId="77777777" w:rsidR="008E344E" w:rsidRPr="001A1836" w:rsidRDefault="008E344E" w:rsidP="008E344E">
            <w:pPr>
              <w:rPr>
                <w:b/>
              </w:rPr>
            </w:pPr>
            <w:r w:rsidRPr="001A1836">
              <w:rPr>
                <w:b/>
              </w:rPr>
              <w:t>Marketing Communications &amp; PR</w:t>
            </w:r>
          </w:p>
        </w:tc>
      </w:tr>
      <w:tr w:rsidR="008E344E" w:rsidRPr="001A1836" w14:paraId="54A9A05A" w14:textId="77777777" w:rsidTr="008E344E">
        <w:trPr>
          <w:cantSplit/>
        </w:trPr>
        <w:tc>
          <w:tcPr>
            <w:tcW w:w="5211" w:type="dxa"/>
          </w:tcPr>
          <w:p w14:paraId="65FEE310" w14:textId="77777777" w:rsidR="008E344E" w:rsidRPr="001A1836" w:rsidRDefault="008E344E" w:rsidP="008E344E">
            <w:r w:rsidRPr="001A1836">
              <w:t>Marketing Guidelines (for registered businesses and engineers)</w:t>
            </w:r>
          </w:p>
        </w:tc>
        <w:tc>
          <w:tcPr>
            <w:tcW w:w="3317" w:type="dxa"/>
          </w:tcPr>
          <w:p w14:paraId="7E59C363" w14:textId="77777777" w:rsidR="008E344E" w:rsidRPr="001A1836" w:rsidRDefault="008E344E" w:rsidP="008E344E">
            <w:r w:rsidRPr="001A1836">
              <w:t xml:space="preserve">Internal &amp; Public </w:t>
            </w:r>
          </w:p>
        </w:tc>
      </w:tr>
      <w:tr w:rsidR="008E344E" w:rsidRPr="001A1836" w14:paraId="173EA2C5" w14:textId="77777777" w:rsidTr="008E344E">
        <w:trPr>
          <w:cantSplit/>
        </w:trPr>
        <w:tc>
          <w:tcPr>
            <w:tcW w:w="5211" w:type="dxa"/>
          </w:tcPr>
          <w:p w14:paraId="0A799269" w14:textId="77777777" w:rsidR="008E344E" w:rsidRPr="001A1836" w:rsidRDefault="008E344E" w:rsidP="008E344E">
            <w:r w:rsidRPr="001A1836">
              <w:t>Brand Licence Application &amp; Logo Use Process</w:t>
            </w:r>
          </w:p>
        </w:tc>
        <w:tc>
          <w:tcPr>
            <w:tcW w:w="3317" w:type="dxa"/>
          </w:tcPr>
          <w:p w14:paraId="74F28754" w14:textId="77777777" w:rsidR="008E344E" w:rsidRPr="001A1836" w:rsidRDefault="008E344E" w:rsidP="008E344E">
            <w:r w:rsidRPr="001A1836">
              <w:t>Internal</w:t>
            </w:r>
          </w:p>
        </w:tc>
      </w:tr>
      <w:tr w:rsidR="008E344E" w:rsidRPr="001A1836" w14:paraId="3FD8F0EC" w14:textId="77777777" w:rsidTr="008E344E">
        <w:trPr>
          <w:cantSplit/>
        </w:trPr>
        <w:tc>
          <w:tcPr>
            <w:tcW w:w="5211" w:type="dxa"/>
          </w:tcPr>
          <w:p w14:paraId="58F71FC7" w14:textId="77777777" w:rsidR="008E344E" w:rsidRPr="001A1836" w:rsidRDefault="008E344E" w:rsidP="008E344E">
            <w:r w:rsidRPr="001A1836">
              <w:t>Literature Requests</w:t>
            </w:r>
          </w:p>
        </w:tc>
        <w:tc>
          <w:tcPr>
            <w:tcW w:w="3317" w:type="dxa"/>
          </w:tcPr>
          <w:p w14:paraId="1B8B08AF" w14:textId="77777777" w:rsidR="008E344E" w:rsidRPr="001A1836" w:rsidRDefault="008E344E" w:rsidP="008E344E">
            <w:r w:rsidRPr="001A1836">
              <w:t>Internal</w:t>
            </w:r>
          </w:p>
        </w:tc>
      </w:tr>
      <w:tr w:rsidR="008E344E" w:rsidRPr="001A1836" w14:paraId="7C771848" w14:textId="77777777" w:rsidTr="008E344E">
        <w:trPr>
          <w:cantSplit/>
        </w:trPr>
        <w:tc>
          <w:tcPr>
            <w:tcW w:w="5211" w:type="dxa"/>
          </w:tcPr>
          <w:p w14:paraId="009F754A" w14:textId="77777777" w:rsidR="008E344E" w:rsidRPr="001A1836" w:rsidRDefault="008E344E" w:rsidP="008E344E">
            <w:r w:rsidRPr="001A1836">
              <w:t>Logo Requests</w:t>
            </w:r>
          </w:p>
        </w:tc>
        <w:tc>
          <w:tcPr>
            <w:tcW w:w="3317" w:type="dxa"/>
          </w:tcPr>
          <w:p w14:paraId="00634C69" w14:textId="77777777" w:rsidR="008E344E" w:rsidRPr="001A1836" w:rsidRDefault="008E344E" w:rsidP="008E344E">
            <w:r w:rsidRPr="001A1836">
              <w:t>Internal</w:t>
            </w:r>
          </w:p>
        </w:tc>
      </w:tr>
      <w:tr w:rsidR="008E344E" w:rsidRPr="001A1836" w14:paraId="173750FE" w14:textId="77777777" w:rsidTr="008E344E">
        <w:trPr>
          <w:cantSplit/>
        </w:trPr>
        <w:tc>
          <w:tcPr>
            <w:tcW w:w="5211" w:type="dxa"/>
          </w:tcPr>
          <w:p w14:paraId="7FEB7A13" w14:textId="77777777" w:rsidR="008E344E" w:rsidRPr="001A1836" w:rsidRDefault="008E344E" w:rsidP="008E344E">
            <w:r w:rsidRPr="001A1836">
              <w:t>Social Media Protocol</w:t>
            </w:r>
          </w:p>
        </w:tc>
        <w:tc>
          <w:tcPr>
            <w:tcW w:w="3317" w:type="dxa"/>
          </w:tcPr>
          <w:p w14:paraId="07B71F45" w14:textId="77777777" w:rsidR="008E344E" w:rsidRPr="001A1836" w:rsidRDefault="008E344E" w:rsidP="008E344E">
            <w:r w:rsidRPr="001A1836">
              <w:t>Internal</w:t>
            </w:r>
          </w:p>
        </w:tc>
      </w:tr>
      <w:tr w:rsidR="008E344E" w:rsidRPr="001A1836" w14:paraId="041DC0A5" w14:textId="77777777" w:rsidTr="008E344E">
        <w:trPr>
          <w:cantSplit/>
        </w:trPr>
        <w:tc>
          <w:tcPr>
            <w:tcW w:w="5211" w:type="dxa"/>
          </w:tcPr>
          <w:p w14:paraId="402AD938" w14:textId="77777777" w:rsidR="008E344E" w:rsidRPr="001A1836" w:rsidRDefault="008E344E" w:rsidP="008E344E">
            <w:r w:rsidRPr="001A1836">
              <w:t>PR Media Protocol</w:t>
            </w:r>
          </w:p>
        </w:tc>
        <w:tc>
          <w:tcPr>
            <w:tcW w:w="3317" w:type="dxa"/>
          </w:tcPr>
          <w:p w14:paraId="46DC14FB" w14:textId="77777777" w:rsidR="008E344E" w:rsidRPr="001A1836" w:rsidRDefault="008E344E" w:rsidP="008E344E">
            <w:r w:rsidRPr="001A1836">
              <w:t>Internal</w:t>
            </w:r>
          </w:p>
        </w:tc>
      </w:tr>
      <w:tr w:rsidR="008E344E" w:rsidRPr="001A1836" w14:paraId="0A2C11EE" w14:textId="77777777" w:rsidTr="008E344E">
        <w:trPr>
          <w:cantSplit/>
        </w:trPr>
        <w:tc>
          <w:tcPr>
            <w:tcW w:w="5211" w:type="dxa"/>
          </w:tcPr>
          <w:p w14:paraId="04743D28" w14:textId="77777777" w:rsidR="008E344E" w:rsidRPr="001A1836" w:rsidRDefault="008E344E" w:rsidP="008E344E">
            <w:r w:rsidRPr="001A1836">
              <w:t>Design and Print</w:t>
            </w:r>
          </w:p>
        </w:tc>
        <w:tc>
          <w:tcPr>
            <w:tcW w:w="3317" w:type="dxa"/>
          </w:tcPr>
          <w:p w14:paraId="7A5AD862" w14:textId="77777777" w:rsidR="008E344E" w:rsidRPr="001A1836" w:rsidRDefault="008E344E" w:rsidP="008E344E">
            <w:r w:rsidRPr="001A1836">
              <w:t>Internal</w:t>
            </w:r>
          </w:p>
        </w:tc>
      </w:tr>
      <w:tr w:rsidR="008E344E" w:rsidRPr="001A1836" w14:paraId="2A27E14F" w14:textId="77777777" w:rsidTr="008E344E">
        <w:trPr>
          <w:cantSplit/>
        </w:trPr>
        <w:tc>
          <w:tcPr>
            <w:tcW w:w="5211" w:type="dxa"/>
          </w:tcPr>
          <w:p w14:paraId="57B88158" w14:textId="77777777" w:rsidR="008E344E" w:rsidRPr="001A1836" w:rsidRDefault="008E344E" w:rsidP="008E344E">
            <w:r w:rsidRPr="001A1836">
              <w:t>Email campaigns</w:t>
            </w:r>
          </w:p>
        </w:tc>
        <w:tc>
          <w:tcPr>
            <w:tcW w:w="3317" w:type="dxa"/>
          </w:tcPr>
          <w:p w14:paraId="5C46FB69" w14:textId="77777777" w:rsidR="008E344E" w:rsidRPr="001A1836" w:rsidRDefault="008E344E" w:rsidP="008E344E">
            <w:r w:rsidRPr="001A1836">
              <w:t>Internal</w:t>
            </w:r>
          </w:p>
        </w:tc>
      </w:tr>
      <w:tr w:rsidR="008E344E" w:rsidRPr="001A1836" w14:paraId="453B612B" w14:textId="77777777" w:rsidTr="008E344E">
        <w:trPr>
          <w:cantSplit/>
        </w:trPr>
        <w:tc>
          <w:tcPr>
            <w:tcW w:w="5211" w:type="dxa"/>
          </w:tcPr>
          <w:p w14:paraId="56FB5855" w14:textId="77777777" w:rsidR="008E344E" w:rsidRPr="001A1836" w:rsidRDefault="008E344E" w:rsidP="008E344E">
            <w:r w:rsidRPr="001A1836">
              <w:t>Campaigns</w:t>
            </w:r>
          </w:p>
        </w:tc>
        <w:tc>
          <w:tcPr>
            <w:tcW w:w="3317" w:type="dxa"/>
          </w:tcPr>
          <w:p w14:paraId="03789D68" w14:textId="77777777" w:rsidR="008E344E" w:rsidRPr="001A1836" w:rsidRDefault="008E344E" w:rsidP="008E344E">
            <w:r w:rsidRPr="001A1836">
              <w:t>Internal</w:t>
            </w:r>
          </w:p>
        </w:tc>
      </w:tr>
      <w:tr w:rsidR="008E344E" w:rsidRPr="001A1836" w14:paraId="7D51BF3C" w14:textId="77777777" w:rsidTr="008E344E">
        <w:trPr>
          <w:cantSplit/>
        </w:trPr>
        <w:tc>
          <w:tcPr>
            <w:tcW w:w="5211" w:type="dxa"/>
          </w:tcPr>
          <w:p w14:paraId="120B85EA" w14:textId="77777777" w:rsidR="008E344E" w:rsidRPr="001A1836" w:rsidRDefault="008E344E" w:rsidP="008E344E">
            <w:r w:rsidRPr="001A1836">
              <w:t>PPC activity</w:t>
            </w:r>
          </w:p>
        </w:tc>
        <w:tc>
          <w:tcPr>
            <w:tcW w:w="3317" w:type="dxa"/>
          </w:tcPr>
          <w:p w14:paraId="5F1D2CEF" w14:textId="77777777" w:rsidR="008E344E" w:rsidRPr="001A1836" w:rsidRDefault="008E344E" w:rsidP="008E344E">
            <w:r w:rsidRPr="001A1836">
              <w:t>Internal</w:t>
            </w:r>
          </w:p>
        </w:tc>
      </w:tr>
      <w:tr w:rsidR="008E344E" w:rsidRPr="001A1836" w14:paraId="22E4CF2C" w14:textId="77777777" w:rsidTr="008E344E">
        <w:trPr>
          <w:cantSplit/>
        </w:trPr>
        <w:tc>
          <w:tcPr>
            <w:tcW w:w="5211" w:type="dxa"/>
          </w:tcPr>
          <w:p w14:paraId="44226F03" w14:textId="77777777" w:rsidR="008E344E" w:rsidRPr="001A1836" w:rsidRDefault="008E344E" w:rsidP="008E344E">
            <w:r w:rsidRPr="001A1836">
              <w:t>Website statistics</w:t>
            </w:r>
          </w:p>
        </w:tc>
        <w:tc>
          <w:tcPr>
            <w:tcW w:w="3317" w:type="dxa"/>
          </w:tcPr>
          <w:p w14:paraId="780996A2" w14:textId="77777777" w:rsidR="008E344E" w:rsidRPr="001A1836" w:rsidRDefault="008E344E" w:rsidP="008E344E">
            <w:r w:rsidRPr="001A1836">
              <w:t>Internal</w:t>
            </w:r>
          </w:p>
        </w:tc>
      </w:tr>
      <w:tr w:rsidR="008E344E" w:rsidRPr="001A1836" w14:paraId="6AED2407" w14:textId="77777777" w:rsidTr="008E344E">
        <w:trPr>
          <w:cantSplit/>
        </w:trPr>
        <w:tc>
          <w:tcPr>
            <w:tcW w:w="5211" w:type="dxa"/>
          </w:tcPr>
          <w:p w14:paraId="3EEC8A73" w14:textId="77777777" w:rsidR="008E344E" w:rsidRPr="001A1836" w:rsidRDefault="008E344E" w:rsidP="008E344E">
            <w:r w:rsidRPr="001A1836">
              <w:t>Website maintenance</w:t>
            </w:r>
          </w:p>
        </w:tc>
        <w:tc>
          <w:tcPr>
            <w:tcW w:w="3317" w:type="dxa"/>
          </w:tcPr>
          <w:p w14:paraId="138831DA" w14:textId="77777777" w:rsidR="008E344E" w:rsidRPr="001A1836" w:rsidRDefault="008E344E" w:rsidP="008E344E">
            <w:r w:rsidRPr="001A1836">
              <w:t>Internal</w:t>
            </w:r>
          </w:p>
        </w:tc>
      </w:tr>
      <w:tr w:rsidR="008E344E" w:rsidRPr="001A1836" w14:paraId="75498146" w14:textId="77777777" w:rsidTr="008E344E">
        <w:trPr>
          <w:cantSplit/>
        </w:trPr>
        <w:tc>
          <w:tcPr>
            <w:tcW w:w="5211" w:type="dxa"/>
          </w:tcPr>
          <w:p w14:paraId="268C0459" w14:textId="77777777" w:rsidR="008E344E" w:rsidRPr="001A1836" w:rsidRDefault="008E344E" w:rsidP="008E344E">
            <w:r w:rsidRPr="001A1836">
              <w:t>Advertising opportunities</w:t>
            </w:r>
          </w:p>
        </w:tc>
        <w:tc>
          <w:tcPr>
            <w:tcW w:w="3317" w:type="dxa"/>
          </w:tcPr>
          <w:p w14:paraId="648FA212" w14:textId="77777777" w:rsidR="008E344E" w:rsidRPr="001A1836" w:rsidRDefault="008E344E" w:rsidP="008E344E">
            <w:r w:rsidRPr="001A1836">
              <w:t>Internal</w:t>
            </w:r>
          </w:p>
        </w:tc>
      </w:tr>
      <w:tr w:rsidR="008E344E" w:rsidRPr="001A1836" w14:paraId="06925C2A" w14:textId="77777777" w:rsidTr="008E344E">
        <w:trPr>
          <w:cantSplit/>
        </w:trPr>
        <w:tc>
          <w:tcPr>
            <w:tcW w:w="5211" w:type="dxa"/>
          </w:tcPr>
          <w:p w14:paraId="1FF15A7C" w14:textId="77777777" w:rsidR="008E344E" w:rsidRPr="001A1836" w:rsidRDefault="008E344E" w:rsidP="008E344E">
            <w:r w:rsidRPr="001A1836">
              <w:t>Stakeholder Team Process</w:t>
            </w:r>
          </w:p>
        </w:tc>
        <w:tc>
          <w:tcPr>
            <w:tcW w:w="3317" w:type="dxa"/>
          </w:tcPr>
          <w:p w14:paraId="09290ADC" w14:textId="77777777" w:rsidR="008E344E" w:rsidRPr="001A1836" w:rsidRDefault="008E344E" w:rsidP="008E344E">
            <w:r w:rsidRPr="001A1836">
              <w:t>Internal</w:t>
            </w:r>
          </w:p>
        </w:tc>
      </w:tr>
      <w:tr w:rsidR="008E344E" w:rsidRPr="001A1836" w14:paraId="604C2689" w14:textId="77777777" w:rsidTr="008E344E">
        <w:trPr>
          <w:cantSplit/>
        </w:trPr>
        <w:tc>
          <w:tcPr>
            <w:tcW w:w="5211" w:type="dxa"/>
          </w:tcPr>
          <w:p w14:paraId="37E65A40" w14:textId="77777777" w:rsidR="008E344E" w:rsidRPr="001A1836" w:rsidRDefault="008E344E" w:rsidP="008E344E">
            <w:r w:rsidRPr="001A1836">
              <w:t xml:space="preserve">Stakeholder Events Process </w:t>
            </w:r>
          </w:p>
        </w:tc>
        <w:tc>
          <w:tcPr>
            <w:tcW w:w="3317" w:type="dxa"/>
          </w:tcPr>
          <w:p w14:paraId="1B211C6C" w14:textId="77777777" w:rsidR="008E344E" w:rsidRPr="001A1836" w:rsidRDefault="008E344E" w:rsidP="008E344E">
            <w:r w:rsidRPr="001A1836">
              <w:t>Internal</w:t>
            </w:r>
          </w:p>
        </w:tc>
      </w:tr>
      <w:tr w:rsidR="008E344E" w:rsidRPr="001A1836" w14:paraId="63F555A2" w14:textId="77777777" w:rsidTr="008E344E">
        <w:trPr>
          <w:cantSplit/>
        </w:trPr>
        <w:tc>
          <w:tcPr>
            <w:tcW w:w="5211" w:type="dxa"/>
          </w:tcPr>
          <w:p w14:paraId="646F44A9" w14:textId="77777777" w:rsidR="008E344E" w:rsidRPr="001A1836" w:rsidRDefault="008E344E" w:rsidP="008E344E">
            <w:r w:rsidRPr="001A1836">
              <w:lastRenderedPageBreak/>
              <w:t>Partnership Marketing MOU signed</w:t>
            </w:r>
          </w:p>
        </w:tc>
        <w:tc>
          <w:tcPr>
            <w:tcW w:w="3317" w:type="dxa"/>
          </w:tcPr>
          <w:p w14:paraId="1BAA0101" w14:textId="77777777" w:rsidR="008E344E" w:rsidRPr="001A1836" w:rsidRDefault="008E344E" w:rsidP="008E344E">
            <w:r w:rsidRPr="001A1836">
              <w:t>Internal</w:t>
            </w:r>
          </w:p>
        </w:tc>
      </w:tr>
      <w:tr w:rsidR="008E344E" w:rsidRPr="001A1836" w14:paraId="6F890922" w14:textId="77777777" w:rsidTr="008E344E">
        <w:trPr>
          <w:cantSplit/>
        </w:trPr>
        <w:tc>
          <w:tcPr>
            <w:tcW w:w="5211" w:type="dxa"/>
          </w:tcPr>
          <w:p w14:paraId="55E312A0" w14:textId="77777777" w:rsidR="008E344E" w:rsidRPr="001A1836" w:rsidRDefault="008E344E" w:rsidP="008E344E">
            <w:r w:rsidRPr="001A1836">
              <w:t>Editorial development and content sign-off for RGE magazine</w:t>
            </w:r>
          </w:p>
        </w:tc>
        <w:tc>
          <w:tcPr>
            <w:tcW w:w="3317" w:type="dxa"/>
          </w:tcPr>
          <w:p w14:paraId="034E57C0" w14:textId="77777777" w:rsidR="008E344E" w:rsidRPr="001A1836" w:rsidRDefault="008E344E" w:rsidP="008E344E">
            <w:r w:rsidRPr="001A1836">
              <w:t>Internal</w:t>
            </w:r>
          </w:p>
        </w:tc>
      </w:tr>
      <w:tr w:rsidR="008E344E" w:rsidRPr="001A1836" w14:paraId="14F51FAD" w14:textId="77777777" w:rsidTr="001B6EBC">
        <w:trPr>
          <w:cantSplit/>
        </w:trPr>
        <w:tc>
          <w:tcPr>
            <w:tcW w:w="8528" w:type="dxa"/>
            <w:gridSpan w:val="2"/>
          </w:tcPr>
          <w:p w14:paraId="773059E2" w14:textId="77777777" w:rsidR="008E344E" w:rsidRPr="001A1836" w:rsidRDefault="008E344E" w:rsidP="008E344E">
            <w:pPr>
              <w:rPr>
                <w:b/>
              </w:rPr>
            </w:pPr>
            <w:r w:rsidRPr="001A1836">
              <w:rPr>
                <w:b/>
              </w:rPr>
              <w:t>Technical</w:t>
            </w:r>
          </w:p>
        </w:tc>
      </w:tr>
      <w:tr w:rsidR="008E344E" w:rsidRPr="001A1836" w14:paraId="4E8280E4" w14:textId="77777777" w:rsidTr="008E344E">
        <w:trPr>
          <w:cantSplit/>
        </w:trPr>
        <w:tc>
          <w:tcPr>
            <w:tcW w:w="5211" w:type="dxa"/>
          </w:tcPr>
          <w:p w14:paraId="1ACCEAF8" w14:textId="77777777" w:rsidR="008E344E" w:rsidRPr="001A1836" w:rsidRDefault="008E344E" w:rsidP="008E344E">
            <w:r w:rsidRPr="001A1836">
              <w:t>Process for the involvement of GSR in the development of Industry Standards</w:t>
            </w:r>
          </w:p>
        </w:tc>
        <w:tc>
          <w:tcPr>
            <w:tcW w:w="3317" w:type="dxa"/>
          </w:tcPr>
          <w:p w14:paraId="425EEBA2" w14:textId="77777777" w:rsidR="008E344E" w:rsidRPr="001A1836" w:rsidRDefault="008E344E" w:rsidP="008E344E">
            <w:r w:rsidRPr="001A1836">
              <w:t>Internal</w:t>
            </w:r>
          </w:p>
        </w:tc>
      </w:tr>
      <w:tr w:rsidR="008E344E" w:rsidRPr="001A1836" w14:paraId="12240561" w14:textId="77777777" w:rsidTr="008E344E">
        <w:trPr>
          <w:cantSplit/>
        </w:trPr>
        <w:tc>
          <w:tcPr>
            <w:tcW w:w="5211" w:type="dxa"/>
          </w:tcPr>
          <w:p w14:paraId="7F9778E6" w14:textId="77777777" w:rsidR="008E344E" w:rsidRPr="001A1836" w:rsidRDefault="008E344E" w:rsidP="008E344E">
            <w:r w:rsidRPr="001A1836">
              <w:t xml:space="preserve">Process for the development of Consumer Safety Factsheets </w:t>
            </w:r>
          </w:p>
        </w:tc>
        <w:tc>
          <w:tcPr>
            <w:tcW w:w="3317" w:type="dxa"/>
          </w:tcPr>
          <w:p w14:paraId="71061A18" w14:textId="77777777" w:rsidR="008E344E" w:rsidRPr="001A1836" w:rsidRDefault="008E344E" w:rsidP="008E344E">
            <w:r w:rsidRPr="001A1836">
              <w:t>Internal</w:t>
            </w:r>
          </w:p>
        </w:tc>
      </w:tr>
      <w:tr w:rsidR="008E344E" w:rsidRPr="001A1836" w14:paraId="64250D18" w14:textId="77777777" w:rsidTr="008E344E">
        <w:trPr>
          <w:cantSplit/>
        </w:trPr>
        <w:tc>
          <w:tcPr>
            <w:tcW w:w="5211" w:type="dxa"/>
          </w:tcPr>
          <w:p w14:paraId="0AEF1B0E" w14:textId="77777777" w:rsidR="008E344E" w:rsidRPr="001A1836" w:rsidRDefault="008E344E" w:rsidP="008E344E">
            <w:r w:rsidRPr="001A1836">
              <w:t>Process for the development of GSR Industry Standard Updates</w:t>
            </w:r>
          </w:p>
        </w:tc>
        <w:tc>
          <w:tcPr>
            <w:tcW w:w="3317" w:type="dxa"/>
          </w:tcPr>
          <w:p w14:paraId="11EDA023" w14:textId="77777777" w:rsidR="008E344E" w:rsidRPr="001A1836" w:rsidRDefault="008E344E" w:rsidP="008E344E">
            <w:r w:rsidRPr="001A1836">
              <w:t>Internal</w:t>
            </w:r>
          </w:p>
        </w:tc>
      </w:tr>
      <w:tr w:rsidR="008E344E" w:rsidRPr="001A1836" w14:paraId="2B3A90D8" w14:textId="77777777" w:rsidTr="008E344E">
        <w:trPr>
          <w:cantSplit/>
        </w:trPr>
        <w:tc>
          <w:tcPr>
            <w:tcW w:w="5211" w:type="dxa"/>
          </w:tcPr>
          <w:p w14:paraId="7C743C43" w14:textId="77777777" w:rsidR="008E344E" w:rsidRPr="001A1836" w:rsidRDefault="008E344E" w:rsidP="008E344E">
            <w:r w:rsidRPr="001A1836">
              <w:t>Process for the development of GSR Safety Alerts</w:t>
            </w:r>
          </w:p>
        </w:tc>
        <w:tc>
          <w:tcPr>
            <w:tcW w:w="3317" w:type="dxa"/>
          </w:tcPr>
          <w:p w14:paraId="1238E1C9" w14:textId="77777777" w:rsidR="008E344E" w:rsidRPr="001A1836" w:rsidRDefault="008E344E" w:rsidP="008E344E">
            <w:r w:rsidRPr="001A1836">
              <w:t>Internal</w:t>
            </w:r>
          </w:p>
        </w:tc>
      </w:tr>
      <w:tr w:rsidR="008E344E" w:rsidRPr="001A1836" w14:paraId="6377E4BB" w14:textId="77777777" w:rsidTr="008E344E">
        <w:trPr>
          <w:cantSplit/>
        </w:trPr>
        <w:tc>
          <w:tcPr>
            <w:tcW w:w="5211" w:type="dxa"/>
          </w:tcPr>
          <w:p w14:paraId="00D38A7C" w14:textId="77777777" w:rsidR="008E344E" w:rsidRPr="001A1836" w:rsidRDefault="008E344E" w:rsidP="008E344E">
            <w:r w:rsidRPr="001A1836">
              <w:t>Process for the development of GSR Technical Bulletins</w:t>
            </w:r>
          </w:p>
        </w:tc>
        <w:tc>
          <w:tcPr>
            <w:tcW w:w="3317" w:type="dxa"/>
          </w:tcPr>
          <w:p w14:paraId="4E746C9F" w14:textId="77777777" w:rsidR="008E344E" w:rsidRPr="001A1836" w:rsidRDefault="008E344E" w:rsidP="008E344E">
            <w:r w:rsidRPr="001A1836">
              <w:t>Internal</w:t>
            </w:r>
          </w:p>
        </w:tc>
      </w:tr>
      <w:tr w:rsidR="008E344E" w:rsidRPr="001A1836" w14:paraId="49A807B3" w14:textId="77777777" w:rsidTr="008E344E">
        <w:trPr>
          <w:cantSplit/>
        </w:trPr>
        <w:tc>
          <w:tcPr>
            <w:tcW w:w="5211" w:type="dxa"/>
          </w:tcPr>
          <w:p w14:paraId="098EBE7E" w14:textId="77777777" w:rsidR="008E344E" w:rsidRPr="001A1836" w:rsidRDefault="008E344E" w:rsidP="008E344E">
            <w:r w:rsidRPr="001A1836">
              <w:t>Process for the assessing impact of Technical Bulletins and Safety Alerts on GUISP</w:t>
            </w:r>
          </w:p>
        </w:tc>
        <w:tc>
          <w:tcPr>
            <w:tcW w:w="3317" w:type="dxa"/>
          </w:tcPr>
          <w:p w14:paraId="442E921C" w14:textId="77777777" w:rsidR="008E344E" w:rsidRPr="001A1836" w:rsidRDefault="008E344E" w:rsidP="008E344E">
            <w:r w:rsidRPr="001A1836">
              <w:t>Internal</w:t>
            </w:r>
          </w:p>
        </w:tc>
      </w:tr>
      <w:tr w:rsidR="008E344E" w:rsidRPr="001A1836" w14:paraId="6A312AEE" w14:textId="77777777" w:rsidTr="008E344E">
        <w:trPr>
          <w:cantSplit/>
        </w:trPr>
        <w:tc>
          <w:tcPr>
            <w:tcW w:w="5211" w:type="dxa"/>
          </w:tcPr>
          <w:p w14:paraId="4E3C3B76" w14:textId="77777777" w:rsidR="008E344E" w:rsidRPr="001A1836" w:rsidRDefault="008E344E" w:rsidP="008E344E">
            <w:r w:rsidRPr="001A1836">
              <w:t>Process for the Access to Industry Standards initiative with Industry</w:t>
            </w:r>
          </w:p>
        </w:tc>
        <w:tc>
          <w:tcPr>
            <w:tcW w:w="3317" w:type="dxa"/>
          </w:tcPr>
          <w:p w14:paraId="77C20B1C" w14:textId="77777777" w:rsidR="008E344E" w:rsidRPr="001A1836" w:rsidRDefault="008E344E" w:rsidP="008E344E">
            <w:r w:rsidRPr="001A1836">
              <w:t>Internal</w:t>
            </w:r>
          </w:p>
        </w:tc>
      </w:tr>
      <w:tr w:rsidR="008E344E" w:rsidRPr="001A1836" w14:paraId="5C79AAED" w14:textId="77777777" w:rsidTr="008E344E">
        <w:trPr>
          <w:cantSplit/>
        </w:trPr>
        <w:tc>
          <w:tcPr>
            <w:tcW w:w="5211" w:type="dxa"/>
          </w:tcPr>
          <w:p w14:paraId="7B48CCBE" w14:textId="77777777" w:rsidR="008E344E" w:rsidRPr="001A1836" w:rsidRDefault="008E344E" w:rsidP="008E344E">
            <w:r w:rsidRPr="001A1836">
              <w:t>Process for the development of GSR Normative Document List</w:t>
            </w:r>
          </w:p>
        </w:tc>
        <w:tc>
          <w:tcPr>
            <w:tcW w:w="3317" w:type="dxa"/>
          </w:tcPr>
          <w:p w14:paraId="32E37E86" w14:textId="77777777" w:rsidR="008E344E" w:rsidRPr="001A1836" w:rsidRDefault="008E344E" w:rsidP="008E344E">
            <w:r w:rsidRPr="001A1836">
              <w:t>Internal</w:t>
            </w:r>
          </w:p>
        </w:tc>
      </w:tr>
      <w:tr w:rsidR="008E344E" w:rsidRPr="001A1836" w14:paraId="190C903F" w14:textId="77777777" w:rsidTr="008E344E">
        <w:trPr>
          <w:cantSplit/>
        </w:trPr>
        <w:tc>
          <w:tcPr>
            <w:tcW w:w="5211" w:type="dxa"/>
          </w:tcPr>
          <w:p w14:paraId="429F348B" w14:textId="77777777" w:rsidR="008E344E" w:rsidRPr="001A1836" w:rsidRDefault="008E344E" w:rsidP="008E344E">
            <w:r w:rsidRPr="001A1836">
              <w:t>Functional Technical Guidance</w:t>
            </w:r>
          </w:p>
        </w:tc>
        <w:tc>
          <w:tcPr>
            <w:tcW w:w="3317" w:type="dxa"/>
          </w:tcPr>
          <w:p w14:paraId="70AF884B" w14:textId="77777777" w:rsidR="008E344E" w:rsidRPr="001A1836" w:rsidRDefault="008E344E" w:rsidP="008E344E">
            <w:r w:rsidRPr="001A1836">
              <w:t>Internal &amp; Public</w:t>
            </w:r>
          </w:p>
        </w:tc>
      </w:tr>
      <w:tr w:rsidR="008E344E" w:rsidRPr="001A1836" w14:paraId="1EDE4C1D" w14:textId="77777777" w:rsidTr="001B6EBC">
        <w:trPr>
          <w:cantSplit/>
        </w:trPr>
        <w:tc>
          <w:tcPr>
            <w:tcW w:w="8528" w:type="dxa"/>
            <w:gridSpan w:val="2"/>
          </w:tcPr>
          <w:p w14:paraId="1206830D" w14:textId="77777777" w:rsidR="008E344E" w:rsidRPr="001A1836" w:rsidRDefault="008E344E" w:rsidP="008E344E">
            <w:pPr>
              <w:rPr>
                <w:b/>
              </w:rPr>
            </w:pPr>
            <w:r w:rsidRPr="001A1836">
              <w:rPr>
                <w:b/>
              </w:rPr>
              <w:t>Field operations</w:t>
            </w:r>
          </w:p>
        </w:tc>
      </w:tr>
      <w:tr w:rsidR="008E344E" w:rsidRPr="001A1836" w14:paraId="75AF9DF2" w14:textId="77777777" w:rsidTr="008E344E">
        <w:trPr>
          <w:cantSplit/>
        </w:trPr>
        <w:tc>
          <w:tcPr>
            <w:tcW w:w="5211" w:type="dxa"/>
          </w:tcPr>
          <w:p w14:paraId="511AA576" w14:textId="77777777" w:rsidR="008E344E" w:rsidRPr="001A1836" w:rsidRDefault="008E344E" w:rsidP="008E344E">
            <w:r w:rsidRPr="001A1836">
              <w:t>Scheduling management – data transfer</w:t>
            </w:r>
          </w:p>
        </w:tc>
        <w:tc>
          <w:tcPr>
            <w:tcW w:w="3317" w:type="dxa"/>
          </w:tcPr>
          <w:p w14:paraId="064A912A" w14:textId="77777777" w:rsidR="008E344E" w:rsidRPr="001A1836" w:rsidRDefault="008E344E" w:rsidP="008E344E">
            <w:r w:rsidRPr="001A1836">
              <w:t>Internal</w:t>
            </w:r>
          </w:p>
        </w:tc>
      </w:tr>
      <w:tr w:rsidR="008E344E" w:rsidRPr="001A1836" w14:paraId="5DE690C7" w14:textId="77777777" w:rsidTr="008E344E">
        <w:trPr>
          <w:cantSplit/>
        </w:trPr>
        <w:tc>
          <w:tcPr>
            <w:tcW w:w="5211" w:type="dxa"/>
          </w:tcPr>
          <w:p w14:paraId="6D4B34C3" w14:textId="77777777" w:rsidR="008E344E" w:rsidRPr="001A1836" w:rsidRDefault="008E344E" w:rsidP="008E344E">
            <w:r w:rsidRPr="001A1836">
              <w:t>Risk/data modelling &amp; change control log</w:t>
            </w:r>
          </w:p>
        </w:tc>
        <w:tc>
          <w:tcPr>
            <w:tcW w:w="3317" w:type="dxa"/>
          </w:tcPr>
          <w:p w14:paraId="793413BF" w14:textId="77777777" w:rsidR="008E344E" w:rsidRPr="001A1836" w:rsidRDefault="008E344E" w:rsidP="008E344E">
            <w:r w:rsidRPr="001A1836">
              <w:t>Internal</w:t>
            </w:r>
          </w:p>
        </w:tc>
      </w:tr>
      <w:tr w:rsidR="008E344E" w:rsidRPr="001A1836" w14:paraId="7619DA2A" w14:textId="77777777" w:rsidTr="008E344E">
        <w:trPr>
          <w:cantSplit/>
        </w:trPr>
        <w:tc>
          <w:tcPr>
            <w:tcW w:w="5211" w:type="dxa"/>
          </w:tcPr>
          <w:p w14:paraId="714D0F03" w14:textId="77777777" w:rsidR="008E344E" w:rsidRPr="001A1836" w:rsidRDefault="008E344E" w:rsidP="008E344E">
            <w:r w:rsidRPr="001A1836">
              <w:t>Field Operation Manual</w:t>
            </w:r>
          </w:p>
        </w:tc>
        <w:tc>
          <w:tcPr>
            <w:tcW w:w="3317" w:type="dxa"/>
          </w:tcPr>
          <w:p w14:paraId="3445D56F" w14:textId="77777777" w:rsidR="008E344E" w:rsidRPr="001A1836" w:rsidRDefault="008E344E" w:rsidP="008E344E">
            <w:r w:rsidRPr="001A1836">
              <w:t>Internal</w:t>
            </w:r>
          </w:p>
        </w:tc>
      </w:tr>
      <w:tr w:rsidR="008E344E" w:rsidRPr="001A1836" w14:paraId="172E950E" w14:textId="77777777" w:rsidTr="008E344E">
        <w:trPr>
          <w:cantSplit/>
        </w:trPr>
        <w:tc>
          <w:tcPr>
            <w:tcW w:w="5211" w:type="dxa"/>
          </w:tcPr>
          <w:p w14:paraId="58D36B1A" w14:textId="77777777" w:rsidR="008E344E" w:rsidRPr="001A1836" w:rsidRDefault="008E344E" w:rsidP="008E344E">
            <w:r w:rsidRPr="001A1836">
              <w:t xml:space="preserve">Unregistered investigation </w:t>
            </w:r>
          </w:p>
        </w:tc>
        <w:tc>
          <w:tcPr>
            <w:tcW w:w="3317" w:type="dxa"/>
          </w:tcPr>
          <w:p w14:paraId="41C0A960" w14:textId="77777777" w:rsidR="008E344E" w:rsidRPr="001A1836" w:rsidRDefault="008E344E" w:rsidP="008E344E">
            <w:r w:rsidRPr="001A1836">
              <w:t>Internal</w:t>
            </w:r>
          </w:p>
        </w:tc>
      </w:tr>
      <w:tr w:rsidR="008E344E" w:rsidRPr="001A1836" w14:paraId="68E169E8" w14:textId="77777777" w:rsidTr="008E344E">
        <w:trPr>
          <w:cantSplit/>
        </w:trPr>
        <w:tc>
          <w:tcPr>
            <w:tcW w:w="5211" w:type="dxa"/>
          </w:tcPr>
          <w:p w14:paraId="7118F101" w14:textId="77777777" w:rsidR="008E344E" w:rsidRPr="001A1836" w:rsidRDefault="008E344E" w:rsidP="008E344E">
            <w:r w:rsidRPr="001A1836">
              <w:t>Unregistered investigation – Appendix 1 – Electronic notes taken on site</w:t>
            </w:r>
          </w:p>
        </w:tc>
        <w:tc>
          <w:tcPr>
            <w:tcW w:w="3317" w:type="dxa"/>
          </w:tcPr>
          <w:p w14:paraId="64E2B909" w14:textId="77777777" w:rsidR="008E344E" w:rsidRPr="001A1836" w:rsidRDefault="008E344E" w:rsidP="008E344E">
            <w:r w:rsidRPr="001A1836">
              <w:t>Internal</w:t>
            </w:r>
          </w:p>
        </w:tc>
      </w:tr>
      <w:tr w:rsidR="008E344E" w:rsidRPr="001A1836" w14:paraId="6A25A903" w14:textId="77777777" w:rsidTr="008E344E">
        <w:trPr>
          <w:cantSplit/>
        </w:trPr>
        <w:tc>
          <w:tcPr>
            <w:tcW w:w="5211" w:type="dxa"/>
          </w:tcPr>
          <w:p w14:paraId="2AA8C8BE" w14:textId="77777777" w:rsidR="008E344E" w:rsidRPr="001A1836" w:rsidRDefault="008E344E" w:rsidP="008E344E">
            <w:r w:rsidRPr="001A1836">
              <w:t>Unregistered investigation – Appendices 2 and 3 – Handwritten notes</w:t>
            </w:r>
          </w:p>
        </w:tc>
        <w:tc>
          <w:tcPr>
            <w:tcW w:w="3317" w:type="dxa"/>
          </w:tcPr>
          <w:p w14:paraId="2829E43C" w14:textId="77777777" w:rsidR="008E344E" w:rsidRPr="001A1836" w:rsidRDefault="008E344E" w:rsidP="008E344E">
            <w:r w:rsidRPr="001A1836">
              <w:t>Internal</w:t>
            </w:r>
          </w:p>
        </w:tc>
      </w:tr>
      <w:tr w:rsidR="008E344E" w:rsidRPr="001A1836" w14:paraId="7EEAF6AF" w14:textId="77777777" w:rsidTr="008E344E">
        <w:trPr>
          <w:cantSplit/>
        </w:trPr>
        <w:tc>
          <w:tcPr>
            <w:tcW w:w="5211" w:type="dxa"/>
          </w:tcPr>
          <w:p w14:paraId="41D1C26A" w14:textId="77777777" w:rsidR="008E344E" w:rsidRPr="001A1836" w:rsidRDefault="008E344E" w:rsidP="008E344E">
            <w:r w:rsidRPr="001A1836">
              <w:t>Unregistered investigation – Appendix 4 – Administration support</w:t>
            </w:r>
          </w:p>
        </w:tc>
        <w:tc>
          <w:tcPr>
            <w:tcW w:w="3317" w:type="dxa"/>
          </w:tcPr>
          <w:p w14:paraId="271C2CAF" w14:textId="77777777" w:rsidR="008E344E" w:rsidRPr="001A1836" w:rsidRDefault="008E344E" w:rsidP="008E344E">
            <w:r w:rsidRPr="001A1836">
              <w:t>Internal</w:t>
            </w:r>
          </w:p>
        </w:tc>
      </w:tr>
      <w:tr w:rsidR="008E344E" w:rsidRPr="001A1836" w14:paraId="60CDF5C2" w14:textId="77777777" w:rsidTr="008E344E">
        <w:trPr>
          <w:cantSplit/>
        </w:trPr>
        <w:tc>
          <w:tcPr>
            <w:tcW w:w="5211" w:type="dxa"/>
          </w:tcPr>
          <w:p w14:paraId="170691DC" w14:textId="77777777" w:rsidR="008E344E" w:rsidRPr="001A1836" w:rsidRDefault="008E344E" w:rsidP="008E344E">
            <w:r w:rsidRPr="001A1836">
              <w:t>Carbon monoxide &amp; fire and explosion incident investigation</w:t>
            </w:r>
          </w:p>
        </w:tc>
        <w:tc>
          <w:tcPr>
            <w:tcW w:w="3317" w:type="dxa"/>
          </w:tcPr>
          <w:p w14:paraId="7216692E" w14:textId="77777777" w:rsidR="008E344E" w:rsidRPr="001A1836" w:rsidRDefault="008E344E" w:rsidP="008E344E">
            <w:r w:rsidRPr="001A1836">
              <w:t>Internal</w:t>
            </w:r>
          </w:p>
        </w:tc>
      </w:tr>
      <w:tr w:rsidR="008E344E" w:rsidRPr="001A1836" w14:paraId="3B2CCA69" w14:textId="77777777" w:rsidTr="008E344E">
        <w:trPr>
          <w:cantSplit/>
        </w:trPr>
        <w:tc>
          <w:tcPr>
            <w:tcW w:w="5211" w:type="dxa"/>
          </w:tcPr>
          <w:p w14:paraId="5859EA9E" w14:textId="77777777" w:rsidR="008E344E" w:rsidRPr="001A1836" w:rsidRDefault="008E344E" w:rsidP="008E344E">
            <w:r w:rsidRPr="001A1836">
              <w:t>Asbestos awareness</w:t>
            </w:r>
          </w:p>
        </w:tc>
        <w:tc>
          <w:tcPr>
            <w:tcW w:w="3317" w:type="dxa"/>
          </w:tcPr>
          <w:p w14:paraId="0C8A92C2" w14:textId="77777777" w:rsidR="008E344E" w:rsidRPr="001A1836" w:rsidRDefault="008E344E" w:rsidP="008E344E">
            <w:r w:rsidRPr="001A1836">
              <w:t>Internal</w:t>
            </w:r>
          </w:p>
        </w:tc>
      </w:tr>
      <w:tr w:rsidR="008E344E" w:rsidRPr="001A1836" w14:paraId="6290BC5C" w14:textId="77777777" w:rsidTr="008E344E">
        <w:trPr>
          <w:cantSplit/>
        </w:trPr>
        <w:tc>
          <w:tcPr>
            <w:tcW w:w="5211" w:type="dxa"/>
          </w:tcPr>
          <w:p w14:paraId="405DDEE2" w14:textId="77777777" w:rsidR="008E344E" w:rsidRPr="001A1836" w:rsidRDefault="008E344E" w:rsidP="008E344E">
            <w:r w:rsidRPr="001A1836">
              <w:t>Unregistered investigation defect phrases</w:t>
            </w:r>
          </w:p>
        </w:tc>
        <w:tc>
          <w:tcPr>
            <w:tcW w:w="3317" w:type="dxa"/>
          </w:tcPr>
          <w:p w14:paraId="6C3C5B8A" w14:textId="77777777" w:rsidR="008E344E" w:rsidRPr="001A1836" w:rsidRDefault="008E344E" w:rsidP="008E344E">
            <w:r w:rsidRPr="001A1836">
              <w:t>Internal</w:t>
            </w:r>
          </w:p>
        </w:tc>
      </w:tr>
      <w:tr w:rsidR="008E344E" w:rsidRPr="001A1836" w14:paraId="1E7ADF6D" w14:textId="77777777" w:rsidTr="008E344E">
        <w:trPr>
          <w:cantSplit/>
        </w:trPr>
        <w:tc>
          <w:tcPr>
            <w:tcW w:w="5211" w:type="dxa"/>
          </w:tcPr>
          <w:p w14:paraId="6596FFBE" w14:textId="77777777" w:rsidR="008E344E" w:rsidRPr="001A1836" w:rsidRDefault="008E344E" w:rsidP="008E344E">
            <w:r w:rsidRPr="001A1836">
              <w:t>Request for service</w:t>
            </w:r>
          </w:p>
        </w:tc>
        <w:tc>
          <w:tcPr>
            <w:tcW w:w="3317" w:type="dxa"/>
          </w:tcPr>
          <w:p w14:paraId="6CDE128F" w14:textId="77777777" w:rsidR="008E344E" w:rsidRPr="001A1836" w:rsidRDefault="008E344E" w:rsidP="008E344E">
            <w:r w:rsidRPr="001A1836">
              <w:t>Internal</w:t>
            </w:r>
          </w:p>
        </w:tc>
      </w:tr>
      <w:tr w:rsidR="008E344E" w:rsidRPr="001A1836" w14:paraId="0A7E9358" w14:textId="77777777" w:rsidTr="008E344E">
        <w:trPr>
          <w:cantSplit/>
        </w:trPr>
        <w:tc>
          <w:tcPr>
            <w:tcW w:w="5211" w:type="dxa"/>
          </w:tcPr>
          <w:p w14:paraId="6ADA2C97" w14:textId="77777777" w:rsidR="008E344E" w:rsidRPr="001A1836" w:rsidRDefault="008E344E" w:rsidP="008E344E">
            <w:r w:rsidRPr="001A1836">
              <w:t>Quality Field System (QFS)</w:t>
            </w:r>
          </w:p>
        </w:tc>
        <w:tc>
          <w:tcPr>
            <w:tcW w:w="3317" w:type="dxa"/>
          </w:tcPr>
          <w:p w14:paraId="4EED8E72" w14:textId="77777777" w:rsidR="008E344E" w:rsidRPr="001A1836" w:rsidRDefault="008E344E" w:rsidP="008E344E">
            <w:r w:rsidRPr="001A1836">
              <w:t>Internal</w:t>
            </w:r>
          </w:p>
        </w:tc>
      </w:tr>
      <w:tr w:rsidR="008E344E" w:rsidRPr="001A1836" w14:paraId="2F5E83FE" w14:textId="77777777" w:rsidTr="008E344E">
        <w:trPr>
          <w:cantSplit/>
        </w:trPr>
        <w:tc>
          <w:tcPr>
            <w:tcW w:w="5211" w:type="dxa"/>
          </w:tcPr>
          <w:p w14:paraId="34E747F9" w14:textId="77777777" w:rsidR="008E344E" w:rsidRPr="001A1836" w:rsidRDefault="008E344E" w:rsidP="008E344E">
            <w:r w:rsidRPr="001A1836">
              <w:t>Field inspector – Safety Health and Environment Guide</w:t>
            </w:r>
          </w:p>
        </w:tc>
        <w:tc>
          <w:tcPr>
            <w:tcW w:w="3317" w:type="dxa"/>
          </w:tcPr>
          <w:p w14:paraId="27C0ED5B" w14:textId="77777777" w:rsidR="008E344E" w:rsidRPr="001A1836" w:rsidRDefault="008E344E" w:rsidP="008E344E">
            <w:r w:rsidRPr="001A1836">
              <w:t>Internal</w:t>
            </w:r>
          </w:p>
        </w:tc>
      </w:tr>
    </w:tbl>
    <w:p w14:paraId="57FA6922" w14:textId="77777777" w:rsidR="008E344E" w:rsidRPr="001A1836" w:rsidRDefault="008E344E" w:rsidP="008E344E"/>
    <w:p w14:paraId="3CA03098" w14:textId="77777777" w:rsidR="008E344E" w:rsidRPr="001A1836" w:rsidRDefault="008E344E" w:rsidP="008E344E"/>
    <w:p w14:paraId="6874F8A1" w14:textId="77777777" w:rsidR="008E344E" w:rsidRPr="001A1836" w:rsidRDefault="008E344E">
      <w:pPr>
        <w:rPr>
          <w:b/>
        </w:rPr>
      </w:pPr>
      <w:r w:rsidRPr="001A1836">
        <w:rPr>
          <w:b/>
        </w:rPr>
        <w:br w:type="page"/>
      </w:r>
    </w:p>
    <w:p w14:paraId="3269E791" w14:textId="0E1473AD" w:rsidR="00C846A0" w:rsidRDefault="008E344E" w:rsidP="008E344E">
      <w:r w:rsidRPr="001A1836">
        <w:rPr>
          <w:b/>
        </w:rPr>
        <w:lastRenderedPageBreak/>
        <w:t xml:space="preserve">Table 4 </w:t>
      </w:r>
      <w:r w:rsidRPr="001A1836">
        <w:t>Assets 4.2: Domain names and 4.3: Telephone numbers</w:t>
      </w:r>
    </w:p>
    <w:p w14:paraId="6A732847" w14:textId="4D362D05" w:rsidR="008E344E" w:rsidRPr="001A1836" w:rsidRDefault="008E344E" w:rsidP="008E344E"/>
    <w:p w14:paraId="5EDD2C4B" w14:textId="77777777" w:rsidR="008E344E" w:rsidRPr="001A1836" w:rsidRDefault="008E344E" w:rsidP="008E344E"/>
    <w:tbl>
      <w:tblPr>
        <w:tblStyle w:val="TableGrid"/>
        <w:tblW w:w="0" w:type="auto"/>
        <w:tblLook w:val="04A0" w:firstRow="1" w:lastRow="0" w:firstColumn="1" w:lastColumn="0" w:noHBand="0" w:noVBand="1"/>
      </w:tblPr>
      <w:tblGrid>
        <w:gridCol w:w="3085"/>
        <w:gridCol w:w="5443"/>
      </w:tblGrid>
      <w:tr w:rsidR="008E344E" w:rsidRPr="001A1836" w14:paraId="3F3C9064" w14:textId="77777777" w:rsidTr="008E344E">
        <w:trPr>
          <w:cantSplit/>
          <w:tblHeader/>
        </w:trPr>
        <w:tc>
          <w:tcPr>
            <w:tcW w:w="3085" w:type="dxa"/>
          </w:tcPr>
          <w:p w14:paraId="65F926CA" w14:textId="77777777" w:rsidR="008E344E" w:rsidRPr="001A1836" w:rsidRDefault="008E344E" w:rsidP="008E344E">
            <w:pPr>
              <w:rPr>
                <w:rFonts w:cs="Arial"/>
                <w:b/>
              </w:rPr>
            </w:pPr>
            <w:r w:rsidRPr="001A1836">
              <w:rPr>
                <w:rFonts w:cs="Arial"/>
                <w:b/>
              </w:rPr>
              <w:t>Type</w:t>
            </w:r>
          </w:p>
        </w:tc>
        <w:tc>
          <w:tcPr>
            <w:tcW w:w="5443" w:type="dxa"/>
          </w:tcPr>
          <w:p w14:paraId="225202A7" w14:textId="77777777" w:rsidR="008E344E" w:rsidRPr="001A1836" w:rsidRDefault="008E344E" w:rsidP="008E344E">
            <w:pPr>
              <w:rPr>
                <w:rFonts w:cs="Arial"/>
                <w:b/>
              </w:rPr>
            </w:pPr>
            <w:r w:rsidRPr="001A1836">
              <w:rPr>
                <w:rFonts w:cs="Arial"/>
                <w:b/>
              </w:rPr>
              <w:t>url / number</w:t>
            </w:r>
          </w:p>
        </w:tc>
      </w:tr>
      <w:tr w:rsidR="008E344E" w:rsidRPr="001A1836" w14:paraId="1EF984C5" w14:textId="77777777" w:rsidTr="008E344E">
        <w:trPr>
          <w:cantSplit/>
        </w:trPr>
        <w:tc>
          <w:tcPr>
            <w:tcW w:w="3085" w:type="dxa"/>
          </w:tcPr>
          <w:p w14:paraId="117C305C" w14:textId="77777777" w:rsidR="008E344E" w:rsidRPr="001A1836" w:rsidRDefault="008E344E" w:rsidP="008E344E">
            <w:pPr>
              <w:rPr>
                <w:rFonts w:cs="Arial"/>
              </w:rPr>
            </w:pPr>
            <w:r w:rsidRPr="001A1836">
              <w:rPr>
                <w:rFonts w:cs="Arial"/>
              </w:rPr>
              <w:t>Website</w:t>
            </w:r>
          </w:p>
        </w:tc>
        <w:tc>
          <w:tcPr>
            <w:tcW w:w="5443" w:type="dxa"/>
          </w:tcPr>
          <w:p w14:paraId="6457FFB4" w14:textId="77777777" w:rsidR="008E344E" w:rsidRPr="001A1836" w:rsidRDefault="008E344E" w:rsidP="008E344E">
            <w:pPr>
              <w:rPr>
                <w:rFonts w:cs="Arial"/>
              </w:rPr>
            </w:pPr>
            <w:r w:rsidRPr="001A1836">
              <w:rPr>
                <w:rFonts w:cs="Arial"/>
              </w:rPr>
              <w:t>www.GasSafeRegister.co.uk</w:t>
            </w:r>
          </w:p>
        </w:tc>
      </w:tr>
      <w:tr w:rsidR="008E344E" w:rsidRPr="001A1836" w14:paraId="0BE06A18" w14:textId="77777777" w:rsidTr="008E344E">
        <w:trPr>
          <w:cantSplit/>
        </w:trPr>
        <w:tc>
          <w:tcPr>
            <w:tcW w:w="3085" w:type="dxa"/>
          </w:tcPr>
          <w:p w14:paraId="65672E04" w14:textId="77777777" w:rsidR="008E344E" w:rsidRPr="001A1836" w:rsidRDefault="008E344E" w:rsidP="008E344E">
            <w:pPr>
              <w:rPr>
                <w:rFonts w:cs="Arial"/>
              </w:rPr>
            </w:pPr>
            <w:r w:rsidRPr="001A1836">
              <w:rPr>
                <w:rFonts w:cs="Arial"/>
              </w:rPr>
              <w:t>Website</w:t>
            </w:r>
          </w:p>
        </w:tc>
        <w:tc>
          <w:tcPr>
            <w:tcW w:w="5443" w:type="dxa"/>
          </w:tcPr>
          <w:p w14:paraId="425D2EFD" w14:textId="77777777" w:rsidR="008E344E" w:rsidRPr="001A1836" w:rsidRDefault="008E344E" w:rsidP="008E344E">
            <w:pPr>
              <w:rPr>
                <w:rFonts w:cs="Arial"/>
              </w:rPr>
            </w:pPr>
            <w:r w:rsidRPr="001A1836">
              <w:rPr>
                <w:rFonts w:cs="Arial"/>
              </w:rPr>
              <w:t>www.GasSafetyWeek.co.uk</w:t>
            </w:r>
          </w:p>
        </w:tc>
      </w:tr>
      <w:tr w:rsidR="008E344E" w:rsidRPr="001A1836" w14:paraId="18A021FA" w14:textId="77777777" w:rsidTr="008E344E">
        <w:trPr>
          <w:cantSplit/>
        </w:trPr>
        <w:tc>
          <w:tcPr>
            <w:tcW w:w="3085" w:type="dxa"/>
          </w:tcPr>
          <w:p w14:paraId="3B52C774" w14:textId="77777777" w:rsidR="008E344E" w:rsidRPr="001A1836" w:rsidRDefault="008E344E" w:rsidP="008E344E">
            <w:pPr>
              <w:rPr>
                <w:rFonts w:cs="Arial"/>
              </w:rPr>
            </w:pPr>
            <w:r w:rsidRPr="001A1836">
              <w:rPr>
                <w:rFonts w:cs="Arial"/>
              </w:rPr>
              <w:t>Website</w:t>
            </w:r>
          </w:p>
        </w:tc>
        <w:tc>
          <w:tcPr>
            <w:tcW w:w="5443" w:type="dxa"/>
          </w:tcPr>
          <w:p w14:paraId="71BA7179" w14:textId="77777777" w:rsidR="008E344E" w:rsidRPr="001A1836" w:rsidRDefault="008E344E" w:rsidP="008E344E">
            <w:pPr>
              <w:rPr>
                <w:rFonts w:cs="Arial"/>
              </w:rPr>
            </w:pPr>
            <w:r w:rsidRPr="001A1836">
              <w:rPr>
                <w:rFonts w:cs="Arial"/>
              </w:rPr>
              <w:t>www.staygassafe.co.uk</w:t>
            </w:r>
          </w:p>
        </w:tc>
      </w:tr>
      <w:tr w:rsidR="008E344E" w:rsidRPr="001A1836" w14:paraId="6AC0759A" w14:textId="77777777" w:rsidTr="008E344E">
        <w:trPr>
          <w:cantSplit/>
        </w:trPr>
        <w:tc>
          <w:tcPr>
            <w:tcW w:w="3085" w:type="dxa"/>
          </w:tcPr>
          <w:p w14:paraId="52442067" w14:textId="77777777" w:rsidR="008E344E" w:rsidRPr="001A1836" w:rsidRDefault="008E344E" w:rsidP="008E344E">
            <w:pPr>
              <w:rPr>
                <w:rFonts w:cs="Arial"/>
              </w:rPr>
            </w:pPr>
            <w:r w:rsidRPr="001A1836">
              <w:rPr>
                <w:rFonts w:cs="Arial"/>
              </w:rPr>
              <w:t>Website</w:t>
            </w:r>
          </w:p>
        </w:tc>
        <w:tc>
          <w:tcPr>
            <w:tcW w:w="5443" w:type="dxa"/>
          </w:tcPr>
          <w:p w14:paraId="1A9BEC2F" w14:textId="77777777" w:rsidR="008E344E" w:rsidRPr="001A1836" w:rsidRDefault="008E344E" w:rsidP="008E344E">
            <w:pPr>
              <w:rPr>
                <w:rFonts w:cs="Arial"/>
              </w:rPr>
            </w:pPr>
            <w:r w:rsidRPr="001A1836">
              <w:rPr>
                <w:rFonts w:cs="Arial"/>
              </w:rPr>
              <w:t xml:space="preserve">www.silentkillermovie.com </w:t>
            </w:r>
          </w:p>
        </w:tc>
      </w:tr>
      <w:tr w:rsidR="00497671" w:rsidRPr="001A1836" w14:paraId="1B8FAAD8" w14:textId="77777777" w:rsidTr="008E344E">
        <w:trPr>
          <w:cantSplit/>
        </w:trPr>
        <w:tc>
          <w:tcPr>
            <w:tcW w:w="3085" w:type="dxa"/>
          </w:tcPr>
          <w:p w14:paraId="5FA5B77C" w14:textId="49DA85AC" w:rsidR="00497671" w:rsidRPr="001A1836" w:rsidRDefault="00497671" w:rsidP="008E344E">
            <w:pPr>
              <w:rPr>
                <w:rFonts w:cs="Arial"/>
              </w:rPr>
            </w:pPr>
            <w:r w:rsidRPr="001A1836">
              <w:rPr>
                <w:rFonts w:cs="Arial"/>
              </w:rPr>
              <w:t>Website</w:t>
            </w:r>
          </w:p>
        </w:tc>
        <w:tc>
          <w:tcPr>
            <w:tcW w:w="5443" w:type="dxa"/>
          </w:tcPr>
          <w:p w14:paraId="737CF353" w14:textId="74F9A17A" w:rsidR="00497671" w:rsidRPr="001A1836" w:rsidRDefault="00497671" w:rsidP="008E344E">
            <w:pPr>
              <w:rPr>
                <w:rFonts w:cs="Arial"/>
              </w:rPr>
            </w:pPr>
            <w:r>
              <w:rPr>
                <w:rFonts w:cs="Arial"/>
              </w:rPr>
              <w:t>www.</w:t>
            </w:r>
            <w:r w:rsidRPr="00ED68B9">
              <w:rPr>
                <w:rFonts w:cs="Arial"/>
              </w:rPr>
              <w:t>silentkillermovie.co.uk</w:t>
            </w:r>
          </w:p>
        </w:tc>
      </w:tr>
      <w:tr w:rsidR="008E344E" w:rsidRPr="001A1836" w14:paraId="10381B0D" w14:textId="77777777" w:rsidTr="008E344E">
        <w:trPr>
          <w:cantSplit/>
        </w:trPr>
        <w:tc>
          <w:tcPr>
            <w:tcW w:w="3085" w:type="dxa"/>
          </w:tcPr>
          <w:p w14:paraId="746C8D6D" w14:textId="77777777" w:rsidR="008E344E" w:rsidRPr="001A1836" w:rsidRDefault="008E344E" w:rsidP="008E344E">
            <w:pPr>
              <w:rPr>
                <w:rFonts w:cs="Arial"/>
              </w:rPr>
            </w:pPr>
            <w:r w:rsidRPr="001A1836">
              <w:rPr>
                <w:rFonts w:cs="Arial"/>
              </w:rPr>
              <w:t>Website</w:t>
            </w:r>
          </w:p>
        </w:tc>
        <w:tc>
          <w:tcPr>
            <w:tcW w:w="5443" w:type="dxa"/>
          </w:tcPr>
          <w:p w14:paraId="037A91CD" w14:textId="77777777" w:rsidR="008E344E" w:rsidRPr="001A1836" w:rsidRDefault="008E344E" w:rsidP="008E344E">
            <w:pPr>
              <w:rPr>
                <w:rFonts w:cs="Arial"/>
              </w:rPr>
            </w:pPr>
            <w:r w:rsidRPr="001A1836">
              <w:rPr>
                <w:rFonts w:cs="Arial"/>
              </w:rPr>
              <w:t xml:space="preserve">www.silentkiller.co.uk </w:t>
            </w:r>
          </w:p>
        </w:tc>
      </w:tr>
      <w:tr w:rsidR="00ED68B9" w:rsidRPr="001A1836" w14:paraId="176BBD4D" w14:textId="77777777" w:rsidTr="008E344E">
        <w:trPr>
          <w:cantSplit/>
        </w:trPr>
        <w:tc>
          <w:tcPr>
            <w:tcW w:w="3085" w:type="dxa"/>
          </w:tcPr>
          <w:p w14:paraId="2E668D13" w14:textId="42EEC725" w:rsidR="00ED68B9" w:rsidRPr="001A1836" w:rsidRDefault="00497671" w:rsidP="008E344E">
            <w:pPr>
              <w:rPr>
                <w:rFonts w:cs="Arial"/>
              </w:rPr>
            </w:pPr>
            <w:r w:rsidRPr="001A1836">
              <w:rPr>
                <w:rFonts w:cs="Arial"/>
              </w:rPr>
              <w:t>Website</w:t>
            </w:r>
          </w:p>
        </w:tc>
        <w:tc>
          <w:tcPr>
            <w:tcW w:w="5443" w:type="dxa"/>
          </w:tcPr>
          <w:p w14:paraId="2F3ECDD9" w14:textId="2AFF6C5C" w:rsidR="00ED68B9" w:rsidRPr="001A1836" w:rsidRDefault="00497671" w:rsidP="00497671">
            <w:pPr>
              <w:rPr>
                <w:rFonts w:cs="Arial"/>
              </w:rPr>
            </w:pPr>
            <w:r>
              <w:rPr>
                <w:rFonts w:cs="Arial"/>
              </w:rPr>
              <w:t>www.</w:t>
            </w:r>
            <w:r w:rsidR="00ED68B9" w:rsidRPr="00ED68B9">
              <w:rPr>
                <w:rFonts w:cs="Arial"/>
              </w:rPr>
              <w:t>silent-killer.co.uk</w:t>
            </w:r>
          </w:p>
        </w:tc>
      </w:tr>
      <w:tr w:rsidR="008E344E" w:rsidRPr="001A1836" w14:paraId="4B655606" w14:textId="77777777" w:rsidTr="008E344E">
        <w:trPr>
          <w:cantSplit/>
        </w:trPr>
        <w:tc>
          <w:tcPr>
            <w:tcW w:w="3085" w:type="dxa"/>
          </w:tcPr>
          <w:p w14:paraId="53727054" w14:textId="77777777" w:rsidR="008E344E" w:rsidRPr="001A1836" w:rsidRDefault="008E344E" w:rsidP="008E344E">
            <w:pPr>
              <w:rPr>
                <w:rFonts w:cs="Arial"/>
              </w:rPr>
            </w:pPr>
            <w:r w:rsidRPr="001A1836">
              <w:rPr>
                <w:rFonts w:cs="Arial"/>
              </w:rPr>
              <w:t>Social media account</w:t>
            </w:r>
          </w:p>
        </w:tc>
        <w:tc>
          <w:tcPr>
            <w:tcW w:w="5443" w:type="dxa"/>
          </w:tcPr>
          <w:p w14:paraId="684C1F9A" w14:textId="77777777" w:rsidR="008E344E" w:rsidRPr="001A1836" w:rsidRDefault="008E344E" w:rsidP="008E344E">
            <w:pPr>
              <w:rPr>
                <w:rFonts w:cs="Arial"/>
              </w:rPr>
            </w:pPr>
            <w:r w:rsidRPr="001A1836">
              <w:rPr>
                <w:rFonts w:cs="Arial"/>
              </w:rPr>
              <w:t xml:space="preserve">www.facebook.com/gassaferegister   </w:t>
            </w:r>
          </w:p>
        </w:tc>
      </w:tr>
      <w:tr w:rsidR="008E344E" w:rsidRPr="001A1836" w14:paraId="6616EC4D" w14:textId="77777777" w:rsidTr="008E344E">
        <w:trPr>
          <w:cantSplit/>
        </w:trPr>
        <w:tc>
          <w:tcPr>
            <w:tcW w:w="3085" w:type="dxa"/>
          </w:tcPr>
          <w:p w14:paraId="09A2006C" w14:textId="77777777" w:rsidR="008E344E" w:rsidRPr="001A1836" w:rsidRDefault="008E344E" w:rsidP="008E344E">
            <w:pPr>
              <w:rPr>
                <w:rFonts w:cs="Arial"/>
              </w:rPr>
            </w:pPr>
            <w:r w:rsidRPr="001A1836">
              <w:rPr>
                <w:rFonts w:cs="Arial"/>
              </w:rPr>
              <w:t>Social media account</w:t>
            </w:r>
          </w:p>
        </w:tc>
        <w:tc>
          <w:tcPr>
            <w:tcW w:w="5443" w:type="dxa"/>
          </w:tcPr>
          <w:p w14:paraId="26F6D35A" w14:textId="360EFB27" w:rsidR="008E344E" w:rsidRPr="001A1836" w:rsidRDefault="00247876" w:rsidP="008E344E">
            <w:pPr>
              <w:rPr>
                <w:rFonts w:cs="Arial"/>
              </w:rPr>
            </w:pPr>
            <w:hyperlink r:id="rId42" w:history="1">
              <w:r w:rsidR="00C1229D" w:rsidRPr="00C716A7">
                <w:rPr>
                  <w:rStyle w:val="Hyperlink"/>
                  <w:rFonts w:cs="Arial"/>
                </w:rPr>
                <w:t>www.twitter.com/gassaferegister</w:t>
              </w:r>
            </w:hyperlink>
          </w:p>
        </w:tc>
      </w:tr>
      <w:tr w:rsidR="008E344E" w:rsidRPr="001A1836" w14:paraId="380E28A4" w14:textId="77777777" w:rsidTr="008E344E">
        <w:trPr>
          <w:cantSplit/>
        </w:trPr>
        <w:tc>
          <w:tcPr>
            <w:tcW w:w="3085" w:type="dxa"/>
          </w:tcPr>
          <w:p w14:paraId="18742030" w14:textId="77777777" w:rsidR="008E344E" w:rsidRPr="001A1836" w:rsidRDefault="008E344E" w:rsidP="008E344E">
            <w:pPr>
              <w:rPr>
                <w:rFonts w:cs="Arial"/>
              </w:rPr>
            </w:pPr>
            <w:r w:rsidRPr="001A1836">
              <w:rPr>
                <w:rFonts w:cs="Arial"/>
              </w:rPr>
              <w:t>Social media account</w:t>
            </w:r>
          </w:p>
        </w:tc>
        <w:tc>
          <w:tcPr>
            <w:tcW w:w="5443" w:type="dxa"/>
          </w:tcPr>
          <w:p w14:paraId="3A039F97" w14:textId="77C5CD39" w:rsidR="008E344E" w:rsidRPr="001A1836" w:rsidRDefault="00247876" w:rsidP="008E344E">
            <w:pPr>
              <w:rPr>
                <w:rFonts w:cs="Arial"/>
              </w:rPr>
            </w:pPr>
            <w:hyperlink r:id="rId43" w:history="1">
              <w:r w:rsidR="00C1229D" w:rsidRPr="00C716A7">
                <w:rPr>
                  <w:rStyle w:val="Hyperlink"/>
                  <w:rFonts w:cs="Arial"/>
                </w:rPr>
                <w:t>www.linkedin.com/company/gassaferegister</w:t>
              </w:r>
            </w:hyperlink>
          </w:p>
        </w:tc>
      </w:tr>
      <w:tr w:rsidR="008E344E" w:rsidRPr="001A1836" w14:paraId="2199771A" w14:textId="77777777" w:rsidTr="008E344E">
        <w:trPr>
          <w:cantSplit/>
        </w:trPr>
        <w:tc>
          <w:tcPr>
            <w:tcW w:w="3085" w:type="dxa"/>
          </w:tcPr>
          <w:p w14:paraId="1239EBAE" w14:textId="77777777" w:rsidR="008E344E" w:rsidRPr="001A1836" w:rsidRDefault="008E344E" w:rsidP="008E344E">
            <w:pPr>
              <w:rPr>
                <w:rFonts w:cs="Arial"/>
              </w:rPr>
            </w:pPr>
            <w:r w:rsidRPr="001A1836">
              <w:rPr>
                <w:rFonts w:cs="Arial"/>
              </w:rPr>
              <w:t>Social media account</w:t>
            </w:r>
          </w:p>
        </w:tc>
        <w:tc>
          <w:tcPr>
            <w:tcW w:w="5443" w:type="dxa"/>
          </w:tcPr>
          <w:p w14:paraId="53132C5B" w14:textId="7A5EFD8A" w:rsidR="008E344E" w:rsidRPr="001A1836" w:rsidRDefault="00247876" w:rsidP="008E344E">
            <w:pPr>
              <w:rPr>
                <w:rFonts w:cs="Arial"/>
              </w:rPr>
            </w:pPr>
            <w:hyperlink r:id="rId44" w:history="1">
              <w:r w:rsidR="00C1229D" w:rsidRPr="00C716A7">
                <w:rPr>
                  <w:rStyle w:val="Hyperlink"/>
                  <w:rFonts w:cs="Arial"/>
                </w:rPr>
                <w:t>www.instagram.com/gassaferegister</w:t>
              </w:r>
            </w:hyperlink>
          </w:p>
        </w:tc>
      </w:tr>
      <w:tr w:rsidR="008E344E" w:rsidRPr="001A1836" w14:paraId="030AC33B" w14:textId="77777777" w:rsidTr="008E344E">
        <w:trPr>
          <w:cantSplit/>
        </w:trPr>
        <w:tc>
          <w:tcPr>
            <w:tcW w:w="3085" w:type="dxa"/>
          </w:tcPr>
          <w:p w14:paraId="177AE455" w14:textId="77777777" w:rsidR="008E344E" w:rsidRPr="001A1836" w:rsidRDefault="008E344E" w:rsidP="008E344E">
            <w:pPr>
              <w:rPr>
                <w:rFonts w:cs="Arial"/>
              </w:rPr>
            </w:pPr>
            <w:r w:rsidRPr="001A1836">
              <w:rPr>
                <w:rFonts w:cs="Arial"/>
              </w:rPr>
              <w:t>Social media account</w:t>
            </w:r>
          </w:p>
        </w:tc>
        <w:tc>
          <w:tcPr>
            <w:tcW w:w="5443" w:type="dxa"/>
          </w:tcPr>
          <w:p w14:paraId="60965A15" w14:textId="77777777" w:rsidR="008E344E" w:rsidRPr="001A1836" w:rsidRDefault="008E344E" w:rsidP="008E344E">
            <w:pPr>
              <w:rPr>
                <w:rFonts w:cs="Arial"/>
              </w:rPr>
            </w:pPr>
            <w:r w:rsidRPr="001A1836">
              <w:rPr>
                <w:rFonts w:cs="Arial"/>
              </w:rPr>
              <w:t xml:space="preserve">www.twitter.com/gassafetyweek </w:t>
            </w:r>
          </w:p>
        </w:tc>
      </w:tr>
      <w:tr w:rsidR="008E344E" w:rsidRPr="001A1836" w14:paraId="3396CA01" w14:textId="77777777" w:rsidTr="008E344E">
        <w:trPr>
          <w:cantSplit/>
        </w:trPr>
        <w:tc>
          <w:tcPr>
            <w:tcW w:w="3085" w:type="dxa"/>
          </w:tcPr>
          <w:p w14:paraId="4EF05B9D" w14:textId="77777777" w:rsidR="008E344E" w:rsidRPr="001A1836" w:rsidRDefault="008E344E" w:rsidP="008E344E">
            <w:pPr>
              <w:rPr>
                <w:rFonts w:cs="Arial"/>
              </w:rPr>
            </w:pPr>
            <w:r w:rsidRPr="001A1836">
              <w:rPr>
                <w:rFonts w:cs="Arial"/>
              </w:rPr>
              <w:t>Social media account</w:t>
            </w:r>
          </w:p>
        </w:tc>
        <w:tc>
          <w:tcPr>
            <w:tcW w:w="5443" w:type="dxa"/>
          </w:tcPr>
          <w:p w14:paraId="75F7842E" w14:textId="29317E76" w:rsidR="008E344E" w:rsidRPr="001A1836" w:rsidRDefault="00247876" w:rsidP="008E344E">
            <w:pPr>
              <w:rPr>
                <w:rFonts w:cs="Arial"/>
              </w:rPr>
            </w:pPr>
            <w:hyperlink r:id="rId45" w:history="1">
              <w:r w:rsidR="00C1229D" w:rsidRPr="00C716A7">
                <w:rPr>
                  <w:rStyle w:val="Hyperlink"/>
                  <w:rFonts w:cs="Arial"/>
                </w:rPr>
                <w:t>www.twitter.com/gassafetechteam</w:t>
              </w:r>
            </w:hyperlink>
          </w:p>
        </w:tc>
      </w:tr>
      <w:tr w:rsidR="008E344E" w:rsidRPr="001A1836" w14:paraId="6221EFD1" w14:textId="77777777" w:rsidTr="008E344E">
        <w:trPr>
          <w:cantSplit/>
        </w:trPr>
        <w:tc>
          <w:tcPr>
            <w:tcW w:w="3085" w:type="dxa"/>
          </w:tcPr>
          <w:p w14:paraId="3AD0546B" w14:textId="77777777" w:rsidR="008E344E" w:rsidRPr="001A1836" w:rsidRDefault="008E344E" w:rsidP="008E344E">
            <w:pPr>
              <w:rPr>
                <w:rFonts w:cs="Arial"/>
              </w:rPr>
            </w:pPr>
            <w:r w:rsidRPr="001A1836">
              <w:rPr>
                <w:rFonts w:cs="Arial"/>
              </w:rPr>
              <w:t>Social media account</w:t>
            </w:r>
          </w:p>
        </w:tc>
        <w:tc>
          <w:tcPr>
            <w:tcW w:w="5443" w:type="dxa"/>
          </w:tcPr>
          <w:p w14:paraId="65434E5B" w14:textId="6ACD3AEC" w:rsidR="008E344E" w:rsidRPr="001A1836" w:rsidRDefault="00247876" w:rsidP="008E344E">
            <w:pPr>
              <w:rPr>
                <w:rFonts w:cs="Arial"/>
              </w:rPr>
            </w:pPr>
            <w:hyperlink r:id="rId46" w:history="1">
              <w:r w:rsidR="00C1229D" w:rsidRPr="00C716A7">
                <w:rPr>
                  <w:rStyle w:val="Hyperlink"/>
                  <w:rFonts w:cs="Arial"/>
                </w:rPr>
                <w:t>www.youtube.com/gassaferegister</w:t>
              </w:r>
            </w:hyperlink>
          </w:p>
        </w:tc>
      </w:tr>
      <w:tr w:rsidR="008E344E" w:rsidRPr="001A1836" w14:paraId="33FFAF85" w14:textId="77777777" w:rsidTr="008E344E">
        <w:trPr>
          <w:cantSplit/>
        </w:trPr>
        <w:tc>
          <w:tcPr>
            <w:tcW w:w="3085" w:type="dxa"/>
          </w:tcPr>
          <w:p w14:paraId="6F25220D" w14:textId="77777777" w:rsidR="008E344E" w:rsidRPr="001A1836" w:rsidRDefault="008E344E" w:rsidP="008E344E">
            <w:pPr>
              <w:rPr>
                <w:rFonts w:cs="Arial"/>
              </w:rPr>
            </w:pPr>
            <w:r w:rsidRPr="001A1836">
              <w:rPr>
                <w:rFonts w:cs="Arial"/>
              </w:rPr>
              <w:t>Web analytical service</w:t>
            </w:r>
          </w:p>
        </w:tc>
        <w:tc>
          <w:tcPr>
            <w:tcW w:w="5443" w:type="dxa"/>
          </w:tcPr>
          <w:p w14:paraId="7E984E45" w14:textId="77777777" w:rsidR="008E344E" w:rsidRPr="001A1836" w:rsidRDefault="008E344E" w:rsidP="008E344E">
            <w:pPr>
              <w:rPr>
                <w:rFonts w:cs="Arial"/>
              </w:rPr>
            </w:pPr>
            <w:r w:rsidRPr="001A1836">
              <w:rPr>
                <w:rFonts w:cs="Arial"/>
              </w:rPr>
              <w:t>https://hootsuite.com/en-gb/</w:t>
            </w:r>
          </w:p>
        </w:tc>
      </w:tr>
      <w:tr w:rsidR="003D6DEA" w:rsidRPr="001A1836" w14:paraId="2A99EF41" w14:textId="77777777" w:rsidTr="008E344E">
        <w:trPr>
          <w:cantSplit/>
        </w:trPr>
        <w:tc>
          <w:tcPr>
            <w:tcW w:w="3085" w:type="dxa"/>
          </w:tcPr>
          <w:p w14:paraId="2A8F85A6" w14:textId="350A6C14" w:rsidR="003D6DEA" w:rsidRPr="001A1836" w:rsidDel="002177F4" w:rsidRDefault="003D6DEA" w:rsidP="008E344E">
            <w:pPr>
              <w:rPr>
                <w:rFonts w:cs="Arial"/>
              </w:rPr>
            </w:pPr>
            <w:r>
              <w:rPr>
                <w:rFonts w:cs="Arial"/>
              </w:rPr>
              <w:t>Web service</w:t>
            </w:r>
          </w:p>
        </w:tc>
        <w:tc>
          <w:tcPr>
            <w:tcW w:w="5443" w:type="dxa"/>
          </w:tcPr>
          <w:p w14:paraId="5F07000E" w14:textId="7BC1D520" w:rsidR="003D6DEA" w:rsidDel="002177F4" w:rsidRDefault="003D6DEA" w:rsidP="008E344E">
            <w:r>
              <w:t>gassaferegister.onmicrosoft.com</w:t>
            </w:r>
          </w:p>
        </w:tc>
      </w:tr>
      <w:tr w:rsidR="003D6DEA" w:rsidRPr="001A1836" w14:paraId="34A21E46" w14:textId="77777777" w:rsidTr="008E344E">
        <w:trPr>
          <w:cantSplit/>
        </w:trPr>
        <w:tc>
          <w:tcPr>
            <w:tcW w:w="3085" w:type="dxa"/>
          </w:tcPr>
          <w:p w14:paraId="0EACD125" w14:textId="64830820" w:rsidR="003D6DEA" w:rsidRPr="001A1836" w:rsidDel="002177F4" w:rsidRDefault="003D6DEA" w:rsidP="008E344E">
            <w:pPr>
              <w:rPr>
                <w:rFonts w:cs="Arial"/>
              </w:rPr>
            </w:pPr>
            <w:r>
              <w:rPr>
                <w:rFonts w:cs="Arial"/>
              </w:rPr>
              <w:t>Web service</w:t>
            </w:r>
          </w:p>
        </w:tc>
        <w:tc>
          <w:tcPr>
            <w:tcW w:w="5443" w:type="dxa"/>
          </w:tcPr>
          <w:p w14:paraId="16E0441F" w14:textId="6BCE0C9F" w:rsidR="003D6DEA" w:rsidDel="002177F4" w:rsidRDefault="003D6DEA" w:rsidP="008E344E">
            <w:r>
              <w:t>gsrxprtdoc.co.uk</w:t>
            </w:r>
          </w:p>
        </w:tc>
      </w:tr>
      <w:tr w:rsidR="003D6DEA" w:rsidRPr="001A1836" w14:paraId="442ACB87" w14:textId="77777777" w:rsidTr="008E344E">
        <w:trPr>
          <w:cantSplit/>
        </w:trPr>
        <w:tc>
          <w:tcPr>
            <w:tcW w:w="3085" w:type="dxa"/>
          </w:tcPr>
          <w:p w14:paraId="7160AF83" w14:textId="1879F1ED" w:rsidR="003D6DEA" w:rsidRPr="001A1836" w:rsidDel="002177F4" w:rsidRDefault="003D6DEA" w:rsidP="008E344E">
            <w:pPr>
              <w:rPr>
                <w:rFonts w:cs="Arial"/>
              </w:rPr>
            </w:pPr>
            <w:r>
              <w:rPr>
                <w:rFonts w:cs="Arial"/>
              </w:rPr>
              <w:t>Web service</w:t>
            </w:r>
          </w:p>
        </w:tc>
        <w:tc>
          <w:tcPr>
            <w:tcW w:w="5443" w:type="dxa"/>
          </w:tcPr>
          <w:p w14:paraId="253A2F06" w14:textId="549FB829" w:rsidR="003D6DEA" w:rsidDel="002177F4" w:rsidRDefault="003D6DEA" w:rsidP="008E344E">
            <w:r>
              <w:t>gsrazure.co.uk</w:t>
            </w:r>
          </w:p>
        </w:tc>
      </w:tr>
      <w:tr w:rsidR="008E344E" w:rsidRPr="001A1836" w14:paraId="208A154A" w14:textId="77777777" w:rsidTr="008E344E">
        <w:trPr>
          <w:cantSplit/>
        </w:trPr>
        <w:tc>
          <w:tcPr>
            <w:tcW w:w="3085" w:type="dxa"/>
          </w:tcPr>
          <w:p w14:paraId="000D1462" w14:textId="77777777" w:rsidR="008E344E" w:rsidRPr="001A1836" w:rsidRDefault="008E344E" w:rsidP="008E344E">
            <w:pPr>
              <w:rPr>
                <w:rFonts w:cs="Arial"/>
              </w:rPr>
            </w:pPr>
            <w:r w:rsidRPr="001A1836">
              <w:rPr>
                <w:rFonts w:cs="Arial"/>
              </w:rPr>
              <w:t>Phone number</w:t>
            </w:r>
          </w:p>
        </w:tc>
        <w:tc>
          <w:tcPr>
            <w:tcW w:w="5443" w:type="dxa"/>
          </w:tcPr>
          <w:p w14:paraId="10D39865" w14:textId="77777777" w:rsidR="008E344E" w:rsidRPr="001A1836" w:rsidRDefault="008E344E" w:rsidP="008E344E">
            <w:r w:rsidRPr="001A1836">
              <w:t>0800 300 363</w:t>
            </w:r>
          </w:p>
        </w:tc>
      </w:tr>
      <w:tr w:rsidR="008E344E" w:rsidRPr="001A1836" w14:paraId="40540862" w14:textId="77777777" w:rsidTr="008E344E">
        <w:trPr>
          <w:cantSplit/>
        </w:trPr>
        <w:tc>
          <w:tcPr>
            <w:tcW w:w="3085" w:type="dxa"/>
          </w:tcPr>
          <w:p w14:paraId="6C5F7AA9" w14:textId="77777777" w:rsidR="008E344E" w:rsidRPr="001A1836" w:rsidRDefault="008E344E" w:rsidP="008E344E">
            <w:pPr>
              <w:rPr>
                <w:rFonts w:cs="Arial"/>
              </w:rPr>
            </w:pPr>
            <w:r w:rsidRPr="001A1836">
              <w:rPr>
                <w:rFonts w:cs="Arial"/>
              </w:rPr>
              <w:t>Phone number</w:t>
            </w:r>
          </w:p>
        </w:tc>
        <w:tc>
          <w:tcPr>
            <w:tcW w:w="5443" w:type="dxa"/>
          </w:tcPr>
          <w:p w14:paraId="25F197A9" w14:textId="77777777" w:rsidR="008E344E" w:rsidRPr="001A1836" w:rsidRDefault="008E344E" w:rsidP="008E344E">
            <w:r w:rsidRPr="001A1836">
              <w:t>0800 408 5500</w:t>
            </w:r>
          </w:p>
        </w:tc>
      </w:tr>
      <w:tr w:rsidR="008E344E" w:rsidRPr="001A1836" w14:paraId="5E4CE540" w14:textId="77777777" w:rsidTr="008E344E">
        <w:trPr>
          <w:cantSplit/>
        </w:trPr>
        <w:tc>
          <w:tcPr>
            <w:tcW w:w="3085" w:type="dxa"/>
          </w:tcPr>
          <w:p w14:paraId="72D27735" w14:textId="77777777" w:rsidR="008E344E" w:rsidRPr="001A1836" w:rsidRDefault="008E344E" w:rsidP="008E344E">
            <w:pPr>
              <w:rPr>
                <w:rFonts w:cs="Arial"/>
              </w:rPr>
            </w:pPr>
            <w:r w:rsidRPr="001A1836">
              <w:rPr>
                <w:rFonts w:cs="Arial"/>
              </w:rPr>
              <w:t>Phone number</w:t>
            </w:r>
          </w:p>
        </w:tc>
        <w:tc>
          <w:tcPr>
            <w:tcW w:w="5443" w:type="dxa"/>
          </w:tcPr>
          <w:p w14:paraId="0F3423C5" w14:textId="77777777" w:rsidR="008E344E" w:rsidRPr="001A1836" w:rsidRDefault="008E344E" w:rsidP="008E344E">
            <w:r w:rsidRPr="001A1836">
              <w:t>0800 408 5577</w:t>
            </w:r>
          </w:p>
        </w:tc>
      </w:tr>
      <w:tr w:rsidR="008E344E" w:rsidRPr="001A1836" w14:paraId="4B5A669E" w14:textId="77777777" w:rsidTr="008E344E">
        <w:trPr>
          <w:cantSplit/>
        </w:trPr>
        <w:tc>
          <w:tcPr>
            <w:tcW w:w="3085" w:type="dxa"/>
          </w:tcPr>
          <w:p w14:paraId="4703BA4A" w14:textId="77777777" w:rsidR="008E344E" w:rsidRPr="001A1836" w:rsidRDefault="008E344E" w:rsidP="008E344E">
            <w:pPr>
              <w:rPr>
                <w:rFonts w:cs="Arial"/>
              </w:rPr>
            </w:pPr>
            <w:r w:rsidRPr="001A1836">
              <w:rPr>
                <w:rFonts w:cs="Arial"/>
              </w:rPr>
              <w:t>Phone number</w:t>
            </w:r>
          </w:p>
        </w:tc>
        <w:tc>
          <w:tcPr>
            <w:tcW w:w="5443" w:type="dxa"/>
          </w:tcPr>
          <w:p w14:paraId="750E9441" w14:textId="77777777" w:rsidR="008E344E" w:rsidRPr="001A1836" w:rsidRDefault="008E344E" w:rsidP="008E344E">
            <w:r w:rsidRPr="001A1836">
              <w:t>0800 408 5566</w:t>
            </w:r>
          </w:p>
        </w:tc>
      </w:tr>
      <w:tr w:rsidR="008E344E" w:rsidRPr="001A1836" w14:paraId="226A5315" w14:textId="77777777" w:rsidTr="008E344E">
        <w:trPr>
          <w:cantSplit/>
        </w:trPr>
        <w:tc>
          <w:tcPr>
            <w:tcW w:w="3085" w:type="dxa"/>
          </w:tcPr>
          <w:p w14:paraId="661F8F8A" w14:textId="77777777" w:rsidR="008E344E" w:rsidRPr="001A1836" w:rsidRDefault="008E344E" w:rsidP="008E344E">
            <w:pPr>
              <w:rPr>
                <w:rFonts w:cs="Arial"/>
              </w:rPr>
            </w:pPr>
            <w:r w:rsidRPr="001A1836">
              <w:rPr>
                <w:rFonts w:cs="Arial"/>
              </w:rPr>
              <w:t>Phone number (textphone)</w:t>
            </w:r>
          </w:p>
        </w:tc>
        <w:tc>
          <w:tcPr>
            <w:tcW w:w="5443" w:type="dxa"/>
          </w:tcPr>
          <w:p w14:paraId="63D2A0A9" w14:textId="77777777" w:rsidR="008E344E" w:rsidRPr="001A1836" w:rsidRDefault="008E344E" w:rsidP="008E344E">
            <w:r w:rsidRPr="001A1836">
              <w:t>0800 408 0606</w:t>
            </w:r>
          </w:p>
        </w:tc>
      </w:tr>
    </w:tbl>
    <w:p w14:paraId="6401FE61" w14:textId="77777777" w:rsidR="008E344E" w:rsidRPr="001A1836" w:rsidRDefault="008E344E" w:rsidP="008E344E">
      <w:pPr>
        <w:pStyle w:val="Number"/>
        <w:rPr>
          <w:b/>
          <w:sz w:val="28"/>
          <w:szCs w:val="28"/>
        </w:rPr>
      </w:pPr>
    </w:p>
    <w:p w14:paraId="3B88C075" w14:textId="77777777" w:rsidR="008E344E" w:rsidRPr="001A1836" w:rsidRDefault="008E344E" w:rsidP="008E344E">
      <w:r w:rsidRPr="001A1836">
        <w:rPr>
          <w:b/>
        </w:rPr>
        <w:t xml:space="preserve">Table 5 </w:t>
      </w:r>
      <w:r w:rsidRPr="001A1836">
        <w:t xml:space="preserve">Assets 4.5: Online learning modules </w:t>
      </w:r>
    </w:p>
    <w:p w14:paraId="2B315996" w14:textId="77777777" w:rsidR="00C846A0" w:rsidRPr="001A1836" w:rsidRDefault="00C846A0" w:rsidP="008E344E"/>
    <w:tbl>
      <w:tblPr>
        <w:tblStyle w:val="TableGrid"/>
        <w:tblW w:w="0" w:type="auto"/>
        <w:tblLook w:val="04A0" w:firstRow="1" w:lastRow="0" w:firstColumn="1" w:lastColumn="0" w:noHBand="0" w:noVBand="1"/>
      </w:tblPr>
      <w:tblGrid>
        <w:gridCol w:w="3085"/>
        <w:gridCol w:w="3827"/>
        <w:gridCol w:w="1616"/>
      </w:tblGrid>
      <w:tr w:rsidR="008E344E" w:rsidRPr="001A1836" w14:paraId="1344B755" w14:textId="77777777" w:rsidTr="008E344E">
        <w:tc>
          <w:tcPr>
            <w:tcW w:w="3085" w:type="dxa"/>
          </w:tcPr>
          <w:p w14:paraId="68B21F76" w14:textId="77777777" w:rsidR="008E344E" w:rsidRPr="001A1836" w:rsidRDefault="008E344E" w:rsidP="008E344E">
            <w:pPr>
              <w:rPr>
                <w:b/>
              </w:rPr>
            </w:pPr>
            <w:r w:rsidRPr="001A1836">
              <w:rPr>
                <w:b/>
              </w:rPr>
              <w:t>Online Learning Module title</w:t>
            </w:r>
          </w:p>
        </w:tc>
        <w:tc>
          <w:tcPr>
            <w:tcW w:w="3827" w:type="dxa"/>
          </w:tcPr>
          <w:p w14:paraId="146DE842" w14:textId="77777777" w:rsidR="008E344E" w:rsidRPr="001A1836" w:rsidRDefault="008E344E" w:rsidP="008E344E">
            <w:pPr>
              <w:rPr>
                <w:b/>
              </w:rPr>
            </w:pPr>
            <w:r w:rsidRPr="001A1836">
              <w:rPr>
                <w:b/>
              </w:rPr>
              <w:t>Subject Matter</w:t>
            </w:r>
          </w:p>
        </w:tc>
        <w:tc>
          <w:tcPr>
            <w:tcW w:w="1616" w:type="dxa"/>
          </w:tcPr>
          <w:p w14:paraId="5773DF27" w14:textId="77777777" w:rsidR="008E344E" w:rsidRPr="001A1836" w:rsidRDefault="008E344E" w:rsidP="008E344E">
            <w:pPr>
              <w:rPr>
                <w:b/>
              </w:rPr>
            </w:pPr>
            <w:r w:rsidRPr="001A1836">
              <w:rPr>
                <w:b/>
              </w:rPr>
              <w:t>Audience</w:t>
            </w:r>
          </w:p>
        </w:tc>
      </w:tr>
      <w:tr w:rsidR="008E344E" w:rsidRPr="001A1836" w14:paraId="1EF9F7C6" w14:textId="77777777" w:rsidTr="008E344E">
        <w:tc>
          <w:tcPr>
            <w:tcW w:w="3085" w:type="dxa"/>
          </w:tcPr>
          <w:p w14:paraId="4E39FB64" w14:textId="77777777" w:rsidR="008E344E" w:rsidRPr="001A1836" w:rsidRDefault="008E344E" w:rsidP="008E344E">
            <w:r w:rsidRPr="001A1836">
              <w:t>Technical Bulletin 008</w:t>
            </w:r>
          </w:p>
        </w:tc>
        <w:tc>
          <w:tcPr>
            <w:tcW w:w="3827" w:type="dxa"/>
          </w:tcPr>
          <w:p w14:paraId="216DF80F" w14:textId="77777777" w:rsidR="008E344E" w:rsidRPr="001A1836" w:rsidRDefault="008E344E" w:rsidP="008E344E">
            <w:r w:rsidRPr="001A1836">
              <w:t>Existing concealed room-sealed fanned-draught boiler chimney/flue systems in domestic premises</w:t>
            </w:r>
          </w:p>
        </w:tc>
        <w:tc>
          <w:tcPr>
            <w:tcW w:w="1616" w:type="dxa"/>
          </w:tcPr>
          <w:p w14:paraId="12D20AEE" w14:textId="77777777" w:rsidR="008E344E" w:rsidRPr="001A1836" w:rsidRDefault="008E344E" w:rsidP="008E344E">
            <w:r w:rsidRPr="001A1836">
              <w:t>Engineer</w:t>
            </w:r>
          </w:p>
        </w:tc>
      </w:tr>
      <w:tr w:rsidR="008E344E" w:rsidRPr="001A1836" w14:paraId="23EC1E6B" w14:textId="77777777" w:rsidTr="008E344E">
        <w:tc>
          <w:tcPr>
            <w:tcW w:w="3085" w:type="dxa"/>
          </w:tcPr>
          <w:p w14:paraId="76A319F4" w14:textId="77777777" w:rsidR="008E344E" w:rsidRPr="001A1836" w:rsidRDefault="008E344E" w:rsidP="008E344E">
            <w:r w:rsidRPr="001A1836">
              <w:t>Technical Bulletin 012</w:t>
            </w:r>
          </w:p>
        </w:tc>
        <w:tc>
          <w:tcPr>
            <w:tcW w:w="3827" w:type="dxa"/>
          </w:tcPr>
          <w:p w14:paraId="6A279A3A" w14:textId="77777777" w:rsidR="008E344E" w:rsidRPr="001A1836" w:rsidRDefault="008E344E" w:rsidP="008E344E">
            <w:r w:rsidRPr="001A1836">
              <w:t>Visual risk assessment of gas appliances</w:t>
            </w:r>
          </w:p>
        </w:tc>
        <w:tc>
          <w:tcPr>
            <w:tcW w:w="1616" w:type="dxa"/>
          </w:tcPr>
          <w:p w14:paraId="0C549531" w14:textId="77777777" w:rsidR="008E344E" w:rsidRPr="001A1836" w:rsidRDefault="008E344E" w:rsidP="008E344E">
            <w:r w:rsidRPr="001A1836">
              <w:t>Engineer</w:t>
            </w:r>
          </w:p>
        </w:tc>
      </w:tr>
      <w:tr w:rsidR="008E344E" w:rsidRPr="001A1836" w14:paraId="04196267" w14:textId="77777777" w:rsidTr="008E344E">
        <w:tc>
          <w:tcPr>
            <w:tcW w:w="3085" w:type="dxa"/>
          </w:tcPr>
          <w:p w14:paraId="3457A964" w14:textId="77777777" w:rsidR="008E344E" w:rsidRPr="001A1836" w:rsidRDefault="008E344E" w:rsidP="008E344E">
            <w:r w:rsidRPr="001A1836">
              <w:lastRenderedPageBreak/>
              <w:t>Technical Bulletin 120</w:t>
            </w:r>
          </w:p>
        </w:tc>
        <w:tc>
          <w:tcPr>
            <w:tcW w:w="3827" w:type="dxa"/>
          </w:tcPr>
          <w:p w14:paraId="220A35D9" w14:textId="77777777" w:rsidR="008E344E" w:rsidRPr="001A1836" w:rsidRDefault="008E344E" w:rsidP="008E344E">
            <w:r w:rsidRPr="001A1836">
              <w:t>The use of pliable corrugated tubing in domestic and non-domestic installations</w:t>
            </w:r>
          </w:p>
        </w:tc>
        <w:tc>
          <w:tcPr>
            <w:tcW w:w="1616" w:type="dxa"/>
          </w:tcPr>
          <w:p w14:paraId="7CC09B79" w14:textId="77777777" w:rsidR="008E344E" w:rsidRPr="001A1836" w:rsidRDefault="008E344E" w:rsidP="008E344E">
            <w:r w:rsidRPr="001A1836">
              <w:t>Engineer</w:t>
            </w:r>
          </w:p>
        </w:tc>
      </w:tr>
      <w:tr w:rsidR="008E344E" w:rsidRPr="001A1836" w14:paraId="341414E3" w14:textId="77777777" w:rsidTr="008E344E">
        <w:tc>
          <w:tcPr>
            <w:tcW w:w="3085" w:type="dxa"/>
          </w:tcPr>
          <w:p w14:paraId="5CE0BD31" w14:textId="77777777" w:rsidR="008E344E" w:rsidRPr="001A1836" w:rsidRDefault="008E344E" w:rsidP="008E344E">
            <w:r w:rsidRPr="001A1836">
              <w:t>Technical Bulletin 139</w:t>
            </w:r>
          </w:p>
        </w:tc>
        <w:tc>
          <w:tcPr>
            <w:tcW w:w="3827" w:type="dxa"/>
          </w:tcPr>
          <w:p w14:paraId="34C6EE59" w14:textId="77777777" w:rsidR="008E344E" w:rsidRPr="001A1836" w:rsidRDefault="008E344E" w:rsidP="008E344E">
            <w:r w:rsidRPr="001A1836">
              <w:t>Room-sealed fanned-draught vertical condensing flexible flues concealed within voids</w:t>
            </w:r>
          </w:p>
        </w:tc>
        <w:tc>
          <w:tcPr>
            <w:tcW w:w="1616" w:type="dxa"/>
          </w:tcPr>
          <w:p w14:paraId="4EB2953D" w14:textId="77777777" w:rsidR="008E344E" w:rsidRPr="001A1836" w:rsidRDefault="008E344E" w:rsidP="008E344E">
            <w:r w:rsidRPr="001A1836">
              <w:t>Engineer</w:t>
            </w:r>
          </w:p>
        </w:tc>
      </w:tr>
      <w:tr w:rsidR="008E344E" w:rsidRPr="001A1836" w14:paraId="1E691663" w14:textId="77777777" w:rsidTr="008E344E">
        <w:tc>
          <w:tcPr>
            <w:tcW w:w="3085" w:type="dxa"/>
          </w:tcPr>
          <w:p w14:paraId="01720623" w14:textId="77777777" w:rsidR="008E344E" w:rsidRPr="001A1836" w:rsidRDefault="008E344E" w:rsidP="008E344E">
            <w:r w:rsidRPr="001A1836">
              <w:t xml:space="preserve">Know CO </w:t>
            </w:r>
          </w:p>
        </w:tc>
        <w:tc>
          <w:tcPr>
            <w:tcW w:w="3827" w:type="dxa"/>
          </w:tcPr>
          <w:p w14:paraId="0E620CA3" w14:textId="77777777" w:rsidR="008E344E" w:rsidRPr="001A1836" w:rsidRDefault="008E344E" w:rsidP="008E344E">
            <w:r w:rsidRPr="001A1836">
              <w:t>Carbon monoxide awareness</w:t>
            </w:r>
          </w:p>
        </w:tc>
        <w:tc>
          <w:tcPr>
            <w:tcW w:w="1616" w:type="dxa"/>
          </w:tcPr>
          <w:p w14:paraId="628B8B3A" w14:textId="77777777" w:rsidR="008E344E" w:rsidRPr="001A1836" w:rsidRDefault="008E344E" w:rsidP="008E344E">
            <w:r w:rsidRPr="001A1836">
              <w:t>Consumer</w:t>
            </w:r>
          </w:p>
        </w:tc>
      </w:tr>
      <w:tr w:rsidR="008E344E" w:rsidRPr="001A1836" w14:paraId="4EA80FC2" w14:textId="77777777" w:rsidTr="008E344E">
        <w:tc>
          <w:tcPr>
            <w:tcW w:w="3085" w:type="dxa"/>
          </w:tcPr>
          <w:p w14:paraId="408C9BBF" w14:textId="77777777" w:rsidR="008E344E" w:rsidRPr="001A1836" w:rsidRDefault="008E344E" w:rsidP="008E344E">
            <w:r w:rsidRPr="001A1836">
              <w:t>Boiler Safety</w:t>
            </w:r>
          </w:p>
        </w:tc>
        <w:tc>
          <w:tcPr>
            <w:tcW w:w="3827" w:type="dxa"/>
          </w:tcPr>
          <w:p w14:paraId="6D3FC8AC" w14:textId="77777777" w:rsidR="008E344E" w:rsidRPr="001A1836" w:rsidRDefault="008E344E" w:rsidP="008E344E">
            <w:r w:rsidRPr="001A1836">
              <w:t>Flues in Voids</w:t>
            </w:r>
          </w:p>
        </w:tc>
        <w:tc>
          <w:tcPr>
            <w:tcW w:w="1616" w:type="dxa"/>
          </w:tcPr>
          <w:p w14:paraId="430269F7" w14:textId="77777777" w:rsidR="008E344E" w:rsidRPr="001A1836" w:rsidRDefault="008E344E" w:rsidP="008E344E">
            <w:r w:rsidRPr="001A1836">
              <w:t>Consumer</w:t>
            </w:r>
          </w:p>
        </w:tc>
      </w:tr>
    </w:tbl>
    <w:p w14:paraId="207155F4" w14:textId="77777777" w:rsidR="008E344E" w:rsidRPr="001A1836" w:rsidRDefault="008E344E" w:rsidP="008E344E"/>
    <w:p w14:paraId="36FB2844" w14:textId="77777777" w:rsidR="008E344E" w:rsidRPr="001A1836" w:rsidRDefault="008E344E" w:rsidP="008E344E">
      <w:pPr>
        <w:rPr>
          <w:b/>
          <w:sz w:val="28"/>
          <w:szCs w:val="28"/>
          <w:lang w:eastAsia="en-GB"/>
        </w:rPr>
      </w:pPr>
    </w:p>
    <w:p w14:paraId="5C447C23" w14:textId="05ED6393" w:rsidR="008E344E" w:rsidRPr="001A1836" w:rsidRDefault="008E344E" w:rsidP="008E344E">
      <w:r w:rsidRPr="001A1836">
        <w:rPr>
          <w:b/>
        </w:rPr>
        <w:t xml:space="preserve">Table 6 </w:t>
      </w:r>
      <w:r w:rsidRPr="001A1836">
        <w:t>Assets 8.4: Brand IPR</w:t>
      </w:r>
    </w:p>
    <w:p w14:paraId="4A5B36D6" w14:textId="77777777" w:rsidR="008E344E" w:rsidRPr="001A1836" w:rsidRDefault="008E344E" w:rsidP="008E344E"/>
    <w:p w14:paraId="28538DB4" w14:textId="55ECCD54" w:rsidR="008E344E" w:rsidRDefault="008E344E" w:rsidP="008E344E">
      <w:r w:rsidRPr="001A1836">
        <w:t xml:space="preserve">All IPR subsisting in the Brand are HSE owned and used under licence in accordance with </w:t>
      </w:r>
      <w:r w:rsidR="00D3326E">
        <w:t>C</w:t>
      </w:r>
      <w:r w:rsidRPr="001A1836">
        <w:t>lause 30.</w:t>
      </w:r>
      <w:r w:rsidR="00D3326E">
        <w:t>8</w:t>
      </w:r>
      <w:r w:rsidRPr="001A1836">
        <w:t xml:space="preserve"> of the SCA.</w:t>
      </w:r>
    </w:p>
    <w:p w14:paraId="287003B1" w14:textId="505D1021" w:rsidR="008E344E" w:rsidRPr="001A1836" w:rsidRDefault="008E344E" w:rsidP="008E344E">
      <w:r w:rsidRPr="001A1836">
        <w:tab/>
      </w:r>
      <w:r w:rsidRPr="001A1836">
        <w:tab/>
      </w:r>
      <w:r w:rsidRPr="001A1836">
        <w:tab/>
      </w:r>
      <w:r w:rsidRPr="001A1836">
        <w:tab/>
      </w:r>
      <w:r w:rsidRPr="001A1836">
        <w:tab/>
      </w:r>
      <w:r w:rsidRPr="001A1836">
        <w:tab/>
      </w:r>
      <w:r w:rsidRPr="001A1836">
        <w:tab/>
      </w:r>
    </w:p>
    <w:tbl>
      <w:tblPr>
        <w:tblStyle w:val="TableGrid"/>
        <w:tblW w:w="0" w:type="auto"/>
        <w:tblLook w:val="04A0" w:firstRow="1" w:lastRow="0" w:firstColumn="1" w:lastColumn="0" w:noHBand="0" w:noVBand="1"/>
      </w:tblPr>
      <w:tblGrid>
        <w:gridCol w:w="2235"/>
        <w:gridCol w:w="6293"/>
      </w:tblGrid>
      <w:tr w:rsidR="008E344E" w:rsidRPr="001A1836" w14:paraId="0A90D9B7" w14:textId="77777777" w:rsidTr="008E344E">
        <w:trPr>
          <w:cantSplit/>
          <w:tblHeader/>
        </w:trPr>
        <w:tc>
          <w:tcPr>
            <w:tcW w:w="2235" w:type="dxa"/>
          </w:tcPr>
          <w:p w14:paraId="6C4A53D9" w14:textId="77777777" w:rsidR="008E344E" w:rsidRPr="001A1836" w:rsidRDefault="008E344E" w:rsidP="008E344E">
            <w:pPr>
              <w:rPr>
                <w:rFonts w:cs="Arial"/>
                <w:b/>
              </w:rPr>
            </w:pPr>
            <w:r w:rsidRPr="001A1836">
              <w:rPr>
                <w:rFonts w:cs="Arial"/>
                <w:b/>
              </w:rPr>
              <w:t>Trade Mark Number</w:t>
            </w:r>
          </w:p>
        </w:tc>
        <w:tc>
          <w:tcPr>
            <w:tcW w:w="6293" w:type="dxa"/>
          </w:tcPr>
          <w:p w14:paraId="7A7F8EA9" w14:textId="77777777" w:rsidR="008E344E" w:rsidRPr="001A1836" w:rsidRDefault="008E344E" w:rsidP="008E344E">
            <w:pPr>
              <w:rPr>
                <w:rFonts w:cs="Arial"/>
                <w:b/>
              </w:rPr>
            </w:pPr>
            <w:r w:rsidRPr="001A1836">
              <w:rPr>
                <w:rFonts w:cs="Arial"/>
                <w:b/>
              </w:rPr>
              <w:t>Description</w:t>
            </w:r>
          </w:p>
        </w:tc>
      </w:tr>
      <w:tr w:rsidR="008E344E" w:rsidRPr="001A1836" w14:paraId="29B052A5" w14:textId="77777777" w:rsidTr="008E344E">
        <w:trPr>
          <w:cantSplit/>
        </w:trPr>
        <w:tc>
          <w:tcPr>
            <w:tcW w:w="2235" w:type="dxa"/>
          </w:tcPr>
          <w:p w14:paraId="71FCFFBE" w14:textId="77777777" w:rsidR="008E344E" w:rsidRPr="001A1836" w:rsidRDefault="008E344E" w:rsidP="008E344E">
            <w:pPr>
              <w:rPr>
                <w:rFonts w:cs="Arial"/>
              </w:rPr>
            </w:pPr>
            <w:r w:rsidRPr="001A1836">
              <w:rPr>
                <w:rFonts w:cs="Arial"/>
              </w:rPr>
              <w:t>2503074</w:t>
            </w:r>
          </w:p>
        </w:tc>
        <w:tc>
          <w:tcPr>
            <w:tcW w:w="6293" w:type="dxa"/>
          </w:tcPr>
          <w:p w14:paraId="11EC1A0E" w14:textId="77777777" w:rsidR="008E344E" w:rsidRPr="001A1836" w:rsidRDefault="008E344E" w:rsidP="008E344E">
            <w:pPr>
              <w:rPr>
                <w:rFonts w:cs="Arial"/>
              </w:rPr>
            </w:pPr>
            <w:r w:rsidRPr="001A1836">
              <w:rPr>
                <w:rFonts w:cs="Arial"/>
              </w:rPr>
              <w:t>Gas Safe Register logo</w:t>
            </w:r>
          </w:p>
        </w:tc>
      </w:tr>
      <w:tr w:rsidR="008E344E" w:rsidRPr="001A1836" w14:paraId="1C12EAD5" w14:textId="77777777" w:rsidTr="008E344E">
        <w:trPr>
          <w:cantSplit/>
        </w:trPr>
        <w:tc>
          <w:tcPr>
            <w:tcW w:w="2235" w:type="dxa"/>
          </w:tcPr>
          <w:p w14:paraId="6C5F4953" w14:textId="77777777" w:rsidR="008E344E" w:rsidRPr="001A1836" w:rsidRDefault="008E344E" w:rsidP="008E344E">
            <w:pPr>
              <w:rPr>
                <w:rFonts w:cs="Arial"/>
              </w:rPr>
            </w:pPr>
            <w:r w:rsidRPr="001A1836">
              <w:rPr>
                <w:rFonts w:cs="Arial"/>
              </w:rPr>
              <w:t>2503072</w:t>
            </w:r>
          </w:p>
        </w:tc>
        <w:tc>
          <w:tcPr>
            <w:tcW w:w="6293" w:type="dxa"/>
          </w:tcPr>
          <w:p w14:paraId="1E8CD6A3" w14:textId="77777777" w:rsidR="008E344E" w:rsidRPr="001A1836" w:rsidRDefault="008E344E" w:rsidP="008E344E">
            <w:pPr>
              <w:rPr>
                <w:rFonts w:cs="Arial"/>
              </w:rPr>
            </w:pPr>
            <w:r w:rsidRPr="001A1836">
              <w:rPr>
                <w:rFonts w:cs="Arial"/>
              </w:rPr>
              <w:t>Gas Safe Register logo variations</w:t>
            </w:r>
          </w:p>
        </w:tc>
      </w:tr>
      <w:tr w:rsidR="008E344E" w:rsidRPr="001A1836" w14:paraId="0EB39DE9" w14:textId="77777777" w:rsidTr="008E344E">
        <w:trPr>
          <w:cantSplit/>
        </w:trPr>
        <w:tc>
          <w:tcPr>
            <w:tcW w:w="2235" w:type="dxa"/>
          </w:tcPr>
          <w:p w14:paraId="1CC7A906" w14:textId="77777777" w:rsidR="008E344E" w:rsidRPr="001A1836" w:rsidRDefault="008E344E" w:rsidP="008E344E">
            <w:pPr>
              <w:rPr>
                <w:rFonts w:cs="Arial"/>
              </w:rPr>
            </w:pPr>
            <w:r w:rsidRPr="001A1836">
              <w:rPr>
                <w:rFonts w:cs="Arial"/>
              </w:rPr>
              <w:t>2502857</w:t>
            </w:r>
          </w:p>
        </w:tc>
        <w:tc>
          <w:tcPr>
            <w:tcW w:w="6293" w:type="dxa"/>
          </w:tcPr>
          <w:p w14:paraId="32AC1523" w14:textId="77777777" w:rsidR="008E344E" w:rsidRPr="001A1836" w:rsidRDefault="008E344E" w:rsidP="008E344E">
            <w:pPr>
              <w:rPr>
                <w:rFonts w:cs="Arial"/>
              </w:rPr>
            </w:pPr>
            <w:r w:rsidRPr="001A1836">
              <w:rPr>
                <w:rFonts w:cs="Arial"/>
              </w:rPr>
              <w:t>Gas Safe Register logo (enclosed)</w:t>
            </w:r>
          </w:p>
        </w:tc>
      </w:tr>
      <w:tr w:rsidR="008E344E" w:rsidRPr="001A1836" w14:paraId="5FB1308D" w14:textId="77777777" w:rsidTr="008E344E">
        <w:trPr>
          <w:cantSplit/>
        </w:trPr>
        <w:tc>
          <w:tcPr>
            <w:tcW w:w="2235" w:type="dxa"/>
          </w:tcPr>
          <w:p w14:paraId="1BBD9DFB" w14:textId="77777777" w:rsidR="008E344E" w:rsidRPr="001A1836" w:rsidRDefault="008E344E" w:rsidP="008E344E">
            <w:pPr>
              <w:rPr>
                <w:rFonts w:cs="Arial"/>
              </w:rPr>
            </w:pPr>
            <w:r w:rsidRPr="001A1836">
              <w:rPr>
                <w:rFonts w:cs="Arial"/>
              </w:rPr>
              <w:t>2503078</w:t>
            </w:r>
          </w:p>
        </w:tc>
        <w:tc>
          <w:tcPr>
            <w:tcW w:w="6293" w:type="dxa"/>
          </w:tcPr>
          <w:p w14:paraId="546271B6" w14:textId="77777777" w:rsidR="008E344E" w:rsidRPr="001A1836" w:rsidRDefault="008E344E" w:rsidP="008E344E">
            <w:pPr>
              <w:rPr>
                <w:rFonts w:cs="Arial"/>
              </w:rPr>
            </w:pPr>
            <w:r w:rsidRPr="001A1836">
              <w:rPr>
                <w:rFonts w:cs="Arial"/>
              </w:rPr>
              <w:t>Gas Safe Register logo variations (enclosed)</w:t>
            </w:r>
          </w:p>
        </w:tc>
      </w:tr>
      <w:tr w:rsidR="008E344E" w:rsidRPr="001A1836" w14:paraId="48008E1E" w14:textId="77777777" w:rsidTr="008E344E">
        <w:trPr>
          <w:cantSplit/>
        </w:trPr>
        <w:tc>
          <w:tcPr>
            <w:tcW w:w="2235" w:type="dxa"/>
          </w:tcPr>
          <w:p w14:paraId="2BA07E78" w14:textId="77777777" w:rsidR="008E344E" w:rsidRPr="001A1836" w:rsidRDefault="008E344E" w:rsidP="008E344E">
            <w:pPr>
              <w:rPr>
                <w:rFonts w:cs="Arial"/>
              </w:rPr>
            </w:pPr>
            <w:r w:rsidRPr="001A1836">
              <w:rPr>
                <w:rFonts w:cs="Arial"/>
              </w:rPr>
              <w:t>2502988</w:t>
            </w:r>
          </w:p>
        </w:tc>
        <w:tc>
          <w:tcPr>
            <w:tcW w:w="6293" w:type="dxa"/>
          </w:tcPr>
          <w:p w14:paraId="472094FD" w14:textId="77777777" w:rsidR="008E344E" w:rsidRPr="001A1836" w:rsidRDefault="008E344E" w:rsidP="008E344E">
            <w:pPr>
              <w:rPr>
                <w:rFonts w:cs="Arial"/>
              </w:rPr>
            </w:pPr>
            <w:r w:rsidRPr="001A1836">
              <w:rPr>
                <w:rFonts w:cs="Arial"/>
              </w:rPr>
              <w:t>Gas Safe logo</w:t>
            </w:r>
          </w:p>
        </w:tc>
      </w:tr>
      <w:tr w:rsidR="008E344E" w:rsidRPr="001A1836" w14:paraId="23D48396" w14:textId="77777777" w:rsidTr="008E344E">
        <w:trPr>
          <w:cantSplit/>
        </w:trPr>
        <w:tc>
          <w:tcPr>
            <w:tcW w:w="2235" w:type="dxa"/>
          </w:tcPr>
          <w:p w14:paraId="5858F76E" w14:textId="77777777" w:rsidR="008E344E" w:rsidRPr="001A1836" w:rsidRDefault="008E344E" w:rsidP="008E344E">
            <w:pPr>
              <w:rPr>
                <w:rFonts w:cs="Arial"/>
              </w:rPr>
            </w:pPr>
            <w:r w:rsidRPr="001A1836">
              <w:rPr>
                <w:rFonts w:cs="Arial"/>
              </w:rPr>
              <w:t>2502989</w:t>
            </w:r>
          </w:p>
        </w:tc>
        <w:tc>
          <w:tcPr>
            <w:tcW w:w="6293" w:type="dxa"/>
          </w:tcPr>
          <w:p w14:paraId="68190B54" w14:textId="77777777" w:rsidR="008E344E" w:rsidRPr="001A1836" w:rsidRDefault="008E344E" w:rsidP="008E344E">
            <w:pPr>
              <w:rPr>
                <w:rFonts w:cs="Arial"/>
              </w:rPr>
            </w:pPr>
            <w:r w:rsidRPr="001A1836">
              <w:rPr>
                <w:rFonts w:cs="Arial"/>
              </w:rPr>
              <w:t>Gas Safe logo variations</w:t>
            </w:r>
          </w:p>
        </w:tc>
      </w:tr>
      <w:tr w:rsidR="008E344E" w:rsidRPr="001A1836" w14:paraId="06D01721" w14:textId="77777777" w:rsidTr="008E344E">
        <w:trPr>
          <w:cantSplit/>
        </w:trPr>
        <w:tc>
          <w:tcPr>
            <w:tcW w:w="2235" w:type="dxa"/>
          </w:tcPr>
          <w:p w14:paraId="2AC8E4D0" w14:textId="77777777" w:rsidR="008E344E" w:rsidRPr="001A1836" w:rsidRDefault="008E344E" w:rsidP="008E344E">
            <w:pPr>
              <w:rPr>
                <w:rFonts w:cs="Arial"/>
              </w:rPr>
            </w:pPr>
            <w:r w:rsidRPr="001A1836">
              <w:rPr>
                <w:rFonts w:cs="Arial"/>
              </w:rPr>
              <w:t>2503079</w:t>
            </w:r>
          </w:p>
        </w:tc>
        <w:tc>
          <w:tcPr>
            <w:tcW w:w="6293" w:type="dxa"/>
          </w:tcPr>
          <w:p w14:paraId="77FED8CD" w14:textId="77777777" w:rsidR="008E344E" w:rsidRPr="001A1836" w:rsidRDefault="008E344E" w:rsidP="008E344E">
            <w:pPr>
              <w:rPr>
                <w:rFonts w:cs="Arial"/>
              </w:rPr>
            </w:pPr>
            <w:r w:rsidRPr="001A1836">
              <w:rPr>
                <w:rFonts w:cs="Arial"/>
              </w:rPr>
              <w:t>Gas Safe logo (enclosed)</w:t>
            </w:r>
          </w:p>
        </w:tc>
      </w:tr>
      <w:tr w:rsidR="008E344E" w:rsidRPr="001A1836" w14:paraId="50C255C4" w14:textId="77777777" w:rsidTr="008E344E">
        <w:trPr>
          <w:cantSplit/>
        </w:trPr>
        <w:tc>
          <w:tcPr>
            <w:tcW w:w="2235" w:type="dxa"/>
          </w:tcPr>
          <w:p w14:paraId="7813FAC4" w14:textId="77777777" w:rsidR="008E344E" w:rsidRPr="001A1836" w:rsidRDefault="008E344E" w:rsidP="008E344E">
            <w:pPr>
              <w:rPr>
                <w:rFonts w:cs="Arial"/>
              </w:rPr>
            </w:pPr>
            <w:r w:rsidRPr="001A1836">
              <w:rPr>
                <w:rFonts w:cs="Arial"/>
              </w:rPr>
              <w:t>2502858</w:t>
            </w:r>
          </w:p>
        </w:tc>
        <w:tc>
          <w:tcPr>
            <w:tcW w:w="6293" w:type="dxa"/>
          </w:tcPr>
          <w:p w14:paraId="318830BB" w14:textId="77777777" w:rsidR="008E344E" w:rsidRPr="001A1836" w:rsidRDefault="008E344E" w:rsidP="008E344E">
            <w:pPr>
              <w:rPr>
                <w:rFonts w:cs="Arial"/>
              </w:rPr>
            </w:pPr>
            <w:r w:rsidRPr="001A1836">
              <w:rPr>
                <w:rFonts w:cs="Arial"/>
              </w:rPr>
              <w:t>Gas Safe logo variations (enclosed)</w:t>
            </w:r>
          </w:p>
        </w:tc>
      </w:tr>
      <w:tr w:rsidR="0007607F" w:rsidRPr="001A1836" w14:paraId="60DE8909" w14:textId="77777777" w:rsidTr="008E344E">
        <w:trPr>
          <w:cantSplit/>
        </w:trPr>
        <w:tc>
          <w:tcPr>
            <w:tcW w:w="2235" w:type="dxa"/>
          </w:tcPr>
          <w:p w14:paraId="071E9B21" w14:textId="4E7A763D" w:rsidR="0007607F" w:rsidRPr="001A1836" w:rsidRDefault="0007607F" w:rsidP="0007607F">
            <w:pPr>
              <w:rPr>
                <w:rFonts w:cs="Arial"/>
              </w:rPr>
            </w:pPr>
            <w:r>
              <w:rPr>
                <w:rFonts w:cs="Arial"/>
              </w:rPr>
              <w:t>8941651</w:t>
            </w:r>
          </w:p>
        </w:tc>
        <w:tc>
          <w:tcPr>
            <w:tcW w:w="6293" w:type="dxa"/>
          </w:tcPr>
          <w:p w14:paraId="3C31E302" w14:textId="4B16D136" w:rsidR="0007607F" w:rsidRPr="001A1836" w:rsidRDefault="0007607F" w:rsidP="0007607F">
            <w:pPr>
              <w:rPr>
                <w:rFonts w:cs="Arial"/>
              </w:rPr>
            </w:pPr>
            <w:r>
              <w:rPr>
                <w:rFonts w:cs="Arial"/>
              </w:rPr>
              <w:t>EUTM protection of Gas Safe Register logo usage across Europe</w:t>
            </w:r>
          </w:p>
        </w:tc>
      </w:tr>
      <w:tr w:rsidR="0007607F" w:rsidRPr="001A1836" w14:paraId="798FFE79" w14:textId="77777777" w:rsidTr="008E344E">
        <w:trPr>
          <w:cantSplit/>
        </w:trPr>
        <w:tc>
          <w:tcPr>
            <w:tcW w:w="2235" w:type="dxa"/>
          </w:tcPr>
          <w:p w14:paraId="22926A67" w14:textId="24226E01" w:rsidR="0007607F" w:rsidRDefault="0007607F" w:rsidP="0007607F">
            <w:pPr>
              <w:rPr>
                <w:rFonts w:cs="Arial"/>
              </w:rPr>
            </w:pPr>
            <w:r>
              <w:rPr>
                <w:rFonts w:cs="Arial"/>
              </w:rPr>
              <w:t>8941668</w:t>
            </w:r>
          </w:p>
        </w:tc>
        <w:tc>
          <w:tcPr>
            <w:tcW w:w="6293" w:type="dxa"/>
          </w:tcPr>
          <w:p w14:paraId="6608C58F" w14:textId="38CCBD69" w:rsidR="0007607F" w:rsidRDefault="0007607F" w:rsidP="0007607F">
            <w:pPr>
              <w:rPr>
                <w:rFonts w:cs="Arial"/>
              </w:rPr>
            </w:pPr>
            <w:r>
              <w:rPr>
                <w:rFonts w:cs="Arial"/>
              </w:rPr>
              <w:t>EUTM protection of Gas Safe logo usage across Europe</w:t>
            </w:r>
          </w:p>
        </w:tc>
      </w:tr>
      <w:tr w:rsidR="00D14592" w:rsidRPr="001A1836" w14:paraId="4DC568A8" w14:textId="77777777">
        <w:trPr>
          <w:cantSplit/>
        </w:trPr>
        <w:tc>
          <w:tcPr>
            <w:tcW w:w="2235" w:type="dxa"/>
          </w:tcPr>
          <w:p w14:paraId="738B9091" w14:textId="4A00089D" w:rsidR="00D14592" w:rsidRDefault="00FE7D08">
            <w:pPr>
              <w:rPr>
                <w:rFonts w:cs="Arial"/>
              </w:rPr>
            </w:pPr>
            <w:r>
              <w:rPr>
                <w:rFonts w:cs="Arial"/>
              </w:rPr>
              <w:t>2649825</w:t>
            </w:r>
          </w:p>
        </w:tc>
        <w:tc>
          <w:tcPr>
            <w:tcW w:w="6293" w:type="dxa"/>
          </w:tcPr>
          <w:p w14:paraId="4C35FA05" w14:textId="185AFFDE" w:rsidR="00D14592" w:rsidRDefault="000D55F5">
            <w:pPr>
              <w:rPr>
                <w:rFonts w:cs="Arial"/>
              </w:rPr>
            </w:pPr>
            <w:r>
              <w:rPr>
                <w:rFonts w:cs="Arial"/>
              </w:rPr>
              <w:t>Gas Safe</w:t>
            </w:r>
          </w:p>
        </w:tc>
      </w:tr>
    </w:tbl>
    <w:p w14:paraId="4A612641" w14:textId="77777777" w:rsidR="008E344E" w:rsidRPr="001A1836" w:rsidRDefault="008E344E" w:rsidP="008E344E"/>
    <w:p w14:paraId="0C057497" w14:textId="77777777" w:rsidR="008E344E" w:rsidRPr="001A1836" w:rsidRDefault="008E344E" w:rsidP="008E344E"/>
    <w:p w14:paraId="48568AB0" w14:textId="77777777" w:rsidR="008E344E" w:rsidRPr="001A1836" w:rsidRDefault="008E344E" w:rsidP="008E344E">
      <w:r w:rsidRPr="001A1836">
        <w:rPr>
          <w:b/>
        </w:rPr>
        <w:t xml:space="preserve">Table 7 </w:t>
      </w:r>
      <w:r w:rsidRPr="001A1836">
        <w:t>Assets 9.4: Website factsheets</w:t>
      </w:r>
    </w:p>
    <w:p w14:paraId="552C0C1C" w14:textId="77777777" w:rsidR="00C846A0" w:rsidRPr="001A1836" w:rsidRDefault="00C846A0" w:rsidP="008E344E"/>
    <w:tbl>
      <w:tblPr>
        <w:tblStyle w:val="TableGrid"/>
        <w:tblW w:w="0" w:type="auto"/>
        <w:tblLayout w:type="fixed"/>
        <w:tblLook w:val="04A0" w:firstRow="1" w:lastRow="0" w:firstColumn="1" w:lastColumn="0" w:noHBand="0" w:noVBand="1"/>
      </w:tblPr>
      <w:tblGrid>
        <w:gridCol w:w="6912"/>
        <w:gridCol w:w="1616"/>
      </w:tblGrid>
      <w:tr w:rsidR="008E344E" w:rsidRPr="001A1836" w14:paraId="7E64DC91" w14:textId="77777777" w:rsidTr="008E344E">
        <w:trPr>
          <w:cantSplit/>
          <w:tblHeader/>
        </w:trPr>
        <w:tc>
          <w:tcPr>
            <w:tcW w:w="6912" w:type="dxa"/>
          </w:tcPr>
          <w:p w14:paraId="725E1FD2" w14:textId="77777777" w:rsidR="008E344E" w:rsidRPr="001A1836" w:rsidRDefault="008E344E" w:rsidP="008E344E">
            <w:r w:rsidRPr="001A1836">
              <w:rPr>
                <w:b/>
              </w:rPr>
              <w:t>Title</w:t>
            </w:r>
          </w:p>
        </w:tc>
        <w:tc>
          <w:tcPr>
            <w:tcW w:w="1616" w:type="dxa"/>
          </w:tcPr>
          <w:p w14:paraId="1FF7BEF1" w14:textId="77777777" w:rsidR="008E344E" w:rsidRPr="001A1836" w:rsidRDefault="008E344E" w:rsidP="008E344E">
            <w:pPr>
              <w:rPr>
                <w:b/>
              </w:rPr>
            </w:pPr>
            <w:r w:rsidRPr="001A1836">
              <w:rPr>
                <w:b/>
              </w:rPr>
              <w:t>Audience</w:t>
            </w:r>
          </w:p>
        </w:tc>
      </w:tr>
      <w:tr w:rsidR="008E344E" w:rsidRPr="001A1836" w14:paraId="18F715D2" w14:textId="77777777" w:rsidTr="008E344E">
        <w:trPr>
          <w:cantSplit/>
        </w:trPr>
        <w:tc>
          <w:tcPr>
            <w:tcW w:w="6912" w:type="dxa"/>
          </w:tcPr>
          <w:p w14:paraId="7E6EAFA4" w14:textId="77777777" w:rsidR="008E344E" w:rsidRPr="001A1836" w:rsidRDefault="008E344E" w:rsidP="008E344E">
            <w:r w:rsidRPr="001A1836">
              <w:t>Overview of Gas Safe Register</w:t>
            </w:r>
          </w:p>
        </w:tc>
        <w:tc>
          <w:tcPr>
            <w:tcW w:w="1616" w:type="dxa"/>
          </w:tcPr>
          <w:p w14:paraId="77552847" w14:textId="77777777" w:rsidR="008E344E" w:rsidRPr="001A1836" w:rsidRDefault="008E344E" w:rsidP="008E344E">
            <w:r w:rsidRPr="001A1836">
              <w:t>Consumers</w:t>
            </w:r>
          </w:p>
        </w:tc>
      </w:tr>
      <w:tr w:rsidR="008E344E" w:rsidRPr="001A1836" w14:paraId="4296FD74" w14:textId="77777777" w:rsidTr="008E344E">
        <w:trPr>
          <w:cantSplit/>
        </w:trPr>
        <w:tc>
          <w:tcPr>
            <w:tcW w:w="6912" w:type="dxa"/>
          </w:tcPr>
          <w:p w14:paraId="5A0CCDAA" w14:textId="77777777" w:rsidR="008E344E" w:rsidRPr="001A1836" w:rsidRDefault="008E344E" w:rsidP="008E344E">
            <w:r w:rsidRPr="001A1836">
              <w:t>Requirements for landlords – information for tenants and landlords</w:t>
            </w:r>
          </w:p>
        </w:tc>
        <w:tc>
          <w:tcPr>
            <w:tcW w:w="1616" w:type="dxa"/>
          </w:tcPr>
          <w:p w14:paraId="383ACB53" w14:textId="77777777" w:rsidR="008E344E" w:rsidRPr="001A1836" w:rsidRDefault="008E344E" w:rsidP="008E344E">
            <w:r w:rsidRPr="001A1836">
              <w:t>Consumers</w:t>
            </w:r>
          </w:p>
        </w:tc>
      </w:tr>
      <w:tr w:rsidR="008E344E" w:rsidRPr="001A1836" w14:paraId="77989955" w14:textId="77777777" w:rsidTr="008E344E">
        <w:trPr>
          <w:cantSplit/>
        </w:trPr>
        <w:tc>
          <w:tcPr>
            <w:tcW w:w="6912" w:type="dxa"/>
          </w:tcPr>
          <w:p w14:paraId="35861DDD" w14:textId="77777777" w:rsidR="008E344E" w:rsidRPr="001A1836" w:rsidRDefault="008E344E" w:rsidP="008E344E">
            <w:r w:rsidRPr="001A1836">
              <w:t>Gas Industry Unsafe Situations Procedure (GIUSP) explained</w:t>
            </w:r>
          </w:p>
        </w:tc>
        <w:tc>
          <w:tcPr>
            <w:tcW w:w="1616" w:type="dxa"/>
          </w:tcPr>
          <w:p w14:paraId="75346F23" w14:textId="77777777" w:rsidR="008E344E" w:rsidRPr="001A1836" w:rsidRDefault="008E344E" w:rsidP="008E344E">
            <w:r w:rsidRPr="001A1836">
              <w:t>Consumers</w:t>
            </w:r>
          </w:p>
        </w:tc>
      </w:tr>
      <w:tr w:rsidR="008E344E" w:rsidRPr="001A1836" w14:paraId="49EB64EA" w14:textId="77777777" w:rsidTr="008E344E">
        <w:trPr>
          <w:cantSplit/>
        </w:trPr>
        <w:tc>
          <w:tcPr>
            <w:tcW w:w="6912" w:type="dxa"/>
          </w:tcPr>
          <w:p w14:paraId="343F4964" w14:textId="77777777" w:rsidR="008E344E" w:rsidRPr="001A1836" w:rsidRDefault="008E344E" w:rsidP="008E344E">
            <w:r w:rsidRPr="001A1836">
              <w:t>Information for landlords and tenants on short term lets</w:t>
            </w:r>
          </w:p>
        </w:tc>
        <w:tc>
          <w:tcPr>
            <w:tcW w:w="1616" w:type="dxa"/>
          </w:tcPr>
          <w:p w14:paraId="7AEF5060" w14:textId="77777777" w:rsidR="008E344E" w:rsidRPr="001A1836" w:rsidRDefault="008E344E" w:rsidP="008E344E">
            <w:r w:rsidRPr="001A1836">
              <w:t>Consumers</w:t>
            </w:r>
          </w:p>
        </w:tc>
      </w:tr>
      <w:tr w:rsidR="008E344E" w:rsidRPr="001A1836" w14:paraId="705FB872" w14:textId="77777777" w:rsidTr="008E344E">
        <w:trPr>
          <w:cantSplit/>
        </w:trPr>
        <w:tc>
          <w:tcPr>
            <w:tcW w:w="6912" w:type="dxa"/>
          </w:tcPr>
          <w:p w14:paraId="668B5087" w14:textId="77777777" w:rsidR="008E344E" w:rsidRPr="001A1836" w:rsidRDefault="008E344E" w:rsidP="008E344E">
            <w:r w:rsidRPr="001A1836">
              <w:t>Don't DIY with gas – how to stay Gas Safe</w:t>
            </w:r>
          </w:p>
        </w:tc>
        <w:tc>
          <w:tcPr>
            <w:tcW w:w="1616" w:type="dxa"/>
          </w:tcPr>
          <w:p w14:paraId="099D3DFD" w14:textId="77777777" w:rsidR="008E344E" w:rsidRPr="001A1836" w:rsidRDefault="008E344E" w:rsidP="008E344E">
            <w:r w:rsidRPr="001A1836">
              <w:t>Consumers</w:t>
            </w:r>
          </w:p>
        </w:tc>
      </w:tr>
      <w:tr w:rsidR="008E344E" w:rsidRPr="001A1836" w14:paraId="1D302DD2" w14:textId="77777777" w:rsidTr="008E344E">
        <w:trPr>
          <w:cantSplit/>
        </w:trPr>
        <w:tc>
          <w:tcPr>
            <w:tcW w:w="6912" w:type="dxa"/>
          </w:tcPr>
          <w:p w14:paraId="2333EDB2" w14:textId="77777777" w:rsidR="008E344E" w:rsidRPr="001A1836" w:rsidRDefault="008E344E" w:rsidP="008E344E">
            <w:r w:rsidRPr="001A1836">
              <w:lastRenderedPageBreak/>
              <w:t>Top tips for gas safety in winter</w:t>
            </w:r>
          </w:p>
        </w:tc>
        <w:tc>
          <w:tcPr>
            <w:tcW w:w="1616" w:type="dxa"/>
          </w:tcPr>
          <w:p w14:paraId="1A3277F2" w14:textId="77777777" w:rsidR="008E344E" w:rsidRPr="001A1836" w:rsidRDefault="008E344E" w:rsidP="008E344E">
            <w:r w:rsidRPr="001A1836">
              <w:t>Consumers</w:t>
            </w:r>
          </w:p>
        </w:tc>
      </w:tr>
      <w:tr w:rsidR="008E344E" w:rsidRPr="001A1836" w14:paraId="7EB93B2E" w14:textId="77777777" w:rsidTr="008E344E">
        <w:trPr>
          <w:cantSplit/>
        </w:trPr>
        <w:tc>
          <w:tcPr>
            <w:tcW w:w="6912" w:type="dxa"/>
          </w:tcPr>
          <w:p w14:paraId="5C5A9FE3" w14:textId="77777777" w:rsidR="008E344E" w:rsidRPr="001A1836" w:rsidRDefault="008E344E" w:rsidP="008E344E">
            <w:r w:rsidRPr="001A1836">
              <w:t>Top tips for staying Gas Safe on holiday</w:t>
            </w:r>
          </w:p>
        </w:tc>
        <w:tc>
          <w:tcPr>
            <w:tcW w:w="1616" w:type="dxa"/>
          </w:tcPr>
          <w:p w14:paraId="1BB4B610" w14:textId="77777777" w:rsidR="008E344E" w:rsidRPr="001A1836" w:rsidRDefault="008E344E" w:rsidP="008E344E">
            <w:r w:rsidRPr="001A1836">
              <w:t>Consumers</w:t>
            </w:r>
          </w:p>
        </w:tc>
      </w:tr>
      <w:tr w:rsidR="008E344E" w:rsidRPr="001A1836" w14:paraId="38812A55" w14:textId="77777777" w:rsidTr="008E344E">
        <w:trPr>
          <w:cantSplit/>
        </w:trPr>
        <w:tc>
          <w:tcPr>
            <w:tcW w:w="6912" w:type="dxa"/>
          </w:tcPr>
          <w:p w14:paraId="23205CD5" w14:textId="77777777" w:rsidR="008E344E" w:rsidRPr="001A1836" w:rsidRDefault="008E344E" w:rsidP="008E344E">
            <w:r w:rsidRPr="001A1836">
              <w:t>Commercial catering gas safety</w:t>
            </w:r>
          </w:p>
        </w:tc>
        <w:tc>
          <w:tcPr>
            <w:tcW w:w="1616" w:type="dxa"/>
          </w:tcPr>
          <w:p w14:paraId="2B961A71" w14:textId="77777777" w:rsidR="008E344E" w:rsidRPr="001A1836" w:rsidRDefault="008E344E" w:rsidP="008E344E">
            <w:r w:rsidRPr="001A1836">
              <w:t>Consumers</w:t>
            </w:r>
          </w:p>
        </w:tc>
      </w:tr>
      <w:tr w:rsidR="008E344E" w:rsidRPr="001A1836" w14:paraId="47C0453E" w14:textId="77777777" w:rsidTr="008E344E">
        <w:trPr>
          <w:cantSplit/>
        </w:trPr>
        <w:tc>
          <w:tcPr>
            <w:tcW w:w="6912" w:type="dxa"/>
          </w:tcPr>
          <w:p w14:paraId="4E41CB15" w14:textId="77777777" w:rsidR="008E344E" w:rsidRPr="001A1836" w:rsidRDefault="008E344E" w:rsidP="008E344E">
            <w:r w:rsidRPr="001A1836">
              <w:t>Who can legally work on gas appliances?</w:t>
            </w:r>
          </w:p>
        </w:tc>
        <w:tc>
          <w:tcPr>
            <w:tcW w:w="1616" w:type="dxa"/>
          </w:tcPr>
          <w:p w14:paraId="4D18B40D" w14:textId="77777777" w:rsidR="008E344E" w:rsidRPr="001A1836" w:rsidRDefault="008E344E" w:rsidP="008E344E">
            <w:r w:rsidRPr="001A1836">
              <w:t>Consumers</w:t>
            </w:r>
          </w:p>
        </w:tc>
      </w:tr>
      <w:tr w:rsidR="008E344E" w:rsidRPr="001A1836" w14:paraId="37D52661" w14:textId="77777777" w:rsidTr="008E344E">
        <w:trPr>
          <w:cantSplit/>
        </w:trPr>
        <w:tc>
          <w:tcPr>
            <w:tcW w:w="6912" w:type="dxa"/>
          </w:tcPr>
          <w:p w14:paraId="362D324B" w14:textId="77777777" w:rsidR="008E344E" w:rsidRPr="001A1836" w:rsidRDefault="008E344E" w:rsidP="008E344E">
            <w:r w:rsidRPr="001A1836">
              <w:t>How do we investigate illegal gas work?</w:t>
            </w:r>
          </w:p>
        </w:tc>
        <w:tc>
          <w:tcPr>
            <w:tcW w:w="1616" w:type="dxa"/>
          </w:tcPr>
          <w:p w14:paraId="7EEF27C1" w14:textId="77777777" w:rsidR="008E344E" w:rsidRPr="001A1836" w:rsidRDefault="008E344E" w:rsidP="008E344E">
            <w:r w:rsidRPr="001A1836">
              <w:t>Consumers</w:t>
            </w:r>
          </w:p>
        </w:tc>
      </w:tr>
      <w:tr w:rsidR="008E344E" w:rsidRPr="001A1836" w14:paraId="023BF0F1" w14:textId="77777777" w:rsidTr="008E344E">
        <w:trPr>
          <w:cantSplit/>
        </w:trPr>
        <w:tc>
          <w:tcPr>
            <w:tcW w:w="6912" w:type="dxa"/>
          </w:tcPr>
          <w:p w14:paraId="072E161B" w14:textId="389AF533" w:rsidR="008E344E" w:rsidRPr="001A1836" w:rsidRDefault="008E344E" w:rsidP="008E344E">
            <w:r w:rsidRPr="001A1836">
              <w:t>A small guide on the notification of gas work in England and Wales</w:t>
            </w:r>
          </w:p>
        </w:tc>
        <w:tc>
          <w:tcPr>
            <w:tcW w:w="1616" w:type="dxa"/>
          </w:tcPr>
          <w:p w14:paraId="0E12CC80" w14:textId="77777777" w:rsidR="008E344E" w:rsidRPr="001A1836" w:rsidRDefault="008E344E" w:rsidP="008E344E">
            <w:r w:rsidRPr="001A1836">
              <w:t>Consumers</w:t>
            </w:r>
          </w:p>
        </w:tc>
      </w:tr>
      <w:tr w:rsidR="007E791F" w:rsidRPr="001A1836" w14:paraId="5A2DD2ED" w14:textId="77777777" w:rsidTr="008E344E">
        <w:trPr>
          <w:cantSplit/>
        </w:trPr>
        <w:tc>
          <w:tcPr>
            <w:tcW w:w="6912" w:type="dxa"/>
          </w:tcPr>
          <w:p w14:paraId="6DB3D099" w14:textId="0A42D84A" w:rsidR="007E791F" w:rsidRPr="001A1836" w:rsidRDefault="007E791F" w:rsidP="008E344E">
            <w:r>
              <w:t xml:space="preserve">Gas </w:t>
            </w:r>
            <w:r w:rsidR="005E01C5">
              <w:t>s</w:t>
            </w:r>
            <w:r>
              <w:t xml:space="preserve">afety on </w:t>
            </w:r>
            <w:r w:rsidR="005E01C5">
              <w:t>b</w:t>
            </w:r>
            <w:r>
              <w:t>oats</w:t>
            </w:r>
          </w:p>
        </w:tc>
        <w:tc>
          <w:tcPr>
            <w:tcW w:w="1616" w:type="dxa"/>
          </w:tcPr>
          <w:p w14:paraId="26565CAB" w14:textId="77777777" w:rsidR="007E791F" w:rsidRPr="001A1836" w:rsidRDefault="007E791F" w:rsidP="008E344E"/>
        </w:tc>
      </w:tr>
      <w:tr w:rsidR="007E791F" w:rsidRPr="001A1836" w14:paraId="43B4E6E8" w14:textId="77777777" w:rsidTr="008E344E">
        <w:trPr>
          <w:cantSplit/>
        </w:trPr>
        <w:tc>
          <w:tcPr>
            <w:tcW w:w="6912" w:type="dxa"/>
          </w:tcPr>
          <w:p w14:paraId="5EBC62AB" w14:textId="1BA850F2" w:rsidR="007E791F" w:rsidRPr="001A1836" w:rsidRDefault="007E791F" w:rsidP="008E344E">
            <w:r>
              <w:t xml:space="preserve">Gas </w:t>
            </w:r>
            <w:r w:rsidR="005E01C5">
              <w:t>s</w:t>
            </w:r>
            <w:r>
              <w:t xml:space="preserve">afety for </w:t>
            </w:r>
            <w:r w:rsidR="005E01C5">
              <w:t>c</w:t>
            </w:r>
            <w:r>
              <w:t>arers</w:t>
            </w:r>
          </w:p>
        </w:tc>
        <w:tc>
          <w:tcPr>
            <w:tcW w:w="1616" w:type="dxa"/>
          </w:tcPr>
          <w:p w14:paraId="7C221CB9" w14:textId="77777777" w:rsidR="007E791F" w:rsidRPr="001A1836" w:rsidRDefault="007E791F" w:rsidP="008E344E"/>
        </w:tc>
      </w:tr>
      <w:tr w:rsidR="007E791F" w:rsidRPr="001A1836" w14:paraId="2FB09504" w14:textId="77777777" w:rsidTr="008E344E">
        <w:trPr>
          <w:cantSplit/>
        </w:trPr>
        <w:tc>
          <w:tcPr>
            <w:tcW w:w="6912" w:type="dxa"/>
          </w:tcPr>
          <w:p w14:paraId="62706F36" w14:textId="5CBE0737" w:rsidR="007E791F" w:rsidRPr="001A1836" w:rsidRDefault="007E791F" w:rsidP="008E344E">
            <w:r>
              <w:t>Short term lets</w:t>
            </w:r>
          </w:p>
        </w:tc>
        <w:tc>
          <w:tcPr>
            <w:tcW w:w="1616" w:type="dxa"/>
          </w:tcPr>
          <w:p w14:paraId="0E676594" w14:textId="77777777" w:rsidR="007E791F" w:rsidRPr="001A1836" w:rsidRDefault="007E791F" w:rsidP="008E344E"/>
        </w:tc>
      </w:tr>
      <w:tr w:rsidR="00FA4252" w:rsidRPr="001A1836" w14:paraId="24CC0547" w14:textId="77777777" w:rsidTr="008E344E">
        <w:trPr>
          <w:cantSplit/>
        </w:trPr>
        <w:tc>
          <w:tcPr>
            <w:tcW w:w="6912" w:type="dxa"/>
          </w:tcPr>
          <w:p w14:paraId="227B426F" w14:textId="5629236A" w:rsidR="00FA4252" w:rsidRDefault="00FA59B7" w:rsidP="008E344E">
            <w:r>
              <w:t>Notifications factsheet for consumers</w:t>
            </w:r>
          </w:p>
        </w:tc>
        <w:tc>
          <w:tcPr>
            <w:tcW w:w="1616" w:type="dxa"/>
          </w:tcPr>
          <w:p w14:paraId="6DB0702B" w14:textId="77777777" w:rsidR="00FA4252" w:rsidRPr="001A1836" w:rsidRDefault="00FA4252" w:rsidP="008E344E"/>
        </w:tc>
      </w:tr>
      <w:tr w:rsidR="00FA59B7" w:rsidRPr="001A1836" w14:paraId="5FDA7E4D" w14:textId="77777777" w:rsidTr="008E344E">
        <w:trPr>
          <w:cantSplit/>
        </w:trPr>
        <w:tc>
          <w:tcPr>
            <w:tcW w:w="6912" w:type="dxa"/>
          </w:tcPr>
          <w:p w14:paraId="6F00EB26" w14:textId="5E34A4DC" w:rsidR="00FA59B7" w:rsidRDefault="00FA59B7" w:rsidP="008E344E">
            <w:r>
              <w:t xml:space="preserve">Unregistered </w:t>
            </w:r>
            <w:r w:rsidR="00656155">
              <w:t>gas work factsheet</w:t>
            </w:r>
          </w:p>
        </w:tc>
        <w:tc>
          <w:tcPr>
            <w:tcW w:w="1616" w:type="dxa"/>
          </w:tcPr>
          <w:p w14:paraId="114A0625" w14:textId="77777777" w:rsidR="00FA59B7" w:rsidRPr="001A1836" w:rsidRDefault="00FA59B7" w:rsidP="008E344E"/>
        </w:tc>
      </w:tr>
      <w:tr w:rsidR="00FA59B7" w:rsidRPr="001A1836" w14:paraId="491F25CF" w14:textId="77777777" w:rsidTr="008E344E">
        <w:trPr>
          <w:cantSplit/>
        </w:trPr>
        <w:tc>
          <w:tcPr>
            <w:tcW w:w="6912" w:type="dxa"/>
          </w:tcPr>
          <w:p w14:paraId="2883F8BA" w14:textId="1EE9930C" w:rsidR="00FA59B7" w:rsidRDefault="00656155" w:rsidP="008E344E">
            <w:r>
              <w:t xml:space="preserve">Defining the </w:t>
            </w:r>
            <w:r w:rsidR="005E01C5">
              <w:t>d</w:t>
            </w:r>
            <w:r>
              <w:t xml:space="preserve">omestic ID </w:t>
            </w:r>
            <w:r w:rsidR="005E01C5">
              <w:t>c</w:t>
            </w:r>
            <w:r>
              <w:t xml:space="preserve">ard </w:t>
            </w:r>
            <w:r w:rsidR="005E01C5">
              <w:t>w</w:t>
            </w:r>
            <w:r>
              <w:t xml:space="preserve">ork </w:t>
            </w:r>
            <w:r w:rsidR="005E01C5">
              <w:t>c</w:t>
            </w:r>
            <w:r>
              <w:t>ategories</w:t>
            </w:r>
          </w:p>
        </w:tc>
        <w:tc>
          <w:tcPr>
            <w:tcW w:w="1616" w:type="dxa"/>
          </w:tcPr>
          <w:p w14:paraId="69E9CB0A" w14:textId="77777777" w:rsidR="00FA59B7" w:rsidRPr="001A1836" w:rsidRDefault="00FA59B7" w:rsidP="008E344E"/>
        </w:tc>
      </w:tr>
      <w:tr w:rsidR="00FA59B7" w:rsidRPr="001A1836" w14:paraId="4B0C1598" w14:textId="77777777" w:rsidTr="008E344E">
        <w:trPr>
          <w:cantSplit/>
        </w:trPr>
        <w:tc>
          <w:tcPr>
            <w:tcW w:w="6912" w:type="dxa"/>
          </w:tcPr>
          <w:p w14:paraId="0D30F6F2" w14:textId="153F107E" w:rsidR="00FA59B7" w:rsidRDefault="00656155" w:rsidP="008E344E">
            <w:r>
              <w:t xml:space="preserve">Defining the </w:t>
            </w:r>
            <w:r w:rsidR="005E01C5">
              <w:t>c</w:t>
            </w:r>
            <w:r>
              <w:t xml:space="preserve">ommercial ID </w:t>
            </w:r>
            <w:r w:rsidR="005E01C5">
              <w:t>c</w:t>
            </w:r>
            <w:r>
              <w:t xml:space="preserve">ard </w:t>
            </w:r>
            <w:r w:rsidR="005E01C5">
              <w:t>w</w:t>
            </w:r>
            <w:r>
              <w:t xml:space="preserve">ork </w:t>
            </w:r>
            <w:r w:rsidR="005E01C5">
              <w:t>c</w:t>
            </w:r>
            <w:r>
              <w:t>ategories</w:t>
            </w:r>
          </w:p>
        </w:tc>
        <w:tc>
          <w:tcPr>
            <w:tcW w:w="1616" w:type="dxa"/>
          </w:tcPr>
          <w:p w14:paraId="2A7E5192" w14:textId="77777777" w:rsidR="00FA59B7" w:rsidRPr="001A1836" w:rsidRDefault="00FA59B7" w:rsidP="008E344E"/>
        </w:tc>
      </w:tr>
      <w:tr w:rsidR="00FA59B7" w:rsidRPr="001A1836" w14:paraId="413D07AA" w14:textId="77777777" w:rsidTr="008E344E">
        <w:trPr>
          <w:cantSplit/>
        </w:trPr>
        <w:tc>
          <w:tcPr>
            <w:tcW w:w="6912" w:type="dxa"/>
          </w:tcPr>
          <w:p w14:paraId="565FA7AD" w14:textId="24220CD1" w:rsidR="00FA59B7" w:rsidRDefault="00656155" w:rsidP="008E344E">
            <w:r>
              <w:t>Chimney flue disputes</w:t>
            </w:r>
          </w:p>
        </w:tc>
        <w:tc>
          <w:tcPr>
            <w:tcW w:w="1616" w:type="dxa"/>
          </w:tcPr>
          <w:p w14:paraId="2EB06C71" w14:textId="77777777" w:rsidR="00FA59B7" w:rsidRPr="001A1836" w:rsidRDefault="00FA59B7" w:rsidP="008E344E"/>
        </w:tc>
      </w:tr>
      <w:tr w:rsidR="00656155" w:rsidRPr="001A1836" w14:paraId="2B3C52AE" w14:textId="77777777" w:rsidTr="008E344E">
        <w:trPr>
          <w:cantSplit/>
        </w:trPr>
        <w:tc>
          <w:tcPr>
            <w:tcW w:w="6912" w:type="dxa"/>
          </w:tcPr>
          <w:p w14:paraId="5A8AF953" w14:textId="57343FD6" w:rsidR="00656155" w:rsidRDefault="000F2EA9" w:rsidP="008E344E">
            <w:r>
              <w:t>Illegal gas work factsheet</w:t>
            </w:r>
          </w:p>
        </w:tc>
        <w:tc>
          <w:tcPr>
            <w:tcW w:w="1616" w:type="dxa"/>
          </w:tcPr>
          <w:p w14:paraId="208BB8C6" w14:textId="77777777" w:rsidR="00656155" w:rsidRPr="001A1836" w:rsidRDefault="00656155" w:rsidP="008E344E"/>
        </w:tc>
      </w:tr>
      <w:tr w:rsidR="00656155" w:rsidRPr="001A1836" w14:paraId="2BA5EE90" w14:textId="77777777" w:rsidTr="008E344E">
        <w:trPr>
          <w:cantSplit/>
        </w:trPr>
        <w:tc>
          <w:tcPr>
            <w:tcW w:w="6912" w:type="dxa"/>
          </w:tcPr>
          <w:p w14:paraId="62E5E75D" w14:textId="1698EE67" w:rsidR="00656155" w:rsidRDefault="000F2EA9" w:rsidP="008E344E">
            <w:r>
              <w:t xml:space="preserve">Customer information – </w:t>
            </w:r>
            <w:r w:rsidR="005E01C5">
              <w:t>f</w:t>
            </w:r>
            <w:r>
              <w:t xml:space="preserve">rozen </w:t>
            </w:r>
            <w:r w:rsidR="005E01C5">
              <w:t>b</w:t>
            </w:r>
            <w:r>
              <w:t xml:space="preserve">oiler </w:t>
            </w:r>
            <w:r w:rsidR="005E01C5">
              <w:t>c</w:t>
            </w:r>
            <w:r>
              <w:t xml:space="preserve">ondensate </w:t>
            </w:r>
            <w:r w:rsidR="005E01C5">
              <w:t>d</w:t>
            </w:r>
            <w:r>
              <w:t xml:space="preserve">ischarge </w:t>
            </w:r>
            <w:r w:rsidR="005E01C5">
              <w:t>p</w:t>
            </w:r>
            <w:r>
              <w:t>ipes</w:t>
            </w:r>
          </w:p>
        </w:tc>
        <w:tc>
          <w:tcPr>
            <w:tcW w:w="1616" w:type="dxa"/>
          </w:tcPr>
          <w:p w14:paraId="28E9C7E2" w14:textId="77777777" w:rsidR="00656155" w:rsidRPr="001A1836" w:rsidRDefault="00656155" w:rsidP="008E344E"/>
        </w:tc>
      </w:tr>
      <w:tr w:rsidR="000F2EA9" w:rsidRPr="001A1836" w14:paraId="5EF7A47A" w14:textId="77777777" w:rsidTr="008E344E">
        <w:trPr>
          <w:cantSplit/>
        </w:trPr>
        <w:tc>
          <w:tcPr>
            <w:tcW w:w="6912" w:type="dxa"/>
          </w:tcPr>
          <w:p w14:paraId="77B3FF81" w14:textId="0BE88C74" w:rsidR="000F2EA9" w:rsidRDefault="000F2EA9" w:rsidP="008E344E">
            <w:r>
              <w:t>What to consider when making home improvements</w:t>
            </w:r>
          </w:p>
        </w:tc>
        <w:tc>
          <w:tcPr>
            <w:tcW w:w="1616" w:type="dxa"/>
          </w:tcPr>
          <w:p w14:paraId="4F5DDD17" w14:textId="77777777" w:rsidR="000F2EA9" w:rsidRPr="001A1836" w:rsidRDefault="000F2EA9" w:rsidP="008E344E"/>
        </w:tc>
      </w:tr>
      <w:tr w:rsidR="000F2EA9" w:rsidRPr="001A1836" w14:paraId="0E981EF2" w14:textId="77777777" w:rsidTr="008E344E">
        <w:trPr>
          <w:cantSplit/>
        </w:trPr>
        <w:tc>
          <w:tcPr>
            <w:tcW w:w="6912" w:type="dxa"/>
          </w:tcPr>
          <w:p w14:paraId="5D6DD674" w14:textId="358018D2" w:rsidR="000F2EA9" w:rsidRDefault="000F2EA9" w:rsidP="008E344E">
            <w:r>
              <w:t>Caravan and motor home gas safety</w:t>
            </w:r>
          </w:p>
        </w:tc>
        <w:tc>
          <w:tcPr>
            <w:tcW w:w="1616" w:type="dxa"/>
          </w:tcPr>
          <w:p w14:paraId="59C8FCD3" w14:textId="77777777" w:rsidR="000F2EA9" w:rsidRPr="001A1836" w:rsidRDefault="000F2EA9" w:rsidP="008E344E"/>
        </w:tc>
      </w:tr>
      <w:tr w:rsidR="000F2EA9" w:rsidRPr="001A1836" w14:paraId="2BC8621A" w14:textId="77777777" w:rsidTr="008E344E">
        <w:trPr>
          <w:cantSplit/>
        </w:trPr>
        <w:tc>
          <w:tcPr>
            <w:tcW w:w="6912" w:type="dxa"/>
          </w:tcPr>
          <w:p w14:paraId="44A73A78" w14:textId="3A2C7649" w:rsidR="000F2EA9" w:rsidRDefault="000F2EA9" w:rsidP="008E344E">
            <w:r>
              <w:t xml:space="preserve">Gas </w:t>
            </w:r>
            <w:r w:rsidR="00131F4F">
              <w:t>S</w:t>
            </w:r>
            <w:r>
              <w:t xml:space="preserve">afety </w:t>
            </w:r>
            <w:r w:rsidR="00131F4F">
              <w:t>I</w:t>
            </w:r>
            <w:r>
              <w:t>nspectio</w:t>
            </w:r>
            <w:r w:rsidR="00131F4F">
              <w:t>n</w:t>
            </w:r>
          </w:p>
        </w:tc>
        <w:tc>
          <w:tcPr>
            <w:tcW w:w="1616" w:type="dxa"/>
          </w:tcPr>
          <w:p w14:paraId="5E7AE5A2" w14:textId="77777777" w:rsidR="000F2EA9" w:rsidRPr="001A1836" w:rsidRDefault="000F2EA9" w:rsidP="008E344E"/>
        </w:tc>
      </w:tr>
      <w:tr w:rsidR="000F2EA9" w:rsidRPr="001A1836" w14:paraId="2414B877" w14:textId="77777777" w:rsidTr="008E344E">
        <w:trPr>
          <w:cantSplit/>
        </w:trPr>
        <w:tc>
          <w:tcPr>
            <w:tcW w:w="6912" w:type="dxa"/>
          </w:tcPr>
          <w:p w14:paraId="416848A7" w14:textId="1C4010B1" w:rsidR="000F2EA9" w:rsidRDefault="00131F4F" w:rsidP="008E344E">
            <w:r>
              <w:t xml:space="preserve">Covid 19 </w:t>
            </w:r>
            <w:r w:rsidR="005E01C5">
              <w:t>c</w:t>
            </w:r>
            <w:r>
              <w:t xml:space="preserve">onsumer </w:t>
            </w:r>
            <w:r w:rsidR="005E01C5">
              <w:t>i</w:t>
            </w:r>
            <w:r>
              <w:t>nspection</w:t>
            </w:r>
          </w:p>
        </w:tc>
        <w:tc>
          <w:tcPr>
            <w:tcW w:w="1616" w:type="dxa"/>
          </w:tcPr>
          <w:p w14:paraId="58B7F3E7" w14:textId="77777777" w:rsidR="000F2EA9" w:rsidRPr="001A1836" w:rsidRDefault="000F2EA9" w:rsidP="008E344E"/>
        </w:tc>
      </w:tr>
      <w:tr w:rsidR="000F2EA9" w:rsidRPr="001A1836" w14:paraId="73702515" w14:textId="77777777" w:rsidTr="008E344E">
        <w:trPr>
          <w:cantSplit/>
        </w:trPr>
        <w:tc>
          <w:tcPr>
            <w:tcW w:w="6912" w:type="dxa"/>
          </w:tcPr>
          <w:p w14:paraId="16D81C21" w14:textId="49C7FFA8" w:rsidR="000F2EA9" w:rsidRDefault="001D1557" w:rsidP="008E344E">
            <w:r>
              <w:t xml:space="preserve">Buying </w:t>
            </w:r>
            <w:r w:rsidR="005E01C5">
              <w:t>o</w:t>
            </w:r>
            <w:r>
              <w:t xml:space="preserve">r </w:t>
            </w:r>
            <w:r w:rsidR="005E01C5">
              <w:t>s</w:t>
            </w:r>
            <w:r>
              <w:t xml:space="preserve">elling </w:t>
            </w:r>
            <w:r w:rsidR="005E01C5">
              <w:t>a</w:t>
            </w:r>
            <w:r>
              <w:t xml:space="preserve"> </w:t>
            </w:r>
            <w:r w:rsidR="005E01C5">
              <w:t>h</w:t>
            </w:r>
            <w:r>
              <w:t>ome</w:t>
            </w:r>
          </w:p>
        </w:tc>
        <w:tc>
          <w:tcPr>
            <w:tcW w:w="1616" w:type="dxa"/>
          </w:tcPr>
          <w:p w14:paraId="7BBBEC96" w14:textId="77777777" w:rsidR="000F2EA9" w:rsidRPr="001A1836" w:rsidRDefault="000F2EA9" w:rsidP="008E344E"/>
        </w:tc>
      </w:tr>
      <w:tr w:rsidR="000F2EA9" w:rsidRPr="001A1836" w14:paraId="27C49D4D" w14:textId="77777777" w:rsidTr="008E344E">
        <w:trPr>
          <w:cantSplit/>
        </w:trPr>
        <w:tc>
          <w:tcPr>
            <w:tcW w:w="6912" w:type="dxa"/>
          </w:tcPr>
          <w:p w14:paraId="304B9ABB" w14:textId="33DE5DEE" w:rsidR="000F2EA9" w:rsidRDefault="00365449" w:rsidP="008E344E">
            <w:r>
              <w:t xml:space="preserve">What to </w:t>
            </w:r>
            <w:r w:rsidR="005E01C5">
              <w:t>e</w:t>
            </w:r>
            <w:r>
              <w:t xml:space="preserve">xpect on </w:t>
            </w:r>
            <w:r w:rsidR="005E01C5">
              <w:t>y</w:t>
            </w:r>
            <w:r>
              <w:t xml:space="preserve">our </w:t>
            </w:r>
            <w:r w:rsidR="005E01C5">
              <w:t>p</w:t>
            </w:r>
            <w:r>
              <w:t xml:space="preserve">robationary </w:t>
            </w:r>
            <w:r w:rsidR="005E01C5">
              <w:t>i</w:t>
            </w:r>
            <w:r>
              <w:t>nspection</w:t>
            </w:r>
          </w:p>
        </w:tc>
        <w:tc>
          <w:tcPr>
            <w:tcW w:w="1616" w:type="dxa"/>
          </w:tcPr>
          <w:p w14:paraId="5F7BB466" w14:textId="77777777" w:rsidR="000F2EA9" w:rsidRPr="001A1836" w:rsidRDefault="000F2EA9" w:rsidP="008E344E"/>
        </w:tc>
      </w:tr>
      <w:tr w:rsidR="00365449" w:rsidRPr="001A1836" w14:paraId="0A180D89" w14:textId="77777777" w:rsidTr="008E344E">
        <w:trPr>
          <w:cantSplit/>
        </w:trPr>
        <w:tc>
          <w:tcPr>
            <w:tcW w:w="6912" w:type="dxa"/>
          </w:tcPr>
          <w:p w14:paraId="69200A44" w14:textId="6482A034" w:rsidR="00365449" w:rsidRDefault="001751EB" w:rsidP="008E344E">
            <w:r>
              <w:t xml:space="preserve">What to </w:t>
            </w:r>
            <w:r w:rsidR="005E01C5">
              <w:t>e</w:t>
            </w:r>
            <w:r>
              <w:t xml:space="preserve">xpect on a </w:t>
            </w:r>
            <w:r w:rsidR="005E01C5">
              <w:t>w</w:t>
            </w:r>
            <w:r>
              <w:t xml:space="preserve">ork </w:t>
            </w:r>
            <w:r w:rsidR="005E01C5">
              <w:t>i</w:t>
            </w:r>
            <w:r>
              <w:t>nspection</w:t>
            </w:r>
          </w:p>
        </w:tc>
        <w:tc>
          <w:tcPr>
            <w:tcW w:w="1616" w:type="dxa"/>
          </w:tcPr>
          <w:p w14:paraId="0D36CB0B" w14:textId="77777777" w:rsidR="00365449" w:rsidRPr="001A1836" w:rsidRDefault="00365449" w:rsidP="008E344E"/>
        </w:tc>
      </w:tr>
    </w:tbl>
    <w:p w14:paraId="509707FF" w14:textId="77777777" w:rsidR="008E344E" w:rsidRPr="001A1836" w:rsidRDefault="008E344E" w:rsidP="008E344E"/>
    <w:p w14:paraId="4D1A8F30" w14:textId="77777777" w:rsidR="008E344E" w:rsidRPr="001A1836" w:rsidRDefault="008E344E" w:rsidP="00CF1BDA"/>
    <w:p w14:paraId="2153884E" w14:textId="28454DC6" w:rsidR="008E344E" w:rsidRPr="001A1836" w:rsidRDefault="008E344E" w:rsidP="00CF1BDA"/>
    <w:bookmarkEnd w:id="3218"/>
    <w:p w14:paraId="432F22F8" w14:textId="77777777" w:rsidR="008E344E" w:rsidRPr="001A1836" w:rsidRDefault="008E344E" w:rsidP="00CF1BDA"/>
    <w:p w14:paraId="025D6641" w14:textId="77777777" w:rsidR="008E344E" w:rsidRPr="001A1836" w:rsidRDefault="008E344E" w:rsidP="00CF1BDA"/>
    <w:p w14:paraId="54287D24" w14:textId="77777777" w:rsidR="008E344E" w:rsidRPr="001A1836" w:rsidRDefault="008E344E" w:rsidP="00CF1BDA"/>
    <w:p w14:paraId="0B0C6EC3" w14:textId="77777777" w:rsidR="00394111" w:rsidRPr="001A1836" w:rsidRDefault="00394111" w:rsidP="00CF1BDA">
      <w:pPr>
        <w:pStyle w:val="GSRL1Scheduleheader"/>
        <w:sectPr w:rsidR="00394111" w:rsidRPr="001A1836" w:rsidSect="00F87B8D">
          <w:footerReference w:type="default" r:id="rId47"/>
          <w:pgSz w:w="11900" w:h="16840"/>
          <w:pgMar w:top="1134" w:right="1440" w:bottom="1440" w:left="1440" w:header="1077" w:footer="833" w:gutter="0"/>
          <w:cols w:space="708"/>
        </w:sectPr>
      </w:pPr>
    </w:p>
    <w:p w14:paraId="3055AA65" w14:textId="3AF2AE10" w:rsidR="008E344E" w:rsidRPr="001A1836" w:rsidRDefault="008E344E" w:rsidP="00CF1BDA">
      <w:pPr>
        <w:pStyle w:val="GSRL1Scheduleheader"/>
      </w:pPr>
      <w:bookmarkStart w:id="3249" w:name="_Toc129038347"/>
      <w:bookmarkStart w:id="3250" w:name="_Toc129038633"/>
      <w:bookmarkStart w:id="3251" w:name="_Toc132268217"/>
      <w:bookmarkStart w:id="3252" w:name="_Toc132268523"/>
      <w:bookmarkStart w:id="3253" w:name="_Toc136198758"/>
      <w:bookmarkStart w:id="3254" w:name="_Toc136199039"/>
      <w:bookmarkStart w:id="3255" w:name="_Toc188885265"/>
      <w:r w:rsidRPr="001A1836">
        <w:lastRenderedPageBreak/>
        <w:t xml:space="preserve">SCHEDULE 19: </w:t>
      </w:r>
      <w:r w:rsidR="00B949AC" w:rsidRPr="001A1836">
        <w:t>Dispute Resolution</w:t>
      </w:r>
      <w:bookmarkEnd w:id="3249"/>
      <w:bookmarkEnd w:id="3250"/>
      <w:bookmarkEnd w:id="3251"/>
      <w:bookmarkEnd w:id="3252"/>
      <w:bookmarkEnd w:id="3253"/>
      <w:bookmarkEnd w:id="3254"/>
      <w:bookmarkEnd w:id="3255"/>
      <w:r w:rsidRPr="001A1836">
        <w:t xml:space="preserve"> </w:t>
      </w:r>
    </w:p>
    <w:p w14:paraId="6176A6C7" w14:textId="77777777" w:rsidR="008E344E" w:rsidRPr="001A1836" w:rsidRDefault="008E344E" w:rsidP="00CF1BDA"/>
    <w:p w14:paraId="1FE90214" w14:textId="77777777" w:rsidR="008E344E" w:rsidRPr="001A1836" w:rsidRDefault="008E344E" w:rsidP="00CF1BDA"/>
    <w:p w14:paraId="028B00AE" w14:textId="1DF71E89" w:rsidR="008E344E" w:rsidRPr="001A1836" w:rsidRDefault="008E344E" w:rsidP="008E344E">
      <w:pPr>
        <w:rPr>
          <w:b/>
          <w:bCs/>
          <w:noProof/>
        </w:rPr>
      </w:pPr>
    </w:p>
    <w:p w14:paraId="29A5D2D4" w14:textId="77777777" w:rsidR="008E344E" w:rsidRPr="001A1836" w:rsidRDefault="008E344E" w:rsidP="008E344E">
      <w:r w:rsidRPr="001A1836">
        <w:rPr>
          <w:b/>
          <w:bCs/>
          <w:noProof/>
        </w:rPr>
        <w:br w:type="page"/>
      </w:r>
    </w:p>
    <w:p w14:paraId="5995CAA9" w14:textId="77777777" w:rsidR="008E344E" w:rsidRPr="001A1836" w:rsidRDefault="008E344E" w:rsidP="004E2262">
      <w:pPr>
        <w:pStyle w:val="GSRL3heading"/>
        <w:numPr>
          <w:ilvl w:val="0"/>
          <w:numId w:val="58"/>
        </w:numPr>
        <w:spacing w:before="240"/>
      </w:pPr>
      <w:bookmarkStart w:id="3256" w:name="_Toc508694490"/>
      <w:bookmarkStart w:id="3257" w:name="_Toc521327190"/>
      <w:bookmarkStart w:id="3258" w:name="_Toc521333423"/>
      <w:bookmarkStart w:id="3259" w:name="_Toc521484154"/>
      <w:bookmarkStart w:id="3260" w:name="_Toc521484917"/>
      <w:bookmarkStart w:id="3261" w:name="_Toc521485248"/>
      <w:bookmarkStart w:id="3262" w:name="_Toc521496986"/>
      <w:bookmarkStart w:id="3263" w:name="_Toc521498428"/>
      <w:bookmarkStart w:id="3264" w:name="_Toc529346120"/>
      <w:bookmarkStart w:id="3265" w:name="_Toc129038349"/>
      <w:bookmarkStart w:id="3266" w:name="_Toc129038635"/>
      <w:bookmarkStart w:id="3267" w:name="_Toc132268219"/>
      <w:bookmarkStart w:id="3268" w:name="_Toc132268525"/>
      <w:bookmarkStart w:id="3269" w:name="_Toc136198760"/>
      <w:bookmarkStart w:id="3270" w:name="_Toc136199041"/>
      <w:bookmarkStart w:id="3271" w:name="Schedule19"/>
      <w:r w:rsidRPr="001A1836">
        <w:lastRenderedPageBreak/>
        <w:t>Introduction</w:t>
      </w:r>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p>
    <w:p w14:paraId="628C965A" w14:textId="77777777" w:rsidR="008E344E" w:rsidRPr="001A1836" w:rsidRDefault="008E344E">
      <w:pPr>
        <w:pStyle w:val="GSRL4numberedclause"/>
      </w:pPr>
      <w:bookmarkStart w:id="3272" w:name="_Ref365645132"/>
      <w:r w:rsidRPr="001A1836">
        <w:t>The Parties shall seek to resolve a Dispute:</w:t>
      </w:r>
    </w:p>
    <w:p w14:paraId="4670D62F" w14:textId="77777777" w:rsidR="008E344E" w:rsidRPr="001A1836" w:rsidRDefault="008E344E">
      <w:pPr>
        <w:pStyle w:val="GSRL5numberedclause"/>
      </w:pPr>
      <w:r w:rsidRPr="001A1836">
        <w:t>first in good faith (as prescribed in paragraph 1.4.1 to 1.4.5 of this Schedule 19);</w:t>
      </w:r>
    </w:p>
    <w:p w14:paraId="71D59A98" w14:textId="77777777" w:rsidR="008E344E" w:rsidRPr="001A1836" w:rsidRDefault="008E344E">
      <w:pPr>
        <w:pStyle w:val="GSRL5numberedclause"/>
      </w:pPr>
      <w:r w:rsidRPr="001A1836">
        <w:t>where the Dispute has not been resolved by good faith, the Parties shall attempt to resolve the Dispute by commercial negotiation (as prescribed in paragraph 2 of this Schedule 19);</w:t>
      </w:r>
    </w:p>
    <w:p w14:paraId="2A98AB09" w14:textId="010E92DE" w:rsidR="008E344E" w:rsidRPr="001A1836" w:rsidRDefault="008E344E">
      <w:pPr>
        <w:pStyle w:val="GSRL5numberedclause"/>
      </w:pPr>
      <w:r w:rsidRPr="001A1836">
        <w:t>where the Dispute has not been resolved in good faith and commercial negotiation has been unsuccessful in resolving the Dispute, then either Party may serve a Dispute Notice and shall attempt to resolve the Dispute through mediation (as prescribed in paragraph 3 of this Schedule 19); and</w:t>
      </w:r>
    </w:p>
    <w:p w14:paraId="3DE64ED0" w14:textId="2C5B2991" w:rsidR="008E344E" w:rsidRPr="001A1836" w:rsidRDefault="008E344E">
      <w:pPr>
        <w:pStyle w:val="GSRL5numberedclause"/>
      </w:pPr>
      <w:r w:rsidRPr="001A1836">
        <w:t>if mediation is not agreed by the Parties, the Parties may proceed to arbitration (as prescribed in paragraph 5 of this Schedule 19) or litigation (in accordance with Clause </w:t>
      </w:r>
      <w:r w:rsidR="00D3326E">
        <w:t>62</w:t>
      </w:r>
      <w:r w:rsidR="00D3326E" w:rsidRPr="001A1836">
        <w:t> </w:t>
      </w:r>
      <w:r w:rsidRPr="001A1836">
        <w:t>of this Agreement (Governing Law and Jurisdiction)).</w:t>
      </w:r>
    </w:p>
    <w:p w14:paraId="476A5389" w14:textId="14823835" w:rsidR="008E344E" w:rsidRPr="001A1836" w:rsidRDefault="008E344E">
      <w:pPr>
        <w:pStyle w:val="GSRL4numberedclause"/>
      </w:pPr>
      <w:r w:rsidRPr="001A1836">
        <w:t>Specific issues may be referred to Expert Determination (as prescribed in paragraph 4 of this Schedule 19) where specified under the provisions of this Agreement and may also be referred to Expert Determination where otherwise appropriate as specified in paragraph </w:t>
      </w:r>
      <w:r w:rsidR="00C64A5E">
        <w:t>3.3.2</w:t>
      </w:r>
      <w:r w:rsidRPr="001A1836">
        <w:t xml:space="preserve"> of this Schedule 19.</w:t>
      </w:r>
    </w:p>
    <w:p w14:paraId="55137DAB" w14:textId="5101C45C" w:rsidR="008E344E" w:rsidRPr="001A1836" w:rsidRDefault="008E344E">
      <w:pPr>
        <w:pStyle w:val="GSRL4numberedclause"/>
      </w:pPr>
      <w:r w:rsidRPr="001A1836">
        <w:t>NOT USED</w:t>
      </w:r>
    </w:p>
    <w:p w14:paraId="67C8ED39" w14:textId="77777777" w:rsidR="008E344E" w:rsidRPr="001A1836" w:rsidRDefault="008E344E">
      <w:pPr>
        <w:pStyle w:val="GSRL4numberedclause"/>
        <w:rPr>
          <w:i/>
        </w:rPr>
      </w:pPr>
      <w:r w:rsidRPr="001A1836">
        <w:rPr>
          <w:i/>
        </w:rPr>
        <w:t>Good faith discussions</w:t>
      </w:r>
    </w:p>
    <w:p w14:paraId="22419753" w14:textId="2F562CF5" w:rsidR="008E344E" w:rsidRPr="001A1836" w:rsidRDefault="008E344E">
      <w:pPr>
        <w:pStyle w:val="GSRL5numberedclause"/>
      </w:pPr>
      <w:r w:rsidRPr="001A1836">
        <w:t xml:space="preserve">Pursuant to paragraph 5.1 of this Schedule 19, if any Dispute arises HSE </w:t>
      </w:r>
      <w:r w:rsidR="004439AA">
        <w:t>Contract Manager</w:t>
      </w:r>
      <w:r w:rsidR="004439AA" w:rsidRPr="001A1836">
        <w:t xml:space="preserve"> </w:t>
      </w:r>
      <w:r w:rsidRPr="001A1836">
        <w:t xml:space="preserve">and the Provider </w:t>
      </w:r>
      <w:r w:rsidR="004439AA">
        <w:t>Contract Manager</w:t>
      </w:r>
      <w:r w:rsidR="004439AA" w:rsidRPr="001A1836">
        <w:t xml:space="preserve"> </w:t>
      </w:r>
      <w:r w:rsidRPr="001A1836">
        <w:t>shall attempt first to resolve the Dispute in good faith, which may include (without limitation) either Party holding an Extraordinary Meeting.</w:t>
      </w:r>
    </w:p>
    <w:p w14:paraId="4957090B" w14:textId="77777777" w:rsidR="008E344E" w:rsidRPr="001A1836" w:rsidRDefault="008E344E">
      <w:pPr>
        <w:pStyle w:val="GSRL5numberedclause"/>
      </w:pPr>
      <w:r w:rsidRPr="001A1836">
        <w:t>Either Party may hold an Extraordinary Meeting by serving written notice.  The written notice must give the receiving party at least five (5) Working Days’ notice of when the Extraordinary Meeting is to take place.</w:t>
      </w:r>
    </w:p>
    <w:p w14:paraId="2B02C62F" w14:textId="6A7F87D7" w:rsidR="008E344E" w:rsidRPr="001A1836" w:rsidRDefault="008E344E">
      <w:pPr>
        <w:pStyle w:val="GSRL5numberedclause"/>
      </w:pPr>
      <w:r w:rsidRPr="001A1836">
        <w:t xml:space="preserve">HSE </w:t>
      </w:r>
      <w:r w:rsidR="004439AA">
        <w:t>Contract Manager</w:t>
      </w:r>
      <w:r w:rsidR="004439AA" w:rsidRPr="001A1836">
        <w:t xml:space="preserve"> </w:t>
      </w:r>
      <w:r w:rsidRPr="001A1836">
        <w:t xml:space="preserve">and Provider </w:t>
      </w:r>
      <w:r w:rsidR="004439AA">
        <w:t>Contract Manager</w:t>
      </w:r>
      <w:r w:rsidR="004439AA" w:rsidRPr="001A1836">
        <w:t xml:space="preserve"> </w:t>
      </w:r>
      <w:r w:rsidRPr="001A1836">
        <w:t>shall attend the Extraordinary Meeting. The key personnel of the Parties may also attend the Extraordinary Meeting.</w:t>
      </w:r>
    </w:p>
    <w:p w14:paraId="2479D517" w14:textId="77777777" w:rsidR="008E344E" w:rsidRPr="001A1836" w:rsidRDefault="008E344E">
      <w:pPr>
        <w:pStyle w:val="GSRL5numberedclause"/>
      </w:pPr>
      <w:r w:rsidRPr="001A1836">
        <w:t>The representatives of the Parties attending the Extraordinary Meeting shall use their best endeavours to resolve the Dispute.</w:t>
      </w:r>
    </w:p>
    <w:p w14:paraId="70F088ED" w14:textId="77777777" w:rsidR="008E344E" w:rsidRPr="001A1836" w:rsidRDefault="008E344E">
      <w:pPr>
        <w:pStyle w:val="GSRL5numberedclause"/>
      </w:pPr>
      <w:r w:rsidRPr="001A1836">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bookmarkEnd w:id="3272"/>
    </w:p>
    <w:p w14:paraId="56C1E76E" w14:textId="77777777" w:rsidR="008E344E" w:rsidRPr="001A1836" w:rsidRDefault="008E344E">
      <w:pPr>
        <w:pStyle w:val="GSRL3heading"/>
        <w:spacing w:before="240"/>
        <w:ind w:left="0" w:firstLine="0"/>
      </w:pPr>
      <w:bookmarkStart w:id="3273" w:name="_Toc508694491"/>
      <w:bookmarkStart w:id="3274" w:name="_Toc521327191"/>
      <w:bookmarkStart w:id="3275" w:name="_Toc521333424"/>
      <w:bookmarkStart w:id="3276" w:name="_Toc521484155"/>
      <w:bookmarkStart w:id="3277" w:name="_Toc521484918"/>
      <w:bookmarkStart w:id="3278" w:name="_Toc521485249"/>
      <w:bookmarkStart w:id="3279" w:name="_Toc521496987"/>
      <w:bookmarkStart w:id="3280" w:name="_Toc521498429"/>
      <w:bookmarkStart w:id="3281" w:name="_Toc529346121"/>
      <w:bookmarkStart w:id="3282" w:name="_Toc129038350"/>
      <w:bookmarkStart w:id="3283" w:name="_Toc129038636"/>
      <w:bookmarkStart w:id="3284" w:name="_Toc132268220"/>
      <w:bookmarkStart w:id="3285" w:name="_Toc132268526"/>
      <w:bookmarkStart w:id="3286" w:name="_Toc136198761"/>
      <w:bookmarkStart w:id="3287" w:name="_Toc136199042"/>
      <w:r w:rsidRPr="001A1836">
        <w:t>Commercial negotiations</w:t>
      </w:r>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p>
    <w:p w14:paraId="67D84033" w14:textId="77777777" w:rsidR="008E344E" w:rsidRPr="001A1836" w:rsidRDefault="008E344E">
      <w:pPr>
        <w:pStyle w:val="GSRL4numberedclause"/>
      </w:pPr>
      <w:bookmarkStart w:id="3288" w:name="_Ref365644782"/>
      <w:r w:rsidRPr="001A1836">
        <w:t xml:space="preserve">Where the Parties have been unable to resolve the Dispute in good faith under paragraph 1.4 of this Schedule 19, pursuant to paragraph 1.1.2 HSE and the Provider shall use reasonable endeavours to resolve the Dispute by discussion between Senior Officers. </w:t>
      </w:r>
    </w:p>
    <w:p w14:paraId="6E23CB2D" w14:textId="77777777" w:rsidR="008E344E" w:rsidRPr="001A1836" w:rsidRDefault="008E344E">
      <w:pPr>
        <w:pStyle w:val="GSRL4numberedclause"/>
      </w:pPr>
      <w:r w:rsidRPr="001A1836">
        <w:lastRenderedPageBreak/>
        <w:t xml:space="preserve">Senior Officers shall resolve the Dispute as soon as possible and in any event thirty (30) Working Days from the date Parties agree good faith discussions were deemed unsuccessful.  </w:t>
      </w:r>
      <w:bookmarkEnd w:id="3288"/>
      <w:r w:rsidRPr="001A1836">
        <w:t xml:space="preserve"> </w:t>
      </w:r>
    </w:p>
    <w:p w14:paraId="6E3677B4" w14:textId="77777777" w:rsidR="008E344E" w:rsidRPr="001A1836" w:rsidRDefault="008E344E">
      <w:pPr>
        <w:pStyle w:val="GSRL4numberedclause"/>
      </w:pPr>
      <w:bookmarkStart w:id="3289" w:name="_Ref365642737"/>
      <w:r w:rsidRPr="001A1836">
        <w:t>If Senior Officers:</w:t>
      </w:r>
    </w:p>
    <w:p w14:paraId="3A9B260F" w14:textId="77777777" w:rsidR="008E344E" w:rsidRPr="001A1836" w:rsidRDefault="008E344E">
      <w:pPr>
        <w:pStyle w:val="GSRL5numberedclause"/>
      </w:pPr>
      <w:r w:rsidRPr="001A1836">
        <w:t>are of the reasonable opinion that the resolution of a Dispute by commercial negotiation, or the continuance of commercial negotiations, will not result in an appropriate solution; or</w:t>
      </w:r>
    </w:p>
    <w:p w14:paraId="6D0FD60D" w14:textId="77777777" w:rsidR="008E344E" w:rsidRPr="001A1836" w:rsidRDefault="008E344E">
      <w:pPr>
        <w:pStyle w:val="GSRL5numberedclause"/>
      </w:pPr>
      <w:r w:rsidRPr="001A1836">
        <w:t>fail to resolve the Dispute in the timelines under paragraph 2.2 of this Schedule 19,</w:t>
      </w:r>
    </w:p>
    <w:p w14:paraId="1393B14D" w14:textId="77777777" w:rsidR="008E344E" w:rsidRPr="001A1836" w:rsidRDefault="008E344E" w:rsidP="008E344E">
      <w:pPr>
        <w:pStyle w:val="GSRL5numberedclause"/>
        <w:numPr>
          <w:ilvl w:val="0"/>
          <w:numId w:val="0"/>
        </w:numPr>
        <w:ind w:left="720"/>
      </w:pPr>
      <w:r w:rsidRPr="001A1836">
        <w:t>commercial negotiations shall be deemed unsuccessful and either Party may serve a Dispute Notice in accordance with paragraph 2.4 of this Schedule 19.</w:t>
      </w:r>
      <w:bookmarkEnd w:id="3289"/>
    </w:p>
    <w:p w14:paraId="2405A520" w14:textId="77777777" w:rsidR="008E344E" w:rsidRPr="001A1836" w:rsidRDefault="008E344E">
      <w:pPr>
        <w:pStyle w:val="GSRL4numberedclause"/>
        <w:rPr>
          <w:i/>
        </w:rPr>
      </w:pPr>
      <w:r w:rsidRPr="001A1836">
        <w:rPr>
          <w:i/>
        </w:rPr>
        <w:t>Dispute Notice</w:t>
      </w:r>
    </w:p>
    <w:p w14:paraId="079C816A" w14:textId="77777777" w:rsidR="008E344E" w:rsidRPr="001A1836" w:rsidRDefault="008E344E">
      <w:pPr>
        <w:pStyle w:val="GSRL5numberedclause"/>
      </w:pPr>
      <w:r w:rsidRPr="001A1836">
        <w:t>The Dispute Notice shall set out:</w:t>
      </w:r>
    </w:p>
    <w:p w14:paraId="1A1D693F" w14:textId="77777777" w:rsidR="008E344E" w:rsidRPr="001A1836" w:rsidRDefault="008E344E">
      <w:pPr>
        <w:pStyle w:val="GSRL6numberedclause"/>
        <w:tabs>
          <w:tab w:val="num" w:pos="360"/>
        </w:tabs>
      </w:pPr>
      <w:r w:rsidRPr="001A1836">
        <w:t>the material particulars of the Dispute;</w:t>
      </w:r>
    </w:p>
    <w:p w14:paraId="755B5007" w14:textId="77777777" w:rsidR="008E344E" w:rsidRPr="001A1836" w:rsidRDefault="008E344E">
      <w:pPr>
        <w:pStyle w:val="GSRL6numberedclause"/>
        <w:tabs>
          <w:tab w:val="num" w:pos="360"/>
        </w:tabs>
      </w:pPr>
      <w:r w:rsidRPr="001A1836">
        <w:t>the reasons why the Party serving the Dispute Notice believes that the Dispute has arisen; and</w:t>
      </w:r>
    </w:p>
    <w:p w14:paraId="4B1A1AF2" w14:textId="77777777" w:rsidR="008E344E" w:rsidRPr="001A1836" w:rsidRDefault="008E344E">
      <w:pPr>
        <w:pStyle w:val="GSRL6numberedclause"/>
        <w:tabs>
          <w:tab w:val="num" w:pos="360"/>
        </w:tabs>
      </w:pPr>
      <w:r w:rsidRPr="001A1836">
        <w:t>if the Party serving the Dispute Notice believes that the Dispute should be dealt with under the Expedited Dispute Timetable as set out in paragraph 6 of this Schedule 19, the reason why.</w:t>
      </w:r>
    </w:p>
    <w:p w14:paraId="4388A03D" w14:textId="77777777" w:rsidR="008E344E" w:rsidRPr="001A1836" w:rsidRDefault="008E344E">
      <w:pPr>
        <w:pStyle w:val="GSRL5numberedclause"/>
      </w:pPr>
      <w:r w:rsidRPr="001A1836">
        <w:t>Unless agreed otherwise in writing, the Parties shall continue to comply with their respective obligations under this Agreement regardless of the nature of the Dispute and notwithstanding the referral of the Dispute to the Dispute Resolution Procedure.</w:t>
      </w:r>
    </w:p>
    <w:p w14:paraId="6B781455" w14:textId="77777777" w:rsidR="008E344E" w:rsidRPr="001A1836" w:rsidRDefault="008E344E">
      <w:pPr>
        <w:pStyle w:val="GSRL3heading"/>
        <w:spacing w:before="240"/>
        <w:ind w:left="0" w:firstLine="0"/>
      </w:pPr>
      <w:bookmarkStart w:id="3290" w:name="_Toc508694492"/>
      <w:bookmarkStart w:id="3291" w:name="_Toc521327192"/>
      <w:bookmarkStart w:id="3292" w:name="_Toc521333425"/>
      <w:bookmarkStart w:id="3293" w:name="_Toc521484156"/>
      <w:bookmarkStart w:id="3294" w:name="_Toc521484919"/>
      <w:bookmarkStart w:id="3295" w:name="_Toc521485250"/>
      <w:bookmarkStart w:id="3296" w:name="_Toc521496988"/>
      <w:bookmarkStart w:id="3297" w:name="_Toc521498430"/>
      <w:bookmarkStart w:id="3298" w:name="_Toc529346122"/>
      <w:bookmarkStart w:id="3299" w:name="_Toc129038351"/>
      <w:bookmarkStart w:id="3300" w:name="_Toc129038637"/>
      <w:bookmarkStart w:id="3301" w:name="_Toc132268221"/>
      <w:bookmarkStart w:id="3302" w:name="_Toc132268527"/>
      <w:bookmarkStart w:id="3303" w:name="_Toc136198762"/>
      <w:bookmarkStart w:id="3304" w:name="_Toc136199043"/>
      <w:r w:rsidRPr="001A1836">
        <w:t>Mediation</w:t>
      </w:r>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p>
    <w:p w14:paraId="78B0E85A" w14:textId="77777777" w:rsidR="008E344E" w:rsidRPr="001A1836" w:rsidRDefault="008E344E">
      <w:pPr>
        <w:pStyle w:val="GSRL4numberedclause"/>
      </w:pPr>
      <w:r w:rsidRPr="001A1836">
        <w:t>Pursuant to paragraph 1.1.3 of this Schedule 19,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35CEBF0E" w14:textId="77777777" w:rsidR="008E344E" w:rsidRPr="001A1836" w:rsidRDefault="008E344E">
      <w:pPr>
        <w:pStyle w:val="GSRL4numberedclause"/>
      </w:pPr>
      <w:bookmarkStart w:id="3305" w:name="_Ref365644398"/>
      <w:r w:rsidRPr="001A1836">
        <w:t xml:space="preserve">If the Parties are unable to agree on the joint appointment of a Mediator within thirty (30) Working Days from service of the Dispute Notice then either Party may apply to CEDR to nominate the Mediator. </w:t>
      </w:r>
    </w:p>
    <w:p w14:paraId="57844763" w14:textId="77777777" w:rsidR="008E344E" w:rsidRPr="001A1836" w:rsidRDefault="008E344E">
      <w:pPr>
        <w:pStyle w:val="GSRL4numberedclause"/>
      </w:pPr>
      <w:r w:rsidRPr="001A1836">
        <w:t>If neither Party applies to CEDR to nominate the Mediator or an application to CEDR is unsuccessful under paragraph 3.3 of this Schedule 19, either Party may proceed to:</w:t>
      </w:r>
    </w:p>
    <w:p w14:paraId="08B38FDD" w14:textId="77777777" w:rsidR="008E344E" w:rsidRPr="001A1836" w:rsidRDefault="008E344E">
      <w:pPr>
        <w:pStyle w:val="GSRL5numberedclause"/>
      </w:pPr>
      <w:r w:rsidRPr="001A1836">
        <w:t>hold further discussions between Senior Officers; or</w:t>
      </w:r>
    </w:p>
    <w:p w14:paraId="6BA2BE2A" w14:textId="77777777" w:rsidR="008E344E" w:rsidRPr="001A1836" w:rsidRDefault="008E344E">
      <w:pPr>
        <w:pStyle w:val="GSRL5numberedclause"/>
      </w:pPr>
      <w:r w:rsidRPr="001A1836">
        <w:t>an Expert determination, as prescribed in paragraph 4 of this Schedule 19; or</w:t>
      </w:r>
    </w:p>
    <w:p w14:paraId="5D6649E4" w14:textId="77777777" w:rsidR="008E344E" w:rsidRPr="001A1836" w:rsidRDefault="008E344E">
      <w:pPr>
        <w:pStyle w:val="GSRL5numberedclause"/>
      </w:pPr>
      <w:r w:rsidRPr="001A1836">
        <w:t>arbitration, as prescribed in paragraph 5 of this Schedule 19; or</w:t>
      </w:r>
    </w:p>
    <w:p w14:paraId="382D9AC0" w14:textId="40566835" w:rsidR="008E344E" w:rsidRPr="001A1836" w:rsidRDefault="008E344E">
      <w:pPr>
        <w:pStyle w:val="GSRL5numberedclause"/>
      </w:pPr>
      <w:r w:rsidRPr="001A1836">
        <w:t xml:space="preserve">litigation in accordance with Clause </w:t>
      </w:r>
      <w:r w:rsidR="00D3326E">
        <w:t>62</w:t>
      </w:r>
      <w:r w:rsidR="00D3326E" w:rsidRPr="001A1836">
        <w:t xml:space="preserve"> </w:t>
      </w:r>
      <w:r w:rsidRPr="001A1836">
        <w:t>of this Agreement (Governing Law and Jurisdiction).</w:t>
      </w:r>
      <w:bookmarkEnd w:id="3305"/>
    </w:p>
    <w:p w14:paraId="4896994E" w14:textId="77777777" w:rsidR="008E344E" w:rsidRPr="001A1836" w:rsidRDefault="008E344E">
      <w:pPr>
        <w:pStyle w:val="GSRL4numberedclause"/>
      </w:pPr>
      <w:r w:rsidRPr="001A1836">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54843235" w14:textId="77777777" w:rsidR="008E344E" w:rsidRPr="001A1836" w:rsidRDefault="008E344E">
      <w:pPr>
        <w:pStyle w:val="GSRL4numberedclause"/>
      </w:pPr>
      <w:r w:rsidRPr="001A1836">
        <w:lastRenderedPageBreak/>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E86F22B" w14:textId="77777777" w:rsidR="008E344E" w:rsidRPr="001A1836" w:rsidRDefault="008E344E">
      <w:pPr>
        <w:pStyle w:val="GSRL4numberedclause"/>
      </w:pPr>
      <w:r w:rsidRPr="001A1836">
        <w:t>The costs of any mediation procedure used to resolve the Dispute under paragraph 3 of this Schedule 19 shall be shared equally between the Parties.</w:t>
      </w:r>
    </w:p>
    <w:p w14:paraId="4A05506F" w14:textId="77777777" w:rsidR="008E344E" w:rsidRPr="001A1836" w:rsidRDefault="008E344E">
      <w:pPr>
        <w:pStyle w:val="GSRL3heading"/>
        <w:spacing w:before="240"/>
        <w:ind w:left="0" w:firstLine="0"/>
      </w:pPr>
      <w:bookmarkStart w:id="3306" w:name="_Toc508694493"/>
      <w:bookmarkStart w:id="3307" w:name="_Toc521327193"/>
      <w:bookmarkStart w:id="3308" w:name="_Toc521333426"/>
      <w:bookmarkStart w:id="3309" w:name="_Toc521484157"/>
      <w:bookmarkStart w:id="3310" w:name="_Toc521484920"/>
      <w:bookmarkStart w:id="3311" w:name="_Toc521485251"/>
      <w:bookmarkStart w:id="3312" w:name="_Toc521496989"/>
      <w:bookmarkStart w:id="3313" w:name="_Toc521498431"/>
      <w:bookmarkStart w:id="3314" w:name="_Toc529346123"/>
      <w:bookmarkStart w:id="3315" w:name="_Toc129038352"/>
      <w:bookmarkStart w:id="3316" w:name="_Toc129038638"/>
      <w:bookmarkStart w:id="3317" w:name="_Toc132268222"/>
      <w:bookmarkStart w:id="3318" w:name="_Toc132268528"/>
      <w:bookmarkStart w:id="3319" w:name="_Toc136198763"/>
      <w:bookmarkStart w:id="3320" w:name="_Toc136199044"/>
      <w:r w:rsidRPr="001A1836">
        <w:t>Expert determination</w:t>
      </w:r>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p>
    <w:p w14:paraId="48EB930E" w14:textId="77777777" w:rsidR="008E344E" w:rsidRPr="001A1836" w:rsidRDefault="008E344E">
      <w:pPr>
        <w:pStyle w:val="GSRL4numberedclause"/>
      </w:pPr>
      <w:r w:rsidRPr="001A1836">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10756D09" w14:textId="77777777" w:rsidR="008E344E" w:rsidRPr="001A1836" w:rsidRDefault="008E344E">
      <w:pPr>
        <w:pStyle w:val="GSRL4numberedclause"/>
      </w:pPr>
      <w:bookmarkStart w:id="3321" w:name="_Ref365644387"/>
      <w:r w:rsidRPr="001A1836">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3321"/>
    </w:p>
    <w:p w14:paraId="03E4A9CC" w14:textId="77777777" w:rsidR="008E344E" w:rsidRPr="001A1836" w:rsidRDefault="008E344E">
      <w:pPr>
        <w:pStyle w:val="GSRL4numberedclause"/>
      </w:pPr>
      <w:r w:rsidRPr="001A1836">
        <w:t>The Expert shall act on the following basis:</w:t>
      </w:r>
    </w:p>
    <w:p w14:paraId="76529B12" w14:textId="77777777" w:rsidR="008E344E" w:rsidRPr="001A1836" w:rsidRDefault="008E344E">
      <w:pPr>
        <w:pStyle w:val="GSRL5numberedclause"/>
      </w:pPr>
      <w:r w:rsidRPr="001A1836">
        <w:t>he/she shall act as an expert and not as an arbitrator and shall act fairly and impartially;</w:t>
      </w:r>
    </w:p>
    <w:p w14:paraId="5A1408EF" w14:textId="77777777" w:rsidR="008E344E" w:rsidRPr="001A1836" w:rsidRDefault="008E344E">
      <w:pPr>
        <w:pStyle w:val="GSRL5numberedclause"/>
      </w:pPr>
      <w:r w:rsidRPr="001A1836">
        <w:t>the Expert's determination shall (in the absence of a material failure to follow the agreed procedures) be final and binding on the Parties;</w:t>
      </w:r>
    </w:p>
    <w:p w14:paraId="4DA79B5B" w14:textId="77777777" w:rsidR="008E344E" w:rsidRPr="001A1836" w:rsidRDefault="008E344E">
      <w:pPr>
        <w:pStyle w:val="GSRL5numberedclause"/>
      </w:pPr>
      <w:r w:rsidRPr="001A1836">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31FFC66E" w14:textId="77777777" w:rsidR="008E344E" w:rsidRPr="001A1836" w:rsidRDefault="008E344E">
      <w:pPr>
        <w:pStyle w:val="GSRL5numberedclause"/>
      </w:pPr>
      <w:r w:rsidRPr="001A1836">
        <w:t>any amount payable by one Party to another as a result of the Expert's determination shall be due and payable within twenty (20) Working Days of the Expert's determination being notified to the Parties;</w:t>
      </w:r>
    </w:p>
    <w:p w14:paraId="3C6C31AB" w14:textId="77777777" w:rsidR="008E344E" w:rsidRPr="001A1836" w:rsidRDefault="008E344E">
      <w:pPr>
        <w:pStyle w:val="GSRL5numberedclause"/>
      </w:pPr>
      <w:r w:rsidRPr="001A1836">
        <w:t>the process shall be conducted in private and shall be confidential; and</w:t>
      </w:r>
    </w:p>
    <w:p w14:paraId="1DBA4072" w14:textId="77777777" w:rsidR="008E344E" w:rsidRPr="001A1836" w:rsidRDefault="008E344E">
      <w:pPr>
        <w:pStyle w:val="GSRL5numberedclause"/>
      </w:pPr>
      <w:r w:rsidRPr="001A1836">
        <w:t>the Expert shall determine how and by whom the costs of the determination, including his/her fees and expenses, are to be paid.</w:t>
      </w:r>
    </w:p>
    <w:p w14:paraId="0D47084B" w14:textId="77777777" w:rsidR="008E344E" w:rsidRPr="001A1836" w:rsidRDefault="008E344E">
      <w:pPr>
        <w:pStyle w:val="GSRL3heading"/>
        <w:spacing w:before="240"/>
        <w:ind w:left="0" w:firstLine="0"/>
      </w:pPr>
      <w:bookmarkStart w:id="3322" w:name="_Toc508694494"/>
      <w:bookmarkStart w:id="3323" w:name="_Toc521327194"/>
      <w:bookmarkStart w:id="3324" w:name="_Toc521333427"/>
      <w:bookmarkStart w:id="3325" w:name="_Toc521484158"/>
      <w:bookmarkStart w:id="3326" w:name="_Toc521484921"/>
      <w:bookmarkStart w:id="3327" w:name="_Toc521485252"/>
      <w:bookmarkStart w:id="3328" w:name="_Toc521496990"/>
      <w:bookmarkStart w:id="3329" w:name="_Toc521498432"/>
      <w:bookmarkStart w:id="3330" w:name="_Toc529346124"/>
      <w:bookmarkStart w:id="3331" w:name="_Toc129038353"/>
      <w:bookmarkStart w:id="3332" w:name="_Toc129038639"/>
      <w:bookmarkStart w:id="3333" w:name="_Toc132268223"/>
      <w:bookmarkStart w:id="3334" w:name="_Toc132268529"/>
      <w:bookmarkStart w:id="3335" w:name="_Toc136198764"/>
      <w:bookmarkStart w:id="3336" w:name="_Toc136199045"/>
      <w:r w:rsidRPr="001A1836">
        <w:t>Arbitration</w:t>
      </w:r>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p>
    <w:p w14:paraId="7915E588" w14:textId="77777777" w:rsidR="008E344E" w:rsidRPr="001A1836" w:rsidRDefault="008E344E">
      <w:pPr>
        <w:pStyle w:val="GSRL4numberedclause"/>
      </w:pPr>
      <w:bookmarkStart w:id="3337" w:name="_Ref365645044"/>
      <w:r w:rsidRPr="001A1836">
        <w:t>Either of the Parties may, at any time before court proceedings are commenced and after the Parties have attempted to resolve the Dispute in good faith, by commercial negotiation, mediation and Expert determination (if applicable), refer the Dispute to arbitration in accordance with the provisions of paragraph 5.3 of this Schedule 19.</w:t>
      </w:r>
      <w:bookmarkEnd w:id="3337"/>
    </w:p>
    <w:p w14:paraId="58138CC3" w14:textId="4DE88C80" w:rsidR="008E344E" w:rsidRPr="001A1836" w:rsidRDefault="008E344E">
      <w:pPr>
        <w:pStyle w:val="GSRL4numberedclause"/>
      </w:pPr>
      <w:bookmarkStart w:id="3338" w:name="_Ref365642677"/>
      <w:r w:rsidRPr="001A1836">
        <w:t>Before the Provider commences court proceedings or arbitration, it shall serve written notice on HSE of its intentions and HSE shall have fifteen (15) Working Days following receipt of such notice to serve a reply (a “</w:t>
      </w:r>
      <w:r w:rsidRPr="001A1836">
        <w:rPr>
          <w:b/>
        </w:rPr>
        <w:t>Counter Notice</w:t>
      </w:r>
      <w:r w:rsidRPr="001A1836">
        <w:t xml:space="preserve">”) on the Provider requiring the Dispute to be referred to and resolved by arbitration in accordance with paragraph  5.3 of this Schedule 19 or be subject to the jurisdiction of the courts in accordance with Clause </w:t>
      </w:r>
      <w:r w:rsidR="00D3326E">
        <w:t>62</w:t>
      </w:r>
      <w:r w:rsidRPr="001A1836">
        <w:t xml:space="preserve"> of this Agreement (Governing Law and Jurisdiction). The Provider shall not commence any court proceedings or arbitration until the expiry of such fifteen (15) Working Day period.</w:t>
      </w:r>
      <w:bookmarkEnd w:id="3338"/>
      <w:r w:rsidRPr="001A1836">
        <w:t xml:space="preserve"> </w:t>
      </w:r>
    </w:p>
    <w:p w14:paraId="010C0683" w14:textId="77777777" w:rsidR="008E344E" w:rsidRPr="001A1836" w:rsidRDefault="008E344E">
      <w:pPr>
        <w:pStyle w:val="GSRL4numberedclause"/>
      </w:pPr>
      <w:bookmarkStart w:id="3339" w:name="_Ref365645053"/>
      <w:r w:rsidRPr="001A1836">
        <w:lastRenderedPageBreak/>
        <w:t>If:</w:t>
      </w:r>
      <w:bookmarkEnd w:id="3339"/>
    </w:p>
    <w:p w14:paraId="456271C2" w14:textId="05831153" w:rsidR="008E344E" w:rsidRPr="001A1836" w:rsidRDefault="008E344E">
      <w:pPr>
        <w:pStyle w:val="GSRL5numberedclause"/>
      </w:pPr>
      <w:r w:rsidRPr="001A1836">
        <w:t>the Counter Notice requires the Dispute to be referred to arbitration, the provisions of paragraph </w:t>
      </w:r>
      <w:r w:rsidRPr="001A1836">
        <w:fldChar w:fldCharType="begin"/>
      </w:r>
      <w:r w:rsidRPr="001A1836">
        <w:instrText xml:space="preserve"> REF _Ref365644852 \r \h  \* MERGEFORMAT </w:instrText>
      </w:r>
      <w:r w:rsidRPr="001A1836">
        <w:fldChar w:fldCharType="separate"/>
      </w:r>
      <w:r w:rsidR="00C87D85">
        <w:t>5.4</w:t>
      </w:r>
      <w:r w:rsidRPr="001A1836">
        <w:fldChar w:fldCharType="end"/>
      </w:r>
      <w:r w:rsidRPr="001A1836">
        <w:t xml:space="preserve"> of this Schedule 19 shall apply; </w:t>
      </w:r>
    </w:p>
    <w:p w14:paraId="6CB2F2B8" w14:textId="295EF56E" w:rsidR="008E344E" w:rsidRPr="001A1836" w:rsidRDefault="008E344E">
      <w:pPr>
        <w:pStyle w:val="GSRL5numberedclause"/>
      </w:pPr>
      <w:r w:rsidRPr="001A1836">
        <w:t xml:space="preserve">the Counter Notice requires the Dispute to be subject to the exclusive jurisdiction of the courts in accordance with Clause </w:t>
      </w:r>
      <w:r w:rsidR="00A3089C">
        <w:t>62</w:t>
      </w:r>
      <w:r w:rsidRPr="001A1836">
        <w:t xml:space="preserve"> of this Agreement (Governing Law and Jurisdiction), the Dispute shall be so referred to the courts and the Provider shall not commence arbitration proceedings; </w:t>
      </w:r>
    </w:p>
    <w:p w14:paraId="281680F2" w14:textId="37CE75B3" w:rsidR="008E344E" w:rsidRPr="001A1836" w:rsidRDefault="008E344E">
      <w:pPr>
        <w:pStyle w:val="GSRL5numberedclause"/>
      </w:pPr>
      <w:r w:rsidRPr="001A1836">
        <w:t>HSE does not serve a Counter Notice within the fifteen (15) Working Days period referred to in paragraph </w:t>
      </w:r>
      <w:r w:rsidRPr="001A1836">
        <w:fldChar w:fldCharType="begin"/>
      </w:r>
      <w:r w:rsidRPr="001A1836">
        <w:instrText xml:space="preserve"> REF _Ref365642677 \r \h  \* MERGEFORMAT </w:instrText>
      </w:r>
      <w:r w:rsidRPr="001A1836">
        <w:fldChar w:fldCharType="separate"/>
      </w:r>
      <w:r w:rsidR="00C87D85">
        <w:t>5.2</w:t>
      </w:r>
      <w:r w:rsidRPr="001A1836">
        <w:fldChar w:fldCharType="end"/>
      </w:r>
      <w:r w:rsidRPr="001A1836">
        <w:t xml:space="preserve"> of this Schedule 19, the Provider may in accordance with the intent stated pursuant to paragraph 5.2 either commence arbitration proceedings in accordance with paragraph </w:t>
      </w:r>
      <w:r w:rsidRPr="001A1836">
        <w:fldChar w:fldCharType="begin"/>
      </w:r>
      <w:r w:rsidRPr="001A1836">
        <w:instrText xml:space="preserve"> REF _Ref365644852 \r \h  \* MERGEFORMAT </w:instrText>
      </w:r>
      <w:r w:rsidRPr="001A1836">
        <w:fldChar w:fldCharType="separate"/>
      </w:r>
      <w:r w:rsidR="00C87D85">
        <w:t>5.4</w:t>
      </w:r>
      <w:r w:rsidRPr="001A1836">
        <w:fldChar w:fldCharType="end"/>
      </w:r>
      <w:r w:rsidRPr="001A1836">
        <w:t xml:space="preserve"> of this Schedule 19 or commence court proceedings in the courts in accordance with Clause </w:t>
      </w:r>
      <w:r w:rsidR="00A3089C">
        <w:t>62</w:t>
      </w:r>
      <w:r w:rsidRPr="001A1836">
        <w:t xml:space="preserve"> of this Agreement (Governing Law and Jurisdiction) which shall (in those circumstances) have exclusive jurisdiction.</w:t>
      </w:r>
    </w:p>
    <w:p w14:paraId="025D8063" w14:textId="77777777" w:rsidR="008E344E" w:rsidRPr="001A1836" w:rsidRDefault="008E344E">
      <w:pPr>
        <w:pStyle w:val="GSRL4numberedclause"/>
      </w:pPr>
      <w:bookmarkStart w:id="3340" w:name="_Ref365644852"/>
      <w:r w:rsidRPr="001A1836">
        <w:t>In the event that any arbitration proceedings are commenced pursuant to paragraphs 5.1 to 5.3 of this Schedule 19, the Parties hereby confirm that:</w:t>
      </w:r>
      <w:bookmarkEnd w:id="3340"/>
    </w:p>
    <w:p w14:paraId="5812F97B" w14:textId="0BA2D15F" w:rsidR="008E344E" w:rsidRPr="001A1836" w:rsidRDefault="008E344E">
      <w:pPr>
        <w:pStyle w:val="GSRL5numberedclause"/>
      </w:pPr>
      <w:r w:rsidRPr="001A1836">
        <w:t>the dispute (including any issue as to the existence, validity or performance of this Agreement) shall be referred to and finally resolved by arbitration under the Rules of the London Court of International Arbitration (“</w:t>
      </w:r>
      <w:r w:rsidRPr="001A1836">
        <w:rPr>
          <w:b/>
        </w:rPr>
        <w:t>LCIA</w:t>
      </w:r>
      <w:r w:rsidRPr="001A1836">
        <w:t xml:space="preserve">”) (subject to paragraphs 5.4.3 and  5.4.6 of this Schedule 19); </w:t>
      </w:r>
    </w:p>
    <w:p w14:paraId="6AF9C145" w14:textId="77777777" w:rsidR="008E344E" w:rsidRPr="001A1836" w:rsidRDefault="008E344E">
      <w:pPr>
        <w:pStyle w:val="GSRL5numberedclause"/>
      </w:pPr>
      <w:r w:rsidRPr="001A1836">
        <w:t>the arbitration shall be administered by the LCIA;</w:t>
      </w:r>
    </w:p>
    <w:p w14:paraId="0A785FE4" w14:textId="77777777" w:rsidR="008E344E" w:rsidRPr="001A1836" w:rsidRDefault="008E344E">
      <w:pPr>
        <w:pStyle w:val="GSRL5numberedclause"/>
      </w:pPr>
      <w:r w:rsidRPr="001A1836">
        <w:t>the LCIA procedural rules in force at the date that the Dispute was referred to arbitration shall be applied and are deemed to be incorporated by reference into this Agreement and the decision of the arbitrator shall be binding on the Parties in the absence of any material failure to comply with such rules;</w:t>
      </w:r>
    </w:p>
    <w:p w14:paraId="47036FFD" w14:textId="77777777" w:rsidR="008E344E" w:rsidRPr="001A1836" w:rsidRDefault="008E344E">
      <w:pPr>
        <w:pStyle w:val="GSRL5numberedclause"/>
      </w:pPr>
      <w:r w:rsidRPr="001A1836">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9EC25A8" w14:textId="77777777" w:rsidR="008E344E" w:rsidRPr="001A1836" w:rsidRDefault="008E344E">
      <w:pPr>
        <w:pStyle w:val="GSRL5numberedclause"/>
      </w:pPr>
      <w:r w:rsidRPr="001A1836">
        <w:t xml:space="preserve">the arbitration proceedings shall take place in London and in the English language; and </w:t>
      </w:r>
    </w:p>
    <w:p w14:paraId="236D9BB0" w14:textId="77777777" w:rsidR="008E344E" w:rsidRPr="001A1836" w:rsidRDefault="008E344E">
      <w:pPr>
        <w:pStyle w:val="GSRL5numberedclause"/>
      </w:pPr>
      <w:bookmarkStart w:id="3341" w:name="_Ref380162874"/>
      <w:r w:rsidRPr="001A1836">
        <w:t>the seat of the arbitration shall be London.</w:t>
      </w:r>
      <w:bookmarkEnd w:id="3341"/>
    </w:p>
    <w:p w14:paraId="3EFA79DE" w14:textId="77777777" w:rsidR="008E344E" w:rsidRPr="001A1836" w:rsidRDefault="008E344E">
      <w:pPr>
        <w:pStyle w:val="GSRL3heading"/>
        <w:spacing w:before="240"/>
        <w:ind w:left="0" w:firstLine="0"/>
      </w:pPr>
      <w:bookmarkStart w:id="3342" w:name="_Toc508694495"/>
      <w:bookmarkStart w:id="3343" w:name="_Toc521327195"/>
      <w:bookmarkStart w:id="3344" w:name="_Toc521333428"/>
      <w:bookmarkStart w:id="3345" w:name="_Toc521484159"/>
      <w:bookmarkStart w:id="3346" w:name="_Toc521484922"/>
      <w:bookmarkStart w:id="3347" w:name="_Toc521485253"/>
      <w:bookmarkStart w:id="3348" w:name="_Toc521496991"/>
      <w:bookmarkStart w:id="3349" w:name="_Toc521498433"/>
      <w:bookmarkStart w:id="3350" w:name="_Toc529346125"/>
      <w:bookmarkStart w:id="3351" w:name="_Toc129038354"/>
      <w:bookmarkStart w:id="3352" w:name="_Toc129038640"/>
      <w:bookmarkStart w:id="3353" w:name="_Toc132268224"/>
      <w:bookmarkStart w:id="3354" w:name="_Toc132268530"/>
      <w:bookmarkStart w:id="3355" w:name="_Toc136198765"/>
      <w:bookmarkStart w:id="3356" w:name="_Toc136199046"/>
      <w:r w:rsidRPr="001A1836">
        <w:t>Expedited Dispute Timetable</w:t>
      </w:r>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p>
    <w:p w14:paraId="2A2205B4" w14:textId="77777777" w:rsidR="008E344E" w:rsidRPr="001A1836" w:rsidRDefault="008E344E">
      <w:pPr>
        <w:pStyle w:val="GSRL4numberedclause"/>
      </w:pPr>
      <w:r w:rsidRPr="001A1836">
        <w:t>In exceptional circumstances where the use of the times in this Schedule 19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HSE.</w:t>
      </w:r>
    </w:p>
    <w:p w14:paraId="76418BE0" w14:textId="77777777" w:rsidR="008E344E" w:rsidRPr="001A1836" w:rsidRDefault="008E344E">
      <w:pPr>
        <w:pStyle w:val="GSRL4numberedclause"/>
      </w:pPr>
      <w:r w:rsidRPr="001A1836">
        <w:t>If the use of the Expedited Dispute Timetable is determined in accordance with paragraph 6.1 of this Schedule 19 or is otherwise specified under the provisions of this Agreement, then the following periods of time shall apply in lieu of the time periods specified in the applicable paragraphs of this Schedule 19:</w:t>
      </w:r>
    </w:p>
    <w:p w14:paraId="4BA00723" w14:textId="77777777" w:rsidR="008E344E" w:rsidRPr="001A1836" w:rsidRDefault="008E344E">
      <w:pPr>
        <w:pStyle w:val="GSRL5numberedclause"/>
      </w:pPr>
      <w:r w:rsidRPr="001A1836">
        <w:t>in paragraph 1.4.5, fourteen (14) Working Days;</w:t>
      </w:r>
    </w:p>
    <w:p w14:paraId="553E9FCE" w14:textId="77777777" w:rsidR="008E344E" w:rsidRPr="001A1836" w:rsidRDefault="008E344E">
      <w:pPr>
        <w:pStyle w:val="GSRL5numberedclause"/>
      </w:pPr>
      <w:r w:rsidRPr="001A1836">
        <w:t>in paragraph 2.2, ten (10) Working Days;</w:t>
      </w:r>
    </w:p>
    <w:p w14:paraId="5E8596B9" w14:textId="77777777" w:rsidR="008E344E" w:rsidRPr="001A1836" w:rsidRDefault="008E344E">
      <w:pPr>
        <w:pStyle w:val="GSRL5numberedclause"/>
      </w:pPr>
      <w:r w:rsidRPr="001A1836">
        <w:lastRenderedPageBreak/>
        <w:t>in paragraph 3.2, ten (10) Working Days;</w:t>
      </w:r>
    </w:p>
    <w:p w14:paraId="45F41ED5" w14:textId="77777777" w:rsidR="008E344E" w:rsidRPr="001A1836" w:rsidRDefault="008E344E">
      <w:pPr>
        <w:pStyle w:val="GSRL5numberedclause"/>
      </w:pPr>
      <w:r w:rsidRPr="001A1836">
        <w:t>in paragraph 4.2, five (5) Working Days; and</w:t>
      </w:r>
    </w:p>
    <w:p w14:paraId="414FB33C" w14:textId="77777777" w:rsidR="008E344E" w:rsidRPr="001A1836" w:rsidRDefault="008E344E">
      <w:pPr>
        <w:pStyle w:val="GSRL5numberedclause"/>
      </w:pPr>
      <w:r w:rsidRPr="001A1836">
        <w:t>in paragraph 5.2, ten (10) Working Days.</w:t>
      </w:r>
    </w:p>
    <w:p w14:paraId="299BE72E" w14:textId="77777777" w:rsidR="008E344E" w:rsidRPr="001A1836" w:rsidRDefault="008E344E">
      <w:pPr>
        <w:pStyle w:val="GSRL4numberedclause"/>
      </w:pPr>
      <w:r w:rsidRPr="001A1836">
        <w:t xml:space="preserve">If at any point it becomes clear that an applicable deadline under paragraph 6.2 of this Schedule 19 cannot be met or has passed, the Parties may (but shall be under no obligation to) agree in writing to extend the relevant deadline. </w:t>
      </w:r>
    </w:p>
    <w:p w14:paraId="5D009624" w14:textId="6D62DCC5" w:rsidR="008E344E" w:rsidRPr="001A1836" w:rsidRDefault="008E344E">
      <w:pPr>
        <w:pStyle w:val="GSRL4numberedclause"/>
      </w:pPr>
      <w:r w:rsidRPr="001A1836">
        <w:t xml:space="preserve">If, pursuant to paragraph 6.2 of this Schedule 19, the Parties fail to agree within two (2) Working Days after the relevant deadline has passed, HSE may set a revised deadline provided that it is no less than five (5) Working Days before the end of the period of time specified in the applicable paragraphs under paragraph 6.2 (or no less than two (2) Working Days in the case of </w:t>
      </w:r>
      <w:r w:rsidR="00840A0F">
        <w:t>p</w:t>
      </w:r>
      <w:r w:rsidRPr="001A1836">
        <w:t xml:space="preserve">aragraph 4.2 of this Schedule 19). </w:t>
      </w:r>
    </w:p>
    <w:p w14:paraId="7A8CD963" w14:textId="77777777" w:rsidR="008E344E" w:rsidRPr="001A1836" w:rsidRDefault="008E344E">
      <w:pPr>
        <w:pStyle w:val="GSRL4numberedclause"/>
      </w:pPr>
      <w:r w:rsidRPr="001A1836">
        <w:t>Any agreed extension under paragraph 6.2 of this Schedule 19 shall have the effect of delaying the start of the subsequent stages by the period agreed in the extension. If HSE fails to set such a revised deadline then the use of the Expedited Dispute Timetable shall cease and the normal time periods shall apply from that point onwards.</w:t>
      </w:r>
    </w:p>
    <w:p w14:paraId="087CA3E7" w14:textId="77777777" w:rsidR="008E344E" w:rsidRPr="001A1836" w:rsidRDefault="008E344E">
      <w:pPr>
        <w:pStyle w:val="GSRL3heading"/>
        <w:spacing w:before="240"/>
        <w:ind w:left="0" w:firstLine="0"/>
      </w:pPr>
      <w:bookmarkStart w:id="3357" w:name="_Toc508694496"/>
      <w:bookmarkStart w:id="3358" w:name="_Toc521327196"/>
      <w:bookmarkStart w:id="3359" w:name="_Toc521333429"/>
      <w:bookmarkStart w:id="3360" w:name="_Toc521484160"/>
      <w:bookmarkStart w:id="3361" w:name="_Toc521484923"/>
      <w:bookmarkStart w:id="3362" w:name="_Toc521485254"/>
      <w:bookmarkStart w:id="3363" w:name="_Toc521496992"/>
      <w:bookmarkStart w:id="3364" w:name="_Toc521498434"/>
      <w:bookmarkStart w:id="3365" w:name="_Toc529346126"/>
      <w:bookmarkStart w:id="3366" w:name="_Toc129038355"/>
      <w:bookmarkStart w:id="3367" w:name="_Toc129038641"/>
      <w:bookmarkStart w:id="3368" w:name="_Toc132268225"/>
      <w:bookmarkStart w:id="3369" w:name="_Toc132268531"/>
      <w:bookmarkStart w:id="3370" w:name="_Toc136198766"/>
      <w:bookmarkStart w:id="3371" w:name="_Toc136199047"/>
      <w:r w:rsidRPr="001A1836">
        <w:t>Urgent relief</w:t>
      </w:r>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p>
    <w:p w14:paraId="30A88EFD" w14:textId="77777777" w:rsidR="008E344E" w:rsidRPr="001A1836" w:rsidRDefault="008E344E">
      <w:pPr>
        <w:pStyle w:val="GSRL4numberedclause"/>
      </w:pPr>
      <w:r w:rsidRPr="001A1836">
        <w:t>Either Party may at any time take proceedings or seek remedies before any court or tribunal of competent jurisdiction:</w:t>
      </w:r>
    </w:p>
    <w:p w14:paraId="4D8250FB" w14:textId="77777777" w:rsidR="008E344E" w:rsidRPr="001A1836" w:rsidRDefault="008E344E">
      <w:pPr>
        <w:pStyle w:val="GSRL5numberedclause"/>
      </w:pPr>
      <w:r w:rsidRPr="001A1836">
        <w:t>for interim or interlocutory remedies in relation to this Agreement or infringement by the other Party of that Party’s Intellectual Property Rights; or</w:t>
      </w:r>
    </w:p>
    <w:p w14:paraId="1B699B8E" w14:textId="608CBE01" w:rsidR="008E344E" w:rsidRPr="001A1836" w:rsidRDefault="008E344E">
      <w:pPr>
        <w:pStyle w:val="GSRL5numberedclause"/>
        <w:rPr>
          <w:color w:val="000000"/>
        </w:rPr>
      </w:pPr>
      <w:r w:rsidRPr="001A1836">
        <w:t xml:space="preserve">where compliance with paragraph </w:t>
      </w:r>
      <w:r w:rsidRPr="001A1836">
        <w:fldChar w:fldCharType="begin"/>
      </w:r>
      <w:r w:rsidRPr="001A1836">
        <w:instrText xml:space="preserve"> REF _Ref365645132 \r \h  \* MERGEFORMAT </w:instrText>
      </w:r>
      <w:r w:rsidRPr="001A1836">
        <w:fldChar w:fldCharType="separate"/>
      </w:r>
      <w:r w:rsidR="00C87D85">
        <w:t>1.1</w:t>
      </w:r>
      <w:r w:rsidRPr="001A1836">
        <w:fldChar w:fldCharType="end"/>
      </w:r>
      <w:r w:rsidRPr="001A1836">
        <w:t xml:space="preserve"> of this Schedule 19 and/or referring the Dispute to mediation may leave insufficient time for that Party to commence proceedings</w:t>
      </w:r>
      <w:r w:rsidRPr="001A1836">
        <w:rPr>
          <w:color w:val="000000"/>
        </w:rPr>
        <w:t xml:space="preserve"> before the expiry of the limitation period; or</w:t>
      </w:r>
    </w:p>
    <w:p w14:paraId="3D815F6B" w14:textId="621B2BAF" w:rsidR="008E344E" w:rsidRPr="001A1836" w:rsidRDefault="008E344E">
      <w:pPr>
        <w:pStyle w:val="GSRL5numberedclause"/>
        <w:rPr>
          <w:color w:val="000000"/>
        </w:rPr>
      </w:pPr>
      <w:r w:rsidRPr="001A1836">
        <w:rPr>
          <w:color w:val="000000"/>
        </w:rPr>
        <w:t xml:space="preserve">if the Parties fail to resolve the Dispute following good faith discussions and commercial negotiations and mediation (where applicable) is unsuccessful within </w:t>
      </w:r>
      <w:r w:rsidR="000C1F5C" w:rsidRPr="001A1836">
        <w:rPr>
          <w:color w:val="000000"/>
        </w:rPr>
        <w:t>sixty (</w:t>
      </w:r>
      <w:r w:rsidRPr="001A1836">
        <w:rPr>
          <w:color w:val="000000"/>
        </w:rPr>
        <w:t>60</w:t>
      </w:r>
      <w:r w:rsidR="000C1F5C" w:rsidRPr="001A1836">
        <w:rPr>
          <w:color w:val="000000"/>
        </w:rPr>
        <w:t>)</w:t>
      </w:r>
      <w:r w:rsidRPr="001A1836">
        <w:rPr>
          <w:color w:val="000000"/>
        </w:rPr>
        <w:t xml:space="preserve"> working days or such period as may be agreed by the Parties then any Dispute between the Parties may be referred to the Courts.     </w:t>
      </w:r>
    </w:p>
    <w:bookmarkEnd w:id="3271"/>
    <w:p w14:paraId="273654A1" w14:textId="77777777" w:rsidR="008E344E" w:rsidRPr="001A1836" w:rsidRDefault="008E344E" w:rsidP="008E344E">
      <w:pPr>
        <w:pStyle w:val="GSRL5numberedclause"/>
        <w:numPr>
          <w:ilvl w:val="0"/>
          <w:numId w:val="0"/>
        </w:numPr>
        <w:ind w:left="2127"/>
        <w:rPr>
          <w:color w:val="000000"/>
        </w:rPr>
      </w:pPr>
    </w:p>
    <w:p w14:paraId="6A596646" w14:textId="6BA5DC98" w:rsidR="008E344E" w:rsidRPr="001A1836" w:rsidRDefault="008E344E" w:rsidP="00CF1BDA"/>
    <w:p w14:paraId="02B577B5" w14:textId="77777777" w:rsidR="008E344E" w:rsidRPr="001A1836" w:rsidRDefault="008E344E" w:rsidP="00CF1BDA"/>
    <w:p w14:paraId="463EF798" w14:textId="3379AD85" w:rsidR="008E344E" w:rsidRPr="001A1836" w:rsidRDefault="008E344E" w:rsidP="00CF1BDA"/>
    <w:p w14:paraId="55C499D8" w14:textId="77777777" w:rsidR="008E344E" w:rsidRPr="001A1836" w:rsidRDefault="008E344E" w:rsidP="00CF1BDA">
      <w:bookmarkStart w:id="3372" w:name="_Toc501354527"/>
      <w:bookmarkStart w:id="3373" w:name="_Toc503523009"/>
    </w:p>
    <w:p w14:paraId="724EE1C3" w14:textId="77777777" w:rsidR="008E344E" w:rsidRPr="001A1836" w:rsidRDefault="008E344E" w:rsidP="00CF1BDA"/>
    <w:p w14:paraId="5737DE10" w14:textId="77777777" w:rsidR="008E344E" w:rsidRPr="001A1836" w:rsidRDefault="008E344E" w:rsidP="00CF1BDA"/>
    <w:p w14:paraId="154EFF21" w14:textId="77777777" w:rsidR="008E344E" w:rsidRPr="001A1836" w:rsidRDefault="008E344E" w:rsidP="00CF1BDA"/>
    <w:p w14:paraId="398E9DF6" w14:textId="77777777" w:rsidR="00394111" w:rsidRPr="001A1836" w:rsidRDefault="00394111" w:rsidP="00CF1BDA">
      <w:pPr>
        <w:pStyle w:val="GSRL1Scheduleheader"/>
        <w:sectPr w:rsidR="00394111" w:rsidRPr="001A1836" w:rsidSect="00F87B8D">
          <w:footerReference w:type="default" r:id="rId48"/>
          <w:pgSz w:w="11900" w:h="16840"/>
          <w:pgMar w:top="1134" w:right="1440" w:bottom="1440" w:left="1440" w:header="1077" w:footer="833" w:gutter="0"/>
          <w:cols w:space="708"/>
        </w:sectPr>
      </w:pPr>
    </w:p>
    <w:p w14:paraId="129E5D5F" w14:textId="1C6DC0EA" w:rsidR="008E344E" w:rsidRPr="001A1836" w:rsidRDefault="008E344E" w:rsidP="00CF1BDA">
      <w:pPr>
        <w:pStyle w:val="GSRL1Scheduleheader"/>
      </w:pPr>
      <w:bookmarkStart w:id="3374" w:name="_Toc129038356"/>
      <w:bookmarkStart w:id="3375" w:name="_Toc129038642"/>
      <w:bookmarkStart w:id="3376" w:name="_Toc132268226"/>
      <w:bookmarkStart w:id="3377" w:name="_Toc132268532"/>
      <w:bookmarkStart w:id="3378" w:name="_Toc136198767"/>
      <w:bookmarkStart w:id="3379" w:name="_Toc136199048"/>
      <w:bookmarkStart w:id="3380" w:name="_Toc188885266"/>
      <w:r w:rsidRPr="001A1836">
        <w:lastRenderedPageBreak/>
        <w:t xml:space="preserve">SCHEDULE 20: IT </w:t>
      </w:r>
      <w:r w:rsidR="00B949AC" w:rsidRPr="001A1836">
        <w:t>Requirements</w:t>
      </w:r>
      <w:bookmarkEnd w:id="3374"/>
      <w:bookmarkEnd w:id="3375"/>
      <w:bookmarkEnd w:id="3376"/>
      <w:bookmarkEnd w:id="3377"/>
      <w:bookmarkEnd w:id="3378"/>
      <w:bookmarkEnd w:id="3379"/>
      <w:bookmarkEnd w:id="3380"/>
    </w:p>
    <w:p w14:paraId="6221B4CD" w14:textId="75F45558" w:rsidR="008E344E" w:rsidRPr="001A1836" w:rsidRDefault="008E344E" w:rsidP="00CF1BDA">
      <w:pPr>
        <w:rPr>
          <w:rFonts w:eastAsiaTheme="majorEastAsia"/>
        </w:rPr>
      </w:pPr>
      <w:bookmarkStart w:id="3381" w:name="_Toc506997851"/>
      <w:bookmarkStart w:id="3382" w:name="_Toc501354528"/>
      <w:bookmarkStart w:id="3383" w:name="_Toc503523010"/>
      <w:bookmarkEnd w:id="3372"/>
      <w:bookmarkEnd w:id="3373"/>
    </w:p>
    <w:p w14:paraId="4222067F" w14:textId="77777777" w:rsidR="008E344E" w:rsidRPr="001A1836" w:rsidRDefault="008E344E" w:rsidP="00CF1BDA"/>
    <w:p w14:paraId="50D93342" w14:textId="20A60C83" w:rsidR="00A816FC" w:rsidRPr="001A1836" w:rsidRDefault="00A816FC" w:rsidP="00A816FC">
      <w:bookmarkStart w:id="3384" w:name="_Toc508871285"/>
      <w:bookmarkStart w:id="3385" w:name="_Toc521327198"/>
      <w:bookmarkStart w:id="3386" w:name="_Toc521333431"/>
      <w:bookmarkStart w:id="3387" w:name="_Toc521484161"/>
      <w:bookmarkStart w:id="3388" w:name="_Toc521484924"/>
      <w:bookmarkStart w:id="3389" w:name="_Toc521485255"/>
    </w:p>
    <w:p w14:paraId="0CFC2CD7" w14:textId="77777777" w:rsidR="00A816FC" w:rsidRPr="001A1836" w:rsidRDefault="00A816FC">
      <w:pPr>
        <w:spacing w:before="0" w:after="0"/>
        <w:rPr>
          <w:rFonts w:eastAsia="STZhongsong" w:cs="Arial"/>
          <w:b/>
          <w:caps/>
          <w:kern w:val="0"/>
          <w:sz w:val="24"/>
          <w:szCs w:val="22"/>
          <w:lang w:eastAsia="zh-CN"/>
        </w:rPr>
      </w:pPr>
      <w:r w:rsidRPr="001A1836">
        <w:br w:type="page"/>
      </w:r>
    </w:p>
    <w:p w14:paraId="26A31F1F" w14:textId="3727CD4F" w:rsidR="008E344E" w:rsidRPr="001A1836" w:rsidRDefault="008E344E" w:rsidP="00A816FC">
      <w:pPr>
        <w:pStyle w:val="GSRL2Sectionheading"/>
      </w:pPr>
      <w:bookmarkStart w:id="3390" w:name="_Toc521496994"/>
      <w:bookmarkStart w:id="3391" w:name="_Toc521498436"/>
      <w:bookmarkStart w:id="3392" w:name="_Toc129038358"/>
      <w:bookmarkStart w:id="3393" w:name="_Toc129038644"/>
      <w:bookmarkStart w:id="3394" w:name="_Toc132268228"/>
      <w:bookmarkStart w:id="3395" w:name="_Toc132268534"/>
      <w:bookmarkStart w:id="3396" w:name="_Toc132268593"/>
      <w:bookmarkStart w:id="3397" w:name="_Toc136198769"/>
      <w:bookmarkStart w:id="3398" w:name="_Toc136199050"/>
      <w:bookmarkStart w:id="3399" w:name="Schedule20"/>
      <w:r w:rsidRPr="001A1836">
        <w:lastRenderedPageBreak/>
        <w:t>Introduction</w:t>
      </w:r>
      <w:bookmarkEnd w:id="3381"/>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p>
    <w:p w14:paraId="53688BC5" w14:textId="77777777" w:rsidR="0073057E" w:rsidRDefault="0073057E" w:rsidP="004E2262">
      <w:pPr>
        <w:pStyle w:val="GSRL3heading"/>
        <w:numPr>
          <w:ilvl w:val="0"/>
          <w:numId w:val="110"/>
        </w:numPr>
      </w:pPr>
      <w:bookmarkStart w:id="3400" w:name="_Toc132268229"/>
      <w:bookmarkStart w:id="3401" w:name="_Toc132268535"/>
      <w:bookmarkStart w:id="3402" w:name="_Toc132268594"/>
      <w:bookmarkStart w:id="3403" w:name="_Toc136198770"/>
      <w:bookmarkStart w:id="3404" w:name="_Toc136199051"/>
      <w:bookmarkStart w:id="3405" w:name="_Toc506997852"/>
      <w:bookmarkStart w:id="3406" w:name="_Toc508871286"/>
      <w:bookmarkStart w:id="3407" w:name="_Toc521327199"/>
      <w:bookmarkStart w:id="3408" w:name="_Toc521333432"/>
      <w:bookmarkStart w:id="3409" w:name="_Toc521484162"/>
      <w:bookmarkStart w:id="3410" w:name="_Toc521484925"/>
      <w:bookmarkStart w:id="3411" w:name="_Toc521485256"/>
      <w:bookmarkStart w:id="3412" w:name="_Toc521496995"/>
      <w:bookmarkStart w:id="3413" w:name="_Toc521498437"/>
      <w:bookmarkStart w:id="3414" w:name="_Toc129038359"/>
      <w:bookmarkStart w:id="3415" w:name="_Toc129038645"/>
      <w:r>
        <w:t>Overview</w:t>
      </w:r>
      <w:bookmarkEnd w:id="3400"/>
      <w:bookmarkEnd w:id="3401"/>
      <w:bookmarkEnd w:id="3402"/>
      <w:bookmarkEnd w:id="3403"/>
      <w:bookmarkEnd w:id="3404"/>
      <w:r>
        <w:t xml:space="preserve"> </w:t>
      </w:r>
    </w:p>
    <w:p w14:paraId="6CC6E466" w14:textId="77777777" w:rsidR="0073057E" w:rsidRDefault="0073057E" w:rsidP="004E2262">
      <w:pPr>
        <w:pStyle w:val="GSRL4numberedclause"/>
        <w:numPr>
          <w:ilvl w:val="1"/>
          <w:numId w:val="57"/>
        </w:numPr>
      </w:pPr>
      <w:r>
        <w:t>This Schedule sets out the requirements for:</w:t>
      </w:r>
    </w:p>
    <w:p w14:paraId="2535031C" w14:textId="77777777" w:rsidR="0073057E" w:rsidRDefault="0073057E" w:rsidP="004E2262">
      <w:pPr>
        <w:pStyle w:val="GSRL5numberedclause"/>
        <w:numPr>
          <w:ilvl w:val="2"/>
          <w:numId w:val="57"/>
        </w:numPr>
      </w:pPr>
      <w:r>
        <w:t>the IT and data architecture;</w:t>
      </w:r>
    </w:p>
    <w:p w14:paraId="7DC50BEE" w14:textId="77777777" w:rsidR="0073057E" w:rsidRDefault="0073057E" w:rsidP="004E2262">
      <w:pPr>
        <w:pStyle w:val="GSRL5numberedclause"/>
        <w:numPr>
          <w:ilvl w:val="2"/>
          <w:numId w:val="57"/>
        </w:numPr>
      </w:pPr>
      <w:r>
        <w:t>IT security;</w:t>
      </w:r>
    </w:p>
    <w:p w14:paraId="0B67A399" w14:textId="77777777" w:rsidR="0073057E" w:rsidRDefault="0073057E" w:rsidP="004E2262">
      <w:pPr>
        <w:pStyle w:val="GSRL5numberedclause"/>
        <w:numPr>
          <w:ilvl w:val="2"/>
          <w:numId w:val="57"/>
        </w:numPr>
      </w:pPr>
      <w:r>
        <w:t>data quality auditing and reporting.</w:t>
      </w:r>
    </w:p>
    <w:p w14:paraId="21FBDB0F" w14:textId="77777777" w:rsidR="0073057E" w:rsidRDefault="0073057E" w:rsidP="004E2262">
      <w:pPr>
        <w:pStyle w:val="GSRL3heading"/>
        <w:numPr>
          <w:ilvl w:val="0"/>
          <w:numId w:val="57"/>
        </w:numPr>
      </w:pPr>
      <w:bookmarkStart w:id="3416" w:name="_Toc132268230"/>
      <w:bookmarkStart w:id="3417" w:name="_Toc132268536"/>
      <w:bookmarkStart w:id="3418" w:name="_Toc132268595"/>
      <w:bookmarkStart w:id="3419" w:name="_Toc136198771"/>
      <w:bookmarkStart w:id="3420" w:name="_Toc136199052"/>
      <w:r>
        <w:t>General architecture</w:t>
      </w:r>
      <w:bookmarkEnd w:id="3416"/>
      <w:bookmarkEnd w:id="3417"/>
      <w:bookmarkEnd w:id="3418"/>
      <w:bookmarkEnd w:id="3419"/>
      <w:bookmarkEnd w:id="3420"/>
    </w:p>
    <w:p w14:paraId="7126B6FF" w14:textId="7090B43D" w:rsidR="0073057E" w:rsidRDefault="0073057E" w:rsidP="004E2262">
      <w:pPr>
        <w:pStyle w:val="GSRL4numberedclause"/>
        <w:numPr>
          <w:ilvl w:val="1"/>
          <w:numId w:val="57"/>
        </w:numPr>
      </w:pPr>
      <w:r>
        <w:t xml:space="preserve">The Provider will support, maintain and improve the existing IT elements of the service, including those components currently provided by </w:t>
      </w:r>
      <w:r w:rsidR="003D6861">
        <w:t xml:space="preserve">the Previous Provider </w:t>
      </w:r>
      <w:r>
        <w:t xml:space="preserve">or third parties as a shared service not dedicated to </w:t>
      </w:r>
      <w:r w:rsidR="003D6861">
        <w:t>the Services</w:t>
      </w:r>
      <w:r>
        <w:t>. See attached diagram for more details</w:t>
      </w:r>
      <w:r w:rsidR="003D6861">
        <w:t>.</w:t>
      </w:r>
    </w:p>
    <w:p w14:paraId="02BC05D6" w14:textId="4E27D1BD" w:rsidR="0073057E" w:rsidRPr="0073057E" w:rsidRDefault="0073057E" w:rsidP="0073057E">
      <w:pPr>
        <w:pStyle w:val="GSRL4numberedclause"/>
        <w:numPr>
          <w:ilvl w:val="0"/>
          <w:numId w:val="0"/>
        </w:numPr>
        <w:ind w:left="720"/>
      </w:pPr>
      <w:r>
        <w:t xml:space="preserve"> </w:t>
      </w:r>
      <w:r w:rsidR="00247876">
        <w:t>REDACTED</w:t>
      </w:r>
    </w:p>
    <w:p w14:paraId="560F83F2" w14:textId="58C4CB5D" w:rsidR="0073057E" w:rsidRDefault="0073057E" w:rsidP="004E2262">
      <w:pPr>
        <w:pStyle w:val="GSRL4numberedclause"/>
        <w:numPr>
          <w:ilvl w:val="1"/>
          <w:numId w:val="57"/>
        </w:numPr>
      </w:pPr>
      <w:r>
        <w:t>Provider must ensure that data portability is maintained. Specifically this requires a web-based, open standards based, tiered architecture that supports loosely coupled components for ease of maintenance and integration.</w:t>
      </w:r>
    </w:p>
    <w:p w14:paraId="5D5BDDEA" w14:textId="631F5325" w:rsidR="004D790B" w:rsidRPr="004D790B" w:rsidRDefault="004D790B" w:rsidP="004E2262">
      <w:pPr>
        <w:pStyle w:val="GSRL4numberedclause"/>
        <w:numPr>
          <w:ilvl w:val="1"/>
          <w:numId w:val="57"/>
        </w:numPr>
      </w:pPr>
      <w:r>
        <w:t xml:space="preserve">Provider must ensure that all </w:t>
      </w:r>
      <w:r w:rsidRPr="004D790B">
        <w:t xml:space="preserve">COTS Software </w:t>
      </w:r>
      <w:r>
        <w:t>(as defined in Schedule 21 (Security</w:t>
      </w:r>
      <w:r w:rsidR="0007607F">
        <w:t xml:space="preserve"> Requirements and Plan</w:t>
      </w:r>
      <w:r>
        <w:t xml:space="preserve">) is </w:t>
      </w:r>
      <w:r w:rsidRPr="004D790B">
        <w:t>kept up to date such that all COTS Software are always in mainstream support throughout the Term unless otherwise agreed by HSE in writing. All COTS Software should be no more than N-1 versions behind the latest software release.</w:t>
      </w:r>
    </w:p>
    <w:p w14:paraId="2C45CF47" w14:textId="77777777" w:rsidR="0073057E" w:rsidRDefault="0073057E" w:rsidP="004E2262">
      <w:pPr>
        <w:pStyle w:val="GSRL3heading"/>
        <w:numPr>
          <w:ilvl w:val="0"/>
          <w:numId w:val="57"/>
        </w:numPr>
      </w:pPr>
      <w:bookmarkStart w:id="3421" w:name="_Toc132268231"/>
      <w:bookmarkStart w:id="3422" w:name="_Toc132268537"/>
      <w:bookmarkStart w:id="3423" w:name="_Toc132268596"/>
      <w:bookmarkStart w:id="3424" w:name="_Toc136198772"/>
      <w:bookmarkStart w:id="3425" w:name="_Toc136199053"/>
      <w:r>
        <w:t>Security</w:t>
      </w:r>
      <w:bookmarkEnd w:id="3421"/>
      <w:bookmarkEnd w:id="3422"/>
      <w:bookmarkEnd w:id="3423"/>
      <w:bookmarkEnd w:id="3424"/>
      <w:bookmarkEnd w:id="3425"/>
    </w:p>
    <w:p w14:paraId="0D2DB402" w14:textId="0D14B779" w:rsidR="0073057E" w:rsidRDefault="0073057E" w:rsidP="004E2262">
      <w:pPr>
        <w:pStyle w:val="GSRL4numberedclause"/>
        <w:numPr>
          <w:ilvl w:val="1"/>
          <w:numId w:val="57"/>
        </w:numPr>
      </w:pPr>
      <w:r w:rsidRPr="00EB53E6">
        <w:t xml:space="preserve">The IT </w:t>
      </w:r>
      <w:r w:rsidRPr="00551339">
        <w:t>aspects of the service</w:t>
      </w:r>
      <w:r w:rsidRPr="00EB53E6">
        <w:t xml:space="preserve"> must align to the NCSC 14 Cloud Security principles where appropriate and the UK Government Cyber Essentials scheme. The solution </w:t>
      </w:r>
      <w:r w:rsidRPr="00551339">
        <w:t>administers</w:t>
      </w:r>
      <w:r w:rsidRPr="00EB53E6">
        <w:t xml:space="preserve"> stakeholder and HSE-owned OFFICIAL data and must be secured appropriately in accordance with the </w:t>
      </w:r>
      <w:hyperlink r:id="rId49" w:history="1">
        <w:r w:rsidRPr="00EB53E6">
          <w:rPr>
            <w:rStyle w:val="Hyperlink"/>
            <w:u w:val="single"/>
            <w:lang w:eastAsia="en-GB"/>
          </w:rPr>
          <w:t>Government Security Classifications</w:t>
        </w:r>
      </w:hyperlink>
      <w:r>
        <w:rPr>
          <w:rStyle w:val="Hyperlink"/>
          <w:u w:val="single"/>
          <w:lang w:eastAsia="en-GB"/>
        </w:rPr>
        <w:t xml:space="preserve"> and Government Functional Standard for Security, GovS007</w:t>
      </w:r>
      <w:r>
        <w:t>.</w:t>
      </w:r>
    </w:p>
    <w:p w14:paraId="2D5F62B5" w14:textId="77777777" w:rsidR="0073057E" w:rsidRDefault="0073057E" w:rsidP="004E2262">
      <w:pPr>
        <w:pStyle w:val="GSRL4numberedclause"/>
        <w:numPr>
          <w:ilvl w:val="1"/>
          <w:numId w:val="57"/>
        </w:numPr>
      </w:pPr>
      <w:r>
        <w:t>Data storage devices must be sanitised at the end of their operational life or use for GSR and will fall within existing HSE policies and procedures for secure disposal.</w:t>
      </w:r>
    </w:p>
    <w:p w14:paraId="3F5A7326" w14:textId="77777777" w:rsidR="0073057E" w:rsidRDefault="0073057E" w:rsidP="004E2262">
      <w:pPr>
        <w:pStyle w:val="GSRL4numberedclause"/>
        <w:numPr>
          <w:ilvl w:val="1"/>
          <w:numId w:val="57"/>
        </w:numPr>
      </w:pPr>
      <w:r>
        <w:t>The Provider must have an effective IT and information security, management and administration governance structure and process.</w:t>
      </w:r>
    </w:p>
    <w:p w14:paraId="0C0057E4" w14:textId="77777777" w:rsidR="0073057E" w:rsidRDefault="0073057E" w:rsidP="004E2262">
      <w:pPr>
        <w:pStyle w:val="GSRL4numberedclause"/>
        <w:numPr>
          <w:ilvl w:val="1"/>
          <w:numId w:val="57"/>
        </w:numPr>
      </w:pPr>
      <w:r>
        <w:t xml:space="preserve">The Provider must have an effective change management process. This must include a full design documentation set and associated audit trail process and records </w:t>
      </w:r>
    </w:p>
    <w:p w14:paraId="04388C90" w14:textId="77777777" w:rsidR="0073057E" w:rsidRDefault="0073057E" w:rsidP="004E2262">
      <w:pPr>
        <w:pStyle w:val="GSRL4numberedclause"/>
        <w:numPr>
          <w:ilvl w:val="1"/>
          <w:numId w:val="57"/>
        </w:numPr>
      </w:pPr>
      <w:r>
        <w:t xml:space="preserve">The Provider must have an effective vulnerability management process: </w:t>
      </w:r>
    </w:p>
    <w:p w14:paraId="087535C6" w14:textId="77777777" w:rsidR="0073057E" w:rsidRDefault="0073057E" w:rsidP="004E2262">
      <w:pPr>
        <w:pStyle w:val="GSRL5numberedclause"/>
        <w:numPr>
          <w:ilvl w:val="2"/>
          <w:numId w:val="57"/>
        </w:numPr>
      </w:pPr>
      <w:r>
        <w:t>the HSE Patching Policy applies. The key principles are that vulnerabilities are actively sought in and removed from all applications and platforms that make up the system;</w:t>
      </w:r>
    </w:p>
    <w:p w14:paraId="139CAF05" w14:textId="77A1499B" w:rsidR="0073057E" w:rsidRDefault="0073057E" w:rsidP="004E2262">
      <w:pPr>
        <w:pStyle w:val="GSRL5numberedclause"/>
        <w:numPr>
          <w:ilvl w:val="2"/>
          <w:numId w:val="57"/>
        </w:numPr>
      </w:pPr>
      <w:r>
        <w:t xml:space="preserve">the Provider shall be responsible for deploying and where appropriate, creating patches to remediate </w:t>
      </w:r>
      <w:r w:rsidR="005D4FD1">
        <w:t xml:space="preserve">all </w:t>
      </w:r>
      <w:r>
        <w:t>security vulnerabilities.</w:t>
      </w:r>
    </w:p>
    <w:p w14:paraId="7CF30E3B" w14:textId="77777777" w:rsidR="0073057E" w:rsidRDefault="0073057E" w:rsidP="004E2262">
      <w:pPr>
        <w:pStyle w:val="GSRL4numberedclause"/>
        <w:numPr>
          <w:ilvl w:val="1"/>
          <w:numId w:val="57"/>
        </w:numPr>
      </w:pPr>
      <w:r>
        <w:t>Secure processes, such as separation of administrative duties and principle of least privilege, must be maintained.</w:t>
      </w:r>
    </w:p>
    <w:p w14:paraId="1375EF36" w14:textId="77777777" w:rsidR="0073057E" w:rsidRDefault="0073057E" w:rsidP="004E2262">
      <w:pPr>
        <w:pStyle w:val="GSRL4numberedclause"/>
        <w:numPr>
          <w:ilvl w:val="1"/>
          <w:numId w:val="57"/>
        </w:numPr>
      </w:pPr>
      <w:r>
        <w:lastRenderedPageBreak/>
        <w:t>Development and change processes should follow recognised best practice and consider security throughout the software development lifecycle. Independent security testing of the system and remediation may be required before acceptance of changes.</w:t>
      </w:r>
    </w:p>
    <w:p w14:paraId="2E66B52C" w14:textId="77777777" w:rsidR="0073057E" w:rsidRDefault="0073057E" w:rsidP="004E2262">
      <w:pPr>
        <w:pStyle w:val="GSRL4numberedclause"/>
        <w:numPr>
          <w:ilvl w:val="1"/>
          <w:numId w:val="57"/>
        </w:numPr>
      </w:pPr>
      <w:r>
        <w:t>Secure user management, including the process of registration and deregistration, must be maintained.</w:t>
      </w:r>
    </w:p>
    <w:p w14:paraId="3541288F" w14:textId="6ECF43FE" w:rsidR="0073057E" w:rsidRDefault="0073057E" w:rsidP="004E2262">
      <w:pPr>
        <w:pStyle w:val="GSRL4numberedclause"/>
        <w:numPr>
          <w:ilvl w:val="1"/>
          <w:numId w:val="57"/>
        </w:numPr>
      </w:pPr>
      <w:r>
        <w:t>2 or multi- factor authentication, as per NCSC guidance (</w:t>
      </w:r>
      <w:hyperlink r:id="rId50" w:history="1">
        <w:r>
          <w:rPr>
            <w:rStyle w:val="Hyperlink"/>
          </w:rPr>
          <w:t>Multi-factor authentication for online services - NCSC.GOV.UK</w:t>
        </w:r>
      </w:hyperlink>
      <w:r>
        <w:t>) must be applied, with::</w:t>
      </w:r>
    </w:p>
    <w:p w14:paraId="1FBDCC0B" w14:textId="77777777" w:rsidR="0073057E" w:rsidRDefault="0073057E" w:rsidP="004E2262">
      <w:pPr>
        <w:pStyle w:val="GSRL5numberedclause"/>
        <w:numPr>
          <w:ilvl w:val="2"/>
          <w:numId w:val="57"/>
        </w:numPr>
      </w:pPr>
      <w:r>
        <w:t>the selection of authentication mechanism justified by risk assessment;</w:t>
      </w:r>
    </w:p>
    <w:p w14:paraId="4F499085" w14:textId="77777777" w:rsidR="0073057E" w:rsidRDefault="0073057E" w:rsidP="004E2262">
      <w:pPr>
        <w:pStyle w:val="GSRL5numberedclause"/>
        <w:numPr>
          <w:ilvl w:val="2"/>
          <w:numId w:val="57"/>
        </w:numPr>
      </w:pPr>
      <w:r>
        <w:t>the authentication mechanism protected (e.g. against repeated password attempts or session capture).</w:t>
      </w:r>
    </w:p>
    <w:p w14:paraId="543A25F1" w14:textId="77777777" w:rsidR="0073057E" w:rsidRDefault="0073057E" w:rsidP="004E2262">
      <w:pPr>
        <w:pStyle w:val="GSRL4numberedclause"/>
        <w:numPr>
          <w:ilvl w:val="1"/>
          <w:numId w:val="57"/>
        </w:numPr>
      </w:pPr>
      <w:r>
        <w:t>The protection of the external interface of the system against web-based attack must be maintained or improved.</w:t>
      </w:r>
    </w:p>
    <w:p w14:paraId="55CE7068" w14:textId="77777777" w:rsidR="0073057E" w:rsidRDefault="0073057E" w:rsidP="004E2262">
      <w:pPr>
        <w:pStyle w:val="GSRL4numberedclause"/>
        <w:numPr>
          <w:ilvl w:val="1"/>
          <w:numId w:val="57"/>
        </w:numPr>
      </w:pPr>
      <w:r>
        <w:t>For secure system administration:</w:t>
      </w:r>
    </w:p>
    <w:p w14:paraId="6BBB2829" w14:textId="77777777" w:rsidR="0073057E" w:rsidRDefault="0073057E" w:rsidP="004E2262">
      <w:pPr>
        <w:pStyle w:val="GSRL5numberedclause"/>
        <w:numPr>
          <w:ilvl w:val="2"/>
          <w:numId w:val="57"/>
        </w:numPr>
      </w:pPr>
      <w:r>
        <w:t>separate channels must be used and administration from or across the external interface shall not be possible.</w:t>
      </w:r>
    </w:p>
    <w:p w14:paraId="060099B2" w14:textId="77777777" w:rsidR="0073057E" w:rsidRDefault="0073057E" w:rsidP="004E2262">
      <w:pPr>
        <w:pStyle w:val="GSRL4numberedclause"/>
        <w:numPr>
          <w:ilvl w:val="1"/>
          <w:numId w:val="57"/>
        </w:numPr>
      </w:pPr>
      <w:r>
        <w:t>The system should encourage secure behaviour by all users.  Where changes are made:</w:t>
      </w:r>
    </w:p>
    <w:p w14:paraId="6014EB3F" w14:textId="77777777" w:rsidR="0073057E" w:rsidRDefault="0073057E" w:rsidP="004E2262">
      <w:pPr>
        <w:pStyle w:val="GSRL5numberedclause"/>
        <w:numPr>
          <w:ilvl w:val="2"/>
          <w:numId w:val="57"/>
        </w:numPr>
      </w:pPr>
      <w:r>
        <w:t>the system should apply the NCSC Secure by Default principles (see link in Table 1 below), particularly ‘security should not require specific technical understanding or non-obvious behaviour from the user’;</w:t>
      </w:r>
    </w:p>
    <w:p w14:paraId="1D91C8D3" w14:textId="77777777" w:rsidR="0073057E" w:rsidRDefault="0073057E" w:rsidP="004E2262">
      <w:pPr>
        <w:pStyle w:val="GSRL5numberedclause"/>
        <w:numPr>
          <w:ilvl w:val="2"/>
          <w:numId w:val="57"/>
        </w:numPr>
      </w:pPr>
      <w:r>
        <w:t>understandable documentation must also be available that sets out the security implications of changes to configuration available to end users and privileged users;</w:t>
      </w:r>
    </w:p>
    <w:p w14:paraId="7CD20092" w14:textId="77777777" w:rsidR="0073057E" w:rsidRDefault="0073057E" w:rsidP="004E2262">
      <w:pPr>
        <w:pStyle w:val="GSRL5numberedclause"/>
        <w:numPr>
          <w:ilvl w:val="2"/>
          <w:numId w:val="57"/>
        </w:numPr>
      </w:pPr>
      <w:r>
        <w:t>unnecessary features or services must be disabled or removed.</w:t>
      </w:r>
    </w:p>
    <w:p w14:paraId="1F6CCA8A" w14:textId="77777777" w:rsidR="0073057E" w:rsidRDefault="0073057E" w:rsidP="004E2262">
      <w:pPr>
        <w:pStyle w:val="GSRL4numberedclause"/>
        <w:numPr>
          <w:ilvl w:val="1"/>
          <w:numId w:val="57"/>
        </w:numPr>
      </w:pPr>
      <w:r>
        <w:t>The Provider must adhere to the security standards listed in Table 1.</w:t>
      </w:r>
    </w:p>
    <w:p w14:paraId="2BA2E062" w14:textId="77777777" w:rsidR="0073057E" w:rsidRDefault="0073057E" w:rsidP="0073057E">
      <w:pPr>
        <w:rPr>
          <w:lang w:eastAsia="en-GB"/>
        </w:rPr>
      </w:pPr>
    </w:p>
    <w:p w14:paraId="2286D7AF" w14:textId="77777777" w:rsidR="0073057E" w:rsidRDefault="0073057E" w:rsidP="0073057E">
      <w:pPr>
        <w:rPr>
          <w:lang w:eastAsia="en-GB"/>
        </w:rPr>
      </w:pPr>
      <w:r>
        <w:rPr>
          <w:b/>
          <w:lang w:eastAsia="en-GB"/>
        </w:rPr>
        <w:t xml:space="preserve">Table 1 </w:t>
      </w:r>
      <w:r>
        <w:rPr>
          <w:lang w:eastAsia="en-GB"/>
        </w:rPr>
        <w:t>Security standards references</w:t>
      </w:r>
    </w:p>
    <w:p w14:paraId="2A0D2460" w14:textId="77777777" w:rsidR="0073057E" w:rsidRDefault="0073057E" w:rsidP="0073057E">
      <w:pPr>
        <w:rPr>
          <w:lang w:eastAsia="en-GB"/>
        </w:rPr>
      </w:pPr>
    </w:p>
    <w:tbl>
      <w:tblPr>
        <w:tblStyle w:val="TableGrid"/>
        <w:tblW w:w="0" w:type="auto"/>
        <w:tblLayout w:type="fixed"/>
        <w:tblLook w:val="04A0" w:firstRow="1" w:lastRow="0" w:firstColumn="1" w:lastColumn="0" w:noHBand="0" w:noVBand="1"/>
      </w:tblPr>
      <w:tblGrid>
        <w:gridCol w:w="2518"/>
        <w:gridCol w:w="6718"/>
      </w:tblGrid>
      <w:tr w:rsidR="0073057E" w14:paraId="741DF87F" w14:textId="77777777" w:rsidTr="003D6861">
        <w:trPr>
          <w:cantSplit/>
          <w:tblHeader/>
        </w:trPr>
        <w:tc>
          <w:tcPr>
            <w:tcW w:w="2518" w:type="dxa"/>
            <w:tcBorders>
              <w:top w:val="single" w:sz="4" w:space="0" w:color="auto"/>
              <w:left w:val="single" w:sz="4" w:space="0" w:color="auto"/>
              <w:bottom w:val="single" w:sz="4" w:space="0" w:color="auto"/>
              <w:right w:val="single" w:sz="4" w:space="0" w:color="auto"/>
            </w:tcBorders>
          </w:tcPr>
          <w:p w14:paraId="55393B82" w14:textId="77777777" w:rsidR="0073057E" w:rsidRDefault="0073057E" w:rsidP="003D6861"/>
        </w:tc>
        <w:tc>
          <w:tcPr>
            <w:tcW w:w="6718" w:type="dxa"/>
            <w:tcBorders>
              <w:top w:val="single" w:sz="4" w:space="0" w:color="auto"/>
              <w:left w:val="single" w:sz="4" w:space="0" w:color="auto"/>
              <w:bottom w:val="single" w:sz="4" w:space="0" w:color="auto"/>
              <w:right w:val="single" w:sz="4" w:space="0" w:color="auto"/>
            </w:tcBorders>
            <w:hideMark/>
          </w:tcPr>
          <w:p w14:paraId="0FACD2C1" w14:textId="77777777" w:rsidR="0073057E" w:rsidRDefault="0073057E" w:rsidP="003D6861">
            <w:pPr>
              <w:rPr>
                <w:b/>
              </w:rPr>
            </w:pPr>
            <w:r>
              <w:rPr>
                <w:b/>
              </w:rPr>
              <w:t>Link or standard</w:t>
            </w:r>
          </w:p>
        </w:tc>
      </w:tr>
      <w:tr w:rsidR="0073057E" w14:paraId="250AFBC6" w14:textId="77777777" w:rsidTr="003D6861">
        <w:trPr>
          <w:cantSplit/>
          <w:tblHeader/>
        </w:trPr>
        <w:tc>
          <w:tcPr>
            <w:tcW w:w="2518" w:type="dxa"/>
            <w:tcBorders>
              <w:top w:val="single" w:sz="4" w:space="0" w:color="auto"/>
              <w:left w:val="single" w:sz="4" w:space="0" w:color="auto"/>
              <w:bottom w:val="single" w:sz="4" w:space="0" w:color="auto"/>
              <w:right w:val="single" w:sz="4" w:space="0" w:color="auto"/>
            </w:tcBorders>
          </w:tcPr>
          <w:p w14:paraId="3CD31DCB" w14:textId="77777777" w:rsidR="0073057E" w:rsidRDefault="0073057E" w:rsidP="003D6861">
            <w:r>
              <w:t xml:space="preserve">Government Functional Standards </w:t>
            </w:r>
          </w:p>
        </w:tc>
        <w:tc>
          <w:tcPr>
            <w:tcW w:w="6718" w:type="dxa"/>
            <w:tcBorders>
              <w:top w:val="single" w:sz="4" w:space="0" w:color="auto"/>
              <w:left w:val="single" w:sz="4" w:space="0" w:color="auto"/>
              <w:bottom w:val="single" w:sz="4" w:space="0" w:color="auto"/>
              <w:right w:val="single" w:sz="4" w:space="0" w:color="auto"/>
            </w:tcBorders>
          </w:tcPr>
          <w:p w14:paraId="0A2ABFC1" w14:textId="20705977" w:rsidR="0073057E" w:rsidRDefault="00247876" w:rsidP="003D6861">
            <w:pPr>
              <w:rPr>
                <w:b/>
              </w:rPr>
            </w:pPr>
            <w:hyperlink r:id="rId51" w:history="1">
              <w:r w:rsidR="0073057E" w:rsidRPr="006B0650">
                <w:rPr>
                  <w:color w:val="0000FF"/>
                  <w:u w:val="single"/>
                </w:rPr>
                <w:t>Functional Standards - GOV.UK (www.gov.uk)</w:t>
              </w:r>
            </w:hyperlink>
          </w:p>
        </w:tc>
      </w:tr>
      <w:tr w:rsidR="0073057E" w14:paraId="33BEBE19" w14:textId="77777777" w:rsidTr="003D6861">
        <w:trPr>
          <w:cantSplit/>
          <w:tblHeader/>
        </w:trPr>
        <w:tc>
          <w:tcPr>
            <w:tcW w:w="2518" w:type="dxa"/>
            <w:tcBorders>
              <w:top w:val="single" w:sz="4" w:space="0" w:color="auto"/>
              <w:left w:val="single" w:sz="4" w:space="0" w:color="auto"/>
              <w:bottom w:val="single" w:sz="4" w:space="0" w:color="auto"/>
              <w:right w:val="single" w:sz="4" w:space="0" w:color="auto"/>
            </w:tcBorders>
          </w:tcPr>
          <w:p w14:paraId="3169984C" w14:textId="77777777" w:rsidR="0073057E" w:rsidRDefault="0073057E" w:rsidP="003D6861">
            <w:r>
              <w:t>Government Functional Standard for Security GovS 007</w:t>
            </w:r>
          </w:p>
        </w:tc>
        <w:tc>
          <w:tcPr>
            <w:tcW w:w="6718" w:type="dxa"/>
            <w:tcBorders>
              <w:top w:val="single" w:sz="4" w:space="0" w:color="auto"/>
              <w:left w:val="single" w:sz="4" w:space="0" w:color="auto"/>
              <w:bottom w:val="single" w:sz="4" w:space="0" w:color="auto"/>
              <w:right w:val="single" w:sz="4" w:space="0" w:color="auto"/>
            </w:tcBorders>
          </w:tcPr>
          <w:p w14:paraId="3B046C62" w14:textId="1124FD2E" w:rsidR="0073057E" w:rsidRPr="00551339" w:rsidRDefault="00247876" w:rsidP="003D6861">
            <w:pPr>
              <w:rPr>
                <w:rStyle w:val="Hyperlink"/>
                <w:rFonts w:cs="Arial"/>
                <w:color w:val="0000FF"/>
                <w:kern w:val="0"/>
                <w:szCs w:val="22"/>
                <w:u w:val="single"/>
              </w:rPr>
            </w:pPr>
            <w:hyperlink r:id="rId52" w:history="1">
              <w:r w:rsidR="0073057E" w:rsidRPr="00551339">
                <w:rPr>
                  <w:rStyle w:val="Hyperlink"/>
                  <w:rFonts w:cs="Arial"/>
                  <w:color w:val="0000FF"/>
                  <w:kern w:val="0"/>
                  <w:szCs w:val="22"/>
                  <w:u w:val="single"/>
                </w:rPr>
                <w:t>https://www.gov.uk/government/publications/government-functional-standard-govs-007-security</w:t>
              </w:r>
            </w:hyperlink>
          </w:p>
        </w:tc>
      </w:tr>
      <w:tr w:rsidR="0073057E" w14:paraId="2813AAF0" w14:textId="77777777" w:rsidTr="003D6861">
        <w:trPr>
          <w:cantSplit/>
        </w:trPr>
        <w:tc>
          <w:tcPr>
            <w:tcW w:w="2518" w:type="dxa"/>
            <w:tcBorders>
              <w:top w:val="single" w:sz="4" w:space="0" w:color="auto"/>
              <w:left w:val="single" w:sz="4" w:space="0" w:color="auto"/>
              <w:bottom w:val="single" w:sz="4" w:space="0" w:color="auto"/>
              <w:right w:val="single" w:sz="4" w:space="0" w:color="auto"/>
            </w:tcBorders>
            <w:hideMark/>
          </w:tcPr>
          <w:p w14:paraId="378F9E66" w14:textId="77777777" w:rsidR="0073057E" w:rsidRDefault="0073057E" w:rsidP="003D6861">
            <w:r>
              <w:t>Security Policy Framework</w:t>
            </w:r>
          </w:p>
        </w:tc>
        <w:tc>
          <w:tcPr>
            <w:tcW w:w="6718" w:type="dxa"/>
            <w:tcBorders>
              <w:top w:val="single" w:sz="4" w:space="0" w:color="auto"/>
              <w:left w:val="single" w:sz="4" w:space="0" w:color="auto"/>
              <w:bottom w:val="single" w:sz="4" w:space="0" w:color="auto"/>
              <w:right w:val="single" w:sz="4" w:space="0" w:color="auto"/>
            </w:tcBorders>
            <w:hideMark/>
          </w:tcPr>
          <w:p w14:paraId="1BBC7650" w14:textId="5311841C" w:rsidR="0073057E" w:rsidRDefault="00247876" w:rsidP="003D6861">
            <w:hyperlink r:id="rId53" w:history="1">
              <w:r w:rsidR="0073057E">
                <w:rPr>
                  <w:rStyle w:val="Hyperlink"/>
                  <w:rFonts w:cs="Arial"/>
                  <w:color w:val="0000FF"/>
                  <w:kern w:val="0"/>
                  <w:szCs w:val="22"/>
                  <w:u w:val="single"/>
                </w:rPr>
                <w:t>https://www.gov.uk/government/publications/security-policy-framework</w:t>
              </w:r>
            </w:hyperlink>
          </w:p>
        </w:tc>
      </w:tr>
      <w:tr w:rsidR="0073057E" w14:paraId="0D040C37" w14:textId="77777777" w:rsidTr="003D6861">
        <w:trPr>
          <w:cantSplit/>
        </w:trPr>
        <w:tc>
          <w:tcPr>
            <w:tcW w:w="2518" w:type="dxa"/>
            <w:tcBorders>
              <w:top w:val="single" w:sz="4" w:space="0" w:color="auto"/>
              <w:left w:val="single" w:sz="4" w:space="0" w:color="auto"/>
              <w:bottom w:val="single" w:sz="4" w:space="0" w:color="auto"/>
              <w:right w:val="single" w:sz="4" w:space="0" w:color="auto"/>
            </w:tcBorders>
            <w:hideMark/>
          </w:tcPr>
          <w:p w14:paraId="159184CB" w14:textId="77777777" w:rsidR="0073057E" w:rsidRDefault="0073057E" w:rsidP="003D6861">
            <w:r>
              <w:t>Data centre and physical data security</w:t>
            </w:r>
          </w:p>
        </w:tc>
        <w:tc>
          <w:tcPr>
            <w:tcW w:w="6718" w:type="dxa"/>
            <w:tcBorders>
              <w:top w:val="single" w:sz="4" w:space="0" w:color="auto"/>
              <w:left w:val="single" w:sz="4" w:space="0" w:color="auto"/>
              <w:bottom w:val="single" w:sz="4" w:space="0" w:color="auto"/>
              <w:right w:val="single" w:sz="4" w:space="0" w:color="auto"/>
            </w:tcBorders>
            <w:hideMark/>
          </w:tcPr>
          <w:p w14:paraId="0AA01DCA" w14:textId="6205FB10" w:rsidR="0073057E" w:rsidRDefault="00247876" w:rsidP="003D6861">
            <w:pPr>
              <w:spacing w:after="0"/>
              <w:rPr>
                <w:rFonts w:cs="Arial"/>
                <w:kern w:val="0"/>
                <w:szCs w:val="22"/>
              </w:rPr>
            </w:pPr>
            <w:hyperlink r:id="rId54" w:history="1">
              <w:r w:rsidR="0073057E">
                <w:rPr>
                  <w:rStyle w:val="Hyperlink"/>
                  <w:rFonts w:cs="Arial"/>
                  <w:color w:val="0000FF"/>
                  <w:kern w:val="0"/>
                  <w:szCs w:val="22"/>
                  <w:u w:val="single"/>
                </w:rPr>
                <w:t>CSA CCM v3.0 </w:t>
              </w:r>
            </w:hyperlink>
          </w:p>
          <w:p w14:paraId="3BA39125" w14:textId="1A7D8D4D" w:rsidR="0073057E" w:rsidRDefault="00247876" w:rsidP="003D6861">
            <w:hyperlink r:id="rId55" w:history="1">
              <w:r w:rsidR="0073057E">
                <w:rPr>
                  <w:rStyle w:val="Hyperlink"/>
                  <w:rFonts w:cs="Arial"/>
                  <w:color w:val="0000FF"/>
                  <w:kern w:val="0"/>
                  <w:szCs w:val="22"/>
                  <w:u w:val="single"/>
                </w:rPr>
                <w:t>SSAE-16 / ISAE 3402</w:t>
              </w:r>
            </w:hyperlink>
          </w:p>
        </w:tc>
      </w:tr>
      <w:tr w:rsidR="0073057E" w14:paraId="781E0E96" w14:textId="77777777" w:rsidTr="003D6861">
        <w:trPr>
          <w:cantSplit/>
        </w:trPr>
        <w:tc>
          <w:tcPr>
            <w:tcW w:w="2518" w:type="dxa"/>
            <w:tcBorders>
              <w:top w:val="single" w:sz="4" w:space="0" w:color="auto"/>
              <w:left w:val="single" w:sz="4" w:space="0" w:color="auto"/>
              <w:bottom w:val="single" w:sz="4" w:space="0" w:color="auto"/>
              <w:right w:val="single" w:sz="4" w:space="0" w:color="auto"/>
            </w:tcBorders>
            <w:hideMark/>
          </w:tcPr>
          <w:p w14:paraId="6F55504D" w14:textId="77777777" w:rsidR="0073057E" w:rsidRDefault="0073057E" w:rsidP="003D6861">
            <w:r>
              <w:t>Information security governance</w:t>
            </w:r>
          </w:p>
        </w:tc>
        <w:tc>
          <w:tcPr>
            <w:tcW w:w="6718" w:type="dxa"/>
            <w:tcBorders>
              <w:top w:val="single" w:sz="4" w:space="0" w:color="auto"/>
              <w:left w:val="single" w:sz="4" w:space="0" w:color="auto"/>
              <w:bottom w:val="single" w:sz="4" w:space="0" w:color="auto"/>
              <w:right w:val="single" w:sz="4" w:space="0" w:color="auto"/>
            </w:tcBorders>
          </w:tcPr>
          <w:p w14:paraId="36F68E43" w14:textId="5DA27972" w:rsidR="0073057E" w:rsidRDefault="00247876" w:rsidP="003D6861">
            <w:pPr>
              <w:spacing w:after="0"/>
              <w:rPr>
                <w:rFonts w:cs="Arial"/>
                <w:color w:val="0000FF"/>
                <w:kern w:val="0"/>
                <w:szCs w:val="22"/>
                <w:u w:val="single"/>
              </w:rPr>
            </w:pPr>
            <w:hyperlink r:id="rId56" w:history="1">
              <w:r w:rsidR="0073057E">
                <w:rPr>
                  <w:rStyle w:val="Hyperlink"/>
                  <w:rFonts w:cs="Arial"/>
                  <w:color w:val="0000FF"/>
                  <w:kern w:val="0"/>
                  <w:szCs w:val="22"/>
                  <w:u w:val="single"/>
                </w:rPr>
                <w:t>ISO/IEC 27001</w:t>
              </w:r>
            </w:hyperlink>
          </w:p>
          <w:p w14:paraId="2BBC7695" w14:textId="77777777" w:rsidR="0073057E" w:rsidRDefault="0073057E" w:rsidP="003D6861"/>
        </w:tc>
      </w:tr>
      <w:tr w:rsidR="0073057E" w14:paraId="18F70E6A" w14:textId="77777777" w:rsidTr="003D6861">
        <w:trPr>
          <w:cantSplit/>
        </w:trPr>
        <w:tc>
          <w:tcPr>
            <w:tcW w:w="2518" w:type="dxa"/>
            <w:tcBorders>
              <w:top w:val="single" w:sz="4" w:space="0" w:color="auto"/>
              <w:left w:val="single" w:sz="4" w:space="0" w:color="auto"/>
              <w:bottom w:val="single" w:sz="4" w:space="0" w:color="auto"/>
              <w:right w:val="single" w:sz="4" w:space="0" w:color="auto"/>
            </w:tcBorders>
          </w:tcPr>
          <w:p w14:paraId="3422963E" w14:textId="77777777" w:rsidR="0073057E" w:rsidRDefault="0073057E" w:rsidP="003D6861"/>
        </w:tc>
        <w:tc>
          <w:tcPr>
            <w:tcW w:w="6718" w:type="dxa"/>
            <w:tcBorders>
              <w:top w:val="single" w:sz="4" w:space="0" w:color="auto"/>
              <w:left w:val="single" w:sz="4" w:space="0" w:color="auto"/>
              <w:bottom w:val="single" w:sz="4" w:space="0" w:color="auto"/>
              <w:right w:val="single" w:sz="4" w:space="0" w:color="auto"/>
            </w:tcBorders>
          </w:tcPr>
          <w:p w14:paraId="2DEA84D8" w14:textId="77777777" w:rsidR="0073057E" w:rsidRDefault="0073057E" w:rsidP="003D6861">
            <w:pPr>
              <w:spacing w:after="0"/>
            </w:pPr>
          </w:p>
        </w:tc>
      </w:tr>
      <w:tr w:rsidR="0073057E" w14:paraId="5409B679" w14:textId="77777777" w:rsidTr="003D6861">
        <w:trPr>
          <w:cantSplit/>
        </w:trPr>
        <w:tc>
          <w:tcPr>
            <w:tcW w:w="2518" w:type="dxa"/>
            <w:tcBorders>
              <w:top w:val="single" w:sz="4" w:space="0" w:color="auto"/>
              <w:left w:val="single" w:sz="4" w:space="0" w:color="auto"/>
              <w:bottom w:val="single" w:sz="4" w:space="0" w:color="auto"/>
              <w:right w:val="single" w:sz="4" w:space="0" w:color="auto"/>
            </w:tcBorders>
            <w:hideMark/>
          </w:tcPr>
          <w:p w14:paraId="58F0B7F9" w14:textId="77777777" w:rsidR="0073057E" w:rsidRDefault="0073057E" w:rsidP="003D6861">
            <w:r>
              <w:lastRenderedPageBreak/>
              <w:t>Secure development</w:t>
            </w:r>
          </w:p>
        </w:tc>
        <w:tc>
          <w:tcPr>
            <w:tcW w:w="6718" w:type="dxa"/>
            <w:tcBorders>
              <w:top w:val="single" w:sz="4" w:space="0" w:color="auto"/>
              <w:left w:val="single" w:sz="4" w:space="0" w:color="auto"/>
              <w:bottom w:val="single" w:sz="4" w:space="0" w:color="auto"/>
              <w:right w:val="single" w:sz="4" w:space="0" w:color="auto"/>
            </w:tcBorders>
            <w:hideMark/>
          </w:tcPr>
          <w:p w14:paraId="25CE9F87" w14:textId="3D19E647" w:rsidR="0073057E" w:rsidRDefault="00247876" w:rsidP="003D6861">
            <w:pPr>
              <w:spacing w:after="0"/>
              <w:rPr>
                <w:rFonts w:cs="Arial"/>
                <w:color w:val="0000FF"/>
                <w:kern w:val="0"/>
                <w:szCs w:val="22"/>
                <w:u w:val="single"/>
              </w:rPr>
            </w:pPr>
            <w:hyperlink r:id="rId57" w:history="1">
              <w:r w:rsidR="0073057E">
                <w:rPr>
                  <w:rStyle w:val="Hyperlink"/>
                  <w:rFonts w:cs="Arial"/>
                  <w:color w:val="0000FF"/>
                  <w:kern w:val="0"/>
                  <w:szCs w:val="22"/>
                  <w:u w:val="single"/>
                </w:rPr>
                <w:t>Safecode ‘Fundamental Practices for Secure Software Development’ </w:t>
              </w:r>
            </w:hyperlink>
          </w:p>
          <w:p w14:paraId="02CAD03E" w14:textId="25A3FFCC" w:rsidR="0073057E" w:rsidRDefault="00247876" w:rsidP="003D6861">
            <w:pPr>
              <w:spacing w:after="0"/>
              <w:rPr>
                <w:rFonts w:cs="Arial"/>
                <w:color w:val="0000FF"/>
                <w:kern w:val="0"/>
                <w:szCs w:val="22"/>
                <w:u w:val="single"/>
              </w:rPr>
            </w:pPr>
            <w:hyperlink r:id="rId58" w:history="1">
              <w:r w:rsidR="0073057E">
                <w:rPr>
                  <w:rStyle w:val="Hyperlink"/>
                  <w:rFonts w:cs="Arial"/>
                  <w:color w:val="0000FF"/>
                  <w:kern w:val="0"/>
                  <w:szCs w:val="22"/>
                  <w:u w:val="single"/>
                </w:rPr>
                <w:t>ISO/IEC 27034</w:t>
              </w:r>
            </w:hyperlink>
          </w:p>
          <w:p w14:paraId="39A397F7" w14:textId="1F98EBF6" w:rsidR="0073057E" w:rsidRDefault="0073057E" w:rsidP="003D6861">
            <w:pPr>
              <w:jc w:val="left"/>
            </w:pPr>
            <w:r>
              <w:t>The OWASP (</w:t>
            </w:r>
            <w:r>
              <w:rPr>
                <w:rFonts w:cs="Arial"/>
                <w:color w:val="0000FF"/>
                <w:kern w:val="0"/>
                <w:szCs w:val="22"/>
                <w:u w:val="single"/>
              </w:rPr>
              <w:t>https://www.owasp.org</w:t>
            </w:r>
            <w:r>
              <w:t xml:space="preserve">), including </w:t>
            </w:r>
            <w:hyperlink r:id="rId59" w:history="1">
              <w:r>
                <w:rPr>
                  <w:rStyle w:val="Hyperlink"/>
                  <w:rFonts w:cs="Arial"/>
                  <w:color w:val="0000FF"/>
                  <w:kern w:val="0"/>
                  <w:szCs w:val="22"/>
                  <w:u w:val="single"/>
                </w:rPr>
                <w:t>https://www.owasp.org/index.php/Category:OWASP_Application_Security_Verification_Standard_Project</w:t>
              </w:r>
            </w:hyperlink>
          </w:p>
        </w:tc>
      </w:tr>
      <w:tr w:rsidR="0073057E" w14:paraId="6CFE1D35" w14:textId="77777777" w:rsidTr="003D6861">
        <w:trPr>
          <w:cantSplit/>
        </w:trPr>
        <w:tc>
          <w:tcPr>
            <w:tcW w:w="2518" w:type="dxa"/>
            <w:tcBorders>
              <w:top w:val="single" w:sz="4" w:space="0" w:color="auto"/>
              <w:left w:val="single" w:sz="4" w:space="0" w:color="auto"/>
              <w:bottom w:val="single" w:sz="4" w:space="0" w:color="auto"/>
              <w:right w:val="single" w:sz="4" w:space="0" w:color="auto"/>
            </w:tcBorders>
          </w:tcPr>
          <w:p w14:paraId="13AA2557" w14:textId="77777777" w:rsidR="0073057E" w:rsidRDefault="0073057E" w:rsidP="003D6861"/>
        </w:tc>
        <w:tc>
          <w:tcPr>
            <w:tcW w:w="6718" w:type="dxa"/>
            <w:tcBorders>
              <w:top w:val="single" w:sz="4" w:space="0" w:color="auto"/>
              <w:left w:val="single" w:sz="4" w:space="0" w:color="auto"/>
              <w:bottom w:val="single" w:sz="4" w:space="0" w:color="auto"/>
              <w:right w:val="single" w:sz="4" w:space="0" w:color="auto"/>
            </w:tcBorders>
          </w:tcPr>
          <w:p w14:paraId="016724DF" w14:textId="77777777" w:rsidR="0073057E" w:rsidRDefault="0073057E" w:rsidP="003D6861"/>
        </w:tc>
      </w:tr>
      <w:tr w:rsidR="0073057E" w14:paraId="1876EE6B" w14:textId="77777777" w:rsidTr="003D6861">
        <w:trPr>
          <w:cantSplit/>
        </w:trPr>
        <w:tc>
          <w:tcPr>
            <w:tcW w:w="2518" w:type="dxa"/>
            <w:tcBorders>
              <w:top w:val="single" w:sz="4" w:space="0" w:color="auto"/>
              <w:left w:val="single" w:sz="4" w:space="0" w:color="auto"/>
              <w:bottom w:val="single" w:sz="4" w:space="0" w:color="auto"/>
              <w:right w:val="single" w:sz="4" w:space="0" w:color="auto"/>
            </w:tcBorders>
          </w:tcPr>
          <w:p w14:paraId="6BB35BCF" w14:textId="77777777" w:rsidR="0073057E" w:rsidRDefault="0073057E" w:rsidP="003D6861">
            <w:r>
              <w:t>NCSC Secure Design principles</w:t>
            </w:r>
          </w:p>
          <w:p w14:paraId="5AD60C9C" w14:textId="77777777" w:rsidR="0073057E" w:rsidRDefault="0073057E" w:rsidP="003D6861"/>
        </w:tc>
        <w:tc>
          <w:tcPr>
            <w:tcW w:w="6718" w:type="dxa"/>
            <w:tcBorders>
              <w:top w:val="single" w:sz="4" w:space="0" w:color="auto"/>
              <w:left w:val="single" w:sz="4" w:space="0" w:color="auto"/>
              <w:bottom w:val="single" w:sz="4" w:space="0" w:color="auto"/>
              <w:right w:val="single" w:sz="4" w:space="0" w:color="auto"/>
            </w:tcBorders>
            <w:hideMark/>
          </w:tcPr>
          <w:p w14:paraId="60AE929D" w14:textId="48A0EE58" w:rsidR="0073057E" w:rsidRDefault="00247876" w:rsidP="003D6861">
            <w:pPr>
              <w:spacing w:after="0"/>
              <w:rPr>
                <w:rFonts w:cs="Arial"/>
                <w:kern w:val="0"/>
                <w:szCs w:val="22"/>
              </w:rPr>
            </w:pPr>
            <w:hyperlink r:id="rId60" w:history="1">
              <w:r w:rsidR="0073057E">
                <w:rPr>
                  <w:rStyle w:val="Hyperlink"/>
                  <w:rFonts w:cs="Arial"/>
                  <w:color w:val="0000FF"/>
                  <w:kern w:val="0"/>
                  <w:szCs w:val="22"/>
                  <w:u w:val="single"/>
                </w:rPr>
                <w:t>https://www.ncsc.gov.uk/guidance/security-design-principles-digital-services-main</w:t>
              </w:r>
            </w:hyperlink>
          </w:p>
          <w:p w14:paraId="243B77FD" w14:textId="60E485BA" w:rsidR="0073057E" w:rsidRDefault="00247876" w:rsidP="003D6861">
            <w:pPr>
              <w:spacing w:after="0"/>
              <w:rPr>
                <w:rFonts w:cs="Arial"/>
                <w:kern w:val="0"/>
                <w:szCs w:val="22"/>
              </w:rPr>
            </w:pPr>
            <w:hyperlink r:id="rId61" w:history="1">
              <w:r w:rsidR="0073057E">
                <w:rPr>
                  <w:rStyle w:val="Hyperlink"/>
                  <w:rFonts w:cs="Arial"/>
                  <w:color w:val="0000FF"/>
                  <w:kern w:val="0"/>
                  <w:szCs w:val="22"/>
                  <w:u w:val="single"/>
                </w:rPr>
                <w:t>https://www.ncsc.gov.uk/articles/secure-default</w:t>
              </w:r>
            </w:hyperlink>
          </w:p>
        </w:tc>
      </w:tr>
      <w:tr w:rsidR="0073057E" w14:paraId="70C9E925" w14:textId="77777777" w:rsidTr="003D6861">
        <w:trPr>
          <w:cantSplit/>
        </w:trPr>
        <w:tc>
          <w:tcPr>
            <w:tcW w:w="2518" w:type="dxa"/>
            <w:tcBorders>
              <w:top w:val="single" w:sz="4" w:space="0" w:color="auto"/>
              <w:left w:val="single" w:sz="4" w:space="0" w:color="auto"/>
              <w:bottom w:val="single" w:sz="4" w:space="0" w:color="auto"/>
              <w:right w:val="single" w:sz="4" w:space="0" w:color="auto"/>
            </w:tcBorders>
            <w:hideMark/>
          </w:tcPr>
          <w:p w14:paraId="25A5399E" w14:textId="77777777" w:rsidR="0073057E" w:rsidRDefault="0073057E" w:rsidP="003D6861">
            <w:r>
              <w:t>Cyber essentials</w:t>
            </w:r>
          </w:p>
        </w:tc>
        <w:tc>
          <w:tcPr>
            <w:tcW w:w="6718" w:type="dxa"/>
            <w:tcBorders>
              <w:top w:val="single" w:sz="4" w:space="0" w:color="auto"/>
              <w:left w:val="single" w:sz="4" w:space="0" w:color="auto"/>
              <w:bottom w:val="single" w:sz="4" w:space="0" w:color="auto"/>
              <w:right w:val="single" w:sz="4" w:space="0" w:color="auto"/>
            </w:tcBorders>
            <w:hideMark/>
          </w:tcPr>
          <w:p w14:paraId="4EA02575" w14:textId="39EB0FA8" w:rsidR="0073057E" w:rsidRDefault="00247876" w:rsidP="003D6861">
            <w:pPr>
              <w:spacing w:after="0"/>
              <w:rPr>
                <w:rFonts w:cs="Arial"/>
                <w:kern w:val="0"/>
                <w:szCs w:val="22"/>
              </w:rPr>
            </w:pPr>
            <w:hyperlink r:id="rId62" w:history="1">
              <w:r w:rsidR="0073057E">
                <w:rPr>
                  <w:rStyle w:val="Hyperlink"/>
                  <w:rFonts w:cs="Arial"/>
                  <w:color w:val="0000FF"/>
                  <w:kern w:val="0"/>
                  <w:szCs w:val="22"/>
                  <w:u w:val="single"/>
                </w:rPr>
                <w:t>http://www.cyberessentials.org/index.html</w:t>
              </w:r>
            </w:hyperlink>
          </w:p>
        </w:tc>
      </w:tr>
    </w:tbl>
    <w:p w14:paraId="0D022303" w14:textId="77777777" w:rsidR="0073057E" w:rsidRDefault="0073057E" w:rsidP="0073057E"/>
    <w:p w14:paraId="2605D33A" w14:textId="77777777" w:rsidR="0073057E" w:rsidRDefault="0073057E" w:rsidP="004E2262">
      <w:pPr>
        <w:pStyle w:val="GSRL3heading"/>
        <w:numPr>
          <w:ilvl w:val="0"/>
          <w:numId w:val="57"/>
        </w:numPr>
      </w:pPr>
      <w:bookmarkStart w:id="3426" w:name="_Toc132268232"/>
      <w:bookmarkStart w:id="3427" w:name="_Toc132268538"/>
      <w:bookmarkStart w:id="3428" w:name="_Toc132268597"/>
      <w:bookmarkStart w:id="3429" w:name="_Toc136198773"/>
      <w:bookmarkStart w:id="3430" w:name="_Toc136199054"/>
      <w:r>
        <w:t>Data</w:t>
      </w:r>
      <w:bookmarkEnd w:id="3426"/>
      <w:bookmarkEnd w:id="3427"/>
      <w:bookmarkEnd w:id="3428"/>
      <w:bookmarkEnd w:id="3429"/>
      <w:bookmarkEnd w:id="3430"/>
    </w:p>
    <w:p w14:paraId="48852732" w14:textId="77777777" w:rsidR="0073057E" w:rsidRDefault="0073057E" w:rsidP="004E2262">
      <w:pPr>
        <w:pStyle w:val="GSRL4numberedclause"/>
        <w:numPr>
          <w:ilvl w:val="1"/>
          <w:numId w:val="57"/>
        </w:numPr>
      </w:pPr>
      <w:r>
        <w:t>The Provider will maintain a decoupled data tier as part of the overall solution.</w:t>
      </w:r>
    </w:p>
    <w:p w14:paraId="373D7BD0" w14:textId="77777777" w:rsidR="0073057E" w:rsidRDefault="0073057E" w:rsidP="004E2262">
      <w:pPr>
        <w:pStyle w:val="GSRL4numberedclause"/>
        <w:numPr>
          <w:ilvl w:val="1"/>
          <w:numId w:val="57"/>
        </w:numPr>
      </w:pPr>
      <w:r>
        <w:t>The Provider must maintain portability of the data from the IT solution. This is to ensure HSE can easily transfer the data to an alternative solution in the future.</w:t>
      </w:r>
    </w:p>
    <w:p w14:paraId="4CC39B73" w14:textId="77777777" w:rsidR="0073057E" w:rsidRDefault="0073057E" w:rsidP="004E2262">
      <w:pPr>
        <w:pStyle w:val="GSRL4numberedclause"/>
        <w:numPr>
          <w:ilvl w:val="1"/>
          <w:numId w:val="57"/>
        </w:numPr>
      </w:pPr>
      <w:r>
        <w:t>HSE must retain the ability to export all data from the register on request, in a format/sequence to be agreed with HSE.</w:t>
      </w:r>
    </w:p>
    <w:p w14:paraId="072F7029" w14:textId="77777777" w:rsidR="0073057E" w:rsidRDefault="0073057E" w:rsidP="004E2262">
      <w:pPr>
        <w:pStyle w:val="GSRL4numberedclause"/>
        <w:numPr>
          <w:ilvl w:val="1"/>
          <w:numId w:val="57"/>
        </w:numPr>
      </w:pPr>
      <w:r>
        <w:t xml:space="preserve">The Provider must maintain the Application Programming Interfaces (APIs) and user interfaces with third parties and to enable HSE operational access to the data. </w:t>
      </w:r>
    </w:p>
    <w:p w14:paraId="41EE7F28" w14:textId="77777777" w:rsidR="0073057E" w:rsidRDefault="0073057E" w:rsidP="004E2262">
      <w:pPr>
        <w:pStyle w:val="GSRL4numberedclause"/>
        <w:numPr>
          <w:ilvl w:val="1"/>
          <w:numId w:val="57"/>
        </w:numPr>
      </w:pPr>
      <w:r>
        <w:t>The Provider must ensure that the interfaces have sufficient safeguards to prevent:</w:t>
      </w:r>
    </w:p>
    <w:p w14:paraId="7590E616" w14:textId="77777777" w:rsidR="0073057E" w:rsidRDefault="0073057E" w:rsidP="004E2262">
      <w:pPr>
        <w:pStyle w:val="GSRL5numberedclause"/>
        <w:numPr>
          <w:ilvl w:val="2"/>
          <w:numId w:val="57"/>
        </w:numPr>
      </w:pPr>
      <w:r>
        <w:t xml:space="preserve">individuals or organisations not listed gaining access to Provider's System and the Registration Data; </w:t>
      </w:r>
    </w:p>
    <w:p w14:paraId="52D7E1E9" w14:textId="77777777" w:rsidR="0073057E" w:rsidRDefault="0073057E" w:rsidP="004E2262">
      <w:pPr>
        <w:pStyle w:val="GSRL5numberedclause"/>
        <w:numPr>
          <w:ilvl w:val="2"/>
          <w:numId w:val="57"/>
        </w:numPr>
      </w:pPr>
      <w:r>
        <w:t xml:space="preserve">individuals and organisations listed from gaining access to aspects of the Provider's system or registration data not required for the activities for which those individuals and organisations are listed. </w:t>
      </w:r>
    </w:p>
    <w:p w14:paraId="3F0294AA" w14:textId="77777777" w:rsidR="0073057E" w:rsidRDefault="0073057E" w:rsidP="004E2262">
      <w:pPr>
        <w:pStyle w:val="GSRL4numberedclause"/>
        <w:numPr>
          <w:ilvl w:val="1"/>
          <w:numId w:val="57"/>
        </w:numPr>
      </w:pPr>
      <w:r>
        <w:t>The Provider must ensure there is a process in place to maintain these APIs in accordance with HSE’s changing needs over time.</w:t>
      </w:r>
    </w:p>
    <w:p w14:paraId="610E229C" w14:textId="77777777" w:rsidR="0073057E" w:rsidRDefault="0073057E" w:rsidP="004E2262">
      <w:pPr>
        <w:pStyle w:val="GSRL4numberedclause"/>
        <w:numPr>
          <w:ilvl w:val="1"/>
          <w:numId w:val="57"/>
        </w:numPr>
      </w:pPr>
      <w:r>
        <w:t>The Provider must maintain a fully annotated data model of the underlying system to include identification of all personal identifiable data items.</w:t>
      </w:r>
    </w:p>
    <w:p w14:paraId="7652A73D" w14:textId="77777777" w:rsidR="0073057E" w:rsidRDefault="0073057E" w:rsidP="004E2262">
      <w:pPr>
        <w:pStyle w:val="GSRL5numberedclause"/>
        <w:numPr>
          <w:ilvl w:val="2"/>
          <w:numId w:val="57"/>
        </w:numPr>
      </w:pPr>
      <w:r>
        <w:t>Tables must be documented;</w:t>
      </w:r>
    </w:p>
    <w:p w14:paraId="5BE6D6EE" w14:textId="77777777" w:rsidR="0073057E" w:rsidRDefault="0073057E" w:rsidP="004E2262">
      <w:pPr>
        <w:pStyle w:val="GSRL5numberedclause"/>
        <w:numPr>
          <w:ilvl w:val="2"/>
          <w:numId w:val="57"/>
        </w:numPr>
      </w:pPr>
      <w:r>
        <w:t>All attributes must have their definitions documented and agreed with HSE;</w:t>
      </w:r>
    </w:p>
    <w:p w14:paraId="41D04765" w14:textId="77777777" w:rsidR="0073057E" w:rsidRDefault="0073057E" w:rsidP="004E2262">
      <w:pPr>
        <w:pStyle w:val="GSRL5numberedclause"/>
        <w:numPr>
          <w:ilvl w:val="2"/>
          <w:numId w:val="57"/>
        </w:numPr>
      </w:pPr>
      <w:r>
        <w:t>All attributes must be classified by type;</w:t>
      </w:r>
    </w:p>
    <w:p w14:paraId="6E4FCCD9" w14:textId="77777777" w:rsidR="0073057E" w:rsidRDefault="0073057E" w:rsidP="004E2262">
      <w:pPr>
        <w:pStyle w:val="GSRL5numberedclause"/>
        <w:numPr>
          <w:ilvl w:val="2"/>
          <w:numId w:val="57"/>
        </w:numPr>
      </w:pPr>
      <w:r>
        <w:lastRenderedPageBreak/>
        <w:t>Where ostensibly non-personally identifiable information combines to create personally identifiable information (PII), the attributes must be classified as PII;</w:t>
      </w:r>
    </w:p>
    <w:p w14:paraId="067294E6" w14:textId="77777777" w:rsidR="0073057E" w:rsidRDefault="0073057E" w:rsidP="004E2262">
      <w:pPr>
        <w:pStyle w:val="GSRL4numberedclause"/>
        <w:numPr>
          <w:ilvl w:val="1"/>
          <w:numId w:val="57"/>
        </w:numPr>
      </w:pPr>
      <w:r>
        <w:t>The Provider will be responsible for data quality within the system. This will be subject to a regular data quality audit which will be reviewed by HSE, as described in Annex 1 to this Schedule 20.</w:t>
      </w:r>
    </w:p>
    <w:p w14:paraId="74C6FCF7" w14:textId="77777777" w:rsidR="0073057E" w:rsidRDefault="0073057E" w:rsidP="004E2262">
      <w:pPr>
        <w:pStyle w:val="GSRL3heading"/>
        <w:numPr>
          <w:ilvl w:val="0"/>
          <w:numId w:val="57"/>
        </w:numPr>
      </w:pPr>
      <w:bookmarkStart w:id="3431" w:name="_Toc132268233"/>
      <w:bookmarkStart w:id="3432" w:name="_Toc132268539"/>
      <w:bookmarkStart w:id="3433" w:name="_Toc132268598"/>
      <w:bookmarkStart w:id="3434" w:name="_Toc136198774"/>
      <w:bookmarkStart w:id="3435" w:name="_Toc136199055"/>
      <w:r>
        <w:t>Data management</w:t>
      </w:r>
      <w:bookmarkEnd w:id="3431"/>
      <w:bookmarkEnd w:id="3432"/>
      <w:bookmarkEnd w:id="3433"/>
      <w:bookmarkEnd w:id="3434"/>
      <w:bookmarkEnd w:id="3435"/>
    </w:p>
    <w:p w14:paraId="10E37F87" w14:textId="77777777" w:rsidR="0073057E" w:rsidRDefault="0073057E" w:rsidP="004E2262">
      <w:pPr>
        <w:pStyle w:val="GSRL4numberedclause"/>
        <w:numPr>
          <w:ilvl w:val="1"/>
          <w:numId w:val="57"/>
        </w:numPr>
      </w:pPr>
      <w:r>
        <w:t>It will be necessary for the Provider to maintain the data management function for the Gas Safety Register. This includes:</w:t>
      </w:r>
    </w:p>
    <w:p w14:paraId="02A011D3" w14:textId="77777777" w:rsidR="0073057E" w:rsidRDefault="0073057E" w:rsidP="004E2262">
      <w:pPr>
        <w:pStyle w:val="GSRL4numberedclause"/>
        <w:numPr>
          <w:ilvl w:val="1"/>
          <w:numId w:val="57"/>
        </w:numPr>
      </w:pPr>
      <w:r>
        <w:t>Separation of user access and activities must be maintained, including:</w:t>
      </w:r>
    </w:p>
    <w:p w14:paraId="51D86C78" w14:textId="77777777" w:rsidR="0073057E" w:rsidRDefault="0073057E" w:rsidP="004E2262">
      <w:pPr>
        <w:pStyle w:val="GSRL5numberedclause"/>
        <w:numPr>
          <w:ilvl w:val="2"/>
          <w:numId w:val="57"/>
        </w:numPr>
      </w:pPr>
      <w:r>
        <w:t>separation between authorised:</w:t>
      </w:r>
    </w:p>
    <w:p w14:paraId="76C626DD" w14:textId="77777777" w:rsidR="0073057E" w:rsidRDefault="0073057E" w:rsidP="004E2262">
      <w:pPr>
        <w:pStyle w:val="GSRL6numberedclause"/>
        <w:numPr>
          <w:ilvl w:val="3"/>
          <w:numId w:val="57"/>
        </w:numPr>
      </w:pPr>
      <w:r>
        <w:t>external users;</w:t>
      </w:r>
    </w:p>
    <w:p w14:paraId="2ACDD303" w14:textId="77777777" w:rsidR="0073057E" w:rsidRDefault="0073057E" w:rsidP="004E2262">
      <w:pPr>
        <w:pStyle w:val="GSRL6numberedclause"/>
        <w:numPr>
          <w:ilvl w:val="3"/>
          <w:numId w:val="57"/>
        </w:numPr>
      </w:pPr>
      <w:r>
        <w:t>provider users;</w:t>
      </w:r>
    </w:p>
    <w:p w14:paraId="3524F521" w14:textId="77777777" w:rsidR="0073057E" w:rsidRDefault="0073057E" w:rsidP="004E2262">
      <w:pPr>
        <w:pStyle w:val="GSRL6numberedclause"/>
        <w:numPr>
          <w:ilvl w:val="3"/>
          <w:numId w:val="57"/>
        </w:numPr>
      </w:pPr>
      <w:r>
        <w:t>privileged and standard users;</w:t>
      </w:r>
    </w:p>
    <w:p w14:paraId="65DCC110" w14:textId="77777777" w:rsidR="0073057E" w:rsidRDefault="0073057E" w:rsidP="004E2262">
      <w:pPr>
        <w:pStyle w:val="GSRL5numberedclause"/>
        <w:numPr>
          <w:ilvl w:val="2"/>
          <w:numId w:val="57"/>
        </w:numPr>
      </w:pPr>
      <w:r>
        <w:rPr>
          <w:lang w:eastAsia="en-GB"/>
        </w:rPr>
        <w:t>integration into staff user, movers and leavers processes;</w:t>
      </w:r>
    </w:p>
    <w:p w14:paraId="60E766FD" w14:textId="77777777" w:rsidR="0073057E" w:rsidRDefault="0073057E" w:rsidP="004E2262">
      <w:pPr>
        <w:pStyle w:val="GSRL5numberedclause"/>
        <w:numPr>
          <w:ilvl w:val="2"/>
          <w:numId w:val="57"/>
        </w:numPr>
      </w:pPr>
      <w:r>
        <w:rPr>
          <w:lang w:eastAsia="en-GB"/>
        </w:rPr>
        <w:t>ensuring that each role only has access to information required to perform their tasks;</w:t>
      </w:r>
    </w:p>
    <w:p w14:paraId="2866F27F" w14:textId="77777777" w:rsidR="0073057E" w:rsidRDefault="0073057E" w:rsidP="004E2262">
      <w:pPr>
        <w:pStyle w:val="GSRL5numberedclause"/>
        <w:numPr>
          <w:ilvl w:val="2"/>
          <w:numId w:val="57"/>
        </w:numPr>
      </w:pPr>
      <w:r>
        <w:rPr>
          <w:lang w:eastAsia="en-GB"/>
        </w:rPr>
        <w:t>an audit trail of users, their access levels, and all associated changes;</w:t>
      </w:r>
    </w:p>
    <w:p w14:paraId="1071ABE9" w14:textId="77777777" w:rsidR="0073057E" w:rsidRDefault="0073057E" w:rsidP="004E2262">
      <w:pPr>
        <w:pStyle w:val="GSRL5numberedclause"/>
        <w:numPr>
          <w:ilvl w:val="2"/>
          <w:numId w:val="57"/>
        </w:numPr>
      </w:pPr>
      <w:r>
        <w:rPr>
          <w:lang w:eastAsia="en-GB"/>
        </w:rPr>
        <w:t>regular review of user access with associated audit trail;</w:t>
      </w:r>
    </w:p>
    <w:p w14:paraId="73DCBED7" w14:textId="77777777" w:rsidR="0073057E" w:rsidRDefault="0073057E" w:rsidP="004E2262">
      <w:pPr>
        <w:pStyle w:val="GSRL5numberedclause"/>
        <w:numPr>
          <w:ilvl w:val="2"/>
          <w:numId w:val="57"/>
        </w:numPr>
      </w:pPr>
      <w:r>
        <w:rPr>
          <w:lang w:eastAsia="en-GB"/>
        </w:rPr>
        <w:t>documentation  in a user access control procedure;</w:t>
      </w:r>
    </w:p>
    <w:p w14:paraId="76923CF5" w14:textId="77777777" w:rsidR="0073057E" w:rsidRDefault="0073057E" w:rsidP="004E2262">
      <w:pPr>
        <w:pStyle w:val="GSRL4numberedclause"/>
        <w:numPr>
          <w:ilvl w:val="1"/>
          <w:numId w:val="57"/>
        </w:numPr>
      </w:pPr>
      <w:r>
        <w:t>The identification of data owners and stewards. This should include Provider roles together with HSE roles;</w:t>
      </w:r>
    </w:p>
    <w:p w14:paraId="633970C6" w14:textId="77777777" w:rsidR="0073057E" w:rsidRDefault="0073057E" w:rsidP="004E2262">
      <w:pPr>
        <w:pStyle w:val="GSRL4numberedclause"/>
        <w:numPr>
          <w:ilvl w:val="1"/>
          <w:numId w:val="57"/>
        </w:numPr>
      </w:pPr>
      <w:r>
        <w:t>A clearly documented issue resolution process with associated roles and responsibilities;</w:t>
      </w:r>
    </w:p>
    <w:p w14:paraId="2DA839D1" w14:textId="3B1E70CC" w:rsidR="0073057E" w:rsidRDefault="0073057E" w:rsidP="004E2262">
      <w:pPr>
        <w:pStyle w:val="GSRL4numberedclause"/>
        <w:numPr>
          <w:ilvl w:val="1"/>
          <w:numId w:val="57"/>
        </w:numPr>
      </w:pPr>
      <w:r>
        <w:t>A regular data audit, as described in Annex 1 of this Schedule 20</w:t>
      </w:r>
      <w:r w:rsidR="0086498A">
        <w:t>;</w:t>
      </w:r>
    </w:p>
    <w:p w14:paraId="29BED142" w14:textId="77777777" w:rsidR="0073057E" w:rsidRDefault="0073057E" w:rsidP="004E2262">
      <w:pPr>
        <w:pStyle w:val="GSRL4numberedclause"/>
        <w:numPr>
          <w:ilvl w:val="1"/>
          <w:numId w:val="57"/>
        </w:numPr>
      </w:pPr>
      <w:r>
        <w:t>Identification of personally identifiable information together with evidence that this information is encrypted both in transit and rest. A personally identifiable information impact analysis must be completed for the initial build and ongoing changes;</w:t>
      </w:r>
    </w:p>
    <w:p w14:paraId="186E8BA6" w14:textId="77777777" w:rsidR="0073057E" w:rsidRDefault="0073057E" w:rsidP="004E2262">
      <w:pPr>
        <w:pStyle w:val="GSRL4numberedclause"/>
        <w:numPr>
          <w:ilvl w:val="1"/>
          <w:numId w:val="57"/>
        </w:numPr>
      </w:pPr>
      <w:r>
        <w:t>Terms and conditions for the system that cover as a minimum:</w:t>
      </w:r>
    </w:p>
    <w:p w14:paraId="63F01B65" w14:textId="77777777" w:rsidR="0073057E" w:rsidRDefault="0073057E" w:rsidP="004E2262">
      <w:pPr>
        <w:pStyle w:val="GSRL5numberedclause"/>
        <w:numPr>
          <w:ilvl w:val="2"/>
          <w:numId w:val="57"/>
        </w:numPr>
      </w:pPr>
      <w:r>
        <w:t>a description of all processes and associated profiling;</w:t>
      </w:r>
    </w:p>
    <w:p w14:paraId="0D57E576" w14:textId="77777777" w:rsidR="0073057E" w:rsidRDefault="0073057E" w:rsidP="004E2262">
      <w:pPr>
        <w:pStyle w:val="GSRL5numberedclause"/>
        <w:numPr>
          <w:ilvl w:val="2"/>
          <w:numId w:val="57"/>
        </w:numPr>
      </w:pPr>
      <w:r>
        <w:t>a description of all external services used by the system (e.g. payment engines);</w:t>
      </w:r>
    </w:p>
    <w:p w14:paraId="000A8556" w14:textId="77777777" w:rsidR="0073057E" w:rsidRDefault="0073057E" w:rsidP="004E2262">
      <w:pPr>
        <w:pStyle w:val="GSRL5numberedclause"/>
        <w:numPr>
          <w:ilvl w:val="2"/>
          <w:numId w:val="57"/>
        </w:numPr>
      </w:pPr>
      <w:r>
        <w:t>a statement that acknowledges that data from the system will be used for regulatory activity, together with a statement that explains that anonymised data may be used commercially by HSE.</w:t>
      </w:r>
    </w:p>
    <w:p w14:paraId="2EA9E0D3" w14:textId="77777777" w:rsidR="0073057E" w:rsidRDefault="0073057E" w:rsidP="004E2262">
      <w:pPr>
        <w:pStyle w:val="GSRL3heading"/>
        <w:numPr>
          <w:ilvl w:val="0"/>
          <w:numId w:val="57"/>
        </w:numPr>
      </w:pPr>
      <w:bookmarkStart w:id="3436" w:name="_Toc132268234"/>
      <w:bookmarkStart w:id="3437" w:name="_Toc132268540"/>
      <w:bookmarkStart w:id="3438" w:name="_Toc132268599"/>
      <w:bookmarkStart w:id="3439" w:name="_Toc136198775"/>
      <w:bookmarkStart w:id="3440" w:name="_Toc136199056"/>
      <w:r>
        <w:t>Government Digital Service Standard</w:t>
      </w:r>
      <w:bookmarkEnd w:id="3436"/>
      <w:bookmarkEnd w:id="3437"/>
      <w:bookmarkEnd w:id="3438"/>
      <w:bookmarkEnd w:id="3439"/>
      <w:bookmarkEnd w:id="3440"/>
    </w:p>
    <w:p w14:paraId="4622DB6A" w14:textId="77777777" w:rsidR="0073057E" w:rsidRDefault="0073057E" w:rsidP="004E2262">
      <w:pPr>
        <w:pStyle w:val="GSRL4numberedclause"/>
        <w:numPr>
          <w:ilvl w:val="1"/>
          <w:numId w:val="57"/>
        </w:numPr>
      </w:pPr>
      <w:r>
        <w:t xml:space="preserve">All public facing transactional services must meet the Government Digital Services Standard. </w:t>
      </w:r>
    </w:p>
    <w:p w14:paraId="4248540A" w14:textId="77777777" w:rsidR="0073057E" w:rsidRDefault="0073057E" w:rsidP="0073057E">
      <w:pPr>
        <w:spacing w:after="0"/>
        <w:rPr>
          <w:rFonts w:ascii="Arial Bold" w:eastAsiaTheme="majorEastAsia" w:hAnsi="Arial Bold" w:cs="Arial"/>
          <w:b/>
          <w:bCs/>
          <w:caps/>
          <w:kern w:val="32"/>
          <w:szCs w:val="32"/>
          <w:lang w:eastAsia="en-GB"/>
        </w:rPr>
      </w:pPr>
      <w:r>
        <w:rPr>
          <w:lang w:eastAsia="en-GB"/>
        </w:rPr>
        <w:br w:type="page"/>
      </w:r>
    </w:p>
    <w:p w14:paraId="6BCCD800" w14:textId="77777777" w:rsidR="0073057E" w:rsidRDefault="0073057E" w:rsidP="0073057E">
      <w:pPr>
        <w:pStyle w:val="GSRL2Sectionheading"/>
      </w:pPr>
      <w:bookmarkStart w:id="3441" w:name="_Toc132268235"/>
      <w:bookmarkStart w:id="3442" w:name="_Toc132268541"/>
      <w:bookmarkStart w:id="3443" w:name="_Toc132268600"/>
      <w:bookmarkStart w:id="3444" w:name="_Toc136198776"/>
      <w:bookmarkStart w:id="3445" w:name="_Toc136199057"/>
      <w:r>
        <w:lastRenderedPageBreak/>
        <w:t>Annex 1 – Data Quality Audit requirements</w:t>
      </w:r>
      <w:bookmarkEnd w:id="3441"/>
      <w:bookmarkEnd w:id="3442"/>
      <w:bookmarkEnd w:id="3443"/>
      <w:bookmarkEnd w:id="3444"/>
      <w:bookmarkEnd w:id="3445"/>
    </w:p>
    <w:p w14:paraId="2C876612" w14:textId="77777777" w:rsidR="0073057E" w:rsidRDefault="0073057E" w:rsidP="004E2262">
      <w:pPr>
        <w:pStyle w:val="GSRL3heading"/>
        <w:numPr>
          <w:ilvl w:val="0"/>
          <w:numId w:val="57"/>
        </w:numPr>
      </w:pPr>
      <w:bookmarkStart w:id="3446" w:name="_Toc132268236"/>
      <w:bookmarkStart w:id="3447" w:name="_Toc132268542"/>
      <w:bookmarkStart w:id="3448" w:name="_Toc132268601"/>
      <w:bookmarkStart w:id="3449" w:name="_Toc136198777"/>
      <w:bookmarkStart w:id="3450" w:name="_Toc136199058"/>
      <w:r>
        <w:t>Frequency of audit</w:t>
      </w:r>
      <w:bookmarkEnd w:id="3446"/>
      <w:bookmarkEnd w:id="3447"/>
      <w:bookmarkEnd w:id="3448"/>
      <w:bookmarkEnd w:id="3449"/>
      <w:bookmarkEnd w:id="3450"/>
    </w:p>
    <w:p w14:paraId="616393EF" w14:textId="77777777" w:rsidR="0073057E" w:rsidRDefault="0073057E" w:rsidP="004E2262">
      <w:pPr>
        <w:pStyle w:val="GSRL4numberedclause"/>
        <w:numPr>
          <w:ilvl w:val="1"/>
          <w:numId w:val="57"/>
        </w:numPr>
      </w:pPr>
      <w:r>
        <w:rPr>
          <w:lang w:eastAsia="en-GB"/>
        </w:rPr>
        <w:t>The Provider shall carry out a quarterly data quality audit within five (5) Working Days of the end of a quarter.</w:t>
      </w:r>
    </w:p>
    <w:p w14:paraId="442F1808" w14:textId="77777777" w:rsidR="0073057E" w:rsidRDefault="0073057E" w:rsidP="004E2262">
      <w:pPr>
        <w:pStyle w:val="GSRL4numberedclause"/>
        <w:numPr>
          <w:ilvl w:val="1"/>
          <w:numId w:val="57"/>
        </w:numPr>
      </w:pPr>
      <w:r>
        <w:rPr>
          <w:szCs w:val="24"/>
          <w:lang w:eastAsia="en-GB"/>
        </w:rPr>
        <w:t>The audit shall consider all interfacing systems, whether internal or third-party systems. For third-party systems, assurance must be demonstrated that the third-party has compliant data-related processes in place and evidence of their operation can be provided.</w:t>
      </w:r>
    </w:p>
    <w:p w14:paraId="5DB9CD6F" w14:textId="77777777" w:rsidR="0073057E" w:rsidRDefault="0073057E" w:rsidP="004E2262">
      <w:pPr>
        <w:pStyle w:val="GSRL4numberedclause"/>
        <w:numPr>
          <w:ilvl w:val="1"/>
          <w:numId w:val="57"/>
        </w:numPr>
      </w:pPr>
      <w:r>
        <w:rPr>
          <w:szCs w:val="24"/>
          <w:lang w:eastAsia="en-GB"/>
        </w:rPr>
        <w:t xml:space="preserve">The Provider shall prepare a report of the results of the data quality audit, the data quality report, and submit this report to HSE within ten (10) Working Days of the end of the quarter.  </w:t>
      </w:r>
    </w:p>
    <w:p w14:paraId="3C0B160F" w14:textId="77777777" w:rsidR="0073057E" w:rsidRDefault="0073057E" w:rsidP="004E2262">
      <w:pPr>
        <w:pStyle w:val="GSRL3heading"/>
        <w:numPr>
          <w:ilvl w:val="0"/>
          <w:numId w:val="57"/>
        </w:numPr>
      </w:pPr>
      <w:bookmarkStart w:id="3451" w:name="_Toc132268237"/>
      <w:bookmarkStart w:id="3452" w:name="_Toc132268543"/>
      <w:bookmarkStart w:id="3453" w:name="_Toc132268602"/>
      <w:bookmarkStart w:id="3454" w:name="_Toc136198778"/>
      <w:bookmarkStart w:id="3455" w:name="_Toc136199059"/>
      <w:r>
        <w:t>Data Quality Audit and Reporting</w:t>
      </w:r>
      <w:bookmarkEnd w:id="3451"/>
      <w:bookmarkEnd w:id="3452"/>
      <w:bookmarkEnd w:id="3453"/>
      <w:bookmarkEnd w:id="3454"/>
      <w:bookmarkEnd w:id="3455"/>
    </w:p>
    <w:p w14:paraId="105A0529" w14:textId="107EBFF9" w:rsidR="0073057E" w:rsidRDefault="001A54BC" w:rsidP="004E2262">
      <w:pPr>
        <w:pStyle w:val="GSRL4numberedclause"/>
        <w:numPr>
          <w:ilvl w:val="1"/>
          <w:numId w:val="57"/>
        </w:numPr>
      </w:pPr>
      <w:r>
        <w:t>Paragraph 8</w:t>
      </w:r>
      <w:r w:rsidR="0073057E">
        <w:t xml:space="preserve"> sets out the requirements for the reviewing and reporting requirements for the data quality audit:</w:t>
      </w:r>
    </w:p>
    <w:p w14:paraId="6884A2D9" w14:textId="77777777" w:rsidR="0073057E" w:rsidRDefault="0073057E" w:rsidP="004E2262">
      <w:pPr>
        <w:pStyle w:val="GSRL4numberedclause"/>
        <w:numPr>
          <w:ilvl w:val="1"/>
          <w:numId w:val="57"/>
        </w:numPr>
      </w:pPr>
      <w:r>
        <w:t>Systems (all interfacing systems, whether third-party of internal)</w:t>
      </w:r>
    </w:p>
    <w:p w14:paraId="43685E6F" w14:textId="77777777" w:rsidR="0073057E" w:rsidRDefault="0073057E" w:rsidP="004E2262">
      <w:pPr>
        <w:pStyle w:val="GSRL5numberedclause"/>
        <w:numPr>
          <w:ilvl w:val="2"/>
          <w:numId w:val="57"/>
        </w:numPr>
      </w:pPr>
      <w:r>
        <w:t>Total number of systems;</w:t>
      </w:r>
    </w:p>
    <w:p w14:paraId="15FBAEFB" w14:textId="77777777" w:rsidR="0073057E" w:rsidRDefault="0073057E" w:rsidP="004E2262">
      <w:pPr>
        <w:pStyle w:val="GSRL5numberedclause"/>
        <w:numPr>
          <w:ilvl w:val="2"/>
          <w:numId w:val="57"/>
        </w:numPr>
      </w:pPr>
      <w:r>
        <w:t>Number of internal systems;</w:t>
      </w:r>
    </w:p>
    <w:p w14:paraId="737480D0" w14:textId="77777777" w:rsidR="0073057E" w:rsidRDefault="0073057E" w:rsidP="004E2262">
      <w:pPr>
        <w:pStyle w:val="GSRL5numberedclause"/>
        <w:numPr>
          <w:ilvl w:val="2"/>
          <w:numId w:val="57"/>
        </w:numPr>
      </w:pPr>
      <w:r>
        <w:t>Number of third-party systems.</w:t>
      </w:r>
    </w:p>
    <w:p w14:paraId="577E9D27" w14:textId="3275CCD8" w:rsidR="0073057E" w:rsidRDefault="001A54BC" w:rsidP="004E2262">
      <w:pPr>
        <w:pStyle w:val="GSRL4numberedclause"/>
        <w:numPr>
          <w:ilvl w:val="1"/>
          <w:numId w:val="57"/>
        </w:numPr>
      </w:pPr>
      <w:r>
        <w:t>Paragraphs 8.4 – 8</w:t>
      </w:r>
      <w:r w:rsidR="0073057E">
        <w:t>.10 describe the detailed reporting requirements for each internal system:</w:t>
      </w:r>
    </w:p>
    <w:p w14:paraId="2F5FC918" w14:textId="77777777" w:rsidR="0073057E" w:rsidRDefault="0073057E" w:rsidP="004E2262">
      <w:pPr>
        <w:pStyle w:val="GSRL4numberedclause"/>
        <w:numPr>
          <w:ilvl w:val="1"/>
          <w:numId w:val="57"/>
        </w:numPr>
      </w:pPr>
      <w:r>
        <w:t>Change and version control log:</w:t>
      </w:r>
    </w:p>
    <w:p w14:paraId="08B27517" w14:textId="77777777" w:rsidR="0073057E" w:rsidRDefault="0073057E" w:rsidP="004E2262">
      <w:pPr>
        <w:pStyle w:val="GSRL5numberedclause"/>
        <w:numPr>
          <w:ilvl w:val="2"/>
          <w:numId w:val="57"/>
        </w:numPr>
      </w:pPr>
      <w:r>
        <w:t>Number of changes during the reporting period;</w:t>
      </w:r>
    </w:p>
    <w:p w14:paraId="41429EE4" w14:textId="77777777" w:rsidR="0073057E" w:rsidRDefault="0073057E" w:rsidP="004E2262">
      <w:pPr>
        <w:pStyle w:val="GSRL5numberedclause"/>
        <w:numPr>
          <w:ilvl w:val="2"/>
          <w:numId w:val="57"/>
        </w:numPr>
      </w:pPr>
      <w:r>
        <w:t>Version now running;</w:t>
      </w:r>
    </w:p>
    <w:p w14:paraId="33D658C3" w14:textId="77777777" w:rsidR="0073057E" w:rsidRDefault="0073057E" w:rsidP="004E2262">
      <w:pPr>
        <w:pStyle w:val="GSRL4numberedclause"/>
        <w:numPr>
          <w:ilvl w:val="1"/>
          <w:numId w:val="57"/>
        </w:numPr>
      </w:pPr>
      <w:r>
        <w:t>Data owners and stewards;</w:t>
      </w:r>
    </w:p>
    <w:p w14:paraId="4117F2B4" w14:textId="77777777" w:rsidR="0073057E" w:rsidRDefault="0073057E" w:rsidP="004E2262">
      <w:pPr>
        <w:pStyle w:val="GSRL5numberedclause"/>
        <w:numPr>
          <w:ilvl w:val="2"/>
          <w:numId w:val="57"/>
        </w:numPr>
      </w:pPr>
      <w:r>
        <w:t>Identified individuals from HSE and the Provider;</w:t>
      </w:r>
    </w:p>
    <w:p w14:paraId="4EC6B044" w14:textId="77777777" w:rsidR="0073057E" w:rsidRDefault="0073057E" w:rsidP="004E2262">
      <w:pPr>
        <w:pStyle w:val="GSRL5numberedclause"/>
        <w:numPr>
          <w:ilvl w:val="2"/>
          <w:numId w:val="57"/>
        </w:numPr>
      </w:pPr>
      <w:r>
        <w:t>Movers, starters and leavers;</w:t>
      </w:r>
    </w:p>
    <w:p w14:paraId="3765087B" w14:textId="77777777" w:rsidR="0073057E" w:rsidRDefault="0073057E" w:rsidP="004E2262">
      <w:pPr>
        <w:pStyle w:val="GSRL4numberedclause"/>
        <w:numPr>
          <w:ilvl w:val="1"/>
          <w:numId w:val="57"/>
        </w:numPr>
      </w:pPr>
      <w:r>
        <w:t>User control:</w:t>
      </w:r>
    </w:p>
    <w:p w14:paraId="3A03201D" w14:textId="77777777" w:rsidR="0073057E" w:rsidRDefault="0073057E" w:rsidP="004E2262">
      <w:pPr>
        <w:pStyle w:val="GSRL5numberedclause"/>
        <w:numPr>
          <w:ilvl w:val="2"/>
          <w:numId w:val="57"/>
        </w:numPr>
      </w:pPr>
      <w:r>
        <w:t>Matrix of users, job roles and access levels;</w:t>
      </w:r>
    </w:p>
    <w:p w14:paraId="24F3D2AD" w14:textId="77777777" w:rsidR="0073057E" w:rsidRDefault="0073057E" w:rsidP="004E2262">
      <w:pPr>
        <w:pStyle w:val="GSRL5numberedclause"/>
        <w:numPr>
          <w:ilvl w:val="2"/>
          <w:numId w:val="57"/>
        </w:numPr>
      </w:pPr>
      <w:r>
        <w:t>Summary of movers, starters and leavers;</w:t>
      </w:r>
    </w:p>
    <w:p w14:paraId="38E5FE08" w14:textId="77777777" w:rsidR="0073057E" w:rsidRDefault="0073057E" w:rsidP="004E2262">
      <w:pPr>
        <w:pStyle w:val="GSRL5numberedclause"/>
        <w:numPr>
          <w:ilvl w:val="2"/>
          <w:numId w:val="57"/>
        </w:numPr>
      </w:pPr>
      <w:r>
        <w:t>Review of data access by role;</w:t>
      </w:r>
    </w:p>
    <w:p w14:paraId="6A4F41CF" w14:textId="77777777" w:rsidR="0073057E" w:rsidRDefault="0073057E" w:rsidP="004E2262">
      <w:pPr>
        <w:pStyle w:val="GSRL4numberedclause"/>
        <w:numPr>
          <w:ilvl w:val="1"/>
          <w:numId w:val="57"/>
        </w:numPr>
      </w:pPr>
      <w:r>
        <w:t>Detailed analysis of the data content of the system should include but not be limited to:</w:t>
      </w:r>
    </w:p>
    <w:p w14:paraId="7D9C9848" w14:textId="77777777" w:rsidR="0073057E" w:rsidRDefault="0073057E" w:rsidP="004E2262">
      <w:pPr>
        <w:pStyle w:val="GSRL5numberedclause"/>
        <w:numPr>
          <w:ilvl w:val="2"/>
          <w:numId w:val="57"/>
        </w:numPr>
      </w:pPr>
      <w:r>
        <w:t>Attributes:</w:t>
      </w:r>
    </w:p>
    <w:p w14:paraId="7B8B0C8C" w14:textId="77777777" w:rsidR="0073057E" w:rsidRDefault="0073057E" w:rsidP="004E2262">
      <w:pPr>
        <w:pStyle w:val="GSRL6numberedclause"/>
        <w:numPr>
          <w:ilvl w:val="3"/>
          <w:numId w:val="57"/>
        </w:numPr>
      </w:pPr>
      <w:r>
        <w:t>number of attributes in system;</w:t>
      </w:r>
    </w:p>
    <w:p w14:paraId="206D4395" w14:textId="77777777" w:rsidR="0073057E" w:rsidRDefault="0073057E" w:rsidP="004E2262">
      <w:pPr>
        <w:pStyle w:val="GSRL6numberedclause"/>
        <w:numPr>
          <w:ilvl w:val="3"/>
          <w:numId w:val="57"/>
        </w:numPr>
      </w:pPr>
      <w:r>
        <w:t>number of attributes without a signed off definition;</w:t>
      </w:r>
    </w:p>
    <w:p w14:paraId="1AC67430" w14:textId="77777777" w:rsidR="0073057E" w:rsidRDefault="0073057E" w:rsidP="004E2262">
      <w:pPr>
        <w:pStyle w:val="GSRL6numberedclause"/>
        <w:numPr>
          <w:ilvl w:val="3"/>
          <w:numId w:val="57"/>
        </w:numPr>
      </w:pPr>
      <w:r>
        <w:t>% of attributes without a signed off definition;</w:t>
      </w:r>
    </w:p>
    <w:p w14:paraId="4A640CBC" w14:textId="77777777" w:rsidR="0073057E" w:rsidRDefault="0073057E" w:rsidP="004E2262">
      <w:pPr>
        <w:pStyle w:val="GSRL6numberedclause"/>
        <w:numPr>
          <w:ilvl w:val="3"/>
          <w:numId w:val="57"/>
        </w:numPr>
      </w:pPr>
      <w:r>
        <w:t>number of attributes classified;</w:t>
      </w:r>
    </w:p>
    <w:p w14:paraId="7B496415" w14:textId="77777777" w:rsidR="0073057E" w:rsidRDefault="0073057E" w:rsidP="004E2262">
      <w:pPr>
        <w:pStyle w:val="GSRL6numberedclause"/>
        <w:numPr>
          <w:ilvl w:val="3"/>
          <w:numId w:val="57"/>
        </w:numPr>
      </w:pPr>
      <w:r>
        <w:lastRenderedPageBreak/>
        <w:t>number of attributes classified by commercial sensitivity;</w:t>
      </w:r>
    </w:p>
    <w:p w14:paraId="49916706" w14:textId="77777777" w:rsidR="0073057E" w:rsidRDefault="0073057E" w:rsidP="004E2262">
      <w:pPr>
        <w:pStyle w:val="GSRL6numberedclause"/>
        <w:numPr>
          <w:ilvl w:val="3"/>
          <w:numId w:val="57"/>
        </w:numPr>
      </w:pPr>
      <w:r>
        <w:t>number of attributes classified by Personally Identifiable Information;</w:t>
      </w:r>
    </w:p>
    <w:p w14:paraId="6A2A3282" w14:textId="77777777" w:rsidR="0073057E" w:rsidRDefault="0073057E" w:rsidP="004E2262">
      <w:pPr>
        <w:pStyle w:val="GSRL5numberedclause"/>
        <w:numPr>
          <w:ilvl w:val="2"/>
          <w:numId w:val="57"/>
        </w:numPr>
      </w:pPr>
      <w:r>
        <w:t>Schemas and tables:</w:t>
      </w:r>
    </w:p>
    <w:p w14:paraId="6FE0A38E" w14:textId="77777777" w:rsidR="0073057E" w:rsidRDefault="0073057E" w:rsidP="004E2262">
      <w:pPr>
        <w:pStyle w:val="GSRL6numberedclause"/>
        <w:numPr>
          <w:ilvl w:val="3"/>
          <w:numId w:val="57"/>
        </w:numPr>
      </w:pPr>
      <w:r>
        <w:t>number of schemas;</w:t>
      </w:r>
    </w:p>
    <w:p w14:paraId="17EF61DE" w14:textId="77777777" w:rsidR="0073057E" w:rsidRDefault="0073057E" w:rsidP="004E2262">
      <w:pPr>
        <w:pStyle w:val="GSRL6numberedclause"/>
        <w:numPr>
          <w:ilvl w:val="3"/>
          <w:numId w:val="57"/>
        </w:numPr>
      </w:pPr>
      <w:r>
        <w:t>number of tables;</w:t>
      </w:r>
    </w:p>
    <w:p w14:paraId="558A4F0C" w14:textId="77777777" w:rsidR="0073057E" w:rsidRDefault="0073057E" w:rsidP="004E2262">
      <w:pPr>
        <w:pStyle w:val="GSRL6numberedclause"/>
        <w:numPr>
          <w:ilvl w:val="3"/>
          <w:numId w:val="57"/>
        </w:numPr>
      </w:pPr>
      <w:r>
        <w:t>number of attributes per table;</w:t>
      </w:r>
    </w:p>
    <w:p w14:paraId="3607718D" w14:textId="77777777" w:rsidR="0073057E" w:rsidRDefault="0073057E" w:rsidP="004E2262">
      <w:pPr>
        <w:pStyle w:val="GSRL5numberedclause"/>
        <w:numPr>
          <w:ilvl w:val="2"/>
          <w:numId w:val="57"/>
        </w:numPr>
      </w:pPr>
      <w:r>
        <w:t>Structural integrity:</w:t>
      </w:r>
    </w:p>
    <w:p w14:paraId="569C012B" w14:textId="77777777" w:rsidR="0073057E" w:rsidRDefault="0073057E" w:rsidP="004E2262">
      <w:pPr>
        <w:pStyle w:val="GSRL6numberedclause"/>
        <w:numPr>
          <w:ilvl w:val="3"/>
          <w:numId w:val="57"/>
        </w:numPr>
      </w:pPr>
      <w:r>
        <w:t>total number of keys;</w:t>
      </w:r>
    </w:p>
    <w:p w14:paraId="39E5AB62" w14:textId="77777777" w:rsidR="0073057E" w:rsidRDefault="0073057E" w:rsidP="004E2262">
      <w:pPr>
        <w:pStyle w:val="GSRL6numberedclause"/>
        <w:numPr>
          <w:ilvl w:val="3"/>
          <w:numId w:val="57"/>
        </w:numPr>
      </w:pPr>
      <w:r>
        <w:t>number of unitary keys;</w:t>
      </w:r>
    </w:p>
    <w:p w14:paraId="3AECA37F" w14:textId="77777777" w:rsidR="0073057E" w:rsidRDefault="0073057E" w:rsidP="004E2262">
      <w:pPr>
        <w:pStyle w:val="GSRL6numberedclause"/>
        <w:numPr>
          <w:ilvl w:val="3"/>
          <w:numId w:val="57"/>
        </w:numPr>
      </w:pPr>
      <w:r>
        <w:t>number of compound keys;</w:t>
      </w:r>
    </w:p>
    <w:p w14:paraId="23491143" w14:textId="77777777" w:rsidR="0073057E" w:rsidRDefault="0073057E" w:rsidP="004E2262">
      <w:pPr>
        <w:pStyle w:val="GSRL6numberedclause"/>
        <w:numPr>
          <w:ilvl w:val="3"/>
          <w:numId w:val="57"/>
        </w:numPr>
      </w:pPr>
      <w:r>
        <w:t>number of foreign keys;</w:t>
      </w:r>
    </w:p>
    <w:p w14:paraId="4527EDD0" w14:textId="77777777" w:rsidR="0073057E" w:rsidRDefault="0073057E" w:rsidP="004E2262">
      <w:pPr>
        <w:pStyle w:val="GSRL6numberedclause"/>
        <w:numPr>
          <w:ilvl w:val="3"/>
          <w:numId w:val="57"/>
        </w:numPr>
      </w:pPr>
      <w:r>
        <w:t>joins;</w:t>
      </w:r>
    </w:p>
    <w:p w14:paraId="27DB206D" w14:textId="77777777" w:rsidR="0073057E" w:rsidRDefault="0073057E" w:rsidP="004E2262">
      <w:pPr>
        <w:pStyle w:val="GSRL6numberedclause"/>
        <w:numPr>
          <w:ilvl w:val="3"/>
          <w:numId w:val="57"/>
        </w:numPr>
      </w:pPr>
      <w:r>
        <w:t>identification of orphan records;</w:t>
      </w:r>
    </w:p>
    <w:p w14:paraId="1C77C39A" w14:textId="77777777" w:rsidR="0073057E" w:rsidRDefault="0073057E" w:rsidP="004E2262">
      <w:pPr>
        <w:pStyle w:val="GSRL5numberedclause"/>
        <w:numPr>
          <w:ilvl w:val="2"/>
          <w:numId w:val="57"/>
        </w:numPr>
      </w:pPr>
      <w:r>
        <w:t>Content integrity:</w:t>
      </w:r>
    </w:p>
    <w:p w14:paraId="3997A1CB" w14:textId="77777777" w:rsidR="0073057E" w:rsidRDefault="0073057E" w:rsidP="004E2262">
      <w:pPr>
        <w:pStyle w:val="GSRL6numberedclause"/>
        <w:numPr>
          <w:ilvl w:val="3"/>
          <w:numId w:val="57"/>
        </w:numPr>
      </w:pPr>
      <w:r>
        <w:t>minimum;</w:t>
      </w:r>
    </w:p>
    <w:p w14:paraId="0926C117" w14:textId="77777777" w:rsidR="0073057E" w:rsidRDefault="0073057E" w:rsidP="004E2262">
      <w:pPr>
        <w:pStyle w:val="GSRL6numberedclause"/>
        <w:numPr>
          <w:ilvl w:val="3"/>
          <w:numId w:val="57"/>
        </w:numPr>
      </w:pPr>
      <w:r>
        <w:t>maximum;</w:t>
      </w:r>
    </w:p>
    <w:p w14:paraId="2ECA48C0" w14:textId="77777777" w:rsidR="0073057E" w:rsidRDefault="0073057E" w:rsidP="004E2262">
      <w:pPr>
        <w:pStyle w:val="GSRL6numberedclause"/>
        <w:numPr>
          <w:ilvl w:val="3"/>
          <w:numId w:val="57"/>
        </w:numPr>
      </w:pPr>
      <w:r>
        <w:t>pattern;</w:t>
      </w:r>
    </w:p>
    <w:p w14:paraId="2155CCD6" w14:textId="77777777" w:rsidR="0073057E" w:rsidRDefault="0073057E" w:rsidP="004E2262">
      <w:pPr>
        <w:pStyle w:val="GSRL6numberedclause"/>
        <w:numPr>
          <w:ilvl w:val="3"/>
          <w:numId w:val="57"/>
        </w:numPr>
      </w:pPr>
      <w:r>
        <w:t>null distribution;</w:t>
      </w:r>
    </w:p>
    <w:p w14:paraId="739FF479" w14:textId="77777777" w:rsidR="0073057E" w:rsidRDefault="0073057E" w:rsidP="004E2262">
      <w:pPr>
        <w:pStyle w:val="GSRL6numberedclause"/>
        <w:numPr>
          <w:ilvl w:val="3"/>
          <w:numId w:val="57"/>
        </w:numPr>
      </w:pPr>
      <w:r>
        <w:t>ranges of values;</w:t>
      </w:r>
    </w:p>
    <w:p w14:paraId="5A72B1C7" w14:textId="77777777" w:rsidR="0073057E" w:rsidRDefault="0073057E" w:rsidP="004E2262">
      <w:pPr>
        <w:pStyle w:val="GSRL6numberedclause"/>
        <w:numPr>
          <w:ilvl w:val="3"/>
          <w:numId w:val="57"/>
        </w:numPr>
      </w:pPr>
      <w:r>
        <w:t>outliers;</w:t>
      </w:r>
    </w:p>
    <w:p w14:paraId="7D1B07D1" w14:textId="77777777" w:rsidR="0073057E" w:rsidRDefault="0073057E" w:rsidP="004E2262">
      <w:pPr>
        <w:pStyle w:val="GSRL4numberedclause"/>
        <w:numPr>
          <w:ilvl w:val="1"/>
          <w:numId w:val="57"/>
        </w:numPr>
      </w:pPr>
      <w:r>
        <w:t>Materiality calculations must be signed off by the HSE Data Owner:</w:t>
      </w:r>
    </w:p>
    <w:p w14:paraId="1107C5AE" w14:textId="77777777" w:rsidR="0073057E" w:rsidRDefault="0073057E" w:rsidP="004E2262">
      <w:pPr>
        <w:pStyle w:val="GSRL5numberedclause"/>
        <w:numPr>
          <w:ilvl w:val="2"/>
          <w:numId w:val="57"/>
        </w:numPr>
      </w:pPr>
      <w:r>
        <w:t>classification completeness (coverage reported as a percentage of the total);</w:t>
      </w:r>
    </w:p>
    <w:p w14:paraId="72375549" w14:textId="77777777" w:rsidR="0073057E" w:rsidRDefault="0073057E" w:rsidP="004E2262">
      <w:pPr>
        <w:pStyle w:val="GSRL5numberedclause"/>
        <w:numPr>
          <w:ilvl w:val="2"/>
          <w:numId w:val="57"/>
        </w:numPr>
      </w:pPr>
      <w:r>
        <w:t xml:space="preserve">ownership completeness (coverage reported as a percentage of the total). </w:t>
      </w:r>
    </w:p>
    <w:p w14:paraId="4FCFD0BF" w14:textId="77777777" w:rsidR="0073057E" w:rsidRDefault="0073057E" w:rsidP="004E2262">
      <w:pPr>
        <w:pStyle w:val="GSRL4numberedclause"/>
        <w:numPr>
          <w:ilvl w:val="1"/>
          <w:numId w:val="57"/>
        </w:numPr>
      </w:pPr>
      <w:r>
        <w:t>Checks (quality rules):</w:t>
      </w:r>
    </w:p>
    <w:p w14:paraId="728819B5" w14:textId="77777777" w:rsidR="0073057E" w:rsidRDefault="0073057E" w:rsidP="004E2262">
      <w:pPr>
        <w:pStyle w:val="GSRL5numberedclause"/>
        <w:numPr>
          <w:ilvl w:val="2"/>
          <w:numId w:val="57"/>
        </w:numPr>
      </w:pPr>
      <w:r>
        <w:t>Checks by type and date;</w:t>
      </w:r>
    </w:p>
    <w:p w14:paraId="6A4F2B4A" w14:textId="77777777" w:rsidR="0073057E" w:rsidRDefault="0073057E" w:rsidP="004E2262">
      <w:pPr>
        <w:pStyle w:val="GSRL5numberedclause"/>
        <w:numPr>
          <w:ilvl w:val="2"/>
          <w:numId w:val="57"/>
        </w:numPr>
      </w:pPr>
      <w:r>
        <w:t>Frequency of checks;</w:t>
      </w:r>
    </w:p>
    <w:p w14:paraId="7A3C9D81" w14:textId="77777777" w:rsidR="0073057E" w:rsidRDefault="0073057E" w:rsidP="004E2262">
      <w:pPr>
        <w:pStyle w:val="GSRL5numberedclause"/>
        <w:numPr>
          <w:ilvl w:val="2"/>
          <w:numId w:val="57"/>
        </w:numPr>
      </w:pPr>
      <w:r>
        <w:t>Number of exceptions:</w:t>
      </w:r>
    </w:p>
    <w:p w14:paraId="02736616" w14:textId="77777777" w:rsidR="0073057E" w:rsidRDefault="0073057E" w:rsidP="004E2262">
      <w:pPr>
        <w:pStyle w:val="GSRL6numberedclause"/>
        <w:numPr>
          <w:ilvl w:val="3"/>
          <w:numId w:val="57"/>
        </w:numPr>
      </w:pPr>
      <w:r>
        <w:t>open;</w:t>
      </w:r>
    </w:p>
    <w:p w14:paraId="20201629" w14:textId="77777777" w:rsidR="0073057E" w:rsidRDefault="0073057E" w:rsidP="004E2262">
      <w:pPr>
        <w:pStyle w:val="GSRL6numberedclause"/>
        <w:numPr>
          <w:ilvl w:val="3"/>
          <w:numId w:val="57"/>
        </w:numPr>
      </w:pPr>
      <w:r>
        <w:t>closed;</w:t>
      </w:r>
    </w:p>
    <w:p w14:paraId="09FEF745" w14:textId="77777777" w:rsidR="0073057E" w:rsidRDefault="0073057E" w:rsidP="004E2262">
      <w:pPr>
        <w:pStyle w:val="GSRL6numberedclause"/>
        <w:numPr>
          <w:ilvl w:val="3"/>
          <w:numId w:val="57"/>
        </w:numPr>
      </w:pPr>
      <w:r>
        <w:t>in progress;</w:t>
      </w:r>
    </w:p>
    <w:p w14:paraId="1560CA6A" w14:textId="77777777" w:rsidR="0073057E" w:rsidRDefault="0073057E" w:rsidP="004E2262">
      <w:pPr>
        <w:pStyle w:val="GSRL4numberedclause"/>
        <w:numPr>
          <w:ilvl w:val="1"/>
          <w:numId w:val="57"/>
        </w:numPr>
      </w:pPr>
      <w:r>
        <w:t>Exceptions:</w:t>
      </w:r>
    </w:p>
    <w:p w14:paraId="3D420EC3" w14:textId="77777777" w:rsidR="0073057E" w:rsidRDefault="0073057E" w:rsidP="004E2262">
      <w:pPr>
        <w:pStyle w:val="GSRL5numberedclause"/>
        <w:numPr>
          <w:ilvl w:val="2"/>
          <w:numId w:val="57"/>
        </w:numPr>
      </w:pPr>
      <w:r>
        <w:rPr>
          <w:lang w:eastAsia="en-GB"/>
        </w:rPr>
        <w:t xml:space="preserve">Impact of exceptions. </w:t>
      </w:r>
      <w:r>
        <w:t>Exceptions must have a quantifiable materiality impact assessment.</w:t>
      </w:r>
    </w:p>
    <w:p w14:paraId="2A3D28E8" w14:textId="77777777" w:rsidR="0073057E" w:rsidRDefault="0073057E" w:rsidP="004E2262">
      <w:pPr>
        <w:pStyle w:val="GSRL5numberedclause"/>
        <w:numPr>
          <w:ilvl w:val="2"/>
          <w:numId w:val="57"/>
        </w:numPr>
      </w:pPr>
      <w:r>
        <w:t>Priority classification;</w:t>
      </w:r>
    </w:p>
    <w:p w14:paraId="07570C80" w14:textId="77777777" w:rsidR="0073057E" w:rsidRDefault="0073057E" w:rsidP="004E2262">
      <w:pPr>
        <w:pStyle w:val="GSRL5numberedclause"/>
        <w:numPr>
          <w:ilvl w:val="2"/>
          <w:numId w:val="57"/>
        </w:numPr>
      </w:pPr>
      <w:r>
        <w:t>Exception resolution progress – maximum, minimum and mean exception resolution time:</w:t>
      </w:r>
    </w:p>
    <w:p w14:paraId="3187312A" w14:textId="77777777" w:rsidR="0073057E" w:rsidRDefault="0073057E" w:rsidP="004E2262">
      <w:pPr>
        <w:pStyle w:val="GSRL6numberedclause"/>
        <w:numPr>
          <w:ilvl w:val="3"/>
          <w:numId w:val="57"/>
        </w:numPr>
      </w:pPr>
      <w:r>
        <w:t>unit values;</w:t>
      </w:r>
    </w:p>
    <w:p w14:paraId="2A75E79C" w14:textId="77777777" w:rsidR="0073057E" w:rsidRDefault="0073057E" w:rsidP="004E2262">
      <w:pPr>
        <w:pStyle w:val="GSRL6numberedclause"/>
        <w:numPr>
          <w:ilvl w:val="3"/>
          <w:numId w:val="57"/>
        </w:numPr>
      </w:pPr>
      <w:r>
        <w:lastRenderedPageBreak/>
        <w:t>cumulative totals;</w:t>
      </w:r>
    </w:p>
    <w:p w14:paraId="08430CDD" w14:textId="77777777" w:rsidR="0073057E" w:rsidRDefault="0073057E" w:rsidP="004E2262">
      <w:pPr>
        <w:pStyle w:val="GSRL6numberedclause"/>
        <w:numPr>
          <w:ilvl w:val="3"/>
          <w:numId w:val="57"/>
        </w:numPr>
      </w:pPr>
      <w:r>
        <w:t>percentages.</w:t>
      </w:r>
    </w:p>
    <w:p w14:paraId="0F512ED0" w14:textId="77777777" w:rsidR="0073057E" w:rsidRDefault="0073057E" w:rsidP="0073057E">
      <w:pPr>
        <w:spacing w:after="220"/>
      </w:pPr>
    </w:p>
    <w:bookmarkEnd w:id="3382"/>
    <w:bookmarkEnd w:id="3383"/>
    <w:bookmarkEnd w:id="3399"/>
    <w:bookmarkEnd w:id="3405"/>
    <w:bookmarkEnd w:id="3406"/>
    <w:bookmarkEnd w:id="3407"/>
    <w:bookmarkEnd w:id="3408"/>
    <w:bookmarkEnd w:id="3409"/>
    <w:bookmarkEnd w:id="3410"/>
    <w:bookmarkEnd w:id="3411"/>
    <w:bookmarkEnd w:id="3412"/>
    <w:bookmarkEnd w:id="3413"/>
    <w:bookmarkEnd w:id="3414"/>
    <w:bookmarkEnd w:id="3415"/>
    <w:p w14:paraId="1A95B0DB" w14:textId="77777777" w:rsidR="008E344E" w:rsidRPr="001A1836" w:rsidRDefault="008E344E" w:rsidP="00CF1BDA"/>
    <w:p w14:paraId="7BAE763B" w14:textId="77777777" w:rsidR="008E344E" w:rsidRPr="001A1836" w:rsidRDefault="008E344E" w:rsidP="00CF1BDA"/>
    <w:p w14:paraId="6EFAA9DF" w14:textId="77777777" w:rsidR="008E344E" w:rsidRPr="001A1836" w:rsidRDefault="008E344E" w:rsidP="00CF1BDA"/>
    <w:p w14:paraId="35532B34" w14:textId="77777777" w:rsidR="00394111" w:rsidRPr="001A1836" w:rsidRDefault="00394111" w:rsidP="00CF1BDA">
      <w:pPr>
        <w:pStyle w:val="GSRL1Scheduleheader"/>
        <w:sectPr w:rsidR="00394111" w:rsidRPr="001A1836" w:rsidSect="00F87B8D">
          <w:footerReference w:type="default" r:id="rId63"/>
          <w:pgSz w:w="11900" w:h="16840"/>
          <w:pgMar w:top="1134" w:right="1440" w:bottom="1440" w:left="1440" w:header="1077" w:footer="833" w:gutter="0"/>
          <w:cols w:space="708"/>
        </w:sectPr>
      </w:pPr>
    </w:p>
    <w:p w14:paraId="2153B458" w14:textId="43E7F948" w:rsidR="008E344E" w:rsidRPr="001A1836" w:rsidRDefault="008E344E" w:rsidP="00CF1BDA">
      <w:pPr>
        <w:pStyle w:val="GSRL1Scheduleheader"/>
      </w:pPr>
      <w:bookmarkStart w:id="3456" w:name="_Toc129038370"/>
      <w:bookmarkStart w:id="3457" w:name="_Toc129038656"/>
      <w:bookmarkStart w:id="3458" w:name="_Toc132268238"/>
      <w:bookmarkStart w:id="3459" w:name="_Toc132268544"/>
      <w:bookmarkStart w:id="3460" w:name="_Toc136198779"/>
      <w:bookmarkStart w:id="3461" w:name="_Toc136199060"/>
      <w:bookmarkStart w:id="3462" w:name="_Toc188885267"/>
      <w:r w:rsidRPr="001A1836">
        <w:lastRenderedPageBreak/>
        <w:t xml:space="preserve">SCHEDULE 21: </w:t>
      </w:r>
      <w:r w:rsidR="00B949AC" w:rsidRPr="001A1836">
        <w:t>Security Requirements and Plan</w:t>
      </w:r>
      <w:bookmarkEnd w:id="3456"/>
      <w:bookmarkEnd w:id="3457"/>
      <w:bookmarkEnd w:id="3458"/>
      <w:bookmarkEnd w:id="3459"/>
      <w:bookmarkEnd w:id="3460"/>
      <w:bookmarkEnd w:id="3461"/>
      <w:bookmarkEnd w:id="3462"/>
    </w:p>
    <w:p w14:paraId="233A4FD7" w14:textId="77777777" w:rsidR="008E344E" w:rsidRPr="001A1836" w:rsidRDefault="008E344E" w:rsidP="00CF1BDA"/>
    <w:p w14:paraId="0F15A39B" w14:textId="77777777" w:rsidR="008E344E" w:rsidRPr="001A1836" w:rsidRDefault="008E344E" w:rsidP="00CF1BDA"/>
    <w:p w14:paraId="0B7B7151" w14:textId="7F96D654" w:rsidR="008E344E" w:rsidRPr="001A1836" w:rsidRDefault="008E344E" w:rsidP="00BB406D">
      <w:pPr>
        <w:pStyle w:val="GSRL2Sectionheading"/>
      </w:pPr>
      <w:r w:rsidRPr="001A1836">
        <w:br w:type="page"/>
      </w:r>
      <w:bookmarkStart w:id="3463" w:name="Schedule21"/>
    </w:p>
    <w:p w14:paraId="19B6E913" w14:textId="77777777" w:rsidR="008E344E" w:rsidRPr="001A1836" w:rsidRDefault="008E344E" w:rsidP="008E344E">
      <w:pPr>
        <w:pStyle w:val="GPSmacrorestart"/>
        <w:rPr>
          <w:sz w:val="22"/>
          <w:szCs w:val="22"/>
        </w:rPr>
      </w:pPr>
      <w:r w:rsidRPr="001A1836">
        <w:lastRenderedPageBreak/>
        <w:fldChar w:fldCharType="begin"/>
      </w:r>
      <w:r w:rsidRPr="001A1836">
        <w:rPr>
          <w:sz w:val="22"/>
          <w:szCs w:val="22"/>
        </w:rPr>
        <w:instrText>LISTNUM \l 1 \s 0</w:instrText>
      </w:r>
      <w:r w:rsidRPr="001A1836">
        <w:rPr>
          <w:sz w:val="22"/>
          <w:szCs w:val="22"/>
        </w:rPr>
        <w:fldChar w:fldCharType="separate"/>
      </w:r>
      <w:r w:rsidRPr="001A1836">
        <w:rPr>
          <w:sz w:val="22"/>
          <w:szCs w:val="22"/>
        </w:rPr>
        <w:t>12/08/2013</w:t>
      </w:r>
      <w:r w:rsidRPr="001A1836">
        <w:fldChar w:fldCharType="end">
          <w:numberingChange w:id="3464" w:author="Fran Davies" w:date="2025-03-03T11:44:00Z" w:original="0."/>
        </w:fldChar>
      </w:r>
    </w:p>
    <w:p w14:paraId="19183DAB" w14:textId="77777777" w:rsidR="008E344E" w:rsidRPr="001A1836" w:rsidRDefault="008E344E" w:rsidP="008E344E">
      <w:pPr>
        <w:rPr>
          <w:rFonts w:cs="Arial"/>
        </w:rPr>
      </w:pPr>
    </w:p>
    <w:p w14:paraId="633B2E0F" w14:textId="77777777" w:rsidR="00BB406D" w:rsidRPr="00151795" w:rsidRDefault="00BB406D" w:rsidP="004E2262">
      <w:pPr>
        <w:pStyle w:val="ScheduleText1"/>
        <w:numPr>
          <w:ilvl w:val="0"/>
          <w:numId w:val="101"/>
        </w:numPr>
        <w:rPr>
          <w:rFonts w:cs="Arial"/>
        </w:rPr>
      </w:pPr>
      <w:r w:rsidRPr="00151795">
        <w:rPr>
          <w:rFonts w:cs="Arial"/>
        </w:rPr>
        <w:t>Definitions</w:t>
      </w:r>
    </w:p>
    <w:p w14:paraId="7062EF81" w14:textId="77777777" w:rsidR="00BB406D" w:rsidRPr="00B013BE" w:rsidRDefault="00BB406D" w:rsidP="004E2262">
      <w:pPr>
        <w:pStyle w:val="ScheduleText2"/>
        <w:numPr>
          <w:ilvl w:val="1"/>
          <w:numId w:val="83"/>
        </w:numPr>
        <w:rPr>
          <w:rFonts w:cs="Arial"/>
          <w:sz w:val="22"/>
          <w:szCs w:val="22"/>
        </w:rPr>
      </w:pPr>
      <w:r w:rsidRPr="00B013BE">
        <w:rPr>
          <w:rFonts w:cs="Arial"/>
          <w:sz w:val="22"/>
          <w:szCs w:val="22"/>
        </w:rPr>
        <w:t>In this Schedule:</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BB406D" w:rsidRPr="00B013BE" w14:paraId="1639CF3D" w14:textId="77777777" w:rsidTr="00506868">
        <w:tc>
          <w:tcPr>
            <w:tcW w:w="2790" w:type="dxa"/>
          </w:tcPr>
          <w:p w14:paraId="1E8B23F2" w14:textId="77777777" w:rsidR="00BB406D" w:rsidRPr="00B013BE" w:rsidRDefault="00BB406D" w:rsidP="00506868">
            <w:pPr>
              <w:pStyle w:val="StdBodyTextBold"/>
              <w:rPr>
                <w:rFonts w:cs="Arial"/>
                <w:sz w:val="22"/>
                <w:szCs w:val="22"/>
              </w:rPr>
            </w:pPr>
            <w:r w:rsidRPr="00B013BE">
              <w:rPr>
                <w:rFonts w:cs="Arial"/>
                <w:sz w:val="22"/>
                <w:szCs w:val="22"/>
              </w:rPr>
              <w:t>“Anti-Malicious Software”</w:t>
            </w:r>
          </w:p>
        </w:tc>
        <w:tc>
          <w:tcPr>
            <w:tcW w:w="5661" w:type="dxa"/>
          </w:tcPr>
          <w:p w14:paraId="5AEECCF6" w14:textId="77777777" w:rsidR="00BB406D" w:rsidRPr="00B013BE" w:rsidRDefault="00BB406D" w:rsidP="00506868">
            <w:pPr>
              <w:pStyle w:val="StdBodyText"/>
              <w:rPr>
                <w:rFonts w:cs="Arial"/>
                <w:sz w:val="22"/>
                <w:szCs w:val="22"/>
              </w:rPr>
            </w:pPr>
            <w:r w:rsidRPr="00B013BE">
              <w:rPr>
                <w:rFonts w:cs="Arial"/>
                <w:sz w:val="22"/>
                <w:szCs w:val="22"/>
              </w:rPr>
              <w:t>means software that scans for and identifies possible Malicious Software in the IT Environment;</w:t>
            </w:r>
          </w:p>
        </w:tc>
      </w:tr>
      <w:tr w:rsidR="00BB406D" w:rsidRPr="00B013BE" w14:paraId="4E50F03C" w14:textId="77777777" w:rsidTr="00506868">
        <w:tc>
          <w:tcPr>
            <w:tcW w:w="2790" w:type="dxa"/>
          </w:tcPr>
          <w:p w14:paraId="42D010C8" w14:textId="77777777" w:rsidR="00BB406D" w:rsidRPr="00B013BE" w:rsidRDefault="00BB406D" w:rsidP="00506868">
            <w:pPr>
              <w:pStyle w:val="StdBodyTextBold"/>
              <w:rPr>
                <w:rFonts w:cs="Arial"/>
                <w:sz w:val="22"/>
                <w:szCs w:val="22"/>
              </w:rPr>
            </w:pPr>
            <w:r w:rsidRPr="00B013BE">
              <w:rPr>
                <w:rFonts w:cs="Arial"/>
                <w:sz w:val="22"/>
                <w:szCs w:val="22"/>
              </w:rPr>
              <w:t>“Breach of Security"</w:t>
            </w:r>
          </w:p>
        </w:tc>
        <w:tc>
          <w:tcPr>
            <w:tcW w:w="5661" w:type="dxa"/>
          </w:tcPr>
          <w:p w14:paraId="43209648" w14:textId="77777777" w:rsidR="00BB406D" w:rsidRPr="00B013BE" w:rsidRDefault="00BB406D" w:rsidP="00506868">
            <w:pPr>
              <w:pStyle w:val="DefinitionList"/>
              <w:numPr>
                <w:ilvl w:val="0"/>
                <w:numId w:val="0"/>
              </w:numPr>
              <w:ind w:left="720" w:hanging="720"/>
              <w:rPr>
                <w:rFonts w:cs="Arial"/>
                <w:sz w:val="22"/>
                <w:szCs w:val="22"/>
              </w:rPr>
            </w:pPr>
            <w:r w:rsidRPr="00B013BE">
              <w:rPr>
                <w:rFonts w:cs="Arial"/>
                <w:sz w:val="22"/>
                <w:szCs w:val="22"/>
              </w:rPr>
              <w:t>means:</w:t>
            </w:r>
          </w:p>
          <w:p w14:paraId="543228E3" w14:textId="77777777" w:rsidR="00BB406D" w:rsidRPr="00B013BE" w:rsidRDefault="00BB406D" w:rsidP="004E2262">
            <w:pPr>
              <w:pStyle w:val="DefinitionList"/>
              <w:numPr>
                <w:ilvl w:val="0"/>
                <w:numId w:val="103"/>
              </w:numPr>
              <w:rPr>
                <w:rFonts w:cs="Arial"/>
                <w:sz w:val="22"/>
                <w:szCs w:val="22"/>
              </w:rPr>
            </w:pPr>
            <w:r w:rsidRPr="00B013BE">
              <w:rPr>
                <w:rFonts w:cs="Arial"/>
                <w:sz w:val="22"/>
                <w:szCs w:val="22"/>
              </w:rPr>
              <w:t>an event that results, or could result, in:</w:t>
            </w:r>
          </w:p>
          <w:p w14:paraId="2357796A" w14:textId="77777777" w:rsidR="00BB406D" w:rsidRPr="00B013BE" w:rsidRDefault="00BB406D">
            <w:pPr>
              <w:pStyle w:val="DefinitionList"/>
              <w:rPr>
                <w:rFonts w:cs="Arial"/>
                <w:sz w:val="22"/>
                <w:szCs w:val="22"/>
              </w:rPr>
            </w:pPr>
            <w:r w:rsidRPr="00B013BE">
              <w:rPr>
                <w:rFonts w:cs="Arial"/>
                <w:sz w:val="22"/>
                <w:szCs w:val="22"/>
              </w:rPr>
              <w:t>any unauthorised access to or use of the HSE Data, the Services and/or the Information Management System; and/or</w:t>
            </w:r>
          </w:p>
          <w:p w14:paraId="6DD98F07" w14:textId="77777777" w:rsidR="00BB406D" w:rsidRPr="00B013BE" w:rsidRDefault="00BB406D">
            <w:pPr>
              <w:pStyle w:val="DefinitionList"/>
              <w:rPr>
                <w:rFonts w:cs="Arial"/>
                <w:sz w:val="22"/>
                <w:szCs w:val="22"/>
              </w:rPr>
            </w:pPr>
            <w:r w:rsidRPr="00B013BE">
              <w:rPr>
                <w:rFonts w:cs="Arial"/>
                <w:sz w:val="22"/>
                <w:szCs w:val="22"/>
              </w:rPr>
              <w:t xml:space="preserve">the loss, corruption and/or unauthorised disclosure of any information or data (including the Confidential Information and the HSE Data), including any copies of such information or data, used by HSE and/or the Provider in connection with this Agreement; </w:t>
            </w:r>
          </w:p>
        </w:tc>
      </w:tr>
      <w:tr w:rsidR="00BB406D" w:rsidRPr="00B013BE" w14:paraId="3947985C" w14:textId="77777777" w:rsidTr="00506868">
        <w:tc>
          <w:tcPr>
            <w:tcW w:w="2790" w:type="dxa"/>
          </w:tcPr>
          <w:p w14:paraId="121D0ED5" w14:textId="77777777" w:rsidR="00BB406D" w:rsidRPr="00B013BE" w:rsidRDefault="00BB406D" w:rsidP="00506868">
            <w:pPr>
              <w:pStyle w:val="StdBodyTextBold"/>
              <w:rPr>
                <w:rFonts w:cs="Arial"/>
                <w:sz w:val="22"/>
                <w:szCs w:val="22"/>
              </w:rPr>
            </w:pPr>
            <w:r w:rsidRPr="00B013BE">
              <w:rPr>
                <w:rFonts w:cs="Arial"/>
                <w:sz w:val="22"/>
                <w:szCs w:val="22"/>
              </w:rPr>
              <w:t>“Certification Requirements”</w:t>
            </w:r>
          </w:p>
        </w:tc>
        <w:tc>
          <w:tcPr>
            <w:tcW w:w="5661" w:type="dxa"/>
          </w:tcPr>
          <w:p w14:paraId="7FCEBD78" w14:textId="59FE77BC" w:rsidR="00BB406D" w:rsidRPr="00B013BE" w:rsidRDefault="00BB406D" w:rsidP="00506868">
            <w:pPr>
              <w:pStyle w:val="StdBodyText"/>
              <w:rPr>
                <w:rFonts w:cs="Arial"/>
                <w:sz w:val="22"/>
                <w:szCs w:val="22"/>
              </w:rPr>
            </w:pPr>
            <w:r w:rsidRPr="00B013BE">
              <w:rPr>
                <w:rFonts w:cs="Arial"/>
                <w:sz w:val="22"/>
                <w:szCs w:val="22"/>
              </w:rPr>
              <w:t xml:space="preserve">means the information security requirements set out in </w:t>
            </w:r>
            <w:bookmarkStart w:id="3465" w:name="_9kMHG5YVt4DDCFDbGpqgyts0I"/>
            <w:r w:rsidRPr="00B013BE">
              <w:rPr>
                <w:rFonts w:cs="Arial"/>
                <w:sz w:val="22"/>
                <w:szCs w:val="22"/>
              </w:rPr>
              <w:t xml:space="preserve">paragraph </w:t>
            </w:r>
            <w:r w:rsidRPr="00B013BE">
              <w:rPr>
                <w:rFonts w:cs="Arial"/>
                <w:sz w:val="22"/>
                <w:szCs w:val="22"/>
              </w:rPr>
              <w:fldChar w:fldCharType="begin"/>
            </w:r>
            <w:r w:rsidRPr="00B013BE">
              <w:rPr>
                <w:rFonts w:cs="Arial"/>
                <w:sz w:val="22"/>
                <w:szCs w:val="22"/>
              </w:rPr>
              <w:instrText xml:space="preserve"> REF _Ref_ContractCompanion_9kb9Ur688 \w \n \h \t \* MERGEFORMAT </w:instrText>
            </w:r>
            <w:r w:rsidRPr="00B013BE">
              <w:rPr>
                <w:rFonts w:cs="Arial"/>
                <w:sz w:val="22"/>
                <w:szCs w:val="22"/>
              </w:rPr>
            </w:r>
            <w:r w:rsidRPr="00B013BE">
              <w:rPr>
                <w:rFonts w:cs="Arial"/>
                <w:sz w:val="22"/>
                <w:szCs w:val="22"/>
              </w:rPr>
              <w:fldChar w:fldCharType="separate"/>
            </w:r>
            <w:r w:rsidR="00C87D85">
              <w:rPr>
                <w:rFonts w:cs="Arial"/>
                <w:sz w:val="22"/>
                <w:szCs w:val="22"/>
              </w:rPr>
              <w:t>6</w:t>
            </w:r>
            <w:r w:rsidRPr="00B013BE">
              <w:rPr>
                <w:rFonts w:cs="Arial"/>
                <w:sz w:val="22"/>
                <w:szCs w:val="22"/>
              </w:rPr>
              <w:fldChar w:fldCharType="end"/>
            </w:r>
            <w:bookmarkEnd w:id="3465"/>
            <w:r w:rsidRPr="00B013BE">
              <w:rPr>
                <w:rFonts w:cs="Arial"/>
                <w:sz w:val="22"/>
                <w:szCs w:val="22"/>
              </w:rPr>
              <w:t xml:space="preserve"> of this Schedule;</w:t>
            </w:r>
          </w:p>
        </w:tc>
      </w:tr>
      <w:tr w:rsidR="00BB406D" w:rsidRPr="00B013BE" w14:paraId="1C413BD2" w14:textId="77777777" w:rsidTr="00506868">
        <w:tc>
          <w:tcPr>
            <w:tcW w:w="2790" w:type="dxa"/>
          </w:tcPr>
          <w:p w14:paraId="0AACCD54" w14:textId="77777777" w:rsidR="00BB406D" w:rsidRPr="00B013BE" w:rsidRDefault="00BB406D" w:rsidP="00506868">
            <w:pPr>
              <w:pStyle w:val="StdBodyTextBold"/>
              <w:rPr>
                <w:rFonts w:cs="Arial"/>
                <w:sz w:val="22"/>
                <w:szCs w:val="22"/>
              </w:rPr>
            </w:pPr>
            <w:r w:rsidRPr="00B013BE">
              <w:rPr>
                <w:rFonts w:cs="Arial"/>
                <w:sz w:val="22"/>
                <w:szCs w:val="22"/>
              </w:rPr>
              <w:t>“CHECK Service Provider”</w:t>
            </w:r>
          </w:p>
        </w:tc>
        <w:tc>
          <w:tcPr>
            <w:tcW w:w="5661" w:type="dxa"/>
          </w:tcPr>
          <w:p w14:paraId="224DC312" w14:textId="63F31A4D" w:rsidR="00BB406D" w:rsidRPr="00B013BE" w:rsidRDefault="00BB406D" w:rsidP="00506868">
            <w:pPr>
              <w:pStyle w:val="StdBodyText"/>
              <w:rPr>
                <w:rFonts w:cs="Arial"/>
                <w:sz w:val="22"/>
                <w:szCs w:val="22"/>
              </w:rPr>
            </w:pPr>
            <w:r w:rsidRPr="00B013BE">
              <w:rPr>
                <w:rFonts w:cs="Arial"/>
                <w:sz w:val="22"/>
                <w:szCs w:val="22"/>
              </w:rPr>
              <w:t xml:space="preserve">means a company which has been certified by the National Cyber Security Centre, holds "Green Light" status and is authorised to provide the IT Health Check services required by </w:t>
            </w:r>
            <w:bookmarkStart w:id="3466" w:name="_9kR3WTr2BBAIMfEnoewrqyHP"/>
            <w:r w:rsidRPr="00B013BE">
              <w:rPr>
                <w:rFonts w:cs="Arial"/>
                <w:sz w:val="22"/>
                <w:szCs w:val="22"/>
              </w:rPr>
              <w:t xml:space="preserve">paragraph </w:t>
            </w:r>
            <w:r w:rsidRPr="00B013BE">
              <w:rPr>
                <w:rFonts w:cs="Arial"/>
                <w:sz w:val="22"/>
                <w:szCs w:val="22"/>
              </w:rPr>
              <w:fldChar w:fldCharType="begin"/>
            </w:r>
            <w:r w:rsidRPr="00B013BE">
              <w:rPr>
                <w:rFonts w:cs="Arial"/>
                <w:sz w:val="22"/>
                <w:szCs w:val="22"/>
              </w:rPr>
              <w:instrText xml:space="preserve"> REF _Ref_ContractCompanion_9kb9Ur6EA \n \h \t \* MERGEFORMAT </w:instrText>
            </w:r>
            <w:r w:rsidRPr="00B013BE">
              <w:rPr>
                <w:rFonts w:cs="Arial"/>
                <w:sz w:val="22"/>
                <w:szCs w:val="22"/>
              </w:rPr>
            </w:r>
            <w:r w:rsidRPr="00B013BE">
              <w:rPr>
                <w:rFonts w:cs="Arial"/>
                <w:sz w:val="22"/>
                <w:szCs w:val="22"/>
              </w:rPr>
              <w:fldChar w:fldCharType="separate"/>
            </w:r>
            <w:r w:rsidR="00C87D85">
              <w:rPr>
                <w:rFonts w:cs="Arial"/>
                <w:sz w:val="22"/>
                <w:szCs w:val="22"/>
              </w:rPr>
              <w:t>7.1</w:t>
            </w:r>
            <w:r w:rsidRPr="00B013BE">
              <w:rPr>
                <w:rFonts w:cs="Arial"/>
                <w:sz w:val="22"/>
                <w:szCs w:val="22"/>
              </w:rPr>
              <w:fldChar w:fldCharType="end"/>
            </w:r>
            <w:bookmarkEnd w:id="3466"/>
            <w:r w:rsidRPr="00B013BE">
              <w:rPr>
                <w:rFonts w:cs="Arial"/>
                <w:sz w:val="22"/>
                <w:szCs w:val="22"/>
              </w:rPr>
              <w:t xml:space="preserve"> of this Schedule;</w:t>
            </w:r>
          </w:p>
        </w:tc>
      </w:tr>
      <w:tr w:rsidR="00BB406D" w:rsidRPr="00B013BE" w14:paraId="64E43334" w14:textId="77777777" w:rsidTr="00506868">
        <w:tc>
          <w:tcPr>
            <w:tcW w:w="2790" w:type="dxa"/>
          </w:tcPr>
          <w:p w14:paraId="0DA09633" w14:textId="77777777" w:rsidR="00BB406D" w:rsidRPr="00B013BE" w:rsidRDefault="00BB406D" w:rsidP="00506868">
            <w:pPr>
              <w:pStyle w:val="StdBodyTextBold"/>
              <w:rPr>
                <w:rFonts w:cs="Arial"/>
                <w:sz w:val="22"/>
                <w:szCs w:val="22"/>
              </w:rPr>
            </w:pPr>
            <w:r w:rsidRPr="00B013BE">
              <w:rPr>
                <w:rFonts w:cs="Arial"/>
                <w:sz w:val="22"/>
                <w:szCs w:val="22"/>
              </w:rPr>
              <w:t>"COTS Software"</w:t>
            </w:r>
          </w:p>
        </w:tc>
        <w:tc>
          <w:tcPr>
            <w:tcW w:w="5661" w:type="dxa"/>
          </w:tcPr>
          <w:p w14:paraId="64AECAC3" w14:textId="77777777" w:rsidR="00BB406D" w:rsidRPr="00B013BE" w:rsidRDefault="00BB406D" w:rsidP="00506868">
            <w:pPr>
              <w:pStyle w:val="StdBodyText"/>
              <w:rPr>
                <w:rFonts w:cs="Arial"/>
                <w:sz w:val="22"/>
                <w:szCs w:val="22"/>
              </w:rPr>
            </w:pPr>
            <w:r w:rsidRPr="00B013BE">
              <w:rPr>
                <w:rFonts w:cs="Arial"/>
                <w:sz w:val="22"/>
                <w:szCs w:val="22"/>
              </w:rPr>
              <w:t>means software (including open source software) that:</w:t>
            </w:r>
          </w:p>
          <w:p w14:paraId="20A58970" w14:textId="77777777" w:rsidR="00BB406D" w:rsidRPr="00B013BE" w:rsidRDefault="00BB406D" w:rsidP="00506868">
            <w:pPr>
              <w:pStyle w:val="StdBodyText"/>
              <w:rPr>
                <w:rFonts w:cs="Arial"/>
                <w:sz w:val="22"/>
                <w:szCs w:val="22"/>
              </w:rPr>
            </w:pPr>
            <w:r w:rsidRPr="00B013BE">
              <w:rPr>
                <w:rFonts w:cs="Arial"/>
                <w:sz w:val="22"/>
                <w:szCs w:val="22"/>
              </w:rPr>
              <w:t>(a)</w:t>
            </w:r>
            <w:r w:rsidRPr="00B013BE">
              <w:rPr>
                <w:rFonts w:cs="Arial"/>
                <w:sz w:val="22"/>
                <w:szCs w:val="22"/>
              </w:rPr>
              <w:tab/>
              <w:t>the relevant supplier makes generally available commercially prior to the date of this Agreement (whether by way of sale, lease or licence) on standard terms which are not typically negotiated by the supplier save as to price; and</w:t>
            </w:r>
          </w:p>
          <w:p w14:paraId="09964510" w14:textId="77777777" w:rsidR="00BB406D" w:rsidRPr="00B013BE" w:rsidRDefault="00BB406D" w:rsidP="00506868">
            <w:pPr>
              <w:pStyle w:val="StdBodyText"/>
              <w:rPr>
                <w:rFonts w:cs="Arial"/>
                <w:sz w:val="22"/>
                <w:szCs w:val="22"/>
              </w:rPr>
            </w:pPr>
            <w:r w:rsidRPr="00B013BE">
              <w:rPr>
                <w:rFonts w:cs="Arial"/>
                <w:sz w:val="22"/>
                <w:szCs w:val="22"/>
              </w:rPr>
              <w:t>(b)</w:t>
            </w:r>
            <w:r w:rsidRPr="00B013BE">
              <w:rPr>
                <w:rFonts w:cs="Arial"/>
                <w:sz w:val="22"/>
                <w:szCs w:val="22"/>
              </w:rPr>
              <w:tab/>
              <w:t>has a significant customer base with respect to the date of first release and the relevant market but excluding affiliates and other entities related to the licensor;</w:t>
            </w:r>
          </w:p>
        </w:tc>
      </w:tr>
      <w:tr w:rsidR="00BB406D" w:rsidRPr="00B013BE" w14:paraId="6B23272C" w14:textId="77777777" w:rsidTr="00506868">
        <w:tc>
          <w:tcPr>
            <w:tcW w:w="2790" w:type="dxa"/>
          </w:tcPr>
          <w:p w14:paraId="218D3B2B" w14:textId="77777777" w:rsidR="00BB406D" w:rsidRPr="00B013BE" w:rsidRDefault="00BB406D" w:rsidP="00506868">
            <w:pPr>
              <w:pStyle w:val="StdBodyTextBold"/>
              <w:rPr>
                <w:rFonts w:cs="Arial"/>
                <w:sz w:val="22"/>
                <w:szCs w:val="22"/>
              </w:rPr>
            </w:pPr>
            <w:r w:rsidRPr="00B013BE">
              <w:rPr>
                <w:rFonts w:cs="Arial"/>
                <w:sz w:val="22"/>
                <w:szCs w:val="22"/>
              </w:rPr>
              <w:t>“CREST Service Provider”</w:t>
            </w:r>
          </w:p>
        </w:tc>
        <w:tc>
          <w:tcPr>
            <w:tcW w:w="5661" w:type="dxa"/>
          </w:tcPr>
          <w:p w14:paraId="42239BF7" w14:textId="77777777" w:rsidR="00BB406D" w:rsidRPr="00B013BE" w:rsidRDefault="00BB406D" w:rsidP="00506868">
            <w:pPr>
              <w:pStyle w:val="StdBodyText"/>
              <w:rPr>
                <w:rFonts w:cs="Arial"/>
                <w:sz w:val="22"/>
                <w:szCs w:val="22"/>
              </w:rPr>
            </w:pPr>
            <w:r w:rsidRPr="00B013BE">
              <w:rPr>
                <w:rFonts w:cs="Arial"/>
                <w:sz w:val="22"/>
                <w:szCs w:val="22"/>
              </w:rPr>
              <w:t>means a company with a SOC Accreditation from CREST International;</w:t>
            </w:r>
          </w:p>
        </w:tc>
      </w:tr>
      <w:tr w:rsidR="00BB406D" w:rsidRPr="00B013BE" w14:paraId="0F945B99" w14:textId="77777777" w:rsidTr="00506868">
        <w:tc>
          <w:tcPr>
            <w:tcW w:w="2790" w:type="dxa"/>
          </w:tcPr>
          <w:p w14:paraId="3EA2B806" w14:textId="77777777" w:rsidR="00BB406D" w:rsidRPr="00B013BE" w:rsidRDefault="00BB406D" w:rsidP="00506868">
            <w:pPr>
              <w:pStyle w:val="StdBodyTextBold"/>
              <w:rPr>
                <w:rFonts w:cs="Arial"/>
                <w:sz w:val="22"/>
                <w:szCs w:val="22"/>
              </w:rPr>
            </w:pPr>
          </w:p>
        </w:tc>
        <w:tc>
          <w:tcPr>
            <w:tcW w:w="5661" w:type="dxa"/>
          </w:tcPr>
          <w:p w14:paraId="037A8D88" w14:textId="77777777" w:rsidR="00BB406D" w:rsidRPr="00B013BE" w:rsidRDefault="00BB406D" w:rsidP="00506868">
            <w:pPr>
              <w:pStyle w:val="StdBodyText"/>
              <w:rPr>
                <w:rFonts w:cs="Arial"/>
                <w:b/>
                <w:i/>
                <w:sz w:val="22"/>
                <w:szCs w:val="22"/>
              </w:rPr>
            </w:pPr>
          </w:p>
        </w:tc>
      </w:tr>
      <w:tr w:rsidR="00BB406D" w:rsidRPr="00B013BE" w14:paraId="25BEA61F" w14:textId="77777777" w:rsidTr="00506868">
        <w:tc>
          <w:tcPr>
            <w:tcW w:w="2790" w:type="dxa"/>
          </w:tcPr>
          <w:p w14:paraId="498AB11B" w14:textId="77777777" w:rsidR="00BB406D" w:rsidRPr="00B013BE" w:rsidRDefault="00BB406D" w:rsidP="00506868">
            <w:pPr>
              <w:pStyle w:val="StdBodyTextBold"/>
              <w:rPr>
                <w:rFonts w:cs="Arial"/>
                <w:sz w:val="22"/>
                <w:szCs w:val="22"/>
              </w:rPr>
            </w:pPr>
            <w:r w:rsidRPr="00B013BE">
              <w:rPr>
                <w:rFonts w:cs="Arial"/>
                <w:sz w:val="22"/>
                <w:szCs w:val="22"/>
              </w:rPr>
              <w:t>“Cyber Essentials”</w:t>
            </w:r>
          </w:p>
        </w:tc>
        <w:tc>
          <w:tcPr>
            <w:tcW w:w="5661" w:type="dxa"/>
          </w:tcPr>
          <w:p w14:paraId="68B93F4F" w14:textId="77777777" w:rsidR="00BB406D" w:rsidRPr="00B013BE" w:rsidRDefault="00BB406D" w:rsidP="00506868">
            <w:pPr>
              <w:pStyle w:val="StdBodyText"/>
              <w:rPr>
                <w:rFonts w:cs="Arial"/>
                <w:sz w:val="22"/>
                <w:szCs w:val="22"/>
              </w:rPr>
            </w:pPr>
            <w:r w:rsidRPr="00B013BE">
              <w:rPr>
                <w:rFonts w:cs="Arial"/>
                <w:sz w:val="22"/>
                <w:szCs w:val="22"/>
              </w:rPr>
              <w:t>means the Cyber Essentials certificate issued under the Cyber Essentials Scheme;</w:t>
            </w:r>
          </w:p>
        </w:tc>
      </w:tr>
      <w:tr w:rsidR="00BB406D" w:rsidRPr="00B013BE" w14:paraId="3AD59F95" w14:textId="77777777" w:rsidTr="00506868">
        <w:tc>
          <w:tcPr>
            <w:tcW w:w="2790" w:type="dxa"/>
          </w:tcPr>
          <w:p w14:paraId="1DF7C6BC" w14:textId="77777777" w:rsidR="00BB406D" w:rsidRPr="00B013BE" w:rsidRDefault="00BB406D" w:rsidP="00506868">
            <w:pPr>
              <w:pStyle w:val="StdBodyTextBold"/>
              <w:rPr>
                <w:rFonts w:cs="Arial"/>
                <w:sz w:val="22"/>
                <w:szCs w:val="22"/>
              </w:rPr>
            </w:pPr>
            <w:r w:rsidRPr="00B013BE">
              <w:rPr>
                <w:rFonts w:cs="Arial"/>
                <w:sz w:val="22"/>
                <w:szCs w:val="22"/>
              </w:rPr>
              <w:lastRenderedPageBreak/>
              <w:t>“Cyber Essentials Plus”</w:t>
            </w:r>
          </w:p>
        </w:tc>
        <w:tc>
          <w:tcPr>
            <w:tcW w:w="5661" w:type="dxa"/>
          </w:tcPr>
          <w:p w14:paraId="458FDB1C" w14:textId="77777777" w:rsidR="00BB406D" w:rsidRPr="00B013BE" w:rsidRDefault="00BB406D" w:rsidP="00506868">
            <w:pPr>
              <w:pStyle w:val="StdBodyText"/>
              <w:rPr>
                <w:rFonts w:cs="Arial"/>
                <w:sz w:val="22"/>
                <w:szCs w:val="22"/>
              </w:rPr>
            </w:pPr>
            <w:r w:rsidRPr="00B013BE">
              <w:rPr>
                <w:rFonts w:cs="Arial"/>
                <w:sz w:val="22"/>
                <w:szCs w:val="22"/>
              </w:rPr>
              <w:t>means the Cyber Essentials Plus certificate issued under the Cyber Essentials Scheme;</w:t>
            </w:r>
          </w:p>
        </w:tc>
      </w:tr>
      <w:tr w:rsidR="00BB406D" w:rsidRPr="00B013BE" w14:paraId="0E1BB708" w14:textId="77777777" w:rsidTr="00506868">
        <w:tc>
          <w:tcPr>
            <w:tcW w:w="2790" w:type="dxa"/>
          </w:tcPr>
          <w:p w14:paraId="3057EBE0" w14:textId="77777777" w:rsidR="00BB406D" w:rsidRPr="00B013BE" w:rsidRDefault="00BB406D" w:rsidP="00506868">
            <w:pPr>
              <w:pStyle w:val="StdBodyTextBold"/>
              <w:rPr>
                <w:rFonts w:cs="Arial"/>
                <w:sz w:val="22"/>
                <w:szCs w:val="22"/>
              </w:rPr>
            </w:pPr>
            <w:r w:rsidRPr="00B013BE">
              <w:rPr>
                <w:rFonts w:cs="Arial"/>
                <w:sz w:val="22"/>
                <w:szCs w:val="22"/>
              </w:rPr>
              <w:t>“Cyber Essentials Scheme”</w:t>
            </w:r>
          </w:p>
        </w:tc>
        <w:tc>
          <w:tcPr>
            <w:tcW w:w="5661" w:type="dxa"/>
          </w:tcPr>
          <w:p w14:paraId="3800B490" w14:textId="77777777" w:rsidR="00BB406D" w:rsidRPr="00B013BE" w:rsidRDefault="00BB406D" w:rsidP="00506868">
            <w:pPr>
              <w:pStyle w:val="StdBodyText"/>
              <w:rPr>
                <w:rFonts w:cs="Arial"/>
                <w:sz w:val="22"/>
                <w:szCs w:val="22"/>
              </w:rPr>
            </w:pPr>
            <w:r w:rsidRPr="00B013BE">
              <w:rPr>
                <w:rFonts w:cs="Arial"/>
                <w:sz w:val="22"/>
                <w:szCs w:val="22"/>
              </w:rPr>
              <w:t>means the Cyber Essentials scheme operated by the National Cyber Security Centre;</w:t>
            </w:r>
          </w:p>
        </w:tc>
      </w:tr>
      <w:tr w:rsidR="00BB406D" w:rsidRPr="00B013BE" w14:paraId="392264F6" w14:textId="77777777" w:rsidTr="00506868">
        <w:tc>
          <w:tcPr>
            <w:tcW w:w="2790" w:type="dxa"/>
          </w:tcPr>
          <w:p w14:paraId="584962A8" w14:textId="77777777" w:rsidR="00BB406D" w:rsidRPr="00B013BE" w:rsidRDefault="00BB406D" w:rsidP="00506868">
            <w:pPr>
              <w:pStyle w:val="StdBodyTextBold"/>
              <w:rPr>
                <w:rFonts w:cs="Arial"/>
                <w:sz w:val="22"/>
                <w:szCs w:val="22"/>
              </w:rPr>
            </w:pPr>
            <w:r w:rsidRPr="00B013BE">
              <w:rPr>
                <w:rFonts w:cs="Arial"/>
                <w:sz w:val="22"/>
                <w:szCs w:val="22"/>
              </w:rPr>
              <w:t>“HSE System”</w:t>
            </w:r>
          </w:p>
        </w:tc>
        <w:tc>
          <w:tcPr>
            <w:tcW w:w="5661" w:type="dxa"/>
          </w:tcPr>
          <w:p w14:paraId="125A9C14" w14:textId="77777777" w:rsidR="00BB406D" w:rsidRPr="00B013BE" w:rsidRDefault="00BB406D" w:rsidP="00506868">
            <w:pPr>
              <w:pStyle w:val="StdBodyText"/>
              <w:rPr>
                <w:rFonts w:cs="Arial"/>
                <w:sz w:val="22"/>
                <w:szCs w:val="22"/>
              </w:rPr>
            </w:pPr>
            <w:bookmarkStart w:id="3467" w:name="_9kMKBP6ZWu9A679B"/>
            <w:r w:rsidRPr="00B013BE">
              <w:rPr>
                <w:rFonts w:cs="Arial"/>
                <w:sz w:val="22"/>
                <w:szCs w:val="22"/>
              </w:rPr>
              <w:t>HSE's</w:t>
            </w:r>
            <w:bookmarkEnd w:id="3467"/>
            <w:r w:rsidRPr="00B013BE">
              <w:rPr>
                <w:rFonts w:cs="Arial"/>
                <w:sz w:val="22"/>
                <w:szCs w:val="22"/>
              </w:rPr>
              <w:t xml:space="preserve"> computing environment (consisting of hardware, software and/or telecommunications networks or equipment) used by HSE or the Provider in connection with this Agreement which is owned by HSE or licensed to it by a third party and which interfaces with the Provider System or which is necessary for HSE to receive the Services;</w:t>
            </w:r>
          </w:p>
        </w:tc>
      </w:tr>
      <w:tr w:rsidR="00BB406D" w:rsidRPr="00B013BE" w14:paraId="1E15F745" w14:textId="77777777" w:rsidTr="00506868">
        <w:tc>
          <w:tcPr>
            <w:tcW w:w="2790" w:type="dxa"/>
          </w:tcPr>
          <w:p w14:paraId="778805F5" w14:textId="77777777" w:rsidR="00BB406D" w:rsidRPr="00B013BE" w:rsidRDefault="00BB406D" w:rsidP="00506868">
            <w:pPr>
              <w:pStyle w:val="StdBodyTextBold"/>
              <w:rPr>
                <w:rFonts w:cs="Arial"/>
                <w:sz w:val="22"/>
                <w:szCs w:val="22"/>
              </w:rPr>
            </w:pPr>
            <w:r w:rsidRPr="00B013BE">
              <w:rPr>
                <w:rFonts w:cs="Arial"/>
                <w:sz w:val="22"/>
                <w:szCs w:val="22"/>
              </w:rPr>
              <w:t>“Higher Risk Sub-Contractor”</w:t>
            </w:r>
          </w:p>
        </w:tc>
        <w:tc>
          <w:tcPr>
            <w:tcW w:w="5661" w:type="dxa"/>
          </w:tcPr>
          <w:p w14:paraId="38598AFB" w14:textId="77777777" w:rsidR="00BB406D" w:rsidRPr="0029242C" w:rsidRDefault="00BB406D" w:rsidP="00506868">
            <w:pPr>
              <w:pStyle w:val="StdBodyText"/>
              <w:rPr>
                <w:rFonts w:cs="Arial"/>
                <w:sz w:val="22"/>
                <w:szCs w:val="22"/>
              </w:rPr>
            </w:pPr>
            <w:r w:rsidRPr="0029242C">
              <w:rPr>
                <w:rFonts w:cs="Arial"/>
                <w:sz w:val="22"/>
                <w:szCs w:val="22"/>
              </w:rPr>
              <w:t>means a Sub-contractor that Processes HSE Data[, where that data includes either:</w:t>
            </w:r>
          </w:p>
          <w:p w14:paraId="5E358624" w14:textId="77777777" w:rsidR="00BB406D" w:rsidRPr="0029242C" w:rsidRDefault="00BB406D" w:rsidP="004E2262">
            <w:pPr>
              <w:pStyle w:val="DefinitionList"/>
              <w:numPr>
                <w:ilvl w:val="0"/>
                <w:numId w:val="102"/>
              </w:numPr>
              <w:rPr>
                <w:rFonts w:cs="Arial"/>
                <w:sz w:val="22"/>
                <w:szCs w:val="22"/>
              </w:rPr>
            </w:pPr>
            <w:r w:rsidRPr="0029242C">
              <w:rPr>
                <w:rFonts w:cs="Arial"/>
                <w:sz w:val="22"/>
                <w:szCs w:val="22"/>
              </w:rPr>
              <w:t>the Personal Data of 1000 or more individuals in aggregate during the period between the first Service Start Date and the date on which this Agreement terminates in accordance with its terms; and/or</w:t>
            </w:r>
          </w:p>
          <w:p w14:paraId="4667ED71" w14:textId="77777777" w:rsidR="00BB406D" w:rsidRPr="0029242C" w:rsidRDefault="00BB406D">
            <w:pPr>
              <w:pStyle w:val="DefinitionList"/>
              <w:rPr>
                <w:rFonts w:cs="Arial"/>
                <w:sz w:val="22"/>
                <w:szCs w:val="22"/>
              </w:rPr>
            </w:pPr>
            <w:r w:rsidRPr="0029242C">
              <w:rPr>
                <w:rFonts w:cs="Arial"/>
                <w:sz w:val="22"/>
                <w:szCs w:val="22"/>
              </w:rPr>
              <w:t>any part of that data includes any of the following:</w:t>
            </w:r>
          </w:p>
          <w:p w14:paraId="1C0CE424" w14:textId="77777777" w:rsidR="00BB406D" w:rsidRPr="0029242C" w:rsidRDefault="00BB406D">
            <w:pPr>
              <w:pStyle w:val="DefinitionListLevel1"/>
              <w:rPr>
                <w:sz w:val="22"/>
                <w:szCs w:val="22"/>
              </w:rPr>
            </w:pPr>
            <w:r w:rsidRPr="0029242C">
              <w:rPr>
                <w:sz w:val="22"/>
                <w:szCs w:val="22"/>
              </w:rPr>
              <w:t>financial information (including any tax and/or welfare information) relating to any person;</w:t>
            </w:r>
          </w:p>
          <w:p w14:paraId="3598F59F" w14:textId="77777777" w:rsidR="00BB406D" w:rsidRPr="0029242C" w:rsidRDefault="00BB406D">
            <w:pPr>
              <w:pStyle w:val="DefinitionListLevel1"/>
              <w:rPr>
                <w:sz w:val="22"/>
                <w:szCs w:val="22"/>
              </w:rPr>
            </w:pPr>
            <w:r w:rsidRPr="0029242C">
              <w:rPr>
                <w:sz w:val="22"/>
                <w:szCs w:val="22"/>
              </w:rPr>
              <w:t>any information relating to actual or alleged criminal offences (including criminal records);</w:t>
            </w:r>
          </w:p>
          <w:p w14:paraId="4813A59C" w14:textId="77777777" w:rsidR="00BB406D" w:rsidRPr="0029242C" w:rsidRDefault="00BB406D">
            <w:pPr>
              <w:pStyle w:val="DefinitionListLevel1"/>
              <w:rPr>
                <w:sz w:val="22"/>
                <w:szCs w:val="22"/>
              </w:rPr>
            </w:pPr>
            <w:r w:rsidRPr="0029242C">
              <w:rPr>
                <w:sz w:val="22"/>
                <w:szCs w:val="22"/>
              </w:rPr>
              <w:t>any information relating to children and/or vulnerable persons;</w:t>
            </w:r>
          </w:p>
          <w:p w14:paraId="34C52B23" w14:textId="77777777" w:rsidR="00BB406D" w:rsidRPr="0029242C" w:rsidRDefault="00BB406D">
            <w:pPr>
              <w:pStyle w:val="DefinitionListLevel1"/>
              <w:rPr>
                <w:sz w:val="22"/>
                <w:szCs w:val="22"/>
              </w:rPr>
            </w:pPr>
            <w:r w:rsidRPr="0029242C">
              <w:rPr>
                <w:sz w:val="22"/>
                <w:szCs w:val="22"/>
              </w:rPr>
              <w:t>any information relating to social care;</w:t>
            </w:r>
          </w:p>
          <w:p w14:paraId="0B14B2E9" w14:textId="77777777" w:rsidR="00BB406D" w:rsidRPr="0029242C" w:rsidRDefault="00BB406D">
            <w:pPr>
              <w:pStyle w:val="DefinitionListLevel1"/>
              <w:rPr>
                <w:sz w:val="22"/>
                <w:szCs w:val="22"/>
              </w:rPr>
            </w:pPr>
            <w:r w:rsidRPr="0029242C">
              <w:rPr>
                <w:sz w:val="22"/>
                <w:szCs w:val="22"/>
              </w:rPr>
              <w:t>any information relating to a person’s current or past employment; or</w:t>
            </w:r>
          </w:p>
          <w:p w14:paraId="34205C47" w14:textId="77777777" w:rsidR="00BB406D" w:rsidRPr="0029242C" w:rsidRDefault="00BB406D">
            <w:pPr>
              <w:pStyle w:val="DefinitionListLevel1"/>
              <w:rPr>
                <w:sz w:val="22"/>
                <w:szCs w:val="22"/>
              </w:rPr>
            </w:pPr>
            <w:r w:rsidRPr="0029242C">
              <w:rPr>
                <w:sz w:val="22"/>
                <w:szCs w:val="22"/>
              </w:rPr>
              <w:t>Special Category Personal Data; or</w:t>
            </w:r>
          </w:p>
          <w:p w14:paraId="5880DC25" w14:textId="77777777" w:rsidR="00BB406D" w:rsidRPr="0029242C" w:rsidRDefault="00BB406D">
            <w:pPr>
              <w:pStyle w:val="DefinitionList"/>
              <w:rPr>
                <w:rFonts w:cs="Arial"/>
                <w:sz w:val="22"/>
                <w:szCs w:val="22"/>
              </w:rPr>
            </w:pPr>
            <w:r w:rsidRPr="0029242C">
              <w:rPr>
                <w:rFonts w:cs="Arial"/>
                <w:sz w:val="22"/>
                <w:szCs w:val="22"/>
              </w:rPr>
              <w:t>HSE in its discretion, designates a Sub-Contractor as a Higher Risk Sub-Contractor in any procurement document related to this Agreement; or</w:t>
            </w:r>
          </w:p>
          <w:p w14:paraId="628A54CD" w14:textId="40695C04" w:rsidR="00BB406D" w:rsidRPr="0029242C" w:rsidRDefault="00BB406D">
            <w:pPr>
              <w:pStyle w:val="DefinitionList"/>
              <w:rPr>
                <w:rFonts w:cs="Arial"/>
                <w:sz w:val="22"/>
                <w:szCs w:val="22"/>
              </w:rPr>
            </w:pPr>
            <w:r w:rsidRPr="0029242C">
              <w:rPr>
                <w:rFonts w:cs="Arial"/>
                <w:sz w:val="22"/>
                <w:szCs w:val="22"/>
              </w:rPr>
              <w:t xml:space="preserve">HSE considers in its discretion, that any actual or potential Processing carried out by </w:t>
            </w:r>
            <w:r w:rsidR="002154C4">
              <w:rPr>
                <w:rFonts w:cs="Arial"/>
                <w:sz w:val="22"/>
                <w:szCs w:val="22"/>
              </w:rPr>
              <w:t>the Sub-Contractor is high risk.</w:t>
            </w:r>
            <w:r w:rsidRPr="0029242C">
              <w:rPr>
                <w:rFonts w:cs="Arial"/>
                <w:sz w:val="22"/>
                <w:szCs w:val="22"/>
              </w:rPr>
              <w:t xml:space="preserve"> </w:t>
            </w:r>
          </w:p>
          <w:p w14:paraId="6FE422BF" w14:textId="77777777" w:rsidR="00BB406D" w:rsidRPr="0029242C" w:rsidRDefault="00BB406D" w:rsidP="00506868">
            <w:pPr>
              <w:pStyle w:val="StdBodyText"/>
              <w:rPr>
                <w:rFonts w:cs="Arial"/>
                <w:sz w:val="22"/>
                <w:szCs w:val="22"/>
              </w:rPr>
            </w:pPr>
          </w:p>
        </w:tc>
      </w:tr>
      <w:tr w:rsidR="00BB406D" w:rsidRPr="00B013BE" w14:paraId="7CD05D43" w14:textId="77777777" w:rsidTr="00506868">
        <w:tc>
          <w:tcPr>
            <w:tcW w:w="2790" w:type="dxa"/>
          </w:tcPr>
          <w:p w14:paraId="4BBBCB89" w14:textId="77777777" w:rsidR="00BB406D" w:rsidRPr="00B013BE" w:rsidRDefault="00BB406D" w:rsidP="00506868">
            <w:pPr>
              <w:pStyle w:val="StdBodyTextBold"/>
              <w:rPr>
                <w:rFonts w:cs="Arial"/>
                <w:sz w:val="22"/>
                <w:szCs w:val="22"/>
              </w:rPr>
            </w:pPr>
            <w:r w:rsidRPr="00B013BE">
              <w:rPr>
                <w:rFonts w:cs="Arial"/>
                <w:sz w:val="22"/>
                <w:szCs w:val="22"/>
              </w:rPr>
              <w:lastRenderedPageBreak/>
              <w:t>“Incident Management Process”</w:t>
            </w:r>
          </w:p>
        </w:tc>
        <w:tc>
          <w:tcPr>
            <w:tcW w:w="5661" w:type="dxa"/>
          </w:tcPr>
          <w:p w14:paraId="7E7C2CD2" w14:textId="0FC538D9" w:rsidR="00BB406D" w:rsidRPr="00B013BE" w:rsidRDefault="00BB406D" w:rsidP="00506868">
            <w:pPr>
              <w:pStyle w:val="StdBodyText"/>
              <w:rPr>
                <w:rFonts w:cs="Arial"/>
                <w:sz w:val="22"/>
                <w:szCs w:val="22"/>
              </w:rPr>
            </w:pPr>
            <w:r w:rsidRPr="00B013BE">
              <w:rPr>
                <w:rFonts w:cs="Arial"/>
                <w:sz w:val="22"/>
                <w:szCs w:val="22"/>
              </w:rPr>
              <w:t xml:space="preserve">means the process which the Provider shall implement immediately after it becomes aware of a Breach of Security which is intended to restore normal operations as quickly as possible, minimising any adverse impact on HSE Data, HSE, the Services and/or users of the Services and which shall be shall be prepared by the Provider in accordance with </w:t>
            </w:r>
            <w:bookmarkStart w:id="3468" w:name="_9kR3WTr2BBAKIZEnoewrqyE"/>
            <w:r w:rsidRPr="00B013BE">
              <w:rPr>
                <w:rFonts w:cs="Arial"/>
                <w:sz w:val="22"/>
                <w:szCs w:val="22"/>
              </w:rPr>
              <w:t xml:space="preserve">paragraph </w:t>
            </w:r>
            <w:r w:rsidRPr="00B013BE">
              <w:rPr>
                <w:rFonts w:cs="Arial"/>
                <w:sz w:val="22"/>
                <w:szCs w:val="22"/>
              </w:rPr>
              <w:fldChar w:fldCharType="begin"/>
            </w:r>
            <w:r w:rsidRPr="00B013BE">
              <w:rPr>
                <w:rFonts w:cs="Arial"/>
                <w:sz w:val="22"/>
                <w:szCs w:val="22"/>
              </w:rPr>
              <w:instrText xml:space="preserve"> REF _Ref_ContractCompanion_9kb9Ur6FB \w \n \h \t \* MERGEFORMAT </w:instrText>
            </w:r>
            <w:r w:rsidRPr="00B013BE">
              <w:rPr>
                <w:rFonts w:cs="Arial"/>
                <w:sz w:val="22"/>
                <w:szCs w:val="22"/>
              </w:rPr>
            </w:r>
            <w:r w:rsidRPr="00B013BE">
              <w:rPr>
                <w:rFonts w:cs="Arial"/>
                <w:sz w:val="22"/>
                <w:szCs w:val="22"/>
              </w:rPr>
              <w:fldChar w:fldCharType="separate"/>
            </w:r>
            <w:r w:rsidR="00C87D85">
              <w:rPr>
                <w:rFonts w:cs="Arial"/>
                <w:sz w:val="22"/>
                <w:szCs w:val="22"/>
              </w:rPr>
              <w:t>4</w:t>
            </w:r>
            <w:r w:rsidRPr="00B013BE">
              <w:rPr>
                <w:rFonts w:cs="Arial"/>
                <w:sz w:val="22"/>
                <w:szCs w:val="22"/>
              </w:rPr>
              <w:fldChar w:fldCharType="end"/>
            </w:r>
            <w:bookmarkEnd w:id="3468"/>
            <w:r w:rsidRPr="00B013BE">
              <w:rPr>
                <w:rFonts w:cs="Arial"/>
                <w:sz w:val="22"/>
                <w:szCs w:val="22"/>
              </w:rPr>
              <w:t xml:space="preserve"> of this Schedule using the template set out in Annex </w:t>
            </w:r>
            <w:r w:rsidRPr="00B013BE">
              <w:rPr>
                <w:rFonts w:cs="Arial"/>
                <w:sz w:val="22"/>
                <w:szCs w:val="22"/>
              </w:rPr>
              <w:fldChar w:fldCharType="begin"/>
            </w:r>
            <w:r w:rsidRPr="00B013BE">
              <w:rPr>
                <w:rFonts w:cs="Arial"/>
                <w:sz w:val="22"/>
                <w:szCs w:val="22"/>
              </w:rPr>
              <w:instrText xml:space="preserve"> REF ANNEX3_PARTA_SCHEDULE5 \h </w:instrText>
            </w:r>
            <w:r>
              <w:rPr>
                <w:rFonts w:cs="Arial"/>
                <w:sz w:val="22"/>
                <w:szCs w:val="22"/>
              </w:rPr>
              <w:instrText xml:space="preserve"> \* MERGEFORMAT </w:instrText>
            </w:r>
            <w:r w:rsidRPr="00B013BE">
              <w:rPr>
                <w:rFonts w:cs="Arial"/>
                <w:sz w:val="22"/>
                <w:szCs w:val="22"/>
              </w:rPr>
            </w:r>
            <w:r w:rsidRPr="00B013BE">
              <w:rPr>
                <w:rFonts w:cs="Arial"/>
                <w:sz w:val="22"/>
                <w:szCs w:val="22"/>
              </w:rPr>
              <w:fldChar w:fldCharType="separate"/>
            </w:r>
            <w:r w:rsidR="00C87D85" w:rsidRPr="00C87D85">
              <w:rPr>
                <w:rFonts w:cs="Arial"/>
                <w:caps/>
                <w:sz w:val="22"/>
                <w:szCs w:val="22"/>
              </w:rPr>
              <w:t>3</w:t>
            </w:r>
            <w:r w:rsidRPr="00B013BE">
              <w:rPr>
                <w:rFonts w:cs="Arial"/>
                <w:sz w:val="22"/>
                <w:szCs w:val="22"/>
              </w:rPr>
              <w:fldChar w:fldCharType="end"/>
            </w:r>
            <w:r w:rsidRPr="00B013BE">
              <w:rPr>
                <w:rFonts w:cs="Arial"/>
                <w:sz w:val="22"/>
                <w:szCs w:val="22"/>
              </w:rPr>
              <w:t xml:space="preserve"> to this Schedule;</w:t>
            </w:r>
          </w:p>
        </w:tc>
      </w:tr>
      <w:tr w:rsidR="00BB406D" w:rsidRPr="00B013BE" w14:paraId="7CFC1CF6" w14:textId="77777777" w:rsidTr="00506868">
        <w:tc>
          <w:tcPr>
            <w:tcW w:w="2790" w:type="dxa"/>
          </w:tcPr>
          <w:p w14:paraId="6096BF9C" w14:textId="77777777" w:rsidR="00BB406D" w:rsidRPr="00B013BE" w:rsidRDefault="00BB406D" w:rsidP="00506868">
            <w:pPr>
              <w:pStyle w:val="StdBodyTextBold"/>
              <w:rPr>
                <w:rFonts w:cs="Arial"/>
                <w:sz w:val="22"/>
                <w:szCs w:val="22"/>
              </w:rPr>
            </w:pPr>
            <w:r w:rsidRPr="00B013BE">
              <w:rPr>
                <w:rFonts w:cs="Arial"/>
                <w:sz w:val="22"/>
                <w:szCs w:val="22"/>
              </w:rPr>
              <w:t>“Information Assurance Assessment”</w:t>
            </w:r>
          </w:p>
        </w:tc>
        <w:tc>
          <w:tcPr>
            <w:tcW w:w="5661" w:type="dxa"/>
          </w:tcPr>
          <w:p w14:paraId="1241AFA6" w14:textId="74AAFC82" w:rsidR="00BB406D" w:rsidRPr="00B013BE" w:rsidRDefault="00BB406D" w:rsidP="00506868">
            <w:pPr>
              <w:pStyle w:val="StdBodyText"/>
              <w:rPr>
                <w:rFonts w:cs="Arial"/>
                <w:sz w:val="22"/>
                <w:szCs w:val="22"/>
              </w:rPr>
            </w:pPr>
            <w:r w:rsidRPr="00B013BE">
              <w:rPr>
                <w:rFonts w:cs="Arial"/>
                <w:sz w:val="22"/>
                <w:szCs w:val="22"/>
              </w:rPr>
              <w:t xml:space="preserve">means the set of policies, procedures, systems and processes which the Provider shall implement, maintain and update in accordance with </w:t>
            </w:r>
            <w:bookmarkStart w:id="3469" w:name="_9kMHG5YVt4DDCMKbGpqgyts0G"/>
            <w:r w:rsidRPr="00B013BE">
              <w:rPr>
                <w:rFonts w:cs="Arial"/>
                <w:sz w:val="22"/>
                <w:szCs w:val="22"/>
              </w:rPr>
              <w:t xml:space="preserve">paragraph </w:t>
            </w:r>
            <w:r w:rsidRPr="00B013BE">
              <w:rPr>
                <w:rFonts w:cs="Arial"/>
                <w:sz w:val="22"/>
                <w:szCs w:val="22"/>
              </w:rPr>
              <w:fldChar w:fldCharType="begin"/>
            </w:r>
            <w:r w:rsidRPr="00B013BE">
              <w:rPr>
                <w:rFonts w:cs="Arial"/>
                <w:sz w:val="22"/>
                <w:szCs w:val="22"/>
              </w:rPr>
              <w:instrText xml:space="preserve"> REF _Ref_ContractCompanion_9kb9Ur6FD \w \n \h \t \* MERGEFORMAT </w:instrText>
            </w:r>
            <w:r w:rsidRPr="00B013BE">
              <w:rPr>
                <w:rFonts w:cs="Arial"/>
                <w:sz w:val="22"/>
                <w:szCs w:val="22"/>
              </w:rPr>
            </w:r>
            <w:r w:rsidRPr="00B013BE">
              <w:rPr>
                <w:rFonts w:cs="Arial"/>
                <w:sz w:val="22"/>
                <w:szCs w:val="22"/>
              </w:rPr>
              <w:fldChar w:fldCharType="separate"/>
            </w:r>
            <w:r w:rsidR="00C87D85">
              <w:rPr>
                <w:rFonts w:cs="Arial"/>
                <w:sz w:val="22"/>
                <w:szCs w:val="22"/>
              </w:rPr>
              <w:t>4</w:t>
            </w:r>
            <w:r w:rsidRPr="00B013BE">
              <w:rPr>
                <w:rFonts w:cs="Arial"/>
                <w:sz w:val="22"/>
                <w:szCs w:val="22"/>
              </w:rPr>
              <w:fldChar w:fldCharType="end"/>
            </w:r>
            <w:bookmarkEnd w:id="3469"/>
            <w:r w:rsidRPr="00B013BE">
              <w:rPr>
                <w:rFonts w:cs="Arial"/>
                <w:sz w:val="22"/>
                <w:szCs w:val="22"/>
              </w:rPr>
              <w:t xml:space="preserve"> of this Schedule in order to manage, mitigate and, where possible, avoid information security risks including cyber-attacks, hacks, data leaks, Personal Data Breaches and/or theft and which shall be prepared by the Provider using the template set out in Annex 3 to this Schedule;</w:t>
            </w:r>
          </w:p>
        </w:tc>
      </w:tr>
      <w:tr w:rsidR="00BB406D" w:rsidRPr="00B013BE" w14:paraId="487539A9" w14:textId="77777777" w:rsidTr="00506868">
        <w:tc>
          <w:tcPr>
            <w:tcW w:w="2790" w:type="dxa"/>
          </w:tcPr>
          <w:p w14:paraId="6EF00944" w14:textId="77777777" w:rsidR="00BB406D" w:rsidRPr="00B013BE" w:rsidRDefault="00BB406D" w:rsidP="00506868">
            <w:pPr>
              <w:pStyle w:val="StdBodyTextBold"/>
              <w:rPr>
                <w:rFonts w:cs="Arial"/>
                <w:sz w:val="22"/>
                <w:szCs w:val="22"/>
              </w:rPr>
            </w:pPr>
            <w:r w:rsidRPr="00B013BE">
              <w:rPr>
                <w:rFonts w:cs="Arial"/>
                <w:sz w:val="22"/>
                <w:szCs w:val="22"/>
              </w:rPr>
              <w:t>“Information Management System”</w:t>
            </w:r>
          </w:p>
        </w:tc>
        <w:tc>
          <w:tcPr>
            <w:tcW w:w="5661" w:type="dxa"/>
          </w:tcPr>
          <w:p w14:paraId="09A0784F" w14:textId="77777777" w:rsidR="00BB406D" w:rsidRPr="00B013BE" w:rsidRDefault="00BB406D" w:rsidP="00506868">
            <w:pPr>
              <w:pStyle w:val="StdBodyText"/>
              <w:rPr>
                <w:rFonts w:cs="Arial"/>
                <w:sz w:val="22"/>
                <w:szCs w:val="22"/>
              </w:rPr>
            </w:pPr>
            <w:r w:rsidRPr="00B013BE">
              <w:rPr>
                <w:rFonts w:cs="Arial"/>
                <w:sz w:val="22"/>
                <w:szCs w:val="22"/>
              </w:rPr>
              <w:t>means</w:t>
            </w:r>
          </w:p>
          <w:p w14:paraId="6C3412E3" w14:textId="77777777" w:rsidR="00BB406D" w:rsidRPr="00B013BE" w:rsidRDefault="00BB406D" w:rsidP="004E2262">
            <w:pPr>
              <w:pStyle w:val="DefinitionList"/>
              <w:numPr>
                <w:ilvl w:val="0"/>
                <w:numId w:val="104"/>
              </w:numPr>
              <w:rPr>
                <w:rFonts w:cs="Arial"/>
                <w:sz w:val="22"/>
                <w:szCs w:val="22"/>
              </w:rPr>
            </w:pPr>
            <w:r w:rsidRPr="00B013BE">
              <w:rPr>
                <w:rFonts w:cs="Arial"/>
                <w:sz w:val="22"/>
                <w:szCs w:val="22"/>
              </w:rPr>
              <w:t>those parts of the Provider System, and those of the Sites, that the Provider or its Sub-contractors will use to provide the parts of the Services that require Processing of HSE Data; and</w:t>
            </w:r>
          </w:p>
          <w:p w14:paraId="24C58467" w14:textId="77777777" w:rsidR="00BB406D" w:rsidRPr="00B013BE" w:rsidRDefault="00BB406D" w:rsidP="004E2262">
            <w:pPr>
              <w:pStyle w:val="DefinitionList"/>
              <w:numPr>
                <w:ilvl w:val="0"/>
                <w:numId w:val="90"/>
              </w:numPr>
              <w:rPr>
                <w:rFonts w:cs="Arial"/>
                <w:sz w:val="22"/>
                <w:szCs w:val="22"/>
              </w:rPr>
            </w:pPr>
            <w:r w:rsidRPr="00B013BE">
              <w:rPr>
                <w:rFonts w:cs="Arial"/>
                <w:sz w:val="22"/>
                <w:szCs w:val="22"/>
              </w:rPr>
              <w:t>the associated information assets and systems (including organisational structure, controls, policies, practices, procedures, processes and resources);</w:t>
            </w:r>
          </w:p>
        </w:tc>
      </w:tr>
      <w:tr w:rsidR="00BB406D" w:rsidRPr="00B013BE" w14:paraId="58719C47" w14:textId="77777777" w:rsidTr="00506868">
        <w:tc>
          <w:tcPr>
            <w:tcW w:w="2790" w:type="dxa"/>
          </w:tcPr>
          <w:p w14:paraId="5431E4DB" w14:textId="77777777" w:rsidR="00BB406D" w:rsidRPr="00B013BE" w:rsidRDefault="00BB406D" w:rsidP="00506868">
            <w:pPr>
              <w:pStyle w:val="StdBodyTextBold"/>
              <w:rPr>
                <w:rFonts w:cs="Arial"/>
                <w:sz w:val="22"/>
                <w:szCs w:val="22"/>
              </w:rPr>
            </w:pPr>
            <w:r w:rsidRPr="00B013BE">
              <w:rPr>
                <w:rFonts w:cs="Arial"/>
                <w:sz w:val="22"/>
                <w:szCs w:val="22"/>
              </w:rPr>
              <w:t>“Information Security Approval Statement”</w:t>
            </w:r>
          </w:p>
        </w:tc>
        <w:tc>
          <w:tcPr>
            <w:tcW w:w="5661" w:type="dxa"/>
          </w:tcPr>
          <w:p w14:paraId="192584F2" w14:textId="77777777" w:rsidR="00BB406D" w:rsidRPr="00B013BE" w:rsidRDefault="00BB406D" w:rsidP="00506868">
            <w:pPr>
              <w:pStyle w:val="StdBodyText"/>
              <w:rPr>
                <w:rFonts w:cs="Arial"/>
                <w:sz w:val="22"/>
                <w:szCs w:val="22"/>
              </w:rPr>
            </w:pPr>
            <w:r w:rsidRPr="00B013BE">
              <w:rPr>
                <w:rFonts w:cs="Arial"/>
                <w:sz w:val="22"/>
                <w:szCs w:val="22"/>
              </w:rPr>
              <w:t>means a notice issued by HSE which sets out the information risks which the Provider has identified as being associated with using the Information Management System and confirms that:</w:t>
            </w:r>
          </w:p>
          <w:p w14:paraId="4F69F428" w14:textId="77777777" w:rsidR="00BB406D" w:rsidRPr="00B013BE" w:rsidRDefault="00BB406D" w:rsidP="004E2262">
            <w:pPr>
              <w:pStyle w:val="DefinitionList"/>
              <w:numPr>
                <w:ilvl w:val="0"/>
                <w:numId w:val="105"/>
              </w:numPr>
              <w:rPr>
                <w:rFonts w:cs="Arial"/>
                <w:sz w:val="22"/>
                <w:szCs w:val="22"/>
              </w:rPr>
            </w:pPr>
            <w:r w:rsidRPr="00B013BE">
              <w:rPr>
                <w:rFonts w:cs="Arial"/>
                <w:sz w:val="22"/>
                <w:szCs w:val="22"/>
              </w:rPr>
              <w:t>HSE is satisfied that the identified risks have been adequately and appropriately addressed;</w:t>
            </w:r>
          </w:p>
          <w:p w14:paraId="2EC87DDF" w14:textId="77777777" w:rsidR="00BB406D" w:rsidRPr="00B013BE" w:rsidRDefault="00BB406D" w:rsidP="004E2262">
            <w:pPr>
              <w:pStyle w:val="DefinitionList"/>
              <w:numPr>
                <w:ilvl w:val="0"/>
                <w:numId w:val="90"/>
              </w:numPr>
              <w:rPr>
                <w:rFonts w:cs="Arial"/>
                <w:sz w:val="22"/>
                <w:szCs w:val="22"/>
              </w:rPr>
            </w:pPr>
            <w:r w:rsidRPr="00B013BE">
              <w:rPr>
                <w:rFonts w:cs="Arial"/>
                <w:sz w:val="22"/>
                <w:szCs w:val="22"/>
              </w:rPr>
              <w:t>HSE has accepted the residual risks; and</w:t>
            </w:r>
          </w:p>
          <w:p w14:paraId="5C919798" w14:textId="77777777" w:rsidR="00BB406D" w:rsidRPr="00B013BE" w:rsidRDefault="00BB406D" w:rsidP="004E2262">
            <w:pPr>
              <w:pStyle w:val="DefinitionList"/>
              <w:numPr>
                <w:ilvl w:val="0"/>
                <w:numId w:val="90"/>
              </w:numPr>
              <w:rPr>
                <w:rFonts w:cs="Arial"/>
                <w:sz w:val="22"/>
                <w:szCs w:val="22"/>
              </w:rPr>
            </w:pPr>
            <w:r w:rsidRPr="00B013BE">
              <w:rPr>
                <w:rFonts w:cs="Arial"/>
                <w:sz w:val="22"/>
                <w:szCs w:val="22"/>
              </w:rPr>
              <w:t>the Provider may use the Information Management System to Process HSE Data;</w:t>
            </w:r>
          </w:p>
        </w:tc>
      </w:tr>
      <w:tr w:rsidR="00BB406D" w:rsidRPr="00B013BE" w14:paraId="37DC1715" w14:textId="77777777" w:rsidTr="00506868">
        <w:tc>
          <w:tcPr>
            <w:tcW w:w="2790" w:type="dxa"/>
          </w:tcPr>
          <w:p w14:paraId="19852583" w14:textId="77777777" w:rsidR="00BB406D" w:rsidRPr="00B013BE" w:rsidRDefault="00BB406D" w:rsidP="00506868">
            <w:pPr>
              <w:pStyle w:val="StdBodyTextBold"/>
              <w:rPr>
                <w:rFonts w:cs="Arial"/>
                <w:sz w:val="22"/>
                <w:szCs w:val="22"/>
              </w:rPr>
            </w:pPr>
            <w:r w:rsidRPr="00B013BE">
              <w:rPr>
                <w:rFonts w:cs="Arial"/>
                <w:sz w:val="22"/>
                <w:szCs w:val="22"/>
              </w:rPr>
              <w:t xml:space="preserve">"IT Environment" </w:t>
            </w:r>
          </w:p>
        </w:tc>
        <w:tc>
          <w:tcPr>
            <w:tcW w:w="5661" w:type="dxa"/>
          </w:tcPr>
          <w:p w14:paraId="23FCE4A3" w14:textId="77777777" w:rsidR="00BB406D" w:rsidRPr="00B013BE" w:rsidRDefault="00BB406D" w:rsidP="00506868">
            <w:pPr>
              <w:pStyle w:val="StdBodyText"/>
              <w:rPr>
                <w:rFonts w:cs="Arial"/>
                <w:sz w:val="22"/>
                <w:szCs w:val="22"/>
              </w:rPr>
            </w:pPr>
            <w:r w:rsidRPr="00B013BE">
              <w:rPr>
                <w:rFonts w:cs="Arial"/>
                <w:sz w:val="22"/>
                <w:szCs w:val="22"/>
              </w:rPr>
              <w:t>means the HSE System and the Provider System;</w:t>
            </w:r>
          </w:p>
        </w:tc>
      </w:tr>
      <w:tr w:rsidR="00BB406D" w:rsidRPr="00B013BE" w14:paraId="285A1821" w14:textId="77777777" w:rsidTr="00506868">
        <w:tc>
          <w:tcPr>
            <w:tcW w:w="2790" w:type="dxa"/>
          </w:tcPr>
          <w:p w14:paraId="116E609D" w14:textId="77777777" w:rsidR="00BB406D" w:rsidRPr="00B013BE" w:rsidRDefault="00BB406D" w:rsidP="00506868">
            <w:pPr>
              <w:pStyle w:val="StdBodyTextBold"/>
              <w:rPr>
                <w:rFonts w:cs="Arial"/>
                <w:sz w:val="22"/>
                <w:szCs w:val="22"/>
              </w:rPr>
            </w:pPr>
            <w:r w:rsidRPr="00B013BE">
              <w:rPr>
                <w:rFonts w:cs="Arial"/>
                <w:sz w:val="22"/>
                <w:szCs w:val="22"/>
              </w:rPr>
              <w:t>“IT Health Check”</w:t>
            </w:r>
          </w:p>
        </w:tc>
        <w:tc>
          <w:tcPr>
            <w:tcW w:w="5661" w:type="dxa"/>
          </w:tcPr>
          <w:p w14:paraId="527D34A9" w14:textId="1F2ABEBB" w:rsidR="00BB406D" w:rsidRPr="00B013BE" w:rsidRDefault="00BB406D" w:rsidP="00506868">
            <w:pPr>
              <w:pStyle w:val="StdBodyText"/>
              <w:rPr>
                <w:rFonts w:cs="Arial"/>
                <w:sz w:val="22"/>
                <w:szCs w:val="22"/>
              </w:rPr>
            </w:pPr>
            <w:r w:rsidRPr="00B013BE">
              <w:rPr>
                <w:rFonts w:cs="Arial"/>
                <w:sz w:val="22"/>
                <w:szCs w:val="22"/>
              </w:rPr>
              <w:t xml:space="preserve">has the meaning given in </w:t>
            </w:r>
            <w:bookmarkStart w:id="3470" w:name="_9kMHG5YVt4DDCKOhGpqgyts0JR"/>
            <w:r w:rsidRPr="00B013BE">
              <w:rPr>
                <w:rFonts w:cs="Arial"/>
                <w:sz w:val="22"/>
                <w:szCs w:val="22"/>
              </w:rPr>
              <w:t xml:space="preserve">paragraph </w:t>
            </w:r>
            <w:bookmarkEnd w:id="3470"/>
            <w:r w:rsidRPr="00B013BE">
              <w:rPr>
                <w:rFonts w:cs="Arial"/>
                <w:sz w:val="22"/>
                <w:szCs w:val="22"/>
              </w:rPr>
              <w:fldChar w:fldCharType="begin"/>
            </w:r>
            <w:r w:rsidRPr="00B013BE">
              <w:rPr>
                <w:rFonts w:cs="Arial"/>
                <w:sz w:val="22"/>
                <w:szCs w:val="22"/>
              </w:rPr>
              <w:instrText xml:space="preserve"> REF _Ref99026593 \w \h  \* MERGEFORMAT </w:instrText>
            </w:r>
            <w:r w:rsidRPr="00B013BE">
              <w:rPr>
                <w:rFonts w:cs="Arial"/>
                <w:sz w:val="22"/>
                <w:szCs w:val="22"/>
              </w:rPr>
            </w:r>
            <w:r w:rsidRPr="00B013BE">
              <w:rPr>
                <w:rFonts w:cs="Arial"/>
                <w:sz w:val="22"/>
                <w:szCs w:val="22"/>
              </w:rPr>
              <w:fldChar w:fldCharType="separate"/>
            </w:r>
            <w:r w:rsidR="00C87D85">
              <w:rPr>
                <w:rFonts w:cs="Arial"/>
                <w:sz w:val="22"/>
                <w:szCs w:val="22"/>
              </w:rPr>
              <w:t>7.1(a)</w:t>
            </w:r>
            <w:r w:rsidRPr="00B013BE">
              <w:rPr>
                <w:rFonts w:cs="Arial"/>
                <w:sz w:val="22"/>
                <w:szCs w:val="22"/>
              </w:rPr>
              <w:fldChar w:fldCharType="end"/>
            </w:r>
            <w:r w:rsidRPr="00B013BE">
              <w:rPr>
                <w:rFonts w:cs="Arial"/>
                <w:sz w:val="22"/>
                <w:szCs w:val="22"/>
              </w:rPr>
              <w:t xml:space="preserve"> of this Schedule;</w:t>
            </w:r>
          </w:p>
        </w:tc>
      </w:tr>
      <w:tr w:rsidR="00BB406D" w:rsidRPr="00B013BE" w14:paraId="3147446E" w14:textId="77777777" w:rsidTr="00506868">
        <w:tc>
          <w:tcPr>
            <w:tcW w:w="2790" w:type="dxa"/>
          </w:tcPr>
          <w:p w14:paraId="235C7093" w14:textId="77777777" w:rsidR="00BB406D" w:rsidRPr="00B013BE" w:rsidRDefault="00BB406D" w:rsidP="00506868">
            <w:pPr>
              <w:pStyle w:val="StdBodyTextBold"/>
              <w:rPr>
                <w:rFonts w:cs="Arial"/>
                <w:sz w:val="22"/>
                <w:szCs w:val="22"/>
              </w:rPr>
            </w:pPr>
            <w:r w:rsidRPr="00B013BE">
              <w:rPr>
                <w:sz w:val="22"/>
                <w:szCs w:val="22"/>
              </w:rPr>
              <w:t>"Malicious Software"</w:t>
            </w:r>
          </w:p>
        </w:tc>
        <w:tc>
          <w:tcPr>
            <w:tcW w:w="5661" w:type="dxa"/>
          </w:tcPr>
          <w:p w14:paraId="2C576EED" w14:textId="77777777" w:rsidR="00BB406D" w:rsidRPr="00B013BE" w:rsidRDefault="00BB406D" w:rsidP="00506868">
            <w:pPr>
              <w:pStyle w:val="StdBodyText"/>
              <w:rPr>
                <w:rFonts w:cs="Arial"/>
                <w:sz w:val="22"/>
                <w:szCs w:val="22"/>
              </w:rPr>
            </w:pPr>
            <w:r w:rsidRPr="00B013BE">
              <w:rPr>
                <w:sz w:val="22"/>
                <w:szCs w:val="22"/>
              </w:rPr>
              <w:t xml:space="preserve">any software program or code intended to destroy, interfere with, corrupt, or cause undesired effects on program files, data or other information, executable code or application software macros, whether or not its </w:t>
            </w:r>
            <w:r w:rsidRPr="00B013BE">
              <w:rPr>
                <w:sz w:val="22"/>
                <w:szCs w:val="22"/>
              </w:rPr>
              <w:lastRenderedPageBreak/>
              <w:t>operation is immediate or delayed, and whether the malicious software is introduced wilfully, negligently or without knowledge of its existence;</w:t>
            </w:r>
          </w:p>
        </w:tc>
      </w:tr>
      <w:tr w:rsidR="00BB406D" w:rsidRPr="00B013BE" w14:paraId="45E5DAB6" w14:textId="77777777" w:rsidTr="00506868">
        <w:tc>
          <w:tcPr>
            <w:tcW w:w="2790" w:type="dxa"/>
          </w:tcPr>
          <w:p w14:paraId="1618EAA2" w14:textId="77777777" w:rsidR="00BB406D" w:rsidRPr="0029242C" w:rsidRDefault="00BB406D" w:rsidP="00506868">
            <w:pPr>
              <w:pStyle w:val="StdBodyTextBold"/>
              <w:rPr>
                <w:rFonts w:cs="Arial"/>
                <w:sz w:val="22"/>
                <w:szCs w:val="22"/>
              </w:rPr>
            </w:pPr>
            <w:r w:rsidRPr="0029242C">
              <w:rPr>
                <w:rFonts w:cs="Arial"/>
                <w:sz w:val="22"/>
                <w:szCs w:val="22"/>
              </w:rPr>
              <w:lastRenderedPageBreak/>
              <w:t>“Medium Risk Sub-Contractor”</w:t>
            </w:r>
          </w:p>
        </w:tc>
        <w:tc>
          <w:tcPr>
            <w:tcW w:w="5661" w:type="dxa"/>
          </w:tcPr>
          <w:p w14:paraId="54EE04F1" w14:textId="77777777" w:rsidR="00BB406D" w:rsidRPr="0029242C" w:rsidRDefault="00BB406D" w:rsidP="00506868">
            <w:pPr>
              <w:pStyle w:val="StdBodyText"/>
              <w:rPr>
                <w:rFonts w:cs="Arial"/>
                <w:sz w:val="22"/>
                <w:szCs w:val="22"/>
              </w:rPr>
            </w:pPr>
            <w:r w:rsidRPr="0029242C">
              <w:rPr>
                <w:rFonts w:cs="Arial"/>
                <w:sz w:val="22"/>
                <w:szCs w:val="22"/>
              </w:rPr>
              <w:t>means a Sub-Contractor that Processes HSE Data, where that data</w:t>
            </w:r>
          </w:p>
          <w:p w14:paraId="4A408551" w14:textId="266F221E" w:rsidR="00BB406D" w:rsidRPr="00D3326E" w:rsidRDefault="00BB406D" w:rsidP="004E2262">
            <w:pPr>
              <w:pStyle w:val="DefinitionList"/>
              <w:numPr>
                <w:ilvl w:val="0"/>
                <w:numId w:val="107"/>
              </w:numPr>
              <w:rPr>
                <w:rFonts w:cs="Arial"/>
                <w:sz w:val="22"/>
                <w:szCs w:val="22"/>
              </w:rPr>
            </w:pPr>
            <w:r w:rsidRPr="00D3326E">
              <w:rPr>
                <w:rFonts w:cs="Arial"/>
                <w:sz w:val="22"/>
                <w:szCs w:val="22"/>
              </w:rPr>
              <w:t>includes the Personal Data of between 100 and 999 individuals (inclusive) in the period between the first Operational Service</w:t>
            </w:r>
            <w:r w:rsidR="002C0DCB">
              <w:rPr>
                <w:rFonts w:cs="Arial"/>
                <w:sz w:val="22"/>
                <w:szCs w:val="22"/>
              </w:rPr>
              <w:t>s</w:t>
            </w:r>
            <w:r w:rsidRPr="00D3326E">
              <w:rPr>
                <w:rFonts w:cs="Arial"/>
                <w:sz w:val="22"/>
                <w:szCs w:val="22"/>
              </w:rPr>
              <w:t xml:space="preserve"> </w:t>
            </w:r>
            <w:r w:rsidR="002C0DCB">
              <w:rPr>
                <w:rFonts w:cs="Arial"/>
                <w:sz w:val="22"/>
                <w:szCs w:val="22"/>
              </w:rPr>
              <w:t>Start</w:t>
            </w:r>
            <w:r w:rsidR="000D3547">
              <w:rPr>
                <w:rFonts w:cs="Arial"/>
                <w:sz w:val="22"/>
                <w:szCs w:val="22"/>
              </w:rPr>
              <w:t xml:space="preserve"> </w:t>
            </w:r>
            <w:r w:rsidRPr="00D3326E">
              <w:rPr>
                <w:rFonts w:cs="Arial"/>
                <w:sz w:val="22"/>
                <w:szCs w:val="22"/>
              </w:rPr>
              <w:t xml:space="preserve">Date and the date on which this Agreement terminates in accordance with </w:t>
            </w:r>
            <w:bookmarkStart w:id="3471" w:name="_9kMHG5YVt4DDCLGLEjtCxALt"/>
            <w:r w:rsidRPr="00D3326E">
              <w:rPr>
                <w:rFonts w:cs="Arial"/>
                <w:sz w:val="22"/>
                <w:szCs w:val="22"/>
              </w:rPr>
              <w:t>Clause 4.1(b)</w:t>
            </w:r>
            <w:bookmarkEnd w:id="3471"/>
            <w:r w:rsidRPr="00D3326E">
              <w:rPr>
                <w:rFonts w:cs="Arial"/>
                <w:sz w:val="22"/>
                <w:szCs w:val="22"/>
              </w:rPr>
              <w:t>; and</w:t>
            </w:r>
          </w:p>
          <w:p w14:paraId="5078D08F" w14:textId="308D9A47" w:rsidR="00BB406D" w:rsidRPr="00D3326E" w:rsidRDefault="00BB406D" w:rsidP="004E2262">
            <w:pPr>
              <w:pStyle w:val="DefinitionList"/>
              <w:numPr>
                <w:ilvl w:val="0"/>
                <w:numId w:val="90"/>
              </w:numPr>
              <w:rPr>
                <w:rFonts w:cs="Arial"/>
                <w:sz w:val="22"/>
                <w:szCs w:val="22"/>
              </w:rPr>
            </w:pPr>
            <w:r w:rsidRPr="0029242C">
              <w:rPr>
                <w:rFonts w:cs="Arial"/>
                <w:sz w:val="22"/>
                <w:szCs w:val="22"/>
              </w:rPr>
              <w:t>does not include Special Category Personal Data;</w:t>
            </w:r>
          </w:p>
        </w:tc>
      </w:tr>
      <w:tr w:rsidR="00BB406D" w:rsidRPr="00B013BE" w14:paraId="185E7A75" w14:textId="77777777" w:rsidTr="00506868">
        <w:tc>
          <w:tcPr>
            <w:tcW w:w="2790" w:type="dxa"/>
          </w:tcPr>
          <w:p w14:paraId="1E044D03" w14:textId="77777777" w:rsidR="00BB406D" w:rsidRPr="00B013BE" w:rsidRDefault="00BB406D" w:rsidP="00506868">
            <w:pPr>
              <w:pStyle w:val="StdBodyTextBold"/>
              <w:rPr>
                <w:rFonts w:cs="Arial"/>
                <w:sz w:val="22"/>
                <w:szCs w:val="22"/>
              </w:rPr>
            </w:pPr>
            <w:r w:rsidRPr="00B013BE">
              <w:rPr>
                <w:rFonts w:cs="Arial"/>
                <w:sz w:val="22"/>
                <w:szCs w:val="22"/>
              </w:rPr>
              <w:t>“NCSC”</w:t>
            </w:r>
          </w:p>
        </w:tc>
        <w:tc>
          <w:tcPr>
            <w:tcW w:w="5661" w:type="dxa"/>
          </w:tcPr>
          <w:p w14:paraId="260B3E37" w14:textId="77777777" w:rsidR="00BB406D" w:rsidRPr="00B013BE" w:rsidRDefault="00BB406D" w:rsidP="00506868">
            <w:pPr>
              <w:pStyle w:val="StdBodyText"/>
              <w:rPr>
                <w:rFonts w:cs="Arial"/>
                <w:sz w:val="22"/>
                <w:szCs w:val="22"/>
              </w:rPr>
            </w:pPr>
            <w:r w:rsidRPr="00B013BE">
              <w:rPr>
                <w:rFonts w:cs="Arial"/>
                <w:sz w:val="22"/>
                <w:szCs w:val="22"/>
              </w:rPr>
              <w:t>the National Cyber Security Centre or any replacement or successor body carrying out the same function;</w:t>
            </w:r>
          </w:p>
        </w:tc>
      </w:tr>
      <w:tr w:rsidR="00BB406D" w:rsidRPr="00B013BE" w14:paraId="12B48113" w14:textId="77777777" w:rsidTr="00506868">
        <w:tc>
          <w:tcPr>
            <w:tcW w:w="2790" w:type="dxa"/>
          </w:tcPr>
          <w:p w14:paraId="7B8C9000" w14:textId="77777777" w:rsidR="00BB406D" w:rsidRPr="00B013BE" w:rsidRDefault="00BB406D" w:rsidP="00506868">
            <w:pPr>
              <w:pStyle w:val="StdBodyTextBold"/>
              <w:rPr>
                <w:rFonts w:cs="Arial"/>
                <w:sz w:val="22"/>
                <w:szCs w:val="22"/>
              </w:rPr>
            </w:pPr>
            <w:r w:rsidRPr="00B013BE">
              <w:rPr>
                <w:rFonts w:cs="Arial"/>
                <w:sz w:val="22"/>
                <w:szCs w:val="22"/>
              </w:rPr>
              <w:t>“Process”</w:t>
            </w:r>
          </w:p>
        </w:tc>
        <w:tc>
          <w:tcPr>
            <w:tcW w:w="5661" w:type="dxa"/>
          </w:tcPr>
          <w:p w14:paraId="5A7D445D" w14:textId="77777777" w:rsidR="00BB406D" w:rsidRPr="00B013BE" w:rsidRDefault="00BB406D" w:rsidP="00506868">
            <w:pPr>
              <w:pStyle w:val="StdBodyText"/>
              <w:rPr>
                <w:rFonts w:cs="Arial"/>
                <w:sz w:val="22"/>
                <w:szCs w:val="22"/>
              </w:rPr>
            </w:pPr>
            <w:r w:rsidRPr="00B013BE">
              <w:rPr>
                <w:rFonts w:cs="Arial"/>
                <w:sz w:val="22"/>
                <w:szCs w:val="22"/>
              </w:rPr>
              <w:t>means any operation which is performed on data, whether or not by automated means, including collection, recording, organisation, structuring, storage, adaptation or alteration, retrieval, consultation, use, disclosure by transmission, dissemination or otherwise making available, alignment or combination, restriction, erasure or destruction;</w:t>
            </w:r>
          </w:p>
        </w:tc>
      </w:tr>
      <w:tr w:rsidR="00BB406D" w:rsidRPr="00B013BE" w14:paraId="586F190D" w14:textId="77777777" w:rsidTr="00506868">
        <w:tc>
          <w:tcPr>
            <w:tcW w:w="2790" w:type="dxa"/>
          </w:tcPr>
          <w:p w14:paraId="31C86ED9" w14:textId="77777777" w:rsidR="00BB406D" w:rsidRPr="00B013BE" w:rsidRDefault="00BB406D" w:rsidP="00506868">
            <w:pPr>
              <w:pStyle w:val="StdBodyTextBold"/>
              <w:rPr>
                <w:rFonts w:cs="Arial"/>
                <w:sz w:val="22"/>
                <w:szCs w:val="22"/>
              </w:rPr>
            </w:pPr>
            <w:r w:rsidRPr="00B013BE">
              <w:rPr>
                <w:rFonts w:cs="Arial"/>
                <w:sz w:val="22"/>
                <w:szCs w:val="22"/>
              </w:rPr>
              <w:t>“Provider System”</w:t>
            </w:r>
          </w:p>
        </w:tc>
        <w:tc>
          <w:tcPr>
            <w:tcW w:w="5661" w:type="dxa"/>
          </w:tcPr>
          <w:p w14:paraId="71515677" w14:textId="77777777" w:rsidR="00BB406D" w:rsidRPr="00B013BE" w:rsidRDefault="00BB406D" w:rsidP="00506868">
            <w:pPr>
              <w:pStyle w:val="StdBodyText"/>
              <w:rPr>
                <w:rFonts w:cs="Arial"/>
                <w:sz w:val="22"/>
                <w:szCs w:val="22"/>
              </w:rPr>
            </w:pPr>
            <w:r w:rsidRPr="00B013BE">
              <w:rPr>
                <w:rFonts w:cs="Arial"/>
                <w:sz w:val="22"/>
                <w:szCs w:val="22"/>
              </w:rPr>
              <w:t>the information and communications technology system used by the Provider in implementing and performing the Services including the Service Assets, configuration and management utilities, calibration and testing tools and related cabling (but excluding the HSE System);</w:t>
            </w:r>
          </w:p>
        </w:tc>
      </w:tr>
      <w:tr w:rsidR="00BB406D" w:rsidRPr="00B013BE" w14:paraId="63ECA7C1" w14:textId="77777777" w:rsidTr="00506868">
        <w:tc>
          <w:tcPr>
            <w:tcW w:w="2790" w:type="dxa"/>
          </w:tcPr>
          <w:p w14:paraId="3920F172" w14:textId="77777777" w:rsidR="00BB406D" w:rsidRPr="00B013BE" w:rsidRDefault="00BB406D" w:rsidP="00506868">
            <w:pPr>
              <w:pStyle w:val="StdBodyTextBold"/>
              <w:rPr>
                <w:rFonts w:cs="Arial"/>
                <w:sz w:val="22"/>
                <w:szCs w:val="22"/>
              </w:rPr>
            </w:pPr>
            <w:r w:rsidRPr="00B013BE">
              <w:rPr>
                <w:rFonts w:cs="Arial"/>
                <w:sz w:val="22"/>
                <w:szCs w:val="22"/>
              </w:rPr>
              <w:t>“Remediation Action Plan”</w:t>
            </w:r>
          </w:p>
        </w:tc>
        <w:tc>
          <w:tcPr>
            <w:tcW w:w="5661" w:type="dxa"/>
          </w:tcPr>
          <w:p w14:paraId="3FDB8791" w14:textId="51859F06" w:rsidR="00BB406D" w:rsidRPr="00B013BE" w:rsidRDefault="00BB406D" w:rsidP="00506868">
            <w:pPr>
              <w:pStyle w:val="StdBodyText"/>
              <w:rPr>
                <w:rFonts w:cs="Arial"/>
                <w:sz w:val="22"/>
                <w:szCs w:val="22"/>
              </w:rPr>
            </w:pPr>
            <w:r w:rsidRPr="00B013BE">
              <w:rPr>
                <w:rFonts w:cs="Arial"/>
                <w:sz w:val="22"/>
                <w:szCs w:val="22"/>
              </w:rPr>
              <w:t xml:space="preserve">has the meaning given in paragraph </w:t>
            </w:r>
            <w:r w:rsidRPr="00B013BE">
              <w:rPr>
                <w:rFonts w:cs="Arial"/>
                <w:sz w:val="22"/>
                <w:szCs w:val="22"/>
              </w:rPr>
              <w:fldChar w:fldCharType="begin"/>
            </w:r>
            <w:r w:rsidRPr="00B013BE">
              <w:rPr>
                <w:rFonts w:cs="Arial"/>
                <w:sz w:val="22"/>
                <w:szCs w:val="22"/>
              </w:rPr>
              <w:instrText xml:space="preserve"> REF _Ref88063578 \r \h  \* MERGEFORMAT </w:instrText>
            </w:r>
            <w:r w:rsidRPr="00B013BE">
              <w:rPr>
                <w:rFonts w:cs="Arial"/>
                <w:sz w:val="22"/>
                <w:szCs w:val="22"/>
              </w:rPr>
            </w:r>
            <w:r w:rsidRPr="00B013BE">
              <w:rPr>
                <w:rFonts w:cs="Arial"/>
                <w:sz w:val="22"/>
                <w:szCs w:val="22"/>
              </w:rPr>
              <w:fldChar w:fldCharType="separate"/>
            </w:r>
            <w:r w:rsidR="00C87D85">
              <w:rPr>
                <w:rFonts w:cs="Arial"/>
                <w:sz w:val="22"/>
                <w:szCs w:val="22"/>
              </w:rPr>
              <w:t>7.3(c)(i)</w:t>
            </w:r>
            <w:r w:rsidRPr="00B013BE">
              <w:rPr>
                <w:rFonts w:cs="Arial"/>
                <w:sz w:val="22"/>
                <w:szCs w:val="22"/>
              </w:rPr>
              <w:fldChar w:fldCharType="end"/>
            </w:r>
            <w:r w:rsidRPr="00B013BE">
              <w:rPr>
                <w:rFonts w:cs="Arial"/>
                <w:sz w:val="22"/>
                <w:szCs w:val="22"/>
              </w:rPr>
              <w:t xml:space="preserve"> of this Schedule;</w:t>
            </w:r>
          </w:p>
        </w:tc>
      </w:tr>
      <w:tr w:rsidR="00BB406D" w:rsidRPr="00B013BE" w14:paraId="3B01EF7C" w14:textId="77777777" w:rsidTr="00506868">
        <w:tc>
          <w:tcPr>
            <w:tcW w:w="2790" w:type="dxa"/>
          </w:tcPr>
          <w:p w14:paraId="08EC8E67" w14:textId="77777777" w:rsidR="00BB406D" w:rsidRPr="00B013BE" w:rsidRDefault="00BB406D" w:rsidP="00506868">
            <w:pPr>
              <w:pStyle w:val="StdBodyTextBold"/>
              <w:rPr>
                <w:rFonts w:cs="Arial"/>
                <w:sz w:val="22"/>
                <w:szCs w:val="22"/>
              </w:rPr>
            </w:pPr>
            <w:r w:rsidRPr="00B013BE">
              <w:rPr>
                <w:rFonts w:cs="Arial"/>
                <w:sz w:val="22"/>
                <w:szCs w:val="22"/>
              </w:rPr>
              <w:t>“Required Changes Register”</w:t>
            </w:r>
          </w:p>
        </w:tc>
        <w:tc>
          <w:tcPr>
            <w:tcW w:w="5661" w:type="dxa"/>
          </w:tcPr>
          <w:p w14:paraId="761FBF7C" w14:textId="46799EB7" w:rsidR="00BB406D" w:rsidRPr="00B013BE" w:rsidRDefault="00BB406D" w:rsidP="00506868">
            <w:pPr>
              <w:pStyle w:val="StdBodyText"/>
              <w:rPr>
                <w:rFonts w:cs="Arial"/>
                <w:sz w:val="22"/>
                <w:szCs w:val="22"/>
              </w:rPr>
            </w:pPr>
            <w:r w:rsidRPr="00B013BE">
              <w:rPr>
                <w:rFonts w:cs="Arial"/>
                <w:sz w:val="22"/>
                <w:szCs w:val="22"/>
              </w:rPr>
              <w:t xml:space="preserve">mean the register within the Security Management Plan which is to be maintained and updated by the Provider and which shall record each of the changes that the Provider shall make to the Information Management System and/or the Security Management Plan as a consequence of the occurrence of any of the events set out in </w:t>
            </w:r>
            <w:bookmarkStart w:id="3472" w:name="_9kR3WTr2BBAKNeEnoewrqyFO"/>
            <w:r w:rsidRPr="00B013BE">
              <w:rPr>
                <w:rFonts w:cs="Arial"/>
                <w:sz w:val="22"/>
                <w:szCs w:val="22"/>
              </w:rPr>
              <w:t xml:space="preserve">paragraph </w:t>
            </w:r>
            <w:r w:rsidRPr="00B013BE">
              <w:rPr>
                <w:rFonts w:cs="Arial"/>
                <w:sz w:val="22"/>
                <w:szCs w:val="22"/>
              </w:rPr>
              <w:fldChar w:fldCharType="begin"/>
            </w:r>
            <w:r w:rsidRPr="00B013BE">
              <w:rPr>
                <w:rFonts w:cs="Arial"/>
                <w:sz w:val="22"/>
                <w:szCs w:val="22"/>
              </w:rPr>
              <w:instrText xml:space="preserve"> REF _Ref_ContractCompanion_9kb9Ur6GF \n \h \t \* MERGEFORMAT </w:instrText>
            </w:r>
            <w:r w:rsidRPr="00B013BE">
              <w:rPr>
                <w:rFonts w:cs="Arial"/>
                <w:sz w:val="22"/>
                <w:szCs w:val="22"/>
              </w:rPr>
            </w:r>
            <w:r w:rsidRPr="00B013BE">
              <w:rPr>
                <w:rFonts w:cs="Arial"/>
                <w:sz w:val="22"/>
                <w:szCs w:val="22"/>
              </w:rPr>
              <w:fldChar w:fldCharType="separate"/>
            </w:r>
            <w:r w:rsidR="00C87D85">
              <w:rPr>
                <w:rFonts w:cs="Arial"/>
                <w:sz w:val="22"/>
                <w:szCs w:val="22"/>
              </w:rPr>
              <w:t>5.2</w:t>
            </w:r>
            <w:r w:rsidRPr="00B013BE">
              <w:rPr>
                <w:rFonts w:cs="Arial"/>
                <w:sz w:val="22"/>
                <w:szCs w:val="22"/>
              </w:rPr>
              <w:fldChar w:fldCharType="end"/>
            </w:r>
            <w:bookmarkEnd w:id="3472"/>
            <w:r w:rsidRPr="00B013BE">
              <w:rPr>
                <w:rFonts w:cs="Arial"/>
                <w:sz w:val="22"/>
                <w:szCs w:val="22"/>
              </w:rPr>
              <w:t xml:space="preserve"> of this Schedule together with the date by which such change shall be implemented and the date on which such change was implemented;</w:t>
            </w:r>
          </w:p>
        </w:tc>
      </w:tr>
      <w:tr w:rsidR="00BB406D" w:rsidRPr="00B013BE" w14:paraId="7E9540E8" w14:textId="77777777" w:rsidTr="00506868">
        <w:tc>
          <w:tcPr>
            <w:tcW w:w="2790" w:type="dxa"/>
          </w:tcPr>
          <w:p w14:paraId="544D3034" w14:textId="77777777" w:rsidR="00BB406D" w:rsidRPr="00B013BE" w:rsidRDefault="00BB406D" w:rsidP="00506868">
            <w:pPr>
              <w:pStyle w:val="StdBodyTextBold"/>
              <w:rPr>
                <w:rFonts w:cs="Arial"/>
                <w:sz w:val="22"/>
                <w:szCs w:val="22"/>
              </w:rPr>
            </w:pPr>
            <w:r w:rsidRPr="00B013BE">
              <w:rPr>
                <w:rFonts w:cs="Arial"/>
                <w:sz w:val="22"/>
                <w:szCs w:val="22"/>
              </w:rPr>
              <w:t>“Risk Register”</w:t>
            </w:r>
          </w:p>
        </w:tc>
        <w:tc>
          <w:tcPr>
            <w:tcW w:w="5661" w:type="dxa"/>
          </w:tcPr>
          <w:p w14:paraId="303F11A9" w14:textId="45C35790" w:rsidR="00BB406D" w:rsidRPr="00B013BE" w:rsidRDefault="00BB406D" w:rsidP="00506868">
            <w:pPr>
              <w:pStyle w:val="StdBodyText"/>
              <w:rPr>
                <w:rFonts w:cs="Arial"/>
                <w:sz w:val="22"/>
                <w:szCs w:val="22"/>
              </w:rPr>
            </w:pPr>
            <w:r w:rsidRPr="00B013BE">
              <w:rPr>
                <w:rFonts w:cs="Arial"/>
                <w:sz w:val="22"/>
                <w:szCs w:val="22"/>
              </w:rPr>
              <w:t xml:space="preserve">is the risk register within the Information Assurance Assessment which is to be prepared and submitted to HSE for approval in accordance with paragraph </w:t>
            </w:r>
            <w:r w:rsidRPr="00B013BE">
              <w:rPr>
                <w:rFonts w:cs="Arial"/>
                <w:sz w:val="22"/>
                <w:szCs w:val="22"/>
              </w:rPr>
              <w:fldChar w:fldCharType="begin"/>
            </w:r>
            <w:r w:rsidRPr="00B013BE">
              <w:rPr>
                <w:rFonts w:cs="Arial"/>
                <w:sz w:val="22"/>
                <w:szCs w:val="22"/>
              </w:rPr>
              <w:instrText xml:space="preserve"> REF _9kR3WTrAG8BICZJfifw5q8MMLkQzJdjlc68LK4C \r \h  \* MERGEFORMAT </w:instrText>
            </w:r>
            <w:r w:rsidRPr="00B013BE">
              <w:rPr>
                <w:rFonts w:cs="Arial"/>
                <w:sz w:val="22"/>
                <w:szCs w:val="22"/>
              </w:rPr>
            </w:r>
            <w:r w:rsidRPr="00B013BE">
              <w:rPr>
                <w:rFonts w:cs="Arial"/>
                <w:sz w:val="22"/>
                <w:szCs w:val="22"/>
              </w:rPr>
              <w:fldChar w:fldCharType="separate"/>
            </w:r>
            <w:r w:rsidR="00C87D85">
              <w:rPr>
                <w:rFonts w:cs="Arial"/>
                <w:sz w:val="22"/>
                <w:szCs w:val="22"/>
              </w:rPr>
              <w:t>4</w:t>
            </w:r>
            <w:r w:rsidRPr="00B013BE">
              <w:rPr>
                <w:rFonts w:cs="Arial"/>
                <w:sz w:val="22"/>
                <w:szCs w:val="22"/>
              </w:rPr>
              <w:fldChar w:fldCharType="end"/>
            </w:r>
            <w:r w:rsidRPr="00B013BE">
              <w:rPr>
                <w:rFonts w:cs="Arial"/>
                <w:sz w:val="22"/>
                <w:szCs w:val="22"/>
              </w:rPr>
              <w:t xml:space="preserve"> of this Schedule;</w:t>
            </w:r>
          </w:p>
        </w:tc>
      </w:tr>
      <w:tr w:rsidR="00BB406D" w:rsidRPr="00B013BE" w14:paraId="117FE3E7" w14:textId="77777777" w:rsidTr="00506868">
        <w:tc>
          <w:tcPr>
            <w:tcW w:w="2790" w:type="dxa"/>
          </w:tcPr>
          <w:p w14:paraId="3EE7ED2E" w14:textId="77777777" w:rsidR="00BB406D" w:rsidRPr="00B013BE" w:rsidRDefault="00BB406D" w:rsidP="00506868">
            <w:pPr>
              <w:pStyle w:val="StdBodyTextBold"/>
              <w:rPr>
                <w:rFonts w:cs="Arial"/>
                <w:sz w:val="22"/>
                <w:szCs w:val="22"/>
              </w:rPr>
            </w:pPr>
            <w:r w:rsidRPr="00B013BE">
              <w:rPr>
                <w:rFonts w:cs="Arial"/>
                <w:sz w:val="22"/>
                <w:szCs w:val="22"/>
              </w:rPr>
              <w:t>“Security Management Plan”</w:t>
            </w:r>
          </w:p>
        </w:tc>
        <w:tc>
          <w:tcPr>
            <w:tcW w:w="5661" w:type="dxa"/>
          </w:tcPr>
          <w:p w14:paraId="6282E2F0" w14:textId="6821D25B" w:rsidR="00BB406D" w:rsidRPr="00B013BE" w:rsidRDefault="00BB406D" w:rsidP="00506868">
            <w:pPr>
              <w:pStyle w:val="StdBodyText"/>
              <w:rPr>
                <w:rFonts w:cs="Arial"/>
                <w:sz w:val="22"/>
                <w:szCs w:val="22"/>
              </w:rPr>
            </w:pPr>
            <w:r w:rsidRPr="00B013BE">
              <w:rPr>
                <w:rFonts w:cs="Arial"/>
                <w:sz w:val="22"/>
                <w:szCs w:val="22"/>
              </w:rPr>
              <w:t xml:space="preserve">means the document prepared by the Provider using the template in Annex </w:t>
            </w:r>
            <w:r w:rsidRPr="00B013BE">
              <w:rPr>
                <w:rFonts w:cs="Arial"/>
                <w:sz w:val="22"/>
                <w:szCs w:val="22"/>
              </w:rPr>
              <w:fldChar w:fldCharType="begin"/>
            </w:r>
            <w:r w:rsidRPr="00B013BE">
              <w:rPr>
                <w:rFonts w:cs="Arial"/>
                <w:sz w:val="22"/>
                <w:szCs w:val="22"/>
              </w:rPr>
              <w:instrText xml:space="preserve"> REF ANNEX3_PARTA_SCHEDULE5 \h  \* MERGEFORMAT </w:instrText>
            </w:r>
            <w:r w:rsidRPr="00B013BE">
              <w:rPr>
                <w:rFonts w:cs="Arial"/>
                <w:sz w:val="22"/>
                <w:szCs w:val="22"/>
              </w:rPr>
            </w:r>
            <w:r w:rsidRPr="00B013BE">
              <w:rPr>
                <w:rFonts w:cs="Arial"/>
                <w:sz w:val="22"/>
                <w:szCs w:val="22"/>
              </w:rPr>
              <w:fldChar w:fldCharType="separate"/>
            </w:r>
            <w:r w:rsidR="00C87D85" w:rsidRPr="00C87D85">
              <w:rPr>
                <w:rFonts w:cs="Arial"/>
                <w:sz w:val="22"/>
                <w:szCs w:val="22"/>
              </w:rPr>
              <w:t>3</w:t>
            </w:r>
            <w:r w:rsidRPr="00B013BE">
              <w:rPr>
                <w:rFonts w:cs="Arial"/>
                <w:sz w:val="22"/>
                <w:szCs w:val="22"/>
              </w:rPr>
              <w:fldChar w:fldCharType="end"/>
            </w:r>
            <w:r w:rsidRPr="00B013BE">
              <w:rPr>
                <w:rFonts w:cs="Arial"/>
                <w:sz w:val="22"/>
                <w:szCs w:val="22"/>
              </w:rPr>
              <w:t xml:space="preserve">, comprising: </w:t>
            </w:r>
          </w:p>
          <w:p w14:paraId="5248FA3C" w14:textId="77777777" w:rsidR="00BB406D" w:rsidRPr="00F058BC" w:rsidRDefault="00BB406D" w:rsidP="004E2262">
            <w:pPr>
              <w:pStyle w:val="DefinitionList"/>
              <w:numPr>
                <w:ilvl w:val="0"/>
                <w:numId w:val="106"/>
              </w:numPr>
              <w:rPr>
                <w:rFonts w:cs="Arial"/>
                <w:sz w:val="22"/>
                <w:szCs w:val="22"/>
              </w:rPr>
            </w:pPr>
            <w:r w:rsidRPr="00F058BC">
              <w:rPr>
                <w:rFonts w:cs="Arial"/>
                <w:sz w:val="22"/>
                <w:szCs w:val="22"/>
              </w:rPr>
              <w:lastRenderedPageBreak/>
              <w:t>the Information Assurance Assessment;</w:t>
            </w:r>
          </w:p>
          <w:p w14:paraId="54B4C2F6" w14:textId="77777777" w:rsidR="00BB406D" w:rsidRPr="00B013BE" w:rsidRDefault="00BB406D" w:rsidP="004E2262">
            <w:pPr>
              <w:pStyle w:val="DefinitionList"/>
              <w:numPr>
                <w:ilvl w:val="0"/>
                <w:numId w:val="90"/>
              </w:numPr>
              <w:rPr>
                <w:rFonts w:cs="Arial"/>
                <w:sz w:val="22"/>
                <w:szCs w:val="22"/>
              </w:rPr>
            </w:pPr>
            <w:r w:rsidRPr="00B013BE">
              <w:rPr>
                <w:rFonts w:cs="Arial"/>
                <w:sz w:val="22"/>
                <w:szCs w:val="22"/>
              </w:rPr>
              <w:t>the Required Changes Register; and</w:t>
            </w:r>
          </w:p>
          <w:p w14:paraId="35A8382D" w14:textId="77777777" w:rsidR="00BB406D" w:rsidRPr="00B013BE" w:rsidRDefault="00BB406D" w:rsidP="004E2262">
            <w:pPr>
              <w:pStyle w:val="DefinitionList"/>
              <w:numPr>
                <w:ilvl w:val="0"/>
                <w:numId w:val="90"/>
              </w:numPr>
              <w:rPr>
                <w:rFonts w:cs="Arial"/>
                <w:sz w:val="22"/>
                <w:szCs w:val="22"/>
              </w:rPr>
            </w:pPr>
            <w:r w:rsidRPr="00B013BE">
              <w:rPr>
                <w:rFonts w:cs="Arial"/>
                <w:sz w:val="22"/>
                <w:szCs w:val="22"/>
              </w:rPr>
              <w:t>the Incident Management Process; and</w:t>
            </w:r>
          </w:p>
        </w:tc>
      </w:tr>
      <w:tr w:rsidR="00BB406D" w:rsidRPr="00B013BE" w14:paraId="3BFF0B5C" w14:textId="77777777" w:rsidTr="00506868">
        <w:tc>
          <w:tcPr>
            <w:tcW w:w="2790" w:type="dxa"/>
          </w:tcPr>
          <w:p w14:paraId="7256C851" w14:textId="77777777" w:rsidR="00BB406D" w:rsidRPr="00B013BE" w:rsidRDefault="00BB406D" w:rsidP="00506868">
            <w:pPr>
              <w:pStyle w:val="StdBodyTextBold"/>
              <w:rPr>
                <w:rFonts w:cs="Arial"/>
                <w:sz w:val="22"/>
                <w:szCs w:val="22"/>
              </w:rPr>
            </w:pPr>
            <w:r w:rsidRPr="00B013BE">
              <w:rPr>
                <w:rFonts w:cs="Arial"/>
                <w:sz w:val="22"/>
                <w:szCs w:val="22"/>
              </w:rPr>
              <w:lastRenderedPageBreak/>
              <w:t>"Special Category Personal Data"</w:t>
            </w:r>
          </w:p>
        </w:tc>
        <w:tc>
          <w:tcPr>
            <w:tcW w:w="5661" w:type="dxa"/>
          </w:tcPr>
          <w:p w14:paraId="064FBC7F" w14:textId="77777777" w:rsidR="00BB406D" w:rsidRPr="00B013BE" w:rsidRDefault="00BB406D" w:rsidP="00506868">
            <w:pPr>
              <w:pStyle w:val="StdBodyText"/>
              <w:rPr>
                <w:rFonts w:cs="Arial"/>
                <w:sz w:val="22"/>
                <w:szCs w:val="22"/>
              </w:rPr>
            </w:pPr>
            <w:r w:rsidRPr="00B013BE">
              <w:rPr>
                <w:rFonts w:cs="Arial"/>
                <w:sz w:val="22"/>
                <w:szCs w:val="22"/>
              </w:rPr>
              <w:t xml:space="preserve">means the categories of Personal Data set out in </w:t>
            </w:r>
            <w:bookmarkStart w:id="3473" w:name="_9kR3WTr2CC58Hqm6yimpEP"/>
            <w:r w:rsidRPr="00B013BE">
              <w:rPr>
                <w:rFonts w:cs="Arial"/>
                <w:sz w:val="22"/>
                <w:szCs w:val="22"/>
              </w:rPr>
              <w:t>article 9(1)</w:t>
            </w:r>
            <w:bookmarkEnd w:id="3473"/>
            <w:r w:rsidRPr="00B013BE">
              <w:rPr>
                <w:rFonts w:cs="Arial"/>
                <w:sz w:val="22"/>
                <w:szCs w:val="22"/>
              </w:rPr>
              <w:t xml:space="preserve"> of the UK GDPR.</w:t>
            </w:r>
          </w:p>
        </w:tc>
      </w:tr>
    </w:tbl>
    <w:p w14:paraId="42639D3E" w14:textId="77777777" w:rsidR="00BB406D" w:rsidRPr="001B1EB0" w:rsidRDefault="00BB406D">
      <w:pPr>
        <w:pStyle w:val="ScheduleText1"/>
        <w:rPr>
          <w:rFonts w:cs="Arial"/>
        </w:rPr>
      </w:pPr>
      <w:r w:rsidRPr="001B1EB0">
        <w:rPr>
          <w:rFonts w:cs="Arial"/>
        </w:rPr>
        <w:t>Introduction</w:t>
      </w:r>
    </w:p>
    <w:p w14:paraId="02941EAE" w14:textId="77777777" w:rsidR="00BB406D" w:rsidRPr="007E2618" w:rsidRDefault="00BB406D" w:rsidP="004E2262">
      <w:pPr>
        <w:pStyle w:val="ScheduleText2"/>
        <w:numPr>
          <w:ilvl w:val="1"/>
          <w:numId w:val="83"/>
        </w:numPr>
        <w:rPr>
          <w:rFonts w:cs="Arial"/>
          <w:sz w:val="22"/>
          <w:szCs w:val="22"/>
        </w:rPr>
      </w:pPr>
      <w:r w:rsidRPr="007E2618">
        <w:rPr>
          <w:rFonts w:cs="Arial"/>
          <w:sz w:val="22"/>
          <w:szCs w:val="22"/>
        </w:rPr>
        <w:t>This Schedule sets out:</w:t>
      </w:r>
    </w:p>
    <w:p w14:paraId="0769B3CF" w14:textId="77777777" w:rsidR="00BB406D" w:rsidRPr="007E2618" w:rsidRDefault="00BB406D" w:rsidP="004E2262">
      <w:pPr>
        <w:pStyle w:val="ScheduleText4"/>
        <w:numPr>
          <w:ilvl w:val="3"/>
          <w:numId w:val="83"/>
        </w:numPr>
        <w:rPr>
          <w:rFonts w:cs="Arial"/>
          <w:sz w:val="22"/>
          <w:szCs w:val="22"/>
        </w:rPr>
      </w:pPr>
      <w:r w:rsidRPr="007E2618">
        <w:rPr>
          <w:rFonts w:cs="Arial"/>
          <w:sz w:val="22"/>
          <w:szCs w:val="22"/>
        </w:rPr>
        <w:t>the arrangements the Provider must implement before, and comply with when, providing the Services and performing its other obligations under this Agreement to ensure the security of HSE Data and the Information Management System;</w:t>
      </w:r>
    </w:p>
    <w:p w14:paraId="7D23C153" w14:textId="77777777" w:rsidR="00BB406D" w:rsidRPr="007E2618" w:rsidRDefault="00BB406D" w:rsidP="004E2262">
      <w:pPr>
        <w:pStyle w:val="ScheduleText4"/>
        <w:numPr>
          <w:ilvl w:val="3"/>
          <w:numId w:val="83"/>
        </w:numPr>
        <w:rPr>
          <w:rFonts w:cs="Arial"/>
          <w:sz w:val="22"/>
          <w:szCs w:val="22"/>
        </w:rPr>
      </w:pPr>
      <w:r w:rsidRPr="007E2618">
        <w:rPr>
          <w:rFonts w:cs="Arial"/>
          <w:sz w:val="22"/>
          <w:szCs w:val="22"/>
        </w:rPr>
        <w:t>the Certification Requirements applicable to the Provider and each of those Sub-contractors which Processes HSE Data;</w:t>
      </w:r>
    </w:p>
    <w:p w14:paraId="5FBC75AB" w14:textId="10880B38" w:rsidR="00BB406D" w:rsidRPr="007E2618" w:rsidRDefault="00BB406D" w:rsidP="004E2262">
      <w:pPr>
        <w:pStyle w:val="ScheduleText4"/>
        <w:numPr>
          <w:ilvl w:val="3"/>
          <w:numId w:val="83"/>
        </w:numPr>
        <w:rPr>
          <w:rFonts w:cs="Arial"/>
          <w:sz w:val="22"/>
          <w:szCs w:val="22"/>
        </w:rPr>
      </w:pPr>
      <w:r w:rsidRPr="007E2618">
        <w:rPr>
          <w:rFonts w:cs="Arial"/>
          <w:sz w:val="22"/>
          <w:szCs w:val="22"/>
        </w:rPr>
        <w:t xml:space="preserve">the security requirements in Annex </w:t>
      </w:r>
      <w:r w:rsidRPr="007E2618">
        <w:rPr>
          <w:rFonts w:cs="Arial"/>
          <w:b/>
          <w:bCs/>
          <w:sz w:val="22"/>
          <w:szCs w:val="22"/>
        </w:rPr>
        <w:fldChar w:fldCharType="begin"/>
      </w:r>
      <w:r w:rsidRPr="007E2618">
        <w:rPr>
          <w:rFonts w:cs="Arial"/>
          <w:b/>
          <w:bCs/>
          <w:sz w:val="22"/>
          <w:szCs w:val="22"/>
        </w:rPr>
        <w:instrText xml:space="preserve"> REF ANNEX1_PARTA_SCHEDULE5 \h  \* MERGEFORMAT </w:instrText>
      </w:r>
      <w:r w:rsidRPr="007E2618">
        <w:rPr>
          <w:rFonts w:cs="Arial"/>
          <w:b/>
          <w:bCs/>
          <w:sz w:val="22"/>
          <w:szCs w:val="22"/>
        </w:rPr>
      </w:r>
      <w:r w:rsidRPr="007E2618">
        <w:rPr>
          <w:rFonts w:cs="Arial"/>
          <w:b/>
          <w:bCs/>
          <w:sz w:val="22"/>
          <w:szCs w:val="22"/>
        </w:rPr>
        <w:fldChar w:fldCharType="separate"/>
      </w:r>
      <w:r w:rsidR="00C87D85" w:rsidRPr="00C87D85">
        <w:rPr>
          <w:rStyle w:val="Heading2Char"/>
          <w:rFonts w:cs="Arial"/>
          <w:b w:val="0"/>
          <w:szCs w:val="22"/>
        </w:rPr>
        <w:t>1</w:t>
      </w:r>
      <w:r w:rsidRPr="007E2618">
        <w:rPr>
          <w:rFonts w:cs="Arial"/>
          <w:b/>
          <w:bCs/>
          <w:sz w:val="22"/>
          <w:szCs w:val="22"/>
        </w:rPr>
        <w:fldChar w:fldCharType="end"/>
      </w:r>
      <w:r>
        <w:rPr>
          <w:rFonts w:cs="Arial"/>
          <w:b/>
          <w:bCs/>
          <w:sz w:val="22"/>
          <w:szCs w:val="22"/>
        </w:rPr>
        <w:t xml:space="preserve"> </w:t>
      </w:r>
      <w:r w:rsidRPr="005866F2">
        <w:rPr>
          <w:rFonts w:cs="Arial"/>
          <w:bCs/>
          <w:sz w:val="22"/>
          <w:szCs w:val="22"/>
        </w:rPr>
        <w:t>to this Schedule</w:t>
      </w:r>
      <w:r w:rsidRPr="007E2618">
        <w:rPr>
          <w:rFonts w:cs="Arial"/>
          <w:sz w:val="22"/>
          <w:szCs w:val="22"/>
        </w:rPr>
        <w:t>, with which the Provider must comply;</w:t>
      </w:r>
    </w:p>
    <w:p w14:paraId="5BFAFAA9" w14:textId="77777777" w:rsidR="00BB406D" w:rsidRPr="007E2618" w:rsidRDefault="00BB406D" w:rsidP="004E2262">
      <w:pPr>
        <w:pStyle w:val="ScheduleText4"/>
        <w:numPr>
          <w:ilvl w:val="3"/>
          <w:numId w:val="83"/>
        </w:numPr>
        <w:rPr>
          <w:rFonts w:cs="Arial"/>
          <w:sz w:val="22"/>
          <w:szCs w:val="22"/>
        </w:rPr>
      </w:pPr>
      <w:r w:rsidRPr="007E2618">
        <w:rPr>
          <w:rFonts w:cs="Arial"/>
          <w:sz w:val="22"/>
          <w:szCs w:val="22"/>
        </w:rPr>
        <w:t>the tests which the Provider shall conduct on the Information Management System during the Term; and</w:t>
      </w:r>
    </w:p>
    <w:p w14:paraId="466F018E" w14:textId="77777777" w:rsidR="00BB406D" w:rsidRPr="007E2618" w:rsidRDefault="00BB406D" w:rsidP="004E2262">
      <w:pPr>
        <w:pStyle w:val="ScheduleText4"/>
        <w:numPr>
          <w:ilvl w:val="3"/>
          <w:numId w:val="83"/>
        </w:numPr>
        <w:rPr>
          <w:rFonts w:cs="Arial"/>
          <w:sz w:val="22"/>
          <w:szCs w:val="22"/>
        </w:rPr>
      </w:pPr>
      <w:r w:rsidRPr="007E2618">
        <w:rPr>
          <w:rFonts w:cs="Arial"/>
          <w:sz w:val="22"/>
          <w:szCs w:val="22"/>
        </w:rPr>
        <w:t>the Provider's obligations to:</w:t>
      </w:r>
    </w:p>
    <w:p w14:paraId="2B9B8E76" w14:textId="77777777" w:rsidR="00BB406D" w:rsidRPr="007E2618" w:rsidRDefault="00BB406D" w:rsidP="004E2262">
      <w:pPr>
        <w:pStyle w:val="ScheduleText5"/>
        <w:numPr>
          <w:ilvl w:val="4"/>
          <w:numId w:val="83"/>
        </w:numPr>
        <w:rPr>
          <w:rFonts w:cs="Arial"/>
          <w:sz w:val="22"/>
          <w:szCs w:val="22"/>
        </w:rPr>
      </w:pPr>
      <w:r w:rsidRPr="007E2618">
        <w:rPr>
          <w:rFonts w:cs="Arial"/>
          <w:sz w:val="22"/>
          <w:szCs w:val="22"/>
        </w:rPr>
        <w:t>return or destroy HSE Data on the expiry or earlier termination of this Agreement; and</w:t>
      </w:r>
    </w:p>
    <w:p w14:paraId="09B51199" w14:textId="3659FA7F" w:rsidR="00BB406D" w:rsidRPr="007E2618" w:rsidRDefault="00BB406D" w:rsidP="004E2262">
      <w:pPr>
        <w:pStyle w:val="ScheduleText5"/>
        <w:numPr>
          <w:ilvl w:val="4"/>
          <w:numId w:val="83"/>
        </w:numPr>
        <w:rPr>
          <w:rFonts w:cs="Arial"/>
          <w:sz w:val="22"/>
          <w:szCs w:val="22"/>
        </w:rPr>
      </w:pPr>
      <w:r w:rsidRPr="007E2618">
        <w:rPr>
          <w:rFonts w:cs="Arial"/>
          <w:sz w:val="22"/>
          <w:szCs w:val="22"/>
        </w:rPr>
        <w:t xml:space="preserve">prevent the introduction of Malicious Software into the Provider System and to scan for, contain the spread of, and minimise the impact of Malicious Software which is introduced into the Provider System in paragraph </w:t>
      </w:r>
      <w:r w:rsidRPr="007E2618">
        <w:rPr>
          <w:rFonts w:cs="Arial"/>
          <w:sz w:val="22"/>
          <w:szCs w:val="22"/>
        </w:rPr>
        <w:fldChar w:fldCharType="begin"/>
      </w:r>
      <w:r w:rsidRPr="007E2618">
        <w:rPr>
          <w:rFonts w:cs="Arial"/>
          <w:sz w:val="22"/>
          <w:szCs w:val="22"/>
        </w:rPr>
        <w:instrText xml:space="preserve"> REF _Ref_ContractCompanion_9kb9Ur797 \w \n \h \t \* MERGEFORMAT </w:instrText>
      </w:r>
      <w:r w:rsidRPr="007E2618">
        <w:rPr>
          <w:rFonts w:cs="Arial"/>
          <w:sz w:val="22"/>
          <w:szCs w:val="22"/>
        </w:rPr>
      </w:r>
      <w:r w:rsidRPr="007E2618">
        <w:rPr>
          <w:rFonts w:cs="Arial"/>
          <w:sz w:val="22"/>
          <w:szCs w:val="22"/>
        </w:rPr>
        <w:fldChar w:fldCharType="separate"/>
      </w:r>
      <w:r w:rsidR="00C87D85">
        <w:rPr>
          <w:rFonts w:cs="Arial"/>
          <w:sz w:val="22"/>
          <w:szCs w:val="22"/>
        </w:rPr>
        <w:t>9</w:t>
      </w:r>
      <w:r w:rsidRPr="007E2618">
        <w:rPr>
          <w:rFonts w:cs="Arial"/>
          <w:sz w:val="22"/>
          <w:szCs w:val="22"/>
        </w:rPr>
        <w:fldChar w:fldCharType="end"/>
      </w:r>
      <w:r w:rsidRPr="007E2618">
        <w:rPr>
          <w:rFonts w:cs="Arial"/>
          <w:sz w:val="22"/>
          <w:szCs w:val="22"/>
        </w:rPr>
        <w:t>; and</w:t>
      </w:r>
    </w:p>
    <w:p w14:paraId="0270CE10" w14:textId="77777777" w:rsidR="00BB406D" w:rsidRPr="007E2618" w:rsidRDefault="00BB406D" w:rsidP="004E2262">
      <w:pPr>
        <w:pStyle w:val="ScheduleText5"/>
        <w:numPr>
          <w:ilvl w:val="4"/>
          <w:numId w:val="83"/>
        </w:numPr>
        <w:rPr>
          <w:rFonts w:cs="Arial"/>
          <w:sz w:val="22"/>
          <w:szCs w:val="22"/>
        </w:rPr>
      </w:pPr>
      <w:r w:rsidRPr="007E2618">
        <w:rPr>
          <w:rFonts w:cs="Arial"/>
          <w:sz w:val="22"/>
          <w:szCs w:val="22"/>
        </w:rPr>
        <w:t>report Breaches of Security to HSE.</w:t>
      </w:r>
    </w:p>
    <w:p w14:paraId="3C9DE71F" w14:textId="77777777" w:rsidR="00BB406D" w:rsidRPr="001B1EB0" w:rsidRDefault="00BB406D" w:rsidP="004E2262">
      <w:pPr>
        <w:pStyle w:val="ScheduleText1"/>
        <w:numPr>
          <w:ilvl w:val="0"/>
          <w:numId w:val="83"/>
        </w:numPr>
        <w:rPr>
          <w:rFonts w:cs="Arial"/>
        </w:rPr>
      </w:pPr>
      <w:bookmarkStart w:id="3474" w:name="_Ref99013071"/>
      <w:r w:rsidRPr="001B1EB0">
        <w:rPr>
          <w:rFonts w:cs="Arial"/>
        </w:rPr>
        <w:t>Principles of Security</w:t>
      </w:r>
      <w:bookmarkEnd w:id="3474"/>
    </w:p>
    <w:p w14:paraId="10B869A8" w14:textId="77777777" w:rsidR="00BB406D" w:rsidRPr="007E2618" w:rsidRDefault="00BB406D" w:rsidP="004E2262">
      <w:pPr>
        <w:pStyle w:val="ScheduleText2"/>
        <w:numPr>
          <w:ilvl w:val="1"/>
          <w:numId w:val="83"/>
        </w:numPr>
        <w:rPr>
          <w:rFonts w:cs="Arial"/>
          <w:sz w:val="22"/>
          <w:szCs w:val="22"/>
        </w:rPr>
      </w:pPr>
      <w:r w:rsidRPr="007E2618">
        <w:rPr>
          <w:rFonts w:cs="Arial"/>
          <w:sz w:val="22"/>
          <w:szCs w:val="22"/>
        </w:rPr>
        <w:t>The Provider acknowledges that HSE places great emphasis on the confidentiality, integrity and availability of HSE Data and, consequently on the security of:</w:t>
      </w:r>
    </w:p>
    <w:p w14:paraId="0DBA10E6" w14:textId="77777777" w:rsidR="00BB406D" w:rsidRPr="007E2618" w:rsidRDefault="00BB406D" w:rsidP="004E2262">
      <w:pPr>
        <w:pStyle w:val="ScheduleText4"/>
        <w:numPr>
          <w:ilvl w:val="3"/>
          <w:numId w:val="83"/>
        </w:numPr>
        <w:rPr>
          <w:rFonts w:cs="Arial"/>
          <w:sz w:val="22"/>
          <w:szCs w:val="22"/>
        </w:rPr>
      </w:pPr>
      <w:r w:rsidRPr="007E2618">
        <w:rPr>
          <w:rFonts w:cs="Arial"/>
          <w:sz w:val="22"/>
          <w:szCs w:val="22"/>
        </w:rPr>
        <w:t>the Sites;</w:t>
      </w:r>
    </w:p>
    <w:p w14:paraId="36270A3E" w14:textId="77777777" w:rsidR="00BB406D" w:rsidRPr="007E2618" w:rsidRDefault="00BB406D" w:rsidP="004E2262">
      <w:pPr>
        <w:pStyle w:val="ScheduleText4"/>
        <w:numPr>
          <w:ilvl w:val="3"/>
          <w:numId w:val="83"/>
        </w:numPr>
        <w:rPr>
          <w:rFonts w:cs="Arial"/>
          <w:sz w:val="22"/>
          <w:szCs w:val="22"/>
        </w:rPr>
      </w:pPr>
      <w:r w:rsidRPr="007E2618">
        <w:rPr>
          <w:rFonts w:cs="Arial"/>
          <w:sz w:val="22"/>
          <w:szCs w:val="22"/>
        </w:rPr>
        <w:t xml:space="preserve">the IT Environment; </w:t>
      </w:r>
    </w:p>
    <w:p w14:paraId="12C0B954" w14:textId="77777777" w:rsidR="00BB406D" w:rsidRPr="007E2618" w:rsidRDefault="00BB406D" w:rsidP="004E2262">
      <w:pPr>
        <w:pStyle w:val="ScheduleText4"/>
        <w:numPr>
          <w:ilvl w:val="3"/>
          <w:numId w:val="83"/>
        </w:numPr>
        <w:rPr>
          <w:rFonts w:cs="Arial"/>
          <w:sz w:val="22"/>
          <w:szCs w:val="22"/>
        </w:rPr>
      </w:pPr>
      <w:r w:rsidRPr="007E2618">
        <w:rPr>
          <w:rFonts w:cs="Arial"/>
          <w:sz w:val="22"/>
          <w:szCs w:val="22"/>
        </w:rPr>
        <w:t>the Information Management System; and</w:t>
      </w:r>
    </w:p>
    <w:p w14:paraId="069285F7" w14:textId="77777777" w:rsidR="00BB406D" w:rsidRPr="007E2618" w:rsidRDefault="00BB406D" w:rsidP="004E2262">
      <w:pPr>
        <w:pStyle w:val="ScheduleText4"/>
        <w:numPr>
          <w:ilvl w:val="3"/>
          <w:numId w:val="83"/>
        </w:numPr>
        <w:rPr>
          <w:rFonts w:cs="Arial"/>
          <w:sz w:val="22"/>
          <w:szCs w:val="22"/>
        </w:rPr>
      </w:pPr>
      <w:r w:rsidRPr="007E2618">
        <w:rPr>
          <w:rFonts w:cs="Arial"/>
          <w:sz w:val="22"/>
          <w:szCs w:val="22"/>
        </w:rPr>
        <w:t>the Services.</w:t>
      </w:r>
    </w:p>
    <w:p w14:paraId="3E29FBEB" w14:textId="77777777" w:rsidR="00BB406D" w:rsidRPr="007E2618" w:rsidRDefault="00BB406D" w:rsidP="004E2262">
      <w:pPr>
        <w:pStyle w:val="ScheduleText2"/>
        <w:numPr>
          <w:ilvl w:val="1"/>
          <w:numId w:val="83"/>
        </w:numPr>
        <w:rPr>
          <w:rFonts w:cs="Arial"/>
          <w:sz w:val="22"/>
          <w:szCs w:val="22"/>
        </w:rPr>
      </w:pPr>
      <w:r w:rsidRPr="007E2618">
        <w:rPr>
          <w:rFonts w:cs="Arial"/>
          <w:sz w:val="22"/>
          <w:szCs w:val="22"/>
        </w:rPr>
        <w:t>Notwithstanding the involvement of HSE in assessing the arrangements which the Provider implements to ensure the security of HSE Data and the Information Management System, the Provider shall be, and shall remain, responsible for:</w:t>
      </w:r>
    </w:p>
    <w:p w14:paraId="6BB24022" w14:textId="77777777" w:rsidR="00BB406D" w:rsidRPr="007E2618" w:rsidRDefault="00BB406D" w:rsidP="004E2262">
      <w:pPr>
        <w:pStyle w:val="ScheduleText4"/>
        <w:numPr>
          <w:ilvl w:val="3"/>
          <w:numId w:val="83"/>
        </w:numPr>
        <w:rPr>
          <w:rFonts w:cs="Arial"/>
          <w:sz w:val="22"/>
          <w:szCs w:val="22"/>
        </w:rPr>
      </w:pPr>
      <w:r w:rsidRPr="007E2618">
        <w:rPr>
          <w:rFonts w:cs="Arial"/>
          <w:sz w:val="22"/>
          <w:szCs w:val="22"/>
        </w:rPr>
        <w:lastRenderedPageBreak/>
        <w:t>the security, confidentiality, integrity and availability of HSE Data whilst that HSE Data is under the control of the Provider or any of its Sub-contractors; and</w:t>
      </w:r>
    </w:p>
    <w:p w14:paraId="3053496B" w14:textId="77777777" w:rsidR="00BB406D" w:rsidRPr="007E2618" w:rsidRDefault="00BB406D" w:rsidP="004E2262">
      <w:pPr>
        <w:pStyle w:val="ScheduleText4"/>
        <w:numPr>
          <w:ilvl w:val="3"/>
          <w:numId w:val="83"/>
        </w:numPr>
        <w:rPr>
          <w:rFonts w:cs="Arial"/>
          <w:sz w:val="22"/>
          <w:szCs w:val="22"/>
        </w:rPr>
      </w:pPr>
      <w:r w:rsidRPr="007E2618">
        <w:rPr>
          <w:rFonts w:cs="Arial"/>
          <w:sz w:val="22"/>
          <w:szCs w:val="22"/>
        </w:rPr>
        <w:t>the security of the Information Management System.</w:t>
      </w:r>
    </w:p>
    <w:p w14:paraId="06346B76" w14:textId="77777777" w:rsidR="00BB406D" w:rsidRPr="007E2618" w:rsidRDefault="00BB406D" w:rsidP="004E2262">
      <w:pPr>
        <w:pStyle w:val="ScheduleText2"/>
        <w:numPr>
          <w:ilvl w:val="1"/>
          <w:numId w:val="83"/>
        </w:numPr>
        <w:rPr>
          <w:rFonts w:cs="Arial"/>
          <w:sz w:val="22"/>
          <w:szCs w:val="22"/>
        </w:rPr>
      </w:pPr>
      <w:r w:rsidRPr="007E2618">
        <w:rPr>
          <w:rFonts w:cs="Arial"/>
          <w:sz w:val="22"/>
          <w:szCs w:val="22"/>
        </w:rPr>
        <w:t>The Provider shall:</w:t>
      </w:r>
    </w:p>
    <w:p w14:paraId="240B3C53" w14:textId="00DE4752" w:rsidR="00BB406D" w:rsidRDefault="00BB406D" w:rsidP="004E2262">
      <w:pPr>
        <w:pStyle w:val="ScheduleText4"/>
        <w:numPr>
          <w:ilvl w:val="3"/>
          <w:numId w:val="83"/>
        </w:numPr>
        <w:rPr>
          <w:rFonts w:cs="Arial"/>
          <w:sz w:val="22"/>
          <w:szCs w:val="22"/>
        </w:rPr>
      </w:pPr>
      <w:r w:rsidRPr="007E2618">
        <w:rPr>
          <w:rFonts w:cs="Arial"/>
          <w:sz w:val="22"/>
          <w:szCs w:val="22"/>
        </w:rPr>
        <w:t xml:space="preserve">comply with the security requirements in Annex </w:t>
      </w:r>
      <w:r w:rsidRPr="007E2618">
        <w:rPr>
          <w:rFonts w:cs="Arial"/>
          <w:b/>
          <w:bCs/>
          <w:sz w:val="22"/>
          <w:szCs w:val="22"/>
        </w:rPr>
        <w:fldChar w:fldCharType="begin"/>
      </w:r>
      <w:r w:rsidRPr="007E2618">
        <w:rPr>
          <w:rFonts w:cs="Arial"/>
          <w:b/>
          <w:bCs/>
          <w:sz w:val="22"/>
          <w:szCs w:val="22"/>
        </w:rPr>
        <w:instrText xml:space="preserve"> REF ANNEX1_PARTA_SCHEDULE5 \h  \* MERGEFORMAT </w:instrText>
      </w:r>
      <w:r w:rsidRPr="007E2618">
        <w:rPr>
          <w:rFonts w:cs="Arial"/>
          <w:b/>
          <w:bCs/>
          <w:sz w:val="22"/>
          <w:szCs w:val="22"/>
        </w:rPr>
      </w:r>
      <w:r w:rsidRPr="007E2618">
        <w:rPr>
          <w:rFonts w:cs="Arial"/>
          <w:b/>
          <w:bCs/>
          <w:sz w:val="22"/>
          <w:szCs w:val="22"/>
        </w:rPr>
        <w:fldChar w:fldCharType="separate"/>
      </w:r>
      <w:r w:rsidR="00C87D85" w:rsidRPr="00C87D85">
        <w:rPr>
          <w:rStyle w:val="Heading2Char"/>
          <w:rFonts w:cs="Arial"/>
          <w:b w:val="0"/>
          <w:szCs w:val="22"/>
        </w:rPr>
        <w:t>1</w:t>
      </w:r>
      <w:r w:rsidRPr="007E2618">
        <w:rPr>
          <w:rFonts w:cs="Arial"/>
          <w:b/>
          <w:bCs/>
          <w:sz w:val="22"/>
          <w:szCs w:val="22"/>
        </w:rPr>
        <w:fldChar w:fldCharType="end"/>
      </w:r>
      <w:r w:rsidRPr="007E2618">
        <w:rPr>
          <w:rFonts w:cs="Arial"/>
          <w:sz w:val="22"/>
          <w:szCs w:val="22"/>
        </w:rPr>
        <w:t xml:space="preserve">; </w:t>
      </w:r>
    </w:p>
    <w:p w14:paraId="5E16074E" w14:textId="55077341" w:rsidR="00BB406D" w:rsidRPr="007E2618" w:rsidRDefault="00BB406D" w:rsidP="004E2262">
      <w:pPr>
        <w:pStyle w:val="ScheduleText4"/>
        <w:numPr>
          <w:ilvl w:val="3"/>
          <w:numId w:val="83"/>
        </w:numPr>
        <w:rPr>
          <w:rFonts w:cs="Arial"/>
          <w:sz w:val="22"/>
          <w:szCs w:val="22"/>
        </w:rPr>
      </w:pPr>
      <w:r>
        <w:rPr>
          <w:rFonts w:cs="Arial"/>
          <w:sz w:val="22"/>
          <w:szCs w:val="22"/>
        </w:rPr>
        <w:t xml:space="preserve">comply with the </w:t>
      </w:r>
      <w:r w:rsidR="008447FD">
        <w:rPr>
          <w:rFonts w:cs="Arial"/>
          <w:sz w:val="22"/>
          <w:szCs w:val="22"/>
        </w:rPr>
        <w:t xml:space="preserve">HSE’s </w:t>
      </w:r>
      <w:r>
        <w:rPr>
          <w:rFonts w:cs="Arial"/>
          <w:sz w:val="22"/>
          <w:szCs w:val="22"/>
        </w:rPr>
        <w:t>Security Policy</w:t>
      </w:r>
      <w:r w:rsidR="005F5C99">
        <w:rPr>
          <w:rFonts w:cs="Arial"/>
          <w:sz w:val="22"/>
          <w:szCs w:val="22"/>
        </w:rPr>
        <w:t xml:space="preserve"> </w:t>
      </w:r>
      <w:r w:rsidR="00DE1BDB">
        <w:rPr>
          <w:rFonts w:cs="Arial"/>
          <w:sz w:val="22"/>
          <w:szCs w:val="22"/>
        </w:rPr>
        <w:t>provided in paragraph 11.1 in Annex 1</w:t>
      </w:r>
      <w:r>
        <w:rPr>
          <w:rFonts w:cs="Arial"/>
          <w:sz w:val="22"/>
          <w:szCs w:val="22"/>
        </w:rPr>
        <w:t xml:space="preserve">; </w:t>
      </w:r>
      <w:r w:rsidRPr="007E2618">
        <w:rPr>
          <w:rFonts w:cs="Arial"/>
          <w:sz w:val="22"/>
          <w:szCs w:val="22"/>
        </w:rPr>
        <w:t>and</w:t>
      </w:r>
    </w:p>
    <w:p w14:paraId="0E231C4C" w14:textId="77777777" w:rsidR="00BB406D" w:rsidRPr="007E2618" w:rsidRDefault="00BB406D" w:rsidP="004E2262">
      <w:pPr>
        <w:pStyle w:val="ScheduleText4"/>
        <w:numPr>
          <w:ilvl w:val="3"/>
          <w:numId w:val="83"/>
        </w:numPr>
        <w:rPr>
          <w:rFonts w:cs="Arial"/>
          <w:sz w:val="22"/>
          <w:szCs w:val="22"/>
        </w:rPr>
      </w:pPr>
      <w:r w:rsidRPr="007E2618">
        <w:rPr>
          <w:rFonts w:cs="Arial"/>
          <w:sz w:val="22"/>
          <w:szCs w:val="22"/>
        </w:rPr>
        <w:t>ensure that each Sub-Contractor that Processes HSE Data complies with the Sub-Contractor Security Requirements.</w:t>
      </w:r>
    </w:p>
    <w:p w14:paraId="740144BB" w14:textId="77777777" w:rsidR="00BB406D" w:rsidRPr="007E2618" w:rsidRDefault="00BB406D" w:rsidP="004E2262">
      <w:pPr>
        <w:pStyle w:val="ScheduleText2"/>
        <w:numPr>
          <w:ilvl w:val="1"/>
          <w:numId w:val="83"/>
        </w:numPr>
        <w:rPr>
          <w:rFonts w:cs="Arial"/>
          <w:sz w:val="22"/>
          <w:szCs w:val="22"/>
        </w:rPr>
      </w:pPr>
      <w:r w:rsidRPr="007E2618">
        <w:rPr>
          <w:rFonts w:cs="Arial"/>
          <w:sz w:val="22"/>
          <w:szCs w:val="22"/>
        </w:rPr>
        <w:t>The Provider shall provide HSE with access to Provider Personnel responsible for information assurance to facilitate HSE's assessment of the Provider's compliance with its obligations set out in this Schedule at reasonable times on reasonable notice.</w:t>
      </w:r>
    </w:p>
    <w:p w14:paraId="6FB6B1D1" w14:textId="77777777" w:rsidR="00BB406D" w:rsidRPr="00024F2F" w:rsidRDefault="00BB406D" w:rsidP="004E2262">
      <w:pPr>
        <w:pStyle w:val="ScheduleText1"/>
        <w:numPr>
          <w:ilvl w:val="0"/>
          <w:numId w:val="83"/>
        </w:numPr>
        <w:rPr>
          <w:rFonts w:cs="Arial"/>
        </w:rPr>
      </w:pPr>
      <w:bookmarkStart w:id="3475" w:name="_9kR3WTrAG8BICZJfifw5q8MMLkQzJdjlc68LK4C"/>
      <w:bookmarkStart w:id="3476" w:name="_Ref_ContractCompanion_9kb9Ur6FB"/>
      <w:bookmarkStart w:id="3477" w:name="_Ref_ContractCompanion_9kb9Ur6FD"/>
      <w:bookmarkStart w:id="3478" w:name="_Ref_ContractCompanion_9kb9Ur7DF"/>
      <w:r w:rsidRPr="00024F2F">
        <w:rPr>
          <w:rFonts w:cs="Arial"/>
        </w:rPr>
        <w:t>Information Security Approval Statement</w:t>
      </w:r>
      <w:bookmarkEnd w:id="3475"/>
      <w:r w:rsidRPr="00024F2F">
        <w:rPr>
          <w:rFonts w:cs="Arial"/>
        </w:rPr>
        <w:t xml:space="preserve"> </w:t>
      </w:r>
      <w:bookmarkEnd w:id="3476"/>
      <w:bookmarkEnd w:id="3477"/>
      <w:bookmarkEnd w:id="3478"/>
    </w:p>
    <w:p w14:paraId="4ED090BE" w14:textId="3E91C781" w:rsidR="00BB406D" w:rsidRPr="007E2618" w:rsidRDefault="00BB406D" w:rsidP="004E2262">
      <w:pPr>
        <w:pStyle w:val="ScheduleText2"/>
        <w:numPr>
          <w:ilvl w:val="1"/>
          <w:numId w:val="83"/>
        </w:numPr>
        <w:rPr>
          <w:rFonts w:cs="Arial"/>
          <w:sz w:val="22"/>
          <w:szCs w:val="22"/>
        </w:rPr>
      </w:pPr>
      <w:r w:rsidRPr="007E2618">
        <w:rPr>
          <w:rFonts w:cs="Arial"/>
          <w:sz w:val="22"/>
          <w:szCs w:val="22"/>
        </w:rPr>
        <w:t xml:space="preserve">The Provider must ensure that its Transition Plan sets out in sufficient detail how it will ensure compliance with the requirements of this Schedule, including any requirements imposed on Sub-Contractors by Annex </w:t>
      </w:r>
      <w:r w:rsidRPr="007E2618">
        <w:rPr>
          <w:rFonts w:cs="Arial"/>
          <w:sz w:val="22"/>
          <w:szCs w:val="22"/>
        </w:rPr>
        <w:fldChar w:fldCharType="begin"/>
      </w:r>
      <w:r w:rsidRPr="007E2618">
        <w:rPr>
          <w:rFonts w:cs="Arial"/>
          <w:sz w:val="22"/>
          <w:szCs w:val="22"/>
        </w:rPr>
        <w:instrText xml:space="preserve"> REF ANNEX2_PARTA_SCHEDULE5 \h  \* MERGEFORMAT </w:instrText>
      </w:r>
      <w:r w:rsidRPr="007E2618">
        <w:rPr>
          <w:rFonts w:cs="Arial"/>
          <w:sz w:val="22"/>
          <w:szCs w:val="22"/>
        </w:rPr>
      </w:r>
      <w:r w:rsidRPr="007E2618">
        <w:rPr>
          <w:rFonts w:cs="Arial"/>
          <w:sz w:val="22"/>
          <w:szCs w:val="22"/>
        </w:rPr>
        <w:fldChar w:fldCharType="separate"/>
      </w:r>
      <w:r w:rsidR="00C87D85" w:rsidRPr="00C87D85">
        <w:rPr>
          <w:rFonts w:cs="Arial"/>
          <w:sz w:val="22"/>
          <w:szCs w:val="22"/>
        </w:rPr>
        <w:t>2</w:t>
      </w:r>
      <w:r w:rsidRPr="007E2618">
        <w:rPr>
          <w:rFonts w:cs="Arial"/>
          <w:sz w:val="22"/>
          <w:szCs w:val="22"/>
        </w:rPr>
        <w:fldChar w:fldCharType="end"/>
      </w:r>
      <w:r w:rsidRPr="007E2618">
        <w:rPr>
          <w:rFonts w:cs="Arial"/>
          <w:sz w:val="22"/>
          <w:szCs w:val="22"/>
        </w:rPr>
        <w:t xml:space="preserve"> to this Schedule, from the Services Start Date.</w:t>
      </w:r>
    </w:p>
    <w:p w14:paraId="324D9F91" w14:textId="77777777" w:rsidR="00BB406D" w:rsidRPr="007E2618" w:rsidRDefault="00BB406D" w:rsidP="004E2262">
      <w:pPr>
        <w:pStyle w:val="ScheduleText2"/>
        <w:numPr>
          <w:ilvl w:val="1"/>
          <w:numId w:val="83"/>
        </w:numPr>
        <w:rPr>
          <w:rFonts w:cs="Arial"/>
          <w:sz w:val="22"/>
          <w:szCs w:val="22"/>
        </w:rPr>
      </w:pPr>
      <w:bookmarkStart w:id="3479" w:name="_Ref99017275"/>
      <w:r w:rsidRPr="007E2618">
        <w:rPr>
          <w:rFonts w:cs="Arial"/>
          <w:sz w:val="22"/>
          <w:szCs w:val="22"/>
        </w:rPr>
        <w:t>The Provider may not use the Information Management System to Process HSE Data unless and until:</w:t>
      </w:r>
      <w:bookmarkEnd w:id="3479"/>
    </w:p>
    <w:p w14:paraId="66EF4FA5" w14:textId="735DBEF8" w:rsidR="00BB406D" w:rsidRPr="007E2618" w:rsidRDefault="00BB406D" w:rsidP="004E2262">
      <w:pPr>
        <w:pStyle w:val="ScheduleText4"/>
        <w:numPr>
          <w:ilvl w:val="3"/>
          <w:numId w:val="83"/>
        </w:numPr>
        <w:rPr>
          <w:rFonts w:cs="Arial"/>
          <w:sz w:val="22"/>
          <w:szCs w:val="22"/>
        </w:rPr>
      </w:pPr>
      <w:r w:rsidRPr="007E2618">
        <w:rPr>
          <w:rFonts w:cs="Arial"/>
          <w:sz w:val="22"/>
          <w:szCs w:val="22"/>
        </w:rPr>
        <w:t xml:space="preserve">the Provider has procured the conduct of an IT Health Check of the Provider System by a CHECK Service Provider or a CREST Service Provider in accordance with </w:t>
      </w:r>
      <w:bookmarkStart w:id="3480" w:name="_9kMIH5YVt4DDCKOhGpqgyts0JR"/>
      <w:r w:rsidRPr="007E2618">
        <w:rPr>
          <w:rFonts w:cs="Arial"/>
          <w:sz w:val="22"/>
          <w:szCs w:val="22"/>
        </w:rPr>
        <w:t xml:space="preserve">paragraph </w:t>
      </w:r>
      <w:r w:rsidRPr="007E2618">
        <w:rPr>
          <w:rFonts w:cs="Arial"/>
          <w:sz w:val="22"/>
          <w:szCs w:val="22"/>
        </w:rPr>
        <w:fldChar w:fldCharType="begin"/>
      </w:r>
      <w:r w:rsidRPr="007E2618">
        <w:rPr>
          <w:rFonts w:cs="Arial"/>
          <w:sz w:val="22"/>
          <w:szCs w:val="22"/>
        </w:rPr>
        <w:instrText xml:space="preserve"> REF _Ref_ContractCompanion_9kb9Ur6EE \n \h \t \* MERGEFORMAT </w:instrText>
      </w:r>
      <w:r w:rsidRPr="007E2618">
        <w:rPr>
          <w:rFonts w:cs="Arial"/>
          <w:sz w:val="22"/>
          <w:szCs w:val="22"/>
        </w:rPr>
      </w:r>
      <w:r w:rsidRPr="007E2618">
        <w:rPr>
          <w:rFonts w:cs="Arial"/>
          <w:sz w:val="22"/>
          <w:szCs w:val="22"/>
        </w:rPr>
        <w:fldChar w:fldCharType="separate"/>
      </w:r>
      <w:r w:rsidR="00C87D85">
        <w:rPr>
          <w:rFonts w:cs="Arial"/>
          <w:sz w:val="22"/>
          <w:szCs w:val="22"/>
        </w:rPr>
        <w:t>7.1</w:t>
      </w:r>
      <w:r w:rsidRPr="007E2618">
        <w:rPr>
          <w:rFonts w:cs="Arial"/>
          <w:sz w:val="22"/>
          <w:szCs w:val="22"/>
        </w:rPr>
        <w:fldChar w:fldCharType="end"/>
      </w:r>
      <w:bookmarkEnd w:id="3480"/>
      <w:r w:rsidRPr="007E2618">
        <w:rPr>
          <w:rFonts w:cs="Arial"/>
          <w:sz w:val="22"/>
          <w:szCs w:val="22"/>
        </w:rPr>
        <w:t xml:space="preserve"> of this Schedule; and </w:t>
      </w:r>
    </w:p>
    <w:p w14:paraId="05CF6235" w14:textId="787F3B99" w:rsidR="00BB406D" w:rsidRPr="007E2618" w:rsidRDefault="00BB406D" w:rsidP="004E2262">
      <w:pPr>
        <w:pStyle w:val="ScheduleText4"/>
        <w:numPr>
          <w:ilvl w:val="3"/>
          <w:numId w:val="83"/>
        </w:numPr>
        <w:rPr>
          <w:rFonts w:cs="Arial"/>
          <w:sz w:val="22"/>
          <w:szCs w:val="22"/>
        </w:rPr>
      </w:pPr>
      <w:r w:rsidRPr="007E2618">
        <w:rPr>
          <w:rFonts w:cs="Arial"/>
          <w:sz w:val="22"/>
          <w:szCs w:val="22"/>
        </w:rPr>
        <w:t xml:space="preserve">HSE has issued the Provider with an Information Security Approval Statement in accordance with the process set out in this </w:t>
      </w:r>
      <w:bookmarkStart w:id="3481" w:name="_9kMHG5YVtCIADKEbLhkhy7sAOONmS1Lflne8ANM"/>
      <w:r w:rsidRPr="007E2618">
        <w:rPr>
          <w:rFonts w:cs="Arial"/>
          <w:sz w:val="22"/>
          <w:szCs w:val="22"/>
        </w:rPr>
        <w:t xml:space="preserve">paragraph </w:t>
      </w:r>
      <w:r w:rsidRPr="007E2618">
        <w:rPr>
          <w:rFonts w:cs="Arial"/>
          <w:sz w:val="22"/>
          <w:szCs w:val="22"/>
        </w:rPr>
        <w:fldChar w:fldCharType="begin"/>
      </w:r>
      <w:r w:rsidRPr="007E2618">
        <w:rPr>
          <w:rFonts w:cs="Arial"/>
          <w:sz w:val="22"/>
          <w:szCs w:val="22"/>
        </w:rPr>
        <w:instrText xml:space="preserve"> REF _Ref_ContractCompanion_9kb9Ur7DF \w \n \h \t \* MERGEFORMAT </w:instrText>
      </w:r>
      <w:r w:rsidRPr="007E2618">
        <w:rPr>
          <w:rFonts w:cs="Arial"/>
          <w:sz w:val="22"/>
          <w:szCs w:val="22"/>
        </w:rPr>
      </w:r>
      <w:r w:rsidRPr="007E2618">
        <w:rPr>
          <w:rFonts w:cs="Arial"/>
          <w:sz w:val="22"/>
          <w:szCs w:val="22"/>
        </w:rPr>
        <w:fldChar w:fldCharType="separate"/>
      </w:r>
      <w:r w:rsidR="00C87D85">
        <w:rPr>
          <w:rFonts w:cs="Arial"/>
          <w:sz w:val="22"/>
          <w:szCs w:val="22"/>
        </w:rPr>
        <w:t>4</w:t>
      </w:r>
      <w:r w:rsidRPr="007E2618">
        <w:rPr>
          <w:rFonts w:cs="Arial"/>
          <w:sz w:val="22"/>
          <w:szCs w:val="22"/>
        </w:rPr>
        <w:fldChar w:fldCharType="end"/>
      </w:r>
      <w:bookmarkEnd w:id="3481"/>
      <w:r w:rsidRPr="007E2618">
        <w:rPr>
          <w:rFonts w:cs="Arial"/>
          <w:sz w:val="22"/>
          <w:szCs w:val="22"/>
        </w:rPr>
        <w:t>.</w:t>
      </w:r>
    </w:p>
    <w:p w14:paraId="7FF748FE" w14:textId="77777777" w:rsidR="00BB406D" w:rsidRPr="007E2618" w:rsidRDefault="00BB406D" w:rsidP="004E2262">
      <w:pPr>
        <w:pStyle w:val="ScheduleText2"/>
        <w:numPr>
          <w:ilvl w:val="1"/>
          <w:numId w:val="83"/>
        </w:numPr>
        <w:rPr>
          <w:rFonts w:cs="Arial"/>
          <w:sz w:val="22"/>
          <w:szCs w:val="22"/>
        </w:rPr>
      </w:pPr>
      <w:r w:rsidRPr="007E2618">
        <w:rPr>
          <w:rFonts w:cs="Arial"/>
          <w:sz w:val="22"/>
          <w:szCs w:val="22"/>
        </w:rPr>
        <w:t xml:space="preserve">The Provider shall document in the Security Management Plan how the Provider and its Sub-contractors shall comply with the requirements set out in this Schedule and the Agreement in order to ensure the security of HSE Data and the Information Management System. </w:t>
      </w:r>
    </w:p>
    <w:p w14:paraId="4CB82BE3" w14:textId="77777777" w:rsidR="00BB406D" w:rsidRPr="0029242C" w:rsidRDefault="00BB406D" w:rsidP="004E2262">
      <w:pPr>
        <w:pStyle w:val="ScheduleText2"/>
        <w:numPr>
          <w:ilvl w:val="1"/>
          <w:numId w:val="83"/>
        </w:numPr>
        <w:rPr>
          <w:rFonts w:cs="Arial"/>
          <w:sz w:val="22"/>
          <w:szCs w:val="22"/>
        </w:rPr>
      </w:pPr>
      <w:bookmarkStart w:id="3482" w:name="_Ref45003103"/>
      <w:r w:rsidRPr="0029242C">
        <w:rPr>
          <w:rFonts w:cs="Arial"/>
          <w:sz w:val="22"/>
          <w:szCs w:val="22"/>
        </w:rPr>
        <w:t>The Provider shall prepare and submit to HSE within 20 Working Days of the date of this Agreement, the Security Management Plan, which comprises:</w:t>
      </w:r>
      <w:bookmarkEnd w:id="3482"/>
    </w:p>
    <w:p w14:paraId="507887CB" w14:textId="77777777" w:rsidR="00BB406D" w:rsidRPr="0029242C" w:rsidRDefault="00BB406D" w:rsidP="004E2262">
      <w:pPr>
        <w:pStyle w:val="ScheduleText4"/>
        <w:numPr>
          <w:ilvl w:val="3"/>
          <w:numId w:val="83"/>
        </w:numPr>
        <w:rPr>
          <w:rFonts w:cs="Arial"/>
          <w:sz w:val="22"/>
          <w:szCs w:val="22"/>
        </w:rPr>
      </w:pPr>
      <w:r w:rsidRPr="0029242C">
        <w:rPr>
          <w:rFonts w:cs="Arial"/>
          <w:sz w:val="22"/>
          <w:szCs w:val="22"/>
        </w:rPr>
        <w:t>an Information Assurance Assessment;</w:t>
      </w:r>
    </w:p>
    <w:p w14:paraId="3AFE58E7" w14:textId="77777777" w:rsidR="00BB406D" w:rsidRPr="0029242C" w:rsidRDefault="00BB406D" w:rsidP="004E2262">
      <w:pPr>
        <w:pStyle w:val="ScheduleText4"/>
        <w:numPr>
          <w:ilvl w:val="3"/>
          <w:numId w:val="83"/>
        </w:numPr>
        <w:rPr>
          <w:rFonts w:cs="Arial"/>
          <w:sz w:val="22"/>
          <w:szCs w:val="22"/>
        </w:rPr>
      </w:pPr>
      <w:r w:rsidRPr="0029242C">
        <w:rPr>
          <w:rFonts w:cs="Arial"/>
          <w:sz w:val="22"/>
          <w:szCs w:val="22"/>
        </w:rPr>
        <w:t>the Required Changes Register; and</w:t>
      </w:r>
    </w:p>
    <w:p w14:paraId="4AA56DCF" w14:textId="77777777" w:rsidR="00BB406D" w:rsidRPr="0029242C" w:rsidRDefault="00BB406D" w:rsidP="004E2262">
      <w:pPr>
        <w:pStyle w:val="ScheduleText4"/>
        <w:numPr>
          <w:ilvl w:val="3"/>
          <w:numId w:val="83"/>
        </w:numPr>
        <w:rPr>
          <w:rFonts w:cs="Arial"/>
          <w:sz w:val="22"/>
          <w:szCs w:val="22"/>
        </w:rPr>
      </w:pPr>
      <w:r w:rsidRPr="0029242C">
        <w:rPr>
          <w:rFonts w:cs="Arial"/>
          <w:sz w:val="22"/>
          <w:szCs w:val="22"/>
        </w:rPr>
        <w:t>the Incident Management Process.</w:t>
      </w:r>
    </w:p>
    <w:p w14:paraId="47727A83" w14:textId="77777777" w:rsidR="00BB406D" w:rsidRPr="0029242C" w:rsidRDefault="00BB406D" w:rsidP="004E2262">
      <w:pPr>
        <w:pStyle w:val="ScheduleText2"/>
        <w:numPr>
          <w:ilvl w:val="1"/>
          <w:numId w:val="83"/>
        </w:numPr>
        <w:rPr>
          <w:rFonts w:cs="Arial"/>
          <w:sz w:val="22"/>
          <w:szCs w:val="22"/>
        </w:rPr>
      </w:pPr>
      <w:r w:rsidRPr="0029242C">
        <w:rPr>
          <w:rFonts w:cs="Arial"/>
          <w:sz w:val="22"/>
          <w:szCs w:val="22"/>
        </w:rPr>
        <w:t>HSE shall review the Provider's proposed Security Management Plan as soon as possible and, in any event within 20 Working Days of receipt and shall either issue the Provider with:</w:t>
      </w:r>
    </w:p>
    <w:p w14:paraId="0DD2C50A" w14:textId="77777777" w:rsidR="00BB406D" w:rsidRPr="007E2618" w:rsidRDefault="00BB406D" w:rsidP="004E2262">
      <w:pPr>
        <w:pStyle w:val="ScheduleText4"/>
        <w:numPr>
          <w:ilvl w:val="3"/>
          <w:numId w:val="83"/>
        </w:numPr>
        <w:rPr>
          <w:rFonts w:cs="Arial"/>
          <w:sz w:val="22"/>
          <w:szCs w:val="22"/>
        </w:rPr>
      </w:pPr>
      <w:r w:rsidRPr="007E2618">
        <w:rPr>
          <w:rFonts w:cs="Arial"/>
          <w:sz w:val="22"/>
          <w:szCs w:val="22"/>
        </w:rPr>
        <w:t>an Information Security Approval Statement, which shall confirm that the Provider may use the Information Management System to Process HSE Data; or</w:t>
      </w:r>
    </w:p>
    <w:p w14:paraId="69DDD51D" w14:textId="77777777" w:rsidR="00BB406D" w:rsidRPr="007E2618" w:rsidRDefault="00BB406D" w:rsidP="004E2262">
      <w:pPr>
        <w:pStyle w:val="ScheduleText4"/>
        <w:numPr>
          <w:ilvl w:val="3"/>
          <w:numId w:val="83"/>
        </w:numPr>
        <w:rPr>
          <w:rFonts w:cs="Arial"/>
          <w:sz w:val="22"/>
          <w:szCs w:val="22"/>
        </w:rPr>
      </w:pPr>
      <w:bookmarkStart w:id="3483" w:name="_Ref44572098"/>
      <w:r w:rsidRPr="007E2618">
        <w:rPr>
          <w:rFonts w:cs="Arial"/>
          <w:sz w:val="22"/>
          <w:szCs w:val="22"/>
        </w:rPr>
        <w:lastRenderedPageBreak/>
        <w:t>a rejection notice, which shall set out HSE's reasons for rejecting the Security Management Plan.</w:t>
      </w:r>
      <w:bookmarkEnd w:id="3483"/>
      <w:r w:rsidRPr="007E2618">
        <w:rPr>
          <w:rFonts w:cs="Arial"/>
          <w:sz w:val="22"/>
          <w:szCs w:val="22"/>
        </w:rPr>
        <w:t xml:space="preserve"> </w:t>
      </w:r>
    </w:p>
    <w:p w14:paraId="7E45BA7C" w14:textId="77777777" w:rsidR="00BB406D" w:rsidRPr="0029242C" w:rsidRDefault="00BB406D" w:rsidP="004E2262">
      <w:pPr>
        <w:pStyle w:val="ScheduleText2"/>
        <w:numPr>
          <w:ilvl w:val="1"/>
          <w:numId w:val="83"/>
        </w:numPr>
        <w:rPr>
          <w:rFonts w:cs="Arial"/>
          <w:sz w:val="22"/>
          <w:szCs w:val="22"/>
        </w:rPr>
      </w:pPr>
      <w:r w:rsidRPr="007E2618">
        <w:rPr>
          <w:rFonts w:cs="Arial"/>
          <w:sz w:val="22"/>
          <w:szCs w:val="22"/>
        </w:rPr>
        <w:t xml:space="preserve">If HSE rejects the Provider's proposed Security Management Plan, the Provider shall take HSE's reasons into account in the preparation of a revised Security Management Plan, which the Provider shall submit </w:t>
      </w:r>
      <w:r w:rsidRPr="0029242C">
        <w:rPr>
          <w:rFonts w:cs="Arial"/>
          <w:sz w:val="22"/>
          <w:szCs w:val="22"/>
        </w:rPr>
        <w:t>to HSE for review within 10 Working Days or such other timescale as agreed with HSE.</w:t>
      </w:r>
    </w:p>
    <w:p w14:paraId="5410180A" w14:textId="77777777" w:rsidR="00BB406D" w:rsidRPr="0029242C" w:rsidRDefault="00BB406D" w:rsidP="004E2262">
      <w:pPr>
        <w:pStyle w:val="ScheduleText2"/>
        <w:numPr>
          <w:ilvl w:val="1"/>
          <w:numId w:val="83"/>
        </w:numPr>
        <w:rPr>
          <w:rFonts w:cs="Arial"/>
          <w:sz w:val="22"/>
          <w:szCs w:val="22"/>
        </w:rPr>
      </w:pPr>
      <w:r w:rsidRPr="0029242C">
        <w:rPr>
          <w:rFonts w:cs="Arial"/>
          <w:sz w:val="22"/>
          <w:szCs w:val="22"/>
        </w:rPr>
        <w:t>HSE may require, and the Provider shall provide HSE and its authorised representatives with:</w:t>
      </w:r>
    </w:p>
    <w:p w14:paraId="08770E2E" w14:textId="77777777" w:rsidR="00BB406D" w:rsidRPr="0029242C" w:rsidRDefault="00BB406D" w:rsidP="004E2262">
      <w:pPr>
        <w:pStyle w:val="ScheduleText4"/>
        <w:numPr>
          <w:ilvl w:val="3"/>
          <w:numId w:val="83"/>
        </w:numPr>
        <w:rPr>
          <w:rFonts w:cs="Arial"/>
          <w:sz w:val="22"/>
          <w:szCs w:val="22"/>
        </w:rPr>
      </w:pPr>
      <w:r w:rsidRPr="0029242C">
        <w:rPr>
          <w:rFonts w:cs="Arial"/>
          <w:sz w:val="22"/>
          <w:szCs w:val="22"/>
        </w:rPr>
        <w:t>access to the Provider Personnel;</w:t>
      </w:r>
    </w:p>
    <w:p w14:paraId="5A67A651" w14:textId="77777777" w:rsidR="00BB406D" w:rsidRPr="0029242C" w:rsidRDefault="00BB406D" w:rsidP="004E2262">
      <w:pPr>
        <w:pStyle w:val="ScheduleText4"/>
        <w:numPr>
          <w:ilvl w:val="3"/>
          <w:numId w:val="83"/>
        </w:numPr>
        <w:rPr>
          <w:rFonts w:cs="Arial"/>
          <w:sz w:val="22"/>
          <w:szCs w:val="22"/>
        </w:rPr>
      </w:pPr>
      <w:r w:rsidRPr="0029242C">
        <w:rPr>
          <w:rFonts w:cs="Arial"/>
          <w:sz w:val="22"/>
          <w:szCs w:val="22"/>
        </w:rPr>
        <w:t>access to the Information Management System to audit the Provider and its Sub-contractors’ compliance with this Agreement; and</w:t>
      </w:r>
    </w:p>
    <w:p w14:paraId="556466B0" w14:textId="77777777" w:rsidR="00BB406D" w:rsidRPr="0029242C" w:rsidRDefault="00BB406D" w:rsidP="004E2262">
      <w:pPr>
        <w:pStyle w:val="ScheduleText4"/>
        <w:numPr>
          <w:ilvl w:val="3"/>
          <w:numId w:val="83"/>
        </w:numPr>
        <w:rPr>
          <w:rFonts w:cs="Arial"/>
          <w:sz w:val="22"/>
          <w:szCs w:val="22"/>
        </w:rPr>
      </w:pPr>
      <w:r w:rsidRPr="0029242C">
        <w:rPr>
          <w:rFonts w:cs="Arial"/>
          <w:sz w:val="22"/>
          <w:szCs w:val="22"/>
        </w:rPr>
        <w:t>such other information and/or documentation that HSE or its authorised representatives may reasonably require,</w:t>
      </w:r>
    </w:p>
    <w:p w14:paraId="07C4520C" w14:textId="77777777" w:rsidR="00BB406D" w:rsidRPr="0029242C" w:rsidRDefault="00BB406D" w:rsidP="00BB406D">
      <w:pPr>
        <w:pStyle w:val="StdBodyText2"/>
        <w:rPr>
          <w:rFonts w:cs="Arial"/>
          <w:sz w:val="22"/>
          <w:szCs w:val="22"/>
        </w:rPr>
      </w:pPr>
      <w:r w:rsidRPr="0029242C">
        <w:rPr>
          <w:rFonts w:cs="Arial"/>
          <w:sz w:val="22"/>
          <w:szCs w:val="22"/>
        </w:rPr>
        <w:t>to assist HSE to establish whether the arrangements which the Provider and its Sub-Contractors have implemented in order to ensure the security of HSE Data and the Information Management System are consistent with the representations in the Security Management Plan. The Provider shall provide the access required by HSE in accordance with this paragraph within 10 Working Days of receipt of such request, except in the case of a Breach of Security in which case the Provider shall provide HSE with the access that it requires within 24 hours of receipt of such request.</w:t>
      </w:r>
    </w:p>
    <w:p w14:paraId="118C3D40" w14:textId="77777777" w:rsidR="00BB406D" w:rsidRPr="0029242C" w:rsidRDefault="00BB406D" w:rsidP="004E2262">
      <w:pPr>
        <w:pStyle w:val="ScheduleText1"/>
        <w:numPr>
          <w:ilvl w:val="0"/>
          <w:numId w:val="83"/>
        </w:numPr>
        <w:rPr>
          <w:rFonts w:cs="Arial"/>
        </w:rPr>
      </w:pPr>
      <w:bookmarkStart w:id="3484" w:name="_Ref_ContractCompanion_9kb9Ur7EC"/>
      <w:r w:rsidRPr="0029242C">
        <w:rPr>
          <w:rFonts w:cs="Arial"/>
        </w:rPr>
        <w:t xml:space="preserve">Compliance Reviews </w:t>
      </w:r>
      <w:bookmarkEnd w:id="3484"/>
    </w:p>
    <w:p w14:paraId="4C167E24" w14:textId="77777777" w:rsidR="00BB406D" w:rsidRPr="0029242C" w:rsidRDefault="00BB406D" w:rsidP="004E2262">
      <w:pPr>
        <w:pStyle w:val="ScheduleText2"/>
        <w:numPr>
          <w:ilvl w:val="1"/>
          <w:numId w:val="83"/>
        </w:numPr>
        <w:rPr>
          <w:rFonts w:cs="Arial"/>
          <w:sz w:val="22"/>
          <w:szCs w:val="22"/>
        </w:rPr>
      </w:pPr>
      <w:r w:rsidRPr="0029242C">
        <w:rPr>
          <w:rFonts w:cs="Arial"/>
          <w:sz w:val="22"/>
          <w:szCs w:val="22"/>
        </w:rPr>
        <w:t>The Provider shall regularly review and update the Security Management Plan, and provide such to HSE, at least once each year and as required by this paragraph 5.</w:t>
      </w:r>
    </w:p>
    <w:p w14:paraId="15F20645" w14:textId="77777777" w:rsidR="00BB406D" w:rsidRPr="0029242C" w:rsidRDefault="00BB406D" w:rsidP="004E2262">
      <w:pPr>
        <w:pStyle w:val="ScheduleText2"/>
        <w:numPr>
          <w:ilvl w:val="1"/>
          <w:numId w:val="83"/>
        </w:numPr>
        <w:rPr>
          <w:rFonts w:cs="Arial"/>
          <w:sz w:val="22"/>
          <w:szCs w:val="22"/>
        </w:rPr>
      </w:pPr>
      <w:bookmarkStart w:id="3485" w:name="_Ref_ContractCompanion_9kb9Ur6GF"/>
      <w:r w:rsidRPr="0029242C">
        <w:rPr>
          <w:rFonts w:cs="Arial"/>
          <w:sz w:val="22"/>
          <w:szCs w:val="22"/>
        </w:rPr>
        <w:t>The Provider shall notify HSE within 2 Working Days after becoming aware of:</w:t>
      </w:r>
      <w:bookmarkEnd w:id="3485"/>
    </w:p>
    <w:p w14:paraId="00E73AB8" w14:textId="77777777" w:rsidR="00BB406D" w:rsidRPr="0029242C" w:rsidRDefault="00BB406D" w:rsidP="004E2262">
      <w:pPr>
        <w:pStyle w:val="ScheduleText4"/>
        <w:numPr>
          <w:ilvl w:val="3"/>
          <w:numId w:val="83"/>
        </w:numPr>
        <w:rPr>
          <w:rFonts w:cs="Arial"/>
          <w:sz w:val="22"/>
          <w:szCs w:val="22"/>
        </w:rPr>
      </w:pPr>
      <w:r w:rsidRPr="0029242C">
        <w:rPr>
          <w:rFonts w:cs="Arial"/>
          <w:sz w:val="22"/>
          <w:szCs w:val="22"/>
        </w:rPr>
        <w:t>a significant change to the components or architecture of the Information Management System;</w:t>
      </w:r>
    </w:p>
    <w:p w14:paraId="41C45A6B" w14:textId="77777777" w:rsidR="00BB406D" w:rsidRPr="0029242C" w:rsidRDefault="00BB406D" w:rsidP="004E2262">
      <w:pPr>
        <w:pStyle w:val="ScheduleText4"/>
        <w:numPr>
          <w:ilvl w:val="3"/>
          <w:numId w:val="83"/>
        </w:numPr>
        <w:rPr>
          <w:rFonts w:cs="Arial"/>
          <w:sz w:val="22"/>
          <w:szCs w:val="22"/>
        </w:rPr>
      </w:pPr>
      <w:r w:rsidRPr="0029242C">
        <w:rPr>
          <w:rFonts w:cs="Arial"/>
          <w:sz w:val="22"/>
          <w:szCs w:val="22"/>
        </w:rPr>
        <w:t>a new risk to the components or architecture of the Information Management System;</w:t>
      </w:r>
    </w:p>
    <w:p w14:paraId="24CD8FD8" w14:textId="71F3434B" w:rsidR="00BB406D" w:rsidRPr="0029242C" w:rsidRDefault="00BB406D" w:rsidP="004E2262">
      <w:pPr>
        <w:pStyle w:val="ScheduleText4"/>
        <w:numPr>
          <w:ilvl w:val="3"/>
          <w:numId w:val="83"/>
        </w:numPr>
        <w:rPr>
          <w:rFonts w:cs="Arial"/>
          <w:sz w:val="22"/>
          <w:szCs w:val="22"/>
        </w:rPr>
      </w:pPr>
      <w:r w:rsidRPr="0029242C">
        <w:rPr>
          <w:rFonts w:cs="Arial"/>
          <w:sz w:val="22"/>
          <w:szCs w:val="22"/>
        </w:rPr>
        <w:t xml:space="preserve">a vulnerability to the components or architecture of the Service which is classified 'Medium', 'High', 'Critical' or 'Important' in accordance with the classification methodology set out in </w:t>
      </w:r>
      <w:bookmarkStart w:id="3486" w:name="_9kR3WTr2CC59DaEnoewrqyJS"/>
      <w:r w:rsidRPr="0029242C">
        <w:rPr>
          <w:rFonts w:cs="Arial"/>
          <w:sz w:val="22"/>
          <w:szCs w:val="22"/>
        </w:rPr>
        <w:t>paragraph </w:t>
      </w:r>
      <w:r w:rsidRPr="0029242C">
        <w:rPr>
          <w:rFonts w:cs="Arial"/>
          <w:sz w:val="22"/>
          <w:szCs w:val="22"/>
        </w:rPr>
        <w:fldChar w:fldCharType="begin"/>
      </w:r>
      <w:r w:rsidRPr="0029242C">
        <w:rPr>
          <w:rFonts w:cs="Arial"/>
          <w:sz w:val="22"/>
          <w:szCs w:val="22"/>
        </w:rPr>
        <w:instrText xml:space="preserve"> REF _Ref_ContractCompanion_9kb9Ur157 \n \h \t \* MERGEFORMAT </w:instrText>
      </w:r>
      <w:r w:rsidRPr="0029242C">
        <w:rPr>
          <w:rFonts w:cs="Arial"/>
          <w:sz w:val="22"/>
          <w:szCs w:val="22"/>
        </w:rPr>
      </w:r>
      <w:r w:rsidRPr="0029242C">
        <w:rPr>
          <w:rFonts w:cs="Arial"/>
          <w:sz w:val="22"/>
          <w:szCs w:val="22"/>
        </w:rPr>
        <w:fldChar w:fldCharType="separate"/>
      </w:r>
      <w:r w:rsidR="00C87D85">
        <w:rPr>
          <w:rFonts w:cs="Arial"/>
          <w:sz w:val="22"/>
          <w:szCs w:val="22"/>
        </w:rPr>
        <w:t>9.2</w:t>
      </w:r>
      <w:r w:rsidRPr="0029242C">
        <w:rPr>
          <w:rFonts w:cs="Arial"/>
          <w:sz w:val="22"/>
          <w:szCs w:val="22"/>
        </w:rPr>
        <w:fldChar w:fldCharType="end"/>
      </w:r>
      <w:bookmarkEnd w:id="3486"/>
      <w:r w:rsidRPr="0029242C">
        <w:rPr>
          <w:rFonts w:cs="Arial"/>
          <w:sz w:val="22"/>
          <w:szCs w:val="22"/>
        </w:rPr>
        <w:t xml:space="preserve"> of Annex </w:t>
      </w:r>
      <w:r w:rsidRPr="0029242C">
        <w:rPr>
          <w:rFonts w:cs="Arial"/>
          <w:b/>
          <w:bCs/>
          <w:sz w:val="22"/>
          <w:szCs w:val="22"/>
        </w:rPr>
        <w:fldChar w:fldCharType="begin"/>
      </w:r>
      <w:r w:rsidRPr="0029242C">
        <w:rPr>
          <w:rFonts w:cs="Arial"/>
          <w:b/>
          <w:bCs/>
          <w:sz w:val="22"/>
          <w:szCs w:val="22"/>
        </w:rPr>
        <w:instrText xml:space="preserve"> REF ANNEX1_PARTA_SCHEDULE5 \h  \* MERGEFORMAT </w:instrText>
      </w:r>
      <w:r w:rsidRPr="0029242C">
        <w:rPr>
          <w:rFonts w:cs="Arial"/>
          <w:b/>
          <w:bCs/>
          <w:sz w:val="22"/>
          <w:szCs w:val="22"/>
        </w:rPr>
      </w:r>
      <w:r w:rsidRPr="0029242C">
        <w:rPr>
          <w:rFonts w:cs="Arial"/>
          <w:b/>
          <w:bCs/>
          <w:sz w:val="22"/>
          <w:szCs w:val="22"/>
        </w:rPr>
        <w:fldChar w:fldCharType="separate"/>
      </w:r>
      <w:r w:rsidR="00C87D85" w:rsidRPr="00C87D85">
        <w:rPr>
          <w:rStyle w:val="Heading2Char"/>
          <w:rFonts w:cs="Arial"/>
          <w:b w:val="0"/>
          <w:szCs w:val="22"/>
        </w:rPr>
        <w:t>1</w:t>
      </w:r>
      <w:r w:rsidRPr="0029242C">
        <w:rPr>
          <w:rFonts w:cs="Arial"/>
          <w:b/>
          <w:bCs/>
          <w:sz w:val="22"/>
          <w:szCs w:val="22"/>
        </w:rPr>
        <w:fldChar w:fldCharType="end"/>
      </w:r>
      <w:r w:rsidRPr="0029242C">
        <w:rPr>
          <w:rFonts w:cs="Arial"/>
          <w:sz w:val="22"/>
          <w:szCs w:val="22"/>
        </w:rPr>
        <w:t xml:space="preserve"> to this Schedule;</w:t>
      </w:r>
    </w:p>
    <w:p w14:paraId="7D140FA8" w14:textId="77777777" w:rsidR="00BB406D" w:rsidRPr="0029242C" w:rsidRDefault="00BB406D" w:rsidP="004E2262">
      <w:pPr>
        <w:pStyle w:val="ScheduleText4"/>
        <w:numPr>
          <w:ilvl w:val="3"/>
          <w:numId w:val="83"/>
        </w:numPr>
        <w:rPr>
          <w:rFonts w:cs="Arial"/>
          <w:sz w:val="22"/>
          <w:szCs w:val="22"/>
        </w:rPr>
      </w:pPr>
      <w:r w:rsidRPr="0029242C">
        <w:rPr>
          <w:rFonts w:cs="Arial"/>
          <w:sz w:val="22"/>
          <w:szCs w:val="22"/>
        </w:rPr>
        <w:t>a change in the threat profile;</w:t>
      </w:r>
    </w:p>
    <w:p w14:paraId="05A99719" w14:textId="77777777" w:rsidR="00BB406D" w:rsidRPr="0029242C" w:rsidRDefault="00BB406D" w:rsidP="004E2262">
      <w:pPr>
        <w:pStyle w:val="ScheduleText4"/>
        <w:numPr>
          <w:ilvl w:val="3"/>
          <w:numId w:val="83"/>
        </w:numPr>
        <w:rPr>
          <w:rFonts w:cs="Arial"/>
          <w:sz w:val="22"/>
          <w:szCs w:val="22"/>
        </w:rPr>
      </w:pPr>
      <w:r w:rsidRPr="0029242C">
        <w:rPr>
          <w:rFonts w:cs="Arial"/>
          <w:sz w:val="22"/>
          <w:szCs w:val="22"/>
        </w:rPr>
        <w:t>a significant change to any risk component;</w:t>
      </w:r>
    </w:p>
    <w:p w14:paraId="56163F52" w14:textId="77777777" w:rsidR="00BB406D" w:rsidRPr="0029242C" w:rsidRDefault="00BB406D" w:rsidP="004E2262">
      <w:pPr>
        <w:pStyle w:val="ScheduleText4"/>
        <w:numPr>
          <w:ilvl w:val="3"/>
          <w:numId w:val="83"/>
        </w:numPr>
        <w:rPr>
          <w:rFonts w:cs="Arial"/>
          <w:sz w:val="22"/>
          <w:szCs w:val="22"/>
        </w:rPr>
      </w:pPr>
      <w:r w:rsidRPr="0029242C">
        <w:rPr>
          <w:rFonts w:cs="Arial"/>
          <w:sz w:val="22"/>
          <w:szCs w:val="22"/>
        </w:rPr>
        <w:t>a significant change in the quantity of Personal Data held within the Service;</w:t>
      </w:r>
    </w:p>
    <w:p w14:paraId="2E881132" w14:textId="77777777" w:rsidR="00BB406D" w:rsidRPr="0029242C" w:rsidRDefault="00BB406D" w:rsidP="004E2262">
      <w:pPr>
        <w:pStyle w:val="ScheduleText4"/>
        <w:numPr>
          <w:ilvl w:val="3"/>
          <w:numId w:val="83"/>
        </w:numPr>
        <w:rPr>
          <w:rFonts w:cs="Arial"/>
          <w:sz w:val="22"/>
          <w:szCs w:val="22"/>
        </w:rPr>
      </w:pPr>
      <w:r w:rsidRPr="0029242C">
        <w:rPr>
          <w:rFonts w:cs="Arial"/>
          <w:sz w:val="22"/>
          <w:szCs w:val="22"/>
        </w:rPr>
        <w:t>a proposal to change any of the Sites from which any part of the Services are provided; and/or</w:t>
      </w:r>
    </w:p>
    <w:p w14:paraId="35086DED" w14:textId="77777777" w:rsidR="00BB406D" w:rsidRPr="0029242C" w:rsidRDefault="00BB406D" w:rsidP="004E2262">
      <w:pPr>
        <w:pStyle w:val="ScheduleText4"/>
        <w:numPr>
          <w:ilvl w:val="3"/>
          <w:numId w:val="83"/>
        </w:numPr>
        <w:rPr>
          <w:rFonts w:cs="Arial"/>
          <w:sz w:val="22"/>
          <w:szCs w:val="22"/>
        </w:rPr>
      </w:pPr>
      <w:r w:rsidRPr="0029242C">
        <w:rPr>
          <w:rFonts w:cs="Arial"/>
          <w:sz w:val="22"/>
          <w:szCs w:val="22"/>
        </w:rPr>
        <w:t>an ISO/IEC 27001 (at least ISO/IEC 27001:2013) audit report produced in connection with the Certification Requirements indicates significant concerns.</w:t>
      </w:r>
    </w:p>
    <w:p w14:paraId="1F6DF0DF" w14:textId="77777777" w:rsidR="00BB406D" w:rsidRPr="0029242C" w:rsidRDefault="00BB406D" w:rsidP="004E2262">
      <w:pPr>
        <w:pStyle w:val="ScheduleText2"/>
        <w:numPr>
          <w:ilvl w:val="1"/>
          <w:numId w:val="83"/>
        </w:numPr>
        <w:rPr>
          <w:rFonts w:cs="Arial"/>
          <w:sz w:val="22"/>
          <w:szCs w:val="22"/>
        </w:rPr>
      </w:pPr>
      <w:r w:rsidRPr="0029242C">
        <w:rPr>
          <w:rFonts w:cs="Arial"/>
          <w:sz w:val="22"/>
          <w:szCs w:val="22"/>
        </w:rPr>
        <w:lastRenderedPageBreak/>
        <w:t xml:space="preserve">Within 10 Working Days of such notifying HSE or such other timescale as may be agreed with HSE, the Provider shall make the necessary changes to the Required Changes Register and submit the updated Required Changes Register HSE for review and approval.  </w:t>
      </w:r>
    </w:p>
    <w:p w14:paraId="57BE5155" w14:textId="77777777" w:rsidR="00BB406D" w:rsidRPr="0029242C" w:rsidRDefault="00BB406D" w:rsidP="004E2262">
      <w:pPr>
        <w:pStyle w:val="ScheduleText2"/>
        <w:numPr>
          <w:ilvl w:val="1"/>
          <w:numId w:val="83"/>
        </w:numPr>
        <w:rPr>
          <w:rFonts w:cs="Arial"/>
          <w:sz w:val="22"/>
          <w:szCs w:val="22"/>
        </w:rPr>
      </w:pPr>
      <w:r w:rsidRPr="0029242C">
        <w:rPr>
          <w:rFonts w:cs="Arial"/>
          <w:sz w:val="22"/>
          <w:szCs w:val="22"/>
        </w:rPr>
        <w:t xml:space="preserve">Where the Provider is required to implement a change, including any change to the Information Management System, the Provider shall effect such change at its own cost and expense. </w:t>
      </w:r>
    </w:p>
    <w:p w14:paraId="3B431E2B" w14:textId="77777777" w:rsidR="00BB406D" w:rsidRPr="0029242C" w:rsidRDefault="00BB406D" w:rsidP="004E2262">
      <w:pPr>
        <w:pStyle w:val="ScheduleText1"/>
        <w:numPr>
          <w:ilvl w:val="0"/>
          <w:numId w:val="83"/>
        </w:numPr>
        <w:rPr>
          <w:rFonts w:cs="Arial"/>
        </w:rPr>
      </w:pPr>
      <w:bookmarkStart w:id="3487" w:name="_Ref_ContractCompanion_9kb9Ur688"/>
      <w:bookmarkStart w:id="3488" w:name="_Ref_ContractCompanion_9kb9Ur7E9"/>
      <w:bookmarkStart w:id="3489" w:name="_9kR3WTrAG8BIFcJfifw5q8MMLkQzJdlhN9PH453"/>
      <w:r w:rsidRPr="0029242C">
        <w:rPr>
          <w:rFonts w:cs="Arial"/>
        </w:rPr>
        <w:t>Certification Requirements</w:t>
      </w:r>
      <w:bookmarkEnd w:id="3487"/>
      <w:bookmarkEnd w:id="3488"/>
      <w:bookmarkEnd w:id="3489"/>
    </w:p>
    <w:p w14:paraId="18E92DDE" w14:textId="77777777" w:rsidR="00BB406D" w:rsidRPr="0029242C" w:rsidRDefault="00BB406D" w:rsidP="004E2262">
      <w:pPr>
        <w:pStyle w:val="ScheduleText2"/>
        <w:numPr>
          <w:ilvl w:val="1"/>
          <w:numId w:val="83"/>
        </w:numPr>
        <w:rPr>
          <w:rFonts w:cs="Arial"/>
          <w:sz w:val="22"/>
          <w:szCs w:val="22"/>
        </w:rPr>
      </w:pPr>
      <w:bookmarkStart w:id="3490" w:name="_Ref45003125"/>
      <w:r w:rsidRPr="0029242C">
        <w:rPr>
          <w:rFonts w:cs="Arial"/>
          <w:sz w:val="22"/>
          <w:szCs w:val="22"/>
        </w:rPr>
        <w:t>The Provider shall be certified as compliant with:</w:t>
      </w:r>
      <w:bookmarkEnd w:id="3490"/>
    </w:p>
    <w:p w14:paraId="449153BF" w14:textId="77777777" w:rsidR="00BB406D" w:rsidRPr="0029242C" w:rsidRDefault="00BB406D" w:rsidP="004E2262">
      <w:pPr>
        <w:pStyle w:val="ScheduleText4"/>
        <w:numPr>
          <w:ilvl w:val="3"/>
          <w:numId w:val="83"/>
        </w:numPr>
        <w:rPr>
          <w:rFonts w:cs="Arial"/>
          <w:sz w:val="22"/>
          <w:szCs w:val="22"/>
        </w:rPr>
      </w:pPr>
      <w:r w:rsidRPr="0029242C">
        <w:rPr>
          <w:rFonts w:cs="Arial"/>
          <w:sz w:val="22"/>
          <w:szCs w:val="22"/>
        </w:rPr>
        <w:t xml:space="preserve">ISO/IEC 27001 (at least ISO/IEC 27001:2013) by a UK Accreditation Service-approved certification body or is included within the scope of an existing certification of compliance with ISO/IEC 27001 (at least ISO/IEC 27001:2013); and </w:t>
      </w:r>
    </w:p>
    <w:p w14:paraId="1646A5C6" w14:textId="77777777" w:rsidR="00BB406D" w:rsidRPr="0029242C" w:rsidRDefault="00BB406D" w:rsidP="004E2262">
      <w:pPr>
        <w:pStyle w:val="ScheduleText4"/>
        <w:numPr>
          <w:ilvl w:val="3"/>
          <w:numId w:val="83"/>
        </w:numPr>
        <w:rPr>
          <w:rFonts w:cs="Arial"/>
          <w:sz w:val="22"/>
          <w:szCs w:val="22"/>
        </w:rPr>
      </w:pPr>
      <w:r w:rsidRPr="0029242C">
        <w:rPr>
          <w:rFonts w:cs="Arial"/>
          <w:sz w:val="22"/>
          <w:szCs w:val="22"/>
        </w:rPr>
        <w:t xml:space="preserve">Cyber Essentials PLUS, </w:t>
      </w:r>
    </w:p>
    <w:p w14:paraId="2F52592C" w14:textId="77777777" w:rsidR="00BB406D" w:rsidRPr="0029242C" w:rsidRDefault="00BB406D" w:rsidP="00BB406D">
      <w:pPr>
        <w:pStyle w:val="StdBodyText2"/>
        <w:rPr>
          <w:rFonts w:cs="Arial"/>
          <w:sz w:val="22"/>
          <w:szCs w:val="22"/>
        </w:rPr>
      </w:pPr>
      <w:r w:rsidRPr="0029242C">
        <w:rPr>
          <w:rFonts w:cs="Arial"/>
          <w:sz w:val="22"/>
          <w:szCs w:val="22"/>
        </w:rPr>
        <w:t xml:space="preserve">and shall provide HSE with a copy of each such certificate of compliance before the Provider shall be permitted to receive, store or Process HSE Data. </w:t>
      </w:r>
    </w:p>
    <w:p w14:paraId="0533C853" w14:textId="77777777" w:rsidR="00BB406D" w:rsidRPr="0029242C" w:rsidRDefault="00BB406D" w:rsidP="004E2262">
      <w:pPr>
        <w:pStyle w:val="ScheduleText2"/>
        <w:numPr>
          <w:ilvl w:val="1"/>
          <w:numId w:val="83"/>
        </w:numPr>
        <w:rPr>
          <w:rFonts w:cs="Arial"/>
          <w:sz w:val="22"/>
          <w:szCs w:val="22"/>
        </w:rPr>
      </w:pPr>
      <w:bookmarkStart w:id="3491" w:name="_Ref45003133"/>
      <w:r w:rsidRPr="0029242C">
        <w:rPr>
          <w:rFonts w:cs="Arial"/>
          <w:sz w:val="22"/>
          <w:szCs w:val="22"/>
        </w:rPr>
        <w:t>The Provider shall ensure that each Higher Risk Sub-Contractor is certified as compliant with either:</w:t>
      </w:r>
      <w:bookmarkEnd w:id="3491"/>
    </w:p>
    <w:p w14:paraId="2E98DBBD" w14:textId="77777777" w:rsidR="00BB406D" w:rsidRPr="0029242C" w:rsidRDefault="00BB406D" w:rsidP="004E2262">
      <w:pPr>
        <w:pStyle w:val="ScheduleText4"/>
        <w:numPr>
          <w:ilvl w:val="3"/>
          <w:numId w:val="83"/>
        </w:numPr>
        <w:rPr>
          <w:rFonts w:cs="Arial"/>
          <w:sz w:val="22"/>
          <w:szCs w:val="22"/>
        </w:rPr>
      </w:pPr>
      <w:r w:rsidRPr="0029242C">
        <w:rPr>
          <w:rFonts w:cs="Arial"/>
          <w:sz w:val="22"/>
          <w:szCs w:val="22"/>
        </w:rPr>
        <w:t xml:space="preserve">ISO/IEC 27001 (at least ISO/IEC 27001:2013) by a UK Accreditation Service-approved certification body or is included within the scope of an existing certification of compliance with ISO/IEC 27001 (at least ISO/IEC 27001:2013); or </w:t>
      </w:r>
    </w:p>
    <w:p w14:paraId="3932B55B" w14:textId="77777777" w:rsidR="00BB406D" w:rsidRPr="0029242C" w:rsidRDefault="00BB406D" w:rsidP="004E2262">
      <w:pPr>
        <w:pStyle w:val="ScheduleText4"/>
        <w:numPr>
          <w:ilvl w:val="3"/>
          <w:numId w:val="83"/>
        </w:numPr>
        <w:rPr>
          <w:rFonts w:cs="Arial"/>
          <w:sz w:val="22"/>
          <w:szCs w:val="22"/>
        </w:rPr>
      </w:pPr>
      <w:r w:rsidRPr="0029242C">
        <w:rPr>
          <w:rFonts w:cs="Arial"/>
          <w:sz w:val="22"/>
          <w:szCs w:val="22"/>
        </w:rPr>
        <w:t xml:space="preserve">Cyber Essentials PLUS, </w:t>
      </w:r>
    </w:p>
    <w:p w14:paraId="696439C6" w14:textId="77777777" w:rsidR="00BB406D" w:rsidRPr="0029242C" w:rsidRDefault="00BB406D" w:rsidP="00BB406D">
      <w:pPr>
        <w:pStyle w:val="StdBodyText2"/>
        <w:rPr>
          <w:rFonts w:cs="Arial"/>
          <w:sz w:val="22"/>
          <w:szCs w:val="22"/>
        </w:rPr>
      </w:pPr>
      <w:r w:rsidRPr="0029242C">
        <w:rPr>
          <w:rFonts w:cs="Arial"/>
          <w:sz w:val="22"/>
          <w:szCs w:val="22"/>
        </w:rPr>
        <w:t>and shall provide HSE with a copy of each such certificate of compliance before the Higher-Risk Sub-Contractor shall be permitted to receive, store or Process HSE Data.</w:t>
      </w:r>
    </w:p>
    <w:p w14:paraId="45095957" w14:textId="77777777" w:rsidR="00BB406D" w:rsidRPr="0029242C" w:rsidRDefault="00BB406D" w:rsidP="004E2262">
      <w:pPr>
        <w:pStyle w:val="ScheduleText2"/>
        <w:numPr>
          <w:ilvl w:val="1"/>
          <w:numId w:val="83"/>
        </w:numPr>
        <w:rPr>
          <w:rFonts w:cs="Arial"/>
          <w:sz w:val="22"/>
          <w:szCs w:val="22"/>
        </w:rPr>
      </w:pPr>
      <w:bookmarkStart w:id="3492" w:name="_Ref45003139"/>
      <w:r w:rsidRPr="0029242C">
        <w:rPr>
          <w:rFonts w:cs="Arial"/>
          <w:sz w:val="22"/>
          <w:szCs w:val="22"/>
        </w:rPr>
        <w:t>The Provider shall ensure that each Medium Risk Sub-Contractor is certified compliant with Cyber Essentials.</w:t>
      </w:r>
      <w:bookmarkEnd w:id="3492"/>
    </w:p>
    <w:p w14:paraId="12B5347A" w14:textId="77777777" w:rsidR="00BB406D" w:rsidRPr="0029242C" w:rsidRDefault="00BB406D" w:rsidP="004E2262">
      <w:pPr>
        <w:pStyle w:val="ScheduleText2"/>
        <w:numPr>
          <w:ilvl w:val="1"/>
          <w:numId w:val="83"/>
        </w:numPr>
        <w:rPr>
          <w:rFonts w:cs="Arial"/>
          <w:sz w:val="22"/>
          <w:szCs w:val="22"/>
        </w:rPr>
      </w:pPr>
      <w:r w:rsidRPr="0029242C">
        <w:rPr>
          <w:rFonts w:cs="Arial"/>
          <w:sz w:val="22"/>
          <w:szCs w:val="22"/>
        </w:rPr>
        <w:t>The Provider shall ensure that the Provider and each Sub-Contractor who is responsible for the secure destruction of HSE Data:</w:t>
      </w:r>
    </w:p>
    <w:p w14:paraId="4CAAE5F1" w14:textId="77777777" w:rsidR="00BB406D" w:rsidRPr="0029242C" w:rsidRDefault="00BB406D" w:rsidP="004E2262">
      <w:pPr>
        <w:pStyle w:val="ScheduleText4"/>
        <w:numPr>
          <w:ilvl w:val="3"/>
          <w:numId w:val="83"/>
        </w:numPr>
        <w:rPr>
          <w:rFonts w:cs="Arial"/>
          <w:sz w:val="22"/>
          <w:szCs w:val="22"/>
        </w:rPr>
      </w:pPr>
      <w:r w:rsidRPr="0029242C">
        <w:rPr>
          <w:rFonts w:cs="Arial"/>
          <w:sz w:val="22"/>
          <w:szCs w:val="22"/>
        </w:rPr>
        <w:t xml:space="preserve">securely destroys HSE Data only on Sites which are included within the scope of an existing certification of compliance with ISO/IEC 27001 (at least ISO/IEC 27001:2013); </w:t>
      </w:r>
    </w:p>
    <w:p w14:paraId="53441C2D" w14:textId="77777777" w:rsidR="00BB406D" w:rsidRPr="0029242C" w:rsidRDefault="00BB406D" w:rsidP="004E2262">
      <w:pPr>
        <w:pStyle w:val="ScheduleText4"/>
        <w:numPr>
          <w:ilvl w:val="3"/>
          <w:numId w:val="83"/>
        </w:numPr>
        <w:rPr>
          <w:rFonts w:cs="Arial"/>
          <w:sz w:val="22"/>
          <w:szCs w:val="22"/>
        </w:rPr>
      </w:pPr>
      <w:r w:rsidRPr="0029242C">
        <w:rPr>
          <w:rFonts w:cs="Arial"/>
          <w:sz w:val="22"/>
          <w:szCs w:val="22"/>
        </w:rPr>
        <w:t xml:space="preserve">should satisfy HSE that their data destruction/deletion practices comply with UK GDPR requirements and follows all relevant NCSC guidance; and </w:t>
      </w:r>
    </w:p>
    <w:p w14:paraId="76F9CB14" w14:textId="77777777" w:rsidR="00BB406D" w:rsidRPr="0029242C" w:rsidRDefault="00BB406D" w:rsidP="004E2262">
      <w:pPr>
        <w:pStyle w:val="ScheduleText4"/>
        <w:numPr>
          <w:ilvl w:val="3"/>
          <w:numId w:val="83"/>
        </w:numPr>
        <w:rPr>
          <w:sz w:val="22"/>
          <w:szCs w:val="22"/>
        </w:rPr>
      </w:pPr>
      <w:r w:rsidRPr="0029242C">
        <w:rPr>
          <w:sz w:val="22"/>
          <w:szCs w:val="22"/>
        </w:rPr>
        <w:t xml:space="preserve">must maintain an </w:t>
      </w:r>
      <w:r w:rsidRPr="0029242C">
        <w:rPr>
          <w:rFonts w:cs="Arial"/>
          <w:sz w:val="22"/>
          <w:szCs w:val="22"/>
        </w:rPr>
        <w:t>asset</w:t>
      </w:r>
      <w:r w:rsidRPr="0029242C">
        <w:rPr>
          <w:sz w:val="22"/>
          <w:szCs w:val="22"/>
        </w:rPr>
        <w:t xml:space="preserve"> register of all HSE supplied information, data and equipment to ensure HSE assets are returned and/or deleted.</w:t>
      </w:r>
    </w:p>
    <w:p w14:paraId="67F0AB36" w14:textId="189EFB0B" w:rsidR="00BB406D" w:rsidRPr="0029242C" w:rsidRDefault="00BB406D" w:rsidP="004E2262">
      <w:pPr>
        <w:pStyle w:val="ScheduleText2"/>
        <w:numPr>
          <w:ilvl w:val="1"/>
          <w:numId w:val="83"/>
        </w:numPr>
        <w:rPr>
          <w:rFonts w:cs="Arial"/>
          <w:sz w:val="22"/>
          <w:szCs w:val="22"/>
        </w:rPr>
      </w:pPr>
      <w:r w:rsidRPr="0029242C">
        <w:rPr>
          <w:rFonts w:cs="Arial"/>
          <w:sz w:val="22"/>
          <w:szCs w:val="22"/>
        </w:rPr>
        <w:t xml:space="preserve">The Provider shall provide HSE with evidence of its and its Sub-Contractor's compliance with the requirements set out in this </w:t>
      </w:r>
      <w:bookmarkStart w:id="3493" w:name="_9kMHG5YVtCIADKHeLhkhy7sAOONmS1LfnjPBRJ6"/>
      <w:r w:rsidRPr="0029242C">
        <w:rPr>
          <w:rFonts w:cs="Arial"/>
          <w:sz w:val="22"/>
          <w:szCs w:val="22"/>
        </w:rPr>
        <w:t xml:space="preserve">paragraph </w:t>
      </w:r>
      <w:r w:rsidRPr="0029242C">
        <w:rPr>
          <w:rFonts w:cs="Arial"/>
          <w:sz w:val="22"/>
          <w:szCs w:val="22"/>
        </w:rPr>
        <w:fldChar w:fldCharType="begin"/>
      </w:r>
      <w:r w:rsidRPr="0029242C">
        <w:rPr>
          <w:rFonts w:cs="Arial"/>
          <w:sz w:val="22"/>
          <w:szCs w:val="22"/>
        </w:rPr>
        <w:instrText xml:space="preserve"> REF _Ref_ContractCompanion_9kb9Ur7E9 \w \n \h \t \* MERGEFORMAT </w:instrText>
      </w:r>
      <w:r w:rsidRPr="0029242C">
        <w:rPr>
          <w:rFonts w:cs="Arial"/>
          <w:sz w:val="22"/>
          <w:szCs w:val="22"/>
        </w:rPr>
      </w:r>
      <w:r w:rsidRPr="0029242C">
        <w:rPr>
          <w:rFonts w:cs="Arial"/>
          <w:sz w:val="22"/>
          <w:szCs w:val="22"/>
        </w:rPr>
        <w:fldChar w:fldCharType="separate"/>
      </w:r>
      <w:r w:rsidR="00C87D85">
        <w:rPr>
          <w:rFonts w:cs="Arial"/>
          <w:sz w:val="22"/>
          <w:szCs w:val="22"/>
        </w:rPr>
        <w:t>6</w:t>
      </w:r>
      <w:r w:rsidRPr="0029242C">
        <w:rPr>
          <w:rFonts w:cs="Arial"/>
          <w:sz w:val="22"/>
          <w:szCs w:val="22"/>
        </w:rPr>
        <w:fldChar w:fldCharType="end"/>
      </w:r>
      <w:bookmarkEnd w:id="3493"/>
      <w:r w:rsidRPr="0029242C">
        <w:rPr>
          <w:rFonts w:cs="Arial"/>
          <w:sz w:val="22"/>
          <w:szCs w:val="22"/>
        </w:rPr>
        <w:t xml:space="preserve"> before the Provider or the relevant Sub-Contractor (as applicable) may carry out the secure destruction of any HSE Data.</w:t>
      </w:r>
    </w:p>
    <w:p w14:paraId="16E514A8" w14:textId="77777777" w:rsidR="00BB406D" w:rsidRPr="0029242C" w:rsidRDefault="00BB406D" w:rsidP="004E2262">
      <w:pPr>
        <w:pStyle w:val="ScheduleText2"/>
        <w:numPr>
          <w:ilvl w:val="1"/>
          <w:numId w:val="83"/>
        </w:numPr>
        <w:rPr>
          <w:rFonts w:cs="Arial"/>
          <w:sz w:val="22"/>
          <w:szCs w:val="22"/>
        </w:rPr>
      </w:pPr>
      <w:r w:rsidRPr="0029242C">
        <w:rPr>
          <w:rFonts w:cs="Arial"/>
          <w:sz w:val="22"/>
          <w:szCs w:val="22"/>
        </w:rPr>
        <w:lastRenderedPageBreak/>
        <w:t>The Provider shall notify HSE as soon as reasonably practicable and, in any event within 2 Working Days, if the Provider or any Sub-Contractor ceases to be compliant with the Certification Requirements and, on request from HSE, shall or shall procure that the relevant Sub-Contractor shall:</w:t>
      </w:r>
    </w:p>
    <w:p w14:paraId="6D5622EE" w14:textId="77777777" w:rsidR="00BB406D" w:rsidRPr="007E2618" w:rsidRDefault="00BB406D" w:rsidP="004E2262">
      <w:pPr>
        <w:pStyle w:val="ScheduleText4"/>
        <w:numPr>
          <w:ilvl w:val="3"/>
          <w:numId w:val="83"/>
        </w:numPr>
        <w:rPr>
          <w:rFonts w:cs="Arial"/>
          <w:sz w:val="22"/>
          <w:szCs w:val="22"/>
        </w:rPr>
      </w:pPr>
      <w:r w:rsidRPr="0029242C">
        <w:rPr>
          <w:rFonts w:cs="Arial"/>
          <w:sz w:val="22"/>
          <w:szCs w:val="22"/>
        </w:rPr>
        <w:t>immediately ceases using HSE</w:t>
      </w:r>
      <w:r w:rsidRPr="007E2618">
        <w:rPr>
          <w:rFonts w:cs="Arial"/>
          <w:sz w:val="22"/>
          <w:szCs w:val="22"/>
        </w:rPr>
        <w:t xml:space="preserve"> Data; and</w:t>
      </w:r>
    </w:p>
    <w:p w14:paraId="1C87039E" w14:textId="77777777" w:rsidR="00BB406D" w:rsidRPr="007E2618" w:rsidRDefault="00BB406D" w:rsidP="004E2262">
      <w:pPr>
        <w:pStyle w:val="ScheduleText4"/>
        <w:numPr>
          <w:ilvl w:val="3"/>
          <w:numId w:val="83"/>
        </w:numPr>
        <w:rPr>
          <w:rFonts w:cs="Arial"/>
          <w:sz w:val="22"/>
          <w:szCs w:val="22"/>
        </w:rPr>
      </w:pPr>
      <w:r w:rsidRPr="007E2618">
        <w:rPr>
          <w:rFonts w:cs="Arial"/>
          <w:sz w:val="22"/>
          <w:szCs w:val="22"/>
        </w:rPr>
        <w:t>procure that the relevant Sub-Contractor promptly returns, destroys and/or erases HSE Data in accordance with the requirements set out in this paragraph 6.</w:t>
      </w:r>
    </w:p>
    <w:p w14:paraId="02A28152" w14:textId="0AC9EED4" w:rsidR="00BB406D" w:rsidRPr="00024F2F" w:rsidRDefault="00BB406D" w:rsidP="004E2262">
      <w:pPr>
        <w:pStyle w:val="ScheduleText2"/>
        <w:numPr>
          <w:ilvl w:val="1"/>
          <w:numId w:val="83"/>
        </w:numPr>
        <w:rPr>
          <w:rFonts w:cs="Arial"/>
        </w:rPr>
      </w:pPr>
      <w:r w:rsidRPr="007E2618">
        <w:rPr>
          <w:rFonts w:cs="Arial"/>
          <w:sz w:val="22"/>
          <w:szCs w:val="22"/>
        </w:rPr>
        <w:t xml:space="preserve">HSE may agree to exempt, in whole or part, the Provider or any Sub-Contractor from the requirements of this </w:t>
      </w:r>
      <w:bookmarkStart w:id="3494" w:name="_9kMIH5YVtCIADKHeLhkhy7sAOONmS1LfnjPBRJ6"/>
      <w:r w:rsidRPr="007E2618">
        <w:rPr>
          <w:rFonts w:cs="Arial"/>
          <w:sz w:val="22"/>
          <w:szCs w:val="22"/>
        </w:rPr>
        <w:t xml:space="preserve">paragraph </w:t>
      </w:r>
      <w:r w:rsidRPr="007E2618">
        <w:rPr>
          <w:rFonts w:cs="Arial"/>
          <w:sz w:val="22"/>
          <w:szCs w:val="22"/>
        </w:rPr>
        <w:fldChar w:fldCharType="begin"/>
      </w:r>
      <w:r w:rsidRPr="007E2618">
        <w:rPr>
          <w:rFonts w:cs="Arial"/>
          <w:sz w:val="22"/>
          <w:szCs w:val="22"/>
        </w:rPr>
        <w:instrText xml:space="preserve"> REF _Ref_ContractCompanion_9kb9Ur7E9 \w \n \h \t \* MERGEFORMAT </w:instrText>
      </w:r>
      <w:r w:rsidRPr="007E2618">
        <w:rPr>
          <w:rFonts w:cs="Arial"/>
          <w:sz w:val="22"/>
          <w:szCs w:val="22"/>
        </w:rPr>
      </w:r>
      <w:r w:rsidRPr="007E2618">
        <w:rPr>
          <w:rFonts w:cs="Arial"/>
          <w:sz w:val="22"/>
          <w:szCs w:val="22"/>
        </w:rPr>
        <w:fldChar w:fldCharType="separate"/>
      </w:r>
      <w:r w:rsidR="00C87D85">
        <w:rPr>
          <w:rFonts w:cs="Arial"/>
          <w:sz w:val="22"/>
          <w:szCs w:val="22"/>
        </w:rPr>
        <w:t>6</w:t>
      </w:r>
      <w:r w:rsidRPr="007E2618">
        <w:rPr>
          <w:rFonts w:cs="Arial"/>
          <w:sz w:val="22"/>
          <w:szCs w:val="22"/>
        </w:rPr>
        <w:fldChar w:fldCharType="end"/>
      </w:r>
      <w:bookmarkEnd w:id="3494"/>
      <w:r w:rsidRPr="007E2618">
        <w:rPr>
          <w:rFonts w:cs="Arial"/>
          <w:sz w:val="22"/>
          <w:szCs w:val="22"/>
        </w:rPr>
        <w:t>. Any exemption must be in writing to be effective. The Provider must include the exemption in the Security Management Plan.</w:t>
      </w:r>
    </w:p>
    <w:p w14:paraId="2F47CDC1" w14:textId="77777777" w:rsidR="00BB406D" w:rsidRPr="00024F2F" w:rsidRDefault="00BB406D" w:rsidP="004E2262">
      <w:pPr>
        <w:pStyle w:val="ScheduleText1"/>
        <w:numPr>
          <w:ilvl w:val="0"/>
          <w:numId w:val="83"/>
        </w:numPr>
        <w:rPr>
          <w:rFonts w:cs="Arial"/>
        </w:rPr>
      </w:pPr>
      <w:bookmarkStart w:id="3495" w:name="_Ref99017320"/>
      <w:r w:rsidRPr="00024F2F">
        <w:rPr>
          <w:rFonts w:cs="Arial"/>
        </w:rPr>
        <w:t>Security Testing</w:t>
      </w:r>
      <w:bookmarkEnd w:id="3495"/>
      <w:r w:rsidRPr="00024F2F">
        <w:rPr>
          <w:rFonts w:cs="Arial"/>
        </w:rPr>
        <w:t xml:space="preserve"> </w:t>
      </w:r>
    </w:p>
    <w:p w14:paraId="70AD29F9" w14:textId="77777777" w:rsidR="00BB406D" w:rsidRPr="007E2618" w:rsidRDefault="00BB406D" w:rsidP="004E2262">
      <w:pPr>
        <w:pStyle w:val="ScheduleText2"/>
        <w:numPr>
          <w:ilvl w:val="1"/>
          <w:numId w:val="83"/>
        </w:numPr>
        <w:rPr>
          <w:rFonts w:cs="Arial"/>
          <w:sz w:val="22"/>
          <w:szCs w:val="22"/>
        </w:rPr>
      </w:pPr>
      <w:bookmarkStart w:id="3496" w:name="_Ref_ContractCompanion_9kb9Ur6EA"/>
      <w:bookmarkStart w:id="3497" w:name="_Ref_ContractCompanion_9kb9Ur6EC"/>
      <w:bookmarkStart w:id="3498" w:name="_Ref_ContractCompanion_9kb9Ur6EE"/>
      <w:r w:rsidRPr="007E2618">
        <w:rPr>
          <w:rFonts w:cs="Arial"/>
          <w:sz w:val="22"/>
          <w:szCs w:val="22"/>
        </w:rPr>
        <w:t xml:space="preserve">The Provider shall, at its own cost and expense procure and conduct: </w:t>
      </w:r>
      <w:bookmarkEnd w:id="3496"/>
      <w:bookmarkEnd w:id="3497"/>
      <w:bookmarkEnd w:id="3498"/>
    </w:p>
    <w:p w14:paraId="3E302387" w14:textId="77777777" w:rsidR="00BB406D" w:rsidRPr="007E2618" w:rsidRDefault="00BB406D" w:rsidP="004E2262">
      <w:pPr>
        <w:pStyle w:val="ScheduleText4"/>
        <w:numPr>
          <w:ilvl w:val="3"/>
          <w:numId w:val="83"/>
        </w:numPr>
        <w:rPr>
          <w:rFonts w:cs="Arial"/>
          <w:sz w:val="22"/>
          <w:szCs w:val="22"/>
        </w:rPr>
      </w:pPr>
      <w:bookmarkStart w:id="3499" w:name="_Ref99026593"/>
      <w:r w:rsidRPr="007E2618">
        <w:rPr>
          <w:rFonts w:cs="Arial"/>
          <w:sz w:val="22"/>
          <w:szCs w:val="22"/>
        </w:rPr>
        <w:t>testing of the Information Management System by a CHECK Service Provider or a CREST Service Provider (“</w:t>
      </w:r>
      <w:r w:rsidRPr="007E2618">
        <w:rPr>
          <w:rStyle w:val="StdBodyTextBoldChar"/>
          <w:rFonts w:cs="Arial"/>
          <w:sz w:val="22"/>
          <w:szCs w:val="22"/>
        </w:rPr>
        <w:t>IT Health Check</w:t>
      </w:r>
      <w:r w:rsidRPr="007E2618">
        <w:rPr>
          <w:rFonts w:cs="Arial"/>
          <w:sz w:val="22"/>
          <w:szCs w:val="22"/>
        </w:rPr>
        <w:t>”); and</w:t>
      </w:r>
      <w:bookmarkEnd w:id="3499"/>
    </w:p>
    <w:p w14:paraId="57CFC570" w14:textId="77777777" w:rsidR="00BB406D" w:rsidRPr="007E2618" w:rsidRDefault="00BB406D" w:rsidP="004E2262">
      <w:pPr>
        <w:pStyle w:val="ScheduleText4"/>
        <w:numPr>
          <w:ilvl w:val="3"/>
          <w:numId w:val="83"/>
        </w:numPr>
        <w:rPr>
          <w:rFonts w:cs="Arial"/>
          <w:sz w:val="22"/>
          <w:szCs w:val="22"/>
        </w:rPr>
      </w:pPr>
      <w:r w:rsidRPr="007E2618">
        <w:rPr>
          <w:rFonts w:cs="Arial"/>
          <w:sz w:val="22"/>
          <w:szCs w:val="22"/>
        </w:rPr>
        <w:t>such other security tests as may be required by HSE.</w:t>
      </w:r>
    </w:p>
    <w:p w14:paraId="58D639E5" w14:textId="77777777" w:rsidR="00BB406D" w:rsidRPr="007E2618" w:rsidRDefault="00BB406D" w:rsidP="004E2262">
      <w:pPr>
        <w:pStyle w:val="ScheduleText2"/>
        <w:numPr>
          <w:ilvl w:val="1"/>
          <w:numId w:val="83"/>
        </w:numPr>
        <w:rPr>
          <w:rFonts w:cs="Arial"/>
          <w:sz w:val="22"/>
          <w:szCs w:val="22"/>
        </w:rPr>
      </w:pPr>
      <w:r w:rsidRPr="007E2618">
        <w:rPr>
          <w:rFonts w:cs="Arial"/>
          <w:sz w:val="22"/>
          <w:szCs w:val="22"/>
        </w:rPr>
        <w:t>The Provider shall:</w:t>
      </w:r>
    </w:p>
    <w:p w14:paraId="2D77E8B9" w14:textId="77777777" w:rsidR="00BB406D" w:rsidRPr="007E2618" w:rsidRDefault="00BB406D" w:rsidP="004E2262">
      <w:pPr>
        <w:pStyle w:val="ScheduleText4"/>
        <w:numPr>
          <w:ilvl w:val="3"/>
          <w:numId w:val="83"/>
        </w:numPr>
        <w:rPr>
          <w:sz w:val="22"/>
          <w:szCs w:val="22"/>
        </w:rPr>
      </w:pPr>
      <w:r w:rsidRPr="007E2618">
        <w:rPr>
          <w:sz w:val="22"/>
          <w:szCs w:val="22"/>
        </w:rPr>
        <w:t>complete all of the above security tests before:</w:t>
      </w:r>
    </w:p>
    <w:p w14:paraId="6C27D593" w14:textId="769CE8A1" w:rsidR="00BB406D" w:rsidRPr="007E2618" w:rsidRDefault="00BB406D" w:rsidP="004E2262">
      <w:pPr>
        <w:pStyle w:val="ScheduleText5"/>
        <w:numPr>
          <w:ilvl w:val="4"/>
          <w:numId w:val="83"/>
        </w:numPr>
        <w:rPr>
          <w:sz w:val="22"/>
          <w:szCs w:val="22"/>
        </w:rPr>
      </w:pPr>
      <w:r w:rsidRPr="007E2618">
        <w:rPr>
          <w:sz w:val="22"/>
          <w:szCs w:val="22"/>
        </w:rPr>
        <w:t xml:space="preserve">the Provider submits the Security Management Plan to HSE for review in accordance with </w:t>
      </w:r>
      <w:bookmarkStart w:id="3500" w:name="_9kMJI5YVt4DDCMKbGpqgyts0G"/>
      <w:r w:rsidRPr="007E2618">
        <w:rPr>
          <w:sz w:val="22"/>
          <w:szCs w:val="22"/>
        </w:rPr>
        <w:t>paragraph</w:t>
      </w:r>
      <w:bookmarkEnd w:id="3500"/>
      <w:r w:rsidRPr="007E2618">
        <w:rPr>
          <w:sz w:val="22"/>
          <w:szCs w:val="22"/>
        </w:rPr>
        <w:t xml:space="preserve"> </w:t>
      </w:r>
      <w:r w:rsidRPr="007E2618">
        <w:rPr>
          <w:sz w:val="22"/>
          <w:szCs w:val="22"/>
        </w:rPr>
        <w:fldChar w:fldCharType="begin"/>
      </w:r>
      <w:r w:rsidRPr="007E2618">
        <w:rPr>
          <w:sz w:val="22"/>
          <w:szCs w:val="22"/>
        </w:rPr>
        <w:instrText xml:space="preserve"> REF _9kR3WTrAG8BICZJfifw5q8MMLkQzJdjlc68LK4C \r \h  \* MERGEFORMAT </w:instrText>
      </w:r>
      <w:r w:rsidRPr="007E2618">
        <w:rPr>
          <w:sz w:val="22"/>
          <w:szCs w:val="22"/>
        </w:rPr>
      </w:r>
      <w:r w:rsidRPr="007E2618">
        <w:rPr>
          <w:sz w:val="22"/>
          <w:szCs w:val="22"/>
        </w:rPr>
        <w:fldChar w:fldCharType="separate"/>
      </w:r>
      <w:r w:rsidR="00C87D85">
        <w:rPr>
          <w:sz w:val="22"/>
          <w:szCs w:val="22"/>
        </w:rPr>
        <w:t>4</w:t>
      </w:r>
      <w:r w:rsidRPr="007E2618">
        <w:rPr>
          <w:sz w:val="22"/>
          <w:szCs w:val="22"/>
        </w:rPr>
        <w:fldChar w:fldCharType="end"/>
      </w:r>
      <w:r w:rsidRPr="007E2618">
        <w:rPr>
          <w:sz w:val="22"/>
          <w:szCs w:val="22"/>
        </w:rPr>
        <w:t xml:space="preserve"> of this Schedule; and</w:t>
      </w:r>
    </w:p>
    <w:p w14:paraId="4F395679" w14:textId="77777777" w:rsidR="00BB406D" w:rsidRPr="007E2618" w:rsidRDefault="00BB406D" w:rsidP="004E2262">
      <w:pPr>
        <w:pStyle w:val="ScheduleText5"/>
        <w:numPr>
          <w:ilvl w:val="4"/>
          <w:numId w:val="83"/>
        </w:numPr>
        <w:rPr>
          <w:sz w:val="22"/>
          <w:szCs w:val="22"/>
        </w:rPr>
      </w:pPr>
      <w:r w:rsidRPr="007E2618">
        <w:rPr>
          <w:sz w:val="22"/>
          <w:szCs w:val="22"/>
        </w:rPr>
        <w:t>before the Provider is given permission by HSE to Process or manage any HSE Data; and</w:t>
      </w:r>
    </w:p>
    <w:p w14:paraId="65B7335A" w14:textId="77777777" w:rsidR="00BB406D" w:rsidRPr="007E2618" w:rsidRDefault="00BB406D" w:rsidP="004E2262">
      <w:pPr>
        <w:pStyle w:val="ScheduleText4"/>
        <w:numPr>
          <w:ilvl w:val="3"/>
          <w:numId w:val="83"/>
        </w:numPr>
        <w:rPr>
          <w:sz w:val="22"/>
          <w:szCs w:val="22"/>
        </w:rPr>
      </w:pPr>
      <w:r w:rsidRPr="007E2618">
        <w:rPr>
          <w:sz w:val="22"/>
          <w:szCs w:val="22"/>
        </w:rPr>
        <w:t xml:space="preserve">repeat the IT Health Check not less than once every 12 months during the Term and submit </w:t>
      </w:r>
      <w:r w:rsidRPr="007E2618">
        <w:rPr>
          <w:rFonts w:cs="Arial"/>
          <w:sz w:val="22"/>
          <w:szCs w:val="22"/>
        </w:rPr>
        <w:t>the</w:t>
      </w:r>
      <w:r w:rsidRPr="007E2618">
        <w:rPr>
          <w:sz w:val="22"/>
          <w:szCs w:val="22"/>
        </w:rPr>
        <w:t xml:space="preserve"> results of each such test to HSE for review in accordance with this paragraph 7.</w:t>
      </w:r>
    </w:p>
    <w:p w14:paraId="4039E3E7" w14:textId="77777777" w:rsidR="00BB406D" w:rsidRPr="007E2618" w:rsidRDefault="00BB406D" w:rsidP="004E2262">
      <w:pPr>
        <w:pStyle w:val="ScheduleText2"/>
        <w:numPr>
          <w:ilvl w:val="1"/>
          <w:numId w:val="83"/>
        </w:numPr>
        <w:rPr>
          <w:rFonts w:cs="Arial"/>
          <w:sz w:val="22"/>
          <w:szCs w:val="22"/>
        </w:rPr>
      </w:pPr>
      <w:bookmarkStart w:id="3501" w:name="_Ref88200919"/>
      <w:r w:rsidRPr="007E2618">
        <w:rPr>
          <w:rFonts w:cs="Arial"/>
          <w:sz w:val="22"/>
          <w:szCs w:val="22"/>
        </w:rPr>
        <w:t>In relation to each IT Health Check, the Provider shall:</w:t>
      </w:r>
      <w:bookmarkEnd w:id="3501"/>
    </w:p>
    <w:p w14:paraId="07E8F774" w14:textId="77777777" w:rsidR="00BB406D" w:rsidRPr="007E2618" w:rsidRDefault="00BB406D" w:rsidP="004E2262">
      <w:pPr>
        <w:pStyle w:val="ScheduleText4"/>
        <w:numPr>
          <w:ilvl w:val="3"/>
          <w:numId w:val="83"/>
        </w:numPr>
        <w:rPr>
          <w:rFonts w:cs="Arial"/>
          <w:sz w:val="22"/>
          <w:szCs w:val="22"/>
        </w:rPr>
      </w:pPr>
      <w:r w:rsidRPr="007E2618">
        <w:rPr>
          <w:rFonts w:cs="Arial"/>
          <w:sz w:val="22"/>
          <w:szCs w:val="22"/>
        </w:rPr>
        <w:t>agree with HSE the aim and scope of the IT Health Check;</w:t>
      </w:r>
    </w:p>
    <w:p w14:paraId="0F69CB26" w14:textId="77777777" w:rsidR="00BB406D" w:rsidRPr="007E2618" w:rsidRDefault="00BB406D" w:rsidP="004E2262">
      <w:pPr>
        <w:pStyle w:val="ScheduleText4"/>
        <w:numPr>
          <w:ilvl w:val="3"/>
          <w:numId w:val="83"/>
        </w:numPr>
        <w:rPr>
          <w:rFonts w:cs="Arial"/>
          <w:sz w:val="22"/>
          <w:szCs w:val="22"/>
        </w:rPr>
      </w:pPr>
      <w:r w:rsidRPr="007E2618">
        <w:rPr>
          <w:rFonts w:cs="Arial"/>
          <w:sz w:val="22"/>
          <w:szCs w:val="22"/>
        </w:rPr>
        <w:t>promptly, and no later than ten (10) Working Days, following the receipt of each IT Health Check report, provide HSE with a copy of the full report;</w:t>
      </w:r>
    </w:p>
    <w:p w14:paraId="68A33882" w14:textId="77777777" w:rsidR="00BB406D" w:rsidRPr="007E2618" w:rsidRDefault="00BB406D" w:rsidP="004E2262">
      <w:pPr>
        <w:pStyle w:val="ScheduleText4"/>
        <w:numPr>
          <w:ilvl w:val="3"/>
          <w:numId w:val="83"/>
        </w:numPr>
        <w:rPr>
          <w:rFonts w:cs="Arial"/>
          <w:sz w:val="22"/>
          <w:szCs w:val="22"/>
        </w:rPr>
      </w:pPr>
      <w:r w:rsidRPr="007E2618">
        <w:rPr>
          <w:rFonts w:cs="Arial"/>
          <w:sz w:val="22"/>
          <w:szCs w:val="22"/>
        </w:rPr>
        <w:t xml:space="preserve">in the event that the IT Health Check report identifies any vulnerabilities, the Provider shall: </w:t>
      </w:r>
    </w:p>
    <w:p w14:paraId="58BBCCE9" w14:textId="77777777" w:rsidR="00BB406D" w:rsidRPr="007E2618" w:rsidRDefault="00BB406D" w:rsidP="004E2262">
      <w:pPr>
        <w:pStyle w:val="ScheduleText5"/>
        <w:numPr>
          <w:ilvl w:val="4"/>
          <w:numId w:val="83"/>
        </w:numPr>
        <w:rPr>
          <w:rFonts w:cs="Arial"/>
          <w:sz w:val="22"/>
          <w:szCs w:val="22"/>
        </w:rPr>
      </w:pPr>
      <w:bookmarkStart w:id="3502" w:name="_Ref88063578"/>
      <w:r w:rsidRPr="007E2618">
        <w:rPr>
          <w:rFonts w:cs="Arial"/>
          <w:sz w:val="22"/>
          <w:szCs w:val="22"/>
        </w:rPr>
        <w:t>prepare a remedial plan for approval by HSE (each a "</w:t>
      </w:r>
      <w:r w:rsidRPr="007E2618">
        <w:rPr>
          <w:rStyle w:val="StdBodyTextBoldChar"/>
          <w:rFonts w:cs="Arial"/>
          <w:sz w:val="22"/>
          <w:szCs w:val="22"/>
        </w:rPr>
        <w:t>Remediation Action Plan</w:t>
      </w:r>
      <w:r w:rsidRPr="007E2618">
        <w:rPr>
          <w:rFonts w:cs="Arial"/>
          <w:sz w:val="22"/>
          <w:szCs w:val="22"/>
        </w:rPr>
        <w:t>") which sets out in respect of each vulnerability identified in the IT Health Check report:</w:t>
      </w:r>
      <w:bookmarkEnd w:id="3502"/>
    </w:p>
    <w:p w14:paraId="37B0DFE3" w14:textId="77777777" w:rsidR="00BB406D" w:rsidRPr="007E2618" w:rsidRDefault="00BB406D" w:rsidP="004E2262">
      <w:pPr>
        <w:pStyle w:val="ScheduleText6"/>
        <w:numPr>
          <w:ilvl w:val="5"/>
          <w:numId w:val="83"/>
        </w:numPr>
        <w:rPr>
          <w:rFonts w:cs="Arial"/>
          <w:sz w:val="22"/>
          <w:szCs w:val="22"/>
        </w:rPr>
      </w:pPr>
      <w:r w:rsidRPr="007E2618">
        <w:rPr>
          <w:rFonts w:cs="Arial"/>
          <w:sz w:val="22"/>
          <w:szCs w:val="22"/>
        </w:rPr>
        <w:t xml:space="preserve">how the vulnerability will be remedied; </w:t>
      </w:r>
    </w:p>
    <w:p w14:paraId="1789C7C2" w14:textId="77777777" w:rsidR="00BB406D" w:rsidRPr="007E2618" w:rsidRDefault="00BB406D" w:rsidP="004E2262">
      <w:pPr>
        <w:pStyle w:val="ScheduleText6"/>
        <w:numPr>
          <w:ilvl w:val="5"/>
          <w:numId w:val="83"/>
        </w:numPr>
        <w:rPr>
          <w:rFonts w:cs="Arial"/>
          <w:sz w:val="22"/>
          <w:szCs w:val="22"/>
        </w:rPr>
      </w:pPr>
      <w:r w:rsidRPr="007E2618">
        <w:rPr>
          <w:rFonts w:cs="Arial"/>
          <w:sz w:val="22"/>
          <w:szCs w:val="22"/>
        </w:rPr>
        <w:t>unless otherwise agreed in writing between the Parties, the date by which the vulnerability will be remedied, which must be:</w:t>
      </w:r>
    </w:p>
    <w:p w14:paraId="1BC10B1C" w14:textId="77777777" w:rsidR="00BB406D" w:rsidRPr="007E2618" w:rsidRDefault="00BB406D" w:rsidP="004E2262">
      <w:pPr>
        <w:pStyle w:val="ScheduleText7"/>
        <w:numPr>
          <w:ilvl w:val="6"/>
          <w:numId w:val="83"/>
        </w:numPr>
        <w:rPr>
          <w:rFonts w:cs="Arial"/>
          <w:sz w:val="22"/>
          <w:szCs w:val="22"/>
        </w:rPr>
      </w:pPr>
      <w:r w:rsidRPr="007E2618">
        <w:rPr>
          <w:rFonts w:cs="Arial"/>
          <w:sz w:val="22"/>
          <w:szCs w:val="22"/>
        </w:rPr>
        <w:lastRenderedPageBreak/>
        <w:t>within three months of the date the Provider received the IT Health Check report in the case of any vulnerability categorised with a severity of “medium”;</w:t>
      </w:r>
    </w:p>
    <w:p w14:paraId="57D3FC66" w14:textId="77777777" w:rsidR="00BB406D" w:rsidRPr="007E2618" w:rsidRDefault="00BB406D" w:rsidP="004E2262">
      <w:pPr>
        <w:pStyle w:val="ScheduleText7"/>
        <w:numPr>
          <w:ilvl w:val="6"/>
          <w:numId w:val="83"/>
        </w:numPr>
        <w:rPr>
          <w:rFonts w:cs="Arial"/>
          <w:sz w:val="22"/>
          <w:szCs w:val="22"/>
        </w:rPr>
      </w:pPr>
      <w:r w:rsidRPr="007E2618">
        <w:rPr>
          <w:rFonts w:cs="Arial"/>
          <w:sz w:val="22"/>
          <w:szCs w:val="22"/>
        </w:rPr>
        <w:t>within one month of the date the Provider received the IT Health Check report in the case of any vulnerability categorised with a severity of “high”; and</w:t>
      </w:r>
    </w:p>
    <w:p w14:paraId="7A86BCFA" w14:textId="77777777" w:rsidR="00BB406D" w:rsidRPr="007E2618" w:rsidRDefault="00BB406D" w:rsidP="004E2262">
      <w:pPr>
        <w:pStyle w:val="ScheduleText7"/>
        <w:numPr>
          <w:ilvl w:val="6"/>
          <w:numId w:val="83"/>
        </w:numPr>
        <w:rPr>
          <w:rFonts w:cs="Arial"/>
          <w:sz w:val="22"/>
          <w:szCs w:val="22"/>
        </w:rPr>
      </w:pPr>
      <w:r w:rsidRPr="007E2618">
        <w:rPr>
          <w:rFonts w:cs="Arial"/>
          <w:sz w:val="22"/>
          <w:szCs w:val="22"/>
        </w:rPr>
        <w:t>within 7 Working Days of the date the Provider received the IT Health Check report in the case of any vulnerability categorised with a severity of “critical”;</w:t>
      </w:r>
    </w:p>
    <w:p w14:paraId="1E0CC08D" w14:textId="77777777" w:rsidR="00BB406D" w:rsidRPr="007E2618" w:rsidRDefault="00BB406D" w:rsidP="004E2262">
      <w:pPr>
        <w:pStyle w:val="ScheduleText6"/>
        <w:numPr>
          <w:ilvl w:val="5"/>
          <w:numId w:val="83"/>
        </w:numPr>
        <w:rPr>
          <w:rFonts w:cs="Arial"/>
          <w:sz w:val="22"/>
          <w:szCs w:val="22"/>
        </w:rPr>
      </w:pPr>
      <w:r w:rsidRPr="007E2618">
        <w:rPr>
          <w:rFonts w:cs="Arial"/>
          <w:sz w:val="22"/>
          <w:szCs w:val="22"/>
        </w:rPr>
        <w:t>the tests which the Provider shall perform or procure to be performed (which may, at the discretion of HSE, include a further IT Health Check) to confirm that the vulnerability has been remedied;</w:t>
      </w:r>
    </w:p>
    <w:p w14:paraId="6A43B344" w14:textId="77777777" w:rsidR="00BB406D" w:rsidRPr="007E2618" w:rsidRDefault="00BB406D" w:rsidP="004E2262">
      <w:pPr>
        <w:pStyle w:val="ScheduleText5"/>
        <w:numPr>
          <w:ilvl w:val="4"/>
          <w:numId w:val="83"/>
        </w:numPr>
        <w:rPr>
          <w:rFonts w:cs="Arial"/>
          <w:sz w:val="22"/>
          <w:szCs w:val="22"/>
        </w:rPr>
      </w:pPr>
      <w:r w:rsidRPr="007E2618">
        <w:rPr>
          <w:rFonts w:cs="Arial"/>
          <w:sz w:val="22"/>
          <w:szCs w:val="22"/>
        </w:rPr>
        <w:t>comply with the Remediation Action Plan; and</w:t>
      </w:r>
    </w:p>
    <w:p w14:paraId="424133EF" w14:textId="77777777" w:rsidR="00BB406D" w:rsidRPr="007E2618" w:rsidRDefault="00BB406D" w:rsidP="004E2262">
      <w:pPr>
        <w:pStyle w:val="ScheduleText5"/>
        <w:numPr>
          <w:ilvl w:val="4"/>
          <w:numId w:val="83"/>
        </w:numPr>
        <w:rPr>
          <w:rFonts w:cs="Arial"/>
          <w:sz w:val="22"/>
          <w:szCs w:val="22"/>
        </w:rPr>
      </w:pPr>
      <w:r w:rsidRPr="007E2618">
        <w:rPr>
          <w:rFonts w:cs="Arial"/>
          <w:sz w:val="22"/>
          <w:szCs w:val="22"/>
        </w:rPr>
        <w:t>conduct such further tests on the Service as are required by the Remediation Action Plan to confirm that the Remediation Action Plan has been complied with.</w:t>
      </w:r>
    </w:p>
    <w:p w14:paraId="5A7237CE" w14:textId="77777777" w:rsidR="00BB406D" w:rsidRPr="007E2618" w:rsidRDefault="00BB406D" w:rsidP="004E2262">
      <w:pPr>
        <w:pStyle w:val="ScheduleText2"/>
        <w:numPr>
          <w:ilvl w:val="1"/>
          <w:numId w:val="83"/>
        </w:numPr>
        <w:rPr>
          <w:rFonts w:cs="Arial"/>
          <w:sz w:val="22"/>
          <w:szCs w:val="22"/>
        </w:rPr>
      </w:pPr>
      <w:r w:rsidRPr="007E2618">
        <w:rPr>
          <w:rFonts w:cs="Arial"/>
          <w:sz w:val="22"/>
          <w:szCs w:val="22"/>
        </w:rPr>
        <w:t xml:space="preserve">The Provider shall ensure that any testing which could adversely affect the Provider System shall be designed and implemented by the Provider so as to minimise the impact on the delivery of the Services and the date, timing, content and conduct of such tests shall be agreed in advance with HSE.  </w:t>
      </w:r>
    </w:p>
    <w:p w14:paraId="6AD3CDD3" w14:textId="77777777" w:rsidR="00BB406D" w:rsidRPr="007E2618" w:rsidRDefault="00BB406D" w:rsidP="004E2262">
      <w:pPr>
        <w:pStyle w:val="ScheduleText2"/>
        <w:numPr>
          <w:ilvl w:val="1"/>
          <w:numId w:val="83"/>
        </w:numPr>
        <w:rPr>
          <w:rFonts w:cs="Arial"/>
          <w:sz w:val="22"/>
          <w:szCs w:val="22"/>
        </w:rPr>
      </w:pPr>
      <w:r w:rsidRPr="007E2618">
        <w:rPr>
          <w:rFonts w:cs="Arial"/>
          <w:sz w:val="22"/>
          <w:szCs w:val="22"/>
        </w:rPr>
        <w:t xml:space="preserve">If any testing conducted by or on behalf of the Provider </w:t>
      </w:r>
      <w:r w:rsidRPr="000671D8">
        <w:rPr>
          <w:rFonts w:cs="Arial"/>
          <w:sz w:val="22"/>
          <w:szCs w:val="22"/>
        </w:rPr>
        <w:t>identifies a new risk, new threat, vulnerability or exploitation technique that has the potential to affect the security of the Information Management System, the Provider shall within 2 Working</w:t>
      </w:r>
      <w:r w:rsidRPr="007E2618">
        <w:rPr>
          <w:rFonts w:cs="Arial"/>
          <w:sz w:val="22"/>
          <w:szCs w:val="22"/>
        </w:rPr>
        <w:t xml:space="preserve"> Days of becoming aware of such risk, threat, vulnerability or exploitation technique provide HSE with a copy of the test report and:</w:t>
      </w:r>
    </w:p>
    <w:p w14:paraId="5A8BF862" w14:textId="77777777" w:rsidR="00BB406D" w:rsidRPr="007E2618" w:rsidRDefault="00BB406D" w:rsidP="004E2262">
      <w:pPr>
        <w:pStyle w:val="ScheduleText4"/>
        <w:numPr>
          <w:ilvl w:val="3"/>
          <w:numId w:val="83"/>
        </w:numPr>
        <w:rPr>
          <w:rFonts w:cs="Arial"/>
          <w:sz w:val="22"/>
          <w:szCs w:val="22"/>
        </w:rPr>
      </w:pPr>
      <w:r w:rsidRPr="007E2618">
        <w:rPr>
          <w:rFonts w:cs="Arial"/>
          <w:sz w:val="22"/>
          <w:szCs w:val="22"/>
        </w:rPr>
        <w:t>propose interim mitigation measures to vulnerabilities in the Information Management System known to be exploitable where a security patch is not immediately available; and</w:t>
      </w:r>
    </w:p>
    <w:p w14:paraId="46C4B49F" w14:textId="77777777" w:rsidR="00BB406D" w:rsidRPr="007E2618" w:rsidRDefault="00BB406D" w:rsidP="004E2262">
      <w:pPr>
        <w:pStyle w:val="ScheduleText4"/>
        <w:numPr>
          <w:ilvl w:val="3"/>
          <w:numId w:val="83"/>
        </w:numPr>
        <w:rPr>
          <w:rFonts w:cs="Arial"/>
          <w:sz w:val="22"/>
          <w:szCs w:val="22"/>
        </w:rPr>
      </w:pPr>
      <w:r w:rsidRPr="007E2618">
        <w:rPr>
          <w:rFonts w:cs="Arial"/>
          <w:sz w:val="22"/>
          <w:szCs w:val="22"/>
        </w:rPr>
        <w:t>where and to the extent applicable, remove or disable any extraneous interfaces, services or capabilities that are not needed for the provision of the Services (in order to reduce the attack surface of the Provider System) within the timescales set out in the test report or such other timescales as may be agreed with HSE.</w:t>
      </w:r>
    </w:p>
    <w:p w14:paraId="03521C9F" w14:textId="37B249F4" w:rsidR="00BB406D" w:rsidRPr="007E2618" w:rsidRDefault="00BB406D" w:rsidP="004E2262">
      <w:pPr>
        <w:pStyle w:val="ScheduleText2"/>
        <w:numPr>
          <w:ilvl w:val="1"/>
          <w:numId w:val="83"/>
        </w:numPr>
        <w:rPr>
          <w:rFonts w:cs="Arial"/>
          <w:sz w:val="22"/>
          <w:szCs w:val="22"/>
        </w:rPr>
      </w:pPr>
      <w:r w:rsidRPr="007E2618">
        <w:rPr>
          <w:rFonts w:cs="Arial"/>
          <w:sz w:val="22"/>
          <w:szCs w:val="22"/>
        </w:rPr>
        <w:t xml:space="preserve">The Provider shall conduct such further tests of the Provider System as may be required by HSE from time to time to demonstrate compliance with its obligations set out this Schedule and the </w:t>
      </w:r>
      <w:r w:rsidR="00A47727">
        <w:rPr>
          <w:rFonts w:cs="Arial"/>
          <w:sz w:val="22"/>
          <w:szCs w:val="22"/>
        </w:rPr>
        <w:t>Agreement</w:t>
      </w:r>
      <w:r w:rsidRPr="007E2618">
        <w:rPr>
          <w:rFonts w:cs="Arial"/>
          <w:sz w:val="22"/>
          <w:szCs w:val="22"/>
        </w:rPr>
        <w:t>.</w:t>
      </w:r>
    </w:p>
    <w:p w14:paraId="00209F9C" w14:textId="0A5FA5BE" w:rsidR="00BB406D" w:rsidRPr="00024F2F" w:rsidRDefault="00BB406D" w:rsidP="004E2262">
      <w:pPr>
        <w:pStyle w:val="ScheduleText2"/>
        <w:numPr>
          <w:ilvl w:val="1"/>
          <w:numId w:val="83"/>
        </w:numPr>
        <w:rPr>
          <w:rFonts w:cs="Arial"/>
        </w:rPr>
      </w:pPr>
      <w:r w:rsidRPr="007E2618">
        <w:rPr>
          <w:rFonts w:cs="Arial"/>
          <w:sz w:val="22"/>
          <w:szCs w:val="22"/>
        </w:rPr>
        <w:t xml:space="preserve">The Provider shall notify HSE immediately if it fails to, or believes that it will not, mitigate the vulnerability within the timescales set out in paragraph </w:t>
      </w:r>
      <w:r w:rsidRPr="007E2618">
        <w:rPr>
          <w:rFonts w:cs="Arial"/>
          <w:sz w:val="22"/>
          <w:szCs w:val="22"/>
        </w:rPr>
        <w:fldChar w:fldCharType="begin"/>
      </w:r>
      <w:r w:rsidRPr="007E2618">
        <w:rPr>
          <w:rFonts w:cs="Arial"/>
          <w:sz w:val="22"/>
          <w:szCs w:val="22"/>
        </w:rPr>
        <w:instrText xml:space="preserve"> REF _Ref88200919 \r \h  \* MERGEFORMAT </w:instrText>
      </w:r>
      <w:r w:rsidRPr="007E2618">
        <w:rPr>
          <w:rFonts w:cs="Arial"/>
          <w:sz w:val="22"/>
          <w:szCs w:val="22"/>
        </w:rPr>
      </w:r>
      <w:r w:rsidRPr="007E2618">
        <w:rPr>
          <w:rFonts w:cs="Arial"/>
          <w:sz w:val="22"/>
          <w:szCs w:val="22"/>
        </w:rPr>
        <w:fldChar w:fldCharType="separate"/>
      </w:r>
      <w:r w:rsidR="00C87D85">
        <w:rPr>
          <w:rFonts w:cs="Arial"/>
          <w:sz w:val="22"/>
          <w:szCs w:val="22"/>
        </w:rPr>
        <w:t>7.3</w:t>
      </w:r>
      <w:r w:rsidRPr="007E2618">
        <w:rPr>
          <w:rFonts w:cs="Arial"/>
          <w:sz w:val="22"/>
          <w:szCs w:val="22"/>
        </w:rPr>
        <w:fldChar w:fldCharType="end"/>
      </w:r>
      <w:r w:rsidRPr="007E2618">
        <w:rPr>
          <w:rFonts w:cs="Arial"/>
          <w:sz w:val="22"/>
          <w:szCs w:val="22"/>
        </w:rPr>
        <w:t xml:space="preserve"> of this Schedule.</w:t>
      </w:r>
    </w:p>
    <w:p w14:paraId="7E97DEB7" w14:textId="77777777" w:rsidR="00BB406D" w:rsidRPr="00024F2F" w:rsidRDefault="00BB406D" w:rsidP="004E2262">
      <w:pPr>
        <w:pStyle w:val="ScheduleText1"/>
        <w:numPr>
          <w:ilvl w:val="0"/>
          <w:numId w:val="83"/>
        </w:numPr>
        <w:rPr>
          <w:rFonts w:cs="Arial"/>
        </w:rPr>
      </w:pPr>
      <w:r w:rsidRPr="00024F2F">
        <w:rPr>
          <w:rFonts w:cs="Arial"/>
        </w:rPr>
        <w:t>Security Monitoring and Reporting</w:t>
      </w:r>
    </w:p>
    <w:p w14:paraId="2348086A" w14:textId="77777777" w:rsidR="00BB406D" w:rsidRPr="007E2618" w:rsidRDefault="00BB406D" w:rsidP="004E2262">
      <w:pPr>
        <w:pStyle w:val="ScheduleText2"/>
        <w:numPr>
          <w:ilvl w:val="1"/>
          <w:numId w:val="83"/>
        </w:numPr>
        <w:rPr>
          <w:rFonts w:cs="Arial"/>
          <w:sz w:val="22"/>
          <w:szCs w:val="22"/>
        </w:rPr>
      </w:pPr>
      <w:r w:rsidRPr="007E2618">
        <w:rPr>
          <w:rFonts w:cs="Arial"/>
          <w:sz w:val="22"/>
          <w:szCs w:val="22"/>
        </w:rPr>
        <w:lastRenderedPageBreak/>
        <w:t>The Provider shall:</w:t>
      </w:r>
    </w:p>
    <w:p w14:paraId="1D77906B" w14:textId="77777777" w:rsidR="00BB406D" w:rsidRPr="007E2618" w:rsidRDefault="00BB406D" w:rsidP="004E2262">
      <w:pPr>
        <w:pStyle w:val="ScheduleText4"/>
        <w:numPr>
          <w:ilvl w:val="3"/>
          <w:numId w:val="83"/>
        </w:numPr>
        <w:rPr>
          <w:rFonts w:cs="Arial"/>
          <w:sz w:val="22"/>
          <w:szCs w:val="22"/>
        </w:rPr>
      </w:pPr>
      <w:r w:rsidRPr="007E2618">
        <w:rPr>
          <w:rFonts w:cs="Arial"/>
          <w:sz w:val="22"/>
          <w:szCs w:val="22"/>
        </w:rPr>
        <w:t>monitor the delivery of assurance activities;</w:t>
      </w:r>
    </w:p>
    <w:p w14:paraId="0EEC1E68" w14:textId="71F10FE5" w:rsidR="00BB406D" w:rsidRPr="007E2618" w:rsidRDefault="00BB406D" w:rsidP="004E2262">
      <w:pPr>
        <w:pStyle w:val="ScheduleText4"/>
        <w:numPr>
          <w:ilvl w:val="3"/>
          <w:numId w:val="83"/>
        </w:numPr>
        <w:rPr>
          <w:rFonts w:cs="Arial"/>
          <w:sz w:val="22"/>
          <w:szCs w:val="22"/>
        </w:rPr>
      </w:pPr>
      <w:r w:rsidRPr="007E2618">
        <w:rPr>
          <w:rFonts w:cs="Arial"/>
          <w:sz w:val="22"/>
          <w:szCs w:val="22"/>
        </w:rPr>
        <w:t xml:space="preserve">maintain and update the Security Management Plan in accordance with </w:t>
      </w:r>
      <w:bookmarkStart w:id="3503" w:name="_9kR3WTr2BBBJDWEnoewrqyF"/>
      <w:r w:rsidRPr="007E2618">
        <w:rPr>
          <w:rFonts w:cs="Arial"/>
          <w:sz w:val="22"/>
          <w:szCs w:val="22"/>
        </w:rPr>
        <w:t xml:space="preserve">paragraph </w:t>
      </w:r>
      <w:r w:rsidRPr="007E2618">
        <w:rPr>
          <w:rFonts w:cs="Arial"/>
          <w:sz w:val="22"/>
          <w:szCs w:val="22"/>
        </w:rPr>
        <w:fldChar w:fldCharType="begin"/>
      </w:r>
      <w:r w:rsidRPr="007E2618">
        <w:rPr>
          <w:rFonts w:cs="Arial"/>
          <w:sz w:val="22"/>
          <w:szCs w:val="22"/>
        </w:rPr>
        <w:instrText xml:space="preserve"> REF _Ref_ContractCompanion_9kb9Ur7EC \w \n \h \t \* MERGEFORMAT </w:instrText>
      </w:r>
      <w:r w:rsidRPr="007E2618">
        <w:rPr>
          <w:rFonts w:cs="Arial"/>
          <w:sz w:val="22"/>
          <w:szCs w:val="22"/>
        </w:rPr>
      </w:r>
      <w:r w:rsidRPr="007E2618">
        <w:rPr>
          <w:rFonts w:cs="Arial"/>
          <w:sz w:val="22"/>
          <w:szCs w:val="22"/>
        </w:rPr>
        <w:fldChar w:fldCharType="separate"/>
      </w:r>
      <w:r w:rsidR="00C87D85">
        <w:rPr>
          <w:rFonts w:cs="Arial"/>
          <w:sz w:val="22"/>
          <w:szCs w:val="22"/>
        </w:rPr>
        <w:t>5</w:t>
      </w:r>
      <w:r w:rsidRPr="007E2618">
        <w:rPr>
          <w:rFonts w:cs="Arial"/>
          <w:sz w:val="22"/>
          <w:szCs w:val="22"/>
        </w:rPr>
        <w:fldChar w:fldCharType="end"/>
      </w:r>
      <w:bookmarkEnd w:id="3503"/>
      <w:r w:rsidRPr="007E2618">
        <w:rPr>
          <w:rFonts w:cs="Arial"/>
          <w:sz w:val="22"/>
          <w:szCs w:val="22"/>
        </w:rPr>
        <w:t xml:space="preserve"> of this Schedule;</w:t>
      </w:r>
    </w:p>
    <w:p w14:paraId="135744D7" w14:textId="77777777" w:rsidR="00BB406D" w:rsidRPr="007E2618" w:rsidRDefault="00BB406D" w:rsidP="004E2262">
      <w:pPr>
        <w:pStyle w:val="ScheduleText4"/>
        <w:numPr>
          <w:ilvl w:val="3"/>
          <w:numId w:val="83"/>
        </w:numPr>
        <w:rPr>
          <w:rFonts w:cs="Arial"/>
          <w:sz w:val="22"/>
          <w:szCs w:val="22"/>
        </w:rPr>
      </w:pPr>
      <w:r w:rsidRPr="007E2618">
        <w:rPr>
          <w:rFonts w:cs="Arial"/>
          <w:sz w:val="22"/>
          <w:szCs w:val="22"/>
        </w:rPr>
        <w:t>agree a document which presents the residual security risks to inform HSE’s decision to give approval to the Provider to Process and transit HSE Data;</w:t>
      </w:r>
    </w:p>
    <w:p w14:paraId="15F8A368" w14:textId="77777777" w:rsidR="00BB406D" w:rsidRPr="0029242C" w:rsidRDefault="00BB406D" w:rsidP="004E2262">
      <w:pPr>
        <w:pStyle w:val="ScheduleText4"/>
        <w:numPr>
          <w:ilvl w:val="3"/>
          <w:numId w:val="83"/>
        </w:numPr>
        <w:rPr>
          <w:rFonts w:cs="Arial"/>
          <w:sz w:val="22"/>
          <w:szCs w:val="22"/>
        </w:rPr>
      </w:pPr>
      <w:r w:rsidRPr="0029242C">
        <w:rPr>
          <w:rFonts w:cs="Arial"/>
          <w:sz w:val="22"/>
          <w:szCs w:val="22"/>
        </w:rPr>
        <w:t>monitor security risk impacting upon the operation of the Service;</w:t>
      </w:r>
    </w:p>
    <w:p w14:paraId="7EA18234" w14:textId="77777777" w:rsidR="00BB406D" w:rsidRPr="0029242C" w:rsidRDefault="00BB406D" w:rsidP="004E2262">
      <w:pPr>
        <w:pStyle w:val="ScheduleText4"/>
        <w:numPr>
          <w:ilvl w:val="3"/>
          <w:numId w:val="83"/>
        </w:numPr>
        <w:rPr>
          <w:rFonts w:cs="Arial"/>
          <w:sz w:val="22"/>
          <w:szCs w:val="22"/>
        </w:rPr>
      </w:pPr>
      <w:r w:rsidRPr="0029242C">
        <w:rPr>
          <w:rFonts w:cs="Arial"/>
          <w:sz w:val="22"/>
          <w:szCs w:val="22"/>
        </w:rPr>
        <w:t>report Breaches of Security in accordance with the approved Incident Management Process;</w:t>
      </w:r>
    </w:p>
    <w:p w14:paraId="150CF24A" w14:textId="77777777" w:rsidR="00BB406D" w:rsidRPr="0029242C" w:rsidRDefault="00BB406D" w:rsidP="004E2262">
      <w:pPr>
        <w:pStyle w:val="ScheduleText4"/>
        <w:numPr>
          <w:ilvl w:val="3"/>
          <w:numId w:val="83"/>
        </w:numPr>
        <w:rPr>
          <w:rFonts w:cs="Arial"/>
          <w:sz w:val="22"/>
          <w:szCs w:val="22"/>
        </w:rPr>
      </w:pPr>
      <w:r w:rsidRPr="0029242C">
        <w:rPr>
          <w:rFonts w:cs="Arial"/>
          <w:sz w:val="22"/>
          <w:szCs w:val="22"/>
        </w:rPr>
        <w:t>agree with HSE the frequency and nature of the security reports to be prepared and submitted by the Provider to HSE within 20 Working Days of Effective Date.</w:t>
      </w:r>
    </w:p>
    <w:p w14:paraId="2CB7BBDA" w14:textId="77777777" w:rsidR="00BB406D" w:rsidRPr="0029242C" w:rsidRDefault="00BB406D" w:rsidP="004E2262">
      <w:pPr>
        <w:pStyle w:val="ScheduleText1"/>
        <w:numPr>
          <w:ilvl w:val="0"/>
          <w:numId w:val="83"/>
        </w:numPr>
        <w:rPr>
          <w:rFonts w:cs="Arial"/>
        </w:rPr>
      </w:pPr>
      <w:bookmarkStart w:id="3504" w:name="_Ref_ContractCompanion_9kb9Ur797"/>
      <w:r w:rsidRPr="0029242C">
        <w:rPr>
          <w:rFonts w:cs="Arial"/>
        </w:rPr>
        <w:t xml:space="preserve">Malicious Software </w:t>
      </w:r>
      <w:bookmarkEnd w:id="3504"/>
    </w:p>
    <w:p w14:paraId="1FAE722A" w14:textId="77777777" w:rsidR="00BB406D" w:rsidRPr="007E2618" w:rsidRDefault="00BB406D" w:rsidP="004E2262">
      <w:pPr>
        <w:pStyle w:val="ScheduleText2"/>
        <w:numPr>
          <w:ilvl w:val="1"/>
          <w:numId w:val="83"/>
        </w:numPr>
        <w:rPr>
          <w:rFonts w:cs="Arial"/>
          <w:sz w:val="22"/>
          <w:szCs w:val="22"/>
        </w:rPr>
      </w:pPr>
      <w:r w:rsidRPr="0029242C">
        <w:rPr>
          <w:rFonts w:cs="Arial"/>
          <w:sz w:val="22"/>
          <w:szCs w:val="22"/>
        </w:rPr>
        <w:t>The Provider shall install and maintain Anti-Malicious Software or procure that Anti-Malicious Software is installed and maintained on any part of the Information</w:t>
      </w:r>
      <w:r w:rsidRPr="007E2618">
        <w:rPr>
          <w:rFonts w:cs="Arial"/>
          <w:sz w:val="22"/>
          <w:szCs w:val="22"/>
        </w:rPr>
        <w:t xml:space="preserve"> Management System which may Process HSE Data and ensure that such Anti-Malicious Software is configured to perform automatic software and definition updates as well as regular scans of the Information Management System to check for, prevent the introduction of Malicious Software or where Malicious Software has been introduced into the Information Management System, to identify, contain the spread of, and minimise the impact of Malicious Software.</w:t>
      </w:r>
    </w:p>
    <w:p w14:paraId="025E722E" w14:textId="77777777" w:rsidR="00BB406D" w:rsidRPr="007E2618" w:rsidRDefault="00BB406D" w:rsidP="004E2262">
      <w:pPr>
        <w:pStyle w:val="ScheduleText2"/>
        <w:numPr>
          <w:ilvl w:val="1"/>
          <w:numId w:val="83"/>
        </w:numPr>
        <w:rPr>
          <w:rFonts w:cs="Arial"/>
          <w:sz w:val="22"/>
          <w:szCs w:val="22"/>
        </w:rPr>
      </w:pPr>
      <w:bookmarkStart w:id="3505" w:name="_9kR3WTrAG8BJGJJTEPFlumn0DIri28Q8491GEBR"/>
      <w:r w:rsidRPr="007E2618">
        <w:rPr>
          <w:rFonts w:cs="Arial"/>
          <w:sz w:val="22"/>
          <w:szCs w:val="22"/>
        </w:rPr>
        <w:t>If Malicious Software is found, the Parties shall cooperate to reduce the effect of the Malicious Software and, particularly if Malicious Software causes loss of operational efficiency or loss or corruption of HSE Data, assist each other to mitigate any Losses and to restore the Services to their desired operating efficiency.</w:t>
      </w:r>
      <w:bookmarkEnd w:id="3505"/>
    </w:p>
    <w:p w14:paraId="7C4EF5AC" w14:textId="2A101743" w:rsidR="00BB406D" w:rsidRPr="00024F2F" w:rsidRDefault="00BB406D" w:rsidP="004E2262">
      <w:pPr>
        <w:pStyle w:val="ScheduleText2"/>
        <w:numPr>
          <w:ilvl w:val="1"/>
          <w:numId w:val="83"/>
        </w:numPr>
        <w:rPr>
          <w:rFonts w:cs="Arial"/>
        </w:rPr>
      </w:pPr>
      <w:r w:rsidRPr="007E2618">
        <w:rPr>
          <w:rFonts w:cs="Arial"/>
          <w:sz w:val="22"/>
          <w:szCs w:val="22"/>
        </w:rPr>
        <w:t xml:space="preserve">[Any cost arising out of the actions of the Parties taken in compliance with the provisions of </w:t>
      </w:r>
      <w:bookmarkStart w:id="3506" w:name="_9kMHG5YVtCIADLILLVGRHnwop2FKtk4ASA6B3IG"/>
      <w:r w:rsidRPr="007E2618">
        <w:rPr>
          <w:rFonts w:cs="Arial"/>
          <w:sz w:val="22"/>
          <w:szCs w:val="22"/>
        </w:rPr>
        <w:t xml:space="preserve">paragraph </w:t>
      </w:r>
      <w:bookmarkEnd w:id="3506"/>
      <w:r w:rsidRPr="007E2618">
        <w:rPr>
          <w:rFonts w:cs="Arial"/>
          <w:sz w:val="22"/>
          <w:szCs w:val="22"/>
        </w:rPr>
        <w:fldChar w:fldCharType="begin"/>
      </w:r>
      <w:r w:rsidRPr="007E2618">
        <w:rPr>
          <w:rFonts w:cs="Arial"/>
          <w:sz w:val="22"/>
          <w:szCs w:val="22"/>
        </w:rPr>
        <w:instrText xml:space="preserve"> REF _9kR3WTrAG8BJGJJTEPFlumn0DIri28Q8491GEBR \w \h  \* MERGEFORMAT </w:instrText>
      </w:r>
      <w:r w:rsidRPr="007E2618">
        <w:rPr>
          <w:rFonts w:cs="Arial"/>
          <w:sz w:val="22"/>
          <w:szCs w:val="22"/>
        </w:rPr>
      </w:r>
      <w:r w:rsidRPr="007E2618">
        <w:rPr>
          <w:rFonts w:cs="Arial"/>
          <w:sz w:val="22"/>
          <w:szCs w:val="22"/>
        </w:rPr>
        <w:fldChar w:fldCharType="separate"/>
      </w:r>
      <w:r w:rsidR="00C87D85">
        <w:rPr>
          <w:rFonts w:cs="Arial"/>
          <w:sz w:val="22"/>
          <w:szCs w:val="22"/>
        </w:rPr>
        <w:t>9.2</w:t>
      </w:r>
      <w:r w:rsidRPr="007E2618">
        <w:rPr>
          <w:rFonts w:cs="Arial"/>
          <w:sz w:val="22"/>
          <w:szCs w:val="22"/>
        </w:rPr>
        <w:fldChar w:fldCharType="end"/>
      </w:r>
      <w:r w:rsidRPr="007E2618">
        <w:rPr>
          <w:rFonts w:cs="Arial"/>
          <w:sz w:val="22"/>
          <w:szCs w:val="22"/>
        </w:rPr>
        <w:t xml:space="preserve"> shall be borne by the P</w:t>
      </w:r>
      <w:r>
        <w:rPr>
          <w:rFonts w:cs="Arial"/>
          <w:sz w:val="22"/>
          <w:szCs w:val="22"/>
        </w:rPr>
        <w:t>rovider.</w:t>
      </w:r>
    </w:p>
    <w:p w14:paraId="7C33B2B5" w14:textId="77777777" w:rsidR="00BB406D" w:rsidRPr="00024F2F" w:rsidRDefault="00BB406D" w:rsidP="004E2262">
      <w:pPr>
        <w:pStyle w:val="ScheduleText1"/>
        <w:numPr>
          <w:ilvl w:val="0"/>
          <w:numId w:val="83"/>
        </w:numPr>
        <w:rPr>
          <w:rFonts w:cs="Arial"/>
        </w:rPr>
      </w:pPr>
      <w:r w:rsidRPr="00024F2F">
        <w:rPr>
          <w:rFonts w:cs="Arial"/>
        </w:rPr>
        <w:t>Breach of Security</w:t>
      </w:r>
    </w:p>
    <w:p w14:paraId="665BB7D2" w14:textId="77777777" w:rsidR="00BB406D" w:rsidRPr="007E2618" w:rsidRDefault="00BB406D" w:rsidP="004E2262">
      <w:pPr>
        <w:pStyle w:val="ScheduleText2"/>
        <w:numPr>
          <w:ilvl w:val="1"/>
          <w:numId w:val="83"/>
        </w:numPr>
        <w:rPr>
          <w:rFonts w:cs="Arial"/>
          <w:sz w:val="22"/>
          <w:szCs w:val="22"/>
        </w:rPr>
      </w:pPr>
      <w:r w:rsidRPr="007E2618">
        <w:rPr>
          <w:rFonts w:cs="Arial"/>
          <w:sz w:val="22"/>
          <w:szCs w:val="22"/>
        </w:rPr>
        <w:t>If either Party becomes aware of a Breach of Security it shall notify the other in accordance with the Incident Management Process.</w:t>
      </w:r>
    </w:p>
    <w:p w14:paraId="67A7ED0C" w14:textId="77777777" w:rsidR="00BB406D" w:rsidRPr="007E2618" w:rsidRDefault="00BB406D" w:rsidP="004E2262">
      <w:pPr>
        <w:pStyle w:val="ScheduleText2"/>
        <w:numPr>
          <w:ilvl w:val="1"/>
          <w:numId w:val="83"/>
        </w:numPr>
        <w:rPr>
          <w:rFonts w:cs="Arial"/>
          <w:sz w:val="22"/>
          <w:szCs w:val="22"/>
        </w:rPr>
      </w:pPr>
      <w:r w:rsidRPr="007E2618">
        <w:rPr>
          <w:rFonts w:cs="Arial"/>
          <w:sz w:val="22"/>
          <w:szCs w:val="22"/>
        </w:rPr>
        <w:t>The Incident Management Process shall, as a minimum, require the Provider to do the following upon it becoming aware of a Breach of Security or attempted Breach of Security:</w:t>
      </w:r>
    </w:p>
    <w:p w14:paraId="303DC592" w14:textId="77777777" w:rsidR="00BB406D" w:rsidRPr="007E2618" w:rsidRDefault="00BB406D" w:rsidP="004E2262">
      <w:pPr>
        <w:pStyle w:val="ScheduleText4"/>
        <w:numPr>
          <w:ilvl w:val="3"/>
          <w:numId w:val="83"/>
        </w:numPr>
        <w:rPr>
          <w:rFonts w:cs="Arial"/>
          <w:sz w:val="22"/>
          <w:szCs w:val="22"/>
        </w:rPr>
      </w:pPr>
      <w:r w:rsidRPr="007E2618">
        <w:rPr>
          <w:rFonts w:cs="Arial"/>
          <w:sz w:val="22"/>
          <w:szCs w:val="22"/>
        </w:rPr>
        <w:t>Immediately take all reasonable steps necessary to:</w:t>
      </w:r>
    </w:p>
    <w:p w14:paraId="4CD12E35" w14:textId="77777777" w:rsidR="00BB406D" w:rsidRPr="007E2618" w:rsidRDefault="00BB406D" w:rsidP="004E2262">
      <w:pPr>
        <w:pStyle w:val="ScheduleText5"/>
        <w:numPr>
          <w:ilvl w:val="4"/>
          <w:numId w:val="83"/>
        </w:numPr>
        <w:rPr>
          <w:rFonts w:cs="Arial"/>
          <w:sz w:val="22"/>
          <w:szCs w:val="22"/>
        </w:rPr>
      </w:pPr>
      <w:r w:rsidRPr="007E2618">
        <w:rPr>
          <w:rFonts w:cs="Arial"/>
          <w:sz w:val="22"/>
          <w:szCs w:val="22"/>
        </w:rPr>
        <w:t>minimise the extent of actual or potential harm caused by such Breach of Security;</w:t>
      </w:r>
    </w:p>
    <w:p w14:paraId="0FE67BA0" w14:textId="77777777" w:rsidR="00BB406D" w:rsidRPr="007E2618" w:rsidRDefault="00BB406D" w:rsidP="004E2262">
      <w:pPr>
        <w:pStyle w:val="ScheduleText5"/>
        <w:numPr>
          <w:ilvl w:val="4"/>
          <w:numId w:val="83"/>
        </w:numPr>
        <w:rPr>
          <w:rFonts w:cs="Arial"/>
          <w:sz w:val="22"/>
          <w:szCs w:val="22"/>
        </w:rPr>
      </w:pPr>
      <w:r w:rsidRPr="007E2618">
        <w:rPr>
          <w:rFonts w:cs="Arial"/>
          <w:sz w:val="22"/>
          <w:szCs w:val="22"/>
        </w:rPr>
        <w:t xml:space="preserve">remedy such Breach of Security to the extent possible; </w:t>
      </w:r>
    </w:p>
    <w:p w14:paraId="182170D6" w14:textId="77777777" w:rsidR="00BB406D" w:rsidRPr="007E2618" w:rsidRDefault="00BB406D" w:rsidP="004E2262">
      <w:pPr>
        <w:pStyle w:val="ScheduleText5"/>
        <w:numPr>
          <w:ilvl w:val="4"/>
          <w:numId w:val="83"/>
        </w:numPr>
        <w:rPr>
          <w:rFonts w:cs="Arial"/>
          <w:sz w:val="22"/>
          <w:szCs w:val="22"/>
        </w:rPr>
      </w:pPr>
      <w:r w:rsidRPr="007E2618">
        <w:rPr>
          <w:rFonts w:cs="Arial"/>
          <w:sz w:val="22"/>
          <w:szCs w:val="22"/>
        </w:rPr>
        <w:t>apply a tested mitigation against any such Breach of Security; and</w:t>
      </w:r>
    </w:p>
    <w:p w14:paraId="55F26EB3" w14:textId="77777777" w:rsidR="00BB406D" w:rsidRPr="007E2618" w:rsidRDefault="00BB406D" w:rsidP="004E2262">
      <w:pPr>
        <w:pStyle w:val="ScheduleText5"/>
        <w:numPr>
          <w:ilvl w:val="4"/>
          <w:numId w:val="83"/>
        </w:numPr>
        <w:rPr>
          <w:rFonts w:cs="Arial"/>
          <w:sz w:val="22"/>
          <w:szCs w:val="22"/>
        </w:rPr>
      </w:pPr>
      <w:r w:rsidRPr="007E2618">
        <w:rPr>
          <w:rFonts w:cs="Arial"/>
          <w:sz w:val="22"/>
          <w:szCs w:val="22"/>
        </w:rPr>
        <w:lastRenderedPageBreak/>
        <w:t>prevent a further Breach of Security in the future which exploits the same root cause failure;</w:t>
      </w:r>
    </w:p>
    <w:p w14:paraId="508DA244" w14:textId="77777777" w:rsidR="00BB406D" w:rsidRPr="007E2618" w:rsidRDefault="00BB406D" w:rsidP="004E2262">
      <w:pPr>
        <w:pStyle w:val="ScheduleText4"/>
        <w:numPr>
          <w:ilvl w:val="3"/>
          <w:numId w:val="83"/>
        </w:numPr>
        <w:rPr>
          <w:rFonts w:cs="Arial"/>
          <w:sz w:val="22"/>
          <w:szCs w:val="22"/>
        </w:rPr>
      </w:pPr>
      <w:r w:rsidRPr="007E2618">
        <w:rPr>
          <w:rFonts w:cs="Arial"/>
          <w:sz w:val="22"/>
          <w:szCs w:val="22"/>
        </w:rPr>
        <w:t>as soon as reasonably practicable and, in any event, within 2 Working Days, following the Breach of Security or attempted Breach of Security, provide to HSE full details of the Breach of Security or attempted Breach of Security, including a root cause analysis where required by HSE.</w:t>
      </w:r>
    </w:p>
    <w:p w14:paraId="6496F15A" w14:textId="77777777" w:rsidR="00BB406D" w:rsidRPr="00024F2F" w:rsidRDefault="00BB406D" w:rsidP="004E2262">
      <w:pPr>
        <w:pStyle w:val="ScheduleText2"/>
        <w:numPr>
          <w:ilvl w:val="1"/>
          <w:numId w:val="83"/>
        </w:numPr>
        <w:rPr>
          <w:rFonts w:cs="Arial"/>
        </w:rPr>
      </w:pPr>
      <w:r w:rsidRPr="007E2618">
        <w:rPr>
          <w:rFonts w:cs="Arial"/>
          <w:sz w:val="22"/>
          <w:szCs w:val="22"/>
        </w:rPr>
        <w:t>In the event that any action is taken in response to a Breach of Security or attempted Breach of Security as a result of non-compliance by the Provider, its Sub-contractors and/or all or any part of the Information Management System with this Agreement, then such remedial action shall be completed at no additional cost to HSE.</w:t>
      </w:r>
    </w:p>
    <w:p w14:paraId="0DB6040E" w14:textId="77777777" w:rsidR="00BB406D" w:rsidRPr="00024F2F" w:rsidRDefault="00BB406D" w:rsidP="00BB406D">
      <w:pPr>
        <w:rPr>
          <w:rFonts w:cs="Arial"/>
          <w:szCs w:val="24"/>
          <w:lang w:eastAsia="en-GB"/>
        </w:rPr>
        <w:sectPr w:rsidR="00BB406D" w:rsidRPr="00024F2F" w:rsidSect="00506868">
          <w:footerReference w:type="default" r:id="rId64"/>
          <w:pgSz w:w="11909" w:h="16834"/>
          <w:pgMar w:top="1418" w:right="1418" w:bottom="1418" w:left="1418" w:header="709" w:footer="709" w:gutter="0"/>
          <w:paperSrc w:first="265" w:other="265"/>
          <w:cols w:space="720"/>
          <w:docGrid w:linePitch="326"/>
        </w:sectPr>
      </w:pPr>
    </w:p>
    <w:p w14:paraId="1AC65851" w14:textId="77777777" w:rsidR="00BB406D" w:rsidRPr="00DA780E" w:rsidRDefault="00BB406D" w:rsidP="00BB406D">
      <w:pPr>
        <w:pStyle w:val="Heading2"/>
        <w:rPr>
          <w:rFonts w:cs="Arial"/>
          <w:b w:val="0"/>
          <w:szCs w:val="24"/>
        </w:rPr>
      </w:pPr>
      <w:bookmarkStart w:id="3507" w:name="_Ref_ContractCompanion_9kb9Ur5DE"/>
      <w:bookmarkStart w:id="3508" w:name="_Ref_ContractCompanion_9kb9Ur6BF"/>
      <w:bookmarkStart w:id="3509" w:name="_Ref_ContractCompanion_9kb9Ur799"/>
      <w:bookmarkStart w:id="3510" w:name="_Ref_ContractCompanion_9kb9Ur79B"/>
      <w:bookmarkStart w:id="3511" w:name="_Toc135566124"/>
      <w:bookmarkStart w:id="3512" w:name="_Toc135566377"/>
      <w:bookmarkStart w:id="3513" w:name="_Toc135566667"/>
      <w:bookmarkStart w:id="3514" w:name="_Toc135568832"/>
      <w:bookmarkStart w:id="3515" w:name="_Toc135569084"/>
      <w:bookmarkStart w:id="3516" w:name="_Toc135569373"/>
      <w:bookmarkStart w:id="3517" w:name="_Toc136198526"/>
      <w:bookmarkStart w:id="3518" w:name="_Toc136198780"/>
      <w:bookmarkStart w:id="3519" w:name="_Toc136199061"/>
      <w:r w:rsidRPr="00DA780E">
        <w:rPr>
          <w:rStyle w:val="Heading2Char"/>
          <w:rFonts w:cs="Arial"/>
          <w:b/>
          <w:bCs/>
          <w:szCs w:val="24"/>
        </w:rPr>
        <w:lastRenderedPageBreak/>
        <w:t xml:space="preserve">ANNEX </w:t>
      </w:r>
      <w:bookmarkStart w:id="3520" w:name="ANNEX1_SCHEDULE5"/>
      <w:bookmarkStart w:id="3521" w:name="ANNEX1_PARTA_SCHEDULE5"/>
      <w:r w:rsidRPr="00DA780E">
        <w:rPr>
          <w:rStyle w:val="Heading2Char"/>
          <w:rFonts w:cs="Arial"/>
          <w:b/>
          <w:bCs/>
          <w:szCs w:val="24"/>
        </w:rPr>
        <w:t>1</w:t>
      </w:r>
      <w:bookmarkEnd w:id="3520"/>
      <w:bookmarkEnd w:id="3521"/>
      <w:r w:rsidRPr="00DA780E">
        <w:rPr>
          <w:rStyle w:val="Heading2Char"/>
          <w:rFonts w:cs="Arial"/>
          <w:b/>
          <w:bCs/>
          <w:szCs w:val="24"/>
        </w:rPr>
        <w:t>: SECURITY REQUIREMENTS</w:t>
      </w:r>
      <w:bookmarkEnd w:id="3507"/>
      <w:bookmarkEnd w:id="3508"/>
      <w:bookmarkEnd w:id="3509"/>
      <w:bookmarkEnd w:id="3510"/>
      <w:bookmarkEnd w:id="3511"/>
      <w:bookmarkEnd w:id="3512"/>
      <w:bookmarkEnd w:id="3513"/>
      <w:bookmarkEnd w:id="3514"/>
      <w:bookmarkEnd w:id="3515"/>
      <w:bookmarkEnd w:id="3516"/>
      <w:bookmarkEnd w:id="3517"/>
      <w:bookmarkEnd w:id="3518"/>
      <w:bookmarkEnd w:id="3519"/>
    </w:p>
    <w:p w14:paraId="4636DCFD" w14:textId="77777777" w:rsidR="00BB406D" w:rsidRPr="00151795" w:rsidRDefault="00BB406D" w:rsidP="004E2262">
      <w:pPr>
        <w:pStyle w:val="AppendixText1"/>
        <w:numPr>
          <w:ilvl w:val="0"/>
          <w:numId w:val="100"/>
        </w:numPr>
        <w:rPr>
          <w:rFonts w:cs="Arial"/>
        </w:rPr>
      </w:pPr>
      <w:r w:rsidRPr="00151795">
        <w:rPr>
          <w:rFonts w:cs="Arial"/>
        </w:rPr>
        <w:t>Security Classification of Information</w:t>
      </w:r>
    </w:p>
    <w:p w14:paraId="41C8AD47" w14:textId="77777777" w:rsidR="00BB406D" w:rsidRPr="007E2618" w:rsidRDefault="00BB406D">
      <w:pPr>
        <w:pStyle w:val="AppendixText2"/>
        <w:rPr>
          <w:rFonts w:cs="Arial"/>
          <w:sz w:val="22"/>
          <w:szCs w:val="22"/>
        </w:rPr>
      </w:pPr>
      <w:r w:rsidRPr="007E2618">
        <w:rPr>
          <w:rFonts w:cs="Arial"/>
          <w:sz w:val="22"/>
          <w:szCs w:val="22"/>
        </w:rPr>
        <w:t xml:space="preserve">If the provision of the Services requires the Provider to Process HSE Data which is classified as: </w:t>
      </w:r>
    </w:p>
    <w:p w14:paraId="4AAC4EB0" w14:textId="77777777" w:rsidR="00BB406D" w:rsidRPr="007E2618" w:rsidRDefault="00BB406D">
      <w:pPr>
        <w:pStyle w:val="AppendixText4"/>
        <w:rPr>
          <w:rFonts w:cs="Arial"/>
          <w:sz w:val="22"/>
          <w:szCs w:val="22"/>
        </w:rPr>
      </w:pPr>
      <w:r w:rsidRPr="007E2618">
        <w:rPr>
          <w:rFonts w:cs="Arial"/>
          <w:sz w:val="22"/>
          <w:szCs w:val="22"/>
        </w:rPr>
        <w:t>OFFICIAL-SENSITIVE, the Provider shall implement such additional measures as agreed with HSE from time to time in order to ensure that such information is safeguarded in accordance with the applicable Policies and Procedures and Processes; and/or</w:t>
      </w:r>
    </w:p>
    <w:p w14:paraId="4F53A43B" w14:textId="77777777" w:rsidR="00BB406D" w:rsidRPr="007E2618" w:rsidRDefault="00BB406D">
      <w:pPr>
        <w:pStyle w:val="AppendixText4"/>
        <w:rPr>
          <w:rFonts w:cs="Arial"/>
          <w:sz w:val="22"/>
          <w:szCs w:val="22"/>
        </w:rPr>
      </w:pPr>
      <w:r w:rsidRPr="007E2618">
        <w:rPr>
          <w:rFonts w:cs="Arial"/>
          <w:sz w:val="22"/>
          <w:szCs w:val="22"/>
        </w:rPr>
        <w:t>SECRET or TOP SECRET, the Provider shall only do so where it has notified HSE prior to receipt of such HSE Data and the Provider shall implement additional measures as agreed with HSE from time to time in order to ensure that such information is safeguarded in accordance with the applicable Policies and Procedures and Processes.</w:t>
      </w:r>
    </w:p>
    <w:p w14:paraId="56D053A8" w14:textId="77777777" w:rsidR="00BB406D" w:rsidRPr="00024F2F" w:rsidRDefault="00BB406D">
      <w:pPr>
        <w:pStyle w:val="AppendixText1"/>
        <w:rPr>
          <w:rFonts w:cs="Arial"/>
        </w:rPr>
      </w:pPr>
      <w:r w:rsidRPr="00024F2F">
        <w:rPr>
          <w:rFonts w:cs="Arial"/>
        </w:rPr>
        <w:t>End User Devices</w:t>
      </w:r>
    </w:p>
    <w:p w14:paraId="11264746" w14:textId="77777777" w:rsidR="00BB406D" w:rsidRPr="007E2618" w:rsidRDefault="00BB406D">
      <w:pPr>
        <w:pStyle w:val="AppendixText2"/>
        <w:rPr>
          <w:b/>
          <w:bCs/>
          <w:sz w:val="22"/>
          <w:szCs w:val="22"/>
        </w:rPr>
      </w:pPr>
      <w:r w:rsidRPr="007E2618">
        <w:rPr>
          <w:sz w:val="22"/>
          <w:szCs w:val="22"/>
        </w:rPr>
        <w:t>The Provider must manage, and must ensure that all Sub-Contractors manage, all end-user devices used by the Provider on which HSE Data is Processed in accordance the following requirements:</w:t>
      </w:r>
    </w:p>
    <w:p w14:paraId="2A675670" w14:textId="77777777" w:rsidR="000671D8" w:rsidRPr="000671D8" w:rsidRDefault="000671D8" w:rsidP="000671D8">
      <w:pPr>
        <w:pStyle w:val="AppendixText3"/>
        <w:rPr>
          <w:bCs/>
          <w:sz w:val="22"/>
          <w:szCs w:val="22"/>
        </w:rPr>
      </w:pPr>
      <w:r w:rsidRPr="000671D8">
        <w:rPr>
          <w:bCs/>
          <w:sz w:val="22"/>
          <w:szCs w:val="22"/>
        </w:rPr>
        <w:t>the operating system and any applications that Process or have access to HSE Data must be in current support by the vendor, or the relevant community in the case of open source operating systems or applications;</w:t>
      </w:r>
    </w:p>
    <w:p w14:paraId="596BD2D0" w14:textId="77777777" w:rsidR="000671D8" w:rsidRPr="000671D8" w:rsidRDefault="000671D8" w:rsidP="000671D8">
      <w:pPr>
        <w:pStyle w:val="AppendixText3"/>
        <w:rPr>
          <w:bCs/>
          <w:sz w:val="22"/>
          <w:szCs w:val="22"/>
        </w:rPr>
      </w:pPr>
      <w:r w:rsidRPr="000671D8">
        <w:rPr>
          <w:bCs/>
          <w:sz w:val="22"/>
          <w:szCs w:val="22"/>
        </w:rPr>
        <w:t>users must authenticate before gaining access;</w:t>
      </w:r>
    </w:p>
    <w:p w14:paraId="18836462" w14:textId="77777777" w:rsidR="000671D8" w:rsidRPr="000671D8" w:rsidRDefault="000671D8" w:rsidP="000671D8">
      <w:pPr>
        <w:pStyle w:val="AppendixText3"/>
        <w:rPr>
          <w:bCs/>
          <w:sz w:val="22"/>
          <w:szCs w:val="22"/>
        </w:rPr>
      </w:pPr>
      <w:r w:rsidRPr="000671D8">
        <w:rPr>
          <w:bCs/>
          <w:sz w:val="22"/>
          <w:szCs w:val="22"/>
        </w:rPr>
        <w:t>all HSE Data must be encrypted using an encryption tool agreed to by HSE;</w:t>
      </w:r>
    </w:p>
    <w:p w14:paraId="03AECFE2" w14:textId="77777777" w:rsidR="000671D8" w:rsidRPr="000671D8" w:rsidRDefault="000671D8" w:rsidP="000671D8">
      <w:pPr>
        <w:pStyle w:val="AppendixText3"/>
        <w:rPr>
          <w:bCs/>
          <w:sz w:val="22"/>
          <w:szCs w:val="22"/>
        </w:rPr>
      </w:pPr>
      <w:r w:rsidRPr="000671D8">
        <w:rPr>
          <w:bCs/>
          <w:sz w:val="22"/>
          <w:szCs w:val="22"/>
        </w:rPr>
        <w:t>the end-user device must lock and require any user to re-authenticate after a period of time that is proportionate to the risk environment, during which the end-user device is inactive;</w:t>
      </w:r>
    </w:p>
    <w:p w14:paraId="6469C121" w14:textId="77777777" w:rsidR="000671D8" w:rsidRPr="000671D8" w:rsidRDefault="000671D8" w:rsidP="000671D8">
      <w:pPr>
        <w:pStyle w:val="AppendixText3"/>
        <w:rPr>
          <w:bCs/>
          <w:sz w:val="22"/>
          <w:szCs w:val="22"/>
        </w:rPr>
      </w:pPr>
      <w:r w:rsidRPr="000671D8">
        <w:rPr>
          <w:bCs/>
          <w:sz w:val="22"/>
          <w:szCs w:val="22"/>
        </w:rPr>
        <w:t>the end-user device must be managed in a way that allows for the application of technical policies and controls over applications that have access to HSE Data;</w:t>
      </w:r>
    </w:p>
    <w:p w14:paraId="4822F963" w14:textId="77777777" w:rsidR="000671D8" w:rsidRPr="000671D8" w:rsidRDefault="000671D8" w:rsidP="000671D8">
      <w:pPr>
        <w:pStyle w:val="AppendixText3"/>
        <w:rPr>
          <w:bCs/>
          <w:sz w:val="22"/>
          <w:szCs w:val="22"/>
        </w:rPr>
      </w:pPr>
      <w:r w:rsidRPr="000671D8">
        <w:rPr>
          <w:bCs/>
          <w:sz w:val="22"/>
          <w:szCs w:val="22"/>
        </w:rPr>
        <w:t>the Suppler or Sub-Contractor, as applicable, can, without physical access to the end-user device, remove or make inaccessible all HSE Data on the device and prevent any user or group of users from accessing the device; and</w:t>
      </w:r>
    </w:p>
    <w:p w14:paraId="636D0583" w14:textId="00C6221C" w:rsidR="000671D8" w:rsidRPr="000671D8" w:rsidRDefault="000671D8" w:rsidP="000671D8">
      <w:pPr>
        <w:pStyle w:val="AppendixText3"/>
        <w:rPr>
          <w:bCs/>
          <w:sz w:val="22"/>
          <w:szCs w:val="22"/>
        </w:rPr>
      </w:pPr>
      <w:r w:rsidRPr="000671D8">
        <w:rPr>
          <w:bCs/>
          <w:sz w:val="22"/>
          <w:szCs w:val="22"/>
        </w:rPr>
        <w:t>all end-user devices are within in the scope of any current Cyber Essentials Plus certificate held by the Provider, or any ISO/IEC 27001 (at least ISO/IEC 27001:2013) certification issued by a UKAS-approved certification body, where the scope of that certification includes the Services.</w:t>
      </w:r>
    </w:p>
    <w:p w14:paraId="2A7D36A5" w14:textId="77777777" w:rsidR="000671D8" w:rsidRDefault="00BB406D" w:rsidP="000671D8">
      <w:pPr>
        <w:pStyle w:val="AppendixText2"/>
        <w:rPr>
          <w:sz w:val="22"/>
          <w:szCs w:val="22"/>
        </w:rPr>
      </w:pPr>
      <w:r w:rsidRPr="007E2618">
        <w:rPr>
          <w:sz w:val="22"/>
          <w:szCs w:val="22"/>
        </w:rPr>
        <w:t>The Provider must comply, and ensure that all Sub-Contractors comply, with the recommendations in NCSC Device Guidance, as updated, amended or replaced from time to time, as if those recommendations were incorporated as specific obligations under this Agreement.</w:t>
      </w:r>
    </w:p>
    <w:p w14:paraId="3BE3E7BA" w14:textId="5721105A" w:rsidR="00BB406D" w:rsidRPr="000671D8" w:rsidRDefault="00BB406D" w:rsidP="000671D8">
      <w:pPr>
        <w:pStyle w:val="AppendixText2"/>
        <w:rPr>
          <w:sz w:val="22"/>
          <w:szCs w:val="22"/>
        </w:rPr>
      </w:pPr>
      <w:r w:rsidRPr="000671D8">
        <w:rPr>
          <w:sz w:val="22"/>
          <w:szCs w:val="22"/>
        </w:rPr>
        <w:lastRenderedPageBreak/>
        <w:t>Where there any conflict between the requirements of this Schedule and the requirements of the NCSC Device Guidance, the requirements of this Schedule will take precedence.</w:t>
      </w:r>
    </w:p>
    <w:p w14:paraId="313DA562" w14:textId="77777777" w:rsidR="00BB406D" w:rsidRPr="00024F2F" w:rsidRDefault="00BB406D">
      <w:pPr>
        <w:pStyle w:val="AppendixText1"/>
        <w:rPr>
          <w:rFonts w:cs="Arial"/>
        </w:rPr>
      </w:pPr>
      <w:r w:rsidRPr="00024F2F">
        <w:rPr>
          <w:rFonts w:cs="Arial"/>
        </w:rPr>
        <w:t>Encryption</w:t>
      </w:r>
    </w:p>
    <w:p w14:paraId="24FE8023" w14:textId="77777777" w:rsidR="00BB406D" w:rsidRPr="007E2618" w:rsidRDefault="00BB406D">
      <w:pPr>
        <w:pStyle w:val="AppendixText2"/>
        <w:rPr>
          <w:rFonts w:cs="Arial"/>
          <w:sz w:val="22"/>
          <w:szCs w:val="22"/>
        </w:rPr>
      </w:pPr>
      <w:r w:rsidRPr="007E2618">
        <w:rPr>
          <w:rFonts w:cs="Arial"/>
          <w:sz w:val="22"/>
          <w:szCs w:val="22"/>
        </w:rPr>
        <w:t>The Provider must ensure, and must ensure that all Sub-Contractors ensure, that HSE Data is encrypted:</w:t>
      </w:r>
    </w:p>
    <w:p w14:paraId="32F89F41" w14:textId="77777777" w:rsidR="000671D8" w:rsidRDefault="00BB406D" w:rsidP="000671D8">
      <w:pPr>
        <w:pStyle w:val="AppendixText3"/>
        <w:rPr>
          <w:rFonts w:cs="Arial"/>
          <w:sz w:val="22"/>
          <w:szCs w:val="22"/>
        </w:rPr>
      </w:pPr>
      <w:r w:rsidRPr="007E2618">
        <w:rPr>
          <w:rFonts w:cs="Arial"/>
          <w:sz w:val="22"/>
          <w:szCs w:val="22"/>
        </w:rPr>
        <w:t>when stored at any time when no operation is being performed on it; and</w:t>
      </w:r>
    </w:p>
    <w:p w14:paraId="0E3E8C4A" w14:textId="6CF5F659" w:rsidR="00BB406D" w:rsidRPr="000671D8" w:rsidRDefault="00BB406D" w:rsidP="000671D8">
      <w:pPr>
        <w:pStyle w:val="AppendixText3"/>
        <w:rPr>
          <w:rFonts w:cs="Arial"/>
          <w:sz w:val="22"/>
          <w:szCs w:val="22"/>
        </w:rPr>
      </w:pPr>
      <w:r w:rsidRPr="000671D8">
        <w:rPr>
          <w:rFonts w:cs="Arial"/>
          <w:sz w:val="22"/>
          <w:szCs w:val="22"/>
        </w:rPr>
        <w:t>when transmitted.</w:t>
      </w:r>
    </w:p>
    <w:p w14:paraId="1098B738" w14:textId="77777777" w:rsidR="00BB406D" w:rsidRPr="007E2618" w:rsidRDefault="00BB406D">
      <w:pPr>
        <w:pStyle w:val="AppendixText2"/>
        <w:rPr>
          <w:rFonts w:cs="Arial"/>
          <w:sz w:val="22"/>
          <w:szCs w:val="22"/>
        </w:rPr>
      </w:pPr>
      <w:r w:rsidRPr="007E2618">
        <w:rPr>
          <w:rFonts w:cs="Arial"/>
          <w:sz w:val="22"/>
          <w:szCs w:val="22"/>
        </w:rPr>
        <w:t>Where the Provider, or a Sub-Contractor, cannot encrypt HSE Data the Provider must:</w:t>
      </w:r>
    </w:p>
    <w:p w14:paraId="6FF28C10" w14:textId="77777777" w:rsidR="000671D8" w:rsidRDefault="00BB406D">
      <w:pPr>
        <w:pStyle w:val="AppendixText3"/>
        <w:rPr>
          <w:rFonts w:cs="Arial"/>
          <w:sz w:val="22"/>
          <w:szCs w:val="22"/>
        </w:rPr>
      </w:pPr>
      <w:r w:rsidRPr="007E2618">
        <w:rPr>
          <w:rFonts w:cs="Arial"/>
          <w:sz w:val="22"/>
          <w:szCs w:val="22"/>
        </w:rPr>
        <w:t>immediately inform HSE of the subset or subsets of HSE Data it cannot encrypt and the circumstances in which and the reasons why it cannot do so;</w:t>
      </w:r>
      <w:r w:rsidR="000671D8" w:rsidRPr="000671D8">
        <w:rPr>
          <w:rFonts w:cs="Arial"/>
          <w:sz w:val="22"/>
          <w:szCs w:val="22"/>
        </w:rPr>
        <w:t xml:space="preserve"> </w:t>
      </w:r>
    </w:p>
    <w:p w14:paraId="4DB9ABFF" w14:textId="1DEEDF20" w:rsidR="00BB406D" w:rsidRPr="007E2618" w:rsidRDefault="000671D8">
      <w:pPr>
        <w:pStyle w:val="AppendixText3"/>
        <w:rPr>
          <w:rFonts w:cs="Arial"/>
          <w:sz w:val="22"/>
          <w:szCs w:val="22"/>
        </w:rPr>
      </w:pPr>
      <w:r w:rsidRPr="007E2618">
        <w:rPr>
          <w:rFonts w:cs="Arial"/>
          <w:sz w:val="22"/>
          <w:szCs w:val="22"/>
        </w:rPr>
        <w:t>provide details of the protective measures the Provider or Sub-Contractor (as applicable) proposes to take to provide equivalent protection to HSE as encryption; and</w:t>
      </w:r>
    </w:p>
    <w:p w14:paraId="3F06D905" w14:textId="77777777" w:rsidR="00BB406D" w:rsidRPr="007E2618" w:rsidRDefault="00BB406D">
      <w:pPr>
        <w:pStyle w:val="AppendixText3"/>
        <w:rPr>
          <w:rFonts w:cs="Arial"/>
          <w:sz w:val="22"/>
          <w:szCs w:val="22"/>
        </w:rPr>
      </w:pPr>
      <w:r w:rsidRPr="007E2618">
        <w:rPr>
          <w:rFonts w:cs="Arial"/>
          <w:sz w:val="22"/>
          <w:szCs w:val="22"/>
        </w:rPr>
        <w:t>provide HSE with such information relating to HSE Data concerned, the reasons why that HSE Data cannot be encrypted and the proposed protective measures as HSE may require.</w:t>
      </w:r>
    </w:p>
    <w:p w14:paraId="2B519A26" w14:textId="77777777" w:rsidR="000671D8" w:rsidRDefault="00BB406D" w:rsidP="000671D8">
      <w:pPr>
        <w:pStyle w:val="AppendixText2"/>
        <w:rPr>
          <w:rFonts w:cs="Arial"/>
          <w:sz w:val="22"/>
          <w:szCs w:val="22"/>
        </w:rPr>
      </w:pPr>
      <w:r w:rsidRPr="007E2618">
        <w:rPr>
          <w:rFonts w:cs="Arial"/>
          <w:sz w:val="22"/>
          <w:szCs w:val="22"/>
        </w:rPr>
        <w:t>HSE, the Provider and, where HSE requires, any relevant Sub-Contractor shall meet to agree appropriate protective measures for the unencrypted HSE Data.</w:t>
      </w:r>
    </w:p>
    <w:p w14:paraId="65425620" w14:textId="1C9F6E27" w:rsidR="00BB406D" w:rsidRPr="000671D8" w:rsidRDefault="00BB406D" w:rsidP="000671D8">
      <w:pPr>
        <w:pStyle w:val="AppendixText2"/>
        <w:rPr>
          <w:rFonts w:cs="Arial"/>
          <w:sz w:val="22"/>
          <w:szCs w:val="22"/>
        </w:rPr>
      </w:pPr>
      <w:r w:rsidRPr="000671D8">
        <w:rPr>
          <w:rFonts w:cs="Arial"/>
          <w:sz w:val="22"/>
          <w:szCs w:val="22"/>
        </w:rPr>
        <w:t>Where HSE and Provider reach agreement, the Provider must update the Security Management Plan to include:</w:t>
      </w:r>
    </w:p>
    <w:p w14:paraId="56E7E534" w14:textId="77777777" w:rsidR="000671D8" w:rsidRDefault="00BB406D">
      <w:pPr>
        <w:pStyle w:val="AppendixText3"/>
        <w:rPr>
          <w:rFonts w:cs="Arial"/>
          <w:sz w:val="22"/>
          <w:szCs w:val="22"/>
        </w:rPr>
      </w:pPr>
      <w:r w:rsidRPr="007E2618">
        <w:rPr>
          <w:rFonts w:cs="Arial"/>
          <w:sz w:val="22"/>
          <w:szCs w:val="22"/>
        </w:rPr>
        <w:t>the subset or subsets of HSE Data not encrypted and the circumstances in which that will occur; and</w:t>
      </w:r>
      <w:r w:rsidR="000671D8" w:rsidRPr="000671D8">
        <w:rPr>
          <w:rFonts w:cs="Arial"/>
          <w:sz w:val="22"/>
          <w:szCs w:val="22"/>
        </w:rPr>
        <w:t xml:space="preserve"> </w:t>
      </w:r>
    </w:p>
    <w:p w14:paraId="3CEEE9FC" w14:textId="64742622" w:rsidR="00BB406D" w:rsidRPr="007E2618" w:rsidRDefault="000671D8">
      <w:pPr>
        <w:pStyle w:val="AppendixText3"/>
        <w:rPr>
          <w:rFonts w:cs="Arial"/>
          <w:sz w:val="22"/>
          <w:szCs w:val="22"/>
        </w:rPr>
      </w:pPr>
      <w:r w:rsidRPr="007E2618">
        <w:rPr>
          <w:rFonts w:cs="Arial"/>
          <w:sz w:val="22"/>
          <w:szCs w:val="22"/>
        </w:rPr>
        <w:t>the protective measure that the Provider and/or Sub-contractor will put in please in respect of the unencrypted HSE Data.</w:t>
      </w:r>
    </w:p>
    <w:p w14:paraId="0E0AFCCC" w14:textId="77777777" w:rsidR="00BB406D" w:rsidRDefault="00BB406D">
      <w:pPr>
        <w:pStyle w:val="AppendixText2"/>
        <w:rPr>
          <w:rFonts w:cs="Arial"/>
        </w:rPr>
      </w:pPr>
      <w:r w:rsidRPr="007E2618">
        <w:rPr>
          <w:rFonts w:cs="Arial"/>
          <w:sz w:val="22"/>
          <w:szCs w:val="22"/>
        </w:rPr>
        <w:t>Where HSE and Provider do not reach agreement within 40 Working Days of the date on which the Provider first notified HSE that it could not encrypt certain HSE Data, either Party may refer the matter to be determined in accordance with the Dispute Resolution Procedure.</w:t>
      </w:r>
    </w:p>
    <w:p w14:paraId="5690E690" w14:textId="77777777" w:rsidR="00BB406D" w:rsidRPr="001B1EB0" w:rsidRDefault="00BB406D">
      <w:pPr>
        <w:pStyle w:val="AppendixText1"/>
        <w:rPr>
          <w:rFonts w:cs="Arial"/>
        </w:rPr>
      </w:pPr>
      <w:r w:rsidRPr="001B1EB0">
        <w:rPr>
          <w:rFonts w:cs="Arial"/>
        </w:rPr>
        <w:t>Personnel Security</w:t>
      </w:r>
    </w:p>
    <w:p w14:paraId="0FEA14F5" w14:textId="77777777" w:rsidR="00BB406D" w:rsidRPr="007E2618" w:rsidRDefault="00BB406D">
      <w:pPr>
        <w:pStyle w:val="AppendixText2"/>
        <w:rPr>
          <w:rFonts w:cs="Arial"/>
          <w:sz w:val="22"/>
          <w:szCs w:val="22"/>
        </w:rPr>
      </w:pPr>
      <w:bookmarkStart w:id="3522" w:name="_9kR3WTrAG8BJJHDKCucgA63xr1nV4JHDD54JGz4"/>
      <w:bookmarkStart w:id="3523" w:name="_Ref_ContractCompanion_9kb9Ur7FD"/>
      <w:r w:rsidRPr="007E2618">
        <w:rPr>
          <w:rFonts w:cs="Arial"/>
          <w:sz w:val="22"/>
          <w:szCs w:val="22"/>
        </w:rPr>
        <w:t>All Provider Personnel shall be subject to a pre-employment check before they may participate in the provision and or management of the Services.</w:t>
      </w:r>
      <w:bookmarkEnd w:id="3522"/>
      <w:r w:rsidRPr="007E2618">
        <w:rPr>
          <w:rFonts w:cs="Arial"/>
          <w:sz w:val="22"/>
          <w:szCs w:val="22"/>
        </w:rPr>
        <w:t xml:space="preserve">  Such pre-employment checks must include all pre-employment checks which are required by the HMG Baseline Personnel Security Standard including: verification of the individual's identity; verification of the individual's nationality and immigration status; and, verification of the individual's employment history; verification of the individual's criminal record.</w:t>
      </w:r>
      <w:bookmarkEnd w:id="3523"/>
    </w:p>
    <w:p w14:paraId="2232AB09" w14:textId="77777777" w:rsidR="00BB406D" w:rsidRPr="007E2618" w:rsidRDefault="00BB406D">
      <w:pPr>
        <w:pStyle w:val="AppendixText2"/>
        <w:rPr>
          <w:rFonts w:cs="Arial"/>
          <w:sz w:val="22"/>
          <w:szCs w:val="22"/>
        </w:rPr>
      </w:pPr>
      <w:bookmarkStart w:id="3524" w:name="_9kR3WTrAG8BJMKEeRjDOE2y947O6w07CykvPLIC"/>
      <w:bookmarkStart w:id="3525" w:name="_Ref_ContractCompanion_9kb9Ur7FG"/>
      <w:r w:rsidRPr="007E2618">
        <w:rPr>
          <w:rFonts w:cs="Arial"/>
          <w:sz w:val="22"/>
          <w:szCs w:val="22"/>
        </w:rPr>
        <w:t xml:space="preserve">HSE and the Provider shall review the roles and responsibilities of the Provider Personnel who will be involved in the management and/or provision of the Services in order to enable HSE to determine which roles require additional vetting and a specific </w:t>
      </w:r>
      <w:r w:rsidRPr="007E2618">
        <w:rPr>
          <w:rFonts w:cs="Arial"/>
          <w:sz w:val="22"/>
          <w:szCs w:val="22"/>
        </w:rPr>
        <w:lastRenderedPageBreak/>
        <w:t>national security vetting clearance (e.g. a Counter Terrorist Check;</w:t>
      </w:r>
      <w:bookmarkEnd w:id="3524"/>
      <w:r w:rsidRPr="007E2618">
        <w:rPr>
          <w:rFonts w:cs="Arial"/>
          <w:sz w:val="22"/>
          <w:szCs w:val="22"/>
        </w:rPr>
        <w:t xml:space="preserve"> a Security Check).  Roles which are likely to require additional vetting and a specific national security vetting clearance include system administrators whose role would provide those individuals with privileged access to IT systems which Process HSE Data or data which, if it were HSE Data, would be classified as OFFICIAL-SENSITIVE.</w:t>
      </w:r>
      <w:bookmarkEnd w:id="3525"/>
    </w:p>
    <w:p w14:paraId="0CD83C4F" w14:textId="626DF39B" w:rsidR="00BB406D" w:rsidRPr="007E2618" w:rsidRDefault="00BB406D">
      <w:pPr>
        <w:pStyle w:val="AppendixText2"/>
        <w:rPr>
          <w:rFonts w:cs="Arial"/>
          <w:sz w:val="22"/>
          <w:szCs w:val="22"/>
        </w:rPr>
      </w:pPr>
      <w:r w:rsidRPr="007E2618">
        <w:rPr>
          <w:rFonts w:cs="Arial"/>
          <w:sz w:val="22"/>
          <w:szCs w:val="22"/>
        </w:rPr>
        <w:t xml:space="preserve">The Provider shall not permit Provider Personnel who fail the security checks required by </w:t>
      </w:r>
      <w:bookmarkStart w:id="3526" w:name="_9kMHG5YVtCIADLLJFMEweiC85zt3pX6LJFF76LI"/>
      <w:r w:rsidRPr="007E2618">
        <w:rPr>
          <w:rFonts w:cs="Arial"/>
          <w:sz w:val="22"/>
          <w:szCs w:val="22"/>
        </w:rPr>
        <w:t xml:space="preserve">paragraphs </w:t>
      </w:r>
      <w:r w:rsidRPr="007E2618">
        <w:rPr>
          <w:rFonts w:cs="Arial"/>
          <w:sz w:val="22"/>
          <w:szCs w:val="22"/>
        </w:rPr>
        <w:fldChar w:fldCharType="begin"/>
      </w:r>
      <w:r w:rsidRPr="007E2618">
        <w:rPr>
          <w:rFonts w:cs="Arial"/>
          <w:sz w:val="22"/>
          <w:szCs w:val="22"/>
        </w:rPr>
        <w:instrText xml:space="preserve"> REF _Ref_ContractCompanion_9kb9Ur7FD \n \h \t \* MERGEFORMAT </w:instrText>
      </w:r>
      <w:r w:rsidRPr="007E2618">
        <w:rPr>
          <w:rFonts w:cs="Arial"/>
          <w:sz w:val="22"/>
          <w:szCs w:val="22"/>
        </w:rPr>
      </w:r>
      <w:r w:rsidRPr="007E2618">
        <w:rPr>
          <w:rFonts w:cs="Arial"/>
          <w:sz w:val="22"/>
          <w:szCs w:val="22"/>
        </w:rPr>
        <w:fldChar w:fldCharType="separate"/>
      </w:r>
      <w:r w:rsidR="00C87D85">
        <w:rPr>
          <w:rFonts w:cs="Arial"/>
          <w:sz w:val="22"/>
          <w:szCs w:val="22"/>
        </w:rPr>
        <w:t>4.1</w:t>
      </w:r>
      <w:r w:rsidRPr="007E2618">
        <w:rPr>
          <w:rFonts w:cs="Arial"/>
          <w:sz w:val="22"/>
          <w:szCs w:val="22"/>
        </w:rPr>
        <w:fldChar w:fldCharType="end"/>
      </w:r>
      <w:bookmarkEnd w:id="3526"/>
      <w:r w:rsidRPr="007E2618">
        <w:rPr>
          <w:rFonts w:cs="Arial"/>
          <w:sz w:val="22"/>
          <w:szCs w:val="22"/>
        </w:rPr>
        <w:t xml:space="preserve"> and </w:t>
      </w:r>
      <w:bookmarkStart w:id="3527" w:name="_9kMHG5YVtCIADLOMGgTlFQG40B69Q8y29E0mxRN"/>
      <w:r w:rsidRPr="007E2618">
        <w:rPr>
          <w:rFonts w:cs="Arial"/>
          <w:sz w:val="22"/>
          <w:szCs w:val="22"/>
        </w:rPr>
        <w:fldChar w:fldCharType="begin"/>
      </w:r>
      <w:r w:rsidRPr="007E2618">
        <w:rPr>
          <w:rFonts w:cs="Arial"/>
          <w:sz w:val="22"/>
          <w:szCs w:val="22"/>
        </w:rPr>
        <w:instrText xml:space="preserve"> REF _Ref_ContractCompanion_9kb9Ur7FG \n \h \t \* MERGEFORMAT </w:instrText>
      </w:r>
      <w:r w:rsidRPr="007E2618">
        <w:rPr>
          <w:rFonts w:cs="Arial"/>
          <w:sz w:val="22"/>
          <w:szCs w:val="22"/>
        </w:rPr>
      </w:r>
      <w:r w:rsidRPr="007E2618">
        <w:rPr>
          <w:rFonts w:cs="Arial"/>
          <w:sz w:val="22"/>
          <w:szCs w:val="22"/>
        </w:rPr>
        <w:fldChar w:fldCharType="separate"/>
      </w:r>
      <w:r w:rsidR="00C87D85">
        <w:rPr>
          <w:rFonts w:cs="Arial"/>
          <w:sz w:val="22"/>
          <w:szCs w:val="22"/>
        </w:rPr>
        <w:t>4.2</w:t>
      </w:r>
      <w:r w:rsidRPr="007E2618">
        <w:rPr>
          <w:rFonts w:cs="Arial"/>
          <w:sz w:val="22"/>
          <w:szCs w:val="22"/>
        </w:rPr>
        <w:fldChar w:fldCharType="end"/>
      </w:r>
      <w:bookmarkEnd w:id="3527"/>
      <w:r w:rsidRPr="007E2618">
        <w:rPr>
          <w:rFonts w:cs="Arial"/>
          <w:sz w:val="22"/>
          <w:szCs w:val="22"/>
        </w:rPr>
        <w:t xml:space="preserve"> to be involved in the management and/or provision of the Services except where HSE has expressly agreed in writing to the involvement of the named individual in the management and/or provision of the Services.</w:t>
      </w:r>
    </w:p>
    <w:p w14:paraId="5E8E537A" w14:textId="77777777" w:rsidR="00BB406D" w:rsidRPr="007E2618" w:rsidRDefault="00BB406D">
      <w:pPr>
        <w:pStyle w:val="AppendixText2"/>
        <w:rPr>
          <w:rFonts w:cs="Arial"/>
          <w:sz w:val="22"/>
          <w:szCs w:val="22"/>
        </w:rPr>
      </w:pPr>
      <w:r w:rsidRPr="007E2618">
        <w:rPr>
          <w:rFonts w:cs="Arial"/>
          <w:sz w:val="22"/>
          <w:szCs w:val="22"/>
        </w:rPr>
        <w:t>The Provider shall ensure that Provider Personnel are only granted such access to HSE Data as is necessary to enable the Provider Personnel to perform their role and to fulfil their responsibilities.</w:t>
      </w:r>
    </w:p>
    <w:p w14:paraId="152552AE" w14:textId="77777777" w:rsidR="00BB406D" w:rsidRPr="007E2618" w:rsidRDefault="00BB406D">
      <w:pPr>
        <w:pStyle w:val="AppendixText2"/>
        <w:rPr>
          <w:rFonts w:cs="Arial"/>
          <w:sz w:val="22"/>
          <w:szCs w:val="22"/>
        </w:rPr>
      </w:pPr>
      <w:r w:rsidRPr="007E2618">
        <w:rPr>
          <w:rFonts w:cs="Arial"/>
          <w:sz w:val="22"/>
          <w:szCs w:val="22"/>
        </w:rPr>
        <w:t>The Provider shall ensure that Provider Personnel who no longer require access to HSE Data (e.g. they cease to be employed by the Provider or any of its Sub-Contractors), have their rights to access HSE Data revoked within 1 Working Day.</w:t>
      </w:r>
    </w:p>
    <w:p w14:paraId="53E18B24" w14:textId="4B0AC3BE" w:rsidR="00BB406D" w:rsidRPr="007E2618" w:rsidRDefault="00BB406D">
      <w:pPr>
        <w:pStyle w:val="AppendixText2"/>
        <w:rPr>
          <w:rFonts w:cs="Arial"/>
          <w:sz w:val="22"/>
          <w:szCs w:val="22"/>
        </w:rPr>
      </w:pPr>
      <w:bookmarkStart w:id="3528" w:name="_Ref_ContractCompanion_9kb9Ur7GA"/>
      <w:bookmarkStart w:id="3529" w:name="_9kR3WTrAG8BKGDIiRjVgA63xr1G7qv714JRRCFJ"/>
      <w:r w:rsidRPr="007E2618">
        <w:rPr>
          <w:rFonts w:cs="Arial"/>
          <w:sz w:val="22"/>
          <w:szCs w:val="22"/>
        </w:rPr>
        <w:t>The Provider shall ensure that Provider Per</w:t>
      </w:r>
      <w:r w:rsidR="00B54E10">
        <w:rPr>
          <w:rFonts w:cs="Arial"/>
          <w:sz w:val="22"/>
          <w:szCs w:val="22"/>
        </w:rPr>
        <w:t>so</w:t>
      </w:r>
      <w:r w:rsidRPr="007E2618">
        <w:rPr>
          <w:rFonts w:cs="Arial"/>
          <w:sz w:val="22"/>
          <w:szCs w:val="22"/>
        </w:rPr>
        <w:t>nnel that have access to the Sites, the IT Environment and/or HSE Data receive regular training on security awareness that reflects the degree of access those individuals have to the Sites, the IT Environment and/or HSE Data.</w:t>
      </w:r>
      <w:bookmarkEnd w:id="3528"/>
      <w:bookmarkEnd w:id="3529"/>
    </w:p>
    <w:p w14:paraId="0EA3CB2F" w14:textId="18F0F827" w:rsidR="00BB406D" w:rsidRPr="007E2618" w:rsidRDefault="00BB406D">
      <w:pPr>
        <w:pStyle w:val="AppendixText2"/>
        <w:rPr>
          <w:rFonts w:cs="Arial"/>
          <w:sz w:val="22"/>
          <w:szCs w:val="22"/>
        </w:rPr>
      </w:pPr>
      <w:r w:rsidRPr="007E2618">
        <w:rPr>
          <w:rFonts w:cs="Arial"/>
          <w:sz w:val="22"/>
          <w:szCs w:val="22"/>
        </w:rPr>
        <w:t xml:space="preserve">The Provider shall ensure that the training provided to Provider Personnel under </w:t>
      </w:r>
      <w:bookmarkStart w:id="3530" w:name="_9kMHG5YVtCIADMIFKkTlXiC85zt3I9sx936LTTE"/>
      <w:r w:rsidRPr="007E2618">
        <w:rPr>
          <w:rFonts w:cs="Arial"/>
          <w:sz w:val="22"/>
          <w:szCs w:val="22"/>
        </w:rPr>
        <w:t xml:space="preserve">paragraph </w:t>
      </w:r>
      <w:r w:rsidRPr="007E2618">
        <w:rPr>
          <w:rFonts w:cs="Arial"/>
          <w:sz w:val="22"/>
          <w:szCs w:val="22"/>
        </w:rPr>
        <w:fldChar w:fldCharType="begin"/>
      </w:r>
      <w:r w:rsidRPr="007E2618">
        <w:rPr>
          <w:rFonts w:cs="Arial"/>
          <w:sz w:val="22"/>
          <w:szCs w:val="22"/>
        </w:rPr>
        <w:instrText xml:space="preserve"> REF _Ref_ContractCompanion_9kb9Ur7GA \n \h \t \* MERGEFORMAT </w:instrText>
      </w:r>
      <w:r w:rsidRPr="007E2618">
        <w:rPr>
          <w:rFonts w:cs="Arial"/>
          <w:sz w:val="22"/>
          <w:szCs w:val="22"/>
        </w:rPr>
      </w:r>
      <w:r w:rsidRPr="007E2618">
        <w:rPr>
          <w:rFonts w:cs="Arial"/>
          <w:sz w:val="22"/>
          <w:szCs w:val="22"/>
        </w:rPr>
        <w:fldChar w:fldCharType="separate"/>
      </w:r>
      <w:r w:rsidR="00C87D85">
        <w:rPr>
          <w:rFonts w:cs="Arial"/>
          <w:sz w:val="22"/>
          <w:szCs w:val="22"/>
        </w:rPr>
        <w:t>4.6</w:t>
      </w:r>
      <w:r w:rsidRPr="007E2618">
        <w:rPr>
          <w:rFonts w:cs="Arial"/>
          <w:sz w:val="22"/>
          <w:szCs w:val="22"/>
        </w:rPr>
        <w:fldChar w:fldCharType="end"/>
      </w:r>
      <w:bookmarkEnd w:id="3530"/>
      <w:r w:rsidRPr="007E2618">
        <w:rPr>
          <w:rFonts w:cs="Arial"/>
          <w:sz w:val="22"/>
          <w:szCs w:val="22"/>
        </w:rPr>
        <w:t xml:space="preserve"> includes training on the identification and reporting fraudulent communications intended to induce individuals to disclose Personal Data or any other information that could be used, including in combination with other Personal Data or information, or with other techniques, to facilitate unauthorised access to the Sites, the IT Environment or HSE Data (“phishing”).</w:t>
      </w:r>
    </w:p>
    <w:p w14:paraId="3CB67B27" w14:textId="77777777" w:rsidR="00BB406D" w:rsidRPr="00024F2F" w:rsidRDefault="00BB406D">
      <w:pPr>
        <w:pStyle w:val="AppendixText1"/>
        <w:rPr>
          <w:rFonts w:cs="Arial"/>
        </w:rPr>
      </w:pPr>
      <w:r w:rsidRPr="00024F2F">
        <w:rPr>
          <w:rFonts w:cs="Arial"/>
        </w:rPr>
        <w:t>Identity, Authentication and Access Control</w:t>
      </w:r>
    </w:p>
    <w:p w14:paraId="3F9F6009" w14:textId="77777777" w:rsidR="00BB406D" w:rsidRPr="007E2618" w:rsidRDefault="00BB406D">
      <w:pPr>
        <w:pStyle w:val="AppendixText2"/>
        <w:rPr>
          <w:rFonts w:cs="Arial"/>
          <w:sz w:val="22"/>
          <w:szCs w:val="22"/>
        </w:rPr>
      </w:pPr>
      <w:r w:rsidRPr="007E2618">
        <w:rPr>
          <w:rFonts w:cs="Arial"/>
          <w:sz w:val="22"/>
          <w:szCs w:val="22"/>
        </w:rPr>
        <w:t xml:space="preserve">The Provider shall operate an access control regime to ensure: </w:t>
      </w:r>
    </w:p>
    <w:p w14:paraId="6033FD14" w14:textId="77777777" w:rsidR="00BB406D" w:rsidRPr="007E2618" w:rsidRDefault="00BB406D">
      <w:pPr>
        <w:pStyle w:val="AppendixText4"/>
        <w:rPr>
          <w:rFonts w:cs="Arial"/>
          <w:sz w:val="22"/>
          <w:szCs w:val="22"/>
        </w:rPr>
      </w:pPr>
      <w:r w:rsidRPr="007E2618">
        <w:rPr>
          <w:rFonts w:cs="Arial"/>
          <w:sz w:val="22"/>
          <w:szCs w:val="22"/>
        </w:rPr>
        <w:t xml:space="preserve">all users and administrators of the Provider System are uniquely identified and authenticated when accessing or administering the Services; and </w:t>
      </w:r>
    </w:p>
    <w:p w14:paraId="4580D0DE" w14:textId="77777777" w:rsidR="00BB406D" w:rsidRPr="007E2618" w:rsidRDefault="00BB406D">
      <w:pPr>
        <w:pStyle w:val="AppendixText4"/>
        <w:rPr>
          <w:rFonts w:cs="Arial"/>
          <w:sz w:val="22"/>
          <w:szCs w:val="22"/>
        </w:rPr>
      </w:pPr>
      <w:r w:rsidRPr="007E2618">
        <w:rPr>
          <w:rFonts w:cs="Arial"/>
          <w:sz w:val="22"/>
          <w:szCs w:val="22"/>
        </w:rPr>
        <w:t>all persons who access the Sites are identified and authenticated before they are allowed access to the Sites.</w:t>
      </w:r>
    </w:p>
    <w:p w14:paraId="79D99E00" w14:textId="77777777" w:rsidR="00BB406D" w:rsidRPr="007E2618" w:rsidRDefault="00BB406D">
      <w:pPr>
        <w:pStyle w:val="AppendixText2"/>
        <w:rPr>
          <w:rFonts w:cs="Arial"/>
          <w:sz w:val="22"/>
          <w:szCs w:val="22"/>
        </w:rPr>
      </w:pPr>
      <w:r w:rsidRPr="007E2618">
        <w:rPr>
          <w:rFonts w:cs="Arial"/>
          <w:sz w:val="22"/>
          <w:szCs w:val="22"/>
        </w:rPr>
        <w:t xml:space="preserve">The Provider shall apply the ‘principle of least privilege’ when allowing persons access to the Provider System and Sites so that such persons are allowed access only to those parts of the Sites and the Provider System they require. </w:t>
      </w:r>
    </w:p>
    <w:p w14:paraId="2C8F5F89" w14:textId="77777777" w:rsidR="00BB406D" w:rsidRPr="007E2618" w:rsidRDefault="00BB406D">
      <w:pPr>
        <w:pStyle w:val="AppendixText2"/>
        <w:rPr>
          <w:rFonts w:cs="Arial"/>
          <w:sz w:val="22"/>
          <w:szCs w:val="22"/>
        </w:rPr>
      </w:pPr>
      <w:r w:rsidRPr="007E2618">
        <w:rPr>
          <w:rFonts w:cs="Arial"/>
          <w:sz w:val="22"/>
          <w:szCs w:val="22"/>
        </w:rPr>
        <w:t xml:space="preserve">The Provider shall retain records of access to the Sites and to the Provider System and shall make such record available to HSE on request.  </w:t>
      </w:r>
    </w:p>
    <w:p w14:paraId="1350D63A" w14:textId="77777777" w:rsidR="00BB406D" w:rsidRPr="00024F2F" w:rsidRDefault="00BB406D">
      <w:pPr>
        <w:pStyle w:val="AppendixText1"/>
        <w:rPr>
          <w:rFonts w:cs="Arial"/>
        </w:rPr>
      </w:pPr>
      <w:r w:rsidRPr="00024F2F">
        <w:rPr>
          <w:rFonts w:cs="Arial"/>
        </w:rPr>
        <w:t>Data Destruction or Deletion</w:t>
      </w:r>
    </w:p>
    <w:p w14:paraId="1F371F2D" w14:textId="77777777" w:rsidR="00BB406D" w:rsidRPr="007E2618" w:rsidRDefault="00BB406D">
      <w:pPr>
        <w:pStyle w:val="AppendixText2"/>
        <w:rPr>
          <w:rFonts w:cs="Arial"/>
          <w:sz w:val="22"/>
          <w:szCs w:val="22"/>
        </w:rPr>
      </w:pPr>
      <w:r w:rsidRPr="007E2618">
        <w:rPr>
          <w:rFonts w:cs="Arial"/>
          <w:sz w:val="22"/>
          <w:szCs w:val="22"/>
        </w:rPr>
        <w:t>The Provider shall:</w:t>
      </w:r>
    </w:p>
    <w:p w14:paraId="20B3CC5A" w14:textId="7587D002" w:rsidR="00BB406D" w:rsidRPr="007E2618" w:rsidRDefault="00BB406D">
      <w:pPr>
        <w:pStyle w:val="AppendixText4"/>
        <w:rPr>
          <w:rFonts w:cs="Arial"/>
          <w:sz w:val="22"/>
          <w:szCs w:val="22"/>
        </w:rPr>
      </w:pPr>
      <w:r w:rsidRPr="007E2618">
        <w:rPr>
          <w:rFonts w:cs="Arial"/>
          <w:sz w:val="22"/>
          <w:szCs w:val="22"/>
        </w:rPr>
        <w:t>prior to securely sanitising any HSE Data or when requested the Provider shall provide the Government with all HSE Data in an agreed format</w:t>
      </w:r>
      <w:r w:rsidR="008F7B2E">
        <w:rPr>
          <w:rFonts w:cs="Arial"/>
          <w:sz w:val="22"/>
          <w:szCs w:val="22"/>
        </w:rPr>
        <w:t xml:space="preserve"> provided it is secure and readable</w:t>
      </w:r>
      <w:r w:rsidRPr="007E2618">
        <w:rPr>
          <w:rFonts w:cs="Arial"/>
          <w:sz w:val="22"/>
          <w:szCs w:val="22"/>
        </w:rPr>
        <w:t>;</w:t>
      </w:r>
    </w:p>
    <w:p w14:paraId="2CB36BB8" w14:textId="77777777" w:rsidR="00BB406D" w:rsidRPr="007E2618" w:rsidRDefault="00BB406D">
      <w:pPr>
        <w:pStyle w:val="AppendixText4"/>
        <w:rPr>
          <w:rFonts w:cs="Arial"/>
          <w:sz w:val="22"/>
          <w:szCs w:val="22"/>
        </w:rPr>
      </w:pPr>
      <w:r w:rsidRPr="007E2618">
        <w:rPr>
          <w:rFonts w:cs="Arial"/>
          <w:sz w:val="22"/>
          <w:szCs w:val="22"/>
        </w:rPr>
        <w:t>have documented processes to ensure the availability of HSE Data in the event of the Provider ceasing to trade;</w:t>
      </w:r>
    </w:p>
    <w:p w14:paraId="7A382F35" w14:textId="01046E38" w:rsidR="00BB406D" w:rsidRPr="007E2618" w:rsidRDefault="00BB406D" w:rsidP="008F7B2E">
      <w:pPr>
        <w:pStyle w:val="AppendixText4"/>
        <w:rPr>
          <w:rFonts w:cs="Arial"/>
          <w:sz w:val="22"/>
          <w:szCs w:val="22"/>
        </w:rPr>
      </w:pPr>
      <w:r w:rsidRPr="007E2618">
        <w:rPr>
          <w:rFonts w:cs="Arial"/>
          <w:sz w:val="22"/>
          <w:szCs w:val="22"/>
        </w:rPr>
        <w:lastRenderedPageBreak/>
        <w:t>securely erase in a manner agreed with HSE any or all HSE Data held by the Provider when requested to do so by HSE</w:t>
      </w:r>
      <w:r w:rsidR="008F7B2E">
        <w:rPr>
          <w:rFonts w:cs="Arial"/>
          <w:sz w:val="22"/>
          <w:szCs w:val="22"/>
        </w:rPr>
        <w:t xml:space="preserve"> </w:t>
      </w:r>
      <w:r w:rsidR="008F7B2E" w:rsidRPr="008F7B2E">
        <w:rPr>
          <w:rFonts w:cs="Arial"/>
          <w:sz w:val="22"/>
          <w:szCs w:val="22"/>
        </w:rPr>
        <w:t xml:space="preserve">and certify to </w:t>
      </w:r>
      <w:r w:rsidR="008F7B2E">
        <w:rPr>
          <w:rFonts w:cs="Arial"/>
          <w:sz w:val="22"/>
          <w:szCs w:val="22"/>
        </w:rPr>
        <w:t>HSE</w:t>
      </w:r>
      <w:r w:rsidR="008F7B2E" w:rsidRPr="008F7B2E">
        <w:rPr>
          <w:rFonts w:cs="Arial"/>
          <w:sz w:val="22"/>
          <w:szCs w:val="22"/>
        </w:rPr>
        <w:t xml:space="preserve"> that it has done so unless and to the extent required by Law to retain it other than in relation to </w:t>
      </w:r>
      <w:r w:rsidR="008F7B2E">
        <w:rPr>
          <w:rFonts w:cs="Arial"/>
          <w:sz w:val="22"/>
          <w:szCs w:val="22"/>
        </w:rPr>
        <w:t>HSE</w:t>
      </w:r>
      <w:r w:rsidR="008F7B2E" w:rsidRPr="008F7B2E">
        <w:rPr>
          <w:rFonts w:cs="Arial"/>
          <w:sz w:val="22"/>
          <w:szCs w:val="22"/>
        </w:rPr>
        <w:t xml:space="preserve"> Data which is owned or licenced by the </w:t>
      </w:r>
      <w:r w:rsidR="00A47727">
        <w:rPr>
          <w:rFonts w:cs="Arial"/>
          <w:sz w:val="22"/>
          <w:szCs w:val="22"/>
        </w:rPr>
        <w:t>Provider</w:t>
      </w:r>
      <w:r w:rsidR="008F7B2E" w:rsidRPr="008F7B2E">
        <w:rPr>
          <w:rFonts w:cs="Arial"/>
          <w:sz w:val="22"/>
          <w:szCs w:val="22"/>
        </w:rPr>
        <w:t xml:space="preserve"> or in respect of which the Parties are either Independent Controllers or Joint Controllers</w:t>
      </w:r>
      <w:r w:rsidRPr="007E2618">
        <w:rPr>
          <w:rFonts w:cs="Arial"/>
          <w:sz w:val="22"/>
          <w:szCs w:val="22"/>
        </w:rPr>
        <w:t xml:space="preserve">; </w:t>
      </w:r>
    </w:p>
    <w:p w14:paraId="5877FB64" w14:textId="6FF674D3" w:rsidR="00BB406D" w:rsidRPr="007E2618" w:rsidRDefault="00BB406D" w:rsidP="008F7B2E">
      <w:pPr>
        <w:pStyle w:val="AppendixText4"/>
      </w:pPr>
      <w:r w:rsidRPr="007E2618">
        <w:t>securely destroy in a manner agreed with HSE all media that has held HSE Data at the end of life of that media in accordance with any specific requirements in this Agreement and, in the absence of any such requirements, as agreed by HSE</w:t>
      </w:r>
      <w:r w:rsidR="008F7B2E">
        <w:t xml:space="preserve"> </w:t>
      </w:r>
      <w:r w:rsidR="008F7B2E" w:rsidRPr="008F7B2E">
        <w:rPr>
          <w:rFonts w:cs="Arial"/>
          <w:sz w:val="22"/>
          <w:szCs w:val="22"/>
        </w:rPr>
        <w:t xml:space="preserve">other than in relation to </w:t>
      </w:r>
      <w:r w:rsidR="008F7B2E">
        <w:rPr>
          <w:rFonts w:cs="Arial"/>
          <w:sz w:val="22"/>
          <w:szCs w:val="22"/>
        </w:rPr>
        <w:t>HSE</w:t>
      </w:r>
      <w:r w:rsidR="008F7B2E" w:rsidRPr="008F7B2E">
        <w:rPr>
          <w:rFonts w:cs="Arial"/>
          <w:sz w:val="22"/>
          <w:szCs w:val="22"/>
        </w:rPr>
        <w:t xml:space="preserve"> Data which is owned or licenced by the </w:t>
      </w:r>
      <w:r w:rsidR="00A47727">
        <w:rPr>
          <w:rFonts w:cs="Arial"/>
          <w:sz w:val="22"/>
          <w:szCs w:val="22"/>
        </w:rPr>
        <w:t>Provider</w:t>
      </w:r>
      <w:r w:rsidR="008F7B2E" w:rsidRPr="008F7B2E">
        <w:rPr>
          <w:rFonts w:cs="Arial"/>
          <w:sz w:val="22"/>
          <w:szCs w:val="22"/>
        </w:rPr>
        <w:t xml:space="preserve"> or in respect of which the Parties are either Independent Controllers or Joint Controllers</w:t>
      </w:r>
      <w:r w:rsidRPr="007E2618">
        <w:t xml:space="preserve">; and  </w:t>
      </w:r>
    </w:p>
    <w:p w14:paraId="0DF3FDFA" w14:textId="77777777" w:rsidR="00BB406D" w:rsidRPr="00024F2F" w:rsidRDefault="00BB406D">
      <w:pPr>
        <w:pStyle w:val="AppendixText4"/>
      </w:pPr>
      <w:r w:rsidRPr="007E2618">
        <w:rPr>
          <w:sz w:val="22"/>
          <w:szCs w:val="22"/>
        </w:rPr>
        <w:t xml:space="preserve">implement processes which address the </w:t>
      </w:r>
      <w:r w:rsidRPr="007E2618">
        <w:rPr>
          <w:rFonts w:cs="Arial"/>
          <w:sz w:val="22"/>
          <w:szCs w:val="22"/>
        </w:rPr>
        <w:t>National Protective Security Authority</w:t>
      </w:r>
      <w:r w:rsidRPr="007E2618">
        <w:rPr>
          <w:sz w:val="22"/>
          <w:szCs w:val="22"/>
        </w:rPr>
        <w:t xml:space="preserve"> and NCSC guidance on secure sanitisation.</w:t>
      </w:r>
    </w:p>
    <w:p w14:paraId="646320B5" w14:textId="77777777" w:rsidR="00BB406D" w:rsidRPr="00024F2F" w:rsidRDefault="00BB406D">
      <w:pPr>
        <w:pStyle w:val="AppendixText1"/>
        <w:rPr>
          <w:rFonts w:cs="Arial"/>
        </w:rPr>
      </w:pPr>
      <w:r w:rsidRPr="00024F2F">
        <w:rPr>
          <w:rFonts w:cs="Arial"/>
        </w:rPr>
        <w:t>Audit and Protective Monitoring</w:t>
      </w:r>
    </w:p>
    <w:p w14:paraId="49EAA522" w14:textId="77777777" w:rsidR="00BB406D" w:rsidRPr="007E2618" w:rsidRDefault="00BB406D">
      <w:pPr>
        <w:pStyle w:val="AppendixText2"/>
        <w:rPr>
          <w:rFonts w:cs="Arial"/>
          <w:sz w:val="22"/>
          <w:szCs w:val="22"/>
        </w:rPr>
      </w:pPr>
      <w:r w:rsidRPr="007E2618">
        <w:rPr>
          <w:rFonts w:cs="Arial"/>
          <w:sz w:val="22"/>
          <w:szCs w:val="22"/>
        </w:rPr>
        <w:t>The Provider shall collect audit records which relate to security events in the Information Management System or that would support the analysis of potential and actual compromises. In order to facilitate effective monitoring and forensic readiness such Provider audit records should (as a minimum) include regular reports and alerts setting out details of access by users of the Information Management System, to enable the identification of (without limitation) changing access trends, any unusual patterns of usage and/or accounts accessing higher than average amounts of HSE Data.</w:t>
      </w:r>
    </w:p>
    <w:p w14:paraId="49CDD9F9" w14:textId="77777777" w:rsidR="00BB406D" w:rsidRPr="007E2618" w:rsidRDefault="00BB406D">
      <w:pPr>
        <w:pStyle w:val="AppendixText2"/>
        <w:rPr>
          <w:rFonts w:cs="Arial"/>
          <w:sz w:val="22"/>
          <w:szCs w:val="22"/>
        </w:rPr>
      </w:pPr>
      <w:r w:rsidRPr="007E2618">
        <w:rPr>
          <w:rFonts w:cs="Arial"/>
          <w:sz w:val="22"/>
          <w:szCs w:val="22"/>
        </w:rPr>
        <w:t>The Provider and HSE shall work together to establish any additional audit and monitoring requirements for the Information Management System.</w:t>
      </w:r>
    </w:p>
    <w:p w14:paraId="79301060" w14:textId="77777777" w:rsidR="00BB406D" w:rsidRPr="00024F2F" w:rsidRDefault="00BB406D">
      <w:pPr>
        <w:pStyle w:val="AppendixText2"/>
        <w:rPr>
          <w:rFonts w:cs="Arial"/>
        </w:rPr>
      </w:pPr>
      <w:r w:rsidRPr="007E2618">
        <w:rPr>
          <w:rFonts w:cs="Arial"/>
          <w:sz w:val="22"/>
          <w:szCs w:val="22"/>
        </w:rPr>
        <w:t xml:space="preserve">The retention periods for audit records and event logs must be agreed with HSE and documented in the Security Management Plan.  </w:t>
      </w:r>
    </w:p>
    <w:p w14:paraId="43F13ACC" w14:textId="77777777" w:rsidR="00BB406D" w:rsidRPr="00024F2F" w:rsidRDefault="00BB406D">
      <w:pPr>
        <w:pStyle w:val="AppendixText1"/>
        <w:rPr>
          <w:rFonts w:cs="Arial"/>
        </w:rPr>
      </w:pPr>
      <w:bookmarkStart w:id="3531" w:name="_Ref_ContractCompanion_9kb9Ur5EH"/>
      <w:r w:rsidRPr="00024F2F">
        <w:rPr>
          <w:rFonts w:cs="Arial"/>
        </w:rPr>
        <w:t xml:space="preserve">Location of </w:t>
      </w:r>
      <w:r>
        <w:rPr>
          <w:rFonts w:cs="Arial"/>
        </w:rPr>
        <w:t>HSE</w:t>
      </w:r>
      <w:r w:rsidRPr="00024F2F">
        <w:rPr>
          <w:rFonts w:cs="Arial"/>
        </w:rPr>
        <w:t xml:space="preserve"> Data</w:t>
      </w:r>
      <w:bookmarkEnd w:id="3531"/>
    </w:p>
    <w:p w14:paraId="18696AC5" w14:textId="77777777" w:rsidR="00BB406D" w:rsidRPr="007E2618" w:rsidRDefault="00BB406D">
      <w:pPr>
        <w:pStyle w:val="AppendixText2"/>
        <w:rPr>
          <w:rFonts w:cs="Arial"/>
          <w:sz w:val="22"/>
          <w:szCs w:val="22"/>
        </w:rPr>
      </w:pPr>
      <w:r w:rsidRPr="007E2618">
        <w:rPr>
          <w:rFonts w:cs="Arial"/>
          <w:sz w:val="22"/>
          <w:szCs w:val="22"/>
        </w:rPr>
        <w:t xml:space="preserve">The Provider </w:t>
      </w:r>
      <w:r w:rsidRPr="0029242C">
        <w:rPr>
          <w:rFonts w:cs="Arial"/>
          <w:sz w:val="22"/>
          <w:szCs w:val="22"/>
        </w:rPr>
        <w:t>shall not and shall procure that none of its Sub-Contractors Process HSE Data outside the UK without the prior written consent of HSE, which may be subject to conditions</w:t>
      </w:r>
      <w:r w:rsidRPr="007E2618">
        <w:rPr>
          <w:rFonts w:cs="Arial"/>
          <w:sz w:val="22"/>
          <w:szCs w:val="22"/>
        </w:rPr>
        <w:t>.</w:t>
      </w:r>
    </w:p>
    <w:p w14:paraId="1F31C60F" w14:textId="77777777" w:rsidR="00BB406D" w:rsidRPr="001B1EB0" w:rsidRDefault="00BB406D">
      <w:pPr>
        <w:pStyle w:val="AppendixText1"/>
        <w:rPr>
          <w:rFonts w:cs="Arial"/>
        </w:rPr>
      </w:pPr>
      <w:r w:rsidRPr="001B1EB0">
        <w:rPr>
          <w:rFonts w:cs="Arial"/>
        </w:rPr>
        <w:t>Vulnerabilities and Corrective Action</w:t>
      </w:r>
    </w:p>
    <w:p w14:paraId="5387F3A8" w14:textId="77777777" w:rsidR="00BB406D" w:rsidRPr="007E2618" w:rsidRDefault="00BB406D">
      <w:pPr>
        <w:pStyle w:val="AppendixText2"/>
        <w:rPr>
          <w:rFonts w:cs="Arial"/>
          <w:sz w:val="22"/>
          <w:szCs w:val="22"/>
        </w:rPr>
      </w:pPr>
      <w:r w:rsidRPr="007E2618">
        <w:rPr>
          <w:rFonts w:cs="Arial"/>
          <w:sz w:val="22"/>
          <w:szCs w:val="22"/>
        </w:rPr>
        <w:t xml:space="preserve">HSE and the Provider acknowledge that from time to time vulnerabilities in the Information Management System will be discovered which unless mitigated will present an unacceptable risk to HSE Data. </w:t>
      </w:r>
    </w:p>
    <w:p w14:paraId="219B5571" w14:textId="02009FFB" w:rsidR="00BB406D" w:rsidRPr="007E2618" w:rsidRDefault="00BB406D">
      <w:pPr>
        <w:pStyle w:val="AppendixText2"/>
        <w:rPr>
          <w:rFonts w:cs="Arial"/>
          <w:sz w:val="22"/>
          <w:szCs w:val="22"/>
        </w:rPr>
      </w:pPr>
      <w:bookmarkStart w:id="3532" w:name="_Ref_ContractCompanion_9kb9Ur157"/>
      <w:r w:rsidRPr="007E2618">
        <w:rPr>
          <w:rFonts w:cs="Arial"/>
          <w:sz w:val="22"/>
          <w:szCs w:val="22"/>
        </w:rPr>
        <w:t xml:space="preserve">The severity of vulnerabilities for COTS Software used by the </w:t>
      </w:r>
      <w:r w:rsidR="00A269B9">
        <w:rPr>
          <w:rFonts w:cs="Arial"/>
          <w:sz w:val="22"/>
          <w:szCs w:val="22"/>
        </w:rPr>
        <w:t>Provider</w:t>
      </w:r>
      <w:r w:rsidRPr="007E2618">
        <w:rPr>
          <w:rFonts w:cs="Arial"/>
          <w:sz w:val="22"/>
          <w:szCs w:val="22"/>
        </w:rPr>
        <w:t xml:space="preserve"> in the performance of the Services shall be categorised by the Provider as ‘Critical’, ‘Important’ and ‘Other’ by aligning these categories to the vulnerability scoring according to the agreed method in the Security Management Plan and using the appropriate vulnerability scoring systems including:</w:t>
      </w:r>
      <w:bookmarkEnd w:id="3532"/>
    </w:p>
    <w:p w14:paraId="5F29889F" w14:textId="77777777" w:rsidR="00BB406D" w:rsidRPr="007E2618" w:rsidRDefault="00BB406D">
      <w:pPr>
        <w:pStyle w:val="AppendixText4"/>
        <w:rPr>
          <w:rFonts w:cs="Arial"/>
          <w:sz w:val="22"/>
          <w:szCs w:val="22"/>
        </w:rPr>
      </w:pPr>
      <w:r w:rsidRPr="007E2618">
        <w:rPr>
          <w:rFonts w:cs="Arial"/>
          <w:sz w:val="22"/>
          <w:szCs w:val="22"/>
        </w:rPr>
        <w:t xml:space="preserve">the ‘National Vulnerability Database’ ‘Vulnerability Severity Ratings’: ‘High’, ‘Medium’ and ‘Low’ respectively (these in turn are aligned to CVSS scores as set out by NIST at http://nvd.nist.gov/cvss.cfm); and </w:t>
      </w:r>
    </w:p>
    <w:p w14:paraId="576B1AEB" w14:textId="77777777" w:rsidR="00BB406D" w:rsidRPr="007E2618" w:rsidRDefault="00BB406D">
      <w:pPr>
        <w:pStyle w:val="AppendixText4"/>
        <w:rPr>
          <w:rFonts w:cs="Arial"/>
          <w:sz w:val="22"/>
          <w:szCs w:val="22"/>
        </w:rPr>
      </w:pPr>
      <w:r w:rsidRPr="007E2618">
        <w:rPr>
          <w:rFonts w:cs="Arial"/>
          <w:sz w:val="22"/>
          <w:szCs w:val="22"/>
        </w:rPr>
        <w:lastRenderedPageBreak/>
        <w:t>Microsoft’s ‘Security Bulletin Severity Rating System’ ratings ‘Critical’, ‘Important’, and the two remaining levels (‘Moderate’ and ‘Low’) respectively.</w:t>
      </w:r>
    </w:p>
    <w:p w14:paraId="42F49D6F" w14:textId="38EAFECA" w:rsidR="00BB406D" w:rsidRPr="007E2618" w:rsidRDefault="00BB406D">
      <w:pPr>
        <w:pStyle w:val="AppendixText2"/>
        <w:rPr>
          <w:rFonts w:cs="Arial"/>
          <w:sz w:val="22"/>
          <w:szCs w:val="22"/>
        </w:rPr>
      </w:pPr>
      <w:bookmarkStart w:id="3533" w:name="_9kR3WTrAG8BKMOKedtjnhxFBiPyzp7219UfQH3p"/>
      <w:bookmarkStart w:id="3534" w:name="_Ref_ContractCompanion_9kb9Ur7GG"/>
      <w:r w:rsidRPr="007E2618">
        <w:rPr>
          <w:rFonts w:cs="Arial"/>
          <w:sz w:val="22"/>
          <w:szCs w:val="22"/>
        </w:rPr>
        <w:t xml:space="preserve">Subject to </w:t>
      </w:r>
      <w:bookmarkStart w:id="3535" w:name="_9kMHG5YVtCIADMLNNiTly3xu10jty685I54KHRP"/>
      <w:r w:rsidRPr="007E2618">
        <w:rPr>
          <w:rFonts w:cs="Arial"/>
          <w:sz w:val="22"/>
          <w:szCs w:val="22"/>
        </w:rPr>
        <w:t xml:space="preserve">paragraph </w:t>
      </w:r>
      <w:r w:rsidRPr="007E2618">
        <w:rPr>
          <w:rFonts w:cs="Arial"/>
          <w:sz w:val="22"/>
          <w:szCs w:val="22"/>
        </w:rPr>
        <w:fldChar w:fldCharType="begin"/>
      </w:r>
      <w:r w:rsidRPr="007E2618">
        <w:rPr>
          <w:rFonts w:cs="Arial"/>
          <w:sz w:val="22"/>
          <w:szCs w:val="22"/>
        </w:rPr>
        <w:instrText xml:space="preserve"> REF _Ref_ContractCompanion_9kb9Ur7GD \n \h \t \* MERGEFORMAT </w:instrText>
      </w:r>
      <w:r w:rsidRPr="007E2618">
        <w:rPr>
          <w:rFonts w:cs="Arial"/>
          <w:sz w:val="22"/>
          <w:szCs w:val="22"/>
        </w:rPr>
      </w:r>
      <w:r w:rsidRPr="007E2618">
        <w:rPr>
          <w:rFonts w:cs="Arial"/>
          <w:sz w:val="22"/>
          <w:szCs w:val="22"/>
        </w:rPr>
        <w:fldChar w:fldCharType="separate"/>
      </w:r>
      <w:r w:rsidR="00C87D85">
        <w:rPr>
          <w:rFonts w:cs="Arial"/>
          <w:sz w:val="22"/>
          <w:szCs w:val="22"/>
        </w:rPr>
        <w:t>9.4</w:t>
      </w:r>
      <w:r w:rsidRPr="007E2618">
        <w:rPr>
          <w:rFonts w:cs="Arial"/>
          <w:sz w:val="22"/>
          <w:szCs w:val="22"/>
        </w:rPr>
        <w:fldChar w:fldCharType="end"/>
      </w:r>
      <w:bookmarkEnd w:id="3535"/>
      <w:r w:rsidRPr="007E2618">
        <w:rPr>
          <w:rFonts w:cs="Arial"/>
          <w:sz w:val="22"/>
          <w:szCs w:val="22"/>
        </w:rPr>
        <w:t>, the Provider shall procure the application of security patches to vulnerabilities in the Information Management System within:</w:t>
      </w:r>
      <w:bookmarkEnd w:id="3533"/>
      <w:r w:rsidRPr="007E2618">
        <w:rPr>
          <w:rFonts w:cs="Arial"/>
          <w:sz w:val="22"/>
          <w:szCs w:val="22"/>
        </w:rPr>
        <w:t xml:space="preserve"> </w:t>
      </w:r>
      <w:bookmarkEnd w:id="3534"/>
    </w:p>
    <w:p w14:paraId="3D489307" w14:textId="77777777" w:rsidR="00BB406D" w:rsidRPr="007E2618" w:rsidRDefault="00BB406D">
      <w:pPr>
        <w:pStyle w:val="AppendixText4"/>
        <w:rPr>
          <w:rFonts w:cs="Arial"/>
          <w:sz w:val="22"/>
          <w:szCs w:val="22"/>
        </w:rPr>
      </w:pPr>
      <w:r w:rsidRPr="007E2618">
        <w:rPr>
          <w:rFonts w:cs="Arial"/>
          <w:sz w:val="22"/>
          <w:szCs w:val="22"/>
        </w:rPr>
        <w:t xml:space="preserve">seven (7) days after the public release of patches for those vulnerabilities categorised as ‘Critical’;  </w:t>
      </w:r>
    </w:p>
    <w:p w14:paraId="243D3602" w14:textId="77777777" w:rsidR="00BB406D" w:rsidRPr="007E2618" w:rsidRDefault="00BB406D">
      <w:pPr>
        <w:pStyle w:val="AppendixText4"/>
        <w:rPr>
          <w:rFonts w:cs="Arial"/>
          <w:sz w:val="22"/>
          <w:szCs w:val="22"/>
        </w:rPr>
      </w:pPr>
      <w:r w:rsidRPr="007E2618">
        <w:rPr>
          <w:rFonts w:cs="Arial"/>
          <w:sz w:val="22"/>
          <w:szCs w:val="22"/>
        </w:rPr>
        <w:t xml:space="preserve">thirty (30) days after the public release of patches for those vulnerabilities categorised as ‘Important’; and </w:t>
      </w:r>
    </w:p>
    <w:p w14:paraId="5B4DA29F" w14:textId="77777777" w:rsidR="00BB406D" w:rsidRPr="007E2618" w:rsidRDefault="00BB406D">
      <w:pPr>
        <w:pStyle w:val="AppendixText4"/>
        <w:rPr>
          <w:rFonts w:cs="Arial"/>
          <w:sz w:val="22"/>
          <w:szCs w:val="22"/>
        </w:rPr>
      </w:pPr>
      <w:r w:rsidRPr="007E2618">
        <w:rPr>
          <w:rFonts w:cs="Arial"/>
          <w:sz w:val="22"/>
          <w:szCs w:val="22"/>
        </w:rPr>
        <w:t>sixty (60) days after the public release of patches for those vulnerabilities categorised as ‘Other’.</w:t>
      </w:r>
    </w:p>
    <w:p w14:paraId="4C649AEF" w14:textId="11B9FDDD" w:rsidR="00BB406D" w:rsidRPr="007E2618" w:rsidRDefault="00BB406D">
      <w:pPr>
        <w:pStyle w:val="AppendixText2"/>
        <w:rPr>
          <w:rFonts w:cs="Arial"/>
          <w:sz w:val="22"/>
          <w:szCs w:val="22"/>
        </w:rPr>
      </w:pPr>
      <w:bookmarkStart w:id="3536" w:name="_Ref_ContractCompanion_9kb9Ur7GD"/>
      <w:bookmarkStart w:id="3537" w:name="_9kR3WTrAG8BKJLLgRjw1vszyhrw463G32IFPNDC"/>
      <w:r w:rsidRPr="007E2618">
        <w:rPr>
          <w:rFonts w:cs="Arial"/>
          <w:sz w:val="22"/>
          <w:szCs w:val="22"/>
        </w:rPr>
        <w:t xml:space="preserve">The timescales for applying patches to vulnerabilities in the Information Management System set out in </w:t>
      </w:r>
      <w:bookmarkStart w:id="3538" w:name="_9kMHG5YVtCIADMOQMgfvlpjzHDkR01r943BWhSJ"/>
      <w:r w:rsidRPr="007E2618">
        <w:rPr>
          <w:rFonts w:cs="Arial"/>
          <w:sz w:val="22"/>
          <w:szCs w:val="22"/>
        </w:rPr>
        <w:t xml:space="preserve">paragraph </w:t>
      </w:r>
      <w:r w:rsidRPr="007E2618">
        <w:rPr>
          <w:rFonts w:cs="Arial"/>
          <w:sz w:val="22"/>
          <w:szCs w:val="22"/>
        </w:rPr>
        <w:fldChar w:fldCharType="begin"/>
      </w:r>
      <w:r w:rsidRPr="007E2618">
        <w:rPr>
          <w:rFonts w:cs="Arial"/>
          <w:sz w:val="22"/>
          <w:szCs w:val="22"/>
        </w:rPr>
        <w:instrText xml:space="preserve"> REF _Ref_ContractCompanion_9kb9Ur7GG \n \h \t \* MERGEFORMAT </w:instrText>
      </w:r>
      <w:r w:rsidRPr="007E2618">
        <w:rPr>
          <w:rFonts w:cs="Arial"/>
          <w:sz w:val="22"/>
          <w:szCs w:val="22"/>
        </w:rPr>
      </w:r>
      <w:r w:rsidRPr="007E2618">
        <w:rPr>
          <w:rFonts w:cs="Arial"/>
          <w:sz w:val="22"/>
          <w:szCs w:val="22"/>
        </w:rPr>
        <w:fldChar w:fldCharType="separate"/>
      </w:r>
      <w:r w:rsidR="00C87D85">
        <w:rPr>
          <w:rFonts w:cs="Arial"/>
          <w:sz w:val="22"/>
          <w:szCs w:val="22"/>
        </w:rPr>
        <w:t>9.3</w:t>
      </w:r>
      <w:r w:rsidRPr="007E2618">
        <w:rPr>
          <w:rFonts w:cs="Arial"/>
          <w:sz w:val="22"/>
          <w:szCs w:val="22"/>
        </w:rPr>
        <w:fldChar w:fldCharType="end"/>
      </w:r>
      <w:bookmarkEnd w:id="3538"/>
      <w:r w:rsidRPr="007E2618">
        <w:rPr>
          <w:rFonts w:cs="Arial"/>
          <w:sz w:val="22"/>
          <w:szCs w:val="22"/>
        </w:rPr>
        <w:t xml:space="preserve"> shall be extended where:</w:t>
      </w:r>
      <w:bookmarkEnd w:id="3536"/>
      <w:bookmarkEnd w:id="3537"/>
    </w:p>
    <w:p w14:paraId="4A988F40" w14:textId="4635560C" w:rsidR="00BB406D" w:rsidRPr="007E2618" w:rsidRDefault="00BB406D">
      <w:pPr>
        <w:pStyle w:val="AppendixText4"/>
        <w:rPr>
          <w:rFonts w:cs="Arial"/>
          <w:sz w:val="22"/>
          <w:szCs w:val="22"/>
        </w:rPr>
      </w:pPr>
      <w:r w:rsidRPr="007E2618">
        <w:rPr>
          <w:rFonts w:cs="Arial"/>
          <w:sz w:val="22"/>
          <w:szCs w:val="22"/>
        </w:rPr>
        <w:t xml:space="preserve">the Provider can demonstrate that a vulnerability in the Information Management System is not exploitable within the context of the Services (e.g. because it resides in a software component which is not involved in running in the Services) provided such vulnerabilities shall be remedied by the Provider within the timescales set out in </w:t>
      </w:r>
      <w:bookmarkStart w:id="3539" w:name="_9kMIH5YVtCIADMOQMgfvlpjzHDkR01r943BWhSJ"/>
      <w:r w:rsidRPr="007E2618">
        <w:rPr>
          <w:rFonts w:cs="Arial"/>
          <w:sz w:val="22"/>
          <w:szCs w:val="22"/>
        </w:rPr>
        <w:t xml:space="preserve">paragraph </w:t>
      </w:r>
      <w:r w:rsidRPr="007E2618">
        <w:rPr>
          <w:rFonts w:cs="Arial"/>
          <w:sz w:val="22"/>
          <w:szCs w:val="22"/>
        </w:rPr>
        <w:fldChar w:fldCharType="begin"/>
      </w:r>
      <w:r w:rsidRPr="007E2618">
        <w:rPr>
          <w:rFonts w:cs="Arial"/>
          <w:sz w:val="22"/>
          <w:szCs w:val="22"/>
        </w:rPr>
        <w:instrText xml:space="preserve"> REF _Ref_ContractCompanion_9kb9Ur7GG \n \h \t \* MERGEFORMAT </w:instrText>
      </w:r>
      <w:r w:rsidRPr="007E2618">
        <w:rPr>
          <w:rFonts w:cs="Arial"/>
          <w:sz w:val="22"/>
          <w:szCs w:val="22"/>
        </w:rPr>
      </w:r>
      <w:r w:rsidRPr="007E2618">
        <w:rPr>
          <w:rFonts w:cs="Arial"/>
          <w:sz w:val="22"/>
          <w:szCs w:val="22"/>
        </w:rPr>
        <w:fldChar w:fldCharType="separate"/>
      </w:r>
      <w:r w:rsidR="00C87D85">
        <w:rPr>
          <w:rFonts w:cs="Arial"/>
          <w:sz w:val="22"/>
          <w:szCs w:val="22"/>
        </w:rPr>
        <w:t>9.3</w:t>
      </w:r>
      <w:r w:rsidRPr="007E2618">
        <w:rPr>
          <w:rFonts w:cs="Arial"/>
          <w:sz w:val="22"/>
          <w:szCs w:val="22"/>
        </w:rPr>
        <w:fldChar w:fldCharType="end"/>
      </w:r>
      <w:bookmarkEnd w:id="3539"/>
      <w:r w:rsidRPr="007E2618">
        <w:rPr>
          <w:rFonts w:cs="Arial"/>
          <w:sz w:val="22"/>
          <w:szCs w:val="22"/>
        </w:rPr>
        <w:t xml:space="preserve"> if the vulnerability becomes exploitable within the context of the Services;</w:t>
      </w:r>
    </w:p>
    <w:p w14:paraId="59BC6E94" w14:textId="77777777" w:rsidR="00BB406D" w:rsidRPr="007E2618" w:rsidRDefault="00BB406D">
      <w:pPr>
        <w:pStyle w:val="AppendixText4"/>
        <w:rPr>
          <w:rFonts w:cs="Arial"/>
          <w:sz w:val="22"/>
          <w:szCs w:val="22"/>
        </w:rPr>
      </w:pPr>
      <w:r w:rsidRPr="007E2618">
        <w:rPr>
          <w:rFonts w:cs="Arial"/>
          <w:sz w:val="22"/>
          <w:szCs w:val="22"/>
        </w:rPr>
        <w:t>the application of a ‘Critical’ or ‘Important’ security patch adversely affects the Provider’s ability to deliver the Services in which case the Provider shall be granted an extension to such timescales of five (5) days, provided the Provider had followed and continues to follow the security patch test plan agreed with HSE; or</w:t>
      </w:r>
    </w:p>
    <w:p w14:paraId="2CEB05EC" w14:textId="77777777" w:rsidR="00BB406D" w:rsidRPr="007E2618" w:rsidRDefault="00BB406D">
      <w:pPr>
        <w:pStyle w:val="AppendixText4"/>
        <w:rPr>
          <w:rFonts w:cs="Arial"/>
          <w:sz w:val="22"/>
          <w:szCs w:val="22"/>
        </w:rPr>
      </w:pPr>
      <w:r w:rsidRPr="007E2618">
        <w:rPr>
          <w:rFonts w:cs="Arial"/>
          <w:sz w:val="22"/>
          <w:szCs w:val="22"/>
        </w:rPr>
        <w:t>HSE agrees a different maximum period after a case-by-case consultation with the Provider under the processes defined in the Security Management Plan.</w:t>
      </w:r>
    </w:p>
    <w:p w14:paraId="4F4F06A0" w14:textId="77777777" w:rsidR="00BB406D" w:rsidRPr="00024F2F" w:rsidRDefault="00BB406D">
      <w:pPr>
        <w:pStyle w:val="AppendixText2"/>
        <w:rPr>
          <w:rFonts w:cs="Arial"/>
        </w:rPr>
      </w:pPr>
      <w:r w:rsidRPr="007E2618">
        <w:rPr>
          <w:rFonts w:cs="Arial"/>
          <w:sz w:val="22"/>
          <w:szCs w:val="22"/>
        </w:rPr>
        <w:t>The Security Management Plan shall include provisions for major version upgrades of all COTS Software to be kept up to date such that all COTS Software are always in mainstream support throughout the Term unless otherwise agreed by HSE in writing. All COTS Software should be no more than N-1 versions behind the latest software release.</w:t>
      </w:r>
    </w:p>
    <w:p w14:paraId="25BE0470" w14:textId="77777777" w:rsidR="00BB406D" w:rsidRPr="00024F2F" w:rsidRDefault="00BB406D">
      <w:pPr>
        <w:pStyle w:val="AppendixText1"/>
        <w:rPr>
          <w:rFonts w:cs="Arial"/>
        </w:rPr>
      </w:pPr>
      <w:r w:rsidRPr="00024F2F">
        <w:rPr>
          <w:rFonts w:cs="Arial"/>
        </w:rPr>
        <w:t>Secure Architecture</w:t>
      </w:r>
    </w:p>
    <w:p w14:paraId="05BD0E23" w14:textId="77777777" w:rsidR="00BB406D" w:rsidRPr="007E2618" w:rsidRDefault="00BB406D">
      <w:pPr>
        <w:pStyle w:val="AppendixText2"/>
        <w:rPr>
          <w:rFonts w:cs="Arial"/>
          <w:sz w:val="22"/>
          <w:szCs w:val="22"/>
        </w:rPr>
      </w:pPr>
      <w:r w:rsidRPr="007E2618">
        <w:rPr>
          <w:rFonts w:cs="Arial"/>
          <w:sz w:val="22"/>
          <w:szCs w:val="22"/>
        </w:rPr>
        <w:t>The Provider shall design the Information Management System in accordance with:</w:t>
      </w:r>
    </w:p>
    <w:p w14:paraId="40D41933" w14:textId="77777777" w:rsidR="00BB406D" w:rsidRPr="007E2618" w:rsidRDefault="00BB406D">
      <w:pPr>
        <w:pStyle w:val="AppendixText4"/>
        <w:rPr>
          <w:rFonts w:cs="Arial"/>
          <w:sz w:val="22"/>
          <w:szCs w:val="22"/>
        </w:rPr>
      </w:pPr>
      <w:r w:rsidRPr="007E2618">
        <w:rPr>
          <w:rFonts w:cs="Arial"/>
          <w:sz w:val="22"/>
          <w:szCs w:val="22"/>
        </w:rPr>
        <w:t>the NCSC "Security Design Principles for Digital Services", a copy of which can be found at: https://www.ncsc.gov.uk/guidance/security-design-principles-digital-services-main;</w:t>
      </w:r>
    </w:p>
    <w:p w14:paraId="23D7941E" w14:textId="77777777" w:rsidR="00BB406D" w:rsidRPr="007E2618" w:rsidRDefault="00BB406D">
      <w:pPr>
        <w:pStyle w:val="AppendixText4"/>
        <w:rPr>
          <w:rFonts w:cs="Arial"/>
          <w:sz w:val="22"/>
          <w:szCs w:val="22"/>
        </w:rPr>
      </w:pPr>
      <w:r w:rsidRPr="007E2618">
        <w:rPr>
          <w:rFonts w:cs="Arial"/>
          <w:sz w:val="22"/>
          <w:szCs w:val="22"/>
        </w:rPr>
        <w:t>the NCSC "Bulk Data Principles", a copy of which can be found at https://www.ncsc.gov.uk/guidance/protecting-bulk-personal-data-main; and</w:t>
      </w:r>
    </w:p>
    <w:p w14:paraId="205A0D87" w14:textId="77777777" w:rsidR="00BB406D" w:rsidRPr="007E2618" w:rsidRDefault="00BB406D">
      <w:pPr>
        <w:pStyle w:val="AppendixText4"/>
        <w:rPr>
          <w:rFonts w:cs="Arial"/>
          <w:sz w:val="22"/>
          <w:szCs w:val="22"/>
        </w:rPr>
      </w:pPr>
      <w:r w:rsidRPr="007E2618">
        <w:rPr>
          <w:rFonts w:cs="Arial"/>
          <w:sz w:val="22"/>
          <w:szCs w:val="22"/>
        </w:rPr>
        <w:t>the NSCS "Cloud Security Principles", a copy of which can be found at: https://www.ncsc.gov.uk/guidance/implementing-cloud-security-principles and which are summarised below:</w:t>
      </w:r>
    </w:p>
    <w:p w14:paraId="39C5CA96" w14:textId="77777777" w:rsidR="00BB406D" w:rsidRPr="007E2618" w:rsidRDefault="00BB406D">
      <w:pPr>
        <w:pStyle w:val="AppendixText5"/>
        <w:rPr>
          <w:rFonts w:cs="Arial"/>
          <w:sz w:val="22"/>
          <w:szCs w:val="22"/>
        </w:rPr>
      </w:pPr>
      <w:r w:rsidRPr="007E2618">
        <w:rPr>
          <w:rFonts w:cs="Arial"/>
          <w:sz w:val="22"/>
          <w:szCs w:val="22"/>
        </w:rPr>
        <w:lastRenderedPageBreak/>
        <w:t>"Cloud Security Principle 1: data in transit protection" which, amongst other matters, requires that user data transiting networks should be adequately protected against tampering and eavesdropping;</w:t>
      </w:r>
    </w:p>
    <w:p w14:paraId="73F9AE76" w14:textId="77777777" w:rsidR="00BB406D" w:rsidRPr="007E2618" w:rsidRDefault="00BB406D">
      <w:pPr>
        <w:pStyle w:val="AppendixText5"/>
        <w:rPr>
          <w:rFonts w:cs="Arial"/>
          <w:sz w:val="22"/>
          <w:szCs w:val="22"/>
        </w:rPr>
      </w:pPr>
      <w:r w:rsidRPr="007E2618">
        <w:rPr>
          <w:rFonts w:cs="Arial"/>
          <w:sz w:val="22"/>
          <w:szCs w:val="22"/>
        </w:rPr>
        <w:t>"Cloud Security Principle 2: asset protection and resilience" which, amongst other matters, requires that user data, and the assets storing or processing it, should be protected against physical tampering, loss, damage or seizure;</w:t>
      </w:r>
    </w:p>
    <w:p w14:paraId="4CA6DA21" w14:textId="77777777" w:rsidR="00BB406D" w:rsidRPr="007E2618" w:rsidRDefault="00BB406D">
      <w:pPr>
        <w:pStyle w:val="AppendixText5"/>
        <w:rPr>
          <w:rFonts w:cs="Arial"/>
          <w:sz w:val="22"/>
          <w:szCs w:val="22"/>
        </w:rPr>
      </w:pPr>
      <w:r w:rsidRPr="007E2618">
        <w:rPr>
          <w:rFonts w:cs="Arial"/>
          <w:sz w:val="22"/>
          <w:szCs w:val="22"/>
        </w:rPr>
        <w:t>"Cloud Security Principle 3: separation between users" which, amongst other matters, requires that a malicious or compromised user of the service should not be able to affect the service or data of another;</w:t>
      </w:r>
    </w:p>
    <w:p w14:paraId="380B082B" w14:textId="77777777" w:rsidR="00BB406D" w:rsidRPr="007E2618" w:rsidRDefault="00BB406D">
      <w:pPr>
        <w:pStyle w:val="AppendixText5"/>
        <w:rPr>
          <w:rFonts w:cs="Arial"/>
          <w:sz w:val="22"/>
          <w:szCs w:val="22"/>
        </w:rPr>
      </w:pPr>
      <w:r w:rsidRPr="007E2618">
        <w:rPr>
          <w:rFonts w:cs="Arial"/>
          <w:sz w:val="22"/>
          <w:szCs w:val="22"/>
        </w:rPr>
        <w:t>"Cloud Security Principle 4: governance framework" which, amongst other matters, requires that the Provider should have a security governance framework which coordinates and directs its management of the Services and information within it;</w:t>
      </w:r>
    </w:p>
    <w:p w14:paraId="1A452DD8" w14:textId="77777777" w:rsidR="00BB406D" w:rsidRPr="007E2618" w:rsidRDefault="00BB406D">
      <w:pPr>
        <w:pStyle w:val="AppendixText5"/>
        <w:rPr>
          <w:rFonts w:cs="Arial"/>
          <w:sz w:val="22"/>
          <w:szCs w:val="22"/>
        </w:rPr>
      </w:pPr>
      <w:r w:rsidRPr="007E2618">
        <w:rPr>
          <w:rFonts w:cs="Arial"/>
          <w:sz w:val="22"/>
          <w:szCs w:val="22"/>
        </w:rPr>
        <w:t>"Cloud Security Principle 5: operational security" which, amongst other matters, requires that the Services need to be operated and managed securely in order to impede, detect or prevent a Breach of Security;</w:t>
      </w:r>
    </w:p>
    <w:p w14:paraId="6AFC713C" w14:textId="77777777" w:rsidR="00BB406D" w:rsidRPr="007E2618" w:rsidRDefault="00BB406D">
      <w:pPr>
        <w:pStyle w:val="AppendixText5"/>
        <w:rPr>
          <w:rFonts w:cs="Arial"/>
          <w:sz w:val="22"/>
          <w:szCs w:val="22"/>
        </w:rPr>
      </w:pPr>
      <w:r w:rsidRPr="007E2618">
        <w:rPr>
          <w:rFonts w:cs="Arial"/>
          <w:sz w:val="22"/>
          <w:szCs w:val="22"/>
        </w:rPr>
        <w:t>"Cloud Security Principle 6: personnel security" which, amongst other matters, requires that where Provider Personnel have access to HSE Data and/or HSE System that those personnel be subject to appropriate security screening and regular security training;</w:t>
      </w:r>
    </w:p>
    <w:p w14:paraId="71910CB8" w14:textId="77777777" w:rsidR="00BB406D" w:rsidRPr="007E2618" w:rsidRDefault="00BB406D">
      <w:pPr>
        <w:pStyle w:val="AppendixText5"/>
        <w:rPr>
          <w:rFonts w:cs="Arial"/>
          <w:sz w:val="22"/>
          <w:szCs w:val="22"/>
        </w:rPr>
      </w:pPr>
      <w:r w:rsidRPr="007E2618">
        <w:rPr>
          <w:rFonts w:cs="Arial"/>
          <w:sz w:val="22"/>
          <w:szCs w:val="22"/>
        </w:rPr>
        <w:t>"Cloud Security Principle 7: secure development" which, amongst other matters, requires that the Services be designed and developed to identify and mitigate threats to their security;</w:t>
      </w:r>
    </w:p>
    <w:p w14:paraId="64A1EDD8" w14:textId="77777777" w:rsidR="00BB406D" w:rsidRPr="007E2618" w:rsidRDefault="00BB406D">
      <w:pPr>
        <w:pStyle w:val="AppendixText5"/>
        <w:rPr>
          <w:rFonts w:cs="Arial"/>
          <w:sz w:val="22"/>
          <w:szCs w:val="22"/>
        </w:rPr>
      </w:pPr>
      <w:r w:rsidRPr="007E2618">
        <w:rPr>
          <w:rFonts w:cs="Arial"/>
          <w:sz w:val="22"/>
          <w:szCs w:val="22"/>
        </w:rPr>
        <w:t>"Cloud Security Principle 8: supply chain security" which, amongst other matters, requires the Provider to ensure that appropriate security controls are in place with its Sub-Contractors and other suppliers;</w:t>
      </w:r>
    </w:p>
    <w:p w14:paraId="332E732D" w14:textId="77777777" w:rsidR="00BB406D" w:rsidRPr="007E2618" w:rsidRDefault="00BB406D">
      <w:pPr>
        <w:pStyle w:val="AppendixText5"/>
        <w:rPr>
          <w:rFonts w:cs="Arial"/>
          <w:sz w:val="22"/>
          <w:szCs w:val="22"/>
        </w:rPr>
      </w:pPr>
      <w:r w:rsidRPr="007E2618">
        <w:rPr>
          <w:rFonts w:cs="Arial"/>
          <w:sz w:val="22"/>
          <w:szCs w:val="22"/>
        </w:rPr>
        <w:t>"Cloud Security Principle 9: secure user management" which, amongst other matters, requires the Provider to make the tools available for the HSE to securely manage the HSE's use of the Services;</w:t>
      </w:r>
    </w:p>
    <w:p w14:paraId="18055AEB" w14:textId="77777777" w:rsidR="00BB406D" w:rsidRPr="007E2618" w:rsidRDefault="00BB406D">
      <w:pPr>
        <w:pStyle w:val="AppendixText5"/>
        <w:rPr>
          <w:rFonts w:cs="Arial"/>
          <w:sz w:val="22"/>
          <w:szCs w:val="22"/>
        </w:rPr>
      </w:pPr>
      <w:r w:rsidRPr="007E2618">
        <w:rPr>
          <w:rFonts w:cs="Arial"/>
          <w:sz w:val="22"/>
          <w:szCs w:val="22"/>
        </w:rPr>
        <w:t>"Cloud Security Principle 10: identity and authentication" which, amongst other matters, requires the Provider to implement appropriate controls in order to ensure that access to Services interfaces is constrained to authenticated and authorised individuals;</w:t>
      </w:r>
    </w:p>
    <w:p w14:paraId="207DAD7C" w14:textId="77777777" w:rsidR="00BB406D" w:rsidRPr="007E2618" w:rsidRDefault="00BB406D">
      <w:pPr>
        <w:pStyle w:val="AppendixText5"/>
        <w:rPr>
          <w:rFonts w:cs="Arial"/>
          <w:sz w:val="22"/>
          <w:szCs w:val="22"/>
        </w:rPr>
      </w:pPr>
      <w:r w:rsidRPr="007E2618">
        <w:rPr>
          <w:rFonts w:cs="Arial"/>
          <w:sz w:val="22"/>
          <w:szCs w:val="22"/>
        </w:rPr>
        <w:t>"Cloud Security Principle 11: external interface protection" which, amongst other matters, requires that all external or less trusted interfaces with the Services should be identified and appropriately defended;</w:t>
      </w:r>
    </w:p>
    <w:p w14:paraId="107525CC" w14:textId="77777777" w:rsidR="00BB406D" w:rsidRPr="007E2618" w:rsidRDefault="00BB406D">
      <w:pPr>
        <w:pStyle w:val="AppendixText5"/>
        <w:rPr>
          <w:rFonts w:cs="Arial"/>
          <w:sz w:val="22"/>
          <w:szCs w:val="22"/>
        </w:rPr>
      </w:pPr>
      <w:r w:rsidRPr="007E2618">
        <w:rPr>
          <w:rFonts w:cs="Arial"/>
          <w:sz w:val="22"/>
          <w:szCs w:val="22"/>
        </w:rPr>
        <w:t xml:space="preserve">"Cloud Security Principle 12: secure service administration" which, amongst other matters, requires that any ICT system which is used </w:t>
      </w:r>
      <w:r w:rsidRPr="007E2618">
        <w:rPr>
          <w:rFonts w:cs="Arial"/>
          <w:sz w:val="22"/>
          <w:szCs w:val="22"/>
        </w:rPr>
        <w:lastRenderedPageBreak/>
        <w:t>for administration of a cloud service will have highly privileged access to that service;</w:t>
      </w:r>
    </w:p>
    <w:p w14:paraId="7937BBFA" w14:textId="77777777" w:rsidR="00BB406D" w:rsidRPr="007E2618" w:rsidRDefault="00BB406D">
      <w:pPr>
        <w:pStyle w:val="AppendixText5"/>
        <w:rPr>
          <w:rFonts w:cs="Arial"/>
          <w:sz w:val="22"/>
          <w:szCs w:val="22"/>
        </w:rPr>
      </w:pPr>
      <w:r w:rsidRPr="007E2618">
        <w:rPr>
          <w:rFonts w:cs="Arial"/>
          <w:sz w:val="22"/>
          <w:szCs w:val="22"/>
        </w:rPr>
        <w:t>"Cloud Security Principle 13: audit information for users" which, amongst other matters, requires the Provider to be able to provide the HSE with the audit records it needs to monitor access to the Service and the HSE Data held by the Provider and/or its Sub-Contractors; and</w:t>
      </w:r>
    </w:p>
    <w:p w14:paraId="6A3360DA" w14:textId="77777777" w:rsidR="00BB406D" w:rsidRPr="00024F2F" w:rsidRDefault="00BB406D">
      <w:pPr>
        <w:pStyle w:val="AppendixText5"/>
        <w:rPr>
          <w:rFonts w:cs="Arial"/>
        </w:rPr>
      </w:pPr>
      <w:r w:rsidRPr="007E2618">
        <w:rPr>
          <w:rFonts w:cs="Arial"/>
          <w:sz w:val="22"/>
          <w:szCs w:val="22"/>
        </w:rPr>
        <w:t>"Cloud Security Principle 14: secure use of the service" which, amongst other matters, requires the Provider to educate Provider Personnel on the safe and secure use of the Information Management System.</w:t>
      </w:r>
    </w:p>
    <w:p w14:paraId="439400EE" w14:textId="77777777" w:rsidR="00BB406D" w:rsidRDefault="00BB406D" w:rsidP="00BB406D">
      <w:pPr>
        <w:rPr>
          <w:rFonts w:cs="Arial"/>
          <w:szCs w:val="24"/>
          <w:lang w:eastAsia="en-GB"/>
        </w:rPr>
      </w:pPr>
    </w:p>
    <w:p w14:paraId="1513698D" w14:textId="77777777" w:rsidR="000407D7" w:rsidRDefault="000407D7">
      <w:pPr>
        <w:pStyle w:val="AppendixText1"/>
      </w:pPr>
      <w:r w:rsidRPr="001A1836">
        <w:t xml:space="preserve">HSE’s Security Policy </w:t>
      </w:r>
    </w:p>
    <w:p w14:paraId="188BC035" w14:textId="18111195" w:rsidR="00835CCA" w:rsidRPr="00835CCA" w:rsidRDefault="00835CCA" w:rsidP="00835CCA">
      <w:pPr>
        <w:pStyle w:val="AppendixText1"/>
        <w:numPr>
          <w:ilvl w:val="0"/>
          <w:numId w:val="0"/>
        </w:numPr>
        <w:ind w:left="567" w:hanging="567"/>
        <w:rPr>
          <w:b w:val="0"/>
          <w:bCs/>
        </w:rPr>
      </w:pPr>
      <w:r>
        <w:t>11.1</w:t>
      </w:r>
      <w:r>
        <w:tab/>
      </w:r>
      <w:r w:rsidRPr="00835CCA">
        <w:rPr>
          <w:b w:val="0"/>
          <w:bCs/>
        </w:rPr>
        <w:t xml:space="preserve">The Policy includes a number of links to other parts of the HSE Intranet which are non-functional if used outside the HSE network.  HSE has reviewed the linked Intranet pages and with the exception of the Personal Commitment Statement, do not consider that they will be of value to bidders.  A copy of the PCS checklist is provided as this does include statement of IT and Information security policies.  </w:t>
      </w:r>
    </w:p>
    <w:p w14:paraId="24C4F607" w14:textId="77777777" w:rsidR="000407D7" w:rsidRPr="00DA0D78" w:rsidRDefault="000407D7" w:rsidP="000407D7">
      <w:pPr>
        <w:rPr>
          <w:lang w:eastAsia="zh-CN"/>
        </w:rPr>
      </w:pPr>
    </w:p>
    <w:bookmarkStart w:id="3540" w:name="_MON_1746267011"/>
    <w:bookmarkEnd w:id="3540"/>
    <w:p w14:paraId="50E87CC6" w14:textId="0CF419D7" w:rsidR="000407D7" w:rsidRDefault="000407D7" w:rsidP="000407D7">
      <w:r>
        <w:object w:dxaOrig="1481" w:dyaOrig="978" w14:anchorId="6BAB7F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4.55pt;height:48.85pt" o:ole="">
            <v:imagedata r:id="rId65" o:title=""/>
          </v:shape>
          <o:OLEObject Type="Embed" ProgID="Word.Document.12" ShapeID="_x0000_i1026" DrawAspect="Icon" ObjectID="_1802507685" r:id="rId66">
            <o:FieldCodes>\s</o:FieldCodes>
          </o:OLEObject>
        </w:object>
      </w:r>
      <w:r>
        <w:t xml:space="preserve"> </w:t>
      </w:r>
      <w:r>
        <w:object w:dxaOrig="1481" w:dyaOrig="978" w14:anchorId="2D40413C">
          <v:shape id="_x0000_i1027" type="#_x0000_t75" style="width:74.55pt;height:48.85pt" o:ole="">
            <v:imagedata r:id="rId67" o:title=""/>
          </v:shape>
          <o:OLEObject Type="Embed" ProgID="NuancePDF.Document" ShapeID="_x0000_i1027" DrawAspect="Icon" ObjectID="_1802507686" r:id="rId68"/>
        </w:object>
      </w:r>
    </w:p>
    <w:p w14:paraId="02079A2A" w14:textId="77777777" w:rsidR="000407D7" w:rsidRDefault="000407D7" w:rsidP="000407D7"/>
    <w:p w14:paraId="50176EED" w14:textId="1FF48D38" w:rsidR="000407D7" w:rsidRPr="00024F2F" w:rsidRDefault="000407D7" w:rsidP="00BB406D">
      <w:pPr>
        <w:rPr>
          <w:rFonts w:cs="Arial"/>
          <w:szCs w:val="24"/>
          <w:lang w:eastAsia="en-GB"/>
        </w:rPr>
        <w:sectPr w:rsidR="000407D7" w:rsidRPr="00024F2F" w:rsidSect="00506868">
          <w:pgSz w:w="11909" w:h="16834"/>
          <w:pgMar w:top="1418" w:right="1418" w:bottom="1418" w:left="1418" w:header="709" w:footer="709" w:gutter="0"/>
          <w:paperSrc w:first="265" w:other="265"/>
          <w:cols w:space="720"/>
          <w:docGrid w:linePitch="326"/>
        </w:sectPr>
      </w:pPr>
    </w:p>
    <w:p w14:paraId="2E074ADF" w14:textId="77777777" w:rsidR="00BB406D" w:rsidRPr="00024F2F" w:rsidRDefault="00BB406D" w:rsidP="00BB406D">
      <w:pPr>
        <w:pStyle w:val="Heading2"/>
        <w:rPr>
          <w:rFonts w:cs="Arial"/>
          <w:szCs w:val="24"/>
        </w:rPr>
      </w:pPr>
      <w:bookmarkStart w:id="3541" w:name="_Ref_ContractCompanion_9kb9Ur5FB"/>
      <w:bookmarkStart w:id="3542" w:name="_Ref_ContractCompanion_9kb9Ur5FD"/>
      <w:bookmarkStart w:id="3543" w:name="_Ref_ContractCompanion_9kb9Ur5FF"/>
      <w:bookmarkStart w:id="3544" w:name="_Toc135566125"/>
      <w:bookmarkStart w:id="3545" w:name="_Toc135566378"/>
      <w:bookmarkStart w:id="3546" w:name="_Toc135566668"/>
      <w:bookmarkStart w:id="3547" w:name="_Toc135568833"/>
      <w:bookmarkStart w:id="3548" w:name="_Toc135569085"/>
      <w:bookmarkStart w:id="3549" w:name="_Toc135569374"/>
      <w:bookmarkStart w:id="3550" w:name="_Toc136198527"/>
      <w:bookmarkStart w:id="3551" w:name="_Toc136198781"/>
      <w:bookmarkStart w:id="3552" w:name="_Toc136199062"/>
      <w:r w:rsidRPr="00024F2F">
        <w:rPr>
          <w:rFonts w:cs="Arial"/>
          <w:szCs w:val="24"/>
        </w:rPr>
        <w:lastRenderedPageBreak/>
        <w:t xml:space="preserve">ANNEX </w:t>
      </w:r>
      <w:bookmarkStart w:id="3553" w:name="ANNEX2_SCHEDULE5"/>
      <w:bookmarkStart w:id="3554" w:name="ANNEX2_PARTA_SCHEDULE5"/>
      <w:r w:rsidRPr="00024F2F">
        <w:rPr>
          <w:rFonts w:cs="Arial"/>
          <w:szCs w:val="24"/>
        </w:rPr>
        <w:t>2</w:t>
      </w:r>
      <w:bookmarkEnd w:id="3553"/>
      <w:bookmarkEnd w:id="3554"/>
      <w:r w:rsidRPr="00024F2F">
        <w:rPr>
          <w:rFonts w:cs="Arial"/>
          <w:szCs w:val="24"/>
        </w:rPr>
        <w:t>: SECURITY REQUIREMENTS FOR SUB-CONTRACTORS</w:t>
      </w:r>
      <w:bookmarkEnd w:id="3541"/>
      <w:bookmarkEnd w:id="3542"/>
      <w:bookmarkEnd w:id="3543"/>
      <w:bookmarkEnd w:id="3544"/>
      <w:bookmarkEnd w:id="3545"/>
      <w:bookmarkEnd w:id="3546"/>
      <w:bookmarkEnd w:id="3547"/>
      <w:bookmarkEnd w:id="3548"/>
      <w:bookmarkEnd w:id="3549"/>
      <w:bookmarkEnd w:id="3550"/>
      <w:bookmarkEnd w:id="3551"/>
      <w:bookmarkEnd w:id="3552"/>
    </w:p>
    <w:p w14:paraId="68D01F81" w14:textId="77777777" w:rsidR="00BB406D" w:rsidRPr="00151795" w:rsidRDefault="00BB406D" w:rsidP="004E2262">
      <w:pPr>
        <w:pStyle w:val="AppendixText1"/>
        <w:numPr>
          <w:ilvl w:val="0"/>
          <w:numId w:val="99"/>
        </w:numPr>
        <w:rPr>
          <w:rFonts w:cs="Arial"/>
        </w:rPr>
      </w:pPr>
      <w:r w:rsidRPr="00151795">
        <w:rPr>
          <w:rFonts w:cs="Arial"/>
        </w:rPr>
        <w:t>Application of Annex</w:t>
      </w:r>
    </w:p>
    <w:p w14:paraId="1355978B" w14:textId="77777777" w:rsidR="00BB406D" w:rsidRPr="007E2618" w:rsidRDefault="00BB406D">
      <w:pPr>
        <w:pStyle w:val="AppendixText2"/>
        <w:rPr>
          <w:rFonts w:cs="Arial"/>
          <w:sz w:val="22"/>
          <w:szCs w:val="22"/>
        </w:rPr>
      </w:pPr>
      <w:r w:rsidRPr="007E2618">
        <w:rPr>
          <w:rFonts w:cs="Arial"/>
          <w:sz w:val="22"/>
          <w:szCs w:val="22"/>
        </w:rPr>
        <w:t>This Annex applies to all Sub-Contractors that Process HSE Data.</w:t>
      </w:r>
    </w:p>
    <w:p w14:paraId="55A376C0" w14:textId="77777777" w:rsidR="00BB406D" w:rsidRPr="007E2618" w:rsidRDefault="00BB406D">
      <w:pPr>
        <w:pStyle w:val="AppendixText2"/>
        <w:rPr>
          <w:rFonts w:cs="Arial"/>
          <w:sz w:val="22"/>
          <w:szCs w:val="22"/>
        </w:rPr>
      </w:pPr>
      <w:r w:rsidRPr="007E2618">
        <w:rPr>
          <w:rFonts w:cs="Arial"/>
          <w:sz w:val="22"/>
          <w:szCs w:val="22"/>
        </w:rPr>
        <w:t>The Provider must:</w:t>
      </w:r>
    </w:p>
    <w:p w14:paraId="7B0F99FC" w14:textId="77777777" w:rsidR="00BB406D" w:rsidRPr="007E2618" w:rsidRDefault="00BB406D">
      <w:pPr>
        <w:pStyle w:val="AppendixText4"/>
        <w:rPr>
          <w:rFonts w:cs="Arial"/>
          <w:sz w:val="22"/>
          <w:szCs w:val="22"/>
        </w:rPr>
      </w:pPr>
      <w:r w:rsidRPr="007E2618">
        <w:rPr>
          <w:rFonts w:cs="Arial"/>
          <w:sz w:val="22"/>
          <w:szCs w:val="22"/>
        </w:rPr>
        <w:t>ensure that those Sub-Contractors comply with the provisions of this Annex;</w:t>
      </w:r>
    </w:p>
    <w:p w14:paraId="20934A84" w14:textId="77777777" w:rsidR="00BB406D" w:rsidRPr="007E2618" w:rsidRDefault="00BB406D">
      <w:pPr>
        <w:pStyle w:val="AppendixText4"/>
        <w:rPr>
          <w:rFonts w:cs="Arial"/>
          <w:sz w:val="22"/>
          <w:szCs w:val="22"/>
        </w:rPr>
      </w:pPr>
      <w:r w:rsidRPr="007E2618">
        <w:rPr>
          <w:rFonts w:cs="Arial"/>
          <w:sz w:val="22"/>
          <w:szCs w:val="22"/>
        </w:rPr>
        <w:t>keep sufficient records to demonstrate that compliance to the HSE; and</w:t>
      </w:r>
    </w:p>
    <w:p w14:paraId="4D9E6811" w14:textId="77777777" w:rsidR="00BB406D" w:rsidRPr="00024F2F" w:rsidRDefault="00BB406D">
      <w:pPr>
        <w:pStyle w:val="AppendixText4"/>
        <w:rPr>
          <w:rFonts w:cs="Arial"/>
        </w:rPr>
      </w:pPr>
      <w:r w:rsidRPr="007E2618">
        <w:rPr>
          <w:rFonts w:cs="Arial"/>
          <w:sz w:val="22"/>
          <w:szCs w:val="22"/>
        </w:rPr>
        <w:t>ensure that its Transition Plan includes Deliverables, milestones and milestone dates that relate to the design, implementation and management of any systems used by Sub-Contractors to Process HSE Data.</w:t>
      </w:r>
    </w:p>
    <w:p w14:paraId="510B4445" w14:textId="77777777" w:rsidR="00BB406D" w:rsidRPr="00024F2F" w:rsidRDefault="00BB406D">
      <w:pPr>
        <w:pStyle w:val="AppendixText1"/>
        <w:rPr>
          <w:rFonts w:cs="Arial"/>
        </w:rPr>
      </w:pPr>
      <w:r w:rsidRPr="00024F2F">
        <w:rPr>
          <w:rFonts w:cs="Arial"/>
        </w:rPr>
        <w:t>Designing and managing secure solutions</w:t>
      </w:r>
    </w:p>
    <w:p w14:paraId="3846DAB7" w14:textId="77777777" w:rsidR="00BB406D" w:rsidRPr="007E2618" w:rsidRDefault="00BB406D">
      <w:pPr>
        <w:pStyle w:val="AppendixText2"/>
        <w:rPr>
          <w:rFonts w:cs="Arial"/>
          <w:sz w:val="22"/>
          <w:szCs w:val="22"/>
        </w:rPr>
      </w:pPr>
      <w:r w:rsidRPr="007E2618">
        <w:rPr>
          <w:rFonts w:cs="Arial"/>
          <w:sz w:val="22"/>
          <w:szCs w:val="22"/>
        </w:rPr>
        <w:t xml:space="preserve">The Sub-Contractor shall implement their solution(s) to mitigate the security risks in accordance with the NCSC’s Cyber Security Design Principles https://www.ncsc.gov.uk/collection/cyber-security-design-principles. </w:t>
      </w:r>
    </w:p>
    <w:p w14:paraId="11417B8B" w14:textId="5DA282F6" w:rsidR="00BB406D" w:rsidRPr="007E2618" w:rsidRDefault="00BB406D">
      <w:pPr>
        <w:pStyle w:val="AppendixText2"/>
        <w:rPr>
          <w:rFonts w:cs="Arial"/>
          <w:sz w:val="22"/>
          <w:szCs w:val="22"/>
        </w:rPr>
      </w:pPr>
      <w:r w:rsidRPr="007E2618">
        <w:rPr>
          <w:rFonts w:cs="Arial"/>
          <w:sz w:val="22"/>
          <w:szCs w:val="22"/>
        </w:rPr>
        <w:t xml:space="preserve">The Sub-Contractor must assess their systems against the NCSC Cloud Security Principles:  </w:t>
      </w:r>
      <w:hyperlink r:id="rId69" w:history="1">
        <w:r w:rsidRPr="007E2618">
          <w:rPr>
            <w:rFonts w:cs="Arial"/>
            <w:sz w:val="22"/>
            <w:szCs w:val="22"/>
          </w:rPr>
          <w:t>https://www.ncsc.gov.uk/collection/cloud-security?curPage=/collection/cloud-security/implementing-the-cloud-security-principles</w:t>
        </w:r>
      </w:hyperlink>
      <w:r w:rsidRPr="007E2618">
        <w:rPr>
          <w:rFonts w:cs="Arial"/>
          <w:sz w:val="22"/>
          <w:szCs w:val="22"/>
        </w:rPr>
        <w:t xml:space="preserve"> at their own cost and expense to demonstrate that the people, process, technical and physical controls have been delivered in an effective way. The Sub-contractor must document that assessment and make that documentation available to the HSE on the HSE’s request.</w:t>
      </w:r>
    </w:p>
    <w:p w14:paraId="182D4DE7" w14:textId="77777777" w:rsidR="00BB406D" w:rsidRPr="0029242C" w:rsidRDefault="00BB406D">
      <w:pPr>
        <w:pStyle w:val="AppendixText1"/>
        <w:rPr>
          <w:rFonts w:cs="Arial"/>
        </w:rPr>
      </w:pPr>
      <w:r w:rsidRPr="00024F2F">
        <w:rPr>
          <w:rFonts w:cs="Arial"/>
        </w:rPr>
        <w:t xml:space="preserve">Data Processing, Storage, Management and </w:t>
      </w:r>
      <w:r w:rsidRPr="0029242C">
        <w:rPr>
          <w:rFonts w:cs="Arial"/>
        </w:rPr>
        <w:t>Destruction</w:t>
      </w:r>
    </w:p>
    <w:p w14:paraId="1D12588F" w14:textId="77777777" w:rsidR="00BB406D" w:rsidRPr="0029242C" w:rsidRDefault="00BB406D">
      <w:pPr>
        <w:pStyle w:val="AppendixText2"/>
        <w:rPr>
          <w:rFonts w:cs="Arial"/>
          <w:sz w:val="22"/>
          <w:szCs w:val="22"/>
        </w:rPr>
      </w:pPr>
      <w:bookmarkStart w:id="3555" w:name="_Ref_ContractCompanion_9kb9Ur5FJ"/>
      <w:r w:rsidRPr="0029242C">
        <w:rPr>
          <w:rFonts w:cs="Arial"/>
          <w:sz w:val="22"/>
          <w:szCs w:val="22"/>
        </w:rPr>
        <w:t>The Sub-contractor must not Process any HSE Data outside the UK. The HSE may permit the Sub-contractor to Process HSE Data outside the UK and may impose conditions on that permission, with which the Sub-contractor must comply. Any permission must be in writing to be effective.</w:t>
      </w:r>
      <w:bookmarkEnd w:id="3555"/>
    </w:p>
    <w:p w14:paraId="63DC1DEB" w14:textId="77777777" w:rsidR="00BB406D" w:rsidRPr="007E2618" w:rsidRDefault="00BB406D">
      <w:pPr>
        <w:pStyle w:val="AppendixText2"/>
        <w:rPr>
          <w:rFonts w:cs="Arial"/>
          <w:sz w:val="22"/>
          <w:szCs w:val="22"/>
        </w:rPr>
      </w:pPr>
      <w:bookmarkStart w:id="3556" w:name="_Hlk89716020"/>
      <w:r w:rsidRPr="007E2618">
        <w:rPr>
          <w:rFonts w:cs="Arial"/>
          <w:sz w:val="22"/>
          <w:szCs w:val="22"/>
        </w:rPr>
        <w:t>The Sub-Contractor must  when requested to do so by the HSE:</w:t>
      </w:r>
    </w:p>
    <w:p w14:paraId="0E74B483" w14:textId="77777777" w:rsidR="00BB406D" w:rsidRPr="007E2618" w:rsidRDefault="00BB406D">
      <w:pPr>
        <w:pStyle w:val="AppendixText4"/>
        <w:rPr>
          <w:rFonts w:cs="Arial"/>
          <w:sz w:val="22"/>
          <w:szCs w:val="22"/>
        </w:rPr>
      </w:pPr>
      <w:r w:rsidRPr="007E2618">
        <w:rPr>
          <w:rFonts w:cs="Arial"/>
          <w:sz w:val="22"/>
          <w:szCs w:val="22"/>
        </w:rPr>
        <w:t xml:space="preserve">securely destroy HSE Data only on Sites which are included within the scope of an existing certification of compliance with ISO/IEC 27001 (at least ISO/IEC 27001:2013); </w:t>
      </w:r>
    </w:p>
    <w:p w14:paraId="2E3DCDE6" w14:textId="77777777" w:rsidR="00BB406D" w:rsidRPr="007E2618" w:rsidRDefault="00BB406D">
      <w:pPr>
        <w:pStyle w:val="AppendixText4"/>
        <w:rPr>
          <w:rFonts w:cs="Arial"/>
          <w:sz w:val="22"/>
          <w:szCs w:val="22"/>
        </w:rPr>
      </w:pPr>
      <w:r w:rsidRPr="007E2618">
        <w:rPr>
          <w:rFonts w:cs="Arial"/>
          <w:sz w:val="22"/>
          <w:szCs w:val="22"/>
        </w:rPr>
        <w:t xml:space="preserve">satisfy the HSE that their data destruction/deletion practices comply with UK GDPR requirements and follows all relevant NCSC guidance; and </w:t>
      </w:r>
    </w:p>
    <w:p w14:paraId="1410AEE6" w14:textId="77777777" w:rsidR="00BB406D" w:rsidRPr="00024F2F" w:rsidRDefault="00BB406D">
      <w:pPr>
        <w:pStyle w:val="AppendixText4"/>
        <w:rPr>
          <w:rFonts w:cs="Arial"/>
        </w:rPr>
      </w:pPr>
      <w:r w:rsidRPr="007E2618">
        <w:rPr>
          <w:rFonts w:cs="Arial"/>
          <w:sz w:val="22"/>
          <w:szCs w:val="22"/>
        </w:rPr>
        <w:t>maintain an asset register of all HSE supplied information, data and equipment to ensure HSE assets are returned and/or deleted.</w:t>
      </w:r>
    </w:p>
    <w:bookmarkEnd w:id="3556"/>
    <w:p w14:paraId="5F1265D3" w14:textId="77777777" w:rsidR="00BB406D" w:rsidRPr="00024F2F" w:rsidRDefault="00BB406D">
      <w:pPr>
        <w:pStyle w:val="AppendixText1"/>
        <w:rPr>
          <w:rFonts w:cs="Arial"/>
        </w:rPr>
      </w:pPr>
      <w:r w:rsidRPr="00024F2F">
        <w:rPr>
          <w:rFonts w:cs="Arial"/>
        </w:rPr>
        <w:t>Personnel Security</w:t>
      </w:r>
    </w:p>
    <w:p w14:paraId="5FD9394D" w14:textId="77777777" w:rsidR="00BB406D" w:rsidRPr="007E2618" w:rsidRDefault="00BB406D">
      <w:pPr>
        <w:pStyle w:val="AppendixText2"/>
        <w:rPr>
          <w:rFonts w:cs="Arial"/>
          <w:sz w:val="22"/>
          <w:szCs w:val="22"/>
        </w:rPr>
      </w:pPr>
      <w:r w:rsidRPr="007E2618">
        <w:rPr>
          <w:rFonts w:cs="Arial"/>
          <w:sz w:val="22"/>
          <w:szCs w:val="22"/>
        </w:rPr>
        <w:t xml:space="preserve">The Sub-Contractor must perform appropriate checks on their staff before they may participate in the provision and or management of the Services. Those checks must include all pre-employment checks required by the HMG Baseline Personnel Security </w:t>
      </w:r>
      <w:r w:rsidRPr="007E2618">
        <w:rPr>
          <w:rFonts w:cs="Arial"/>
          <w:sz w:val="22"/>
          <w:szCs w:val="22"/>
        </w:rPr>
        <w:lastRenderedPageBreak/>
        <w:t>Standard including: verification of the individual's identity; verification of the individual's nationality and immigration status; verification of the individual's employment history; and verification of the individual's criminal record. The HMG Baseline Personnel Security Standard is at https://www.gov.uk/government/publications/government-baseline-personnel-security-standard.</w:t>
      </w:r>
    </w:p>
    <w:p w14:paraId="2B781D29" w14:textId="77777777" w:rsidR="00BB406D" w:rsidRPr="007E2618" w:rsidRDefault="00BB406D">
      <w:pPr>
        <w:pStyle w:val="AppendixText2"/>
        <w:rPr>
          <w:rFonts w:cs="Arial"/>
          <w:sz w:val="22"/>
          <w:szCs w:val="22"/>
        </w:rPr>
      </w:pPr>
      <w:r w:rsidRPr="007E2618">
        <w:rPr>
          <w:rFonts w:cs="Arial"/>
          <w:sz w:val="22"/>
          <w:szCs w:val="22"/>
        </w:rPr>
        <w:t>The Sub-Contractor must, if the HSE requires, at any time, ensure that one or more of the Sub-Contractor’s staff obtains Security Check clearance in order to Process HSE Data containing Personal Data above certain volumes specified by the HSE, or containing Special Category Personal Data.</w:t>
      </w:r>
    </w:p>
    <w:p w14:paraId="3A036DBC" w14:textId="77777777" w:rsidR="00BB406D" w:rsidRPr="007E2618" w:rsidRDefault="00BB406D">
      <w:pPr>
        <w:pStyle w:val="AppendixText2"/>
        <w:rPr>
          <w:rFonts w:cs="Arial"/>
          <w:sz w:val="22"/>
          <w:szCs w:val="22"/>
        </w:rPr>
      </w:pPr>
      <w:r w:rsidRPr="007E2618">
        <w:rPr>
          <w:rFonts w:cs="Arial"/>
          <w:sz w:val="22"/>
          <w:szCs w:val="22"/>
        </w:rPr>
        <w:t>Any Sub-Contractor staff who will, when performing the Services, have access to a person under the age of 18 years must undergo Disclosure and Barring Service checks.</w:t>
      </w:r>
    </w:p>
    <w:p w14:paraId="309595D9" w14:textId="77777777" w:rsidR="00BB406D" w:rsidRPr="00024F2F" w:rsidRDefault="00BB406D">
      <w:pPr>
        <w:pStyle w:val="AppendixText1"/>
        <w:rPr>
          <w:rFonts w:cs="Arial"/>
        </w:rPr>
      </w:pPr>
      <w:r w:rsidRPr="00024F2F">
        <w:rPr>
          <w:rFonts w:cs="Arial"/>
        </w:rPr>
        <w:t>End User Devices</w:t>
      </w:r>
    </w:p>
    <w:p w14:paraId="75A2636C" w14:textId="77777777" w:rsidR="00BB406D" w:rsidRPr="007E2618" w:rsidRDefault="00BB406D">
      <w:pPr>
        <w:pStyle w:val="AppendixText2"/>
        <w:rPr>
          <w:b/>
          <w:bCs/>
          <w:sz w:val="22"/>
          <w:szCs w:val="22"/>
        </w:rPr>
      </w:pPr>
      <w:r w:rsidRPr="007E2618">
        <w:rPr>
          <w:sz w:val="22"/>
          <w:szCs w:val="22"/>
        </w:rPr>
        <w:t>The Provider must manage, and must ensure that all Sub-Contractors manage, all end-user devices used by the Provider on which HSE Data is Processed in accordance the following requirements:</w:t>
      </w:r>
    </w:p>
    <w:p w14:paraId="1307E263" w14:textId="77777777" w:rsidR="000671D8" w:rsidRDefault="00BB406D" w:rsidP="000671D8">
      <w:pPr>
        <w:pStyle w:val="AppendixText3"/>
        <w:rPr>
          <w:b/>
          <w:bCs/>
          <w:sz w:val="22"/>
          <w:szCs w:val="22"/>
        </w:rPr>
      </w:pPr>
      <w:r w:rsidRPr="007E2618">
        <w:rPr>
          <w:sz w:val="22"/>
          <w:szCs w:val="22"/>
        </w:rPr>
        <w:t>the operating system and any applications that Process or have access to HSE Data must be in current support by the vendor, or the relevant community in the case of open source operating systems or applications;</w:t>
      </w:r>
    </w:p>
    <w:p w14:paraId="624ED637" w14:textId="31C2A385" w:rsidR="00BB406D" w:rsidRPr="000671D8" w:rsidRDefault="00BB406D" w:rsidP="000671D8">
      <w:pPr>
        <w:pStyle w:val="AppendixText3"/>
        <w:rPr>
          <w:b/>
          <w:bCs/>
          <w:sz w:val="22"/>
          <w:szCs w:val="22"/>
        </w:rPr>
      </w:pPr>
      <w:r w:rsidRPr="000671D8">
        <w:rPr>
          <w:sz w:val="22"/>
          <w:szCs w:val="22"/>
        </w:rPr>
        <w:t>users must authenticate before gaining access;</w:t>
      </w:r>
    </w:p>
    <w:p w14:paraId="5E161EAB" w14:textId="77777777" w:rsidR="000671D8" w:rsidRPr="000671D8" w:rsidRDefault="00BB406D">
      <w:pPr>
        <w:pStyle w:val="AppendixText3"/>
        <w:rPr>
          <w:b/>
          <w:bCs/>
          <w:sz w:val="22"/>
          <w:szCs w:val="22"/>
        </w:rPr>
      </w:pPr>
      <w:r w:rsidRPr="007E2618">
        <w:rPr>
          <w:sz w:val="22"/>
          <w:szCs w:val="22"/>
        </w:rPr>
        <w:t>all HSE Data must be encrypted using an encryption tool agreed to by the HSE;</w:t>
      </w:r>
      <w:r w:rsidR="000671D8" w:rsidRPr="000671D8">
        <w:rPr>
          <w:sz w:val="22"/>
          <w:szCs w:val="22"/>
        </w:rPr>
        <w:t xml:space="preserve"> </w:t>
      </w:r>
    </w:p>
    <w:p w14:paraId="057CDD77" w14:textId="3D8CD00C" w:rsidR="00BB406D" w:rsidRPr="007E2618" w:rsidRDefault="000671D8">
      <w:pPr>
        <w:pStyle w:val="AppendixText3"/>
        <w:rPr>
          <w:b/>
          <w:bCs/>
          <w:sz w:val="22"/>
          <w:szCs w:val="22"/>
        </w:rPr>
      </w:pPr>
      <w:r w:rsidRPr="007E2618">
        <w:rPr>
          <w:sz w:val="22"/>
          <w:szCs w:val="22"/>
        </w:rPr>
        <w:t>the end-user device must lock and require any user to re-authenticate after a period of time that is proportionate to the risk environment, during which the end-user device is inactive;</w:t>
      </w:r>
    </w:p>
    <w:p w14:paraId="5870433B" w14:textId="77777777" w:rsidR="000671D8" w:rsidRPr="000671D8" w:rsidRDefault="00BB406D">
      <w:pPr>
        <w:pStyle w:val="AppendixText3"/>
        <w:rPr>
          <w:b/>
          <w:bCs/>
          <w:sz w:val="22"/>
          <w:szCs w:val="22"/>
        </w:rPr>
      </w:pPr>
      <w:r w:rsidRPr="007E2618">
        <w:rPr>
          <w:sz w:val="22"/>
          <w:szCs w:val="22"/>
        </w:rPr>
        <w:t>the end-user device must be managed in a way that allows for the application of technical policies and controls over applications that have access to HSE Data;</w:t>
      </w:r>
      <w:r w:rsidR="000671D8" w:rsidRPr="000671D8">
        <w:rPr>
          <w:sz w:val="22"/>
          <w:szCs w:val="22"/>
        </w:rPr>
        <w:t xml:space="preserve"> </w:t>
      </w:r>
    </w:p>
    <w:p w14:paraId="6070A99A" w14:textId="4BC179F3" w:rsidR="00BB406D" w:rsidRPr="007E2618" w:rsidRDefault="000671D8">
      <w:pPr>
        <w:pStyle w:val="AppendixText3"/>
        <w:rPr>
          <w:b/>
          <w:bCs/>
          <w:sz w:val="22"/>
          <w:szCs w:val="22"/>
        </w:rPr>
      </w:pPr>
      <w:r w:rsidRPr="007E2618">
        <w:rPr>
          <w:sz w:val="22"/>
          <w:szCs w:val="22"/>
        </w:rPr>
        <w:t>the Provider or Sub-Contractor, as applicable, can, without physical access to the end-user device, remove or make inaccessible all HSE Data on the device and prevent any user or group of users from accessing the device;</w:t>
      </w:r>
    </w:p>
    <w:p w14:paraId="4C9C2CC8" w14:textId="77777777" w:rsidR="00BB406D" w:rsidRPr="007E2618" w:rsidRDefault="00BB406D">
      <w:pPr>
        <w:pStyle w:val="AppendixText3"/>
        <w:rPr>
          <w:b/>
          <w:bCs/>
          <w:sz w:val="22"/>
          <w:szCs w:val="22"/>
        </w:rPr>
      </w:pPr>
      <w:r w:rsidRPr="007E2618">
        <w:rPr>
          <w:sz w:val="22"/>
          <w:szCs w:val="22"/>
        </w:rPr>
        <w:t xml:space="preserve">all end-user devices are within in the scope of any current Cyber Essentials Plus certificate held by the Provider, or any ISO/IEC 27001 </w:t>
      </w:r>
      <w:r w:rsidRPr="007E2618">
        <w:rPr>
          <w:rFonts w:cs="Arial"/>
          <w:sz w:val="22"/>
          <w:szCs w:val="22"/>
        </w:rPr>
        <w:t>(at least ISO/IEC 27001:2013)</w:t>
      </w:r>
      <w:r w:rsidRPr="007E2618">
        <w:rPr>
          <w:sz w:val="22"/>
          <w:szCs w:val="22"/>
        </w:rPr>
        <w:t xml:space="preserve"> certification issued by a UKAS-approved certification body, where the scope of that certification includes the Services.</w:t>
      </w:r>
    </w:p>
    <w:p w14:paraId="51713095" w14:textId="77777777" w:rsidR="000671D8" w:rsidRDefault="00BB406D" w:rsidP="000671D8">
      <w:pPr>
        <w:pStyle w:val="AppendixText2"/>
        <w:rPr>
          <w:b/>
          <w:bCs/>
          <w:sz w:val="22"/>
          <w:szCs w:val="22"/>
        </w:rPr>
      </w:pPr>
      <w:r w:rsidRPr="007E2618">
        <w:rPr>
          <w:sz w:val="22"/>
          <w:szCs w:val="22"/>
        </w:rPr>
        <w:t>The Provider must comply, and ensure that all Sub-Contractors comply, with the recommendations in NCSC Device Guidance, as updated, amended or replaced from time to time, as if those recommendations were incorporated as specific obligations under this Agreement.</w:t>
      </w:r>
    </w:p>
    <w:p w14:paraId="1B1D1983" w14:textId="4B95EB50" w:rsidR="00BB406D" w:rsidRPr="000671D8" w:rsidRDefault="00BB406D" w:rsidP="000671D8">
      <w:pPr>
        <w:pStyle w:val="AppendixText2"/>
        <w:rPr>
          <w:b/>
          <w:bCs/>
          <w:sz w:val="22"/>
          <w:szCs w:val="22"/>
        </w:rPr>
      </w:pPr>
      <w:r w:rsidRPr="000671D8">
        <w:rPr>
          <w:sz w:val="22"/>
          <w:szCs w:val="22"/>
        </w:rPr>
        <w:lastRenderedPageBreak/>
        <w:t>Where there any conflict between the requirements of this Schedule and the requirements of the NCSC Device Guidance, the requirements of this Schedule will take precedence.</w:t>
      </w:r>
    </w:p>
    <w:p w14:paraId="46686BCA" w14:textId="77777777" w:rsidR="00BB406D" w:rsidRPr="00024F2F" w:rsidRDefault="00BB406D">
      <w:pPr>
        <w:pStyle w:val="AppendixText1"/>
        <w:rPr>
          <w:rFonts w:cs="Arial"/>
        </w:rPr>
      </w:pPr>
      <w:r w:rsidRPr="00024F2F">
        <w:rPr>
          <w:rFonts w:cs="Arial"/>
        </w:rPr>
        <w:t xml:space="preserve">Encryption </w:t>
      </w:r>
    </w:p>
    <w:p w14:paraId="2EFBFCE0" w14:textId="77777777" w:rsidR="00BB406D" w:rsidRPr="007E2618" w:rsidRDefault="00BB406D">
      <w:pPr>
        <w:pStyle w:val="AppendixText2"/>
        <w:rPr>
          <w:rFonts w:cs="Arial"/>
          <w:sz w:val="22"/>
          <w:szCs w:val="22"/>
        </w:rPr>
      </w:pPr>
      <w:r w:rsidRPr="007E2618">
        <w:rPr>
          <w:rFonts w:cs="Arial"/>
          <w:sz w:val="22"/>
          <w:szCs w:val="22"/>
        </w:rPr>
        <w:t>The Provider must ensure, and must ensure that all Sub-Contractors ensure, that HSE Data is encrypted:</w:t>
      </w:r>
    </w:p>
    <w:p w14:paraId="7BEDF6F0" w14:textId="77777777" w:rsidR="000671D8" w:rsidRDefault="00BB406D" w:rsidP="000671D8">
      <w:pPr>
        <w:pStyle w:val="AppendixText3"/>
        <w:rPr>
          <w:rFonts w:cs="Arial"/>
          <w:sz w:val="22"/>
          <w:szCs w:val="22"/>
        </w:rPr>
      </w:pPr>
      <w:r w:rsidRPr="007E2618">
        <w:rPr>
          <w:rFonts w:cs="Arial"/>
          <w:sz w:val="22"/>
          <w:szCs w:val="22"/>
        </w:rPr>
        <w:t>when stored at any time when no operation is being performed on it; and</w:t>
      </w:r>
    </w:p>
    <w:p w14:paraId="4CF2CA98" w14:textId="44D6B516" w:rsidR="00BB406D" w:rsidRPr="000671D8" w:rsidRDefault="00BB406D" w:rsidP="000671D8">
      <w:pPr>
        <w:pStyle w:val="AppendixText3"/>
        <w:rPr>
          <w:rFonts w:cs="Arial"/>
          <w:sz w:val="22"/>
          <w:szCs w:val="22"/>
        </w:rPr>
      </w:pPr>
      <w:r w:rsidRPr="000671D8">
        <w:rPr>
          <w:rFonts w:cs="Arial"/>
          <w:sz w:val="22"/>
          <w:szCs w:val="22"/>
        </w:rPr>
        <w:t>when transmitted.</w:t>
      </w:r>
    </w:p>
    <w:p w14:paraId="19531711" w14:textId="77777777" w:rsidR="00BB406D" w:rsidRPr="007E2618" w:rsidRDefault="00BB406D">
      <w:pPr>
        <w:pStyle w:val="AppendixText2"/>
        <w:rPr>
          <w:rFonts w:cs="Arial"/>
          <w:sz w:val="22"/>
          <w:szCs w:val="22"/>
        </w:rPr>
      </w:pPr>
      <w:r w:rsidRPr="007E2618">
        <w:rPr>
          <w:rFonts w:cs="Arial"/>
          <w:sz w:val="22"/>
          <w:szCs w:val="22"/>
        </w:rPr>
        <w:t>Where the Provider, or a Sub-Contractor, cannot encrypt HSE Data the Provider must:</w:t>
      </w:r>
    </w:p>
    <w:p w14:paraId="76CE5AFE" w14:textId="77777777" w:rsidR="000671D8" w:rsidRDefault="00BB406D">
      <w:pPr>
        <w:pStyle w:val="AppendixText3"/>
        <w:rPr>
          <w:rFonts w:cs="Arial"/>
          <w:sz w:val="22"/>
          <w:szCs w:val="22"/>
        </w:rPr>
      </w:pPr>
      <w:r w:rsidRPr="007E2618">
        <w:rPr>
          <w:rFonts w:cs="Arial"/>
          <w:sz w:val="22"/>
          <w:szCs w:val="22"/>
        </w:rPr>
        <w:t>immediately inform the HSE of the subset or subsets of HSE Data it cannot encrypt and the circumstances in which and the reasons why it cannot do so;</w:t>
      </w:r>
      <w:r w:rsidR="000671D8" w:rsidRPr="000671D8">
        <w:rPr>
          <w:rFonts w:cs="Arial"/>
          <w:sz w:val="22"/>
          <w:szCs w:val="22"/>
        </w:rPr>
        <w:t xml:space="preserve"> </w:t>
      </w:r>
    </w:p>
    <w:p w14:paraId="23A8A598" w14:textId="4C5F15A6" w:rsidR="00BB406D" w:rsidRPr="007E2618" w:rsidRDefault="000671D8">
      <w:pPr>
        <w:pStyle w:val="AppendixText3"/>
        <w:rPr>
          <w:rFonts w:cs="Arial"/>
          <w:sz w:val="22"/>
          <w:szCs w:val="22"/>
        </w:rPr>
      </w:pPr>
      <w:r w:rsidRPr="007E2618">
        <w:rPr>
          <w:rFonts w:cs="Arial"/>
          <w:sz w:val="22"/>
          <w:szCs w:val="22"/>
        </w:rPr>
        <w:t>provide details of the protective measures the Provider or Sub-Contractor (as applicable) proposes to take to provide equivalent protection to the HSE as encryption; and</w:t>
      </w:r>
    </w:p>
    <w:p w14:paraId="5924A908" w14:textId="77777777" w:rsidR="00BB406D" w:rsidRPr="007E2618" w:rsidRDefault="00BB406D">
      <w:pPr>
        <w:pStyle w:val="AppendixText3"/>
        <w:rPr>
          <w:rFonts w:cs="Arial"/>
          <w:sz w:val="22"/>
          <w:szCs w:val="22"/>
        </w:rPr>
      </w:pPr>
      <w:r w:rsidRPr="007E2618">
        <w:rPr>
          <w:rFonts w:cs="Arial"/>
          <w:sz w:val="22"/>
          <w:szCs w:val="22"/>
        </w:rPr>
        <w:t>provide the HSE with such information relating to the HSE Data concerned, the reasons why that HSE Data cannot be encrypted and the proposed protective measures as the HSE may require.</w:t>
      </w:r>
    </w:p>
    <w:p w14:paraId="11CBA617" w14:textId="77777777" w:rsidR="000671D8" w:rsidRDefault="00BB406D" w:rsidP="000671D8">
      <w:pPr>
        <w:pStyle w:val="AppendixText2"/>
        <w:rPr>
          <w:rFonts w:cs="Arial"/>
          <w:sz w:val="22"/>
          <w:szCs w:val="22"/>
        </w:rPr>
      </w:pPr>
      <w:r w:rsidRPr="007E2618">
        <w:rPr>
          <w:rFonts w:cs="Arial"/>
          <w:sz w:val="22"/>
          <w:szCs w:val="22"/>
        </w:rPr>
        <w:t>HSE, the Provider and, where HSE requires, any relevant Sub-Contractor shall meet to agree appropriate protective measures for the unencrypted HSE Data.</w:t>
      </w:r>
    </w:p>
    <w:p w14:paraId="2B4E95EA" w14:textId="6FCFCBD5" w:rsidR="00BB406D" w:rsidRPr="000671D8" w:rsidRDefault="00BB406D" w:rsidP="000671D8">
      <w:pPr>
        <w:pStyle w:val="AppendixText2"/>
        <w:rPr>
          <w:rFonts w:cs="Arial"/>
          <w:sz w:val="22"/>
          <w:szCs w:val="22"/>
        </w:rPr>
      </w:pPr>
      <w:r w:rsidRPr="000671D8">
        <w:rPr>
          <w:rFonts w:cs="Arial"/>
          <w:sz w:val="22"/>
          <w:szCs w:val="22"/>
        </w:rPr>
        <w:t>Where HSE and the Provider reach agreement, the Provider must update the Security Management Plan to include:</w:t>
      </w:r>
    </w:p>
    <w:p w14:paraId="500F9913" w14:textId="77777777" w:rsidR="000671D8" w:rsidRDefault="00BB406D">
      <w:pPr>
        <w:pStyle w:val="AppendixText3"/>
        <w:rPr>
          <w:rFonts w:cs="Arial"/>
          <w:sz w:val="22"/>
          <w:szCs w:val="22"/>
        </w:rPr>
      </w:pPr>
      <w:r w:rsidRPr="007E2618">
        <w:rPr>
          <w:rFonts w:cs="Arial"/>
          <w:sz w:val="22"/>
          <w:szCs w:val="22"/>
        </w:rPr>
        <w:t>the subset or subsets of HSE Data not encrypted and the circumstances in which that will occur; and</w:t>
      </w:r>
      <w:r w:rsidR="000671D8" w:rsidRPr="000671D8">
        <w:rPr>
          <w:rFonts w:cs="Arial"/>
          <w:sz w:val="22"/>
          <w:szCs w:val="22"/>
        </w:rPr>
        <w:t xml:space="preserve"> </w:t>
      </w:r>
    </w:p>
    <w:p w14:paraId="00D9EE08" w14:textId="659CEBD1" w:rsidR="00BB406D" w:rsidRPr="007E2618" w:rsidRDefault="000671D8">
      <w:pPr>
        <w:pStyle w:val="AppendixText3"/>
        <w:rPr>
          <w:rFonts w:cs="Arial"/>
          <w:sz w:val="22"/>
          <w:szCs w:val="22"/>
        </w:rPr>
      </w:pPr>
      <w:r w:rsidRPr="007E2618">
        <w:rPr>
          <w:rFonts w:cs="Arial"/>
          <w:sz w:val="22"/>
          <w:szCs w:val="22"/>
        </w:rPr>
        <w:t>the protective measure that the Provider and/or Sub-Contractor will put in please in respect of the unencrypted HSE Data.</w:t>
      </w:r>
    </w:p>
    <w:p w14:paraId="1E356EC6" w14:textId="77777777" w:rsidR="00BB406D" w:rsidRPr="007E2618" w:rsidRDefault="00BB406D">
      <w:pPr>
        <w:pStyle w:val="AppendixText2"/>
        <w:rPr>
          <w:rFonts w:cs="Arial"/>
          <w:sz w:val="22"/>
          <w:szCs w:val="22"/>
        </w:rPr>
      </w:pPr>
      <w:r w:rsidRPr="007E2618">
        <w:rPr>
          <w:rFonts w:cs="Arial"/>
          <w:sz w:val="22"/>
          <w:szCs w:val="22"/>
        </w:rPr>
        <w:t>Where HSE and Provider do not reach agreement within 40 Working Days of the date on which the Provider first notified HSE that it could not encrypt certain HSE Data, either Party may refer the matter to be determined in accordance with the Dispute Resolution Procedure.</w:t>
      </w:r>
    </w:p>
    <w:p w14:paraId="02E7599B" w14:textId="77777777" w:rsidR="00BB406D" w:rsidRPr="001B1EB0" w:rsidRDefault="00BB406D">
      <w:pPr>
        <w:pStyle w:val="AppendixText1"/>
        <w:rPr>
          <w:rFonts w:cs="Arial"/>
        </w:rPr>
      </w:pPr>
      <w:r w:rsidRPr="001B1EB0">
        <w:rPr>
          <w:rFonts w:cs="Arial"/>
        </w:rPr>
        <w:t>Patching and Vulnerability Scanning</w:t>
      </w:r>
    </w:p>
    <w:p w14:paraId="00654137" w14:textId="77777777" w:rsidR="00BB406D" w:rsidRPr="007E2618" w:rsidRDefault="00BB406D">
      <w:pPr>
        <w:pStyle w:val="AppendixText2"/>
        <w:rPr>
          <w:rFonts w:cs="Arial"/>
          <w:sz w:val="22"/>
          <w:szCs w:val="22"/>
        </w:rPr>
      </w:pPr>
      <w:r w:rsidRPr="007E2618">
        <w:rPr>
          <w:rFonts w:cs="Arial"/>
          <w:sz w:val="22"/>
          <w:szCs w:val="22"/>
        </w:rPr>
        <w:t xml:space="preserve">The Sub-Contractor must proactively monitor supplier vulnerability websites and ensure all necessary patches and upgrades are applied to maintain security, integrity and availability in accordance with the NCSC Cloud Security Principles. </w:t>
      </w:r>
    </w:p>
    <w:p w14:paraId="47838D69" w14:textId="77777777" w:rsidR="00BB406D" w:rsidRPr="00024F2F" w:rsidRDefault="00BB406D">
      <w:pPr>
        <w:pStyle w:val="AppendixText1"/>
        <w:rPr>
          <w:rFonts w:cs="Arial"/>
        </w:rPr>
      </w:pPr>
      <w:r>
        <w:rPr>
          <w:rFonts w:cs="Arial"/>
        </w:rPr>
        <w:t>Third Party Sub-C</w:t>
      </w:r>
      <w:r w:rsidRPr="00024F2F">
        <w:rPr>
          <w:rFonts w:cs="Arial"/>
        </w:rPr>
        <w:t>ontractors</w:t>
      </w:r>
    </w:p>
    <w:p w14:paraId="1CD4C8FC" w14:textId="77777777" w:rsidR="00BB406D" w:rsidRPr="007E2618" w:rsidRDefault="00BB406D">
      <w:pPr>
        <w:pStyle w:val="AppendixText2"/>
        <w:rPr>
          <w:rFonts w:cs="Arial"/>
          <w:sz w:val="22"/>
          <w:szCs w:val="22"/>
        </w:rPr>
      </w:pPr>
      <w:r w:rsidRPr="007E2618">
        <w:rPr>
          <w:rFonts w:cs="Arial"/>
          <w:sz w:val="22"/>
          <w:szCs w:val="22"/>
        </w:rPr>
        <w:t>The Sub-Contractor must not transmit or disseminate the HSE Data to any other person unless specifically authorised by the HSE. Such authorisation must be in writing to be effective and may be subject to conditions.</w:t>
      </w:r>
    </w:p>
    <w:p w14:paraId="2A2F3EF2" w14:textId="77777777" w:rsidR="00BB406D" w:rsidRPr="007E2618" w:rsidRDefault="00BB406D">
      <w:pPr>
        <w:pStyle w:val="AppendixText2"/>
        <w:rPr>
          <w:rFonts w:cs="Arial"/>
          <w:sz w:val="22"/>
          <w:szCs w:val="22"/>
        </w:rPr>
        <w:sectPr w:rsidR="00BB406D" w:rsidRPr="007E2618" w:rsidSect="00506868">
          <w:pgSz w:w="11909" w:h="16834"/>
          <w:pgMar w:top="1418" w:right="1418" w:bottom="1418" w:left="1418" w:header="709" w:footer="709" w:gutter="0"/>
          <w:paperSrc w:first="265" w:other="265"/>
          <w:cols w:space="720"/>
          <w:docGrid w:linePitch="326"/>
        </w:sectPr>
      </w:pPr>
      <w:r w:rsidRPr="007E2618">
        <w:rPr>
          <w:rFonts w:cs="Arial"/>
          <w:sz w:val="22"/>
          <w:szCs w:val="22"/>
        </w:rPr>
        <w:lastRenderedPageBreak/>
        <w:t>The Sub-Contractor must not, when performing any part of the Services, use any software to Process the HSE Data where the licence terms of that software purport to grant the licensor rights to Process the HSE Data greater than those rights strictly necessary for the use of the software.</w:t>
      </w:r>
    </w:p>
    <w:p w14:paraId="718E83C2" w14:textId="77777777" w:rsidR="00BB406D" w:rsidRPr="00FC6BD6" w:rsidRDefault="00BB406D" w:rsidP="00BB406D">
      <w:pPr>
        <w:pStyle w:val="Heading2"/>
        <w:rPr>
          <w:rFonts w:cs="Arial"/>
          <w:caps/>
          <w:szCs w:val="24"/>
        </w:rPr>
      </w:pPr>
      <w:bookmarkStart w:id="3557" w:name="_Toc135566126"/>
      <w:bookmarkStart w:id="3558" w:name="_Toc135566379"/>
      <w:bookmarkStart w:id="3559" w:name="_Toc135566669"/>
      <w:bookmarkStart w:id="3560" w:name="_Toc135568834"/>
      <w:bookmarkStart w:id="3561" w:name="_Toc135569086"/>
      <w:bookmarkStart w:id="3562" w:name="_Toc135569375"/>
      <w:bookmarkStart w:id="3563" w:name="_Ref92205260"/>
      <w:bookmarkStart w:id="3564" w:name="_Toc136198528"/>
      <w:bookmarkStart w:id="3565" w:name="_Toc136198782"/>
      <w:bookmarkStart w:id="3566" w:name="_Toc136199063"/>
      <w:r w:rsidRPr="00024F2F">
        <w:rPr>
          <w:rFonts w:cs="Arial"/>
          <w:caps/>
          <w:szCs w:val="24"/>
        </w:rPr>
        <w:lastRenderedPageBreak/>
        <w:t xml:space="preserve">ANNEX </w:t>
      </w:r>
      <w:bookmarkStart w:id="3567" w:name="ANNEX3_SCHEDULE5"/>
      <w:bookmarkStart w:id="3568" w:name="ANNEX3_PARTA_SCHEDULE5"/>
      <w:r w:rsidRPr="00024F2F">
        <w:rPr>
          <w:rFonts w:cs="Arial"/>
          <w:caps/>
          <w:szCs w:val="24"/>
        </w:rPr>
        <w:t>3</w:t>
      </w:r>
      <w:bookmarkEnd w:id="3567"/>
      <w:bookmarkEnd w:id="3568"/>
      <w:r w:rsidRPr="00024F2F">
        <w:rPr>
          <w:rFonts w:cs="Arial"/>
          <w:caps/>
          <w:szCs w:val="24"/>
        </w:rPr>
        <w:t>: SECURITY MANAGEMENT PLAN TEMPLATE</w:t>
      </w:r>
      <w:bookmarkEnd w:id="3557"/>
      <w:bookmarkEnd w:id="3558"/>
      <w:bookmarkEnd w:id="3559"/>
      <w:bookmarkEnd w:id="3560"/>
      <w:bookmarkEnd w:id="3561"/>
      <w:bookmarkEnd w:id="3562"/>
      <w:bookmarkEnd w:id="3563"/>
      <w:bookmarkEnd w:id="3564"/>
      <w:bookmarkEnd w:id="3565"/>
      <w:bookmarkEnd w:id="3566"/>
    </w:p>
    <w:p w14:paraId="03618C03" w14:textId="77777777" w:rsidR="00BB406D" w:rsidRPr="001B1EB0" w:rsidRDefault="00BB406D" w:rsidP="00BB406D">
      <w:pPr>
        <w:pStyle w:val="StdBodyTextBold"/>
        <w:rPr>
          <w:rFonts w:cs="Arial"/>
        </w:rPr>
      </w:pPr>
      <w:r w:rsidRPr="001B1EB0">
        <w:rPr>
          <w:rFonts w:cs="Arial"/>
        </w:rPr>
        <w:t>Security Management Plan Template</w:t>
      </w:r>
    </w:p>
    <w:p w14:paraId="5044FD2C" w14:textId="77777777" w:rsidR="00BB406D" w:rsidRPr="007E2618" w:rsidRDefault="00BB406D" w:rsidP="004E2262">
      <w:pPr>
        <w:pStyle w:val="AppendixText1"/>
        <w:numPr>
          <w:ilvl w:val="0"/>
          <w:numId w:val="98"/>
        </w:numPr>
        <w:rPr>
          <w:rFonts w:cs="Arial"/>
          <w:sz w:val="22"/>
          <w:szCs w:val="22"/>
        </w:rPr>
      </w:pPr>
      <w:r w:rsidRPr="007E2618">
        <w:rPr>
          <w:rFonts w:cs="Arial"/>
          <w:sz w:val="22"/>
          <w:szCs w:val="22"/>
        </w:rPr>
        <w:t>Executive Summary</w:t>
      </w:r>
    </w:p>
    <w:p w14:paraId="01B14FAA" w14:textId="77777777" w:rsidR="00BB406D" w:rsidRPr="007E2618" w:rsidRDefault="00BB406D" w:rsidP="00BB406D">
      <w:pPr>
        <w:pStyle w:val="StdBodyText1"/>
        <w:rPr>
          <w:rFonts w:cs="Arial"/>
          <w:i/>
          <w:sz w:val="22"/>
          <w:szCs w:val="22"/>
        </w:rPr>
      </w:pPr>
      <w:r w:rsidRPr="007E2618">
        <w:rPr>
          <w:rFonts w:cs="Arial"/>
          <w:i/>
          <w:sz w:val="22"/>
          <w:szCs w:val="22"/>
        </w:rPr>
        <w:t>&lt;This section should contain a brief summary of the business context of the system, any key IA controls, the assurance work done, any off-shoring considerations and any significant residual risks that need acceptance.&gt;</w:t>
      </w:r>
    </w:p>
    <w:p w14:paraId="0A49D599" w14:textId="77777777" w:rsidR="00BB406D" w:rsidRPr="007E2618" w:rsidRDefault="00BB406D">
      <w:pPr>
        <w:pStyle w:val="AppendixText1"/>
        <w:rPr>
          <w:rFonts w:cs="Arial"/>
          <w:sz w:val="22"/>
          <w:szCs w:val="22"/>
        </w:rPr>
      </w:pPr>
      <w:r w:rsidRPr="007E2618">
        <w:rPr>
          <w:rFonts w:cs="Arial"/>
          <w:sz w:val="22"/>
          <w:szCs w:val="22"/>
        </w:rPr>
        <w:t>System Description</w:t>
      </w:r>
    </w:p>
    <w:p w14:paraId="4D9401D6" w14:textId="77777777" w:rsidR="00BB406D" w:rsidRPr="007E2618" w:rsidRDefault="00BB406D">
      <w:pPr>
        <w:pStyle w:val="AppendixText2"/>
        <w:rPr>
          <w:rFonts w:cs="Arial"/>
          <w:sz w:val="22"/>
          <w:szCs w:val="22"/>
        </w:rPr>
      </w:pPr>
      <w:r w:rsidRPr="007E2618">
        <w:rPr>
          <w:rFonts w:cs="Arial"/>
          <w:sz w:val="22"/>
          <w:szCs w:val="22"/>
        </w:rPr>
        <w:t>Background</w:t>
      </w:r>
    </w:p>
    <w:p w14:paraId="42174281" w14:textId="77777777" w:rsidR="00BB406D" w:rsidRPr="007E2618" w:rsidRDefault="00BB406D" w:rsidP="00BB406D">
      <w:pPr>
        <w:pStyle w:val="StdBodyText1"/>
        <w:rPr>
          <w:rFonts w:cs="Arial"/>
          <w:i/>
          <w:sz w:val="22"/>
          <w:szCs w:val="22"/>
        </w:rPr>
      </w:pPr>
      <w:r w:rsidRPr="007E2618">
        <w:rPr>
          <w:rFonts w:cs="Arial"/>
          <w:i/>
          <w:sz w:val="22"/>
          <w:szCs w:val="22"/>
        </w:rPr>
        <w:t>&lt; A short description of the project/product/system. Describe its purpose, functionality, aim and scope.&gt;</w:t>
      </w:r>
    </w:p>
    <w:p w14:paraId="115F1C44" w14:textId="77777777" w:rsidR="00BB406D" w:rsidRPr="007E2618" w:rsidRDefault="00BB406D">
      <w:pPr>
        <w:pStyle w:val="AppendixText2"/>
        <w:rPr>
          <w:rFonts w:cs="Arial"/>
          <w:sz w:val="22"/>
          <w:szCs w:val="22"/>
        </w:rPr>
      </w:pPr>
      <w:r w:rsidRPr="007E2618">
        <w:rPr>
          <w:rFonts w:cs="Arial"/>
          <w:sz w:val="22"/>
          <w:szCs w:val="22"/>
        </w:rPr>
        <w:t>Organisational Ownership/Structure</w:t>
      </w:r>
    </w:p>
    <w:p w14:paraId="08CC2889" w14:textId="77777777" w:rsidR="00BB406D" w:rsidRPr="007E2618" w:rsidRDefault="00BB406D" w:rsidP="00BB406D">
      <w:pPr>
        <w:pStyle w:val="StdBodyText1"/>
        <w:rPr>
          <w:rFonts w:cs="Arial"/>
          <w:i/>
          <w:sz w:val="22"/>
          <w:szCs w:val="22"/>
        </w:rPr>
      </w:pPr>
      <w:r w:rsidRPr="007E2618">
        <w:rPr>
          <w:rFonts w:cs="Arial"/>
          <w:i/>
          <w:sz w:val="22"/>
          <w:szCs w:val="22"/>
        </w:rPr>
        <w:t>&lt;Who owns the system and operates the system and the organisational governance structure.  This should include how any ongoing security management is integrated into the project governance e.g. how a Security Working Group reports to the project board.&gt;</w:t>
      </w:r>
    </w:p>
    <w:p w14:paraId="1B3BBC5B" w14:textId="77777777" w:rsidR="00BB406D" w:rsidRPr="007E2618" w:rsidRDefault="00BB406D">
      <w:pPr>
        <w:pStyle w:val="AppendixText2"/>
        <w:rPr>
          <w:rFonts w:cs="Arial"/>
          <w:sz w:val="22"/>
          <w:szCs w:val="22"/>
        </w:rPr>
      </w:pPr>
      <w:r w:rsidRPr="007E2618">
        <w:rPr>
          <w:rFonts w:cs="Arial"/>
          <w:sz w:val="22"/>
          <w:szCs w:val="22"/>
        </w:rPr>
        <w:t>Information assets and flows</w:t>
      </w:r>
    </w:p>
    <w:p w14:paraId="5DB5A574" w14:textId="77777777" w:rsidR="00BB406D" w:rsidRPr="007E2618" w:rsidRDefault="00BB406D" w:rsidP="00BB406D">
      <w:pPr>
        <w:pStyle w:val="StdBodyText1"/>
        <w:rPr>
          <w:rFonts w:cs="Arial"/>
          <w:i/>
          <w:sz w:val="22"/>
          <w:szCs w:val="22"/>
        </w:rPr>
      </w:pPr>
      <w:r w:rsidRPr="007E2618">
        <w:rPr>
          <w:rFonts w:cs="Arial"/>
          <w:i/>
          <w:sz w:val="22"/>
          <w:szCs w:val="22"/>
        </w:rPr>
        <w:t>&lt;The information assets processed by the system which should include a simple high level diagram on one page. Include a list of the type and volumes of data that will be processed, managed and stored within the supplier system. If personal data, please include the fields used such as name, address, department DOB, NI number etc.&gt;</w:t>
      </w:r>
    </w:p>
    <w:p w14:paraId="1C994E66" w14:textId="77777777" w:rsidR="00BB406D" w:rsidRPr="007E2618" w:rsidRDefault="00BB406D">
      <w:pPr>
        <w:pStyle w:val="AppendixText2"/>
        <w:rPr>
          <w:rFonts w:cs="Arial"/>
          <w:sz w:val="22"/>
          <w:szCs w:val="22"/>
        </w:rPr>
      </w:pPr>
      <w:r w:rsidRPr="007E2618">
        <w:rPr>
          <w:rFonts w:cs="Arial"/>
          <w:sz w:val="22"/>
          <w:szCs w:val="22"/>
        </w:rPr>
        <w:t xml:space="preserve">System Architecture </w:t>
      </w:r>
    </w:p>
    <w:p w14:paraId="4061712D" w14:textId="77777777" w:rsidR="00BB406D" w:rsidRPr="007E2618" w:rsidRDefault="00BB406D" w:rsidP="00BB406D">
      <w:pPr>
        <w:pStyle w:val="StdBodyText1"/>
        <w:rPr>
          <w:rFonts w:cs="Arial"/>
          <w:i/>
          <w:sz w:val="22"/>
          <w:szCs w:val="22"/>
        </w:rPr>
      </w:pPr>
      <w:r w:rsidRPr="007E2618">
        <w:rPr>
          <w:rFonts w:cs="Arial"/>
          <w:i/>
          <w:sz w:val="22"/>
          <w:szCs w:val="22"/>
        </w:rPr>
        <w:t>&lt;A description of the physical system architecture, to include the system management. A diagram will be needed here&gt;</w:t>
      </w:r>
    </w:p>
    <w:p w14:paraId="753FA82E" w14:textId="77777777" w:rsidR="00BB406D" w:rsidRPr="007E2618" w:rsidRDefault="00BB406D">
      <w:pPr>
        <w:pStyle w:val="AppendixText2"/>
        <w:rPr>
          <w:rFonts w:cs="Arial"/>
          <w:sz w:val="22"/>
          <w:szCs w:val="22"/>
        </w:rPr>
      </w:pPr>
      <w:r w:rsidRPr="007E2618">
        <w:rPr>
          <w:rFonts w:cs="Arial"/>
          <w:sz w:val="22"/>
          <w:szCs w:val="22"/>
        </w:rPr>
        <w:t>Users</w:t>
      </w:r>
    </w:p>
    <w:p w14:paraId="2623EEF0" w14:textId="77777777" w:rsidR="00BB406D" w:rsidRPr="007E2618" w:rsidRDefault="00BB406D" w:rsidP="00BB406D">
      <w:pPr>
        <w:pStyle w:val="StdBodyText1"/>
        <w:rPr>
          <w:rFonts w:cs="Arial"/>
          <w:i/>
          <w:sz w:val="22"/>
          <w:szCs w:val="22"/>
        </w:rPr>
      </w:pPr>
      <w:r w:rsidRPr="007E2618">
        <w:rPr>
          <w:rFonts w:cs="Arial"/>
          <w:i/>
          <w:sz w:val="22"/>
          <w:szCs w:val="22"/>
        </w:rPr>
        <w:t>&lt;A brief description of the system users, to include HMG users as well as any service provider users and system managers. If relevant, security clearance level requirements should be included.&gt;</w:t>
      </w:r>
    </w:p>
    <w:p w14:paraId="4B923B56" w14:textId="77777777" w:rsidR="00BB406D" w:rsidRPr="007E2618" w:rsidRDefault="00BB406D">
      <w:pPr>
        <w:pStyle w:val="AppendixText2"/>
        <w:rPr>
          <w:rFonts w:cs="Arial"/>
          <w:sz w:val="22"/>
          <w:szCs w:val="22"/>
        </w:rPr>
      </w:pPr>
      <w:r w:rsidRPr="007E2618">
        <w:rPr>
          <w:rFonts w:cs="Arial"/>
          <w:sz w:val="22"/>
          <w:szCs w:val="22"/>
        </w:rPr>
        <w:t>Locations</w:t>
      </w:r>
    </w:p>
    <w:p w14:paraId="43FB3D64" w14:textId="77777777" w:rsidR="00BB406D" w:rsidRPr="007E2618" w:rsidRDefault="00BB406D" w:rsidP="00BB406D">
      <w:pPr>
        <w:pStyle w:val="StdBodyText1"/>
        <w:rPr>
          <w:rFonts w:cs="Arial"/>
          <w:i/>
          <w:sz w:val="22"/>
          <w:szCs w:val="22"/>
        </w:rPr>
      </w:pPr>
      <w:r w:rsidRPr="007E2618">
        <w:rPr>
          <w:rFonts w:cs="Arial"/>
          <w:i/>
          <w:sz w:val="22"/>
          <w:szCs w:val="22"/>
        </w:rPr>
        <w:t>&lt;Where the data assets are stored and managed from. If any locations hold independent security certifications (e.g. ISO27001 (at least ISO/IEC 27001:2013) these should be noted.  Any off-shoring considerations should be detailed.&gt;</w:t>
      </w:r>
    </w:p>
    <w:p w14:paraId="186EF56E" w14:textId="77777777" w:rsidR="00BB406D" w:rsidRPr="007E2618" w:rsidRDefault="00BB406D">
      <w:pPr>
        <w:pStyle w:val="AppendixText2"/>
        <w:keepNext/>
        <w:rPr>
          <w:rFonts w:cs="Arial"/>
          <w:sz w:val="22"/>
          <w:szCs w:val="22"/>
        </w:rPr>
      </w:pPr>
      <w:r w:rsidRPr="007E2618">
        <w:rPr>
          <w:rFonts w:cs="Arial"/>
          <w:sz w:val="22"/>
          <w:szCs w:val="22"/>
        </w:rPr>
        <w:t>Test and Development Systems</w:t>
      </w:r>
    </w:p>
    <w:p w14:paraId="73CA371A" w14:textId="77777777" w:rsidR="00BB406D" w:rsidRPr="007E2618" w:rsidRDefault="00BB406D" w:rsidP="00BB406D">
      <w:pPr>
        <w:pStyle w:val="StdBodyText1"/>
        <w:rPr>
          <w:rFonts w:cs="Arial"/>
          <w:i/>
          <w:sz w:val="22"/>
          <w:szCs w:val="22"/>
        </w:rPr>
      </w:pPr>
      <w:r w:rsidRPr="007E2618">
        <w:rPr>
          <w:rFonts w:cs="Arial"/>
          <w:i/>
          <w:sz w:val="22"/>
          <w:szCs w:val="22"/>
        </w:rPr>
        <w:t>&lt;Include information about any test and development systems, their locations and whether they contain live system data.&gt;</w:t>
      </w:r>
    </w:p>
    <w:p w14:paraId="2FB0DEDA" w14:textId="77777777" w:rsidR="00BB406D" w:rsidRPr="007E2618" w:rsidRDefault="00BB406D">
      <w:pPr>
        <w:pStyle w:val="AppendixText2"/>
        <w:rPr>
          <w:rFonts w:cs="Arial"/>
          <w:sz w:val="22"/>
          <w:szCs w:val="22"/>
        </w:rPr>
      </w:pPr>
      <w:r w:rsidRPr="007E2618">
        <w:rPr>
          <w:rFonts w:cs="Arial"/>
          <w:sz w:val="22"/>
          <w:szCs w:val="22"/>
        </w:rPr>
        <w:t>Key roles and responsibilities</w:t>
      </w:r>
    </w:p>
    <w:p w14:paraId="2F621528" w14:textId="77777777" w:rsidR="00BB406D" w:rsidRPr="007E2618" w:rsidRDefault="00BB406D" w:rsidP="00BB406D">
      <w:pPr>
        <w:pStyle w:val="StdBodyText1"/>
        <w:rPr>
          <w:rFonts w:cs="Arial"/>
          <w:i/>
          <w:sz w:val="22"/>
          <w:szCs w:val="22"/>
        </w:rPr>
      </w:pPr>
      <w:r w:rsidRPr="007E2618">
        <w:rPr>
          <w:rFonts w:cs="Arial"/>
          <w:i/>
          <w:sz w:val="22"/>
          <w:szCs w:val="22"/>
        </w:rPr>
        <w:t>&lt;A brief description of the lead security roles such as that of the SIRO, IAO, Security manager, Accreditor &gt;</w:t>
      </w:r>
    </w:p>
    <w:p w14:paraId="60D26FB4" w14:textId="77777777" w:rsidR="00BB406D" w:rsidRPr="007E2618" w:rsidRDefault="00BB406D">
      <w:pPr>
        <w:pStyle w:val="AppendixText1"/>
        <w:rPr>
          <w:rFonts w:cs="Arial"/>
          <w:sz w:val="22"/>
          <w:szCs w:val="22"/>
        </w:rPr>
      </w:pPr>
      <w:r w:rsidRPr="007E2618">
        <w:rPr>
          <w:rFonts w:cs="Arial"/>
          <w:sz w:val="22"/>
          <w:szCs w:val="22"/>
        </w:rPr>
        <w:lastRenderedPageBreak/>
        <w:t>Risk Assessment</w:t>
      </w:r>
    </w:p>
    <w:p w14:paraId="041433DF" w14:textId="77777777" w:rsidR="00BB406D" w:rsidRPr="007E2618" w:rsidRDefault="00BB406D">
      <w:pPr>
        <w:pStyle w:val="AppendixText2"/>
        <w:rPr>
          <w:rFonts w:cs="Arial"/>
          <w:sz w:val="22"/>
          <w:szCs w:val="22"/>
        </w:rPr>
      </w:pPr>
      <w:r w:rsidRPr="007E2618">
        <w:rPr>
          <w:rFonts w:cs="Arial"/>
          <w:sz w:val="22"/>
          <w:szCs w:val="22"/>
        </w:rPr>
        <w:t>Accreditation/Assurance Scope</w:t>
      </w:r>
    </w:p>
    <w:p w14:paraId="16169F92" w14:textId="77777777" w:rsidR="00BB406D" w:rsidRPr="007E2618" w:rsidRDefault="00BB406D" w:rsidP="00BB406D">
      <w:pPr>
        <w:pStyle w:val="StdBodyText1"/>
        <w:rPr>
          <w:rFonts w:cs="Arial"/>
          <w:i/>
          <w:sz w:val="22"/>
          <w:szCs w:val="22"/>
        </w:rPr>
      </w:pPr>
      <w:r w:rsidRPr="007E2618">
        <w:rPr>
          <w:rFonts w:cs="Arial"/>
          <w:i/>
          <w:sz w:val="22"/>
          <w:szCs w:val="22"/>
        </w:rPr>
        <w:t>&lt;This section describes the scope of the Accreditation/Assurance for the system. The scope of the assurance assessment should be clearly indicated, with components of the architecture upon which reliance is placed but assurance will not be done clearly shown e.g. a cloud hosting service. A logical diagram should be used along with a brief description of the components.&gt;</w:t>
      </w:r>
    </w:p>
    <w:p w14:paraId="7CF4684C" w14:textId="77777777" w:rsidR="00BB406D" w:rsidRPr="007E2618" w:rsidRDefault="00BB406D">
      <w:pPr>
        <w:pStyle w:val="AppendixText2"/>
        <w:rPr>
          <w:rFonts w:cs="Arial"/>
          <w:sz w:val="22"/>
          <w:szCs w:val="22"/>
        </w:rPr>
      </w:pPr>
      <w:r w:rsidRPr="007E2618">
        <w:rPr>
          <w:rFonts w:cs="Arial"/>
          <w:sz w:val="22"/>
          <w:szCs w:val="22"/>
        </w:rPr>
        <w:t>Risk appetite</w:t>
      </w:r>
    </w:p>
    <w:p w14:paraId="475217A8" w14:textId="77777777" w:rsidR="00BB406D" w:rsidRPr="007E2618" w:rsidRDefault="00BB406D" w:rsidP="00BB406D">
      <w:pPr>
        <w:pStyle w:val="StdBodyText1"/>
        <w:rPr>
          <w:rFonts w:cs="Arial"/>
          <w:i/>
          <w:sz w:val="22"/>
          <w:szCs w:val="22"/>
        </w:rPr>
      </w:pPr>
      <w:r w:rsidRPr="007E2618">
        <w:rPr>
          <w:rFonts w:cs="Arial"/>
          <w:i/>
          <w:sz w:val="22"/>
          <w:szCs w:val="22"/>
        </w:rPr>
        <w:t>&lt;A risk appetite should be agreed with the SRO and included here.&gt;</w:t>
      </w:r>
    </w:p>
    <w:p w14:paraId="33625F2D" w14:textId="77777777" w:rsidR="00BB406D" w:rsidRPr="007E2618" w:rsidRDefault="00BB406D">
      <w:pPr>
        <w:pStyle w:val="AppendixText2"/>
        <w:rPr>
          <w:rFonts w:cs="Arial"/>
          <w:sz w:val="22"/>
          <w:szCs w:val="22"/>
        </w:rPr>
      </w:pPr>
      <w:r w:rsidRPr="007E2618">
        <w:rPr>
          <w:rFonts w:cs="Arial"/>
          <w:sz w:val="22"/>
          <w:szCs w:val="22"/>
        </w:rPr>
        <w:t>Business impact assessment</w:t>
      </w:r>
    </w:p>
    <w:p w14:paraId="5FE9FE56" w14:textId="77777777" w:rsidR="00BB406D" w:rsidRPr="007E2618" w:rsidRDefault="00BB406D" w:rsidP="00BB406D">
      <w:pPr>
        <w:pStyle w:val="StdBodyText1"/>
        <w:rPr>
          <w:rFonts w:cs="Arial"/>
          <w:i/>
          <w:sz w:val="22"/>
          <w:szCs w:val="22"/>
        </w:rPr>
      </w:pPr>
      <w:r w:rsidRPr="007E2618">
        <w:rPr>
          <w:rFonts w:cs="Arial"/>
          <w:i/>
          <w:sz w:val="22"/>
          <w:szCs w:val="22"/>
        </w:rPr>
        <w:t>&lt; A description of the information assets and the impact of their loss or corruption (e.g. large amounts of Official Sensitive personal data the loss of which would be severely damaging to individuals, embarrassing to HMG, and make HMG liable to ICO investigations) in business terms should be included. This section should cover the impact on loss of confidentiality, integrity and availability of the assets. The format of this assessment may be dependent on the risk assessment method chosen.&gt;</w:t>
      </w:r>
    </w:p>
    <w:p w14:paraId="2ECF23E7" w14:textId="77777777" w:rsidR="00BB406D" w:rsidRPr="007E2618" w:rsidRDefault="00BB406D">
      <w:pPr>
        <w:pStyle w:val="AppendixText2"/>
        <w:rPr>
          <w:rFonts w:cs="Arial"/>
          <w:sz w:val="22"/>
          <w:szCs w:val="22"/>
        </w:rPr>
      </w:pPr>
      <w:r w:rsidRPr="007E2618">
        <w:rPr>
          <w:rFonts w:cs="Arial"/>
          <w:sz w:val="22"/>
          <w:szCs w:val="22"/>
        </w:rPr>
        <w:t>Risk assessment</w:t>
      </w:r>
    </w:p>
    <w:p w14:paraId="5BA115A8" w14:textId="77777777" w:rsidR="00BB406D" w:rsidRPr="007E2618" w:rsidRDefault="00BB406D" w:rsidP="00BB406D">
      <w:pPr>
        <w:pStyle w:val="StdBodyText1"/>
        <w:rPr>
          <w:rFonts w:cs="Arial"/>
          <w:i/>
          <w:sz w:val="22"/>
          <w:szCs w:val="22"/>
        </w:rPr>
      </w:pPr>
      <w:r w:rsidRPr="007E2618">
        <w:rPr>
          <w:rFonts w:cs="Arial"/>
          <w:i/>
          <w:sz w:val="22"/>
          <w:szCs w:val="22"/>
        </w:rPr>
        <w:t>&lt;The content of this section will depend on the risk assessment methodology chosen. Experts on the system and business process should have been involved in the risk assessment to ensure the formal risk methodology used has not missed out any risks. The example table below should be used as the format to identify the risks and document the controls used to mitigate those risks. &gt;</w:t>
      </w:r>
    </w:p>
    <w:tbl>
      <w:tblPr>
        <w:tblStyle w:val="TableGrid"/>
        <w:tblW w:w="0" w:type="auto"/>
        <w:tblLook w:val="04A0" w:firstRow="1" w:lastRow="0" w:firstColumn="1" w:lastColumn="0" w:noHBand="0" w:noVBand="1"/>
      </w:tblPr>
      <w:tblGrid>
        <w:gridCol w:w="702"/>
        <w:gridCol w:w="1550"/>
        <w:gridCol w:w="1266"/>
        <w:gridCol w:w="2375"/>
        <w:gridCol w:w="1970"/>
        <w:gridCol w:w="1147"/>
      </w:tblGrid>
      <w:tr w:rsidR="00BB406D" w:rsidRPr="007E2618" w14:paraId="55139814" w14:textId="77777777" w:rsidTr="00506868">
        <w:trPr>
          <w:tblHeader/>
        </w:trPr>
        <w:tc>
          <w:tcPr>
            <w:tcW w:w="703" w:type="dxa"/>
            <w:shd w:val="solid" w:color="DBE5F1" w:themeColor="accent1" w:themeTint="33" w:fill="auto"/>
          </w:tcPr>
          <w:p w14:paraId="4DC8A579" w14:textId="77777777" w:rsidR="00BB406D" w:rsidRPr="007E2618" w:rsidRDefault="00BB406D" w:rsidP="00506868">
            <w:pPr>
              <w:pStyle w:val="StdBodyText"/>
              <w:rPr>
                <w:rFonts w:cs="Arial"/>
                <w:i/>
                <w:sz w:val="22"/>
                <w:szCs w:val="22"/>
              </w:rPr>
            </w:pPr>
            <w:r w:rsidRPr="007E2618">
              <w:rPr>
                <w:rFonts w:cs="Arial"/>
                <w:sz w:val="22"/>
                <w:szCs w:val="22"/>
              </w:rPr>
              <w:t>Risk ID</w:t>
            </w:r>
          </w:p>
        </w:tc>
        <w:tc>
          <w:tcPr>
            <w:tcW w:w="1556" w:type="dxa"/>
            <w:shd w:val="solid" w:color="DBE5F1" w:themeColor="accent1" w:themeTint="33" w:fill="auto"/>
          </w:tcPr>
          <w:p w14:paraId="2580EBD3" w14:textId="77777777" w:rsidR="00BB406D" w:rsidRPr="007E2618" w:rsidRDefault="00BB406D" w:rsidP="00506868">
            <w:pPr>
              <w:pStyle w:val="StdBodyText"/>
              <w:rPr>
                <w:rFonts w:cs="Arial"/>
                <w:i/>
                <w:sz w:val="22"/>
                <w:szCs w:val="22"/>
              </w:rPr>
            </w:pPr>
            <w:r w:rsidRPr="007E2618">
              <w:rPr>
                <w:rFonts w:cs="Arial"/>
                <w:sz w:val="22"/>
                <w:szCs w:val="22"/>
              </w:rPr>
              <w:t>Inherent risk</w:t>
            </w:r>
          </w:p>
        </w:tc>
        <w:tc>
          <w:tcPr>
            <w:tcW w:w="1273" w:type="dxa"/>
            <w:shd w:val="solid" w:color="DBE5F1" w:themeColor="accent1" w:themeTint="33" w:fill="auto"/>
          </w:tcPr>
          <w:p w14:paraId="5DE3C176" w14:textId="77777777" w:rsidR="00BB406D" w:rsidRPr="007E2618" w:rsidRDefault="00BB406D" w:rsidP="00506868">
            <w:pPr>
              <w:pStyle w:val="StdBodyText"/>
              <w:rPr>
                <w:rFonts w:cs="Arial"/>
                <w:i/>
                <w:sz w:val="22"/>
                <w:szCs w:val="22"/>
              </w:rPr>
            </w:pPr>
            <w:r w:rsidRPr="007E2618">
              <w:rPr>
                <w:rFonts w:cs="Arial"/>
                <w:sz w:val="22"/>
                <w:szCs w:val="22"/>
              </w:rPr>
              <w:t>Inherent risk level</w:t>
            </w:r>
          </w:p>
        </w:tc>
        <w:tc>
          <w:tcPr>
            <w:tcW w:w="2405" w:type="dxa"/>
            <w:shd w:val="solid" w:color="DBE5F1" w:themeColor="accent1" w:themeTint="33" w:fill="auto"/>
          </w:tcPr>
          <w:p w14:paraId="0581B479" w14:textId="77777777" w:rsidR="00BB406D" w:rsidRPr="007E2618" w:rsidRDefault="00BB406D" w:rsidP="00506868">
            <w:pPr>
              <w:pStyle w:val="StdBodyText"/>
              <w:rPr>
                <w:rFonts w:cs="Arial"/>
                <w:i/>
                <w:sz w:val="22"/>
                <w:szCs w:val="22"/>
              </w:rPr>
            </w:pPr>
            <w:r w:rsidRPr="007E2618">
              <w:rPr>
                <w:rFonts w:cs="Arial"/>
                <w:sz w:val="22"/>
                <w:szCs w:val="22"/>
              </w:rPr>
              <w:t>Vulnerability</w:t>
            </w:r>
          </w:p>
        </w:tc>
        <w:tc>
          <w:tcPr>
            <w:tcW w:w="1976" w:type="dxa"/>
            <w:shd w:val="solid" w:color="DBE5F1" w:themeColor="accent1" w:themeTint="33" w:fill="auto"/>
          </w:tcPr>
          <w:p w14:paraId="5BF528F2" w14:textId="77777777" w:rsidR="00BB406D" w:rsidRPr="007E2618" w:rsidRDefault="00BB406D" w:rsidP="00506868">
            <w:pPr>
              <w:pStyle w:val="StdBodyText"/>
              <w:rPr>
                <w:rFonts w:cs="Arial"/>
                <w:i/>
                <w:sz w:val="22"/>
                <w:szCs w:val="22"/>
              </w:rPr>
            </w:pPr>
            <w:r w:rsidRPr="007E2618">
              <w:rPr>
                <w:rFonts w:cs="Arial"/>
                <w:sz w:val="22"/>
                <w:szCs w:val="22"/>
              </w:rPr>
              <w:t>Controls</w:t>
            </w:r>
          </w:p>
        </w:tc>
        <w:tc>
          <w:tcPr>
            <w:tcW w:w="1150" w:type="dxa"/>
            <w:shd w:val="solid" w:color="DBE5F1" w:themeColor="accent1" w:themeTint="33" w:fill="auto"/>
          </w:tcPr>
          <w:p w14:paraId="6730C572" w14:textId="77777777" w:rsidR="00BB406D" w:rsidRPr="007E2618" w:rsidRDefault="00BB406D" w:rsidP="00506868">
            <w:pPr>
              <w:pStyle w:val="StdBodyText"/>
              <w:rPr>
                <w:rFonts w:cs="Arial"/>
                <w:i/>
                <w:sz w:val="22"/>
                <w:szCs w:val="22"/>
              </w:rPr>
            </w:pPr>
            <w:r w:rsidRPr="007E2618">
              <w:rPr>
                <w:rFonts w:cs="Arial"/>
                <w:sz w:val="22"/>
                <w:szCs w:val="22"/>
              </w:rPr>
              <w:t>Residual risk level</w:t>
            </w:r>
          </w:p>
        </w:tc>
      </w:tr>
      <w:tr w:rsidR="00BB406D" w:rsidRPr="007E2618" w14:paraId="22652BE4" w14:textId="77777777" w:rsidTr="00506868">
        <w:tc>
          <w:tcPr>
            <w:tcW w:w="703" w:type="dxa"/>
          </w:tcPr>
          <w:p w14:paraId="6BBE2628" w14:textId="77777777" w:rsidR="00BB406D" w:rsidRPr="007E2618" w:rsidRDefault="00BB406D" w:rsidP="00506868">
            <w:pPr>
              <w:pStyle w:val="StdBodyText"/>
              <w:rPr>
                <w:rFonts w:cs="Arial"/>
                <w:i/>
                <w:sz w:val="22"/>
                <w:szCs w:val="22"/>
              </w:rPr>
            </w:pPr>
            <w:r w:rsidRPr="007E2618">
              <w:rPr>
                <w:rFonts w:cs="Arial"/>
                <w:sz w:val="22"/>
                <w:szCs w:val="22"/>
              </w:rPr>
              <w:t>R1</w:t>
            </w:r>
          </w:p>
        </w:tc>
        <w:tc>
          <w:tcPr>
            <w:tcW w:w="1556" w:type="dxa"/>
          </w:tcPr>
          <w:p w14:paraId="78CAC623" w14:textId="77777777" w:rsidR="00BB406D" w:rsidRPr="007E2618" w:rsidRDefault="00BB406D" w:rsidP="00506868">
            <w:pPr>
              <w:pStyle w:val="StdBodyText"/>
              <w:rPr>
                <w:rFonts w:cs="Arial"/>
                <w:i/>
                <w:sz w:val="22"/>
                <w:szCs w:val="22"/>
              </w:rPr>
            </w:pPr>
            <w:r w:rsidRPr="007E2618">
              <w:rPr>
                <w:rFonts w:cs="Arial"/>
                <w:sz w:val="22"/>
                <w:szCs w:val="22"/>
              </w:rPr>
              <w:t>Internet attackers could hack the system.</w:t>
            </w:r>
          </w:p>
        </w:tc>
        <w:tc>
          <w:tcPr>
            <w:tcW w:w="1273" w:type="dxa"/>
          </w:tcPr>
          <w:p w14:paraId="1620256D" w14:textId="77777777" w:rsidR="00BB406D" w:rsidRPr="007E2618" w:rsidRDefault="00BB406D" w:rsidP="00506868">
            <w:pPr>
              <w:pStyle w:val="StdBodyText"/>
              <w:rPr>
                <w:rFonts w:cs="Arial"/>
                <w:i/>
                <w:sz w:val="22"/>
                <w:szCs w:val="22"/>
              </w:rPr>
            </w:pPr>
            <w:r w:rsidRPr="007E2618">
              <w:rPr>
                <w:rFonts w:cs="Arial"/>
                <w:sz w:val="22"/>
                <w:szCs w:val="22"/>
              </w:rPr>
              <w:t>Medium</w:t>
            </w:r>
          </w:p>
        </w:tc>
        <w:tc>
          <w:tcPr>
            <w:tcW w:w="2405" w:type="dxa"/>
          </w:tcPr>
          <w:p w14:paraId="6A48920C" w14:textId="77777777" w:rsidR="00BB406D" w:rsidRPr="007E2618" w:rsidRDefault="00BB406D" w:rsidP="00506868">
            <w:pPr>
              <w:pStyle w:val="StdBodyText"/>
              <w:rPr>
                <w:rFonts w:cs="Arial"/>
                <w:i/>
                <w:sz w:val="22"/>
                <w:szCs w:val="22"/>
              </w:rPr>
            </w:pPr>
            <w:r w:rsidRPr="007E2618">
              <w:rPr>
                <w:rFonts w:cs="Arial"/>
                <w:sz w:val="22"/>
                <w:szCs w:val="22"/>
              </w:rPr>
              <w:t>The service systems are exposed to the internet via the web portal.</w:t>
            </w:r>
          </w:p>
        </w:tc>
        <w:tc>
          <w:tcPr>
            <w:tcW w:w="1976" w:type="dxa"/>
          </w:tcPr>
          <w:p w14:paraId="7D17D330" w14:textId="77777777" w:rsidR="00BB406D" w:rsidRPr="007E2618" w:rsidRDefault="00BB406D" w:rsidP="00506868">
            <w:pPr>
              <w:pStyle w:val="StdBodyText"/>
              <w:rPr>
                <w:rFonts w:cs="Arial"/>
                <w:sz w:val="22"/>
                <w:szCs w:val="22"/>
              </w:rPr>
            </w:pPr>
            <w:r w:rsidRPr="007E2618">
              <w:rPr>
                <w:rFonts w:cs="Arial"/>
                <w:sz w:val="22"/>
                <w:szCs w:val="22"/>
              </w:rPr>
              <w:t xml:space="preserve">C1: Internet-facing firewalls </w:t>
            </w:r>
          </w:p>
          <w:p w14:paraId="160DC9CF" w14:textId="77777777" w:rsidR="00BB406D" w:rsidRPr="007E2618" w:rsidRDefault="00BB406D" w:rsidP="00506868">
            <w:pPr>
              <w:pStyle w:val="StdBodyText"/>
              <w:rPr>
                <w:rFonts w:cs="Arial"/>
                <w:sz w:val="22"/>
                <w:szCs w:val="22"/>
              </w:rPr>
            </w:pPr>
            <w:r w:rsidRPr="007E2618">
              <w:rPr>
                <w:rFonts w:cs="Arial"/>
                <w:sz w:val="22"/>
                <w:szCs w:val="22"/>
              </w:rPr>
              <w:t>C2: Internet-facing IP whitelist</w:t>
            </w:r>
          </w:p>
          <w:p w14:paraId="2A03B6EF" w14:textId="77777777" w:rsidR="00BB406D" w:rsidRPr="007E2618" w:rsidRDefault="00BB406D" w:rsidP="00506868">
            <w:pPr>
              <w:pStyle w:val="StdBodyText"/>
              <w:rPr>
                <w:rFonts w:cs="Arial"/>
                <w:sz w:val="22"/>
                <w:szCs w:val="22"/>
              </w:rPr>
            </w:pPr>
            <w:r w:rsidRPr="007E2618">
              <w:rPr>
                <w:rFonts w:cs="Arial"/>
                <w:sz w:val="22"/>
                <w:szCs w:val="22"/>
              </w:rPr>
              <w:t>C3: System hardening</w:t>
            </w:r>
          </w:p>
          <w:p w14:paraId="6B8DB328" w14:textId="77777777" w:rsidR="00BB406D" w:rsidRPr="007E2618" w:rsidRDefault="00BB406D" w:rsidP="00506868">
            <w:pPr>
              <w:pStyle w:val="StdBodyText"/>
              <w:rPr>
                <w:rFonts w:cs="Arial"/>
                <w:sz w:val="22"/>
                <w:szCs w:val="22"/>
              </w:rPr>
            </w:pPr>
            <w:r w:rsidRPr="007E2618">
              <w:rPr>
                <w:rFonts w:cs="Arial"/>
                <w:sz w:val="22"/>
                <w:szCs w:val="22"/>
              </w:rPr>
              <w:t>C4: Protective monitoring</w:t>
            </w:r>
          </w:p>
          <w:p w14:paraId="361EF88C" w14:textId="77777777" w:rsidR="00BB406D" w:rsidRPr="007E2618" w:rsidRDefault="00BB406D" w:rsidP="00506868">
            <w:pPr>
              <w:pStyle w:val="StdBodyText"/>
              <w:rPr>
                <w:rFonts w:cs="Arial"/>
                <w:sz w:val="22"/>
                <w:szCs w:val="22"/>
              </w:rPr>
            </w:pPr>
            <w:r w:rsidRPr="007E2618">
              <w:rPr>
                <w:rFonts w:cs="Arial"/>
                <w:sz w:val="22"/>
                <w:szCs w:val="22"/>
              </w:rPr>
              <w:t>C5: Application access control</w:t>
            </w:r>
          </w:p>
          <w:p w14:paraId="5D31E5CE" w14:textId="77777777" w:rsidR="00BB406D" w:rsidRPr="007E2618" w:rsidRDefault="00BB406D" w:rsidP="00506868">
            <w:pPr>
              <w:pStyle w:val="StdBodyText"/>
              <w:rPr>
                <w:rFonts w:cs="Arial"/>
                <w:sz w:val="22"/>
                <w:szCs w:val="22"/>
              </w:rPr>
            </w:pPr>
            <w:r w:rsidRPr="007E2618">
              <w:rPr>
                <w:rFonts w:cs="Arial"/>
                <w:sz w:val="22"/>
                <w:szCs w:val="22"/>
              </w:rPr>
              <w:t>C16: Anti-virus for incoming files</w:t>
            </w:r>
          </w:p>
          <w:p w14:paraId="5E49EC98" w14:textId="77777777" w:rsidR="00BB406D" w:rsidRPr="007E2618" w:rsidRDefault="00BB406D" w:rsidP="00506868">
            <w:pPr>
              <w:pStyle w:val="StdBodyText"/>
              <w:rPr>
                <w:rFonts w:cs="Arial"/>
                <w:sz w:val="22"/>
                <w:szCs w:val="22"/>
              </w:rPr>
            </w:pPr>
            <w:r w:rsidRPr="007E2618">
              <w:rPr>
                <w:rFonts w:cs="Arial"/>
                <w:sz w:val="22"/>
                <w:szCs w:val="22"/>
              </w:rPr>
              <w:t>C54: Files deleted when processed</w:t>
            </w:r>
          </w:p>
          <w:p w14:paraId="55067E7A" w14:textId="77777777" w:rsidR="00BB406D" w:rsidRPr="007E2618" w:rsidRDefault="00BB406D" w:rsidP="00506868">
            <w:pPr>
              <w:pStyle w:val="StdBodyText"/>
              <w:rPr>
                <w:rFonts w:cs="Arial"/>
                <w:sz w:val="22"/>
                <w:szCs w:val="22"/>
              </w:rPr>
            </w:pPr>
            <w:r w:rsidRPr="007E2618">
              <w:rPr>
                <w:rFonts w:cs="Arial"/>
                <w:sz w:val="22"/>
                <w:szCs w:val="22"/>
              </w:rPr>
              <w:lastRenderedPageBreak/>
              <w:t>C59: Removal of departmental identifier</w:t>
            </w:r>
          </w:p>
        </w:tc>
        <w:tc>
          <w:tcPr>
            <w:tcW w:w="1150" w:type="dxa"/>
          </w:tcPr>
          <w:p w14:paraId="752EE070" w14:textId="77777777" w:rsidR="00BB406D" w:rsidRPr="007E2618" w:rsidRDefault="00BB406D" w:rsidP="00506868">
            <w:pPr>
              <w:pStyle w:val="StdBodyText"/>
              <w:rPr>
                <w:rFonts w:cs="Arial"/>
                <w:i/>
                <w:sz w:val="22"/>
                <w:szCs w:val="22"/>
              </w:rPr>
            </w:pPr>
            <w:r w:rsidRPr="007E2618">
              <w:rPr>
                <w:rFonts w:cs="Arial"/>
                <w:sz w:val="22"/>
                <w:szCs w:val="22"/>
              </w:rPr>
              <w:lastRenderedPageBreak/>
              <w:t>Very low</w:t>
            </w:r>
          </w:p>
        </w:tc>
      </w:tr>
      <w:tr w:rsidR="00BB406D" w:rsidRPr="007E2618" w14:paraId="570170A6" w14:textId="77777777" w:rsidTr="00506868">
        <w:tc>
          <w:tcPr>
            <w:tcW w:w="703" w:type="dxa"/>
          </w:tcPr>
          <w:p w14:paraId="1E517F67" w14:textId="77777777" w:rsidR="00BB406D" w:rsidRPr="007E2618" w:rsidRDefault="00BB406D" w:rsidP="00506868">
            <w:pPr>
              <w:pStyle w:val="StdBodyText"/>
              <w:rPr>
                <w:rFonts w:cs="Arial"/>
                <w:i/>
                <w:sz w:val="22"/>
                <w:szCs w:val="22"/>
              </w:rPr>
            </w:pPr>
            <w:r w:rsidRPr="007E2618">
              <w:rPr>
                <w:rFonts w:cs="Arial"/>
                <w:sz w:val="22"/>
                <w:szCs w:val="22"/>
              </w:rPr>
              <w:t>R2</w:t>
            </w:r>
          </w:p>
        </w:tc>
        <w:tc>
          <w:tcPr>
            <w:tcW w:w="1556" w:type="dxa"/>
          </w:tcPr>
          <w:p w14:paraId="37916763" w14:textId="77777777" w:rsidR="00BB406D" w:rsidRPr="007E2618" w:rsidRDefault="00BB406D" w:rsidP="00506868">
            <w:pPr>
              <w:pStyle w:val="StdBodyText"/>
              <w:rPr>
                <w:rFonts w:cs="Arial"/>
                <w:i/>
                <w:sz w:val="22"/>
                <w:szCs w:val="22"/>
              </w:rPr>
            </w:pPr>
            <w:r w:rsidRPr="007E2618">
              <w:rPr>
                <w:rFonts w:cs="Arial"/>
                <w:sz w:val="22"/>
                <w:szCs w:val="22"/>
              </w:rPr>
              <w:t>Remote attackers could intercept or disrupt information crossing the internet.</w:t>
            </w:r>
          </w:p>
        </w:tc>
        <w:tc>
          <w:tcPr>
            <w:tcW w:w="1273" w:type="dxa"/>
          </w:tcPr>
          <w:p w14:paraId="60381A0E" w14:textId="77777777" w:rsidR="00BB406D" w:rsidRPr="007E2618" w:rsidRDefault="00BB406D" w:rsidP="00506868">
            <w:pPr>
              <w:pStyle w:val="StdBodyText"/>
              <w:rPr>
                <w:rFonts w:cs="Arial"/>
                <w:i/>
                <w:sz w:val="22"/>
                <w:szCs w:val="22"/>
              </w:rPr>
            </w:pPr>
            <w:r w:rsidRPr="007E2618">
              <w:rPr>
                <w:rFonts w:cs="Arial"/>
                <w:sz w:val="22"/>
                <w:szCs w:val="22"/>
              </w:rPr>
              <w:t>Medium</w:t>
            </w:r>
          </w:p>
        </w:tc>
        <w:tc>
          <w:tcPr>
            <w:tcW w:w="2405" w:type="dxa"/>
          </w:tcPr>
          <w:p w14:paraId="634C63CD" w14:textId="77777777" w:rsidR="00BB406D" w:rsidRPr="007E2618" w:rsidRDefault="00BB406D" w:rsidP="00506868">
            <w:pPr>
              <w:pStyle w:val="StdBodyText"/>
              <w:rPr>
                <w:rFonts w:cs="Arial"/>
                <w:i/>
                <w:sz w:val="22"/>
                <w:szCs w:val="22"/>
              </w:rPr>
            </w:pPr>
            <w:r w:rsidRPr="007E2618">
              <w:rPr>
                <w:rFonts w:cs="Arial"/>
                <w:sz w:val="22"/>
                <w:szCs w:val="22"/>
              </w:rPr>
              <w:t>File sharing with organisations across the internet.</w:t>
            </w:r>
          </w:p>
        </w:tc>
        <w:tc>
          <w:tcPr>
            <w:tcW w:w="1976" w:type="dxa"/>
          </w:tcPr>
          <w:p w14:paraId="049D8BB7" w14:textId="77777777" w:rsidR="00BB406D" w:rsidRPr="007E2618" w:rsidRDefault="00BB406D" w:rsidP="00506868">
            <w:pPr>
              <w:pStyle w:val="StdBodyText"/>
              <w:rPr>
                <w:rFonts w:cs="Arial"/>
                <w:sz w:val="22"/>
                <w:szCs w:val="22"/>
              </w:rPr>
            </w:pPr>
            <w:r w:rsidRPr="007E2618">
              <w:rPr>
                <w:rFonts w:cs="Arial"/>
                <w:sz w:val="22"/>
                <w:szCs w:val="22"/>
              </w:rPr>
              <w:t>C9: TLS communications</w:t>
            </w:r>
          </w:p>
          <w:p w14:paraId="2B058F99" w14:textId="77777777" w:rsidR="00BB406D" w:rsidRPr="007E2618" w:rsidRDefault="00BB406D" w:rsidP="00506868">
            <w:pPr>
              <w:pStyle w:val="StdBodyText"/>
              <w:rPr>
                <w:rFonts w:cs="Arial"/>
                <w:i/>
                <w:sz w:val="22"/>
                <w:szCs w:val="22"/>
              </w:rPr>
            </w:pPr>
            <w:r w:rsidRPr="007E2618">
              <w:rPr>
                <w:rFonts w:cs="Arial"/>
                <w:sz w:val="22"/>
                <w:szCs w:val="22"/>
              </w:rPr>
              <w:t>C10: PGP file-sharing</w:t>
            </w:r>
          </w:p>
        </w:tc>
        <w:tc>
          <w:tcPr>
            <w:tcW w:w="1150" w:type="dxa"/>
          </w:tcPr>
          <w:p w14:paraId="0F62A931" w14:textId="77777777" w:rsidR="00BB406D" w:rsidRPr="007E2618" w:rsidRDefault="00BB406D" w:rsidP="00506868">
            <w:pPr>
              <w:pStyle w:val="StdBodyText"/>
              <w:rPr>
                <w:rFonts w:cs="Arial"/>
                <w:i/>
                <w:sz w:val="22"/>
                <w:szCs w:val="22"/>
              </w:rPr>
            </w:pPr>
            <w:r w:rsidRPr="007E2618">
              <w:rPr>
                <w:rFonts w:cs="Arial"/>
                <w:sz w:val="22"/>
                <w:szCs w:val="22"/>
              </w:rPr>
              <w:t>Very low</w:t>
            </w:r>
          </w:p>
        </w:tc>
      </w:tr>
      <w:tr w:rsidR="00BB406D" w:rsidRPr="007E2618" w14:paraId="2F1B9394" w14:textId="77777777" w:rsidTr="00506868">
        <w:tc>
          <w:tcPr>
            <w:tcW w:w="703" w:type="dxa"/>
          </w:tcPr>
          <w:p w14:paraId="6D4B84D1" w14:textId="77777777" w:rsidR="00BB406D" w:rsidRPr="007E2618" w:rsidRDefault="00BB406D" w:rsidP="00506868">
            <w:pPr>
              <w:pStyle w:val="StdBodyText"/>
              <w:rPr>
                <w:rFonts w:cs="Arial"/>
                <w:i/>
                <w:sz w:val="22"/>
                <w:szCs w:val="22"/>
              </w:rPr>
            </w:pPr>
            <w:r w:rsidRPr="007E2618">
              <w:rPr>
                <w:rFonts w:cs="Arial"/>
                <w:sz w:val="22"/>
                <w:szCs w:val="22"/>
              </w:rPr>
              <w:t>R3</w:t>
            </w:r>
          </w:p>
        </w:tc>
        <w:tc>
          <w:tcPr>
            <w:tcW w:w="1556" w:type="dxa"/>
          </w:tcPr>
          <w:p w14:paraId="05333114" w14:textId="77777777" w:rsidR="00BB406D" w:rsidRPr="007E2618" w:rsidRDefault="00BB406D" w:rsidP="00506868">
            <w:pPr>
              <w:pStyle w:val="StdBodyText"/>
              <w:rPr>
                <w:rFonts w:cs="Arial"/>
                <w:i/>
                <w:sz w:val="22"/>
                <w:szCs w:val="22"/>
              </w:rPr>
            </w:pPr>
            <w:r w:rsidRPr="007E2618">
              <w:rPr>
                <w:rFonts w:cs="Arial"/>
                <w:sz w:val="22"/>
                <w:szCs w:val="22"/>
              </w:rPr>
              <w:t>Internal users could maliciously or accidentally alter bank details.</w:t>
            </w:r>
          </w:p>
        </w:tc>
        <w:tc>
          <w:tcPr>
            <w:tcW w:w="1273" w:type="dxa"/>
          </w:tcPr>
          <w:p w14:paraId="17EE7627" w14:textId="77777777" w:rsidR="00BB406D" w:rsidRPr="007E2618" w:rsidRDefault="00BB406D" w:rsidP="00506868">
            <w:pPr>
              <w:pStyle w:val="StdBodyText"/>
              <w:rPr>
                <w:rFonts w:cs="Arial"/>
                <w:i/>
                <w:sz w:val="22"/>
                <w:szCs w:val="22"/>
              </w:rPr>
            </w:pPr>
            <w:r w:rsidRPr="007E2618">
              <w:rPr>
                <w:rFonts w:cs="Arial"/>
                <w:sz w:val="22"/>
                <w:szCs w:val="22"/>
              </w:rPr>
              <w:t>Medium-High</w:t>
            </w:r>
          </w:p>
        </w:tc>
        <w:tc>
          <w:tcPr>
            <w:tcW w:w="2405" w:type="dxa"/>
          </w:tcPr>
          <w:p w14:paraId="32377E40" w14:textId="77777777" w:rsidR="00BB406D" w:rsidRPr="007E2618" w:rsidRDefault="00BB406D" w:rsidP="00506868">
            <w:pPr>
              <w:pStyle w:val="StdBodyText"/>
              <w:rPr>
                <w:rFonts w:cs="Arial"/>
                <w:i/>
                <w:sz w:val="22"/>
                <w:szCs w:val="22"/>
              </w:rPr>
            </w:pPr>
            <w:r w:rsidRPr="007E2618">
              <w:rPr>
                <w:rFonts w:cs="Arial"/>
                <w:sz w:val="22"/>
                <w:szCs w:val="22"/>
              </w:rPr>
              <w:t>Users bank details can be altered as part of the normal business function.</w:t>
            </w:r>
          </w:p>
        </w:tc>
        <w:tc>
          <w:tcPr>
            <w:tcW w:w="1976" w:type="dxa"/>
          </w:tcPr>
          <w:p w14:paraId="15F32D0D" w14:textId="77777777" w:rsidR="00BB406D" w:rsidRPr="007E2618" w:rsidRDefault="00BB406D" w:rsidP="00506868">
            <w:pPr>
              <w:pStyle w:val="StdBodyText"/>
              <w:rPr>
                <w:rFonts w:cs="Arial"/>
                <w:sz w:val="22"/>
                <w:szCs w:val="22"/>
              </w:rPr>
            </w:pPr>
            <w:r w:rsidRPr="007E2618">
              <w:rPr>
                <w:rFonts w:cs="Arial"/>
                <w:sz w:val="22"/>
                <w:szCs w:val="22"/>
              </w:rPr>
              <w:t>C12. System administrators hold SC clearance.</w:t>
            </w:r>
          </w:p>
          <w:p w14:paraId="2D14105C" w14:textId="77777777" w:rsidR="00BB406D" w:rsidRPr="007E2618" w:rsidRDefault="00BB406D" w:rsidP="00506868">
            <w:pPr>
              <w:pStyle w:val="StdBodyText"/>
              <w:rPr>
                <w:rFonts w:cs="Arial"/>
                <w:sz w:val="22"/>
                <w:szCs w:val="22"/>
              </w:rPr>
            </w:pPr>
            <w:r w:rsidRPr="007E2618">
              <w:rPr>
                <w:rFonts w:cs="Arial"/>
                <w:sz w:val="22"/>
                <w:szCs w:val="22"/>
              </w:rPr>
              <w:t>C13. All changes to user information are logged and audited.</w:t>
            </w:r>
          </w:p>
          <w:p w14:paraId="75C45B95" w14:textId="77777777" w:rsidR="00BB406D" w:rsidRPr="007E2618" w:rsidRDefault="00BB406D" w:rsidP="00506868">
            <w:pPr>
              <w:pStyle w:val="StdBodyText"/>
              <w:rPr>
                <w:rFonts w:cs="Arial"/>
                <w:sz w:val="22"/>
                <w:szCs w:val="22"/>
              </w:rPr>
            </w:pPr>
            <w:r w:rsidRPr="007E2618">
              <w:rPr>
                <w:rFonts w:cs="Arial"/>
                <w:sz w:val="22"/>
                <w:szCs w:val="22"/>
              </w:rPr>
              <w:t>C14. Letters are automatically sent to users’ home addresses when bank details are altered.</w:t>
            </w:r>
          </w:p>
          <w:p w14:paraId="08FA4BE2" w14:textId="77777777" w:rsidR="00BB406D" w:rsidRPr="007E2618" w:rsidRDefault="00BB406D" w:rsidP="00506868">
            <w:pPr>
              <w:pStyle w:val="StdBodyText"/>
              <w:rPr>
                <w:rFonts w:cs="Arial"/>
                <w:i/>
                <w:sz w:val="22"/>
                <w:szCs w:val="22"/>
              </w:rPr>
            </w:pPr>
            <w:r w:rsidRPr="007E2618">
              <w:rPr>
                <w:rFonts w:cs="Arial"/>
                <w:sz w:val="22"/>
                <w:szCs w:val="22"/>
              </w:rPr>
              <w:t>C15. Staff awareness training</w:t>
            </w:r>
          </w:p>
        </w:tc>
        <w:tc>
          <w:tcPr>
            <w:tcW w:w="1150" w:type="dxa"/>
          </w:tcPr>
          <w:p w14:paraId="053DCE2F" w14:textId="77777777" w:rsidR="00BB406D" w:rsidRPr="007E2618" w:rsidRDefault="00BB406D" w:rsidP="00506868">
            <w:pPr>
              <w:pStyle w:val="StdBodyText"/>
              <w:rPr>
                <w:rFonts w:cs="Arial"/>
                <w:i/>
                <w:sz w:val="22"/>
                <w:szCs w:val="22"/>
              </w:rPr>
            </w:pPr>
            <w:r w:rsidRPr="007E2618">
              <w:rPr>
                <w:rFonts w:cs="Arial"/>
                <w:sz w:val="22"/>
                <w:szCs w:val="22"/>
              </w:rPr>
              <w:t>Low</w:t>
            </w:r>
          </w:p>
        </w:tc>
      </w:tr>
    </w:tbl>
    <w:p w14:paraId="4FF95893" w14:textId="77777777" w:rsidR="00BB406D" w:rsidRPr="007E2618" w:rsidRDefault="00BB406D" w:rsidP="00BB406D">
      <w:pPr>
        <w:pStyle w:val="StdBodyText"/>
        <w:rPr>
          <w:rFonts w:cs="Arial"/>
          <w:sz w:val="22"/>
          <w:szCs w:val="22"/>
        </w:rPr>
      </w:pPr>
    </w:p>
    <w:p w14:paraId="2BC7E801" w14:textId="77777777" w:rsidR="00BB406D" w:rsidRPr="007E2618" w:rsidRDefault="00BB406D">
      <w:pPr>
        <w:pStyle w:val="AppendixText2"/>
        <w:rPr>
          <w:rFonts w:cs="Arial"/>
          <w:sz w:val="22"/>
          <w:szCs w:val="22"/>
        </w:rPr>
      </w:pPr>
      <w:r w:rsidRPr="007E2618">
        <w:rPr>
          <w:rFonts w:cs="Arial"/>
          <w:sz w:val="22"/>
          <w:szCs w:val="22"/>
        </w:rPr>
        <w:t>Controls</w:t>
      </w:r>
    </w:p>
    <w:p w14:paraId="2F1C37B8" w14:textId="77777777" w:rsidR="00BB406D" w:rsidRPr="007E2618" w:rsidRDefault="00BB406D" w:rsidP="00BB406D">
      <w:pPr>
        <w:pStyle w:val="StdBodyText1"/>
        <w:rPr>
          <w:rFonts w:cs="Arial"/>
          <w:i/>
          <w:sz w:val="22"/>
          <w:szCs w:val="22"/>
        </w:rPr>
      </w:pPr>
      <w:r w:rsidRPr="007E2618">
        <w:rPr>
          <w:rFonts w:cs="Arial"/>
          <w:i/>
          <w:sz w:val="22"/>
          <w:szCs w:val="22"/>
        </w:rPr>
        <w:t>&lt;The controls listed above to mitigate the risks identified should be detailed. There should be a description of each control, further information and configuration details where relevant, and an assessment of the implementation status of, and assurance in, the control. A sample layout is included below.&gt;</w:t>
      </w:r>
    </w:p>
    <w:tbl>
      <w:tblPr>
        <w:tblStyle w:val="TableGrid"/>
        <w:tblW w:w="0" w:type="auto"/>
        <w:tblLook w:val="04A0" w:firstRow="1" w:lastRow="0" w:firstColumn="1" w:lastColumn="0" w:noHBand="0" w:noVBand="1"/>
      </w:tblPr>
      <w:tblGrid>
        <w:gridCol w:w="620"/>
        <w:gridCol w:w="1829"/>
        <w:gridCol w:w="2658"/>
        <w:gridCol w:w="3903"/>
      </w:tblGrid>
      <w:tr w:rsidR="00BB406D" w:rsidRPr="007E2618" w14:paraId="4F077DCD" w14:textId="77777777" w:rsidTr="00506868">
        <w:tc>
          <w:tcPr>
            <w:tcW w:w="562" w:type="dxa"/>
            <w:shd w:val="solid" w:color="DBE5F1" w:themeColor="accent1" w:themeTint="33" w:fill="auto"/>
          </w:tcPr>
          <w:p w14:paraId="68926103" w14:textId="77777777" w:rsidR="00BB406D" w:rsidRPr="007E2618" w:rsidRDefault="00BB406D" w:rsidP="00506868">
            <w:pPr>
              <w:pStyle w:val="StdBodyText"/>
              <w:rPr>
                <w:rFonts w:cs="Arial"/>
                <w:sz w:val="22"/>
                <w:szCs w:val="22"/>
              </w:rPr>
            </w:pPr>
            <w:r w:rsidRPr="007E2618">
              <w:rPr>
                <w:rFonts w:cs="Arial"/>
                <w:sz w:val="22"/>
                <w:szCs w:val="22"/>
              </w:rPr>
              <w:t>ID</w:t>
            </w:r>
          </w:p>
        </w:tc>
        <w:tc>
          <w:tcPr>
            <w:tcW w:w="1843" w:type="dxa"/>
            <w:shd w:val="solid" w:color="DBE5F1" w:themeColor="accent1" w:themeTint="33" w:fill="auto"/>
          </w:tcPr>
          <w:p w14:paraId="52A0A1C1" w14:textId="77777777" w:rsidR="00BB406D" w:rsidRPr="007E2618" w:rsidRDefault="00BB406D" w:rsidP="00506868">
            <w:pPr>
              <w:pStyle w:val="StdBodyText"/>
              <w:rPr>
                <w:rFonts w:cs="Arial"/>
                <w:sz w:val="22"/>
                <w:szCs w:val="22"/>
              </w:rPr>
            </w:pPr>
            <w:r w:rsidRPr="007E2618">
              <w:rPr>
                <w:rFonts w:cs="Arial"/>
                <w:sz w:val="22"/>
                <w:szCs w:val="22"/>
              </w:rPr>
              <w:t>Control title</w:t>
            </w:r>
          </w:p>
        </w:tc>
        <w:tc>
          <w:tcPr>
            <w:tcW w:w="2693" w:type="dxa"/>
            <w:shd w:val="solid" w:color="DBE5F1" w:themeColor="accent1" w:themeTint="33" w:fill="auto"/>
          </w:tcPr>
          <w:p w14:paraId="776A5801" w14:textId="77777777" w:rsidR="00BB406D" w:rsidRPr="007E2618" w:rsidRDefault="00BB406D" w:rsidP="00506868">
            <w:pPr>
              <w:pStyle w:val="StdBodyText"/>
              <w:rPr>
                <w:rFonts w:cs="Arial"/>
                <w:sz w:val="22"/>
                <w:szCs w:val="22"/>
              </w:rPr>
            </w:pPr>
            <w:r w:rsidRPr="007E2618">
              <w:rPr>
                <w:rFonts w:cs="Arial"/>
                <w:sz w:val="22"/>
                <w:szCs w:val="22"/>
              </w:rPr>
              <w:t>Control description</w:t>
            </w:r>
          </w:p>
        </w:tc>
        <w:tc>
          <w:tcPr>
            <w:tcW w:w="3965" w:type="dxa"/>
            <w:shd w:val="solid" w:color="DBE5F1" w:themeColor="accent1" w:themeTint="33" w:fill="auto"/>
          </w:tcPr>
          <w:p w14:paraId="45BF17F9" w14:textId="77777777" w:rsidR="00BB406D" w:rsidRPr="007E2618" w:rsidRDefault="00BB406D" w:rsidP="00506868">
            <w:pPr>
              <w:pStyle w:val="StdBodyText"/>
              <w:rPr>
                <w:rFonts w:cs="Arial"/>
                <w:sz w:val="22"/>
                <w:szCs w:val="22"/>
              </w:rPr>
            </w:pPr>
            <w:r w:rsidRPr="007E2618">
              <w:rPr>
                <w:rFonts w:cs="Arial"/>
                <w:sz w:val="22"/>
                <w:szCs w:val="22"/>
              </w:rPr>
              <w:t>Further information and assurance status</w:t>
            </w:r>
          </w:p>
        </w:tc>
      </w:tr>
      <w:tr w:rsidR="00BB406D" w:rsidRPr="007E2618" w14:paraId="1932739D" w14:textId="77777777" w:rsidTr="00506868">
        <w:tc>
          <w:tcPr>
            <w:tcW w:w="562" w:type="dxa"/>
          </w:tcPr>
          <w:p w14:paraId="6D721336" w14:textId="77777777" w:rsidR="00BB406D" w:rsidRPr="007E2618" w:rsidRDefault="00BB406D" w:rsidP="00506868">
            <w:pPr>
              <w:pStyle w:val="StdBodyText"/>
              <w:rPr>
                <w:rFonts w:cs="Arial"/>
                <w:sz w:val="22"/>
                <w:szCs w:val="22"/>
              </w:rPr>
            </w:pPr>
            <w:r w:rsidRPr="007E2618">
              <w:rPr>
                <w:rFonts w:cs="Arial"/>
                <w:sz w:val="22"/>
                <w:szCs w:val="22"/>
              </w:rPr>
              <w:t>C1</w:t>
            </w:r>
          </w:p>
        </w:tc>
        <w:tc>
          <w:tcPr>
            <w:tcW w:w="1843" w:type="dxa"/>
          </w:tcPr>
          <w:p w14:paraId="4C57F47B" w14:textId="77777777" w:rsidR="00BB406D" w:rsidRPr="007E2618" w:rsidRDefault="00BB406D" w:rsidP="00506868">
            <w:pPr>
              <w:pStyle w:val="StdBodyText"/>
              <w:rPr>
                <w:rFonts w:cs="Arial"/>
                <w:sz w:val="22"/>
                <w:szCs w:val="22"/>
              </w:rPr>
            </w:pPr>
            <w:r w:rsidRPr="007E2618">
              <w:rPr>
                <w:rFonts w:cs="Arial"/>
                <w:sz w:val="22"/>
                <w:szCs w:val="22"/>
              </w:rPr>
              <w:t>Internet-facing firewalls</w:t>
            </w:r>
          </w:p>
        </w:tc>
        <w:tc>
          <w:tcPr>
            <w:tcW w:w="2693" w:type="dxa"/>
          </w:tcPr>
          <w:p w14:paraId="654AE1E1" w14:textId="77777777" w:rsidR="00BB406D" w:rsidRPr="007E2618" w:rsidRDefault="00BB406D" w:rsidP="00506868">
            <w:pPr>
              <w:pStyle w:val="StdBodyText"/>
              <w:rPr>
                <w:rFonts w:cs="Arial"/>
                <w:sz w:val="22"/>
                <w:szCs w:val="22"/>
              </w:rPr>
            </w:pPr>
            <w:r w:rsidRPr="007E2618">
              <w:rPr>
                <w:rFonts w:cs="Arial"/>
                <w:sz w:val="22"/>
                <w:szCs w:val="22"/>
              </w:rPr>
              <w:t xml:space="preserve">Internet-facing firewalls are in place between the internet and the system’, </w:t>
            </w:r>
            <w:r w:rsidRPr="007E2618">
              <w:rPr>
                <w:rFonts w:cs="Arial"/>
                <w:sz w:val="22"/>
                <w:szCs w:val="22"/>
              </w:rPr>
              <w:lastRenderedPageBreak/>
              <w:t>which restrict access from the internet to the required ports only.</w:t>
            </w:r>
          </w:p>
        </w:tc>
        <w:tc>
          <w:tcPr>
            <w:tcW w:w="3965" w:type="dxa"/>
          </w:tcPr>
          <w:p w14:paraId="04C874B8" w14:textId="77777777" w:rsidR="00BB406D" w:rsidRPr="007E2618" w:rsidRDefault="00BB406D" w:rsidP="00506868">
            <w:pPr>
              <w:pStyle w:val="StdBodyText"/>
              <w:rPr>
                <w:rFonts w:cs="Arial"/>
                <w:sz w:val="22"/>
                <w:szCs w:val="22"/>
              </w:rPr>
            </w:pPr>
            <w:r w:rsidRPr="007E2618">
              <w:rPr>
                <w:rFonts w:cs="Arial"/>
                <w:sz w:val="22"/>
                <w:szCs w:val="22"/>
              </w:rPr>
              <w:lastRenderedPageBreak/>
              <w:t>Assured via ITHC firewall rule check</w:t>
            </w:r>
          </w:p>
        </w:tc>
      </w:tr>
      <w:tr w:rsidR="00BB406D" w:rsidRPr="007E2618" w14:paraId="5E610351" w14:textId="77777777" w:rsidTr="00506868">
        <w:tc>
          <w:tcPr>
            <w:tcW w:w="562" w:type="dxa"/>
          </w:tcPr>
          <w:p w14:paraId="3F8A0D6D" w14:textId="77777777" w:rsidR="00BB406D" w:rsidRPr="007E2618" w:rsidRDefault="00BB406D" w:rsidP="00506868">
            <w:pPr>
              <w:pStyle w:val="StdBodyText"/>
              <w:rPr>
                <w:rFonts w:cs="Arial"/>
                <w:sz w:val="22"/>
                <w:szCs w:val="22"/>
              </w:rPr>
            </w:pPr>
            <w:r w:rsidRPr="007E2618">
              <w:rPr>
                <w:rFonts w:cs="Arial"/>
                <w:sz w:val="22"/>
                <w:szCs w:val="22"/>
              </w:rPr>
              <w:t>C2</w:t>
            </w:r>
          </w:p>
        </w:tc>
        <w:tc>
          <w:tcPr>
            <w:tcW w:w="1843" w:type="dxa"/>
          </w:tcPr>
          <w:p w14:paraId="2E31DBB3" w14:textId="77777777" w:rsidR="00BB406D" w:rsidRPr="007E2618" w:rsidRDefault="00BB406D" w:rsidP="00506868">
            <w:pPr>
              <w:pStyle w:val="StdBodyText"/>
              <w:rPr>
                <w:rFonts w:cs="Arial"/>
                <w:sz w:val="22"/>
                <w:szCs w:val="22"/>
              </w:rPr>
            </w:pPr>
            <w:r w:rsidRPr="007E2618">
              <w:rPr>
                <w:rFonts w:cs="Arial"/>
                <w:sz w:val="22"/>
                <w:szCs w:val="22"/>
              </w:rPr>
              <w:t>Internet-facing IP whitelist</w:t>
            </w:r>
          </w:p>
        </w:tc>
        <w:tc>
          <w:tcPr>
            <w:tcW w:w="2693" w:type="dxa"/>
          </w:tcPr>
          <w:p w14:paraId="49C63858" w14:textId="77777777" w:rsidR="00BB406D" w:rsidRPr="007E2618" w:rsidRDefault="00BB406D" w:rsidP="00506868">
            <w:pPr>
              <w:pStyle w:val="StdBodyText"/>
              <w:rPr>
                <w:rFonts w:cs="Arial"/>
                <w:sz w:val="22"/>
                <w:szCs w:val="22"/>
              </w:rPr>
            </w:pPr>
            <w:r w:rsidRPr="007E2618">
              <w:rPr>
                <w:rFonts w:cs="Arial"/>
                <w:sz w:val="22"/>
                <w:szCs w:val="22"/>
              </w:rPr>
              <w:t>An IP whitelist is in place for all access from the internet.</w:t>
            </w:r>
          </w:p>
        </w:tc>
        <w:tc>
          <w:tcPr>
            <w:tcW w:w="3965" w:type="dxa"/>
          </w:tcPr>
          <w:p w14:paraId="546C6B66" w14:textId="77777777" w:rsidR="00BB406D" w:rsidRPr="007E2618" w:rsidRDefault="00BB406D" w:rsidP="00506868">
            <w:pPr>
              <w:pStyle w:val="StdBodyText"/>
              <w:rPr>
                <w:rFonts w:cs="Arial"/>
                <w:sz w:val="22"/>
                <w:szCs w:val="22"/>
              </w:rPr>
            </w:pPr>
            <w:r w:rsidRPr="007E2618">
              <w:rPr>
                <w:rFonts w:cs="Arial"/>
                <w:sz w:val="22"/>
                <w:szCs w:val="22"/>
              </w:rPr>
              <w:t>Assured via ITHC</w:t>
            </w:r>
          </w:p>
        </w:tc>
      </w:tr>
      <w:tr w:rsidR="00BB406D" w:rsidRPr="007E2618" w14:paraId="48CBD93C" w14:textId="77777777" w:rsidTr="00506868">
        <w:tc>
          <w:tcPr>
            <w:tcW w:w="562" w:type="dxa"/>
          </w:tcPr>
          <w:p w14:paraId="4AC91D68" w14:textId="77777777" w:rsidR="00BB406D" w:rsidRPr="007E2618" w:rsidRDefault="00BB406D" w:rsidP="00506868">
            <w:pPr>
              <w:pStyle w:val="StdBodyText"/>
              <w:rPr>
                <w:rFonts w:cs="Arial"/>
                <w:sz w:val="22"/>
                <w:szCs w:val="22"/>
              </w:rPr>
            </w:pPr>
            <w:r w:rsidRPr="007E2618">
              <w:rPr>
                <w:rFonts w:cs="Arial"/>
                <w:sz w:val="22"/>
                <w:szCs w:val="22"/>
              </w:rPr>
              <w:t>C15</w:t>
            </w:r>
          </w:p>
        </w:tc>
        <w:tc>
          <w:tcPr>
            <w:tcW w:w="1843" w:type="dxa"/>
          </w:tcPr>
          <w:p w14:paraId="2079F699" w14:textId="77777777" w:rsidR="00BB406D" w:rsidRPr="007E2618" w:rsidRDefault="00BB406D" w:rsidP="00506868">
            <w:pPr>
              <w:pStyle w:val="StdBodyText"/>
              <w:rPr>
                <w:rFonts w:cs="Arial"/>
                <w:sz w:val="22"/>
                <w:szCs w:val="22"/>
              </w:rPr>
            </w:pPr>
            <w:r w:rsidRPr="007E2618">
              <w:rPr>
                <w:rFonts w:cs="Arial"/>
                <w:sz w:val="22"/>
                <w:szCs w:val="22"/>
              </w:rPr>
              <w:t>Staff awareness training</w:t>
            </w:r>
          </w:p>
        </w:tc>
        <w:tc>
          <w:tcPr>
            <w:tcW w:w="2693" w:type="dxa"/>
          </w:tcPr>
          <w:p w14:paraId="01F620EE" w14:textId="77777777" w:rsidR="00BB406D" w:rsidRPr="007E2618" w:rsidRDefault="00BB406D" w:rsidP="00506868">
            <w:pPr>
              <w:pStyle w:val="StdBodyText"/>
              <w:rPr>
                <w:rFonts w:cs="Arial"/>
                <w:sz w:val="22"/>
                <w:szCs w:val="22"/>
              </w:rPr>
            </w:pPr>
            <w:r w:rsidRPr="007E2618">
              <w:rPr>
                <w:rFonts w:cs="Arial"/>
                <w:sz w:val="22"/>
                <w:szCs w:val="22"/>
              </w:rPr>
              <w:t>All staff must undertake annual security awareness training and this process is audited and monitored by line managers.</w:t>
            </w:r>
          </w:p>
        </w:tc>
        <w:tc>
          <w:tcPr>
            <w:tcW w:w="3965" w:type="dxa"/>
          </w:tcPr>
          <w:p w14:paraId="5A59F9AA" w14:textId="77777777" w:rsidR="00BB406D" w:rsidRPr="007E2618" w:rsidRDefault="00BB406D" w:rsidP="00506868">
            <w:pPr>
              <w:pStyle w:val="StdBodyText"/>
              <w:rPr>
                <w:rFonts w:cs="Arial"/>
                <w:sz w:val="22"/>
                <w:szCs w:val="22"/>
              </w:rPr>
            </w:pPr>
            <w:r w:rsidRPr="007E2618">
              <w:rPr>
                <w:rFonts w:cs="Arial"/>
                <w:sz w:val="22"/>
                <w:szCs w:val="22"/>
              </w:rPr>
              <w:t>Assured as part of ISO/IEC 27001 (at least ISO/IEC 27001:2013) certification</w:t>
            </w:r>
          </w:p>
        </w:tc>
      </w:tr>
    </w:tbl>
    <w:p w14:paraId="4F59A18C" w14:textId="77777777" w:rsidR="00BB406D" w:rsidRPr="007E2618" w:rsidRDefault="00BB406D" w:rsidP="00BB406D">
      <w:pPr>
        <w:pStyle w:val="StdBodyText"/>
        <w:rPr>
          <w:rFonts w:cs="Arial"/>
          <w:sz w:val="22"/>
          <w:szCs w:val="22"/>
        </w:rPr>
      </w:pPr>
    </w:p>
    <w:p w14:paraId="3C974E07" w14:textId="77777777" w:rsidR="00BB406D" w:rsidRPr="007E2618" w:rsidRDefault="00BB406D">
      <w:pPr>
        <w:pStyle w:val="AppendixText2"/>
        <w:rPr>
          <w:rFonts w:cs="Arial"/>
          <w:sz w:val="22"/>
          <w:szCs w:val="22"/>
        </w:rPr>
      </w:pPr>
      <w:r w:rsidRPr="007E2618">
        <w:rPr>
          <w:rFonts w:cs="Arial"/>
          <w:sz w:val="22"/>
          <w:szCs w:val="22"/>
        </w:rPr>
        <w:t>Residual risks and actions</w:t>
      </w:r>
    </w:p>
    <w:p w14:paraId="1399380A" w14:textId="77777777" w:rsidR="00BB406D" w:rsidRPr="007E2618" w:rsidRDefault="00BB406D" w:rsidP="00BB406D">
      <w:pPr>
        <w:pStyle w:val="StdBodyText1"/>
        <w:rPr>
          <w:rFonts w:cs="Arial"/>
          <w:i/>
          <w:sz w:val="22"/>
          <w:szCs w:val="22"/>
        </w:rPr>
      </w:pPr>
      <w:r w:rsidRPr="007E2618">
        <w:rPr>
          <w:rFonts w:cs="Arial"/>
          <w:i/>
          <w:sz w:val="22"/>
          <w:szCs w:val="22"/>
        </w:rPr>
        <w:t>&lt;A summary of the residual risks which are likely to be above the risk appetite stated after all controls have been applied and verified should be listed with actions and timescales included.&gt;</w:t>
      </w:r>
    </w:p>
    <w:p w14:paraId="780794C5" w14:textId="77777777" w:rsidR="00BB406D" w:rsidRPr="007E2618" w:rsidRDefault="00BB406D">
      <w:pPr>
        <w:pStyle w:val="AppendixText1"/>
        <w:rPr>
          <w:rFonts w:cs="Arial"/>
          <w:sz w:val="22"/>
          <w:szCs w:val="22"/>
        </w:rPr>
      </w:pPr>
      <w:r w:rsidRPr="007E2618">
        <w:rPr>
          <w:rFonts w:cs="Arial"/>
          <w:sz w:val="22"/>
          <w:szCs w:val="22"/>
        </w:rPr>
        <w:t>In-service controls</w:t>
      </w:r>
    </w:p>
    <w:p w14:paraId="55E35229" w14:textId="77777777" w:rsidR="00BB406D" w:rsidRPr="007E2618" w:rsidRDefault="00BB406D" w:rsidP="00BB406D">
      <w:pPr>
        <w:pStyle w:val="StdBodyText1"/>
        <w:rPr>
          <w:rFonts w:cs="Arial"/>
          <w:i/>
          <w:sz w:val="22"/>
          <w:szCs w:val="22"/>
        </w:rPr>
      </w:pPr>
      <w:r w:rsidRPr="007E2618">
        <w:rPr>
          <w:rFonts w:cs="Arial"/>
          <w:i/>
          <w:sz w:val="22"/>
          <w:szCs w:val="22"/>
        </w:rPr>
        <w:t>&lt; This section should describe the controls relating to the information lifecycle, including development, testing, in-service, termination and on-going risk management and accreditation assurance. Details of any formal assurance requirements specified in the contract such as security CHECK testing or maintained ISO/IEC 27001 (at least ISO/IEC 27001:2013) certification should be included. This section should include at least:</w:t>
      </w:r>
    </w:p>
    <w:p w14:paraId="0CD3CDD5" w14:textId="77777777" w:rsidR="00BB406D" w:rsidRPr="007E2618" w:rsidRDefault="00BB406D">
      <w:pPr>
        <w:pStyle w:val="AppendixText4"/>
        <w:rPr>
          <w:rFonts w:cs="Arial"/>
          <w:i/>
          <w:sz w:val="22"/>
          <w:szCs w:val="22"/>
        </w:rPr>
      </w:pPr>
      <w:r w:rsidRPr="007E2618">
        <w:rPr>
          <w:rFonts w:cs="Arial"/>
          <w:i/>
          <w:sz w:val="22"/>
          <w:szCs w:val="22"/>
        </w:rPr>
        <w:t>information risk management and timescales and triggers for a review;</w:t>
      </w:r>
    </w:p>
    <w:p w14:paraId="348C1D2D" w14:textId="77777777" w:rsidR="00BB406D" w:rsidRPr="007E2618" w:rsidRDefault="00BB406D">
      <w:pPr>
        <w:pStyle w:val="AppendixText4"/>
        <w:rPr>
          <w:rFonts w:cs="Arial"/>
          <w:i/>
          <w:sz w:val="22"/>
          <w:szCs w:val="22"/>
        </w:rPr>
      </w:pPr>
      <w:r w:rsidRPr="007E2618">
        <w:rPr>
          <w:rFonts w:cs="Arial"/>
          <w:i/>
          <w:sz w:val="22"/>
          <w:szCs w:val="22"/>
        </w:rPr>
        <w:t>contractual patching requirements and timescales for the different priorities of patch;</w:t>
      </w:r>
    </w:p>
    <w:p w14:paraId="7E48150B" w14:textId="77777777" w:rsidR="00BB406D" w:rsidRPr="007E2618" w:rsidRDefault="00BB406D">
      <w:pPr>
        <w:pStyle w:val="AppendixText4"/>
        <w:rPr>
          <w:rFonts w:cs="Arial"/>
          <w:i/>
          <w:sz w:val="22"/>
          <w:szCs w:val="22"/>
        </w:rPr>
      </w:pPr>
      <w:r w:rsidRPr="007E2618">
        <w:rPr>
          <w:rFonts w:cs="Arial"/>
          <w:i/>
          <w:sz w:val="22"/>
          <w:szCs w:val="22"/>
        </w:rPr>
        <w:t>protective monitoring arrangements to include how anomalous behaviour is identified and acted upon as well as how logging and auditing of user activity is done;</w:t>
      </w:r>
    </w:p>
    <w:p w14:paraId="2E5C5510" w14:textId="77777777" w:rsidR="00BB406D" w:rsidRPr="007E2618" w:rsidRDefault="00BB406D">
      <w:pPr>
        <w:pStyle w:val="AppendixText4"/>
        <w:rPr>
          <w:rFonts w:cs="Arial"/>
          <w:i/>
          <w:sz w:val="22"/>
          <w:szCs w:val="22"/>
        </w:rPr>
      </w:pPr>
      <w:r w:rsidRPr="007E2618">
        <w:rPr>
          <w:rFonts w:cs="Arial"/>
          <w:i/>
          <w:sz w:val="22"/>
          <w:szCs w:val="22"/>
        </w:rPr>
        <w:t>configuration and change management;</w:t>
      </w:r>
    </w:p>
    <w:p w14:paraId="27380947" w14:textId="77777777" w:rsidR="00BB406D" w:rsidRPr="007E2618" w:rsidRDefault="00BB406D">
      <w:pPr>
        <w:pStyle w:val="AppendixText4"/>
        <w:rPr>
          <w:rFonts w:cs="Arial"/>
          <w:i/>
          <w:sz w:val="22"/>
          <w:szCs w:val="22"/>
        </w:rPr>
      </w:pPr>
      <w:r w:rsidRPr="007E2618">
        <w:rPr>
          <w:rFonts w:cs="Arial"/>
          <w:i/>
          <w:sz w:val="22"/>
          <w:szCs w:val="22"/>
        </w:rPr>
        <w:t>incident management;</w:t>
      </w:r>
    </w:p>
    <w:p w14:paraId="2BC8A0B1" w14:textId="77777777" w:rsidR="00BB406D" w:rsidRPr="007E2618" w:rsidRDefault="00BB406D">
      <w:pPr>
        <w:pStyle w:val="AppendixText4"/>
        <w:rPr>
          <w:rFonts w:cs="Arial"/>
          <w:i/>
          <w:sz w:val="22"/>
          <w:szCs w:val="22"/>
        </w:rPr>
      </w:pPr>
      <w:r w:rsidRPr="007E2618">
        <w:rPr>
          <w:rFonts w:cs="Arial"/>
          <w:i/>
          <w:sz w:val="22"/>
          <w:szCs w:val="22"/>
        </w:rPr>
        <w:t>vulnerability management;</w:t>
      </w:r>
    </w:p>
    <w:p w14:paraId="4AC96D1C" w14:textId="77777777" w:rsidR="00BB406D" w:rsidRPr="007E2618" w:rsidRDefault="00BB406D">
      <w:pPr>
        <w:pStyle w:val="AppendixText4"/>
        <w:rPr>
          <w:rFonts w:cs="Arial"/>
          <w:i/>
          <w:sz w:val="22"/>
          <w:szCs w:val="22"/>
        </w:rPr>
      </w:pPr>
      <w:r w:rsidRPr="007E2618">
        <w:rPr>
          <w:rFonts w:cs="Arial"/>
          <w:i/>
          <w:sz w:val="22"/>
          <w:szCs w:val="22"/>
        </w:rPr>
        <w:t>user access management; and</w:t>
      </w:r>
    </w:p>
    <w:p w14:paraId="2C6B979A" w14:textId="77777777" w:rsidR="00BB406D" w:rsidRPr="007E2618" w:rsidRDefault="00BB406D">
      <w:pPr>
        <w:pStyle w:val="AppendixText4"/>
        <w:rPr>
          <w:rFonts w:cs="Arial"/>
          <w:i/>
          <w:sz w:val="22"/>
          <w:szCs w:val="22"/>
        </w:rPr>
      </w:pPr>
      <w:r w:rsidRPr="007E2618">
        <w:rPr>
          <w:rFonts w:cs="Arial"/>
          <w:i/>
          <w:sz w:val="22"/>
          <w:szCs w:val="22"/>
        </w:rPr>
        <w:t>data sanitisation and disposal.&gt;</w:t>
      </w:r>
    </w:p>
    <w:p w14:paraId="36A3ACE9" w14:textId="77777777" w:rsidR="00BB406D" w:rsidRPr="007E2618" w:rsidRDefault="00BB406D">
      <w:pPr>
        <w:pStyle w:val="AppendixText1"/>
        <w:rPr>
          <w:rFonts w:cs="Arial"/>
          <w:sz w:val="22"/>
          <w:szCs w:val="22"/>
        </w:rPr>
      </w:pPr>
      <w:r w:rsidRPr="007E2618">
        <w:rPr>
          <w:rFonts w:cs="Arial"/>
          <w:sz w:val="22"/>
          <w:szCs w:val="22"/>
        </w:rPr>
        <w:t>Security Operating Procedures (SyOPs)</w:t>
      </w:r>
    </w:p>
    <w:p w14:paraId="402D48CD" w14:textId="77777777" w:rsidR="00BB406D" w:rsidRPr="007E2618" w:rsidRDefault="00BB406D" w:rsidP="00BB406D">
      <w:pPr>
        <w:pStyle w:val="StdBodyText1"/>
        <w:rPr>
          <w:rFonts w:cs="Arial"/>
          <w:i/>
          <w:sz w:val="22"/>
          <w:szCs w:val="22"/>
        </w:rPr>
      </w:pPr>
      <w:r w:rsidRPr="007E2618">
        <w:rPr>
          <w:rFonts w:cs="Arial"/>
          <w:i/>
          <w:sz w:val="22"/>
          <w:szCs w:val="22"/>
        </w:rPr>
        <w:t>&lt; If needed any SyOps requirements should be included and referenced here.&gt;</w:t>
      </w:r>
    </w:p>
    <w:p w14:paraId="244EB85E" w14:textId="77777777" w:rsidR="00BB406D" w:rsidRPr="007E2618" w:rsidRDefault="00BB406D">
      <w:pPr>
        <w:pStyle w:val="AppendixText1"/>
        <w:rPr>
          <w:rFonts w:cs="Arial"/>
          <w:sz w:val="22"/>
          <w:szCs w:val="22"/>
        </w:rPr>
      </w:pPr>
      <w:r w:rsidRPr="007E2618">
        <w:rPr>
          <w:rFonts w:cs="Arial"/>
          <w:sz w:val="22"/>
          <w:szCs w:val="22"/>
        </w:rPr>
        <w:t xml:space="preserve">Major Hardware and Software and end of support dates </w:t>
      </w:r>
    </w:p>
    <w:p w14:paraId="7B03A418" w14:textId="77777777" w:rsidR="00BB406D" w:rsidRPr="007E2618" w:rsidRDefault="00BB406D" w:rsidP="00BB406D">
      <w:pPr>
        <w:pStyle w:val="StdBodyText1"/>
        <w:rPr>
          <w:rFonts w:cs="Arial"/>
          <w:i/>
          <w:sz w:val="22"/>
          <w:szCs w:val="22"/>
        </w:rPr>
      </w:pPr>
      <w:r w:rsidRPr="007E2618">
        <w:rPr>
          <w:rFonts w:cs="Arial"/>
          <w:i/>
          <w:sz w:val="22"/>
          <w:szCs w:val="22"/>
        </w:rPr>
        <w:lastRenderedPageBreak/>
        <w:t>&lt; This should be a table which lists the end of support dates for hardware and software products and components. An example table is shown below.&gt;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7"/>
        <w:gridCol w:w="1973"/>
        <w:gridCol w:w="3244"/>
        <w:gridCol w:w="2256"/>
      </w:tblGrid>
      <w:tr w:rsidR="00BB406D" w:rsidRPr="007E2618" w14:paraId="3DA5063F" w14:textId="77777777" w:rsidTr="00506868">
        <w:tc>
          <w:tcPr>
            <w:tcW w:w="1555" w:type="dxa"/>
            <w:shd w:val="solid" w:color="EEECE1" w:themeColor="background2" w:fill="auto"/>
          </w:tcPr>
          <w:p w14:paraId="55BB2487" w14:textId="77777777" w:rsidR="00BB406D" w:rsidRPr="007E2618" w:rsidRDefault="00BB406D" w:rsidP="00506868">
            <w:pPr>
              <w:pStyle w:val="StdBodyText"/>
              <w:rPr>
                <w:rFonts w:cs="Arial"/>
                <w:sz w:val="22"/>
                <w:szCs w:val="22"/>
              </w:rPr>
            </w:pPr>
            <w:r w:rsidRPr="007E2618">
              <w:rPr>
                <w:rFonts w:cs="Arial"/>
                <w:sz w:val="22"/>
                <w:szCs w:val="22"/>
              </w:rPr>
              <w:t>Name</w:t>
            </w:r>
          </w:p>
        </w:tc>
        <w:tc>
          <w:tcPr>
            <w:tcW w:w="1984" w:type="dxa"/>
            <w:shd w:val="solid" w:color="EEECE1" w:themeColor="background2" w:fill="auto"/>
          </w:tcPr>
          <w:p w14:paraId="077539F8" w14:textId="77777777" w:rsidR="00BB406D" w:rsidRPr="007E2618" w:rsidRDefault="00BB406D" w:rsidP="00506868">
            <w:pPr>
              <w:pStyle w:val="StdBodyText"/>
              <w:rPr>
                <w:rFonts w:cs="Arial"/>
                <w:sz w:val="22"/>
                <w:szCs w:val="22"/>
              </w:rPr>
            </w:pPr>
            <w:r w:rsidRPr="007E2618">
              <w:rPr>
                <w:rFonts w:cs="Arial"/>
                <w:sz w:val="22"/>
                <w:szCs w:val="22"/>
              </w:rPr>
              <w:t>Version</w:t>
            </w:r>
          </w:p>
        </w:tc>
        <w:tc>
          <w:tcPr>
            <w:tcW w:w="3258" w:type="dxa"/>
            <w:shd w:val="solid" w:color="EEECE1" w:themeColor="background2" w:fill="auto"/>
          </w:tcPr>
          <w:p w14:paraId="373D9A4A" w14:textId="77777777" w:rsidR="00BB406D" w:rsidRPr="007E2618" w:rsidRDefault="00BB406D" w:rsidP="00506868">
            <w:pPr>
              <w:pStyle w:val="StdBodyText"/>
              <w:rPr>
                <w:rFonts w:cs="Arial"/>
                <w:sz w:val="22"/>
                <w:szCs w:val="22"/>
              </w:rPr>
            </w:pPr>
            <w:r w:rsidRPr="007E2618">
              <w:rPr>
                <w:rFonts w:cs="Arial"/>
                <w:sz w:val="22"/>
                <w:szCs w:val="22"/>
              </w:rPr>
              <w:t>End of mainstream Support/Extended Support</w:t>
            </w:r>
          </w:p>
        </w:tc>
        <w:tc>
          <w:tcPr>
            <w:tcW w:w="2266" w:type="dxa"/>
            <w:shd w:val="solid" w:color="EEECE1" w:themeColor="background2" w:fill="auto"/>
          </w:tcPr>
          <w:p w14:paraId="5154CF64" w14:textId="77777777" w:rsidR="00BB406D" w:rsidRPr="007E2618" w:rsidRDefault="00BB406D" w:rsidP="00506868">
            <w:pPr>
              <w:pStyle w:val="StdBodyText"/>
              <w:rPr>
                <w:rFonts w:cs="Arial"/>
                <w:sz w:val="22"/>
                <w:szCs w:val="22"/>
              </w:rPr>
            </w:pPr>
            <w:r w:rsidRPr="007E2618">
              <w:rPr>
                <w:rFonts w:cs="Arial"/>
                <w:sz w:val="22"/>
                <w:szCs w:val="22"/>
              </w:rPr>
              <w:t>Notes/RAG Status</w:t>
            </w:r>
          </w:p>
        </w:tc>
      </w:tr>
      <w:tr w:rsidR="00BB406D" w:rsidRPr="007E2618" w14:paraId="1D16881E" w14:textId="77777777" w:rsidTr="00506868">
        <w:tc>
          <w:tcPr>
            <w:tcW w:w="1555" w:type="dxa"/>
          </w:tcPr>
          <w:p w14:paraId="7EED6D55" w14:textId="77777777" w:rsidR="00BB406D" w:rsidRPr="007E2618" w:rsidRDefault="00BB406D" w:rsidP="00506868">
            <w:pPr>
              <w:pStyle w:val="StdBodyText"/>
              <w:rPr>
                <w:rFonts w:cs="Arial"/>
                <w:sz w:val="22"/>
                <w:szCs w:val="22"/>
              </w:rPr>
            </w:pPr>
            <w:r w:rsidRPr="007E2618">
              <w:rPr>
                <w:rFonts w:cs="Arial"/>
                <w:sz w:val="22"/>
                <w:szCs w:val="22"/>
              </w:rPr>
              <w:t>Server Host</w:t>
            </w:r>
          </w:p>
        </w:tc>
        <w:tc>
          <w:tcPr>
            <w:tcW w:w="1984" w:type="dxa"/>
          </w:tcPr>
          <w:p w14:paraId="75885CE6" w14:textId="77777777" w:rsidR="00BB406D" w:rsidRPr="007E2618" w:rsidRDefault="00BB406D" w:rsidP="00506868">
            <w:pPr>
              <w:pStyle w:val="StdBodyText"/>
              <w:rPr>
                <w:rFonts w:cs="Arial"/>
                <w:sz w:val="22"/>
                <w:szCs w:val="22"/>
              </w:rPr>
            </w:pPr>
            <w:r w:rsidRPr="007E2618">
              <w:rPr>
                <w:rFonts w:cs="Arial"/>
                <w:sz w:val="22"/>
                <w:szCs w:val="22"/>
              </w:rPr>
              <w:t>HP XXXX</w:t>
            </w:r>
          </w:p>
        </w:tc>
        <w:tc>
          <w:tcPr>
            <w:tcW w:w="3258" w:type="dxa"/>
          </w:tcPr>
          <w:p w14:paraId="0B60C9AF" w14:textId="77777777" w:rsidR="00BB406D" w:rsidRPr="007E2618" w:rsidRDefault="00BB406D" w:rsidP="00506868">
            <w:pPr>
              <w:pStyle w:val="StdBodyText"/>
              <w:rPr>
                <w:rFonts w:cs="Arial"/>
                <w:sz w:val="22"/>
                <w:szCs w:val="22"/>
              </w:rPr>
            </w:pPr>
            <w:r w:rsidRPr="007E2618">
              <w:rPr>
                <w:rFonts w:cs="Arial"/>
                <w:sz w:val="22"/>
                <w:szCs w:val="22"/>
              </w:rPr>
              <w:t>Feb 2020/ March 2022</w:t>
            </w:r>
          </w:p>
        </w:tc>
        <w:tc>
          <w:tcPr>
            <w:tcW w:w="2266" w:type="dxa"/>
            <w:shd w:val="solid" w:color="F79646" w:themeColor="accent6" w:fill="auto"/>
          </w:tcPr>
          <w:p w14:paraId="1B26083B" w14:textId="77777777" w:rsidR="00BB406D" w:rsidRPr="007E2618" w:rsidRDefault="00BB406D" w:rsidP="00506868">
            <w:pPr>
              <w:pStyle w:val="StdBodyText"/>
              <w:rPr>
                <w:rFonts w:cs="Arial"/>
                <w:sz w:val="22"/>
                <w:szCs w:val="22"/>
              </w:rPr>
            </w:pPr>
          </w:p>
        </w:tc>
      </w:tr>
    </w:tbl>
    <w:p w14:paraId="0470A1B9" w14:textId="77777777" w:rsidR="00BB406D" w:rsidRPr="007E2618" w:rsidRDefault="00BB406D" w:rsidP="00BB406D">
      <w:pPr>
        <w:pStyle w:val="StdBodyText"/>
        <w:rPr>
          <w:rFonts w:cs="Arial"/>
          <w:sz w:val="22"/>
          <w:szCs w:val="22"/>
        </w:rPr>
      </w:pPr>
    </w:p>
    <w:p w14:paraId="6FF8D9DF" w14:textId="77777777" w:rsidR="00BB406D" w:rsidRPr="007E2618" w:rsidRDefault="00BB406D">
      <w:pPr>
        <w:pStyle w:val="AppendixText1"/>
        <w:rPr>
          <w:rFonts w:cs="Arial"/>
          <w:sz w:val="22"/>
          <w:szCs w:val="22"/>
        </w:rPr>
      </w:pPr>
      <w:r w:rsidRPr="007E2618">
        <w:rPr>
          <w:rFonts w:cs="Arial"/>
          <w:sz w:val="22"/>
          <w:szCs w:val="22"/>
        </w:rPr>
        <w:t xml:space="preserve">Incident Management Process </w:t>
      </w:r>
    </w:p>
    <w:p w14:paraId="38CB2B89" w14:textId="77777777" w:rsidR="00BB406D" w:rsidRPr="007E2618" w:rsidRDefault="00BB406D" w:rsidP="00BB406D">
      <w:pPr>
        <w:pStyle w:val="StdBodyText1"/>
        <w:rPr>
          <w:rFonts w:cs="Arial"/>
          <w:i/>
          <w:sz w:val="22"/>
          <w:szCs w:val="22"/>
        </w:rPr>
      </w:pPr>
      <w:r w:rsidRPr="007E2618">
        <w:rPr>
          <w:rFonts w:cs="Arial"/>
          <w:i/>
          <w:sz w:val="22"/>
          <w:szCs w:val="22"/>
        </w:rPr>
        <w:t>&lt;The suppliers’ process, as agreed with the HSE, should be included here. It must as a minimum include the protocol for how and when incidents will be reported to the HSE and the process that will be undertaken to mitigate the incidents and investigate the root cause.&gt;</w:t>
      </w:r>
    </w:p>
    <w:p w14:paraId="6551F36B" w14:textId="77777777" w:rsidR="00BB406D" w:rsidRPr="007E2618" w:rsidRDefault="00BB406D">
      <w:pPr>
        <w:pStyle w:val="AppendixText1"/>
        <w:keepNext/>
        <w:rPr>
          <w:rFonts w:cs="Arial"/>
          <w:sz w:val="22"/>
          <w:szCs w:val="22"/>
        </w:rPr>
      </w:pPr>
      <w:r w:rsidRPr="007E2618">
        <w:rPr>
          <w:rFonts w:cs="Arial"/>
          <w:sz w:val="22"/>
          <w:szCs w:val="22"/>
        </w:rPr>
        <w:t xml:space="preserve">Security Requirements for User Organisations </w:t>
      </w:r>
    </w:p>
    <w:p w14:paraId="13F4491C" w14:textId="77777777" w:rsidR="00BB406D" w:rsidRPr="007E2618" w:rsidRDefault="00BB406D" w:rsidP="00BB406D">
      <w:pPr>
        <w:pStyle w:val="StdBodyText1"/>
        <w:rPr>
          <w:rFonts w:cs="Arial"/>
          <w:i/>
          <w:sz w:val="22"/>
          <w:szCs w:val="22"/>
        </w:rPr>
      </w:pPr>
      <w:r w:rsidRPr="007E2618">
        <w:rPr>
          <w:rFonts w:cs="Arial"/>
          <w:i/>
          <w:sz w:val="22"/>
          <w:szCs w:val="22"/>
        </w:rPr>
        <w:t>&lt;Any security requirements for connecting organisations or departments should be included or referenced here.&gt;</w:t>
      </w:r>
    </w:p>
    <w:p w14:paraId="1DA5669B" w14:textId="77777777" w:rsidR="00BB406D" w:rsidRPr="007E2618" w:rsidRDefault="00BB406D">
      <w:pPr>
        <w:pStyle w:val="AppendixText1"/>
        <w:keepNext/>
        <w:rPr>
          <w:rFonts w:cs="Arial"/>
          <w:sz w:val="22"/>
          <w:szCs w:val="22"/>
        </w:rPr>
      </w:pPr>
      <w:r w:rsidRPr="007E2618">
        <w:rPr>
          <w:rFonts w:cs="Arial"/>
          <w:sz w:val="22"/>
          <w:szCs w:val="22"/>
        </w:rPr>
        <w:t>Required Changes Register</w:t>
      </w:r>
    </w:p>
    <w:p w14:paraId="6D5DFAF5" w14:textId="77777777" w:rsidR="00BB406D" w:rsidRPr="007E2618" w:rsidRDefault="00BB406D" w:rsidP="00BB406D">
      <w:pPr>
        <w:pStyle w:val="StdBodyText1"/>
        <w:rPr>
          <w:rFonts w:cs="Arial"/>
          <w:i/>
          <w:sz w:val="22"/>
          <w:szCs w:val="22"/>
        </w:rPr>
      </w:pPr>
      <w:r w:rsidRPr="007E2618">
        <w:rPr>
          <w:rFonts w:cs="Arial"/>
          <w:i/>
          <w:sz w:val="22"/>
          <w:szCs w:val="22"/>
        </w:rPr>
        <w:t>&lt;The table below shows the headings for the Required Changes Register which should be maintained and used to update the contents of this document at least annually.&gt;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
        <w:gridCol w:w="991"/>
        <w:gridCol w:w="1768"/>
        <w:gridCol w:w="1223"/>
        <w:gridCol w:w="1415"/>
        <w:gridCol w:w="1827"/>
        <w:gridCol w:w="1095"/>
      </w:tblGrid>
      <w:tr w:rsidR="00BB406D" w:rsidRPr="007E2618" w14:paraId="518F965D" w14:textId="77777777" w:rsidTr="00506868">
        <w:tc>
          <w:tcPr>
            <w:tcW w:w="704" w:type="dxa"/>
            <w:shd w:val="solid" w:color="EEECE1" w:themeColor="background2" w:fill="auto"/>
          </w:tcPr>
          <w:p w14:paraId="4971811D" w14:textId="77777777" w:rsidR="00BB406D" w:rsidRPr="007E2618" w:rsidRDefault="00BB406D" w:rsidP="00506868">
            <w:pPr>
              <w:pStyle w:val="StdBodyText"/>
              <w:rPr>
                <w:rFonts w:cs="Arial"/>
                <w:sz w:val="22"/>
                <w:szCs w:val="22"/>
              </w:rPr>
            </w:pPr>
            <w:r w:rsidRPr="007E2618">
              <w:rPr>
                <w:rFonts w:cs="Arial"/>
                <w:sz w:val="22"/>
                <w:szCs w:val="22"/>
              </w:rPr>
              <w:t>Ref</w:t>
            </w:r>
          </w:p>
        </w:tc>
        <w:tc>
          <w:tcPr>
            <w:tcW w:w="992" w:type="dxa"/>
            <w:shd w:val="solid" w:color="EEECE1" w:themeColor="background2" w:fill="auto"/>
          </w:tcPr>
          <w:p w14:paraId="227315F8" w14:textId="77777777" w:rsidR="00BB406D" w:rsidRPr="007E2618" w:rsidRDefault="00BB406D" w:rsidP="00506868">
            <w:pPr>
              <w:pStyle w:val="StdBodyText"/>
              <w:rPr>
                <w:rFonts w:cs="Arial"/>
                <w:sz w:val="22"/>
                <w:szCs w:val="22"/>
              </w:rPr>
            </w:pPr>
            <w:r w:rsidRPr="007E2618">
              <w:rPr>
                <w:rFonts w:cs="Arial"/>
                <w:sz w:val="22"/>
                <w:szCs w:val="22"/>
              </w:rPr>
              <w:t>Section</w:t>
            </w:r>
          </w:p>
        </w:tc>
        <w:tc>
          <w:tcPr>
            <w:tcW w:w="1783" w:type="dxa"/>
            <w:shd w:val="solid" w:color="EEECE1" w:themeColor="background2" w:fill="auto"/>
          </w:tcPr>
          <w:p w14:paraId="341E9C2B" w14:textId="77777777" w:rsidR="00BB406D" w:rsidRPr="007E2618" w:rsidRDefault="00BB406D" w:rsidP="00506868">
            <w:pPr>
              <w:pStyle w:val="StdBodyText"/>
              <w:rPr>
                <w:rFonts w:cs="Arial"/>
                <w:sz w:val="22"/>
                <w:szCs w:val="22"/>
              </w:rPr>
            </w:pPr>
            <w:r w:rsidRPr="007E2618">
              <w:rPr>
                <w:rFonts w:cs="Arial"/>
                <w:sz w:val="22"/>
                <w:szCs w:val="22"/>
              </w:rPr>
              <w:t>Change</w:t>
            </w:r>
          </w:p>
        </w:tc>
        <w:tc>
          <w:tcPr>
            <w:tcW w:w="1232" w:type="dxa"/>
            <w:shd w:val="solid" w:color="EEECE1" w:themeColor="background2" w:fill="auto"/>
          </w:tcPr>
          <w:p w14:paraId="1559E5A1" w14:textId="77777777" w:rsidR="00BB406D" w:rsidRPr="007E2618" w:rsidRDefault="00BB406D" w:rsidP="00506868">
            <w:pPr>
              <w:pStyle w:val="StdBodyText"/>
              <w:rPr>
                <w:rFonts w:cs="Arial"/>
                <w:sz w:val="22"/>
                <w:szCs w:val="22"/>
              </w:rPr>
            </w:pPr>
            <w:r w:rsidRPr="007E2618">
              <w:rPr>
                <w:rFonts w:cs="Arial"/>
                <w:sz w:val="22"/>
                <w:szCs w:val="22"/>
              </w:rPr>
              <w:t>Agreed With</w:t>
            </w:r>
          </w:p>
        </w:tc>
        <w:tc>
          <w:tcPr>
            <w:tcW w:w="1418" w:type="dxa"/>
            <w:shd w:val="solid" w:color="EEECE1" w:themeColor="background2" w:fill="auto"/>
          </w:tcPr>
          <w:p w14:paraId="34CB1A52" w14:textId="77777777" w:rsidR="00BB406D" w:rsidRPr="007E2618" w:rsidRDefault="00BB406D" w:rsidP="00506868">
            <w:pPr>
              <w:pStyle w:val="StdBodyText"/>
              <w:rPr>
                <w:rFonts w:cs="Arial"/>
                <w:sz w:val="22"/>
                <w:szCs w:val="22"/>
              </w:rPr>
            </w:pPr>
            <w:r w:rsidRPr="007E2618">
              <w:rPr>
                <w:rFonts w:cs="Arial"/>
                <w:sz w:val="22"/>
                <w:szCs w:val="22"/>
              </w:rPr>
              <w:t>Date agreed</w:t>
            </w:r>
          </w:p>
        </w:tc>
        <w:tc>
          <w:tcPr>
            <w:tcW w:w="1831" w:type="dxa"/>
            <w:shd w:val="solid" w:color="EEECE1" w:themeColor="background2" w:fill="auto"/>
          </w:tcPr>
          <w:p w14:paraId="6EBD848B" w14:textId="77777777" w:rsidR="00BB406D" w:rsidRPr="007E2618" w:rsidRDefault="00BB406D" w:rsidP="00506868">
            <w:pPr>
              <w:pStyle w:val="StdBodyText"/>
              <w:rPr>
                <w:rFonts w:cs="Arial"/>
                <w:sz w:val="22"/>
                <w:szCs w:val="22"/>
              </w:rPr>
            </w:pPr>
            <w:r w:rsidRPr="007E2618">
              <w:rPr>
                <w:rFonts w:cs="Arial"/>
                <w:sz w:val="22"/>
                <w:szCs w:val="22"/>
              </w:rPr>
              <w:t>Documentation update</w:t>
            </w:r>
          </w:p>
        </w:tc>
        <w:tc>
          <w:tcPr>
            <w:tcW w:w="1103" w:type="dxa"/>
            <w:shd w:val="solid" w:color="EEECE1" w:themeColor="background2" w:fill="auto"/>
          </w:tcPr>
          <w:p w14:paraId="7792B0A5" w14:textId="77777777" w:rsidR="00BB406D" w:rsidRPr="007E2618" w:rsidRDefault="00BB406D" w:rsidP="00506868">
            <w:pPr>
              <w:pStyle w:val="StdBodyText"/>
              <w:rPr>
                <w:rFonts w:cs="Arial"/>
                <w:sz w:val="22"/>
                <w:szCs w:val="22"/>
              </w:rPr>
            </w:pPr>
            <w:r w:rsidRPr="007E2618">
              <w:rPr>
                <w:rFonts w:cs="Arial"/>
                <w:sz w:val="22"/>
                <w:szCs w:val="22"/>
              </w:rPr>
              <w:t>Status</w:t>
            </w:r>
          </w:p>
        </w:tc>
      </w:tr>
      <w:tr w:rsidR="00BB406D" w:rsidRPr="007E2618" w14:paraId="3FCB7C34" w14:textId="77777777" w:rsidTr="00506868">
        <w:tc>
          <w:tcPr>
            <w:tcW w:w="704" w:type="dxa"/>
          </w:tcPr>
          <w:p w14:paraId="0C884155" w14:textId="77777777" w:rsidR="00BB406D" w:rsidRPr="007E2618" w:rsidRDefault="00BB406D" w:rsidP="00506868">
            <w:pPr>
              <w:pStyle w:val="StdBodyText"/>
              <w:rPr>
                <w:rFonts w:cs="Arial"/>
                <w:sz w:val="22"/>
                <w:szCs w:val="22"/>
              </w:rPr>
            </w:pPr>
            <w:r w:rsidRPr="007E2618">
              <w:rPr>
                <w:rFonts w:cs="Arial"/>
                <w:sz w:val="22"/>
                <w:szCs w:val="22"/>
              </w:rPr>
              <w:t>1</w:t>
            </w:r>
          </w:p>
        </w:tc>
        <w:tc>
          <w:tcPr>
            <w:tcW w:w="992" w:type="dxa"/>
          </w:tcPr>
          <w:p w14:paraId="623F21A9" w14:textId="77777777" w:rsidR="00BB406D" w:rsidRPr="007E2618" w:rsidRDefault="00BB406D" w:rsidP="00506868">
            <w:pPr>
              <w:pStyle w:val="StdBodyText"/>
              <w:rPr>
                <w:rFonts w:cs="Arial"/>
                <w:sz w:val="22"/>
                <w:szCs w:val="22"/>
              </w:rPr>
            </w:pPr>
            <w:r w:rsidRPr="007E2618">
              <w:rPr>
                <w:rFonts w:cs="Arial"/>
                <w:sz w:val="22"/>
                <w:szCs w:val="22"/>
              </w:rPr>
              <w:t>6.4</w:t>
            </w:r>
          </w:p>
        </w:tc>
        <w:tc>
          <w:tcPr>
            <w:tcW w:w="1783" w:type="dxa"/>
          </w:tcPr>
          <w:p w14:paraId="2AFB2AAF" w14:textId="77777777" w:rsidR="00BB406D" w:rsidRPr="007E2618" w:rsidRDefault="00BB406D" w:rsidP="00506868">
            <w:pPr>
              <w:pStyle w:val="StdBodyText"/>
              <w:rPr>
                <w:rFonts w:cs="Arial"/>
                <w:sz w:val="22"/>
                <w:szCs w:val="22"/>
              </w:rPr>
            </w:pPr>
            <w:r w:rsidRPr="007E2618">
              <w:rPr>
                <w:rFonts w:cs="Arial"/>
                <w:sz w:val="22"/>
                <w:szCs w:val="22"/>
              </w:rPr>
              <w:t>A new Third Party supplier XXXX will be performing the print capability.</w:t>
            </w:r>
          </w:p>
        </w:tc>
        <w:tc>
          <w:tcPr>
            <w:tcW w:w="1232" w:type="dxa"/>
          </w:tcPr>
          <w:p w14:paraId="00A150B2" w14:textId="77777777" w:rsidR="00BB406D" w:rsidRPr="007E2618" w:rsidRDefault="00BB406D" w:rsidP="00506868">
            <w:pPr>
              <w:pStyle w:val="StdBodyText"/>
              <w:rPr>
                <w:rFonts w:cs="Arial"/>
                <w:sz w:val="22"/>
                <w:szCs w:val="22"/>
              </w:rPr>
            </w:pPr>
            <w:r w:rsidRPr="007E2618">
              <w:rPr>
                <w:rFonts w:cs="Arial"/>
                <w:sz w:val="22"/>
                <w:szCs w:val="22"/>
              </w:rPr>
              <w:t>HSE name</w:t>
            </w:r>
          </w:p>
        </w:tc>
        <w:tc>
          <w:tcPr>
            <w:tcW w:w="1418" w:type="dxa"/>
          </w:tcPr>
          <w:p w14:paraId="47A17D54" w14:textId="77777777" w:rsidR="00BB406D" w:rsidRPr="007E2618" w:rsidRDefault="00BB406D" w:rsidP="00506868">
            <w:pPr>
              <w:pStyle w:val="StdBodyText"/>
              <w:rPr>
                <w:rFonts w:cs="Arial"/>
                <w:sz w:val="22"/>
                <w:szCs w:val="22"/>
              </w:rPr>
            </w:pPr>
            <w:r w:rsidRPr="007E2618">
              <w:rPr>
                <w:rFonts w:cs="Arial"/>
                <w:sz w:val="22"/>
                <w:szCs w:val="22"/>
              </w:rPr>
              <w:t>11/11/2018</w:t>
            </w:r>
          </w:p>
        </w:tc>
        <w:tc>
          <w:tcPr>
            <w:tcW w:w="1831" w:type="dxa"/>
          </w:tcPr>
          <w:p w14:paraId="1951CFFE" w14:textId="77777777" w:rsidR="00BB406D" w:rsidRPr="007E2618" w:rsidRDefault="00BB406D" w:rsidP="00506868">
            <w:pPr>
              <w:pStyle w:val="StdBodyText"/>
              <w:rPr>
                <w:rFonts w:cs="Arial"/>
                <w:sz w:val="22"/>
                <w:szCs w:val="22"/>
              </w:rPr>
            </w:pPr>
            <w:r w:rsidRPr="007E2618">
              <w:rPr>
                <w:rFonts w:cs="Arial"/>
                <w:sz w:val="22"/>
                <w:szCs w:val="22"/>
              </w:rPr>
              <w:t>Jul-2019</w:t>
            </w:r>
          </w:p>
        </w:tc>
        <w:tc>
          <w:tcPr>
            <w:tcW w:w="1103" w:type="dxa"/>
          </w:tcPr>
          <w:p w14:paraId="72A5055C" w14:textId="77777777" w:rsidR="00BB406D" w:rsidRPr="007E2618" w:rsidRDefault="00BB406D" w:rsidP="00506868">
            <w:pPr>
              <w:pStyle w:val="StdBodyText"/>
              <w:rPr>
                <w:rFonts w:cs="Arial"/>
                <w:sz w:val="22"/>
                <w:szCs w:val="22"/>
              </w:rPr>
            </w:pPr>
            <w:r w:rsidRPr="007E2618">
              <w:rPr>
                <w:rFonts w:cs="Arial"/>
                <w:sz w:val="22"/>
                <w:szCs w:val="22"/>
              </w:rPr>
              <w:t>Open</w:t>
            </w:r>
          </w:p>
        </w:tc>
      </w:tr>
    </w:tbl>
    <w:p w14:paraId="7C68B260" w14:textId="77777777" w:rsidR="00BB406D" w:rsidRPr="007E2618" w:rsidRDefault="00BB406D">
      <w:pPr>
        <w:pStyle w:val="AppendixText1"/>
        <w:rPr>
          <w:rFonts w:cs="Arial"/>
          <w:sz w:val="22"/>
          <w:szCs w:val="22"/>
        </w:rPr>
      </w:pPr>
      <w:r w:rsidRPr="007E2618">
        <w:rPr>
          <w:rFonts w:cs="Arial"/>
          <w:sz w:val="22"/>
          <w:szCs w:val="22"/>
        </w:rPr>
        <w:t>Sub-Contractors</w:t>
      </w:r>
    </w:p>
    <w:p w14:paraId="579004C2" w14:textId="77777777" w:rsidR="00BB406D" w:rsidRPr="007E2618" w:rsidRDefault="00BB406D" w:rsidP="00BB406D">
      <w:pPr>
        <w:pStyle w:val="StdBodyText1"/>
        <w:rPr>
          <w:i/>
          <w:sz w:val="22"/>
          <w:szCs w:val="22"/>
        </w:rPr>
      </w:pPr>
      <w:r w:rsidRPr="007E2618">
        <w:rPr>
          <w:i/>
          <w:sz w:val="22"/>
          <w:szCs w:val="22"/>
        </w:rPr>
        <w:t>&lt;This should include a table which shows for each Sub-Contractor their name, the function that they are performing, the data and data volume being processed, the location, and their certification status&gt;</w:t>
      </w:r>
    </w:p>
    <w:p w14:paraId="4B13784B" w14:textId="77777777" w:rsidR="00BB406D" w:rsidRPr="007E2618" w:rsidRDefault="00BB406D">
      <w:pPr>
        <w:pStyle w:val="AppendixText1"/>
        <w:rPr>
          <w:sz w:val="22"/>
          <w:szCs w:val="22"/>
        </w:rPr>
      </w:pPr>
      <w:bookmarkStart w:id="3569" w:name="_9kR3WTr2CC599HCwozW"/>
      <w:r w:rsidRPr="007E2618">
        <w:rPr>
          <w:sz w:val="22"/>
          <w:szCs w:val="22"/>
        </w:rPr>
        <w:t>Annex A</w:t>
      </w:r>
      <w:bookmarkEnd w:id="3569"/>
      <w:r w:rsidRPr="007E2618">
        <w:rPr>
          <w:sz w:val="22"/>
          <w:szCs w:val="22"/>
        </w:rPr>
        <w:t xml:space="preserve">. ISO/IEC 27001 </w:t>
      </w:r>
      <w:r w:rsidRPr="007E2618">
        <w:rPr>
          <w:rFonts w:cs="Arial"/>
          <w:sz w:val="22"/>
          <w:szCs w:val="22"/>
        </w:rPr>
        <w:t>(at least ISO/IEC 27001:2013)</w:t>
      </w:r>
      <w:r w:rsidRPr="007E2618">
        <w:rPr>
          <w:sz w:val="22"/>
          <w:szCs w:val="22"/>
        </w:rPr>
        <w:t xml:space="preserve"> and/or Cyber Essential Plus certificates</w:t>
      </w:r>
    </w:p>
    <w:p w14:paraId="44FAABB7" w14:textId="77777777" w:rsidR="00BB406D" w:rsidRPr="007E2618" w:rsidRDefault="00BB406D" w:rsidP="00BB406D">
      <w:pPr>
        <w:pStyle w:val="StdBodyText1"/>
        <w:rPr>
          <w:rFonts w:cs="Arial"/>
          <w:i/>
          <w:sz w:val="22"/>
          <w:szCs w:val="22"/>
        </w:rPr>
      </w:pPr>
      <w:r w:rsidRPr="007E2618">
        <w:rPr>
          <w:rFonts w:cs="Arial"/>
          <w:i/>
          <w:sz w:val="22"/>
          <w:szCs w:val="22"/>
        </w:rPr>
        <w:t>&lt;Any certifications relied upon should have their certificates included&gt;</w:t>
      </w:r>
    </w:p>
    <w:p w14:paraId="5F9A567B" w14:textId="77777777" w:rsidR="00BB406D" w:rsidRPr="007E2618" w:rsidRDefault="00BB406D">
      <w:pPr>
        <w:pStyle w:val="AppendixText1"/>
        <w:rPr>
          <w:rFonts w:cs="Arial"/>
          <w:sz w:val="22"/>
          <w:szCs w:val="22"/>
        </w:rPr>
      </w:pPr>
      <w:bookmarkStart w:id="3570" w:name="_9kR3WTr2CC59AICwozX"/>
      <w:r w:rsidRPr="007E2618">
        <w:rPr>
          <w:rFonts w:cs="Arial"/>
          <w:sz w:val="22"/>
          <w:szCs w:val="22"/>
        </w:rPr>
        <w:t>Annex B</w:t>
      </w:r>
      <w:bookmarkEnd w:id="3570"/>
      <w:r w:rsidRPr="007E2618">
        <w:rPr>
          <w:rFonts w:cs="Arial"/>
          <w:sz w:val="22"/>
          <w:szCs w:val="22"/>
        </w:rPr>
        <w:t xml:space="preserve">. Cloud Security Principles assessment </w:t>
      </w:r>
    </w:p>
    <w:p w14:paraId="3EF4A611" w14:textId="77777777" w:rsidR="00BB406D" w:rsidRPr="007E2618" w:rsidRDefault="00BB406D" w:rsidP="00BB406D">
      <w:pPr>
        <w:pStyle w:val="StdBodyText1"/>
        <w:rPr>
          <w:rFonts w:cs="Arial"/>
          <w:i/>
          <w:sz w:val="22"/>
          <w:szCs w:val="22"/>
        </w:rPr>
      </w:pPr>
      <w:r w:rsidRPr="007E2618">
        <w:rPr>
          <w:rFonts w:cs="Arial"/>
          <w:i/>
          <w:sz w:val="22"/>
          <w:szCs w:val="22"/>
        </w:rPr>
        <w:t>&lt;A spreadsheet may be attached&gt;</w:t>
      </w:r>
    </w:p>
    <w:p w14:paraId="4A93BDE8" w14:textId="77777777" w:rsidR="00BB406D" w:rsidRPr="007E2618" w:rsidRDefault="00BB406D">
      <w:pPr>
        <w:pStyle w:val="AppendixText1"/>
        <w:rPr>
          <w:rFonts w:cs="Arial"/>
          <w:sz w:val="22"/>
          <w:szCs w:val="22"/>
        </w:rPr>
      </w:pPr>
      <w:bookmarkStart w:id="3571" w:name="_9kR3WTr2CC59EMCwozY"/>
      <w:r w:rsidRPr="007E2618">
        <w:rPr>
          <w:rFonts w:cs="Arial"/>
          <w:sz w:val="22"/>
          <w:szCs w:val="22"/>
        </w:rPr>
        <w:t>Annex C</w:t>
      </w:r>
      <w:bookmarkEnd w:id="3571"/>
      <w:r w:rsidRPr="007E2618">
        <w:rPr>
          <w:rFonts w:cs="Arial"/>
          <w:sz w:val="22"/>
          <w:szCs w:val="22"/>
        </w:rPr>
        <w:t>. Protecting Bulk Data assessment if required by the HSE/Customer</w:t>
      </w:r>
    </w:p>
    <w:p w14:paraId="20E93E0E" w14:textId="77777777" w:rsidR="00BB406D" w:rsidRPr="007E2618" w:rsidRDefault="00BB406D" w:rsidP="00BB406D">
      <w:pPr>
        <w:pStyle w:val="StdBodyText1"/>
        <w:rPr>
          <w:rFonts w:cs="Arial"/>
          <w:i/>
          <w:sz w:val="22"/>
          <w:szCs w:val="22"/>
        </w:rPr>
      </w:pPr>
      <w:r w:rsidRPr="007E2618">
        <w:rPr>
          <w:rFonts w:cs="Arial"/>
          <w:i/>
          <w:sz w:val="22"/>
          <w:szCs w:val="22"/>
        </w:rPr>
        <w:t>&lt;A spreadsheet may be attached&gt;</w:t>
      </w:r>
    </w:p>
    <w:p w14:paraId="2EFE7195" w14:textId="77777777" w:rsidR="00BB406D" w:rsidRPr="007E2618" w:rsidRDefault="00BB406D">
      <w:pPr>
        <w:pStyle w:val="AppendixText1"/>
        <w:rPr>
          <w:sz w:val="22"/>
          <w:szCs w:val="22"/>
        </w:rPr>
      </w:pPr>
      <w:bookmarkStart w:id="3572" w:name="_9kR3WTr2CC59FNCwoza"/>
      <w:r w:rsidRPr="007E2618">
        <w:rPr>
          <w:sz w:val="22"/>
          <w:szCs w:val="22"/>
        </w:rPr>
        <w:lastRenderedPageBreak/>
        <w:t xml:space="preserve">Annex </w:t>
      </w:r>
      <w:bookmarkEnd w:id="3572"/>
      <w:r w:rsidRPr="007E2618">
        <w:rPr>
          <w:sz w:val="22"/>
          <w:szCs w:val="22"/>
        </w:rPr>
        <w:t xml:space="preserve">D. Latest ITHC report and </w:t>
      </w:r>
      <w:r w:rsidRPr="007E2618">
        <w:rPr>
          <w:rFonts w:cs="Arial"/>
          <w:sz w:val="22"/>
          <w:szCs w:val="22"/>
        </w:rPr>
        <w:t>Remediation Action</w:t>
      </w:r>
      <w:r w:rsidRPr="007E2618">
        <w:rPr>
          <w:sz w:val="22"/>
          <w:szCs w:val="22"/>
        </w:rPr>
        <w:t xml:space="preserve"> Plan</w:t>
      </w:r>
    </w:p>
    <w:p w14:paraId="38201FDA" w14:textId="24742B2B" w:rsidR="00DC53BE" w:rsidRDefault="008E344E" w:rsidP="000407D7">
      <w:pPr>
        <w:pStyle w:val="GSRL2Sectionheading"/>
      </w:pPr>
      <w:r w:rsidRPr="001A1836">
        <w:br w:type="page"/>
      </w:r>
      <w:bookmarkStart w:id="3573" w:name="_Toc476050953"/>
      <w:bookmarkStart w:id="3574" w:name="_Toc529346147"/>
      <w:bookmarkStart w:id="3575" w:name="_Toc129038380"/>
      <w:bookmarkStart w:id="3576" w:name="_Toc129038666"/>
      <w:bookmarkStart w:id="3577" w:name="_Toc132268248"/>
      <w:bookmarkStart w:id="3578" w:name="_Toc132268554"/>
      <w:bookmarkStart w:id="3579" w:name="_Toc508871429"/>
      <w:bookmarkStart w:id="3580" w:name="_Toc521327219"/>
      <w:bookmarkStart w:id="3581" w:name="_Toc521333452"/>
      <w:bookmarkStart w:id="3582" w:name="_Toc521497015"/>
      <w:bookmarkStart w:id="3583" w:name="_Toc521498457"/>
      <w:r w:rsidRPr="001A1836">
        <w:lastRenderedPageBreak/>
        <w:t xml:space="preserve"> </w:t>
      </w:r>
      <w:bookmarkStart w:id="3584" w:name="_Toc513019958"/>
      <w:bookmarkEnd w:id="3573"/>
      <w:bookmarkEnd w:id="3574"/>
      <w:bookmarkEnd w:id="3575"/>
      <w:bookmarkEnd w:id="3576"/>
      <w:bookmarkEnd w:id="3577"/>
      <w:bookmarkEnd w:id="3578"/>
      <w:bookmarkEnd w:id="3579"/>
      <w:bookmarkEnd w:id="3580"/>
      <w:bookmarkEnd w:id="3581"/>
      <w:bookmarkEnd w:id="3582"/>
      <w:bookmarkEnd w:id="3583"/>
    </w:p>
    <w:p w14:paraId="3F0687F3" w14:textId="77777777" w:rsidR="00DC53BE" w:rsidRDefault="00DC53BE" w:rsidP="00DC53BE"/>
    <w:p w14:paraId="4865D94F" w14:textId="77777777" w:rsidR="00DC53BE" w:rsidRDefault="00DC53BE" w:rsidP="00DC53BE"/>
    <w:p w14:paraId="29EE38E7" w14:textId="77777777" w:rsidR="00DC53BE" w:rsidRDefault="00DC53BE" w:rsidP="00DC53BE"/>
    <w:p w14:paraId="0A4D83EE" w14:textId="77777777" w:rsidR="00DC53BE" w:rsidRPr="001A1836" w:rsidRDefault="00DC53BE" w:rsidP="00DC53BE"/>
    <w:bookmarkEnd w:id="3463"/>
    <w:bookmarkEnd w:id="3584"/>
    <w:p w14:paraId="207F21E6" w14:textId="7F0577F9" w:rsidR="00394111" w:rsidRPr="001A1836" w:rsidRDefault="00394111" w:rsidP="00CF1BDA">
      <w:pPr>
        <w:pStyle w:val="GSRL1Scheduleheader"/>
        <w:sectPr w:rsidR="00394111" w:rsidRPr="001A1836" w:rsidSect="00F87B8D">
          <w:footerReference w:type="default" r:id="rId70"/>
          <w:pgSz w:w="11900" w:h="16840"/>
          <w:pgMar w:top="1134" w:right="1440" w:bottom="1440" w:left="1440" w:header="1077" w:footer="833" w:gutter="0"/>
          <w:cols w:space="708"/>
        </w:sectPr>
      </w:pPr>
    </w:p>
    <w:p w14:paraId="64B78C2A" w14:textId="058D8049" w:rsidR="008E344E" w:rsidRPr="001A1836" w:rsidRDefault="008E344E" w:rsidP="00CF1BDA">
      <w:pPr>
        <w:pStyle w:val="GSRL1Scheduleheader"/>
      </w:pPr>
      <w:bookmarkStart w:id="3585" w:name="_Toc129038381"/>
      <w:bookmarkStart w:id="3586" w:name="_Toc129038667"/>
      <w:bookmarkStart w:id="3587" w:name="_Toc132268249"/>
      <w:bookmarkStart w:id="3588" w:name="_Toc132268555"/>
      <w:bookmarkStart w:id="3589" w:name="_Toc136198783"/>
      <w:bookmarkStart w:id="3590" w:name="_Toc136199064"/>
      <w:bookmarkStart w:id="3591" w:name="_Toc188885268"/>
      <w:r w:rsidRPr="001A1836">
        <w:lastRenderedPageBreak/>
        <w:t xml:space="preserve">SCHEDULE 22: </w:t>
      </w:r>
      <w:r w:rsidR="00B949AC" w:rsidRPr="001A1836">
        <w:t>Commercially Sensitive Information</w:t>
      </w:r>
      <w:bookmarkEnd w:id="3585"/>
      <w:bookmarkEnd w:id="3586"/>
      <w:bookmarkEnd w:id="3587"/>
      <w:bookmarkEnd w:id="3588"/>
      <w:bookmarkEnd w:id="3589"/>
      <w:bookmarkEnd w:id="3590"/>
      <w:bookmarkEnd w:id="3591"/>
    </w:p>
    <w:p w14:paraId="7089212A" w14:textId="77777777" w:rsidR="008E344E" w:rsidRPr="001A1836" w:rsidRDefault="008E344E" w:rsidP="00CF1BDA"/>
    <w:p w14:paraId="28EC9F9E" w14:textId="33AD838D" w:rsidR="008E344E" w:rsidRPr="001A1836" w:rsidRDefault="008E344E" w:rsidP="008E344E">
      <w:pPr>
        <w:rPr>
          <w:rFonts w:cs="Arial"/>
        </w:rPr>
      </w:pPr>
    </w:p>
    <w:p w14:paraId="514CF32F" w14:textId="797B7954" w:rsidR="008E344E" w:rsidRPr="001A1836" w:rsidRDefault="008E344E" w:rsidP="008E344E">
      <w:pPr>
        <w:rPr>
          <w:rFonts w:cs="Arial"/>
        </w:rPr>
      </w:pPr>
    </w:p>
    <w:p w14:paraId="101A3D99" w14:textId="77777777" w:rsidR="008E344E" w:rsidRPr="001A1836" w:rsidRDefault="008E344E" w:rsidP="008E344E">
      <w:pPr>
        <w:rPr>
          <w:rFonts w:cs="Arial"/>
        </w:rPr>
      </w:pPr>
    </w:p>
    <w:p w14:paraId="59B9E328" w14:textId="77777777" w:rsidR="008E344E" w:rsidRPr="001A1836" w:rsidRDefault="008E344E">
      <w:pPr>
        <w:pStyle w:val="GSRL3heading"/>
      </w:pPr>
      <w:r w:rsidRPr="001A1836">
        <w:br w:type="page"/>
      </w:r>
      <w:bookmarkStart w:id="3592" w:name="_Toc508609583"/>
      <w:bookmarkStart w:id="3593" w:name="_Toc521327221"/>
      <w:bookmarkStart w:id="3594" w:name="_Toc521327244"/>
      <w:bookmarkStart w:id="3595" w:name="_Toc521333454"/>
      <w:bookmarkStart w:id="3596" w:name="_Toc521484179"/>
      <w:bookmarkStart w:id="3597" w:name="_Toc521484942"/>
      <w:bookmarkStart w:id="3598" w:name="_Toc521485273"/>
      <w:bookmarkStart w:id="3599" w:name="_Toc521497017"/>
      <w:bookmarkStart w:id="3600" w:name="_Toc521498459"/>
      <w:bookmarkStart w:id="3601" w:name="_Toc529346148"/>
      <w:bookmarkStart w:id="3602" w:name="_Toc129038383"/>
      <w:bookmarkStart w:id="3603" w:name="_Toc129038669"/>
      <w:bookmarkStart w:id="3604" w:name="_Toc132268251"/>
      <w:bookmarkStart w:id="3605" w:name="_Toc132268557"/>
      <w:bookmarkStart w:id="3606" w:name="_Toc136198785"/>
      <w:bookmarkStart w:id="3607" w:name="_Toc136199066"/>
      <w:bookmarkStart w:id="3608" w:name="Schedule22"/>
      <w:r w:rsidRPr="001A1836">
        <w:lastRenderedPageBreak/>
        <w:t>Purpose and effect</w:t>
      </w:r>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r w:rsidRPr="001A1836">
        <w:t xml:space="preserve"> </w:t>
      </w:r>
    </w:p>
    <w:p w14:paraId="4B4C67CC" w14:textId="362BBCBC" w:rsidR="008E344E" w:rsidRPr="001A1836" w:rsidRDefault="008E344E">
      <w:pPr>
        <w:pStyle w:val="GSRL4numberedclause"/>
      </w:pPr>
      <w:r w:rsidRPr="001A1836">
        <w:t>In this Schedule 22 (Commercially Sensitive Information) the Parties have sought to identify the Provider’s Confidential Information that is genuinely commercially sensitive and the disclosure of which may be the subject of an exemption under the FOIA.</w:t>
      </w:r>
    </w:p>
    <w:p w14:paraId="4D36D706" w14:textId="46F44E3D" w:rsidR="008E344E" w:rsidRPr="001A1836" w:rsidRDefault="008E344E">
      <w:pPr>
        <w:pStyle w:val="GSRL4numberedclause"/>
      </w:pPr>
      <w:r w:rsidRPr="001A1836">
        <w:t>Where possible, the Parties have sought to identify when any relevant Information will cease to fall into the category of information to which this Schedule 22 applies.</w:t>
      </w:r>
    </w:p>
    <w:p w14:paraId="4BE3D9D2" w14:textId="7703E529" w:rsidR="008E344E" w:rsidRPr="001A1836" w:rsidRDefault="008E344E">
      <w:pPr>
        <w:pStyle w:val="GSRL4numberedclause"/>
      </w:pPr>
      <w:r w:rsidRPr="001A1836">
        <w:t>Without prejudice to HSE’s obligation to disclose Information in accordance with FOIA or Clause 33 Freedom of Information, HSE will, in its sole discretion, acting reasonably, consider applying the relevant exemption set out in the FOIA to the information set out in the table at paragraph 2 below.</w:t>
      </w:r>
      <w:r w:rsidR="00EB659E">
        <w:t xml:space="preserve">. </w:t>
      </w:r>
    </w:p>
    <w:p w14:paraId="7F28228E" w14:textId="6F22341B" w:rsidR="008E344E" w:rsidRDefault="008E344E">
      <w:pPr>
        <w:pStyle w:val="GSRL3heading"/>
      </w:pPr>
      <w:bookmarkStart w:id="3609" w:name="_Toc521327222"/>
      <w:bookmarkStart w:id="3610" w:name="_Toc521333455"/>
      <w:bookmarkStart w:id="3611" w:name="_Toc521484180"/>
      <w:bookmarkStart w:id="3612" w:name="_Toc521484943"/>
      <w:bookmarkStart w:id="3613" w:name="_Toc521485274"/>
      <w:bookmarkStart w:id="3614" w:name="_Toc521497018"/>
      <w:bookmarkStart w:id="3615" w:name="_Toc521498460"/>
      <w:bookmarkStart w:id="3616" w:name="_Toc529346149"/>
      <w:bookmarkStart w:id="3617" w:name="_Toc129038384"/>
      <w:bookmarkStart w:id="3618" w:name="_Toc129038670"/>
      <w:bookmarkStart w:id="3619" w:name="_Toc132268252"/>
      <w:bookmarkStart w:id="3620" w:name="_Toc132268558"/>
      <w:bookmarkStart w:id="3621" w:name="_Toc136198786"/>
      <w:bookmarkStart w:id="3622" w:name="_Toc136199067"/>
      <w:r w:rsidRPr="001A1836">
        <w:t>Commercially sensitive information</w:t>
      </w:r>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p>
    <w:p w14:paraId="2B2A9494" w14:textId="77777777" w:rsidR="00A1230A" w:rsidRPr="001A1836" w:rsidRDefault="00A1230A" w:rsidP="008E344E">
      <w:pPr>
        <w:pStyle w:val="Number"/>
        <w:rPr>
          <w:rFonts w:cs="Arial"/>
        </w:rPr>
      </w:pPr>
    </w:p>
    <w:p w14:paraId="5514ECDC" w14:textId="77777777" w:rsidR="008E344E" w:rsidRPr="001A1836" w:rsidRDefault="008E344E" w:rsidP="00CF1BDA"/>
    <w:p w14:paraId="78034737" w14:textId="1A0A9F3B" w:rsidR="008E344E" w:rsidRPr="001A1836" w:rsidRDefault="008E344E" w:rsidP="00CF1BDA"/>
    <w:bookmarkEnd w:id="3608"/>
    <w:p w14:paraId="5B2D767A" w14:textId="77777777" w:rsidR="008E344E" w:rsidRPr="001A1836" w:rsidRDefault="008E344E" w:rsidP="00CF1BDA"/>
    <w:p w14:paraId="7A271A28" w14:textId="77777777" w:rsidR="008E344E" w:rsidRPr="001A1836" w:rsidRDefault="008E344E" w:rsidP="00CF1BDA"/>
    <w:p w14:paraId="492369B1" w14:textId="77777777" w:rsidR="008E344E" w:rsidRPr="001A1836" w:rsidRDefault="008E344E" w:rsidP="00CF1BDA"/>
    <w:p w14:paraId="6E9A7A33" w14:textId="77777777" w:rsidR="008E344E" w:rsidRPr="001A1836" w:rsidRDefault="008E344E" w:rsidP="00CF1BDA"/>
    <w:p w14:paraId="374EDAA2" w14:textId="77777777" w:rsidR="008E344E" w:rsidRPr="001A1836" w:rsidRDefault="008E344E" w:rsidP="00CF1BDA"/>
    <w:p w14:paraId="52AF8C9D" w14:textId="77777777" w:rsidR="00394111" w:rsidRPr="001A1836" w:rsidRDefault="00394111" w:rsidP="00CF1BDA">
      <w:pPr>
        <w:pStyle w:val="GSRL1Scheduleheader"/>
        <w:sectPr w:rsidR="00394111" w:rsidRPr="001A1836" w:rsidSect="00F87B8D">
          <w:footerReference w:type="default" r:id="rId71"/>
          <w:pgSz w:w="11900" w:h="16840"/>
          <w:pgMar w:top="1134" w:right="1440" w:bottom="1440" w:left="1440" w:header="1077" w:footer="833" w:gutter="0"/>
          <w:cols w:space="708"/>
        </w:sectPr>
      </w:pPr>
    </w:p>
    <w:p w14:paraId="6726461A" w14:textId="363CB9C5" w:rsidR="008E344E" w:rsidRPr="001A1836" w:rsidRDefault="008E344E" w:rsidP="00CF1BDA">
      <w:pPr>
        <w:pStyle w:val="GSRL1Scheduleheader"/>
      </w:pPr>
      <w:bookmarkStart w:id="3623" w:name="_Toc129038385"/>
      <w:bookmarkStart w:id="3624" w:name="_Toc129038671"/>
      <w:bookmarkStart w:id="3625" w:name="_Toc132268253"/>
      <w:bookmarkStart w:id="3626" w:name="_Toc132268559"/>
      <w:bookmarkStart w:id="3627" w:name="_Toc136198787"/>
      <w:bookmarkStart w:id="3628" w:name="_Toc136199068"/>
      <w:bookmarkStart w:id="3629" w:name="_Toc188885269"/>
      <w:r w:rsidRPr="001A1836">
        <w:lastRenderedPageBreak/>
        <w:t xml:space="preserve">SCHEDULE 23: </w:t>
      </w:r>
      <w:r w:rsidR="00B949AC" w:rsidRPr="001A1836">
        <w:t>Scheme Approval</w:t>
      </w:r>
      <w:bookmarkEnd w:id="3623"/>
      <w:bookmarkEnd w:id="3624"/>
      <w:bookmarkEnd w:id="3625"/>
      <w:bookmarkEnd w:id="3626"/>
      <w:bookmarkEnd w:id="3627"/>
      <w:bookmarkEnd w:id="3628"/>
      <w:bookmarkEnd w:id="3629"/>
    </w:p>
    <w:p w14:paraId="425C37B3" w14:textId="77777777" w:rsidR="008E344E" w:rsidRPr="001A1836" w:rsidRDefault="008E344E" w:rsidP="00CF1BDA"/>
    <w:p w14:paraId="66D1A937" w14:textId="77777777" w:rsidR="008E344E" w:rsidRPr="001A1836" w:rsidRDefault="008E344E" w:rsidP="00CF1BDA"/>
    <w:p w14:paraId="14557EFF" w14:textId="77777777" w:rsidR="008E344E" w:rsidRPr="001A1836" w:rsidRDefault="008E344E" w:rsidP="00CF1BDA">
      <w:r w:rsidRPr="001A1836">
        <w:t xml:space="preserve"> </w:t>
      </w:r>
    </w:p>
    <w:p w14:paraId="2EF5B236" w14:textId="77777777" w:rsidR="008E344E" w:rsidRPr="001A1836" w:rsidRDefault="008E344E" w:rsidP="00CF1BDA"/>
    <w:p w14:paraId="22C29697" w14:textId="77777777" w:rsidR="008E344E" w:rsidRPr="001A1836" w:rsidRDefault="008E344E" w:rsidP="00CF1BDA"/>
    <w:p w14:paraId="1E17D196" w14:textId="77777777" w:rsidR="008E344E" w:rsidRPr="001A1836" w:rsidRDefault="008E344E" w:rsidP="00CF1BDA"/>
    <w:p w14:paraId="12D019D9" w14:textId="77777777" w:rsidR="008E344E" w:rsidRPr="001A1836" w:rsidRDefault="008E344E" w:rsidP="00CF1BDA">
      <w:r w:rsidRPr="001A1836">
        <w:br w:type="page"/>
      </w:r>
    </w:p>
    <w:p w14:paraId="10DC4C38" w14:textId="7EFDDE0B" w:rsidR="009C4386" w:rsidRDefault="00A20731" w:rsidP="007F3A1E">
      <w:pPr>
        <w:pStyle w:val="GSRL2Sectionheading"/>
      </w:pPr>
      <w:bookmarkStart w:id="3630" w:name="_Toc521497021"/>
      <w:bookmarkStart w:id="3631" w:name="_Toc521498461"/>
      <w:bookmarkStart w:id="3632" w:name="_Toc129038386"/>
      <w:bookmarkStart w:id="3633" w:name="_Toc129038672"/>
      <w:bookmarkStart w:id="3634" w:name="_Toc132268254"/>
      <w:bookmarkStart w:id="3635" w:name="_Toc132268560"/>
      <w:bookmarkStart w:id="3636" w:name="_Toc136198788"/>
      <w:bookmarkStart w:id="3637" w:name="_Toc136199069"/>
      <w:bookmarkStart w:id="3638" w:name="_Hlk522785915"/>
      <w:r w:rsidRPr="001A1836">
        <w:lastRenderedPageBreak/>
        <w:t>Certificate of A</w:t>
      </w:r>
      <w:r w:rsidR="008E344E" w:rsidRPr="001A1836">
        <w:t>pproval</w:t>
      </w:r>
      <w:bookmarkEnd w:id="3630"/>
      <w:bookmarkEnd w:id="3631"/>
      <w:r w:rsidR="006F7C0C" w:rsidRPr="001A1836">
        <w:t xml:space="preserve"> - HSE</w:t>
      </w:r>
      <w:bookmarkEnd w:id="3632"/>
      <w:bookmarkEnd w:id="3633"/>
      <w:bookmarkEnd w:id="3634"/>
      <w:bookmarkEnd w:id="3635"/>
      <w:bookmarkEnd w:id="3636"/>
      <w:bookmarkEnd w:id="3637"/>
    </w:p>
    <w:p w14:paraId="5049D0AD" w14:textId="11006A3D" w:rsidR="009C4386" w:rsidRDefault="009C4386" w:rsidP="009C4386">
      <w:pPr>
        <w:rPr>
          <w:noProof/>
          <w:lang w:eastAsia="en-GB"/>
        </w:rPr>
      </w:pPr>
    </w:p>
    <w:p w14:paraId="6C76FD75" w14:textId="77777777" w:rsidR="007F3A1E" w:rsidRDefault="007F3A1E">
      <w:pPr>
        <w:widowControl w:val="0"/>
        <w:kinsoku w:val="0"/>
        <w:overflowPunct w:val="0"/>
        <w:spacing w:before="28" w:after="0" w:line="221" w:lineRule="exact"/>
        <w:jc w:val="center"/>
        <w:textAlignment w:val="baseline"/>
        <w:rPr>
          <w:rFonts w:ascii="Calibri" w:hAnsi="Calibri"/>
          <w:spacing w:val="-1"/>
          <w:szCs w:val="24"/>
          <w:lang w:val="en-US"/>
        </w:rPr>
      </w:pPr>
      <w:r>
        <w:rPr>
          <w:rFonts w:ascii="Calibri" w:hAnsi="Calibri"/>
          <w:spacing w:val="-1"/>
          <w:szCs w:val="24"/>
          <w:lang w:val="en-US"/>
        </w:rPr>
        <w:t>CERTIFICATE OF APPROVAL – HSE</w:t>
      </w:r>
    </w:p>
    <w:p w14:paraId="2BE66319" w14:textId="77777777" w:rsidR="007F3A1E" w:rsidRDefault="007F3A1E">
      <w:pPr>
        <w:widowControl w:val="0"/>
        <w:kinsoku w:val="0"/>
        <w:overflowPunct w:val="0"/>
        <w:spacing w:before="677" w:after="0" w:line="221" w:lineRule="exact"/>
        <w:jc w:val="center"/>
        <w:textAlignment w:val="baseline"/>
        <w:rPr>
          <w:rFonts w:ascii="Calibri" w:hAnsi="Calibri"/>
          <w:spacing w:val="-1"/>
          <w:szCs w:val="24"/>
          <w:lang w:val="en-US"/>
        </w:rPr>
      </w:pPr>
      <w:r>
        <w:rPr>
          <w:rFonts w:ascii="Calibri" w:hAnsi="Calibri"/>
          <w:spacing w:val="-1"/>
          <w:szCs w:val="24"/>
          <w:lang w:val="en-US"/>
        </w:rPr>
        <w:t>THE HEALTH AND SAFETY AT WORK ETC 1974</w:t>
      </w:r>
    </w:p>
    <w:p w14:paraId="407477A5" w14:textId="77777777" w:rsidR="007F3A1E" w:rsidRDefault="007F3A1E">
      <w:pPr>
        <w:widowControl w:val="0"/>
        <w:kinsoku w:val="0"/>
        <w:overflowPunct w:val="0"/>
        <w:spacing w:before="455" w:after="0" w:line="447" w:lineRule="exact"/>
        <w:jc w:val="center"/>
        <w:textAlignment w:val="baseline"/>
        <w:rPr>
          <w:rFonts w:ascii="Calibri" w:hAnsi="Calibri"/>
          <w:szCs w:val="24"/>
          <w:lang w:val="en-US"/>
        </w:rPr>
      </w:pPr>
      <w:r>
        <w:rPr>
          <w:rFonts w:ascii="Calibri" w:hAnsi="Calibri"/>
          <w:szCs w:val="24"/>
          <w:lang w:val="en-US"/>
        </w:rPr>
        <w:t>THE GAS SAFETY (INSTALLATION AND USE) REGULATIONS 1998</w:t>
      </w:r>
      <w:r>
        <w:rPr>
          <w:rFonts w:ascii="Calibri" w:hAnsi="Calibri"/>
          <w:szCs w:val="24"/>
          <w:lang w:val="en-US"/>
        </w:rPr>
        <w:br/>
        <w:t>CERTIFICATE OF APPROVAL</w:t>
      </w:r>
    </w:p>
    <w:p w14:paraId="4F1ECC4F" w14:textId="77777777" w:rsidR="007F3A1E" w:rsidRDefault="007F3A1E" w:rsidP="007F3A1E">
      <w:pPr>
        <w:widowControl w:val="0"/>
        <w:numPr>
          <w:ilvl w:val="0"/>
          <w:numId w:val="119"/>
        </w:numPr>
        <w:kinsoku w:val="0"/>
        <w:overflowPunct w:val="0"/>
        <w:spacing w:before="619" w:after="0" w:line="288" w:lineRule="exact"/>
        <w:textAlignment w:val="baseline"/>
        <w:rPr>
          <w:rFonts w:ascii="Calibri" w:hAnsi="Calibri"/>
          <w:szCs w:val="24"/>
          <w:lang w:val="en-US"/>
        </w:rPr>
      </w:pPr>
      <w:r>
        <w:rPr>
          <w:rFonts w:ascii="Calibri" w:hAnsi="Calibri"/>
          <w:szCs w:val="24"/>
          <w:lang w:val="en-US"/>
        </w:rPr>
        <w:t>The Health and Safety Executive (“the Executive”), for the purposes of regulation 3(3) of the Gas Safety (Installation and Use) Regulations 1998, approves the class of persons referred to in paragraph 2 as a class of persons of which an employer or self-employed person, as the case may be, must be a member for the purposes of that regulation on and after 1</w:t>
      </w:r>
      <w:r>
        <w:rPr>
          <w:rFonts w:ascii="Calibri" w:hAnsi="Calibri"/>
          <w:szCs w:val="24"/>
          <w:vertAlign w:val="superscript"/>
          <w:lang w:val="en-US"/>
        </w:rPr>
        <w:t>st</w:t>
      </w:r>
      <w:r>
        <w:rPr>
          <w:rFonts w:ascii="Calibri" w:hAnsi="Calibri"/>
          <w:szCs w:val="24"/>
          <w:lang w:val="en-US"/>
        </w:rPr>
        <w:t xml:space="preserve"> April 2025.</w:t>
      </w:r>
    </w:p>
    <w:p w14:paraId="6B90C498" w14:textId="77777777" w:rsidR="007F3A1E" w:rsidRDefault="007F3A1E" w:rsidP="007F3A1E">
      <w:pPr>
        <w:widowControl w:val="0"/>
        <w:numPr>
          <w:ilvl w:val="0"/>
          <w:numId w:val="119"/>
        </w:numPr>
        <w:kinsoku w:val="0"/>
        <w:overflowPunct w:val="0"/>
        <w:spacing w:before="608" w:after="0" w:line="290" w:lineRule="exact"/>
        <w:ind w:right="216"/>
        <w:textAlignment w:val="baseline"/>
        <w:rPr>
          <w:rFonts w:ascii="Calibri" w:hAnsi="Calibri"/>
          <w:szCs w:val="24"/>
          <w:lang w:val="en-US"/>
        </w:rPr>
      </w:pPr>
      <w:r>
        <w:rPr>
          <w:rFonts w:ascii="Calibri" w:hAnsi="Calibri"/>
          <w:szCs w:val="24"/>
          <w:lang w:val="en-US"/>
        </w:rPr>
        <w:t>The class of persons is those persons who are included in the Gas Safe Register – the register of gas businesses carrying out gas work in relation to a gas fitting or service pipework – maintained by or on behalf of the Executive.</w:t>
      </w:r>
    </w:p>
    <w:p w14:paraId="2BD2E984" w14:textId="77777777" w:rsidR="007F3A1E" w:rsidRDefault="007F3A1E" w:rsidP="007F3A1E">
      <w:pPr>
        <w:widowControl w:val="0"/>
        <w:numPr>
          <w:ilvl w:val="0"/>
          <w:numId w:val="119"/>
        </w:numPr>
        <w:kinsoku w:val="0"/>
        <w:overflowPunct w:val="0"/>
        <w:spacing w:before="603" w:after="652" w:line="292" w:lineRule="exact"/>
        <w:textAlignment w:val="baseline"/>
        <w:rPr>
          <w:rFonts w:ascii="Calibri" w:hAnsi="Calibri"/>
          <w:szCs w:val="24"/>
          <w:lang w:val="en-US"/>
        </w:rPr>
      </w:pPr>
      <w:r>
        <w:rPr>
          <w:rFonts w:ascii="Calibri" w:hAnsi="Calibri"/>
          <w:szCs w:val="24"/>
          <w:lang w:val="en-US"/>
        </w:rPr>
        <w:t>This certificate shall come into force on the 1</w:t>
      </w:r>
      <w:r>
        <w:rPr>
          <w:rFonts w:ascii="Calibri" w:hAnsi="Calibri"/>
          <w:szCs w:val="24"/>
          <w:vertAlign w:val="superscript"/>
          <w:lang w:val="en-US"/>
        </w:rPr>
        <w:t>st</w:t>
      </w:r>
      <w:r>
        <w:rPr>
          <w:rFonts w:ascii="Calibri" w:hAnsi="Calibri"/>
          <w:szCs w:val="24"/>
          <w:lang w:val="en-US"/>
        </w:rPr>
        <w:t xml:space="preserve"> April 2025 and shall remain in force until 31</w:t>
      </w:r>
      <w:r>
        <w:rPr>
          <w:rFonts w:ascii="Calibri" w:hAnsi="Calibri"/>
          <w:szCs w:val="24"/>
          <w:vertAlign w:val="superscript"/>
          <w:lang w:val="en-US"/>
        </w:rPr>
        <w:t>st</w:t>
      </w:r>
      <w:r>
        <w:rPr>
          <w:rFonts w:ascii="Calibri" w:hAnsi="Calibri"/>
          <w:sz w:val="13"/>
          <w:szCs w:val="24"/>
          <w:lang w:val="en-US"/>
        </w:rPr>
        <w:t xml:space="preserve"> </w:t>
      </w:r>
      <w:r>
        <w:rPr>
          <w:rFonts w:ascii="Calibri" w:hAnsi="Calibri"/>
          <w:szCs w:val="24"/>
          <w:lang w:val="en-US"/>
        </w:rPr>
        <w:t>December 2029 or the expiry of a period of 2 months’ notice pursuant to any notice of withdrawal of approval which the Executive may give.</w:t>
      </w:r>
    </w:p>
    <w:p w14:paraId="55552ED0" w14:textId="77777777" w:rsidR="007F3A1E" w:rsidRDefault="00247876">
      <w:pPr>
        <w:widowControl w:val="0"/>
        <w:kinsoku w:val="0"/>
        <w:overflowPunct w:val="0"/>
        <w:spacing w:before="1079" w:after="0" w:line="288" w:lineRule="exact"/>
        <w:textAlignment w:val="baseline"/>
        <w:rPr>
          <w:rFonts w:ascii="Times New Roman" w:hAnsi="Times New Roman"/>
          <w:sz w:val="24"/>
          <w:szCs w:val="24"/>
          <w:lang w:val="en-US"/>
        </w:rPr>
      </w:pPr>
      <w:r>
        <w:rPr>
          <w:noProof/>
        </w:rPr>
        <w:pict w14:anchorId="7CEDE573">
          <v:shapetype id="_x0000_t202" coordsize="21600,21600" o:spt="202" path="m,l,21600r21600,l21600,xe">
            <v:stroke joinstyle="miter"/>
            <v:path gradientshapeok="t" o:connecttype="rect"/>
          </v:shapetype>
          <v:shape id="_x0000_s2057" type="#_x0000_t202" style="position:absolute;margin-left:-.25pt;margin-top:0;width:123.1pt;height:66.3pt;z-index:-251658240;mso-wrap-edited:f;mso-wrap-distance-left:0;mso-wrap-distance-right:0" wrapcoords="-62 0 -62 21600 21662 21600 21662 0 -62 0" o:allowincell="f" stroked="f">
            <v:fill opacity="0"/>
            <v:textbox inset="0,0,0,0">
              <w:txbxContent>
                <w:p w14:paraId="420D95A8" w14:textId="77777777" w:rsidR="001A54BC" w:rsidRDefault="001A54BC">
                  <w:pPr>
                    <w:widowControl w:val="0"/>
                    <w:kinsoku w:val="0"/>
                    <w:overflowPunct w:val="0"/>
                    <w:spacing w:after="0"/>
                    <w:textAlignment w:val="baseline"/>
                    <w:rPr>
                      <w:rFonts w:ascii="Times New Roman" w:hAnsi="Times New Roman"/>
                      <w:sz w:val="24"/>
                      <w:szCs w:val="24"/>
                      <w:lang w:val="en-US"/>
                    </w:rPr>
                  </w:pPr>
                </w:p>
              </w:txbxContent>
            </v:textbox>
          </v:shape>
        </w:pict>
      </w:r>
      <w:r>
        <w:rPr>
          <w:noProof/>
        </w:rPr>
        <w:pict w14:anchorId="4D887359">
          <v:shape id="_x0000_s2058" type="#_x0000_t202" style="position:absolute;margin-left:-.25pt;margin-top:3pt;width:123.1pt;height:62.4pt;z-index:251658241;mso-wrap-edited:f;mso-wrap-distance-left:0;mso-wrap-distance-right:0" wrapcoords="-62 0 -62 21600 21662 21600 21662 0 -62 0" o:allowincell="f" stroked="f">
            <v:fill opacity="0"/>
            <v:textbox inset="0,0,0,0">
              <w:txbxContent>
                <w:p w14:paraId="1E3315BD" w14:textId="77777777" w:rsidR="001A54BC" w:rsidRDefault="001A54BC">
                  <w:pPr>
                    <w:widowControl w:val="0"/>
                    <w:kinsoku w:val="0"/>
                    <w:overflowPunct w:val="0"/>
                    <w:spacing w:after="0"/>
                    <w:textAlignment w:val="baseline"/>
                    <w:rPr>
                      <w:rFonts w:ascii="Times New Roman" w:hAnsi="Times New Roman"/>
                      <w:sz w:val="24"/>
                      <w:szCs w:val="24"/>
                      <w:lang w:val="en-US"/>
                    </w:rPr>
                  </w:pPr>
                  <w:r>
                    <w:rPr>
                      <w:rFonts w:ascii="Times New Roman" w:hAnsi="Times New Roman"/>
                      <w:noProof/>
                      <w:sz w:val="24"/>
                      <w:szCs w:val="24"/>
                      <w:lang w:eastAsia="en-GB"/>
                    </w:rPr>
                    <w:drawing>
                      <wp:inline distT="0" distB="0" distL="0" distR="0" wp14:anchorId="28D5C6FB" wp14:editId="2C3F646D">
                        <wp:extent cx="1564640" cy="793115"/>
                        <wp:effectExtent l="0" t="0" r="0" b="0"/>
                        <wp:docPr id="3" name="Picture 3" descr="_P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Pic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64640" cy="793115"/>
                                </a:xfrm>
                                <a:prstGeom prst="rect">
                                  <a:avLst/>
                                </a:prstGeom>
                                <a:noFill/>
                                <a:ln>
                                  <a:noFill/>
                                </a:ln>
                              </pic:spPr>
                            </pic:pic>
                          </a:graphicData>
                        </a:graphic>
                      </wp:inline>
                    </w:drawing>
                  </w:r>
                </w:p>
              </w:txbxContent>
            </v:textbox>
          </v:shape>
        </w:pict>
      </w:r>
      <w:r>
        <w:rPr>
          <w:noProof/>
        </w:rPr>
        <w:pict w14:anchorId="06BDFFDE">
          <v:shape id="_x0000_s2059" type="#_x0000_t202" style="position:absolute;margin-left:.25pt;margin-top:0;width:45.1pt;height:12.6pt;z-index:251658242;mso-wrap-edited:f;mso-wrap-distance-left:0;mso-wrap-distance-right:0" wrapcoords="-62 0 -62 21600 21662 21600 21662 0 -62 0" o:allowincell="f" stroked="f">
            <v:fill opacity="0"/>
            <v:textbox inset="0,0,0,0">
              <w:txbxContent>
                <w:p w14:paraId="16FC69E4" w14:textId="77777777" w:rsidR="001A54BC" w:rsidRDefault="001A54BC">
                  <w:pPr>
                    <w:widowControl w:val="0"/>
                    <w:kinsoku w:val="0"/>
                    <w:overflowPunct w:val="0"/>
                    <w:spacing w:before="26" w:after="0" w:line="216" w:lineRule="exact"/>
                    <w:textAlignment w:val="baseline"/>
                    <w:rPr>
                      <w:rFonts w:ascii="Calibri" w:hAnsi="Calibri"/>
                      <w:spacing w:val="-11"/>
                      <w:szCs w:val="24"/>
                      <w:lang w:val="en-US"/>
                    </w:rPr>
                  </w:pPr>
                  <w:r>
                    <w:rPr>
                      <w:rFonts w:ascii="Calibri" w:hAnsi="Calibri"/>
                      <w:spacing w:val="-11"/>
                      <w:szCs w:val="24"/>
                      <w:lang w:val="en-US"/>
                    </w:rPr>
                    <w:t>Signed by:</w:t>
                  </w:r>
                </w:p>
              </w:txbxContent>
            </v:textbox>
          </v:shape>
        </w:pict>
      </w:r>
    </w:p>
    <w:p w14:paraId="3FF1D4CD" w14:textId="77777777" w:rsidR="007F3A1E" w:rsidRDefault="007F3A1E">
      <w:pPr>
        <w:autoSpaceDE w:val="0"/>
        <w:autoSpaceDN w:val="0"/>
        <w:adjustRightInd w:val="0"/>
        <w:spacing w:after="0"/>
        <w:rPr>
          <w:rFonts w:ascii="Times New Roman" w:hAnsi="Times New Roman"/>
          <w:sz w:val="24"/>
          <w:szCs w:val="24"/>
          <w:lang w:val="en-US"/>
        </w:rPr>
        <w:sectPr w:rsidR="007F3A1E">
          <w:pgSz w:w="11900" w:h="16840"/>
          <w:pgMar w:top="1134" w:right="1440" w:bottom="1440" w:left="1440" w:header="1077" w:footer="833" w:gutter="0"/>
          <w:cols w:space="708"/>
        </w:sectPr>
      </w:pPr>
    </w:p>
    <w:p w14:paraId="3B7DA440" w14:textId="77777777" w:rsidR="007F3A1E" w:rsidRDefault="007F3A1E">
      <w:pPr>
        <w:widowControl w:val="0"/>
        <w:kinsoku w:val="0"/>
        <w:overflowPunct w:val="0"/>
        <w:spacing w:before="26" w:after="0" w:line="221" w:lineRule="exact"/>
        <w:textAlignment w:val="baseline"/>
        <w:rPr>
          <w:rFonts w:ascii="Calibri" w:hAnsi="Calibri"/>
          <w:spacing w:val="-1"/>
          <w:szCs w:val="24"/>
          <w:lang w:val="en-US"/>
        </w:rPr>
      </w:pPr>
      <w:r>
        <w:rPr>
          <w:rFonts w:ascii="Calibri" w:hAnsi="Calibri"/>
          <w:spacing w:val="-1"/>
          <w:szCs w:val="24"/>
          <w:lang w:val="en-US"/>
        </w:rPr>
        <w:lastRenderedPageBreak/>
        <w:t>A person duly authorised by the Health and Safety Executive to act on its behalf.</w:t>
      </w:r>
    </w:p>
    <w:p w14:paraId="5E12F4AE" w14:textId="77777777" w:rsidR="007F3A1E" w:rsidRDefault="007F3A1E">
      <w:pPr>
        <w:widowControl w:val="0"/>
        <w:kinsoku w:val="0"/>
        <w:overflowPunct w:val="0"/>
        <w:spacing w:before="676" w:after="0" w:line="217" w:lineRule="exact"/>
        <w:textAlignment w:val="baseline"/>
        <w:rPr>
          <w:rFonts w:ascii="Calibri" w:hAnsi="Calibri"/>
          <w:spacing w:val="-1"/>
          <w:szCs w:val="24"/>
          <w:lang w:val="en-US"/>
        </w:rPr>
      </w:pPr>
      <w:r>
        <w:rPr>
          <w:rFonts w:ascii="Calibri" w:hAnsi="Calibri"/>
          <w:spacing w:val="-1"/>
          <w:szCs w:val="24"/>
          <w:lang w:val="en-US"/>
        </w:rPr>
        <w:t>Dated: 20 January 2025</w:t>
      </w:r>
    </w:p>
    <w:p w14:paraId="7F5B2746" w14:textId="45075CAE" w:rsidR="008E344E" w:rsidRPr="001A1836" w:rsidRDefault="008E344E" w:rsidP="009C4386">
      <w:pPr>
        <w:rPr>
          <w:rFonts w:cs="Arial"/>
          <w:b/>
          <w:caps/>
          <w:szCs w:val="22"/>
        </w:rPr>
      </w:pPr>
    </w:p>
    <w:p w14:paraId="66FEB3B8" w14:textId="77777777" w:rsidR="008E344E" w:rsidRPr="001A1836" w:rsidRDefault="008E344E" w:rsidP="008E344E">
      <w:pPr>
        <w:jc w:val="center"/>
        <w:rPr>
          <w:rFonts w:cs="Arial"/>
          <w:b/>
          <w:caps/>
          <w:szCs w:val="22"/>
        </w:rPr>
      </w:pPr>
    </w:p>
    <w:bookmarkEnd w:id="3638"/>
    <w:p w14:paraId="7BBCD08A" w14:textId="77777777" w:rsidR="008E344E" w:rsidRPr="001A1836" w:rsidRDefault="008E344E" w:rsidP="008E344E">
      <w:pPr>
        <w:jc w:val="center"/>
        <w:rPr>
          <w:rFonts w:cs="Arial"/>
          <w:b/>
          <w:caps/>
          <w:szCs w:val="22"/>
        </w:rPr>
      </w:pPr>
    </w:p>
    <w:p w14:paraId="15994827" w14:textId="77777777" w:rsidR="008E344E" w:rsidRPr="001A1836" w:rsidRDefault="008E344E">
      <w:pPr>
        <w:rPr>
          <w:rFonts w:cs="Arial"/>
          <w:b/>
          <w:caps/>
          <w:szCs w:val="22"/>
        </w:rPr>
      </w:pPr>
      <w:r w:rsidRPr="001A1836">
        <w:rPr>
          <w:rFonts w:cs="Arial"/>
          <w:b/>
          <w:caps/>
          <w:szCs w:val="22"/>
        </w:rPr>
        <w:br w:type="page"/>
      </w:r>
    </w:p>
    <w:p w14:paraId="3471CA20" w14:textId="49CD8905" w:rsidR="008E344E" w:rsidRPr="001A1836" w:rsidRDefault="006F7C0C" w:rsidP="00A202C2">
      <w:pPr>
        <w:pStyle w:val="GSRL2Sectionheading"/>
      </w:pPr>
      <w:bookmarkStart w:id="3639" w:name="_Toc129038387"/>
      <w:bookmarkStart w:id="3640" w:name="_Toc129038673"/>
      <w:bookmarkStart w:id="3641" w:name="_Toc132268255"/>
      <w:bookmarkStart w:id="3642" w:name="_Toc132268561"/>
      <w:bookmarkStart w:id="3643" w:name="_Toc136198789"/>
      <w:bookmarkStart w:id="3644" w:name="_Toc136199070"/>
      <w:r w:rsidRPr="001A1836">
        <w:lastRenderedPageBreak/>
        <w:t>Certificate of Approval – HSENI</w:t>
      </w:r>
      <w:bookmarkEnd w:id="3639"/>
      <w:bookmarkEnd w:id="3640"/>
      <w:bookmarkEnd w:id="3641"/>
      <w:bookmarkEnd w:id="3642"/>
      <w:bookmarkEnd w:id="3643"/>
      <w:bookmarkEnd w:id="3644"/>
    </w:p>
    <w:p w14:paraId="6D0E6C71" w14:textId="3165B000" w:rsidR="006F7C0C" w:rsidRDefault="006F7C0C" w:rsidP="006F7C0C"/>
    <w:p w14:paraId="459264B9" w14:textId="77777777" w:rsidR="007F3A1E" w:rsidRDefault="007F3A1E">
      <w:pPr>
        <w:widowControl w:val="0"/>
        <w:kinsoku w:val="0"/>
        <w:overflowPunct w:val="0"/>
        <w:spacing w:before="12" w:after="0" w:line="294" w:lineRule="exact"/>
        <w:jc w:val="center"/>
        <w:textAlignment w:val="baseline"/>
        <w:rPr>
          <w:b/>
          <w:sz w:val="26"/>
          <w:szCs w:val="24"/>
          <w:lang w:val="en-US"/>
        </w:rPr>
      </w:pPr>
      <w:r>
        <w:rPr>
          <w:b/>
          <w:sz w:val="26"/>
          <w:szCs w:val="24"/>
          <w:lang w:val="en-US"/>
        </w:rPr>
        <w:t>THE HEALTH AND SAFETY AT WORK (NORTHERN IRELAND) ORDER</w:t>
      </w:r>
    </w:p>
    <w:p w14:paraId="1C2EDAE9" w14:textId="77777777" w:rsidR="007F3A1E" w:rsidRDefault="007F3A1E">
      <w:pPr>
        <w:widowControl w:val="0"/>
        <w:kinsoku w:val="0"/>
        <w:overflowPunct w:val="0"/>
        <w:spacing w:before="27" w:after="0" w:line="294" w:lineRule="exact"/>
        <w:jc w:val="center"/>
        <w:textAlignment w:val="baseline"/>
        <w:rPr>
          <w:b/>
          <w:spacing w:val="-6"/>
          <w:sz w:val="26"/>
          <w:szCs w:val="24"/>
          <w:lang w:val="en-US"/>
        </w:rPr>
      </w:pPr>
      <w:r>
        <w:rPr>
          <w:b/>
          <w:spacing w:val="-6"/>
          <w:sz w:val="26"/>
          <w:szCs w:val="24"/>
          <w:lang w:val="en-US"/>
        </w:rPr>
        <w:t>1978</w:t>
      </w:r>
    </w:p>
    <w:p w14:paraId="4C90DDFB" w14:textId="77777777" w:rsidR="007F3A1E" w:rsidRDefault="007F3A1E">
      <w:pPr>
        <w:widowControl w:val="0"/>
        <w:kinsoku w:val="0"/>
        <w:overflowPunct w:val="0"/>
        <w:spacing w:before="648" w:after="0" w:line="322" w:lineRule="exact"/>
        <w:ind w:left="2736" w:right="720" w:hanging="2016"/>
        <w:textAlignment w:val="baseline"/>
        <w:rPr>
          <w:b/>
          <w:spacing w:val="-2"/>
          <w:sz w:val="26"/>
          <w:szCs w:val="24"/>
          <w:lang w:val="en-US"/>
        </w:rPr>
      </w:pPr>
      <w:r>
        <w:rPr>
          <w:b/>
          <w:spacing w:val="-2"/>
          <w:sz w:val="26"/>
          <w:szCs w:val="24"/>
          <w:lang w:val="en-US"/>
        </w:rPr>
        <w:t>THE GAS SAFETY (INSTALLATION AND USE) REGULATINOS (NORTHERN IRELAND) 2004</w:t>
      </w:r>
    </w:p>
    <w:p w14:paraId="6CA0CF02" w14:textId="77777777" w:rsidR="007F3A1E" w:rsidRDefault="007F3A1E">
      <w:pPr>
        <w:widowControl w:val="0"/>
        <w:kinsoku w:val="0"/>
        <w:overflowPunct w:val="0"/>
        <w:spacing w:before="670" w:after="0" w:line="294" w:lineRule="exact"/>
        <w:jc w:val="center"/>
        <w:textAlignment w:val="baseline"/>
        <w:rPr>
          <w:b/>
          <w:sz w:val="26"/>
          <w:szCs w:val="24"/>
          <w:lang w:val="en-US"/>
        </w:rPr>
      </w:pPr>
      <w:r>
        <w:rPr>
          <w:b/>
          <w:sz w:val="26"/>
          <w:szCs w:val="24"/>
          <w:lang w:val="en-US"/>
        </w:rPr>
        <w:t>CERTIFICATE OF APPROVAL</w:t>
      </w:r>
    </w:p>
    <w:p w14:paraId="70325DFC" w14:textId="77777777" w:rsidR="007F3A1E" w:rsidRDefault="007F3A1E" w:rsidP="007F3A1E">
      <w:pPr>
        <w:widowControl w:val="0"/>
        <w:numPr>
          <w:ilvl w:val="0"/>
          <w:numId w:val="120"/>
        </w:numPr>
        <w:kinsoku w:val="0"/>
        <w:overflowPunct w:val="0"/>
        <w:spacing w:before="599" w:after="0" w:line="272" w:lineRule="exact"/>
        <w:ind w:right="144"/>
        <w:textAlignment w:val="baseline"/>
        <w:rPr>
          <w:spacing w:val="-2"/>
          <w:szCs w:val="24"/>
          <w:lang w:val="en-US"/>
        </w:rPr>
      </w:pPr>
      <w:r>
        <w:rPr>
          <w:spacing w:val="-2"/>
          <w:szCs w:val="24"/>
          <w:lang w:val="en-US"/>
        </w:rPr>
        <w:t>The Health and Safety Executive for Northern Ireland (“the Executive”) for the purposes of regulation 3(3) of the Gas Safety (Installation and Use) Regulations (Northern Ireland) 2004, approves the class of persons referred to in paragraph 2 as a class of persons of which an employer or self-employed person, as the case may be, must be a member for the purposes of that regulation on or after 1</w:t>
      </w:r>
      <w:r>
        <w:rPr>
          <w:spacing w:val="-2"/>
          <w:szCs w:val="24"/>
          <w:vertAlign w:val="superscript"/>
          <w:lang w:val="en-US"/>
        </w:rPr>
        <w:t>st</w:t>
      </w:r>
      <w:r>
        <w:rPr>
          <w:spacing w:val="-2"/>
          <w:szCs w:val="24"/>
          <w:lang w:val="en-US"/>
        </w:rPr>
        <w:t xml:space="preserve"> April 2025.</w:t>
      </w:r>
    </w:p>
    <w:p w14:paraId="574C79DE" w14:textId="77777777" w:rsidR="007F3A1E" w:rsidRDefault="007F3A1E" w:rsidP="007F3A1E">
      <w:pPr>
        <w:widowControl w:val="0"/>
        <w:numPr>
          <w:ilvl w:val="0"/>
          <w:numId w:val="120"/>
        </w:numPr>
        <w:kinsoku w:val="0"/>
        <w:overflowPunct w:val="0"/>
        <w:spacing w:before="274" w:after="0" w:line="273" w:lineRule="exact"/>
        <w:ind w:right="288"/>
        <w:textAlignment w:val="baseline"/>
        <w:rPr>
          <w:szCs w:val="24"/>
          <w:lang w:val="en-US"/>
        </w:rPr>
      </w:pPr>
      <w:r>
        <w:rPr>
          <w:szCs w:val="24"/>
          <w:lang w:val="en-US"/>
        </w:rPr>
        <w:t>The class of persons is those persons who are included in the Gas Safe Register – the register of gas businesses carrying out gas work in relation to a gas fitting or service pipework – maintained by or on behalf of the Executive.</w:t>
      </w:r>
    </w:p>
    <w:p w14:paraId="2BEC1417" w14:textId="77777777" w:rsidR="007F3A1E" w:rsidRDefault="007F3A1E" w:rsidP="007F3A1E">
      <w:pPr>
        <w:widowControl w:val="0"/>
        <w:numPr>
          <w:ilvl w:val="0"/>
          <w:numId w:val="120"/>
        </w:numPr>
        <w:kinsoku w:val="0"/>
        <w:overflowPunct w:val="0"/>
        <w:spacing w:before="273" w:after="0" w:line="272" w:lineRule="exact"/>
        <w:textAlignment w:val="baseline"/>
        <w:rPr>
          <w:szCs w:val="24"/>
          <w:lang w:val="en-US"/>
        </w:rPr>
      </w:pPr>
      <w:r>
        <w:rPr>
          <w:szCs w:val="24"/>
          <w:lang w:val="en-US"/>
        </w:rPr>
        <w:t>This certificate shall come into force on the 1</w:t>
      </w:r>
      <w:r>
        <w:rPr>
          <w:szCs w:val="24"/>
          <w:vertAlign w:val="superscript"/>
          <w:lang w:val="en-US"/>
        </w:rPr>
        <w:t>st</w:t>
      </w:r>
      <w:r>
        <w:rPr>
          <w:szCs w:val="24"/>
          <w:lang w:val="en-US"/>
        </w:rPr>
        <w:t xml:space="preserve"> April 2025 and shall remain in force until 31</w:t>
      </w:r>
      <w:r>
        <w:rPr>
          <w:szCs w:val="24"/>
          <w:vertAlign w:val="superscript"/>
          <w:lang w:val="en-US"/>
        </w:rPr>
        <w:t>st</w:t>
      </w:r>
      <w:r>
        <w:rPr>
          <w:szCs w:val="24"/>
          <w:lang w:val="en-US"/>
        </w:rPr>
        <w:t xml:space="preserve"> December 2029 or the expiry of a period of 2 months’ notice pursuant to any notice of withdrawal of approval which the Executive may give.</w:t>
      </w:r>
    </w:p>
    <w:p w14:paraId="1ACB730D" w14:textId="77777777" w:rsidR="007F3A1E" w:rsidRDefault="007F3A1E">
      <w:pPr>
        <w:widowControl w:val="0"/>
        <w:kinsoku w:val="0"/>
        <w:overflowPunct w:val="0"/>
        <w:spacing w:before="622" w:after="372" w:line="247" w:lineRule="exact"/>
        <w:textAlignment w:val="baseline"/>
        <w:rPr>
          <w:spacing w:val="-2"/>
          <w:szCs w:val="24"/>
          <w:lang w:val="en-US"/>
        </w:rPr>
      </w:pPr>
      <w:r>
        <w:rPr>
          <w:spacing w:val="-2"/>
          <w:szCs w:val="24"/>
          <w:lang w:val="en-US"/>
        </w:rPr>
        <w:t>Signed by:</w:t>
      </w:r>
    </w:p>
    <w:p w14:paraId="0A097226" w14:textId="77777777" w:rsidR="007F3A1E" w:rsidRDefault="007F3A1E">
      <w:pPr>
        <w:widowControl w:val="0"/>
        <w:kinsoku w:val="0"/>
        <w:overflowPunct w:val="0"/>
        <w:spacing w:after="425"/>
        <w:ind w:left="53" w:right="6333"/>
        <w:textAlignment w:val="baseline"/>
        <w:rPr>
          <w:rFonts w:ascii="Times New Roman" w:hAnsi="Times New Roman"/>
          <w:sz w:val="24"/>
          <w:szCs w:val="24"/>
          <w:lang w:val="en-US"/>
        </w:rPr>
      </w:pPr>
      <w:r>
        <w:rPr>
          <w:rFonts w:ascii="Times New Roman" w:hAnsi="Times New Roman"/>
          <w:noProof/>
          <w:sz w:val="24"/>
          <w:szCs w:val="24"/>
          <w:lang w:eastAsia="en-GB"/>
        </w:rPr>
        <w:drawing>
          <wp:inline distT="0" distB="0" distL="0" distR="0" wp14:anchorId="6A4EC10B" wp14:editId="6A50AC6B">
            <wp:extent cx="1685925" cy="391160"/>
            <wp:effectExtent l="0" t="0" r="0" b="0"/>
            <wp:docPr id="1" name="Picture 1" descr="_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Pic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685925" cy="391160"/>
                    </a:xfrm>
                    <a:prstGeom prst="rect">
                      <a:avLst/>
                    </a:prstGeom>
                    <a:noFill/>
                    <a:ln>
                      <a:noFill/>
                    </a:ln>
                  </pic:spPr>
                </pic:pic>
              </a:graphicData>
            </a:graphic>
          </wp:inline>
        </w:drawing>
      </w:r>
    </w:p>
    <w:p w14:paraId="276CC6AA" w14:textId="77777777" w:rsidR="007F3A1E" w:rsidRDefault="007F3A1E">
      <w:pPr>
        <w:widowControl w:val="0"/>
        <w:kinsoku w:val="0"/>
        <w:overflowPunct w:val="0"/>
        <w:spacing w:before="2" w:after="0" w:line="247" w:lineRule="exact"/>
        <w:textAlignment w:val="baseline"/>
        <w:rPr>
          <w:spacing w:val="-2"/>
          <w:szCs w:val="24"/>
          <w:lang w:val="en-US"/>
        </w:rPr>
      </w:pPr>
      <w:r>
        <w:rPr>
          <w:spacing w:val="-2"/>
          <w:szCs w:val="24"/>
          <w:lang w:val="en-US"/>
        </w:rPr>
        <w:t>Robert Kidd</w:t>
      </w:r>
    </w:p>
    <w:p w14:paraId="130E3DB4" w14:textId="77777777" w:rsidR="007F3A1E" w:rsidRDefault="007F3A1E">
      <w:pPr>
        <w:widowControl w:val="0"/>
        <w:kinsoku w:val="0"/>
        <w:overflowPunct w:val="0"/>
        <w:spacing w:before="190" w:after="0" w:line="247" w:lineRule="exact"/>
        <w:textAlignment w:val="baseline"/>
        <w:rPr>
          <w:spacing w:val="-1"/>
          <w:szCs w:val="24"/>
          <w:lang w:val="en-US"/>
        </w:rPr>
      </w:pPr>
      <w:r>
        <w:rPr>
          <w:spacing w:val="-1"/>
          <w:szCs w:val="24"/>
          <w:lang w:val="en-US"/>
        </w:rPr>
        <w:t>Chief Executive HSENI</w:t>
      </w:r>
    </w:p>
    <w:p w14:paraId="2461E2FB" w14:textId="77777777" w:rsidR="007F3A1E" w:rsidRDefault="007F3A1E">
      <w:pPr>
        <w:widowControl w:val="0"/>
        <w:kinsoku w:val="0"/>
        <w:overflowPunct w:val="0"/>
        <w:spacing w:before="591" w:after="0" w:line="273" w:lineRule="exact"/>
        <w:ind w:right="216"/>
        <w:textAlignment w:val="baseline"/>
        <w:rPr>
          <w:szCs w:val="24"/>
          <w:lang w:val="en-US"/>
        </w:rPr>
      </w:pPr>
      <w:r>
        <w:rPr>
          <w:szCs w:val="24"/>
          <w:lang w:val="en-US"/>
        </w:rPr>
        <w:t>A person duly authorised by the Health and Safety Executive for Northern Ireland to act on its behalf.</w:t>
      </w:r>
    </w:p>
    <w:p w14:paraId="5A4D80B0" w14:textId="77777777" w:rsidR="007F3A1E" w:rsidRDefault="007F3A1E">
      <w:pPr>
        <w:widowControl w:val="0"/>
        <w:kinsoku w:val="0"/>
        <w:overflowPunct w:val="0"/>
        <w:spacing w:before="609" w:after="0" w:line="249" w:lineRule="exact"/>
        <w:textAlignment w:val="baseline"/>
        <w:rPr>
          <w:spacing w:val="-1"/>
          <w:szCs w:val="24"/>
          <w:lang w:val="en-US"/>
        </w:rPr>
      </w:pPr>
      <w:r>
        <w:rPr>
          <w:spacing w:val="-1"/>
          <w:szCs w:val="24"/>
          <w:lang w:val="en-US"/>
        </w:rPr>
        <w:t>Dated: 20</w:t>
      </w:r>
      <w:r>
        <w:rPr>
          <w:spacing w:val="-1"/>
          <w:szCs w:val="24"/>
          <w:vertAlign w:val="superscript"/>
          <w:lang w:val="en-US"/>
        </w:rPr>
        <w:t>th</w:t>
      </w:r>
      <w:r>
        <w:rPr>
          <w:spacing w:val="-1"/>
          <w:szCs w:val="24"/>
          <w:lang w:val="en-US"/>
        </w:rPr>
        <w:t xml:space="preserve"> January 2025</w:t>
      </w:r>
    </w:p>
    <w:p w14:paraId="1599B838" w14:textId="4D824BE4" w:rsidR="00364317" w:rsidRDefault="00364317" w:rsidP="009C4386">
      <w:pPr>
        <w:rPr>
          <w:noProof/>
          <w:lang w:eastAsia="en-GB"/>
        </w:rPr>
      </w:pPr>
    </w:p>
    <w:p w14:paraId="251DBA7B" w14:textId="5745B451" w:rsidR="009C4386" w:rsidRDefault="009C4386" w:rsidP="006F7C0C"/>
    <w:p w14:paraId="282360AB" w14:textId="77777777" w:rsidR="009C4386" w:rsidRPr="001A1836" w:rsidRDefault="009C4386" w:rsidP="006F7C0C"/>
    <w:p w14:paraId="47CE498F" w14:textId="2E8E4363" w:rsidR="006F7C0C" w:rsidRPr="001A1836" w:rsidRDefault="006F7C0C" w:rsidP="006F7C0C">
      <w:pPr>
        <w:jc w:val="center"/>
      </w:pPr>
    </w:p>
    <w:p w14:paraId="007666C0" w14:textId="5065388B" w:rsidR="008E344E" w:rsidRPr="001A1836" w:rsidRDefault="008E344E" w:rsidP="00CF1BDA"/>
    <w:p w14:paraId="563701C3" w14:textId="1BD96160" w:rsidR="00CF1BDA" w:rsidRPr="001A1836" w:rsidRDefault="00CF1BDA" w:rsidP="00CF1BDA"/>
    <w:p w14:paraId="7D795020" w14:textId="77777777" w:rsidR="00CF1BDA" w:rsidRPr="001A1836" w:rsidRDefault="00CF1BDA" w:rsidP="00CF1BDA"/>
    <w:p w14:paraId="2B85BA4D" w14:textId="77777777" w:rsidR="008E344E" w:rsidRPr="001A1836" w:rsidRDefault="008E344E" w:rsidP="00CF1BDA"/>
    <w:p w14:paraId="4448E45A" w14:textId="77777777" w:rsidR="008E344E" w:rsidRPr="001A1836" w:rsidRDefault="008E344E" w:rsidP="00CF1BDA"/>
    <w:p w14:paraId="3B6D3C5E" w14:textId="77777777" w:rsidR="008E344E" w:rsidRPr="001A1836" w:rsidRDefault="008E344E" w:rsidP="00CF1BDA"/>
    <w:p w14:paraId="3079945C" w14:textId="77777777" w:rsidR="00394111" w:rsidRPr="001A1836" w:rsidRDefault="00394111" w:rsidP="00CF1BDA">
      <w:pPr>
        <w:pStyle w:val="GSRL1Scheduleheader"/>
        <w:sectPr w:rsidR="00394111" w:rsidRPr="001A1836" w:rsidSect="00F87B8D">
          <w:footerReference w:type="default" r:id="rId74"/>
          <w:pgSz w:w="11900" w:h="16840"/>
          <w:pgMar w:top="1134" w:right="1440" w:bottom="1440" w:left="1440" w:header="1077" w:footer="833" w:gutter="0"/>
          <w:cols w:space="708"/>
        </w:sectPr>
      </w:pPr>
    </w:p>
    <w:p w14:paraId="68B1BCA9" w14:textId="7B56153C" w:rsidR="008E344E" w:rsidRPr="001A1836" w:rsidRDefault="008E344E" w:rsidP="00CF1BDA">
      <w:pPr>
        <w:pStyle w:val="GSRL1Scheduleheader"/>
      </w:pPr>
      <w:bookmarkStart w:id="3645" w:name="_Toc129038388"/>
      <w:bookmarkStart w:id="3646" w:name="_Toc129038674"/>
      <w:bookmarkStart w:id="3647" w:name="_Toc132268256"/>
      <w:bookmarkStart w:id="3648" w:name="_Toc132268562"/>
      <w:bookmarkStart w:id="3649" w:name="_Toc136198790"/>
      <w:bookmarkStart w:id="3650" w:name="_Toc136199071"/>
      <w:bookmarkStart w:id="3651" w:name="_Toc188885270"/>
      <w:r w:rsidRPr="001A1836">
        <w:lastRenderedPageBreak/>
        <w:t>SCHEDULE 24: Processing, Personal Data and Data Subjects</w:t>
      </w:r>
      <w:bookmarkEnd w:id="3645"/>
      <w:bookmarkEnd w:id="3646"/>
      <w:bookmarkEnd w:id="3647"/>
      <w:bookmarkEnd w:id="3648"/>
      <w:bookmarkEnd w:id="3649"/>
      <w:bookmarkEnd w:id="3650"/>
      <w:bookmarkEnd w:id="3651"/>
    </w:p>
    <w:p w14:paraId="059F896C" w14:textId="77777777" w:rsidR="008E344E" w:rsidRPr="001A1836" w:rsidRDefault="008E344E" w:rsidP="00CF1BDA"/>
    <w:p w14:paraId="5467A889" w14:textId="77777777" w:rsidR="008E344E" w:rsidRPr="001A1836" w:rsidRDefault="008E344E" w:rsidP="00CF1BDA"/>
    <w:p w14:paraId="0DD92593" w14:textId="1F34DC6A" w:rsidR="008E344E" w:rsidRPr="001A1836" w:rsidRDefault="008E344E" w:rsidP="00204053"/>
    <w:p w14:paraId="6E23AF7E" w14:textId="77777777" w:rsidR="00204053" w:rsidRPr="001A1836" w:rsidRDefault="00204053">
      <w:pPr>
        <w:spacing w:before="0" w:after="0"/>
        <w:rPr>
          <w:rFonts w:eastAsia="STZhongsong" w:cs="Arial"/>
          <w:b/>
          <w:caps/>
          <w:kern w:val="0"/>
          <w:sz w:val="24"/>
          <w:szCs w:val="22"/>
          <w:lang w:eastAsia="zh-CN"/>
        </w:rPr>
      </w:pPr>
      <w:bookmarkStart w:id="3652" w:name="_Toc508699432"/>
      <w:bookmarkStart w:id="3653" w:name="_Toc508699407"/>
      <w:bookmarkStart w:id="3654" w:name="_Toc508799933"/>
      <w:bookmarkStart w:id="3655" w:name="_Toc521327223"/>
      <w:bookmarkStart w:id="3656" w:name="_Toc521333456"/>
      <w:bookmarkStart w:id="3657" w:name="Schedule24"/>
      <w:r w:rsidRPr="001A1836">
        <w:br w:type="page"/>
      </w:r>
    </w:p>
    <w:p w14:paraId="640B4513" w14:textId="0F91F9AA" w:rsidR="008E344E" w:rsidRPr="001A1836" w:rsidRDefault="008E344E" w:rsidP="00101EEC">
      <w:pPr>
        <w:pStyle w:val="GSRL2Sectionheading"/>
      </w:pPr>
      <w:bookmarkStart w:id="3658" w:name="_Toc521497024"/>
      <w:bookmarkStart w:id="3659" w:name="_Toc521498464"/>
      <w:bookmarkStart w:id="3660" w:name="_Toc529346150"/>
      <w:bookmarkStart w:id="3661" w:name="_Toc129038390"/>
      <w:bookmarkStart w:id="3662" w:name="_Toc129038676"/>
      <w:bookmarkStart w:id="3663" w:name="_Toc129038697"/>
      <w:bookmarkStart w:id="3664" w:name="_Toc132268257"/>
      <w:bookmarkStart w:id="3665" w:name="_Toc132268563"/>
      <w:bookmarkStart w:id="3666" w:name="_Toc132268603"/>
      <w:bookmarkStart w:id="3667" w:name="_Toc136198791"/>
      <w:bookmarkStart w:id="3668" w:name="_Toc136199072"/>
      <w:bookmarkStart w:id="3669" w:name="_Toc136199098"/>
      <w:r w:rsidRPr="001A1836">
        <w:lastRenderedPageBreak/>
        <w:t>Introduction</w:t>
      </w:r>
      <w:bookmarkEnd w:id="3652"/>
      <w:bookmarkEnd w:id="3653"/>
      <w:bookmarkEnd w:id="3654"/>
      <w:bookmarkEnd w:id="3655"/>
      <w:bookmarkEnd w:id="3656"/>
      <w:bookmarkEnd w:id="3658"/>
      <w:bookmarkEnd w:id="3659"/>
      <w:bookmarkEnd w:id="3660"/>
      <w:bookmarkEnd w:id="3661"/>
      <w:bookmarkEnd w:id="3662"/>
      <w:bookmarkEnd w:id="3663"/>
      <w:bookmarkEnd w:id="3664"/>
      <w:bookmarkEnd w:id="3665"/>
      <w:bookmarkEnd w:id="3666"/>
      <w:bookmarkEnd w:id="3667"/>
      <w:bookmarkEnd w:id="3668"/>
      <w:bookmarkEnd w:id="3669"/>
    </w:p>
    <w:p w14:paraId="1F65DA26" w14:textId="77777777" w:rsidR="008E344E" w:rsidRPr="001A1836" w:rsidRDefault="008E344E" w:rsidP="004E2262">
      <w:pPr>
        <w:pStyle w:val="GSRL3heading"/>
        <w:numPr>
          <w:ilvl w:val="0"/>
          <w:numId w:val="77"/>
        </w:numPr>
      </w:pPr>
      <w:bookmarkStart w:id="3670" w:name="_Toc508699433"/>
      <w:bookmarkStart w:id="3671" w:name="_Toc508699408"/>
      <w:bookmarkStart w:id="3672" w:name="_Toc508799934"/>
      <w:bookmarkStart w:id="3673" w:name="_Toc521327224"/>
      <w:bookmarkStart w:id="3674" w:name="_Toc521333457"/>
      <w:bookmarkStart w:id="3675" w:name="_Toc521484181"/>
      <w:bookmarkStart w:id="3676" w:name="_Toc521484944"/>
      <w:bookmarkStart w:id="3677" w:name="_Toc521485275"/>
      <w:bookmarkStart w:id="3678" w:name="_Toc521495155"/>
      <w:bookmarkStart w:id="3679" w:name="_Toc529346151"/>
      <w:bookmarkStart w:id="3680" w:name="_Toc129038391"/>
      <w:bookmarkStart w:id="3681" w:name="_Toc129038677"/>
      <w:bookmarkStart w:id="3682" w:name="_Toc129038698"/>
      <w:bookmarkStart w:id="3683" w:name="_Toc132268258"/>
      <w:bookmarkStart w:id="3684" w:name="_Toc132268564"/>
      <w:bookmarkStart w:id="3685" w:name="_Toc132268604"/>
      <w:bookmarkStart w:id="3686" w:name="_Toc136198792"/>
      <w:bookmarkStart w:id="3687" w:name="_Toc136199073"/>
      <w:bookmarkStart w:id="3688" w:name="_Toc136199099"/>
      <w:r w:rsidRPr="001A1836">
        <w:t>Overview</w:t>
      </w:r>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r w:rsidRPr="001A1836">
        <w:t xml:space="preserve"> </w:t>
      </w:r>
    </w:p>
    <w:p w14:paraId="216E9B07" w14:textId="7E52FF77" w:rsidR="008E344E" w:rsidRPr="001A1836" w:rsidRDefault="008E344E">
      <w:pPr>
        <w:pStyle w:val="GSRL4numberedclause"/>
      </w:pPr>
      <w:r w:rsidRPr="001A1836">
        <w:t xml:space="preserve">This Schedule sets out the data processing that the Provider is authorised to carry out in accordance with Clause 32 of this </w:t>
      </w:r>
      <w:r w:rsidR="00E351A3" w:rsidRPr="001A1836">
        <w:t>Agreement</w:t>
      </w:r>
      <w:r w:rsidRPr="001A1836">
        <w:t>.</w:t>
      </w:r>
    </w:p>
    <w:p w14:paraId="2B3E305D" w14:textId="77777777" w:rsidR="008E344E" w:rsidRPr="001A1836" w:rsidRDefault="008E344E">
      <w:pPr>
        <w:pStyle w:val="GSRL4numberedclause"/>
      </w:pPr>
      <w:r w:rsidRPr="001A1836">
        <w:t>The Provider shall comply with any further written instructions with respect to processing by HSE.</w:t>
      </w:r>
    </w:p>
    <w:p w14:paraId="0BD22AF1" w14:textId="42FDCC77" w:rsidR="008E344E" w:rsidRDefault="008E344E">
      <w:pPr>
        <w:pStyle w:val="GSRL4numberedclause"/>
      </w:pPr>
      <w:r w:rsidRPr="001A1836">
        <w:t>Any such further instructions shall be incorporated into this Schedule.</w:t>
      </w:r>
    </w:p>
    <w:p w14:paraId="6BE58931" w14:textId="08EB663C" w:rsidR="00694B53" w:rsidRDefault="00694B53" w:rsidP="00503955">
      <w:pPr>
        <w:pStyle w:val="GSRL4numberedclause"/>
      </w:pPr>
      <w:r>
        <w:t xml:space="preserve">The contact details of </w:t>
      </w:r>
      <w:r w:rsidR="00010038">
        <w:t>HSE</w:t>
      </w:r>
      <w:r>
        <w:t xml:space="preserve">'s Data Protection Officer are: </w:t>
      </w:r>
      <w:r w:rsidR="00247876">
        <w:rPr>
          <w:color w:val="000000"/>
          <w:sz w:val="20"/>
        </w:rPr>
        <w:t>REDACTED</w:t>
      </w:r>
    </w:p>
    <w:p w14:paraId="5FCD101D" w14:textId="0DA22627" w:rsidR="00694B53" w:rsidRDefault="00694B53">
      <w:pPr>
        <w:pStyle w:val="GSRL4numberedclause"/>
      </w:pPr>
      <w:r>
        <w:t xml:space="preserve">The contact details of the </w:t>
      </w:r>
      <w:r w:rsidR="00010038">
        <w:t>Provider</w:t>
      </w:r>
      <w:r>
        <w:t xml:space="preserve">'s Data Protection Officer are: </w:t>
      </w:r>
      <w:r w:rsidR="00247876">
        <w:rPr>
          <w:color w:val="000000"/>
          <w:sz w:val="20"/>
        </w:rPr>
        <w:t>REDACTED</w:t>
      </w:r>
    </w:p>
    <w:p w14:paraId="18C61A26" w14:textId="77777777" w:rsidR="008E344E" w:rsidRPr="001A1836" w:rsidRDefault="008E344E">
      <w:pPr>
        <w:pStyle w:val="GSRL3heading"/>
      </w:pPr>
      <w:bookmarkStart w:id="3689" w:name="_Toc508699434"/>
      <w:bookmarkStart w:id="3690" w:name="_Toc508799935"/>
      <w:bookmarkStart w:id="3691" w:name="_Toc521327225"/>
      <w:bookmarkStart w:id="3692" w:name="_Toc521333458"/>
      <w:bookmarkStart w:id="3693" w:name="_Toc521484182"/>
      <w:bookmarkStart w:id="3694" w:name="_Toc521484945"/>
      <w:bookmarkStart w:id="3695" w:name="_Toc521485276"/>
      <w:bookmarkStart w:id="3696" w:name="_Toc521495156"/>
      <w:bookmarkStart w:id="3697" w:name="_Toc529346152"/>
      <w:bookmarkStart w:id="3698" w:name="_Toc129038392"/>
      <w:bookmarkStart w:id="3699" w:name="_Toc129038678"/>
      <w:bookmarkStart w:id="3700" w:name="_Toc129038699"/>
      <w:bookmarkStart w:id="3701" w:name="_Toc132268259"/>
      <w:bookmarkStart w:id="3702" w:name="_Toc132268565"/>
      <w:bookmarkStart w:id="3703" w:name="_Toc132268605"/>
      <w:bookmarkStart w:id="3704" w:name="_Toc136198793"/>
      <w:bookmarkStart w:id="3705" w:name="_Toc136199074"/>
      <w:bookmarkStart w:id="3706" w:name="_Toc136199100"/>
      <w:r w:rsidRPr="001A1836">
        <w:t>Lawful basis for the processing</w:t>
      </w:r>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p>
    <w:p w14:paraId="02E5D8EF" w14:textId="49A4BEE0" w:rsidR="008E344E" w:rsidRPr="001A1836" w:rsidRDefault="008E344E">
      <w:pPr>
        <w:pStyle w:val="GSRL4numberedclause"/>
      </w:pPr>
      <w:r w:rsidRPr="001A1836">
        <w:t xml:space="preserve">HSE’s legal basis for the collection </w:t>
      </w:r>
      <w:r w:rsidR="00694B53">
        <w:t xml:space="preserve">and processing </w:t>
      </w:r>
      <w:r w:rsidRPr="001A1836">
        <w:t xml:space="preserve">of the Personal Data listed in this Schedule is the ‘public task’ basis under Article 6.1(e) of </w:t>
      </w:r>
      <w:r w:rsidR="0072090A">
        <w:t xml:space="preserve">UK </w:t>
      </w:r>
      <w:r w:rsidRPr="001A1836">
        <w:t>GDPR</w:t>
      </w:r>
      <w:r w:rsidR="00D44A0D">
        <w:t xml:space="preserve"> (or the 'consent' basis under Article 7 of UK GDPR in respect of categories 3 and 7 described in the table in paragraph 3.1 below)</w:t>
      </w:r>
      <w:r w:rsidRPr="001A1836">
        <w:t>.</w:t>
      </w:r>
    </w:p>
    <w:p w14:paraId="55143AD9" w14:textId="05C9C9EE" w:rsidR="003B6C15" w:rsidRPr="001A1836" w:rsidRDefault="003B6C15">
      <w:pPr>
        <w:pStyle w:val="GSRL4numberedclause"/>
      </w:pPr>
      <w:r w:rsidRPr="003B6C15">
        <w:t>The HSE is the controller of the information collected and held by Gas Safe Register. HSE’s legal basis for the collection of Personal Data in relation to the Register is that ‘Processing is necessary for the performance of a task carried out in the exercise of official authority vested in the controller under the Gas Safety (Installation and Use) Regulations 1998’ (Article 6(1)(e)). The legal basis for the collection and processing of the personal data listed in relation to the notification of gas and associated heating and hot water work etc, under the Building Regulations is that ‘Processing is necessary for the performance of a task carried out in the public interest or in the exercise of official authority vested in the controller’ (Article 6(1)(e)) as the processing is supporting registered gas engineers to fulfil their obligations under the Building Regulations.</w:t>
      </w:r>
    </w:p>
    <w:p w14:paraId="0DC1AB79" w14:textId="77777777" w:rsidR="008E344E" w:rsidRPr="001A1836" w:rsidRDefault="008E344E">
      <w:pPr>
        <w:pStyle w:val="GSRL3heading"/>
      </w:pPr>
      <w:bookmarkStart w:id="3707" w:name="_Toc508699435"/>
      <w:bookmarkStart w:id="3708" w:name="_Toc508799936"/>
      <w:bookmarkStart w:id="3709" w:name="_Toc521327226"/>
      <w:bookmarkStart w:id="3710" w:name="_Toc521333459"/>
      <w:bookmarkStart w:id="3711" w:name="_Toc521484183"/>
      <w:bookmarkStart w:id="3712" w:name="_Toc521484946"/>
      <w:bookmarkStart w:id="3713" w:name="_Toc521485277"/>
      <w:bookmarkStart w:id="3714" w:name="_Toc521495157"/>
      <w:bookmarkStart w:id="3715" w:name="_Toc529346153"/>
      <w:bookmarkStart w:id="3716" w:name="_Toc129038393"/>
      <w:bookmarkStart w:id="3717" w:name="_Toc129038679"/>
      <w:bookmarkStart w:id="3718" w:name="_Toc129038700"/>
      <w:bookmarkStart w:id="3719" w:name="_Toc132268260"/>
      <w:bookmarkStart w:id="3720" w:name="_Toc132268566"/>
      <w:bookmarkStart w:id="3721" w:name="_Toc132268606"/>
      <w:bookmarkStart w:id="3722" w:name="_Toc136198794"/>
      <w:bookmarkStart w:id="3723" w:name="_Toc136199075"/>
      <w:bookmarkStart w:id="3724" w:name="_Toc136199101"/>
      <w:r w:rsidRPr="001A1836">
        <w:t>Description of processing</w:t>
      </w:r>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p>
    <w:p w14:paraId="59DC02E5" w14:textId="221669AC" w:rsidR="008E344E" w:rsidRPr="001A1836" w:rsidRDefault="008E344E">
      <w:pPr>
        <w:pStyle w:val="GSRL4numberedclause"/>
      </w:pPr>
      <w:r w:rsidRPr="001A1836">
        <w:t>Where types of Personal Data are collected in relation to multiple categories, they will be listed in each relevant category.</w:t>
      </w:r>
    </w:p>
    <w:p w14:paraId="67C602AE" w14:textId="00B642CE" w:rsidR="00CA27F1" w:rsidRPr="001A1836" w:rsidRDefault="00CA27F1" w:rsidP="00CA27F1">
      <w:pPr>
        <w:pStyle w:val="GSRL4numberedclause"/>
        <w:numPr>
          <w:ilvl w:val="0"/>
          <w:numId w:val="0"/>
        </w:numPr>
        <w:ind w:left="720"/>
      </w:pPr>
    </w:p>
    <w:tbl>
      <w:tblPr>
        <w:tblStyle w:val="TableGrid"/>
        <w:tblW w:w="0" w:type="auto"/>
        <w:tblLook w:val="04A0" w:firstRow="1" w:lastRow="0" w:firstColumn="1" w:lastColumn="0" w:noHBand="0" w:noVBand="1"/>
      </w:tblPr>
      <w:tblGrid>
        <w:gridCol w:w="2258"/>
        <w:gridCol w:w="6752"/>
      </w:tblGrid>
      <w:tr w:rsidR="008E344E" w:rsidRPr="001A1836" w14:paraId="167530E8" w14:textId="77777777" w:rsidTr="00694B53">
        <w:trPr>
          <w:tblHeader/>
        </w:trPr>
        <w:tc>
          <w:tcPr>
            <w:tcW w:w="2258" w:type="dxa"/>
            <w:tcBorders>
              <w:top w:val="single" w:sz="4" w:space="0" w:color="auto"/>
              <w:left w:val="single" w:sz="4" w:space="0" w:color="auto"/>
              <w:bottom w:val="single" w:sz="4" w:space="0" w:color="auto"/>
              <w:right w:val="single" w:sz="4" w:space="0" w:color="auto"/>
            </w:tcBorders>
            <w:hideMark/>
          </w:tcPr>
          <w:p w14:paraId="6867DF09" w14:textId="77777777" w:rsidR="008E344E" w:rsidRPr="001A1836" w:rsidRDefault="008E344E">
            <w:pPr>
              <w:jc w:val="left"/>
              <w:rPr>
                <w:b/>
              </w:rPr>
            </w:pPr>
            <w:r w:rsidRPr="001A1836">
              <w:rPr>
                <w:b/>
              </w:rPr>
              <w:t>Description</w:t>
            </w:r>
          </w:p>
        </w:tc>
        <w:tc>
          <w:tcPr>
            <w:tcW w:w="6752" w:type="dxa"/>
            <w:tcBorders>
              <w:top w:val="single" w:sz="4" w:space="0" w:color="auto"/>
              <w:left w:val="single" w:sz="4" w:space="0" w:color="auto"/>
              <w:bottom w:val="single" w:sz="4" w:space="0" w:color="auto"/>
              <w:right w:val="single" w:sz="4" w:space="0" w:color="auto"/>
            </w:tcBorders>
            <w:hideMark/>
          </w:tcPr>
          <w:p w14:paraId="73E43FEC" w14:textId="77777777" w:rsidR="008E344E" w:rsidRPr="001A1836" w:rsidRDefault="008E344E">
            <w:pPr>
              <w:jc w:val="left"/>
              <w:rPr>
                <w:b/>
              </w:rPr>
            </w:pPr>
            <w:r w:rsidRPr="001A1836">
              <w:rPr>
                <w:b/>
              </w:rPr>
              <w:t>Details</w:t>
            </w:r>
          </w:p>
        </w:tc>
      </w:tr>
      <w:tr w:rsidR="00694B53" w:rsidRPr="001A1836" w14:paraId="44549478" w14:textId="77777777" w:rsidTr="00694B53">
        <w:tc>
          <w:tcPr>
            <w:tcW w:w="2258" w:type="dxa"/>
            <w:tcBorders>
              <w:top w:val="single" w:sz="4" w:space="0" w:color="auto"/>
              <w:left w:val="single" w:sz="4" w:space="0" w:color="auto"/>
              <w:bottom w:val="single" w:sz="4" w:space="0" w:color="auto"/>
              <w:right w:val="single" w:sz="4" w:space="0" w:color="auto"/>
            </w:tcBorders>
          </w:tcPr>
          <w:p w14:paraId="7082B75B" w14:textId="7E1F14EB" w:rsidR="00694B53" w:rsidRPr="001A1836" w:rsidRDefault="00694B53">
            <w:r w:rsidRPr="00FE5D62">
              <w:rPr>
                <w:rFonts w:cs="Arial"/>
              </w:rPr>
              <w:t>Identity of Controller for each Category of Personal Data</w:t>
            </w:r>
          </w:p>
        </w:tc>
        <w:tc>
          <w:tcPr>
            <w:tcW w:w="6752" w:type="dxa"/>
            <w:tcBorders>
              <w:top w:val="single" w:sz="4" w:space="0" w:color="auto"/>
              <w:left w:val="single" w:sz="4" w:space="0" w:color="auto"/>
              <w:bottom w:val="single" w:sz="4" w:space="0" w:color="auto"/>
              <w:right w:val="single" w:sz="4" w:space="0" w:color="auto"/>
            </w:tcBorders>
          </w:tcPr>
          <w:p w14:paraId="3B90C5E6" w14:textId="1EAF176E" w:rsidR="00694B53" w:rsidRDefault="00694B53" w:rsidP="00694B53">
            <w:r>
              <w:t xml:space="preserve">HSE is Controller and the </w:t>
            </w:r>
            <w:r w:rsidR="00010038">
              <w:t>Provider</w:t>
            </w:r>
            <w:r>
              <w:t xml:space="preserve"> is Processor</w:t>
            </w:r>
          </w:p>
          <w:p w14:paraId="61C1011D" w14:textId="62454C00" w:rsidR="00694B53" w:rsidRPr="001A1836" w:rsidRDefault="00694B53" w:rsidP="002154C4">
            <w:r>
              <w:t>The Parties acknowledge that in accordance with Clause 32</w:t>
            </w:r>
            <w:r w:rsidR="002154C4">
              <w:t>.2</w:t>
            </w:r>
            <w:r>
              <w:t xml:space="preserve"> and for the purposes of the Data Protection Legislation, HSE is the Controller and the </w:t>
            </w:r>
            <w:r w:rsidR="00010038">
              <w:t>Provider</w:t>
            </w:r>
            <w:r>
              <w:t xml:space="preserve"> is the Processor of the Personal Data described below.</w:t>
            </w:r>
          </w:p>
        </w:tc>
      </w:tr>
      <w:tr w:rsidR="008E344E" w:rsidRPr="001A1836" w14:paraId="5ABFA6DC" w14:textId="77777777" w:rsidTr="00694B53">
        <w:tc>
          <w:tcPr>
            <w:tcW w:w="2258" w:type="dxa"/>
            <w:tcBorders>
              <w:top w:val="single" w:sz="4" w:space="0" w:color="auto"/>
              <w:left w:val="single" w:sz="4" w:space="0" w:color="auto"/>
              <w:bottom w:val="single" w:sz="4" w:space="0" w:color="auto"/>
              <w:right w:val="single" w:sz="4" w:space="0" w:color="auto"/>
            </w:tcBorders>
            <w:hideMark/>
          </w:tcPr>
          <w:p w14:paraId="28E1E49D" w14:textId="77777777" w:rsidR="008E344E" w:rsidRPr="001A1836" w:rsidRDefault="008E344E">
            <w:pPr>
              <w:jc w:val="left"/>
            </w:pPr>
            <w:r w:rsidRPr="001A1836">
              <w:t>Subject matter of the processing</w:t>
            </w:r>
          </w:p>
        </w:tc>
        <w:tc>
          <w:tcPr>
            <w:tcW w:w="6752" w:type="dxa"/>
            <w:tcBorders>
              <w:top w:val="single" w:sz="4" w:space="0" w:color="auto"/>
              <w:left w:val="single" w:sz="4" w:space="0" w:color="auto"/>
              <w:bottom w:val="single" w:sz="4" w:space="0" w:color="auto"/>
              <w:right w:val="single" w:sz="4" w:space="0" w:color="auto"/>
            </w:tcBorders>
            <w:hideMark/>
          </w:tcPr>
          <w:p w14:paraId="537E5EC9" w14:textId="77777777" w:rsidR="008E344E" w:rsidRPr="001A1836" w:rsidRDefault="008E344E">
            <w:pPr>
              <w:jc w:val="left"/>
            </w:pPr>
            <w:r w:rsidRPr="001A1836">
              <w:t xml:space="preserve">The Provider is instructed to process the data to: </w:t>
            </w:r>
          </w:p>
          <w:p w14:paraId="320729F3" w14:textId="77777777" w:rsidR="008E344E" w:rsidRPr="001A1836" w:rsidRDefault="008E344E" w:rsidP="004E2262">
            <w:pPr>
              <w:pStyle w:val="ListParagraph"/>
              <w:numPr>
                <w:ilvl w:val="0"/>
                <w:numId w:val="49"/>
              </w:numPr>
              <w:spacing w:after="60"/>
              <w:rPr>
                <w:rFonts w:cs="Arial"/>
              </w:rPr>
            </w:pPr>
            <w:r w:rsidRPr="001A1836">
              <w:rPr>
                <w:rFonts w:cs="Arial"/>
              </w:rPr>
              <w:t>manage and maintain a register of Businesses and Engineers who are approved to carry out Gas Work in Great Britain and Northern Ireland</w:t>
            </w:r>
          </w:p>
          <w:p w14:paraId="57E11C74" w14:textId="77777777" w:rsidR="008E344E" w:rsidRPr="001A1836" w:rsidRDefault="008E344E" w:rsidP="004E2262">
            <w:pPr>
              <w:pStyle w:val="ListParagraph"/>
              <w:numPr>
                <w:ilvl w:val="0"/>
                <w:numId w:val="49"/>
              </w:numPr>
              <w:spacing w:after="60"/>
              <w:rPr>
                <w:rFonts w:cs="Arial"/>
              </w:rPr>
            </w:pPr>
            <w:r w:rsidRPr="001A1836">
              <w:rPr>
                <w:rFonts w:cs="Arial"/>
              </w:rPr>
              <w:lastRenderedPageBreak/>
              <w:t>support investigation of illegal Gas Work on behalf of HSE and other enforcement agencies</w:t>
            </w:r>
          </w:p>
          <w:p w14:paraId="720D6B6C" w14:textId="0D7F3B74" w:rsidR="008E344E" w:rsidRPr="001A1836" w:rsidRDefault="008E344E" w:rsidP="004E2262">
            <w:pPr>
              <w:pStyle w:val="ListParagraph"/>
              <w:numPr>
                <w:ilvl w:val="0"/>
                <w:numId w:val="49"/>
              </w:numPr>
              <w:spacing w:after="60"/>
              <w:rPr>
                <w:rFonts w:cs="Arial"/>
              </w:rPr>
            </w:pPr>
            <w:r w:rsidRPr="001A1836">
              <w:rPr>
                <w:rFonts w:cs="Arial"/>
              </w:rPr>
              <w:t xml:space="preserve">facilitate notification of </w:t>
            </w:r>
            <w:r w:rsidR="000C1F5C" w:rsidRPr="001A1836">
              <w:rPr>
                <w:rFonts w:cs="Arial"/>
              </w:rPr>
              <w:t>Gas Work</w:t>
            </w:r>
            <w:r w:rsidRPr="001A1836">
              <w:rPr>
                <w:rFonts w:cs="Arial"/>
              </w:rPr>
              <w:t xml:space="preserve"> under the Building Regulations in </w:t>
            </w:r>
            <w:r w:rsidR="00E351A3" w:rsidRPr="001A1836">
              <w:rPr>
                <w:rFonts w:cs="Arial"/>
              </w:rPr>
              <w:t>England and Wales</w:t>
            </w:r>
          </w:p>
          <w:p w14:paraId="1CDC87A6" w14:textId="65189240" w:rsidR="00E351A3" w:rsidRPr="001A1836" w:rsidRDefault="00E351A3" w:rsidP="004E2262">
            <w:pPr>
              <w:pStyle w:val="ListParagraph"/>
              <w:numPr>
                <w:ilvl w:val="0"/>
                <w:numId w:val="49"/>
              </w:numPr>
              <w:spacing w:after="60"/>
              <w:rPr>
                <w:rFonts w:cs="Arial"/>
              </w:rPr>
            </w:pPr>
            <w:r w:rsidRPr="001A1836">
              <w:rPr>
                <w:rFonts w:cs="Arial"/>
              </w:rPr>
              <w:t xml:space="preserve">facilitate the voluntary notification of Gas Work under a Declaration of Safety in Scotland and </w:t>
            </w:r>
            <w:r w:rsidR="008F6C84" w:rsidRPr="001A1836">
              <w:rPr>
                <w:rFonts w:cs="Arial"/>
              </w:rPr>
              <w:t>N</w:t>
            </w:r>
            <w:r w:rsidRPr="001A1836">
              <w:rPr>
                <w:rFonts w:cs="Arial"/>
              </w:rPr>
              <w:t>orthern Ireland, for the purposes of delivering the requirements of this Agreement</w:t>
            </w:r>
          </w:p>
          <w:p w14:paraId="07DF13E9" w14:textId="77777777" w:rsidR="008E344E" w:rsidRPr="001A1836" w:rsidRDefault="008E344E" w:rsidP="004E2262">
            <w:pPr>
              <w:pStyle w:val="ListParagraph"/>
              <w:numPr>
                <w:ilvl w:val="0"/>
                <w:numId w:val="49"/>
              </w:numPr>
              <w:spacing w:after="60"/>
              <w:rPr>
                <w:rFonts w:cs="Arial"/>
              </w:rPr>
            </w:pPr>
            <w:r w:rsidRPr="001A1836">
              <w:rPr>
                <w:rFonts w:cs="Arial"/>
              </w:rPr>
              <w:t>check competence of registered Businesses and Engineers</w:t>
            </w:r>
          </w:p>
          <w:p w14:paraId="140B86EC" w14:textId="77777777" w:rsidR="008E344E" w:rsidRPr="001A1836" w:rsidRDefault="008E344E" w:rsidP="004E2262">
            <w:pPr>
              <w:pStyle w:val="ListParagraph"/>
              <w:numPr>
                <w:ilvl w:val="0"/>
                <w:numId w:val="49"/>
              </w:numPr>
              <w:spacing w:after="60"/>
            </w:pPr>
            <w:r w:rsidRPr="001A1836">
              <w:rPr>
                <w:rFonts w:cs="Arial"/>
              </w:rPr>
              <w:t>enable appropriate levels of access to the Register by consumers, HSE and other enforcement agencies, and registered businesses and engineers</w:t>
            </w:r>
          </w:p>
          <w:p w14:paraId="1943C4D5" w14:textId="77777777" w:rsidR="008E344E" w:rsidRPr="001A1836" w:rsidRDefault="008E344E" w:rsidP="004E2262">
            <w:pPr>
              <w:pStyle w:val="ListParagraph"/>
              <w:numPr>
                <w:ilvl w:val="0"/>
                <w:numId w:val="49"/>
              </w:numPr>
              <w:spacing w:after="60"/>
            </w:pPr>
            <w:r w:rsidRPr="001A1836">
              <w:rPr>
                <w:rFonts w:cs="Arial"/>
              </w:rPr>
              <w:t>maintain archive information about registrations that are no longer valid</w:t>
            </w:r>
          </w:p>
          <w:p w14:paraId="57E2E297" w14:textId="77777777" w:rsidR="008E344E" w:rsidRPr="001A1836" w:rsidRDefault="008E344E" w:rsidP="004E2262">
            <w:pPr>
              <w:pStyle w:val="ListParagraph"/>
              <w:numPr>
                <w:ilvl w:val="0"/>
                <w:numId w:val="49"/>
              </w:numPr>
              <w:spacing w:after="60"/>
            </w:pPr>
            <w:r w:rsidRPr="001A1836">
              <w:rPr>
                <w:rFonts w:cs="Arial"/>
              </w:rPr>
              <w:t>provide witness statements and investigation reports to support HSE enforcement activity</w:t>
            </w:r>
          </w:p>
          <w:p w14:paraId="361B9213" w14:textId="2A5F6F53" w:rsidR="008E344E" w:rsidRPr="001A1836" w:rsidRDefault="008E344E" w:rsidP="004E2262">
            <w:pPr>
              <w:pStyle w:val="ListParagraph"/>
              <w:numPr>
                <w:ilvl w:val="0"/>
                <w:numId w:val="49"/>
              </w:numPr>
              <w:spacing w:after="60"/>
            </w:pPr>
            <w:r w:rsidRPr="001A1836">
              <w:rPr>
                <w:rFonts w:cs="Arial"/>
              </w:rPr>
              <w:t>Disseminate relevant gas safety information to Registered Businesses and Engineers</w:t>
            </w:r>
          </w:p>
        </w:tc>
      </w:tr>
      <w:tr w:rsidR="008E344E" w:rsidRPr="001A1836" w14:paraId="1CEEE01B" w14:textId="77777777" w:rsidTr="00694B53">
        <w:tc>
          <w:tcPr>
            <w:tcW w:w="2258" w:type="dxa"/>
            <w:tcBorders>
              <w:top w:val="single" w:sz="4" w:space="0" w:color="auto"/>
              <w:left w:val="single" w:sz="4" w:space="0" w:color="auto"/>
              <w:bottom w:val="single" w:sz="4" w:space="0" w:color="auto"/>
              <w:right w:val="single" w:sz="4" w:space="0" w:color="auto"/>
            </w:tcBorders>
            <w:hideMark/>
          </w:tcPr>
          <w:p w14:paraId="05713C76" w14:textId="77777777" w:rsidR="008E344E" w:rsidRPr="001A1836" w:rsidRDefault="008E344E">
            <w:pPr>
              <w:jc w:val="left"/>
            </w:pPr>
            <w:r w:rsidRPr="001A1836">
              <w:lastRenderedPageBreak/>
              <w:t>Duration of the processing</w:t>
            </w:r>
          </w:p>
        </w:tc>
        <w:tc>
          <w:tcPr>
            <w:tcW w:w="6752" w:type="dxa"/>
            <w:tcBorders>
              <w:top w:val="single" w:sz="4" w:space="0" w:color="auto"/>
              <w:left w:val="single" w:sz="4" w:space="0" w:color="auto"/>
              <w:bottom w:val="single" w:sz="4" w:space="0" w:color="auto"/>
              <w:right w:val="single" w:sz="4" w:space="0" w:color="auto"/>
            </w:tcBorders>
            <w:hideMark/>
          </w:tcPr>
          <w:p w14:paraId="64293BFA" w14:textId="5E1DEEDE" w:rsidR="008E344E" w:rsidRPr="001A1836" w:rsidRDefault="008E344E" w:rsidP="00694B53">
            <w:pPr>
              <w:jc w:val="left"/>
            </w:pPr>
            <w:r w:rsidRPr="001A1836">
              <w:t xml:space="preserve">From </w:t>
            </w:r>
            <w:r w:rsidR="00694B53">
              <w:t>the Services Start Date</w:t>
            </w:r>
            <w:r w:rsidRPr="001A1836">
              <w:t xml:space="preserve"> to </w:t>
            </w:r>
            <w:r w:rsidR="00694B53">
              <w:t>the Expiry Date</w:t>
            </w:r>
            <w:r w:rsidRPr="001A1836">
              <w:t>, or earlier termination, or at the end of any Termination Assistance Period.</w:t>
            </w:r>
            <w:r w:rsidRPr="001A1836" w:rsidDel="00211979">
              <w:t xml:space="preserve"> </w:t>
            </w:r>
          </w:p>
        </w:tc>
      </w:tr>
      <w:tr w:rsidR="008E344E" w:rsidRPr="001A1836" w14:paraId="2090B174" w14:textId="77777777" w:rsidTr="00694B53">
        <w:tc>
          <w:tcPr>
            <w:tcW w:w="2258" w:type="dxa"/>
            <w:tcBorders>
              <w:top w:val="single" w:sz="4" w:space="0" w:color="auto"/>
              <w:left w:val="single" w:sz="4" w:space="0" w:color="auto"/>
              <w:bottom w:val="single" w:sz="4" w:space="0" w:color="auto"/>
              <w:right w:val="single" w:sz="4" w:space="0" w:color="auto"/>
            </w:tcBorders>
            <w:hideMark/>
          </w:tcPr>
          <w:p w14:paraId="13183012" w14:textId="77777777" w:rsidR="008E344E" w:rsidRPr="001A1836" w:rsidRDefault="008E344E">
            <w:pPr>
              <w:jc w:val="left"/>
            </w:pPr>
            <w:r w:rsidRPr="001A1836">
              <w:t>Nature and purpose of the processing</w:t>
            </w:r>
          </w:p>
        </w:tc>
        <w:tc>
          <w:tcPr>
            <w:tcW w:w="6752" w:type="dxa"/>
            <w:tcBorders>
              <w:top w:val="single" w:sz="4" w:space="0" w:color="auto"/>
              <w:left w:val="single" w:sz="4" w:space="0" w:color="auto"/>
              <w:bottom w:val="single" w:sz="4" w:space="0" w:color="auto"/>
              <w:right w:val="single" w:sz="4" w:space="0" w:color="auto"/>
            </w:tcBorders>
          </w:tcPr>
          <w:p w14:paraId="64F1A9B2" w14:textId="77777777" w:rsidR="008E344E" w:rsidRPr="001A1836" w:rsidRDefault="008E344E">
            <w:pPr>
              <w:jc w:val="left"/>
            </w:pPr>
            <w:r w:rsidRPr="001A1836">
              <w:t>Nature of processing:</w:t>
            </w:r>
          </w:p>
          <w:p w14:paraId="26080D73" w14:textId="77777777" w:rsidR="008E344E" w:rsidRPr="001A1836" w:rsidRDefault="008E344E" w:rsidP="004E2262">
            <w:pPr>
              <w:pStyle w:val="ListParagraph"/>
              <w:numPr>
                <w:ilvl w:val="0"/>
                <w:numId w:val="50"/>
              </w:numPr>
              <w:spacing w:after="60"/>
              <w:rPr>
                <w:rFonts w:cs="Arial"/>
              </w:rPr>
            </w:pPr>
            <w:r w:rsidRPr="001A1836">
              <w:rPr>
                <w:rFonts w:cs="Arial"/>
              </w:rPr>
              <w:t>Collection</w:t>
            </w:r>
          </w:p>
          <w:p w14:paraId="1DF8AAF4" w14:textId="77777777" w:rsidR="008E344E" w:rsidRPr="001A1836" w:rsidRDefault="008E344E" w:rsidP="004E2262">
            <w:pPr>
              <w:pStyle w:val="ListParagraph"/>
              <w:numPr>
                <w:ilvl w:val="0"/>
                <w:numId w:val="50"/>
              </w:numPr>
              <w:spacing w:after="60"/>
              <w:rPr>
                <w:rFonts w:cs="Arial"/>
              </w:rPr>
            </w:pPr>
            <w:r w:rsidRPr="001A1836">
              <w:rPr>
                <w:rFonts w:cs="Arial"/>
              </w:rPr>
              <w:t>Recording</w:t>
            </w:r>
          </w:p>
          <w:p w14:paraId="67C312A1" w14:textId="77777777" w:rsidR="008E344E" w:rsidRPr="001A1836" w:rsidRDefault="008E344E" w:rsidP="004E2262">
            <w:pPr>
              <w:pStyle w:val="ListParagraph"/>
              <w:numPr>
                <w:ilvl w:val="0"/>
                <w:numId w:val="50"/>
              </w:numPr>
              <w:spacing w:after="60"/>
              <w:rPr>
                <w:rFonts w:cs="Arial"/>
              </w:rPr>
            </w:pPr>
            <w:r w:rsidRPr="001A1836">
              <w:rPr>
                <w:rFonts w:cs="Arial"/>
              </w:rPr>
              <w:t>Organisation</w:t>
            </w:r>
          </w:p>
          <w:p w14:paraId="41AE88F9" w14:textId="77777777" w:rsidR="008E344E" w:rsidRPr="001A1836" w:rsidRDefault="008E344E" w:rsidP="004E2262">
            <w:pPr>
              <w:pStyle w:val="ListParagraph"/>
              <w:numPr>
                <w:ilvl w:val="0"/>
                <w:numId w:val="50"/>
              </w:numPr>
              <w:spacing w:after="60"/>
              <w:rPr>
                <w:rFonts w:cs="Arial"/>
              </w:rPr>
            </w:pPr>
            <w:r w:rsidRPr="001A1836">
              <w:rPr>
                <w:rFonts w:cs="Arial"/>
              </w:rPr>
              <w:t>Structuring</w:t>
            </w:r>
          </w:p>
          <w:p w14:paraId="5FC9942B" w14:textId="77777777" w:rsidR="008E344E" w:rsidRPr="001A1836" w:rsidRDefault="008E344E" w:rsidP="004E2262">
            <w:pPr>
              <w:pStyle w:val="ListParagraph"/>
              <w:numPr>
                <w:ilvl w:val="0"/>
                <w:numId w:val="50"/>
              </w:numPr>
              <w:spacing w:after="60"/>
              <w:rPr>
                <w:rFonts w:cs="Arial"/>
              </w:rPr>
            </w:pPr>
            <w:r w:rsidRPr="001A1836">
              <w:rPr>
                <w:rFonts w:cs="Arial"/>
              </w:rPr>
              <w:t>Storage</w:t>
            </w:r>
          </w:p>
          <w:p w14:paraId="53461C0C" w14:textId="77777777" w:rsidR="008E344E" w:rsidRPr="001A1836" w:rsidRDefault="008E344E" w:rsidP="004E2262">
            <w:pPr>
              <w:pStyle w:val="ListParagraph"/>
              <w:numPr>
                <w:ilvl w:val="0"/>
                <w:numId w:val="50"/>
              </w:numPr>
              <w:spacing w:after="60"/>
              <w:rPr>
                <w:rFonts w:cs="Arial"/>
              </w:rPr>
            </w:pPr>
            <w:r w:rsidRPr="001A1836">
              <w:rPr>
                <w:rFonts w:cs="Arial"/>
              </w:rPr>
              <w:t>Retrieval</w:t>
            </w:r>
          </w:p>
          <w:p w14:paraId="43AEDDD0" w14:textId="77777777" w:rsidR="008E344E" w:rsidRPr="001A1836" w:rsidRDefault="008E344E" w:rsidP="004E2262">
            <w:pPr>
              <w:pStyle w:val="ListParagraph"/>
              <w:numPr>
                <w:ilvl w:val="0"/>
                <w:numId w:val="50"/>
              </w:numPr>
              <w:spacing w:after="60"/>
              <w:rPr>
                <w:rFonts w:cs="Arial"/>
              </w:rPr>
            </w:pPr>
            <w:r w:rsidRPr="001A1836">
              <w:rPr>
                <w:rFonts w:cs="Arial"/>
              </w:rPr>
              <w:t>Consultation</w:t>
            </w:r>
          </w:p>
          <w:p w14:paraId="26804C28" w14:textId="77777777" w:rsidR="008E344E" w:rsidRPr="001A1836" w:rsidRDefault="008E344E" w:rsidP="004E2262">
            <w:pPr>
              <w:pStyle w:val="ListParagraph"/>
              <w:numPr>
                <w:ilvl w:val="0"/>
                <w:numId w:val="50"/>
              </w:numPr>
              <w:spacing w:after="60"/>
              <w:rPr>
                <w:rFonts w:cs="Arial"/>
              </w:rPr>
            </w:pPr>
            <w:r w:rsidRPr="001A1836">
              <w:rPr>
                <w:rFonts w:cs="Arial"/>
              </w:rPr>
              <w:t>Use</w:t>
            </w:r>
          </w:p>
          <w:p w14:paraId="22F65AF9" w14:textId="77777777" w:rsidR="008E344E" w:rsidRPr="001A1836" w:rsidRDefault="008E344E" w:rsidP="004E2262">
            <w:pPr>
              <w:pStyle w:val="ListParagraph"/>
              <w:numPr>
                <w:ilvl w:val="0"/>
                <w:numId w:val="50"/>
              </w:numPr>
              <w:spacing w:after="60"/>
              <w:rPr>
                <w:rFonts w:cs="Arial"/>
              </w:rPr>
            </w:pPr>
            <w:r w:rsidRPr="001A1836">
              <w:rPr>
                <w:rFonts w:cs="Arial"/>
              </w:rPr>
              <w:t>Disclosure by transmission, dissemination or otherwise making available</w:t>
            </w:r>
          </w:p>
          <w:p w14:paraId="600CBE06" w14:textId="77777777" w:rsidR="008E344E" w:rsidRPr="001A1836" w:rsidRDefault="008E344E" w:rsidP="004E2262">
            <w:pPr>
              <w:pStyle w:val="ListParagraph"/>
              <w:numPr>
                <w:ilvl w:val="0"/>
                <w:numId w:val="50"/>
              </w:numPr>
              <w:spacing w:after="60"/>
              <w:rPr>
                <w:rFonts w:cs="Arial"/>
              </w:rPr>
            </w:pPr>
            <w:r w:rsidRPr="001A1836">
              <w:rPr>
                <w:rFonts w:cs="Arial"/>
              </w:rPr>
              <w:t>Alignment or combination</w:t>
            </w:r>
          </w:p>
          <w:p w14:paraId="63E2D587" w14:textId="77777777" w:rsidR="008E344E" w:rsidRPr="001A1836" w:rsidRDefault="008E344E" w:rsidP="004E2262">
            <w:pPr>
              <w:pStyle w:val="ListParagraph"/>
              <w:numPr>
                <w:ilvl w:val="0"/>
                <w:numId w:val="50"/>
              </w:numPr>
              <w:spacing w:after="60"/>
              <w:rPr>
                <w:rFonts w:cs="Arial"/>
              </w:rPr>
            </w:pPr>
            <w:r w:rsidRPr="001A1836">
              <w:rPr>
                <w:rFonts w:cs="Arial"/>
              </w:rPr>
              <w:t>Restriction</w:t>
            </w:r>
          </w:p>
          <w:p w14:paraId="102684B9" w14:textId="77777777" w:rsidR="008E344E" w:rsidRPr="001A1836" w:rsidRDefault="008E344E" w:rsidP="004E2262">
            <w:pPr>
              <w:pStyle w:val="ListParagraph"/>
              <w:numPr>
                <w:ilvl w:val="0"/>
                <w:numId w:val="50"/>
              </w:numPr>
              <w:spacing w:after="60"/>
              <w:rPr>
                <w:rFonts w:cs="Arial"/>
              </w:rPr>
            </w:pPr>
            <w:r w:rsidRPr="001A1836">
              <w:rPr>
                <w:rFonts w:cs="Arial"/>
              </w:rPr>
              <w:t>Erasure or destruction</w:t>
            </w:r>
          </w:p>
          <w:p w14:paraId="30BE572B" w14:textId="77777777" w:rsidR="008E344E" w:rsidRPr="001A1836" w:rsidRDefault="008E344E" w:rsidP="004E2262">
            <w:pPr>
              <w:pStyle w:val="ListParagraph"/>
              <w:numPr>
                <w:ilvl w:val="0"/>
                <w:numId w:val="50"/>
              </w:numPr>
              <w:spacing w:after="60"/>
              <w:rPr>
                <w:rFonts w:cs="Arial"/>
              </w:rPr>
            </w:pPr>
            <w:r w:rsidRPr="001A1836">
              <w:rPr>
                <w:rFonts w:cs="Arial"/>
              </w:rPr>
              <w:t>Risk profiling</w:t>
            </w:r>
          </w:p>
          <w:p w14:paraId="1122DBAC" w14:textId="77777777" w:rsidR="008E344E" w:rsidRPr="001A1836" w:rsidRDefault="008E344E">
            <w:pPr>
              <w:jc w:val="left"/>
            </w:pPr>
          </w:p>
          <w:p w14:paraId="0152212B" w14:textId="77777777" w:rsidR="008E344E" w:rsidRPr="001A1836" w:rsidRDefault="008E344E">
            <w:pPr>
              <w:jc w:val="left"/>
            </w:pPr>
            <w:r w:rsidRPr="001A1836">
              <w:t>Purpose of processing:</w:t>
            </w:r>
          </w:p>
          <w:p w14:paraId="46CF0D44" w14:textId="77777777" w:rsidR="008E344E" w:rsidRPr="001A1836" w:rsidRDefault="008E344E" w:rsidP="004E2262">
            <w:pPr>
              <w:pStyle w:val="ListParagraph"/>
              <w:numPr>
                <w:ilvl w:val="0"/>
                <w:numId w:val="51"/>
              </w:numPr>
              <w:spacing w:after="60"/>
              <w:rPr>
                <w:rFonts w:cs="Arial"/>
              </w:rPr>
            </w:pPr>
            <w:r w:rsidRPr="001A1836">
              <w:rPr>
                <w:rFonts w:cs="Arial"/>
              </w:rPr>
              <w:t>To manage and maintain the Register</w:t>
            </w:r>
          </w:p>
          <w:p w14:paraId="103CCEB6" w14:textId="77777777" w:rsidR="008E344E" w:rsidRPr="001A1836" w:rsidRDefault="008E344E" w:rsidP="004E2262">
            <w:pPr>
              <w:pStyle w:val="ListParagraph"/>
              <w:numPr>
                <w:ilvl w:val="0"/>
                <w:numId w:val="51"/>
              </w:numPr>
              <w:spacing w:after="60"/>
              <w:rPr>
                <w:rFonts w:cs="Arial"/>
              </w:rPr>
            </w:pPr>
            <w:r w:rsidRPr="001A1836">
              <w:rPr>
                <w:rFonts w:cs="Arial"/>
              </w:rPr>
              <w:t>To verify the identity of Businesses and Engineers</w:t>
            </w:r>
          </w:p>
          <w:p w14:paraId="07D2D55E" w14:textId="77777777" w:rsidR="008E344E" w:rsidRPr="001A1836" w:rsidRDefault="008E344E" w:rsidP="004E2262">
            <w:pPr>
              <w:pStyle w:val="ListParagraph"/>
              <w:numPr>
                <w:ilvl w:val="0"/>
                <w:numId w:val="51"/>
              </w:numPr>
              <w:spacing w:after="60"/>
              <w:rPr>
                <w:rFonts w:cs="Arial"/>
              </w:rPr>
            </w:pPr>
            <w:r w:rsidRPr="001A1836">
              <w:rPr>
                <w:rFonts w:cs="Arial"/>
              </w:rPr>
              <w:t>To verify that individual Engineers hold the required qualifications, and that those qualifications are current</w:t>
            </w:r>
          </w:p>
          <w:p w14:paraId="3E5021EF" w14:textId="744F75FC" w:rsidR="008E344E" w:rsidRPr="001A1836" w:rsidRDefault="008E344E" w:rsidP="004E2262">
            <w:pPr>
              <w:pStyle w:val="ListParagraph"/>
              <w:numPr>
                <w:ilvl w:val="0"/>
                <w:numId w:val="51"/>
              </w:numPr>
              <w:spacing w:after="60"/>
            </w:pPr>
            <w:r w:rsidRPr="001A1836">
              <w:rPr>
                <w:rFonts w:cs="Arial"/>
              </w:rPr>
              <w:t>To facilitate the notification of Gas Work as required by the Building Regulations, as notified directly by Businesses or via approved third parties</w:t>
            </w:r>
          </w:p>
          <w:p w14:paraId="276E3218" w14:textId="05F77C93" w:rsidR="00E351A3" w:rsidRPr="001A1836" w:rsidRDefault="00E351A3" w:rsidP="004E2262">
            <w:pPr>
              <w:pStyle w:val="ListParagraph"/>
              <w:numPr>
                <w:ilvl w:val="0"/>
                <w:numId w:val="51"/>
              </w:numPr>
              <w:spacing w:after="60"/>
            </w:pPr>
            <w:r w:rsidRPr="001A1836">
              <w:rPr>
                <w:rFonts w:cs="Arial"/>
              </w:rPr>
              <w:lastRenderedPageBreak/>
              <w:t>To facilitate the voluntary notification of Gas Work under a Declaration of Safety directly by Businesses or via approved third parties</w:t>
            </w:r>
          </w:p>
          <w:p w14:paraId="23329CCD" w14:textId="77777777" w:rsidR="008E344E" w:rsidRPr="001A1836" w:rsidRDefault="008E344E" w:rsidP="004E2262">
            <w:pPr>
              <w:pStyle w:val="ListParagraph"/>
              <w:numPr>
                <w:ilvl w:val="0"/>
                <w:numId w:val="51"/>
              </w:numPr>
              <w:spacing w:after="60"/>
              <w:rPr>
                <w:rFonts w:cs="Arial"/>
              </w:rPr>
            </w:pPr>
            <w:r w:rsidRPr="001A1836">
              <w:rPr>
                <w:rFonts w:cs="Arial"/>
              </w:rPr>
              <w:t xml:space="preserve">To identify individuals or businesses suspected of carrying out illegal Gas Work, and the work they are alleged to have carried out </w:t>
            </w:r>
          </w:p>
          <w:p w14:paraId="67B6292E" w14:textId="77777777" w:rsidR="008E344E" w:rsidRPr="001A1836" w:rsidRDefault="008E344E" w:rsidP="004E2262">
            <w:pPr>
              <w:pStyle w:val="ListParagraph"/>
              <w:numPr>
                <w:ilvl w:val="0"/>
                <w:numId w:val="51"/>
              </w:numPr>
              <w:spacing w:after="60"/>
              <w:rPr>
                <w:rFonts w:cs="Arial"/>
              </w:rPr>
            </w:pPr>
            <w:r w:rsidRPr="001A1836">
              <w:rPr>
                <w:rFonts w:cs="Arial"/>
              </w:rPr>
              <w:t>To enable appropriate consumer access to the Register so that consumers can verify the identity and work categories for a Business or Engineer</w:t>
            </w:r>
          </w:p>
          <w:p w14:paraId="5256B934" w14:textId="77777777" w:rsidR="008E344E" w:rsidRPr="001A1836" w:rsidRDefault="008E344E" w:rsidP="004E2262">
            <w:pPr>
              <w:pStyle w:val="ListParagraph"/>
              <w:numPr>
                <w:ilvl w:val="0"/>
                <w:numId w:val="51"/>
              </w:numPr>
              <w:spacing w:after="60"/>
              <w:rPr>
                <w:rFonts w:cs="Arial"/>
              </w:rPr>
            </w:pPr>
            <w:r w:rsidRPr="001A1836">
              <w:rPr>
                <w:rFonts w:cs="Arial"/>
              </w:rPr>
              <w:t>To alert Registered Businesses and Engineers to relevant gas safety information via safety alerts</w:t>
            </w:r>
          </w:p>
          <w:p w14:paraId="640BE484" w14:textId="77777777" w:rsidR="008E344E" w:rsidRPr="001A1836" w:rsidRDefault="008E344E" w:rsidP="004E2262">
            <w:pPr>
              <w:pStyle w:val="ListParagraph"/>
              <w:numPr>
                <w:ilvl w:val="0"/>
                <w:numId w:val="51"/>
              </w:numPr>
              <w:spacing w:after="60"/>
              <w:rPr>
                <w:rFonts w:cs="Arial"/>
              </w:rPr>
            </w:pPr>
            <w:r w:rsidRPr="001A1836">
              <w:rPr>
                <w:rFonts w:cs="Arial"/>
              </w:rPr>
              <w:t>To provide witness statements and investigation reports to support HSE and local authority enforcement activity</w:t>
            </w:r>
          </w:p>
          <w:p w14:paraId="374A99FC" w14:textId="07E3E4A4" w:rsidR="008E344E" w:rsidRPr="001A1836" w:rsidRDefault="008E344E" w:rsidP="004E2262">
            <w:pPr>
              <w:pStyle w:val="ListParagraph"/>
              <w:numPr>
                <w:ilvl w:val="0"/>
                <w:numId w:val="51"/>
              </w:numPr>
              <w:spacing w:after="60"/>
              <w:rPr>
                <w:rFonts w:cs="Arial"/>
              </w:rPr>
            </w:pPr>
            <w:r w:rsidRPr="001A1836">
              <w:rPr>
                <w:rFonts w:cs="Arial"/>
              </w:rPr>
              <w:t>To risk profile Registered Businesses and Engineers order to determine</w:t>
            </w:r>
            <w:r w:rsidR="00A55401">
              <w:rPr>
                <w:rFonts w:cs="Arial"/>
              </w:rPr>
              <w:t xml:space="preserve"> Competency Check</w:t>
            </w:r>
            <w:r w:rsidRPr="001A1836">
              <w:rPr>
                <w:rFonts w:cs="Arial"/>
              </w:rPr>
              <w:t xml:space="preserve"> frequency</w:t>
            </w:r>
          </w:p>
          <w:p w14:paraId="44021FF4" w14:textId="77777777" w:rsidR="008E344E" w:rsidRPr="001A1836" w:rsidRDefault="008E344E" w:rsidP="004E2262">
            <w:pPr>
              <w:pStyle w:val="ListParagraph"/>
              <w:numPr>
                <w:ilvl w:val="0"/>
                <w:numId w:val="51"/>
              </w:numPr>
              <w:spacing w:after="60"/>
              <w:rPr>
                <w:rFonts w:cs="Arial"/>
              </w:rPr>
            </w:pPr>
            <w:r w:rsidRPr="001A1836">
              <w:rPr>
                <w:rFonts w:cs="Arial"/>
              </w:rPr>
              <w:t>To manage consumer and Business / Engineer complaints</w:t>
            </w:r>
          </w:p>
        </w:tc>
      </w:tr>
      <w:tr w:rsidR="00694B53" w:rsidRPr="001A1836" w14:paraId="05FA1B6F" w14:textId="77777777" w:rsidTr="00694B53">
        <w:tc>
          <w:tcPr>
            <w:tcW w:w="2258" w:type="dxa"/>
            <w:tcBorders>
              <w:top w:val="single" w:sz="4" w:space="0" w:color="auto"/>
              <w:left w:val="single" w:sz="4" w:space="0" w:color="auto"/>
              <w:bottom w:val="single" w:sz="4" w:space="0" w:color="auto"/>
              <w:right w:val="single" w:sz="4" w:space="0" w:color="auto"/>
            </w:tcBorders>
          </w:tcPr>
          <w:p w14:paraId="12DE6AE3" w14:textId="5BC7B38D" w:rsidR="00694B53" w:rsidRDefault="00694B53" w:rsidP="00694B53">
            <w:r w:rsidRPr="001A1836">
              <w:lastRenderedPageBreak/>
              <w:t>Categories of Data Subject</w:t>
            </w:r>
          </w:p>
        </w:tc>
        <w:tc>
          <w:tcPr>
            <w:tcW w:w="6752" w:type="dxa"/>
            <w:tcBorders>
              <w:top w:val="single" w:sz="4" w:space="0" w:color="auto"/>
              <w:left w:val="single" w:sz="4" w:space="0" w:color="auto"/>
              <w:bottom w:val="single" w:sz="4" w:space="0" w:color="auto"/>
              <w:right w:val="single" w:sz="4" w:space="0" w:color="auto"/>
            </w:tcBorders>
          </w:tcPr>
          <w:p w14:paraId="17400F7A" w14:textId="137DD445" w:rsidR="00694B53" w:rsidRPr="001A1836" w:rsidRDefault="00694B53" w:rsidP="00694B53">
            <w:pPr>
              <w:jc w:val="left"/>
            </w:pPr>
            <w:r>
              <w:t xml:space="preserve">Category 1 - </w:t>
            </w:r>
            <w:r w:rsidRPr="001A1836">
              <w:t xml:space="preserve">Registered Businesses (including </w:t>
            </w:r>
            <w:r>
              <w:t xml:space="preserve">applicants and </w:t>
            </w:r>
            <w:r w:rsidRPr="001A1836">
              <w:t>dormant and elapsed registrations)</w:t>
            </w:r>
          </w:p>
          <w:p w14:paraId="0F9E7A57" w14:textId="01779D9F" w:rsidR="00694B53" w:rsidRPr="001A1836" w:rsidRDefault="00694B53" w:rsidP="00694B53">
            <w:pPr>
              <w:jc w:val="left"/>
            </w:pPr>
            <w:r>
              <w:t xml:space="preserve">Category 2 - </w:t>
            </w:r>
            <w:r w:rsidRPr="001A1836">
              <w:t xml:space="preserve">Registered Engineers (including </w:t>
            </w:r>
            <w:r>
              <w:t xml:space="preserve">applicants and </w:t>
            </w:r>
            <w:r w:rsidRPr="001A1836">
              <w:t>dormant and elapsed registrations)</w:t>
            </w:r>
          </w:p>
          <w:p w14:paraId="21B95520" w14:textId="77777777" w:rsidR="00694B53" w:rsidRDefault="00694B53" w:rsidP="00694B53">
            <w:pPr>
              <w:jc w:val="left"/>
            </w:pPr>
            <w:r>
              <w:t xml:space="preserve">Category 3 - </w:t>
            </w:r>
            <w:r w:rsidRPr="001A1836">
              <w:t xml:space="preserve">Businesses, Engineers and stakeholders  </w:t>
            </w:r>
            <w:r>
              <w:t xml:space="preserve">who have opted in to receive </w:t>
            </w:r>
            <w:r w:rsidRPr="001A1836">
              <w:t>marketing inf</w:t>
            </w:r>
            <w:r>
              <w:t>ormation (optional)</w:t>
            </w:r>
          </w:p>
          <w:p w14:paraId="4DC805DD" w14:textId="4AB6F7B7" w:rsidR="00694B53" w:rsidRPr="001A1836" w:rsidRDefault="00694B53" w:rsidP="00694B53">
            <w:pPr>
              <w:jc w:val="left"/>
            </w:pPr>
            <w:r>
              <w:t xml:space="preserve">Category 4 - </w:t>
            </w:r>
            <w:r w:rsidRPr="001A1836">
              <w:t xml:space="preserve">Suspected illegal gas fitters / businesses </w:t>
            </w:r>
          </w:p>
          <w:p w14:paraId="0D95DA36" w14:textId="78015281" w:rsidR="00694B53" w:rsidRPr="001A1836" w:rsidRDefault="00694B53" w:rsidP="00694B53">
            <w:pPr>
              <w:jc w:val="left"/>
            </w:pPr>
            <w:r>
              <w:t xml:space="preserve">Category 5 - </w:t>
            </w:r>
            <w:r w:rsidRPr="001A1836">
              <w:t>Consumers / members of the public who have made a complaint against a Registered Business or Engineer, or suspected illegal gas fitter</w:t>
            </w:r>
          </w:p>
          <w:p w14:paraId="48E104CF" w14:textId="431EFE33" w:rsidR="00694B53" w:rsidRDefault="00694B53" w:rsidP="00694B53">
            <w:pPr>
              <w:jc w:val="left"/>
            </w:pPr>
            <w:r>
              <w:t xml:space="preserve">Category 6 - </w:t>
            </w:r>
            <w:r w:rsidRPr="001E273A">
              <w:t>Consumers, including private landlords, who have had an appliance installed and notified under the Building Regulations o</w:t>
            </w:r>
            <w:r>
              <w:t>r under a Declaration of Safety</w:t>
            </w:r>
          </w:p>
          <w:p w14:paraId="7B826611" w14:textId="71016E88" w:rsidR="00694B53" w:rsidRPr="001A1836" w:rsidRDefault="00694B53" w:rsidP="00694B53">
            <w:pPr>
              <w:jc w:val="left"/>
            </w:pPr>
            <w:r>
              <w:t xml:space="preserve">Category 7 - </w:t>
            </w:r>
            <w:r w:rsidRPr="001A1836">
              <w:t xml:space="preserve">Consumers who have opted in to marketing communications </w:t>
            </w:r>
            <w:r w:rsidR="00D44A0D">
              <w:t>(optional)</w:t>
            </w:r>
          </w:p>
          <w:p w14:paraId="79B73F08" w14:textId="7398623E" w:rsidR="00694B53" w:rsidRPr="001A1836" w:rsidRDefault="00694B53" w:rsidP="00694B53">
            <w:r>
              <w:t xml:space="preserve">Category 8 - </w:t>
            </w:r>
            <w:r w:rsidRPr="001A1836">
              <w:t>Stakeholders</w:t>
            </w:r>
          </w:p>
        </w:tc>
      </w:tr>
      <w:tr w:rsidR="00694B53" w:rsidRPr="001A1836" w14:paraId="17B27EE3" w14:textId="77777777" w:rsidTr="00694B53">
        <w:tc>
          <w:tcPr>
            <w:tcW w:w="2258" w:type="dxa"/>
            <w:tcBorders>
              <w:top w:val="single" w:sz="4" w:space="0" w:color="auto"/>
              <w:left w:val="single" w:sz="4" w:space="0" w:color="auto"/>
              <w:bottom w:val="single" w:sz="4" w:space="0" w:color="auto"/>
              <w:right w:val="single" w:sz="4" w:space="0" w:color="auto"/>
            </w:tcBorders>
          </w:tcPr>
          <w:p w14:paraId="69F47280" w14:textId="3479F128" w:rsidR="00694B53" w:rsidRPr="001A1836" w:rsidRDefault="00694B53" w:rsidP="00694B53">
            <w:pPr>
              <w:jc w:val="left"/>
            </w:pPr>
            <w:r>
              <w:t xml:space="preserve">Category 1 of Data Subject and </w:t>
            </w:r>
            <w:r w:rsidRPr="001A1836">
              <w:t>Type of Personal Data</w:t>
            </w:r>
          </w:p>
        </w:tc>
        <w:tc>
          <w:tcPr>
            <w:tcW w:w="6752" w:type="dxa"/>
            <w:tcBorders>
              <w:top w:val="single" w:sz="4" w:space="0" w:color="auto"/>
              <w:left w:val="single" w:sz="4" w:space="0" w:color="auto"/>
              <w:bottom w:val="single" w:sz="4" w:space="0" w:color="auto"/>
              <w:right w:val="single" w:sz="4" w:space="0" w:color="auto"/>
            </w:tcBorders>
          </w:tcPr>
          <w:p w14:paraId="61D97DA7" w14:textId="66B61BBC" w:rsidR="00694B53" w:rsidRPr="001A1836" w:rsidRDefault="00694B53" w:rsidP="00694B53">
            <w:pPr>
              <w:jc w:val="left"/>
            </w:pPr>
            <w:r w:rsidRPr="001A1836">
              <w:t>Registered Businesses</w:t>
            </w:r>
            <w:r>
              <w:t xml:space="preserve"> </w:t>
            </w:r>
            <w:r w:rsidRPr="001A1836">
              <w:t xml:space="preserve">(including </w:t>
            </w:r>
            <w:r>
              <w:t xml:space="preserve">applicants and </w:t>
            </w:r>
            <w:r w:rsidRPr="001A1836">
              <w:t>dormant and elapsed registrations):</w:t>
            </w:r>
          </w:p>
          <w:p w14:paraId="6FB651BF" w14:textId="77777777" w:rsidR="00694B53" w:rsidRPr="001A1836" w:rsidRDefault="00694B53" w:rsidP="004E2262">
            <w:pPr>
              <w:pStyle w:val="ListParagraph"/>
              <w:numPr>
                <w:ilvl w:val="0"/>
                <w:numId w:val="54"/>
              </w:numPr>
              <w:spacing w:after="60"/>
              <w:rPr>
                <w:rFonts w:cs="Arial"/>
              </w:rPr>
            </w:pPr>
            <w:r w:rsidRPr="001A1836">
              <w:rPr>
                <w:rFonts w:cs="Arial"/>
              </w:rPr>
              <w:t>Name</w:t>
            </w:r>
          </w:p>
          <w:p w14:paraId="406B03AC" w14:textId="77777777" w:rsidR="00694B53" w:rsidRPr="001A1836" w:rsidRDefault="00694B53" w:rsidP="004E2262">
            <w:pPr>
              <w:pStyle w:val="ListParagraph"/>
              <w:numPr>
                <w:ilvl w:val="0"/>
                <w:numId w:val="54"/>
              </w:numPr>
              <w:spacing w:after="60"/>
              <w:rPr>
                <w:rFonts w:cs="Arial"/>
              </w:rPr>
            </w:pPr>
            <w:r w:rsidRPr="001A1836">
              <w:rPr>
                <w:rFonts w:cs="Arial"/>
              </w:rPr>
              <w:t>Address, including postcode</w:t>
            </w:r>
          </w:p>
          <w:p w14:paraId="6478BDEA" w14:textId="77777777" w:rsidR="00694B53" w:rsidRPr="001A1836" w:rsidRDefault="00694B53" w:rsidP="004E2262">
            <w:pPr>
              <w:pStyle w:val="ListParagraph"/>
              <w:numPr>
                <w:ilvl w:val="0"/>
                <w:numId w:val="54"/>
              </w:numPr>
              <w:spacing w:after="60"/>
              <w:rPr>
                <w:rFonts w:cs="Arial"/>
              </w:rPr>
            </w:pPr>
            <w:r w:rsidRPr="001A1836">
              <w:rPr>
                <w:rFonts w:cs="Arial"/>
              </w:rPr>
              <w:t>Telephone number</w:t>
            </w:r>
          </w:p>
          <w:p w14:paraId="071AB173" w14:textId="77777777" w:rsidR="00694B53" w:rsidRPr="001A1836" w:rsidRDefault="00694B53" w:rsidP="004E2262">
            <w:pPr>
              <w:pStyle w:val="ListParagraph"/>
              <w:numPr>
                <w:ilvl w:val="0"/>
                <w:numId w:val="54"/>
              </w:numPr>
              <w:spacing w:after="60"/>
              <w:rPr>
                <w:rFonts w:cs="Arial"/>
              </w:rPr>
            </w:pPr>
            <w:r w:rsidRPr="001A1836">
              <w:rPr>
                <w:rFonts w:cs="Arial"/>
              </w:rPr>
              <w:t>Email address</w:t>
            </w:r>
          </w:p>
          <w:p w14:paraId="26162A6C" w14:textId="77777777" w:rsidR="00694B53" w:rsidRPr="001A1836" w:rsidRDefault="00694B53" w:rsidP="004E2262">
            <w:pPr>
              <w:pStyle w:val="ListParagraph"/>
              <w:numPr>
                <w:ilvl w:val="0"/>
                <w:numId w:val="54"/>
              </w:numPr>
              <w:spacing w:after="60"/>
              <w:rPr>
                <w:rFonts w:cs="Arial"/>
              </w:rPr>
            </w:pPr>
            <w:r w:rsidRPr="001A1836">
              <w:rPr>
                <w:rFonts w:cs="Arial"/>
              </w:rPr>
              <w:t>Employee details</w:t>
            </w:r>
          </w:p>
          <w:p w14:paraId="3B663A11" w14:textId="77777777" w:rsidR="00694B53" w:rsidRPr="001A1836" w:rsidRDefault="00694B53" w:rsidP="004E2262">
            <w:pPr>
              <w:pStyle w:val="ListParagraph"/>
              <w:numPr>
                <w:ilvl w:val="0"/>
                <w:numId w:val="54"/>
              </w:numPr>
              <w:spacing w:after="60"/>
              <w:rPr>
                <w:rFonts w:cs="Arial"/>
              </w:rPr>
            </w:pPr>
            <w:r w:rsidRPr="001A1836">
              <w:rPr>
                <w:rFonts w:cs="Arial"/>
              </w:rPr>
              <w:t>Responsible person name</w:t>
            </w:r>
          </w:p>
          <w:p w14:paraId="5BCE66EE" w14:textId="77777777" w:rsidR="00694B53" w:rsidRPr="001A1836" w:rsidRDefault="00694B53" w:rsidP="004E2262">
            <w:pPr>
              <w:pStyle w:val="ListParagraph"/>
              <w:numPr>
                <w:ilvl w:val="0"/>
                <w:numId w:val="54"/>
              </w:numPr>
              <w:spacing w:after="60"/>
              <w:rPr>
                <w:rFonts w:cs="Arial"/>
              </w:rPr>
            </w:pPr>
            <w:r w:rsidRPr="001A1836">
              <w:rPr>
                <w:rFonts w:cs="Arial"/>
              </w:rPr>
              <w:t>Risk rating and risk category</w:t>
            </w:r>
          </w:p>
          <w:p w14:paraId="184FA09D" w14:textId="6510A389" w:rsidR="00694B53" w:rsidRPr="001A1836" w:rsidRDefault="00511435" w:rsidP="004E2262">
            <w:pPr>
              <w:pStyle w:val="ListParagraph"/>
              <w:numPr>
                <w:ilvl w:val="0"/>
                <w:numId w:val="54"/>
              </w:numPr>
              <w:spacing w:after="60"/>
              <w:rPr>
                <w:rFonts w:cs="Arial"/>
              </w:rPr>
            </w:pPr>
            <w:r>
              <w:rPr>
                <w:rFonts w:cs="Arial"/>
              </w:rPr>
              <w:t xml:space="preserve">Competency Check </w:t>
            </w:r>
            <w:r w:rsidR="00B25757">
              <w:rPr>
                <w:rFonts w:cs="Arial"/>
              </w:rPr>
              <w:t xml:space="preserve">and </w:t>
            </w:r>
            <w:r w:rsidR="008C4BC2">
              <w:rPr>
                <w:rFonts w:cs="Arial"/>
              </w:rPr>
              <w:t>Inspection</w:t>
            </w:r>
            <w:r w:rsidR="00694B53" w:rsidRPr="001A1836">
              <w:rPr>
                <w:rFonts w:cs="Arial"/>
              </w:rPr>
              <w:t xml:space="preserve"> history, and </w:t>
            </w:r>
            <w:r>
              <w:rPr>
                <w:rFonts w:cs="Arial"/>
              </w:rPr>
              <w:t xml:space="preserve"> Competency Check</w:t>
            </w:r>
            <w:r w:rsidR="00B25757">
              <w:rPr>
                <w:rFonts w:cs="Arial"/>
              </w:rPr>
              <w:t xml:space="preserve"> and </w:t>
            </w:r>
            <w:r w:rsidR="008C4BC2">
              <w:rPr>
                <w:rFonts w:cs="Arial"/>
              </w:rPr>
              <w:t>Inspection</w:t>
            </w:r>
            <w:r>
              <w:rPr>
                <w:rFonts w:cs="Arial"/>
              </w:rPr>
              <w:t xml:space="preserve"> </w:t>
            </w:r>
            <w:r w:rsidR="00694B53" w:rsidRPr="001A1836">
              <w:rPr>
                <w:rFonts w:cs="Arial"/>
              </w:rPr>
              <w:t xml:space="preserve">findings accredited to the Business including: </w:t>
            </w:r>
          </w:p>
          <w:p w14:paraId="41D16CF2" w14:textId="77777777" w:rsidR="00694B53" w:rsidRPr="001A1836" w:rsidRDefault="00694B53" w:rsidP="004E2262">
            <w:pPr>
              <w:pStyle w:val="ListParagraph"/>
              <w:numPr>
                <w:ilvl w:val="1"/>
                <w:numId w:val="54"/>
              </w:numPr>
              <w:spacing w:after="60"/>
              <w:rPr>
                <w:rFonts w:cs="Arial"/>
              </w:rPr>
            </w:pPr>
            <w:r w:rsidRPr="001A1836">
              <w:rPr>
                <w:rFonts w:cs="Arial"/>
              </w:rPr>
              <w:t>any unsafe Gas Work</w:t>
            </w:r>
          </w:p>
          <w:p w14:paraId="1A4D4573" w14:textId="77777777" w:rsidR="00694B53" w:rsidRPr="001A1836" w:rsidRDefault="00694B53" w:rsidP="004E2262">
            <w:pPr>
              <w:pStyle w:val="ListParagraph"/>
              <w:numPr>
                <w:ilvl w:val="1"/>
                <w:numId w:val="54"/>
              </w:numPr>
              <w:spacing w:after="60"/>
              <w:rPr>
                <w:rFonts w:cs="Arial"/>
              </w:rPr>
            </w:pPr>
            <w:r w:rsidRPr="001A1836">
              <w:rPr>
                <w:rFonts w:cs="Arial"/>
              </w:rPr>
              <w:lastRenderedPageBreak/>
              <w:t>any in-scope Gas Work / Building Regulations work identified as not to current standards / not Building Regulations compliant</w:t>
            </w:r>
          </w:p>
          <w:p w14:paraId="216E15D6" w14:textId="77777777" w:rsidR="00694B53" w:rsidRPr="001A1836" w:rsidRDefault="00694B53" w:rsidP="004E2262">
            <w:pPr>
              <w:pStyle w:val="ListParagraph"/>
              <w:numPr>
                <w:ilvl w:val="0"/>
                <w:numId w:val="54"/>
              </w:numPr>
              <w:spacing w:after="60"/>
              <w:rPr>
                <w:rFonts w:cs="Arial"/>
              </w:rPr>
            </w:pPr>
            <w:r w:rsidRPr="001A1836">
              <w:rPr>
                <w:rFonts w:cs="Arial"/>
              </w:rPr>
              <w:t xml:space="preserve">Complaint history and findings accredited to the Business including: </w:t>
            </w:r>
          </w:p>
          <w:p w14:paraId="17486A0B" w14:textId="77777777" w:rsidR="00694B53" w:rsidRPr="001A1836" w:rsidRDefault="00694B53" w:rsidP="004E2262">
            <w:pPr>
              <w:pStyle w:val="ListParagraph"/>
              <w:numPr>
                <w:ilvl w:val="1"/>
                <w:numId w:val="54"/>
              </w:numPr>
              <w:spacing w:after="60"/>
              <w:rPr>
                <w:rFonts w:cs="Arial"/>
              </w:rPr>
            </w:pPr>
            <w:r w:rsidRPr="001A1836">
              <w:rPr>
                <w:rFonts w:cs="Arial"/>
              </w:rPr>
              <w:t>any unsafe Gas Work</w:t>
            </w:r>
          </w:p>
          <w:p w14:paraId="5018DD6B" w14:textId="77777777" w:rsidR="00694B53" w:rsidRPr="001A1836" w:rsidRDefault="00694B53" w:rsidP="004E2262">
            <w:pPr>
              <w:pStyle w:val="ListParagraph"/>
              <w:numPr>
                <w:ilvl w:val="1"/>
                <w:numId w:val="54"/>
              </w:numPr>
              <w:spacing w:after="60"/>
              <w:rPr>
                <w:rFonts w:cs="Arial"/>
              </w:rPr>
            </w:pPr>
            <w:r w:rsidRPr="001A1836">
              <w:rPr>
                <w:rFonts w:cs="Arial"/>
              </w:rPr>
              <w:t>any in-scope Gas Work / Building Regulations work identified as not to current standards / not Building Regulations compliant</w:t>
            </w:r>
          </w:p>
          <w:p w14:paraId="64F33F44" w14:textId="77777777" w:rsidR="00694B53" w:rsidRPr="001A1836" w:rsidRDefault="00694B53" w:rsidP="004E2262">
            <w:pPr>
              <w:pStyle w:val="ListParagraph"/>
              <w:numPr>
                <w:ilvl w:val="0"/>
                <w:numId w:val="54"/>
              </w:numPr>
              <w:spacing w:after="60"/>
              <w:rPr>
                <w:rFonts w:cs="Arial"/>
              </w:rPr>
            </w:pPr>
            <w:r w:rsidRPr="001A1836">
              <w:rPr>
                <w:rFonts w:cs="Arial"/>
              </w:rPr>
              <w:t xml:space="preserve">Registration history </w:t>
            </w:r>
          </w:p>
          <w:p w14:paraId="62CEF508" w14:textId="77777777" w:rsidR="00694B53" w:rsidRPr="001A1836" w:rsidRDefault="00694B53" w:rsidP="004E2262">
            <w:pPr>
              <w:pStyle w:val="ListParagraph"/>
              <w:numPr>
                <w:ilvl w:val="1"/>
                <w:numId w:val="54"/>
              </w:numPr>
              <w:spacing w:after="60"/>
              <w:rPr>
                <w:rFonts w:cs="Arial"/>
              </w:rPr>
            </w:pPr>
            <w:r w:rsidRPr="001A1836">
              <w:rPr>
                <w:rFonts w:cs="Arial"/>
              </w:rPr>
              <w:t xml:space="preserve">start and end dates </w:t>
            </w:r>
          </w:p>
          <w:p w14:paraId="389B323C" w14:textId="77777777" w:rsidR="00694B53" w:rsidRPr="001A1836" w:rsidRDefault="00694B53" w:rsidP="004E2262">
            <w:pPr>
              <w:pStyle w:val="ListParagraph"/>
              <w:numPr>
                <w:ilvl w:val="1"/>
                <w:numId w:val="54"/>
              </w:numPr>
              <w:spacing w:after="60"/>
              <w:rPr>
                <w:rFonts w:cs="Arial"/>
              </w:rPr>
            </w:pPr>
            <w:r w:rsidRPr="001A1836">
              <w:rPr>
                <w:rFonts w:cs="Arial"/>
              </w:rPr>
              <w:t>correspondence</w:t>
            </w:r>
          </w:p>
          <w:p w14:paraId="34E30B14" w14:textId="77777777" w:rsidR="00694B53" w:rsidRPr="001A1836" w:rsidRDefault="00694B53" w:rsidP="004E2262">
            <w:pPr>
              <w:pStyle w:val="ListParagraph"/>
              <w:numPr>
                <w:ilvl w:val="1"/>
                <w:numId w:val="54"/>
              </w:numPr>
              <w:spacing w:after="60"/>
              <w:rPr>
                <w:rFonts w:cs="Arial"/>
              </w:rPr>
            </w:pPr>
            <w:r w:rsidRPr="001A1836">
              <w:rPr>
                <w:rFonts w:cs="Arial"/>
              </w:rPr>
              <w:t>notes</w:t>
            </w:r>
          </w:p>
          <w:p w14:paraId="052CCB98" w14:textId="77777777" w:rsidR="00694B53" w:rsidRPr="001A1836" w:rsidRDefault="00694B53" w:rsidP="004E2262">
            <w:pPr>
              <w:pStyle w:val="ListParagraph"/>
              <w:numPr>
                <w:ilvl w:val="0"/>
                <w:numId w:val="54"/>
              </w:numPr>
              <w:spacing w:after="60"/>
              <w:rPr>
                <w:rFonts w:cs="Arial"/>
              </w:rPr>
            </w:pPr>
            <w:r w:rsidRPr="001A1836">
              <w:rPr>
                <w:rFonts w:cs="Arial"/>
              </w:rPr>
              <w:t>Sanctions history (including start and end dates of any suspensions)</w:t>
            </w:r>
          </w:p>
          <w:p w14:paraId="228B4B14" w14:textId="77777777" w:rsidR="00694B53" w:rsidRPr="001A1836" w:rsidRDefault="00694B53" w:rsidP="004E2262">
            <w:pPr>
              <w:pStyle w:val="ListParagraph"/>
              <w:numPr>
                <w:ilvl w:val="0"/>
                <w:numId w:val="54"/>
              </w:numPr>
              <w:spacing w:after="60"/>
              <w:rPr>
                <w:rFonts w:cs="Arial"/>
              </w:rPr>
            </w:pPr>
            <w:r w:rsidRPr="001A1836">
              <w:rPr>
                <w:rFonts w:cs="Arial"/>
              </w:rPr>
              <w:t xml:space="preserve">Building Regulations notification information, including </w:t>
            </w:r>
          </w:p>
          <w:p w14:paraId="54CC1555" w14:textId="77777777" w:rsidR="00694B53" w:rsidRPr="001A1836" w:rsidRDefault="00694B53" w:rsidP="004E2262">
            <w:pPr>
              <w:pStyle w:val="ListParagraph"/>
              <w:numPr>
                <w:ilvl w:val="1"/>
                <w:numId w:val="54"/>
              </w:numPr>
              <w:spacing w:after="60"/>
              <w:rPr>
                <w:rFonts w:cs="Arial"/>
              </w:rPr>
            </w:pPr>
            <w:r w:rsidRPr="001A1836">
              <w:rPr>
                <w:rFonts w:cs="Arial"/>
              </w:rPr>
              <w:t>address of the property</w:t>
            </w:r>
          </w:p>
          <w:p w14:paraId="345B3A44" w14:textId="282D11AF" w:rsidR="00694B53" w:rsidRDefault="00694B53" w:rsidP="004E2262">
            <w:pPr>
              <w:pStyle w:val="ListParagraph"/>
              <w:numPr>
                <w:ilvl w:val="1"/>
                <w:numId w:val="54"/>
              </w:numPr>
              <w:spacing w:after="60"/>
              <w:rPr>
                <w:rFonts w:cs="Arial"/>
              </w:rPr>
            </w:pPr>
            <w:r w:rsidRPr="001A1836">
              <w:rPr>
                <w:rFonts w:cs="Arial"/>
              </w:rPr>
              <w:t xml:space="preserve">name of </w:t>
            </w:r>
            <w:r>
              <w:rPr>
                <w:rFonts w:cs="Arial"/>
              </w:rPr>
              <w:t xml:space="preserve">business and </w:t>
            </w:r>
            <w:r w:rsidRPr="001A1836">
              <w:rPr>
                <w:rFonts w:cs="Arial"/>
              </w:rPr>
              <w:t>engineer who carried out the installation</w:t>
            </w:r>
          </w:p>
          <w:p w14:paraId="640C2F41" w14:textId="41F9E8C0" w:rsidR="00694B53" w:rsidRDefault="00694B53" w:rsidP="004E2262">
            <w:pPr>
              <w:pStyle w:val="ListParagraph"/>
              <w:numPr>
                <w:ilvl w:val="0"/>
                <w:numId w:val="54"/>
              </w:numPr>
              <w:spacing w:after="60"/>
              <w:rPr>
                <w:rFonts w:cs="Arial"/>
              </w:rPr>
            </w:pPr>
            <w:r>
              <w:rPr>
                <w:rFonts w:cs="Arial"/>
              </w:rPr>
              <w:t>Declarations of Safety (Scotland and Northern Ireland)</w:t>
            </w:r>
          </w:p>
          <w:p w14:paraId="0B55C94D" w14:textId="77777777" w:rsidR="00694B53" w:rsidRPr="001A1836" w:rsidRDefault="00694B53" w:rsidP="004E2262">
            <w:pPr>
              <w:pStyle w:val="ListParagraph"/>
              <w:numPr>
                <w:ilvl w:val="1"/>
                <w:numId w:val="54"/>
              </w:numPr>
              <w:spacing w:after="60"/>
              <w:rPr>
                <w:rFonts w:cs="Arial"/>
              </w:rPr>
            </w:pPr>
            <w:r w:rsidRPr="001A1836">
              <w:rPr>
                <w:rFonts w:cs="Arial"/>
              </w:rPr>
              <w:t>address of the property</w:t>
            </w:r>
          </w:p>
          <w:p w14:paraId="2B62E0C6" w14:textId="6E6F1AB6" w:rsidR="00694B53" w:rsidRPr="00A36A45" w:rsidRDefault="00694B53" w:rsidP="004E2262">
            <w:pPr>
              <w:pStyle w:val="ListParagraph"/>
              <w:numPr>
                <w:ilvl w:val="1"/>
                <w:numId w:val="54"/>
              </w:numPr>
              <w:spacing w:after="60"/>
              <w:rPr>
                <w:rFonts w:cs="Arial"/>
              </w:rPr>
            </w:pPr>
            <w:r w:rsidRPr="001A1836">
              <w:rPr>
                <w:rFonts w:cs="Arial"/>
              </w:rPr>
              <w:t xml:space="preserve">name of </w:t>
            </w:r>
            <w:r>
              <w:rPr>
                <w:rFonts w:cs="Arial"/>
              </w:rPr>
              <w:t xml:space="preserve">business and </w:t>
            </w:r>
            <w:r w:rsidRPr="001A1836">
              <w:rPr>
                <w:rFonts w:cs="Arial"/>
              </w:rPr>
              <w:t>engineer who carried out the installation</w:t>
            </w:r>
          </w:p>
          <w:p w14:paraId="2AD71B1F" w14:textId="77777777" w:rsidR="00694B53" w:rsidRPr="001A1836" w:rsidRDefault="00694B53" w:rsidP="004E2262">
            <w:pPr>
              <w:pStyle w:val="ListParagraph"/>
              <w:numPr>
                <w:ilvl w:val="0"/>
                <w:numId w:val="54"/>
              </w:numPr>
              <w:spacing w:after="60"/>
              <w:rPr>
                <w:rFonts w:cs="Arial"/>
              </w:rPr>
            </w:pPr>
            <w:r w:rsidRPr="001A1836">
              <w:rPr>
                <w:rFonts w:cs="Arial"/>
              </w:rPr>
              <w:t>Banking and payment details (if Direct Debit set up)</w:t>
            </w:r>
          </w:p>
          <w:p w14:paraId="193834A1" w14:textId="77777777" w:rsidR="00694B53" w:rsidRPr="001A1836" w:rsidRDefault="00694B53" w:rsidP="004E2262">
            <w:pPr>
              <w:pStyle w:val="ListParagraph"/>
              <w:numPr>
                <w:ilvl w:val="1"/>
                <w:numId w:val="54"/>
              </w:numPr>
              <w:spacing w:after="60"/>
              <w:rPr>
                <w:rFonts w:cs="Arial"/>
              </w:rPr>
            </w:pPr>
            <w:r w:rsidRPr="001A1836">
              <w:rPr>
                <w:rFonts w:cs="Arial"/>
              </w:rPr>
              <w:t>Bank account name</w:t>
            </w:r>
          </w:p>
          <w:p w14:paraId="1C47B917" w14:textId="77777777" w:rsidR="00694B53" w:rsidRPr="001A1836" w:rsidRDefault="00694B53" w:rsidP="004E2262">
            <w:pPr>
              <w:pStyle w:val="ListParagraph"/>
              <w:numPr>
                <w:ilvl w:val="1"/>
                <w:numId w:val="54"/>
              </w:numPr>
              <w:spacing w:after="60"/>
              <w:rPr>
                <w:rFonts w:cs="Arial"/>
              </w:rPr>
            </w:pPr>
            <w:r w:rsidRPr="001A1836">
              <w:rPr>
                <w:rFonts w:cs="Arial"/>
              </w:rPr>
              <w:t>Sort code</w:t>
            </w:r>
          </w:p>
          <w:p w14:paraId="06946E77" w14:textId="77777777" w:rsidR="00694B53" w:rsidRPr="001A1836" w:rsidRDefault="00694B53" w:rsidP="004E2262">
            <w:pPr>
              <w:pStyle w:val="ListParagraph"/>
              <w:numPr>
                <w:ilvl w:val="1"/>
                <w:numId w:val="54"/>
              </w:numPr>
              <w:spacing w:after="60"/>
              <w:rPr>
                <w:rFonts w:cs="Arial"/>
              </w:rPr>
            </w:pPr>
            <w:r w:rsidRPr="001A1836">
              <w:rPr>
                <w:rFonts w:cs="Arial"/>
              </w:rPr>
              <w:t>Account number</w:t>
            </w:r>
          </w:p>
          <w:p w14:paraId="075E8D2C" w14:textId="77777777" w:rsidR="00694B53" w:rsidRPr="001A1836" w:rsidRDefault="00694B53" w:rsidP="004E2262">
            <w:pPr>
              <w:pStyle w:val="ListParagraph"/>
              <w:numPr>
                <w:ilvl w:val="0"/>
                <w:numId w:val="54"/>
              </w:numPr>
              <w:spacing w:after="60"/>
              <w:rPr>
                <w:rFonts w:cs="Arial"/>
              </w:rPr>
            </w:pPr>
            <w:r w:rsidRPr="001A1836">
              <w:rPr>
                <w:rFonts w:cs="Arial"/>
              </w:rPr>
              <w:t>Appeals against sanctions</w:t>
            </w:r>
          </w:p>
          <w:p w14:paraId="515A7E77" w14:textId="77777777" w:rsidR="00694B53" w:rsidRPr="001A1836" w:rsidDel="00211979" w:rsidRDefault="00694B53" w:rsidP="004E2262">
            <w:pPr>
              <w:pStyle w:val="ListParagraph"/>
              <w:numPr>
                <w:ilvl w:val="0"/>
                <w:numId w:val="54"/>
              </w:numPr>
              <w:spacing w:after="60"/>
            </w:pPr>
            <w:r w:rsidRPr="001A1836">
              <w:rPr>
                <w:rFonts w:cs="Arial"/>
              </w:rPr>
              <w:t>Complaints against service</w:t>
            </w:r>
          </w:p>
        </w:tc>
      </w:tr>
      <w:tr w:rsidR="00694B53" w:rsidRPr="001A1836" w14:paraId="79234FC5" w14:textId="77777777" w:rsidTr="00694B53">
        <w:tc>
          <w:tcPr>
            <w:tcW w:w="2258" w:type="dxa"/>
            <w:tcBorders>
              <w:top w:val="single" w:sz="4" w:space="0" w:color="auto"/>
              <w:left w:val="single" w:sz="4" w:space="0" w:color="auto"/>
              <w:bottom w:val="single" w:sz="4" w:space="0" w:color="auto"/>
              <w:right w:val="single" w:sz="4" w:space="0" w:color="auto"/>
            </w:tcBorders>
            <w:hideMark/>
          </w:tcPr>
          <w:p w14:paraId="35BA9445" w14:textId="1578B6EF" w:rsidR="00694B53" w:rsidRPr="001A1836" w:rsidRDefault="00694B53" w:rsidP="00694B53">
            <w:pPr>
              <w:jc w:val="left"/>
            </w:pPr>
            <w:r>
              <w:lastRenderedPageBreak/>
              <w:t xml:space="preserve">Category 2 of Data Subject and </w:t>
            </w:r>
            <w:r w:rsidRPr="001A1836">
              <w:t>Type of Personal Data</w:t>
            </w:r>
          </w:p>
        </w:tc>
        <w:tc>
          <w:tcPr>
            <w:tcW w:w="6752" w:type="dxa"/>
            <w:tcBorders>
              <w:top w:val="single" w:sz="4" w:space="0" w:color="auto"/>
              <w:left w:val="single" w:sz="4" w:space="0" w:color="auto"/>
              <w:bottom w:val="single" w:sz="4" w:space="0" w:color="auto"/>
              <w:right w:val="single" w:sz="4" w:space="0" w:color="auto"/>
            </w:tcBorders>
            <w:hideMark/>
          </w:tcPr>
          <w:p w14:paraId="3E029F84" w14:textId="14C2B260" w:rsidR="00694B53" w:rsidRPr="001A1836" w:rsidRDefault="00694B53" w:rsidP="00694B53">
            <w:pPr>
              <w:jc w:val="left"/>
            </w:pPr>
            <w:r>
              <w:t xml:space="preserve">Registered </w:t>
            </w:r>
            <w:r w:rsidRPr="001A1836">
              <w:t>Engineers</w:t>
            </w:r>
            <w:r>
              <w:t xml:space="preserve"> </w:t>
            </w:r>
            <w:r w:rsidRPr="001A1836">
              <w:t xml:space="preserve">(including </w:t>
            </w:r>
            <w:r>
              <w:t xml:space="preserve">applicants and </w:t>
            </w:r>
            <w:r w:rsidRPr="001A1836">
              <w:t>dormant and elapsed registrations):</w:t>
            </w:r>
          </w:p>
          <w:p w14:paraId="05AE55BC" w14:textId="77777777" w:rsidR="00694B53" w:rsidRPr="001A1836" w:rsidRDefault="00694B53" w:rsidP="004E2262">
            <w:pPr>
              <w:pStyle w:val="ListParagraph"/>
              <w:numPr>
                <w:ilvl w:val="0"/>
                <w:numId w:val="52"/>
              </w:numPr>
              <w:spacing w:after="60"/>
              <w:rPr>
                <w:rFonts w:cs="Arial"/>
              </w:rPr>
            </w:pPr>
            <w:r w:rsidRPr="001A1836">
              <w:rPr>
                <w:rFonts w:cs="Arial"/>
              </w:rPr>
              <w:t>Name</w:t>
            </w:r>
          </w:p>
          <w:p w14:paraId="0C1BCB6A" w14:textId="77777777" w:rsidR="00694B53" w:rsidRPr="001A1836" w:rsidRDefault="00694B53" w:rsidP="004E2262">
            <w:pPr>
              <w:pStyle w:val="ListParagraph"/>
              <w:numPr>
                <w:ilvl w:val="0"/>
                <w:numId w:val="52"/>
              </w:numPr>
              <w:spacing w:after="60"/>
              <w:rPr>
                <w:rFonts w:cs="Arial"/>
              </w:rPr>
            </w:pPr>
            <w:r w:rsidRPr="001A1836">
              <w:rPr>
                <w:rFonts w:cs="Arial"/>
              </w:rPr>
              <w:t>Address</w:t>
            </w:r>
          </w:p>
          <w:p w14:paraId="21576B3D" w14:textId="77777777" w:rsidR="00694B53" w:rsidRPr="001A1836" w:rsidRDefault="00694B53" w:rsidP="004E2262">
            <w:pPr>
              <w:pStyle w:val="ListParagraph"/>
              <w:numPr>
                <w:ilvl w:val="0"/>
                <w:numId w:val="52"/>
              </w:numPr>
              <w:spacing w:after="60"/>
              <w:rPr>
                <w:rFonts w:cs="Arial"/>
              </w:rPr>
            </w:pPr>
            <w:r w:rsidRPr="001A1836">
              <w:rPr>
                <w:rFonts w:cs="Arial"/>
              </w:rPr>
              <w:t>Date of Birth</w:t>
            </w:r>
          </w:p>
          <w:p w14:paraId="31B9D2CF" w14:textId="77777777" w:rsidR="00694B53" w:rsidRPr="001A1836" w:rsidRDefault="00694B53" w:rsidP="004E2262">
            <w:pPr>
              <w:pStyle w:val="ListParagraph"/>
              <w:numPr>
                <w:ilvl w:val="0"/>
                <w:numId w:val="52"/>
              </w:numPr>
              <w:spacing w:after="60"/>
              <w:rPr>
                <w:rFonts w:cs="Arial"/>
              </w:rPr>
            </w:pPr>
            <w:r w:rsidRPr="001A1836">
              <w:rPr>
                <w:rFonts w:cs="Arial"/>
              </w:rPr>
              <w:t>National Insurance Number</w:t>
            </w:r>
          </w:p>
          <w:p w14:paraId="69EBF106" w14:textId="77777777" w:rsidR="00694B53" w:rsidRPr="001A1836" w:rsidRDefault="00694B53" w:rsidP="004E2262">
            <w:pPr>
              <w:pStyle w:val="ListParagraph"/>
              <w:numPr>
                <w:ilvl w:val="0"/>
                <w:numId w:val="52"/>
              </w:numPr>
              <w:spacing w:after="60"/>
              <w:rPr>
                <w:rFonts w:cs="Arial"/>
              </w:rPr>
            </w:pPr>
            <w:r w:rsidRPr="001A1836">
              <w:rPr>
                <w:rFonts w:cs="Arial"/>
              </w:rPr>
              <w:t>Photograph of the individual</w:t>
            </w:r>
          </w:p>
          <w:p w14:paraId="1B8A5184" w14:textId="77777777" w:rsidR="00694B53" w:rsidRPr="001A1836" w:rsidRDefault="00694B53" w:rsidP="004E2262">
            <w:pPr>
              <w:pStyle w:val="ListParagraph"/>
              <w:numPr>
                <w:ilvl w:val="0"/>
                <w:numId w:val="52"/>
              </w:numPr>
              <w:spacing w:after="60"/>
              <w:rPr>
                <w:rFonts w:cs="Arial"/>
              </w:rPr>
            </w:pPr>
            <w:r w:rsidRPr="001A1836">
              <w:rPr>
                <w:rFonts w:cs="Arial"/>
              </w:rPr>
              <w:t>Qualifications relating to Gas Work and the categories of Gas Work these Qualifications enable the Engineer to work on, including past (expired) Qualifications</w:t>
            </w:r>
          </w:p>
          <w:p w14:paraId="246602BB" w14:textId="77777777" w:rsidR="00694B53" w:rsidRPr="001A1836" w:rsidRDefault="00694B53" w:rsidP="004E2262">
            <w:pPr>
              <w:pStyle w:val="ListParagraph"/>
              <w:numPr>
                <w:ilvl w:val="0"/>
                <w:numId w:val="52"/>
              </w:numPr>
              <w:spacing w:after="60"/>
              <w:rPr>
                <w:rFonts w:cs="Arial"/>
              </w:rPr>
            </w:pPr>
            <w:r w:rsidRPr="001A1836">
              <w:rPr>
                <w:rFonts w:cs="Arial"/>
              </w:rPr>
              <w:t>Risk rating and risk category</w:t>
            </w:r>
          </w:p>
          <w:p w14:paraId="7883883C" w14:textId="77777777" w:rsidR="00694B53" w:rsidRPr="001A1836" w:rsidRDefault="00694B53" w:rsidP="004E2262">
            <w:pPr>
              <w:pStyle w:val="ListParagraph"/>
              <w:numPr>
                <w:ilvl w:val="0"/>
                <w:numId w:val="52"/>
              </w:numPr>
              <w:spacing w:after="60"/>
              <w:rPr>
                <w:rFonts w:cs="Arial"/>
              </w:rPr>
            </w:pPr>
            <w:r w:rsidRPr="001A1836">
              <w:rPr>
                <w:rFonts w:cs="Arial"/>
              </w:rPr>
              <w:t xml:space="preserve">Inspection history, and inspection findings accredited to the Engineer including </w:t>
            </w:r>
          </w:p>
          <w:p w14:paraId="690E70DD" w14:textId="77777777" w:rsidR="00694B53" w:rsidRPr="001A1836" w:rsidRDefault="00694B53" w:rsidP="004E2262">
            <w:pPr>
              <w:pStyle w:val="ListParagraph"/>
              <w:numPr>
                <w:ilvl w:val="1"/>
                <w:numId w:val="52"/>
              </w:numPr>
              <w:spacing w:after="60"/>
              <w:rPr>
                <w:rFonts w:cs="Arial"/>
              </w:rPr>
            </w:pPr>
            <w:r w:rsidRPr="001A1836">
              <w:rPr>
                <w:rFonts w:cs="Arial"/>
              </w:rPr>
              <w:t>any unsafe Gas Work</w:t>
            </w:r>
          </w:p>
          <w:p w14:paraId="6A0CACEB" w14:textId="77777777" w:rsidR="00694B53" w:rsidRPr="001A1836" w:rsidRDefault="00694B53" w:rsidP="004E2262">
            <w:pPr>
              <w:pStyle w:val="ListParagraph"/>
              <w:numPr>
                <w:ilvl w:val="1"/>
                <w:numId w:val="52"/>
              </w:numPr>
              <w:spacing w:after="60"/>
              <w:rPr>
                <w:rFonts w:cs="Arial"/>
              </w:rPr>
            </w:pPr>
            <w:r w:rsidRPr="001A1836">
              <w:rPr>
                <w:rFonts w:cs="Arial"/>
              </w:rPr>
              <w:lastRenderedPageBreak/>
              <w:t>any in-scope Gas Work / Building Regulations work identified as not to current standards / not Building Regulations compliant</w:t>
            </w:r>
          </w:p>
          <w:p w14:paraId="03529D06" w14:textId="77777777" w:rsidR="00694B53" w:rsidRPr="001A1836" w:rsidRDefault="00694B53" w:rsidP="004E2262">
            <w:pPr>
              <w:pStyle w:val="ListParagraph"/>
              <w:numPr>
                <w:ilvl w:val="0"/>
                <w:numId w:val="52"/>
              </w:numPr>
              <w:spacing w:after="60"/>
              <w:rPr>
                <w:rFonts w:cs="Arial"/>
              </w:rPr>
            </w:pPr>
            <w:r w:rsidRPr="001A1836">
              <w:rPr>
                <w:rFonts w:cs="Arial"/>
              </w:rPr>
              <w:t>Complaint history</w:t>
            </w:r>
          </w:p>
          <w:p w14:paraId="135EA701" w14:textId="77777777" w:rsidR="00694B53" w:rsidRPr="001A1836" w:rsidRDefault="00694B53" w:rsidP="004E2262">
            <w:pPr>
              <w:pStyle w:val="ListParagraph"/>
              <w:numPr>
                <w:ilvl w:val="0"/>
                <w:numId w:val="52"/>
              </w:numPr>
              <w:spacing w:after="60"/>
              <w:rPr>
                <w:rFonts w:cs="Arial"/>
              </w:rPr>
            </w:pPr>
            <w:r w:rsidRPr="001A1836">
              <w:rPr>
                <w:rFonts w:cs="Arial"/>
              </w:rPr>
              <w:t>Registration history (start and end dates of registration)</w:t>
            </w:r>
          </w:p>
          <w:p w14:paraId="31399135" w14:textId="77777777" w:rsidR="00694B53" w:rsidRPr="001A1836" w:rsidRDefault="00694B53" w:rsidP="004E2262">
            <w:pPr>
              <w:pStyle w:val="ListParagraph"/>
              <w:numPr>
                <w:ilvl w:val="0"/>
                <w:numId w:val="52"/>
              </w:numPr>
              <w:spacing w:after="60"/>
              <w:rPr>
                <w:rFonts w:cs="Arial"/>
              </w:rPr>
            </w:pPr>
            <w:r w:rsidRPr="001A1836">
              <w:rPr>
                <w:rFonts w:cs="Arial"/>
              </w:rPr>
              <w:t>Employment history (Businesses registered with, start and end dates)</w:t>
            </w:r>
          </w:p>
          <w:p w14:paraId="08845F72" w14:textId="77777777" w:rsidR="00694B53" w:rsidRPr="001A1836" w:rsidRDefault="00694B53" w:rsidP="004E2262">
            <w:pPr>
              <w:pStyle w:val="ListParagraph"/>
              <w:numPr>
                <w:ilvl w:val="0"/>
                <w:numId w:val="52"/>
              </w:numPr>
              <w:spacing w:after="60"/>
              <w:rPr>
                <w:rFonts w:cs="Arial"/>
              </w:rPr>
            </w:pPr>
            <w:r w:rsidRPr="001A1836">
              <w:rPr>
                <w:rFonts w:cs="Arial"/>
              </w:rPr>
              <w:t>Sanctions history (including start and end dates of any suspensions)</w:t>
            </w:r>
          </w:p>
          <w:p w14:paraId="594E4CF0" w14:textId="77777777" w:rsidR="00694B53" w:rsidRPr="001A1836" w:rsidRDefault="00694B53" w:rsidP="004E2262">
            <w:pPr>
              <w:pStyle w:val="ListParagraph"/>
              <w:numPr>
                <w:ilvl w:val="0"/>
                <w:numId w:val="52"/>
              </w:numPr>
              <w:spacing w:after="60"/>
              <w:rPr>
                <w:rFonts w:cs="Arial"/>
              </w:rPr>
            </w:pPr>
            <w:r w:rsidRPr="001A1836">
              <w:rPr>
                <w:rFonts w:cs="Arial"/>
              </w:rPr>
              <w:t>Appeals against sanctions</w:t>
            </w:r>
          </w:p>
          <w:p w14:paraId="3514C701" w14:textId="07CA6801" w:rsidR="00694B53" w:rsidRPr="001A1836" w:rsidRDefault="00694B53" w:rsidP="004E2262">
            <w:pPr>
              <w:pStyle w:val="ListParagraph"/>
              <w:numPr>
                <w:ilvl w:val="0"/>
                <w:numId w:val="53"/>
              </w:numPr>
              <w:spacing w:after="60"/>
            </w:pPr>
            <w:r w:rsidRPr="001A1836">
              <w:rPr>
                <w:rFonts w:cs="Arial"/>
              </w:rPr>
              <w:t xml:space="preserve">Complaints against service </w:t>
            </w:r>
          </w:p>
        </w:tc>
      </w:tr>
      <w:tr w:rsidR="00694B53" w:rsidRPr="001A1836" w14:paraId="2248D926" w14:textId="77777777" w:rsidTr="00694B53">
        <w:tc>
          <w:tcPr>
            <w:tcW w:w="2258" w:type="dxa"/>
            <w:tcBorders>
              <w:top w:val="single" w:sz="4" w:space="0" w:color="auto"/>
              <w:left w:val="single" w:sz="4" w:space="0" w:color="auto"/>
              <w:bottom w:val="single" w:sz="4" w:space="0" w:color="auto"/>
              <w:right w:val="single" w:sz="4" w:space="0" w:color="auto"/>
            </w:tcBorders>
          </w:tcPr>
          <w:p w14:paraId="5AB833AC" w14:textId="3C56DCC1" w:rsidR="00694B53" w:rsidRPr="001A1836" w:rsidRDefault="00694B53" w:rsidP="00694B53">
            <w:pPr>
              <w:jc w:val="left"/>
            </w:pPr>
            <w:r>
              <w:lastRenderedPageBreak/>
              <w:t xml:space="preserve">Category 3 of Data Subject and </w:t>
            </w:r>
            <w:r w:rsidRPr="001A1836">
              <w:t>Type of Personal Data</w:t>
            </w:r>
          </w:p>
        </w:tc>
        <w:tc>
          <w:tcPr>
            <w:tcW w:w="6752" w:type="dxa"/>
            <w:tcBorders>
              <w:top w:val="single" w:sz="4" w:space="0" w:color="auto"/>
              <w:left w:val="single" w:sz="4" w:space="0" w:color="auto"/>
              <w:bottom w:val="single" w:sz="4" w:space="0" w:color="auto"/>
              <w:right w:val="single" w:sz="4" w:space="0" w:color="auto"/>
            </w:tcBorders>
          </w:tcPr>
          <w:p w14:paraId="67A3381B" w14:textId="1E507FA0" w:rsidR="00694B53" w:rsidRPr="001A1836" w:rsidRDefault="00694B53" w:rsidP="00694B53">
            <w:pPr>
              <w:jc w:val="left"/>
            </w:pPr>
            <w:r w:rsidRPr="001A1836">
              <w:t xml:space="preserve">Registered Businesses, Engineers and stakeholders – </w:t>
            </w:r>
            <w:r>
              <w:t xml:space="preserve">who have opted in to receive </w:t>
            </w:r>
            <w:r w:rsidRPr="001A1836">
              <w:t>marketing information (optional)</w:t>
            </w:r>
          </w:p>
          <w:p w14:paraId="7BAC4FDA" w14:textId="77777777" w:rsidR="00694B53" w:rsidRPr="001A1836" w:rsidRDefault="00694B53" w:rsidP="004E2262">
            <w:pPr>
              <w:pStyle w:val="ListParagraph"/>
              <w:numPr>
                <w:ilvl w:val="0"/>
                <w:numId w:val="53"/>
              </w:numPr>
              <w:spacing w:after="60"/>
              <w:rPr>
                <w:rFonts w:cs="Arial"/>
              </w:rPr>
            </w:pPr>
            <w:r w:rsidRPr="001A1836">
              <w:rPr>
                <w:rFonts w:cs="Arial"/>
              </w:rPr>
              <w:t>Business name</w:t>
            </w:r>
          </w:p>
          <w:p w14:paraId="1C805B8E" w14:textId="77777777" w:rsidR="00694B53" w:rsidRPr="001A1836" w:rsidRDefault="00694B53" w:rsidP="004E2262">
            <w:pPr>
              <w:pStyle w:val="ListParagraph"/>
              <w:numPr>
                <w:ilvl w:val="0"/>
                <w:numId w:val="53"/>
              </w:numPr>
              <w:spacing w:after="60"/>
              <w:rPr>
                <w:rFonts w:cs="Arial"/>
              </w:rPr>
            </w:pPr>
            <w:r w:rsidRPr="001A1836">
              <w:rPr>
                <w:rFonts w:cs="Arial"/>
              </w:rPr>
              <w:t>Business address</w:t>
            </w:r>
          </w:p>
          <w:p w14:paraId="034505B8" w14:textId="77777777" w:rsidR="00694B53" w:rsidRPr="001A1836" w:rsidRDefault="00694B53" w:rsidP="004E2262">
            <w:pPr>
              <w:pStyle w:val="ListParagraph"/>
              <w:numPr>
                <w:ilvl w:val="0"/>
                <w:numId w:val="53"/>
              </w:numPr>
              <w:spacing w:after="60"/>
              <w:rPr>
                <w:rFonts w:cs="Arial"/>
              </w:rPr>
            </w:pPr>
            <w:r w:rsidRPr="001A1836">
              <w:rPr>
                <w:rFonts w:cs="Arial"/>
              </w:rPr>
              <w:t>Contact details (name, job title, email address and contact telephone numbers)</w:t>
            </w:r>
          </w:p>
          <w:p w14:paraId="09F920FD" w14:textId="77777777" w:rsidR="00694B53" w:rsidRPr="001A1836" w:rsidRDefault="00694B53" w:rsidP="004E2262">
            <w:pPr>
              <w:pStyle w:val="ListParagraph"/>
              <w:numPr>
                <w:ilvl w:val="0"/>
                <w:numId w:val="53"/>
              </w:numPr>
              <w:spacing w:after="60"/>
              <w:rPr>
                <w:rFonts w:cs="Arial"/>
              </w:rPr>
            </w:pPr>
            <w:r w:rsidRPr="001A1836">
              <w:rPr>
                <w:rFonts w:cs="Arial"/>
              </w:rPr>
              <w:t>Type of business</w:t>
            </w:r>
          </w:p>
          <w:p w14:paraId="357345C8" w14:textId="77777777" w:rsidR="00694B53" w:rsidRPr="001A1836" w:rsidRDefault="00694B53" w:rsidP="004E2262">
            <w:pPr>
              <w:pStyle w:val="ListParagraph"/>
              <w:numPr>
                <w:ilvl w:val="0"/>
                <w:numId w:val="53"/>
              </w:numPr>
              <w:spacing w:after="60"/>
            </w:pPr>
            <w:r w:rsidRPr="001A1836">
              <w:rPr>
                <w:rFonts w:cs="Arial"/>
              </w:rPr>
              <w:t>If a Registered Business or Engineer, Registration number</w:t>
            </w:r>
          </w:p>
        </w:tc>
      </w:tr>
      <w:tr w:rsidR="00694B53" w:rsidRPr="001A1836" w14:paraId="3168280F" w14:textId="77777777" w:rsidTr="00694B53">
        <w:tc>
          <w:tcPr>
            <w:tcW w:w="2258" w:type="dxa"/>
            <w:tcBorders>
              <w:top w:val="single" w:sz="4" w:space="0" w:color="auto"/>
              <w:left w:val="single" w:sz="4" w:space="0" w:color="auto"/>
              <w:bottom w:val="single" w:sz="4" w:space="0" w:color="auto"/>
              <w:right w:val="single" w:sz="4" w:space="0" w:color="auto"/>
            </w:tcBorders>
          </w:tcPr>
          <w:p w14:paraId="5FBF46A4" w14:textId="3FEA6497" w:rsidR="00694B53" w:rsidRPr="001A1836" w:rsidRDefault="00694B53" w:rsidP="00694B53">
            <w:pPr>
              <w:jc w:val="left"/>
            </w:pPr>
            <w:r>
              <w:t xml:space="preserve">Category 4 of Data Subject and </w:t>
            </w:r>
            <w:r w:rsidRPr="001A1836">
              <w:t>Type of Personal Data</w:t>
            </w:r>
          </w:p>
        </w:tc>
        <w:tc>
          <w:tcPr>
            <w:tcW w:w="6752" w:type="dxa"/>
            <w:tcBorders>
              <w:top w:val="single" w:sz="4" w:space="0" w:color="auto"/>
              <w:left w:val="single" w:sz="4" w:space="0" w:color="auto"/>
              <w:bottom w:val="single" w:sz="4" w:space="0" w:color="auto"/>
              <w:right w:val="single" w:sz="4" w:space="0" w:color="auto"/>
            </w:tcBorders>
          </w:tcPr>
          <w:p w14:paraId="4805F87D" w14:textId="77777777" w:rsidR="00694B53" w:rsidRPr="001A1836" w:rsidRDefault="00694B53" w:rsidP="00694B53">
            <w:pPr>
              <w:jc w:val="left"/>
            </w:pPr>
            <w:r w:rsidRPr="001A1836">
              <w:t>Suspected illegal gas fitters / unregistered businesses suspected of carrying out illegal Gas Work</w:t>
            </w:r>
          </w:p>
          <w:p w14:paraId="281AB75E" w14:textId="77777777" w:rsidR="00694B53" w:rsidRPr="001A1836" w:rsidRDefault="00694B53" w:rsidP="004E2262">
            <w:pPr>
              <w:pStyle w:val="ListParagraph"/>
              <w:numPr>
                <w:ilvl w:val="0"/>
                <w:numId w:val="53"/>
              </w:numPr>
              <w:spacing w:after="60"/>
              <w:rPr>
                <w:rFonts w:cs="Arial"/>
              </w:rPr>
            </w:pPr>
            <w:r w:rsidRPr="001A1836">
              <w:rPr>
                <w:rFonts w:cs="Arial"/>
              </w:rPr>
              <w:t>Name</w:t>
            </w:r>
          </w:p>
          <w:p w14:paraId="23F95077" w14:textId="77777777" w:rsidR="00694B53" w:rsidRPr="001A1836" w:rsidRDefault="00694B53" w:rsidP="004E2262">
            <w:pPr>
              <w:pStyle w:val="ListParagraph"/>
              <w:numPr>
                <w:ilvl w:val="0"/>
                <w:numId w:val="53"/>
              </w:numPr>
              <w:spacing w:after="60"/>
              <w:rPr>
                <w:rFonts w:cs="Arial"/>
              </w:rPr>
            </w:pPr>
            <w:r w:rsidRPr="001A1836">
              <w:rPr>
                <w:rFonts w:cs="Arial"/>
              </w:rPr>
              <w:t>Business name</w:t>
            </w:r>
          </w:p>
          <w:p w14:paraId="2E90AB5D" w14:textId="77777777" w:rsidR="00694B53" w:rsidRPr="001A1836" w:rsidRDefault="00694B53" w:rsidP="004E2262">
            <w:pPr>
              <w:pStyle w:val="ListParagraph"/>
              <w:numPr>
                <w:ilvl w:val="0"/>
                <w:numId w:val="53"/>
              </w:numPr>
              <w:spacing w:after="60"/>
              <w:rPr>
                <w:rFonts w:cs="Arial"/>
              </w:rPr>
            </w:pPr>
            <w:r w:rsidRPr="001A1836">
              <w:rPr>
                <w:rFonts w:cs="Arial"/>
              </w:rPr>
              <w:t>Telephone number</w:t>
            </w:r>
          </w:p>
          <w:p w14:paraId="7F0AE938" w14:textId="77777777" w:rsidR="00694B53" w:rsidRPr="001A1836" w:rsidRDefault="00694B53" w:rsidP="004E2262">
            <w:pPr>
              <w:pStyle w:val="ListParagraph"/>
              <w:numPr>
                <w:ilvl w:val="0"/>
                <w:numId w:val="53"/>
              </w:numPr>
              <w:spacing w:after="60"/>
              <w:rPr>
                <w:rFonts w:cs="Arial"/>
              </w:rPr>
            </w:pPr>
            <w:r w:rsidRPr="001A1836">
              <w:rPr>
                <w:rFonts w:cs="Arial"/>
              </w:rPr>
              <w:t>Address of business or individual</w:t>
            </w:r>
          </w:p>
          <w:p w14:paraId="60A212C3" w14:textId="77777777" w:rsidR="00694B53" w:rsidRPr="001A1836" w:rsidRDefault="00694B53" w:rsidP="004E2262">
            <w:pPr>
              <w:pStyle w:val="ListParagraph"/>
              <w:numPr>
                <w:ilvl w:val="0"/>
                <w:numId w:val="53"/>
              </w:numPr>
              <w:spacing w:after="60"/>
              <w:rPr>
                <w:rFonts w:cs="Arial"/>
              </w:rPr>
            </w:pPr>
            <w:r w:rsidRPr="001A1836">
              <w:rPr>
                <w:rFonts w:cs="Arial"/>
              </w:rPr>
              <w:t>Address where suspected illegal Gas Work carried out</w:t>
            </w:r>
          </w:p>
          <w:p w14:paraId="44B6A1C6" w14:textId="77777777" w:rsidR="00694B53" w:rsidRPr="001A1836" w:rsidRDefault="00694B53" w:rsidP="004E2262">
            <w:pPr>
              <w:pStyle w:val="ListParagraph"/>
              <w:numPr>
                <w:ilvl w:val="0"/>
                <w:numId w:val="53"/>
              </w:numPr>
              <w:spacing w:after="60"/>
              <w:rPr>
                <w:rFonts w:cs="Arial"/>
              </w:rPr>
            </w:pPr>
            <w:r w:rsidRPr="001A1836">
              <w:rPr>
                <w:rFonts w:cs="Arial"/>
              </w:rPr>
              <w:t>Details of the Gas Work carried out</w:t>
            </w:r>
          </w:p>
          <w:p w14:paraId="2D690817" w14:textId="77777777" w:rsidR="00694B53" w:rsidRPr="001A1836" w:rsidRDefault="00694B53" w:rsidP="004E2262">
            <w:pPr>
              <w:pStyle w:val="ListParagraph"/>
              <w:numPr>
                <w:ilvl w:val="0"/>
                <w:numId w:val="53"/>
              </w:numPr>
              <w:spacing w:after="60"/>
            </w:pPr>
            <w:r w:rsidRPr="001A1836">
              <w:rPr>
                <w:rFonts w:cs="Arial"/>
              </w:rPr>
              <w:t>Findings from any Inspections</w:t>
            </w:r>
          </w:p>
        </w:tc>
      </w:tr>
      <w:tr w:rsidR="00694B53" w:rsidRPr="001A1836" w14:paraId="5001331F" w14:textId="77777777" w:rsidTr="00694B53">
        <w:tc>
          <w:tcPr>
            <w:tcW w:w="2258" w:type="dxa"/>
            <w:tcBorders>
              <w:top w:val="single" w:sz="4" w:space="0" w:color="auto"/>
              <w:left w:val="single" w:sz="4" w:space="0" w:color="auto"/>
              <w:bottom w:val="single" w:sz="4" w:space="0" w:color="auto"/>
              <w:right w:val="single" w:sz="4" w:space="0" w:color="auto"/>
            </w:tcBorders>
          </w:tcPr>
          <w:p w14:paraId="03D588CA" w14:textId="604AD677" w:rsidR="00694B53" w:rsidRPr="001A1836" w:rsidRDefault="00694B53" w:rsidP="00694B53">
            <w:pPr>
              <w:jc w:val="left"/>
            </w:pPr>
            <w:r>
              <w:t>Category 5 of Data Subject and Type of Personal Data</w:t>
            </w:r>
          </w:p>
        </w:tc>
        <w:tc>
          <w:tcPr>
            <w:tcW w:w="6752" w:type="dxa"/>
            <w:tcBorders>
              <w:top w:val="single" w:sz="4" w:space="0" w:color="auto"/>
              <w:left w:val="single" w:sz="4" w:space="0" w:color="auto"/>
              <w:bottom w:val="single" w:sz="4" w:space="0" w:color="auto"/>
              <w:right w:val="single" w:sz="4" w:space="0" w:color="auto"/>
            </w:tcBorders>
          </w:tcPr>
          <w:p w14:paraId="31ED6FD8" w14:textId="77777777" w:rsidR="00694B53" w:rsidRPr="001A1836" w:rsidRDefault="00694B53" w:rsidP="00694B53">
            <w:pPr>
              <w:jc w:val="left"/>
            </w:pPr>
            <w:r w:rsidRPr="001A1836">
              <w:t>Consumers – complaints:</w:t>
            </w:r>
          </w:p>
          <w:p w14:paraId="7CE88FBA" w14:textId="77777777" w:rsidR="00694B53" w:rsidRPr="001A1836" w:rsidRDefault="00694B53" w:rsidP="004E2262">
            <w:pPr>
              <w:pStyle w:val="ListParagraph"/>
              <w:numPr>
                <w:ilvl w:val="0"/>
                <w:numId w:val="53"/>
              </w:numPr>
              <w:spacing w:after="60"/>
              <w:rPr>
                <w:rFonts w:cs="Arial"/>
              </w:rPr>
            </w:pPr>
            <w:r w:rsidRPr="001A1836">
              <w:rPr>
                <w:rFonts w:cs="Arial"/>
              </w:rPr>
              <w:t>Consumer name</w:t>
            </w:r>
          </w:p>
          <w:p w14:paraId="00DEBFBF" w14:textId="77777777" w:rsidR="00694B53" w:rsidRPr="001A1836" w:rsidRDefault="00694B53" w:rsidP="004E2262">
            <w:pPr>
              <w:pStyle w:val="ListParagraph"/>
              <w:numPr>
                <w:ilvl w:val="0"/>
                <w:numId w:val="53"/>
              </w:numPr>
              <w:spacing w:after="60"/>
              <w:rPr>
                <w:rFonts w:cs="Arial"/>
              </w:rPr>
            </w:pPr>
            <w:r w:rsidRPr="001A1836">
              <w:rPr>
                <w:rFonts w:cs="Arial"/>
              </w:rPr>
              <w:t>Consumer address</w:t>
            </w:r>
          </w:p>
          <w:p w14:paraId="7C6EA886" w14:textId="77777777" w:rsidR="00694B53" w:rsidRPr="001A1836" w:rsidRDefault="00694B53" w:rsidP="004E2262">
            <w:pPr>
              <w:pStyle w:val="ListParagraph"/>
              <w:numPr>
                <w:ilvl w:val="0"/>
                <w:numId w:val="53"/>
              </w:numPr>
              <w:spacing w:after="60"/>
              <w:rPr>
                <w:rFonts w:cs="Arial"/>
              </w:rPr>
            </w:pPr>
            <w:r w:rsidRPr="001A1836">
              <w:rPr>
                <w:rFonts w:cs="Arial"/>
              </w:rPr>
              <w:t>Consumer telephone number</w:t>
            </w:r>
          </w:p>
          <w:p w14:paraId="3C4407FB" w14:textId="77777777" w:rsidR="00694B53" w:rsidRPr="001A1836" w:rsidRDefault="00694B53" w:rsidP="004E2262">
            <w:pPr>
              <w:pStyle w:val="ListParagraph"/>
              <w:numPr>
                <w:ilvl w:val="0"/>
                <w:numId w:val="53"/>
              </w:numPr>
              <w:spacing w:after="60"/>
              <w:rPr>
                <w:rFonts w:cs="Arial"/>
              </w:rPr>
            </w:pPr>
            <w:r w:rsidRPr="001A1836">
              <w:rPr>
                <w:rFonts w:cs="Arial"/>
              </w:rPr>
              <w:t>Consumer Email address</w:t>
            </w:r>
          </w:p>
          <w:p w14:paraId="18F2EB66" w14:textId="77777777" w:rsidR="00694B53" w:rsidRPr="001A1836" w:rsidRDefault="00694B53" w:rsidP="004E2262">
            <w:pPr>
              <w:pStyle w:val="ListParagraph"/>
              <w:numPr>
                <w:ilvl w:val="0"/>
                <w:numId w:val="53"/>
              </w:numPr>
              <w:spacing w:after="60"/>
              <w:rPr>
                <w:rFonts w:cs="Arial"/>
              </w:rPr>
            </w:pPr>
            <w:r w:rsidRPr="001A1836">
              <w:rPr>
                <w:rFonts w:cs="Arial"/>
              </w:rPr>
              <w:t>Complaint information</w:t>
            </w:r>
          </w:p>
          <w:p w14:paraId="3A3D58E9" w14:textId="77777777" w:rsidR="00694B53" w:rsidRPr="001A1836" w:rsidRDefault="00694B53" w:rsidP="004E2262">
            <w:pPr>
              <w:pStyle w:val="ListParagraph"/>
              <w:numPr>
                <w:ilvl w:val="0"/>
                <w:numId w:val="53"/>
              </w:numPr>
              <w:spacing w:after="60"/>
              <w:rPr>
                <w:rFonts w:cs="Arial"/>
              </w:rPr>
            </w:pPr>
            <w:r w:rsidRPr="001A1836">
              <w:rPr>
                <w:rFonts w:cs="Arial"/>
              </w:rPr>
              <w:t>Complaint history, including copies of documents</w:t>
            </w:r>
          </w:p>
          <w:p w14:paraId="5E88A69A" w14:textId="77777777" w:rsidR="00694B53" w:rsidRPr="001A1836" w:rsidRDefault="00694B53" w:rsidP="004E2262">
            <w:pPr>
              <w:pStyle w:val="ListParagraph"/>
              <w:numPr>
                <w:ilvl w:val="0"/>
                <w:numId w:val="53"/>
              </w:numPr>
              <w:spacing w:after="60"/>
              <w:rPr>
                <w:rFonts w:cs="Arial"/>
              </w:rPr>
            </w:pPr>
            <w:r w:rsidRPr="001A1836">
              <w:rPr>
                <w:rFonts w:cs="Arial"/>
              </w:rPr>
              <w:t>Details of work carried out</w:t>
            </w:r>
          </w:p>
          <w:p w14:paraId="3B6C587C" w14:textId="77777777" w:rsidR="00694B53" w:rsidRPr="001A1836" w:rsidRDefault="00694B53" w:rsidP="004E2262">
            <w:pPr>
              <w:pStyle w:val="ListParagraph"/>
              <w:numPr>
                <w:ilvl w:val="1"/>
                <w:numId w:val="53"/>
              </w:numPr>
              <w:spacing w:after="60"/>
              <w:rPr>
                <w:rFonts w:cs="Arial"/>
              </w:rPr>
            </w:pPr>
            <w:r w:rsidRPr="001A1836">
              <w:rPr>
                <w:rFonts w:cs="Arial"/>
              </w:rPr>
              <w:t>Installer details (Business name, Registration Number, name of Engineer)</w:t>
            </w:r>
          </w:p>
          <w:p w14:paraId="468B4E29" w14:textId="77777777" w:rsidR="00694B53" w:rsidRPr="001A1836" w:rsidRDefault="00694B53" w:rsidP="004E2262">
            <w:pPr>
              <w:pStyle w:val="ListParagraph"/>
              <w:numPr>
                <w:ilvl w:val="1"/>
                <w:numId w:val="53"/>
              </w:numPr>
              <w:spacing w:after="60"/>
              <w:rPr>
                <w:rFonts w:cs="Arial"/>
              </w:rPr>
            </w:pPr>
            <w:r w:rsidRPr="001A1836">
              <w:rPr>
                <w:rFonts w:cs="Arial"/>
              </w:rPr>
              <w:t>Other parties (eg neighbours, landlord) – name, address, contact details</w:t>
            </w:r>
          </w:p>
          <w:p w14:paraId="69424ED0" w14:textId="77777777" w:rsidR="00694B53" w:rsidRPr="001A1836" w:rsidRDefault="00694B53" w:rsidP="004E2262">
            <w:pPr>
              <w:pStyle w:val="ListParagraph"/>
              <w:numPr>
                <w:ilvl w:val="0"/>
                <w:numId w:val="53"/>
              </w:numPr>
              <w:spacing w:after="60"/>
              <w:rPr>
                <w:rFonts w:cs="Arial"/>
              </w:rPr>
            </w:pPr>
            <w:r w:rsidRPr="001A1836">
              <w:rPr>
                <w:rFonts w:cs="Arial"/>
              </w:rPr>
              <w:t>Appeals against sanctions</w:t>
            </w:r>
          </w:p>
          <w:p w14:paraId="2FD66C30" w14:textId="77777777" w:rsidR="00694B53" w:rsidRPr="001A1836" w:rsidRDefault="00694B53" w:rsidP="004E2262">
            <w:pPr>
              <w:pStyle w:val="ListParagraph"/>
              <w:numPr>
                <w:ilvl w:val="0"/>
                <w:numId w:val="53"/>
              </w:numPr>
              <w:spacing w:after="60"/>
            </w:pPr>
            <w:r w:rsidRPr="001A1836">
              <w:rPr>
                <w:rFonts w:cs="Arial"/>
              </w:rPr>
              <w:t>Complaints against service</w:t>
            </w:r>
          </w:p>
        </w:tc>
      </w:tr>
      <w:tr w:rsidR="00694B53" w:rsidRPr="001A1836" w14:paraId="69C58B64" w14:textId="77777777" w:rsidTr="00694B53">
        <w:tc>
          <w:tcPr>
            <w:tcW w:w="2258" w:type="dxa"/>
            <w:tcBorders>
              <w:top w:val="single" w:sz="4" w:space="0" w:color="auto"/>
              <w:left w:val="single" w:sz="4" w:space="0" w:color="auto"/>
              <w:bottom w:val="single" w:sz="4" w:space="0" w:color="auto"/>
              <w:right w:val="single" w:sz="4" w:space="0" w:color="auto"/>
            </w:tcBorders>
          </w:tcPr>
          <w:p w14:paraId="59130341" w14:textId="7388B92A" w:rsidR="00694B53" w:rsidRPr="001A1836" w:rsidRDefault="00694B53" w:rsidP="00694B53">
            <w:pPr>
              <w:jc w:val="left"/>
            </w:pPr>
            <w:bookmarkStart w:id="3725" w:name="_Hlk529276279"/>
            <w:r>
              <w:lastRenderedPageBreak/>
              <w:t xml:space="preserve">Category 6 of Data Subject and </w:t>
            </w:r>
            <w:r w:rsidRPr="001A1836">
              <w:t>Type of Personal Data</w:t>
            </w:r>
          </w:p>
        </w:tc>
        <w:tc>
          <w:tcPr>
            <w:tcW w:w="6752" w:type="dxa"/>
            <w:tcBorders>
              <w:top w:val="single" w:sz="4" w:space="0" w:color="auto"/>
              <w:left w:val="single" w:sz="4" w:space="0" w:color="auto"/>
              <w:bottom w:val="single" w:sz="4" w:space="0" w:color="auto"/>
              <w:right w:val="single" w:sz="4" w:space="0" w:color="auto"/>
            </w:tcBorders>
          </w:tcPr>
          <w:p w14:paraId="7CC9A7DA" w14:textId="77777777" w:rsidR="00694B53" w:rsidRDefault="00694B53" w:rsidP="00694B53">
            <w:r>
              <w:t>Consumers – Notifications:</w:t>
            </w:r>
          </w:p>
          <w:p w14:paraId="0830565D" w14:textId="77777777" w:rsidR="00694B53" w:rsidRDefault="00694B53" w:rsidP="004E2262">
            <w:pPr>
              <w:pStyle w:val="ListParagraph"/>
              <w:numPr>
                <w:ilvl w:val="0"/>
                <w:numId w:val="80"/>
              </w:numPr>
            </w:pPr>
            <w:r>
              <w:t>Consumer name</w:t>
            </w:r>
          </w:p>
          <w:p w14:paraId="052A1E4F" w14:textId="77777777" w:rsidR="00694B53" w:rsidRDefault="00694B53" w:rsidP="004E2262">
            <w:pPr>
              <w:pStyle w:val="ListParagraph"/>
              <w:numPr>
                <w:ilvl w:val="0"/>
                <w:numId w:val="80"/>
              </w:numPr>
            </w:pPr>
            <w:r>
              <w:t>Consumer address (where appliance installed)</w:t>
            </w:r>
          </w:p>
          <w:p w14:paraId="33E351DC" w14:textId="77777777" w:rsidR="00694B53" w:rsidRDefault="00694B53" w:rsidP="004E2262">
            <w:pPr>
              <w:pStyle w:val="ListParagraph"/>
              <w:numPr>
                <w:ilvl w:val="0"/>
                <w:numId w:val="80"/>
              </w:numPr>
            </w:pPr>
            <w:r>
              <w:t>Consumer/householder email address</w:t>
            </w:r>
          </w:p>
          <w:p w14:paraId="089E47E2" w14:textId="3A824D7C" w:rsidR="00694B53" w:rsidRDefault="00694B53" w:rsidP="004E2262">
            <w:pPr>
              <w:pStyle w:val="ListParagraph"/>
              <w:numPr>
                <w:ilvl w:val="0"/>
                <w:numId w:val="80"/>
              </w:numPr>
            </w:pPr>
            <w:r>
              <w:t>Delivery address of certificate (if different to installation address)</w:t>
            </w:r>
          </w:p>
          <w:p w14:paraId="62BC3837" w14:textId="14F11D8A" w:rsidR="00694B53" w:rsidRPr="001A1836" w:rsidDel="00211979" w:rsidRDefault="00694B53" w:rsidP="004E2262">
            <w:pPr>
              <w:pStyle w:val="ListParagraph"/>
              <w:numPr>
                <w:ilvl w:val="0"/>
                <w:numId w:val="53"/>
              </w:numPr>
              <w:spacing w:after="60"/>
              <w:rPr>
                <w:rFonts w:cs="Arial"/>
              </w:rPr>
            </w:pPr>
            <w:r>
              <w:t>Registered Business details (Business name, Registration number, installing Engineer, Engineer registration number)</w:t>
            </w:r>
          </w:p>
        </w:tc>
      </w:tr>
      <w:bookmarkEnd w:id="3725"/>
      <w:tr w:rsidR="00694B53" w:rsidRPr="001A1836" w14:paraId="48E3CC98" w14:textId="77777777" w:rsidTr="00694B53">
        <w:tc>
          <w:tcPr>
            <w:tcW w:w="2258" w:type="dxa"/>
            <w:tcBorders>
              <w:top w:val="single" w:sz="4" w:space="0" w:color="auto"/>
              <w:left w:val="single" w:sz="4" w:space="0" w:color="auto"/>
              <w:bottom w:val="single" w:sz="4" w:space="0" w:color="auto"/>
              <w:right w:val="single" w:sz="4" w:space="0" w:color="auto"/>
            </w:tcBorders>
          </w:tcPr>
          <w:p w14:paraId="5A816D5E" w14:textId="7CDD8CCC" w:rsidR="00694B53" w:rsidRPr="001A1836" w:rsidRDefault="00694B53" w:rsidP="00694B53">
            <w:pPr>
              <w:jc w:val="left"/>
              <w:rPr>
                <w:rFonts w:cs="Arial"/>
              </w:rPr>
            </w:pPr>
            <w:r>
              <w:t xml:space="preserve">Category 7 of Data Subject and </w:t>
            </w:r>
            <w:r w:rsidRPr="001A1836">
              <w:rPr>
                <w:rFonts w:cs="Arial"/>
              </w:rPr>
              <w:t>Type of Personal Data</w:t>
            </w:r>
          </w:p>
        </w:tc>
        <w:tc>
          <w:tcPr>
            <w:tcW w:w="6752" w:type="dxa"/>
            <w:tcBorders>
              <w:top w:val="single" w:sz="4" w:space="0" w:color="auto"/>
              <w:left w:val="single" w:sz="4" w:space="0" w:color="auto"/>
              <w:bottom w:val="single" w:sz="4" w:space="0" w:color="auto"/>
              <w:right w:val="single" w:sz="4" w:space="0" w:color="auto"/>
            </w:tcBorders>
          </w:tcPr>
          <w:p w14:paraId="324D9A86" w14:textId="77777777" w:rsidR="00694B53" w:rsidRPr="001A1836" w:rsidRDefault="00694B53" w:rsidP="00694B53">
            <w:pPr>
              <w:jc w:val="left"/>
              <w:rPr>
                <w:rFonts w:cs="Arial"/>
              </w:rPr>
            </w:pPr>
            <w:r w:rsidRPr="001A1836">
              <w:rPr>
                <w:rFonts w:cs="Arial"/>
              </w:rPr>
              <w:t>Consumers – Marketing (optional):</w:t>
            </w:r>
          </w:p>
          <w:p w14:paraId="662DC551" w14:textId="77777777" w:rsidR="00694B53" w:rsidRPr="001A1836" w:rsidRDefault="00694B53" w:rsidP="004E2262">
            <w:pPr>
              <w:pStyle w:val="ListParagraph"/>
              <w:numPr>
                <w:ilvl w:val="0"/>
                <w:numId w:val="56"/>
              </w:numPr>
              <w:spacing w:after="60"/>
              <w:rPr>
                <w:rFonts w:cs="Arial"/>
              </w:rPr>
            </w:pPr>
            <w:r w:rsidRPr="001A1836">
              <w:rPr>
                <w:rFonts w:cs="Arial"/>
              </w:rPr>
              <w:t>Consumer name</w:t>
            </w:r>
          </w:p>
          <w:p w14:paraId="04F7AEF0" w14:textId="77777777" w:rsidR="00694B53" w:rsidRPr="001A1836" w:rsidRDefault="00694B53" w:rsidP="004E2262">
            <w:pPr>
              <w:pStyle w:val="ListParagraph"/>
              <w:numPr>
                <w:ilvl w:val="0"/>
                <w:numId w:val="56"/>
              </w:numPr>
              <w:spacing w:after="60"/>
              <w:rPr>
                <w:rFonts w:cs="Arial"/>
              </w:rPr>
            </w:pPr>
            <w:r w:rsidRPr="001A1836">
              <w:rPr>
                <w:rFonts w:cs="Arial"/>
              </w:rPr>
              <w:t>Consumer email address</w:t>
            </w:r>
          </w:p>
          <w:p w14:paraId="2CFEDFFE" w14:textId="77777777" w:rsidR="00694B53" w:rsidRPr="001A1836" w:rsidRDefault="00694B53" w:rsidP="004E2262">
            <w:pPr>
              <w:pStyle w:val="ListParagraph"/>
              <w:numPr>
                <w:ilvl w:val="0"/>
                <w:numId w:val="56"/>
              </w:numPr>
              <w:spacing w:after="60"/>
              <w:rPr>
                <w:rFonts w:cs="Arial"/>
              </w:rPr>
            </w:pPr>
            <w:r w:rsidRPr="001A1836">
              <w:rPr>
                <w:rFonts w:cs="Arial"/>
              </w:rPr>
              <w:t>Consumer postcode</w:t>
            </w:r>
          </w:p>
        </w:tc>
      </w:tr>
      <w:tr w:rsidR="00694B53" w:rsidRPr="001A1836" w14:paraId="1D9FFD0C" w14:textId="77777777" w:rsidTr="00694B53">
        <w:tc>
          <w:tcPr>
            <w:tcW w:w="2258" w:type="dxa"/>
            <w:tcBorders>
              <w:top w:val="single" w:sz="4" w:space="0" w:color="auto"/>
              <w:left w:val="single" w:sz="4" w:space="0" w:color="auto"/>
              <w:bottom w:val="single" w:sz="4" w:space="0" w:color="auto"/>
              <w:right w:val="single" w:sz="4" w:space="0" w:color="auto"/>
            </w:tcBorders>
          </w:tcPr>
          <w:p w14:paraId="662CBB55" w14:textId="3EAA28AE" w:rsidR="00694B53" w:rsidRPr="001A1836" w:rsidRDefault="00694B53" w:rsidP="00694B53">
            <w:pPr>
              <w:jc w:val="left"/>
              <w:rPr>
                <w:rFonts w:cs="Arial"/>
              </w:rPr>
            </w:pPr>
            <w:r>
              <w:t xml:space="preserve">Category 8 of Data Subject and </w:t>
            </w:r>
            <w:r w:rsidRPr="001A1836">
              <w:rPr>
                <w:rFonts w:cs="Arial"/>
              </w:rPr>
              <w:t>Type of Personal Data</w:t>
            </w:r>
          </w:p>
        </w:tc>
        <w:tc>
          <w:tcPr>
            <w:tcW w:w="6752" w:type="dxa"/>
            <w:tcBorders>
              <w:top w:val="single" w:sz="4" w:space="0" w:color="auto"/>
              <w:left w:val="single" w:sz="4" w:space="0" w:color="auto"/>
              <w:bottom w:val="single" w:sz="4" w:space="0" w:color="auto"/>
              <w:right w:val="single" w:sz="4" w:space="0" w:color="auto"/>
            </w:tcBorders>
          </w:tcPr>
          <w:p w14:paraId="5D1B9D18" w14:textId="77777777" w:rsidR="00694B53" w:rsidRPr="001A1836" w:rsidRDefault="00694B53" w:rsidP="00694B53">
            <w:pPr>
              <w:jc w:val="left"/>
              <w:rPr>
                <w:rFonts w:cs="Arial"/>
              </w:rPr>
            </w:pPr>
            <w:r w:rsidRPr="001A1836">
              <w:rPr>
                <w:rFonts w:cs="Arial"/>
              </w:rPr>
              <w:t xml:space="preserve">Stakeholders </w:t>
            </w:r>
          </w:p>
          <w:p w14:paraId="07668D2B" w14:textId="77777777" w:rsidR="00694B53" w:rsidRPr="001A1836" w:rsidRDefault="00694B53" w:rsidP="004E2262">
            <w:pPr>
              <w:pStyle w:val="ListParagraph"/>
              <w:numPr>
                <w:ilvl w:val="0"/>
                <w:numId w:val="55"/>
              </w:numPr>
              <w:spacing w:after="60"/>
              <w:rPr>
                <w:rFonts w:cs="Arial"/>
              </w:rPr>
            </w:pPr>
            <w:r w:rsidRPr="001A1836">
              <w:rPr>
                <w:rFonts w:cs="Arial"/>
              </w:rPr>
              <w:t>Stakeholder name</w:t>
            </w:r>
          </w:p>
          <w:p w14:paraId="0442703C" w14:textId="77777777" w:rsidR="00694B53" w:rsidRPr="001A1836" w:rsidRDefault="00694B53" w:rsidP="004E2262">
            <w:pPr>
              <w:pStyle w:val="ListParagraph"/>
              <w:numPr>
                <w:ilvl w:val="0"/>
                <w:numId w:val="55"/>
              </w:numPr>
              <w:spacing w:after="60"/>
              <w:rPr>
                <w:rFonts w:cs="Arial"/>
              </w:rPr>
            </w:pPr>
            <w:r w:rsidRPr="001A1836">
              <w:rPr>
                <w:rFonts w:cs="Arial"/>
              </w:rPr>
              <w:t>Stakeholder email address</w:t>
            </w:r>
          </w:p>
          <w:p w14:paraId="03D85776" w14:textId="77777777" w:rsidR="00694B53" w:rsidRPr="001A1836" w:rsidRDefault="00694B53" w:rsidP="004E2262">
            <w:pPr>
              <w:pStyle w:val="ListParagraph"/>
              <w:numPr>
                <w:ilvl w:val="0"/>
                <w:numId w:val="55"/>
              </w:numPr>
              <w:spacing w:after="60"/>
              <w:rPr>
                <w:rFonts w:cs="Arial"/>
              </w:rPr>
            </w:pPr>
            <w:r w:rsidRPr="001A1836">
              <w:rPr>
                <w:rFonts w:cs="Arial"/>
              </w:rPr>
              <w:t>Stakeholder address &amp; postcode</w:t>
            </w:r>
          </w:p>
        </w:tc>
      </w:tr>
      <w:tr w:rsidR="00694B53" w:rsidRPr="001A1836" w14:paraId="656C151D" w14:textId="77777777" w:rsidTr="00694B53">
        <w:tc>
          <w:tcPr>
            <w:tcW w:w="2258" w:type="dxa"/>
            <w:tcBorders>
              <w:top w:val="single" w:sz="4" w:space="0" w:color="auto"/>
              <w:left w:val="single" w:sz="4" w:space="0" w:color="auto"/>
              <w:bottom w:val="single" w:sz="4" w:space="0" w:color="auto"/>
              <w:right w:val="single" w:sz="4" w:space="0" w:color="auto"/>
            </w:tcBorders>
          </w:tcPr>
          <w:p w14:paraId="1DBB6B29" w14:textId="014D4692" w:rsidR="00694B53" w:rsidRPr="001A1836" w:rsidRDefault="00694B53" w:rsidP="00694B53">
            <w:pPr>
              <w:jc w:val="left"/>
            </w:pPr>
          </w:p>
        </w:tc>
        <w:tc>
          <w:tcPr>
            <w:tcW w:w="6752" w:type="dxa"/>
            <w:tcBorders>
              <w:top w:val="single" w:sz="4" w:space="0" w:color="auto"/>
              <w:left w:val="single" w:sz="4" w:space="0" w:color="auto"/>
              <w:bottom w:val="single" w:sz="4" w:space="0" w:color="auto"/>
              <w:right w:val="single" w:sz="4" w:space="0" w:color="auto"/>
            </w:tcBorders>
          </w:tcPr>
          <w:p w14:paraId="6B4C33CC" w14:textId="467449B6" w:rsidR="00694B53" w:rsidRPr="001A1836" w:rsidRDefault="00694B53" w:rsidP="00694B53">
            <w:pPr>
              <w:jc w:val="left"/>
            </w:pPr>
          </w:p>
        </w:tc>
      </w:tr>
      <w:tr w:rsidR="00694B53" w:rsidRPr="001A1836" w14:paraId="70BC1DCB" w14:textId="77777777" w:rsidTr="00694B53">
        <w:tc>
          <w:tcPr>
            <w:tcW w:w="2258" w:type="dxa"/>
            <w:tcBorders>
              <w:top w:val="single" w:sz="4" w:space="0" w:color="auto"/>
              <w:left w:val="single" w:sz="4" w:space="0" w:color="auto"/>
              <w:bottom w:val="single" w:sz="4" w:space="0" w:color="auto"/>
              <w:right w:val="single" w:sz="4" w:space="0" w:color="auto"/>
            </w:tcBorders>
            <w:hideMark/>
          </w:tcPr>
          <w:p w14:paraId="7E72EB0C" w14:textId="1D978451" w:rsidR="00694B53" w:rsidRPr="001A1836" w:rsidRDefault="00694B53" w:rsidP="00694B53">
            <w:pPr>
              <w:jc w:val="left"/>
            </w:pPr>
            <w:r w:rsidRPr="001A1836">
              <w:t xml:space="preserve">Plan for return and destruction of the data once the processing is complete UNLESS requirement under </w:t>
            </w:r>
            <w:r>
              <w:t xml:space="preserve">law </w:t>
            </w:r>
            <w:r w:rsidRPr="001A1836">
              <w:t>to preserve that type of data</w:t>
            </w:r>
          </w:p>
        </w:tc>
        <w:tc>
          <w:tcPr>
            <w:tcW w:w="6752" w:type="dxa"/>
            <w:tcBorders>
              <w:top w:val="single" w:sz="4" w:space="0" w:color="auto"/>
              <w:left w:val="single" w:sz="4" w:space="0" w:color="auto"/>
              <w:bottom w:val="single" w:sz="4" w:space="0" w:color="auto"/>
              <w:right w:val="single" w:sz="4" w:space="0" w:color="auto"/>
            </w:tcBorders>
            <w:hideMark/>
          </w:tcPr>
          <w:p w14:paraId="19B032AF" w14:textId="5908A6BE" w:rsidR="00694B53" w:rsidRPr="001A1836" w:rsidRDefault="00694B53" w:rsidP="00694B53">
            <w:pPr>
              <w:jc w:val="left"/>
            </w:pPr>
            <w:r w:rsidRPr="001A1836">
              <w:t xml:space="preserve">Processing shall be carried out during the </w:t>
            </w:r>
            <w:r>
              <w:t>T</w:t>
            </w:r>
            <w:r w:rsidRPr="001A1836">
              <w:t xml:space="preserve">erm of the Agreement, can cease on expiry or termination, or at the end of any Termination Assistance Period, after which data should be returned to HSE or transferred to a new Provider as advised by HSE. </w:t>
            </w:r>
          </w:p>
          <w:p w14:paraId="179518DA" w14:textId="77777777" w:rsidR="00694B53" w:rsidRPr="001A1836" w:rsidRDefault="00694B53" w:rsidP="00694B53">
            <w:pPr>
              <w:jc w:val="left"/>
            </w:pPr>
          </w:p>
          <w:p w14:paraId="4DE71C4A" w14:textId="77777777" w:rsidR="00694B53" w:rsidRPr="001A1836" w:rsidRDefault="00694B53" w:rsidP="00694B53">
            <w:pPr>
              <w:jc w:val="left"/>
            </w:pPr>
            <w:r w:rsidRPr="001A1836">
              <w:t>Data to be disposed of after 10 years from the last activity against the registration.</w:t>
            </w:r>
          </w:p>
          <w:p w14:paraId="36352C75" w14:textId="77777777" w:rsidR="00694B53" w:rsidRPr="001A1836" w:rsidRDefault="00694B53" w:rsidP="00694B53">
            <w:pPr>
              <w:jc w:val="left"/>
            </w:pPr>
          </w:p>
          <w:p w14:paraId="30F75BB9" w14:textId="5C75722E" w:rsidR="00694B53" w:rsidRPr="001A1836" w:rsidRDefault="00694B53" w:rsidP="00694B53">
            <w:pPr>
              <w:jc w:val="left"/>
            </w:pPr>
            <w:r w:rsidRPr="001A1836">
              <w:t xml:space="preserve">See HSE’s data retention policy, outlined in the Business Classification Scheme and Disposal Schedule at </w:t>
            </w:r>
            <w:hyperlink r:id="rId75" w:history="1">
              <w:r w:rsidRPr="001A1836">
                <w:rPr>
                  <w:rStyle w:val="Hyperlink"/>
                </w:rPr>
                <w:t>www.hse.gov.uk/foi/busclasschem.pdf</w:t>
              </w:r>
            </w:hyperlink>
          </w:p>
          <w:p w14:paraId="1C868C2B" w14:textId="32045723" w:rsidR="00694B53" w:rsidRPr="001A1836" w:rsidRDefault="00694B53" w:rsidP="00694B53">
            <w:pPr>
              <w:jc w:val="left"/>
            </w:pPr>
          </w:p>
        </w:tc>
      </w:tr>
      <w:tr w:rsidR="00694B53" w:rsidRPr="001A1836" w14:paraId="66BCC4A3" w14:textId="77777777" w:rsidTr="00694B53">
        <w:tc>
          <w:tcPr>
            <w:tcW w:w="2258" w:type="dxa"/>
            <w:tcBorders>
              <w:top w:val="single" w:sz="4" w:space="0" w:color="auto"/>
              <w:left w:val="single" w:sz="4" w:space="0" w:color="auto"/>
              <w:bottom w:val="single" w:sz="4" w:space="0" w:color="auto"/>
              <w:right w:val="single" w:sz="4" w:space="0" w:color="auto"/>
            </w:tcBorders>
          </w:tcPr>
          <w:p w14:paraId="674B90E9" w14:textId="3B3235EB" w:rsidR="00694B53" w:rsidRPr="001A1836" w:rsidRDefault="00694B53" w:rsidP="0072090A">
            <w:r w:rsidRPr="00FE5D62">
              <w:rPr>
                <w:rFonts w:cs="Arial"/>
              </w:rPr>
              <w:t xml:space="preserve">Locations at which the </w:t>
            </w:r>
            <w:r w:rsidR="0072090A">
              <w:rPr>
                <w:rFonts w:cs="Arial"/>
              </w:rPr>
              <w:t>Provider and/or its Sub-C</w:t>
            </w:r>
            <w:r w:rsidRPr="00016234">
              <w:rPr>
                <w:rFonts w:cs="Arial"/>
              </w:rPr>
              <w:t xml:space="preserve">ontractors process Personal Data under this </w:t>
            </w:r>
            <w:r w:rsidR="0072090A">
              <w:rPr>
                <w:rFonts w:cs="Arial"/>
              </w:rPr>
              <w:t>Agreement</w:t>
            </w:r>
          </w:p>
        </w:tc>
        <w:tc>
          <w:tcPr>
            <w:tcW w:w="6752" w:type="dxa"/>
            <w:tcBorders>
              <w:top w:val="single" w:sz="4" w:space="0" w:color="auto"/>
              <w:left w:val="single" w:sz="4" w:space="0" w:color="auto"/>
              <w:bottom w:val="single" w:sz="4" w:space="0" w:color="auto"/>
              <w:right w:val="single" w:sz="4" w:space="0" w:color="auto"/>
            </w:tcBorders>
          </w:tcPr>
          <w:p w14:paraId="418FC762" w14:textId="18CBDAC5" w:rsidR="00694B53" w:rsidRDefault="00694B53" w:rsidP="00694B53">
            <w:pPr>
              <w:pStyle w:val="GSRL4numberedclause"/>
              <w:numPr>
                <w:ilvl w:val="0"/>
                <w:numId w:val="0"/>
              </w:numPr>
            </w:pPr>
            <w:r w:rsidRPr="001A1836">
              <w:t xml:space="preserve">Personal data must be held and processed in UK, </w:t>
            </w:r>
            <w:r>
              <w:t>and in accordance with Clause 32</w:t>
            </w:r>
            <w:r w:rsidRPr="001A1836">
              <w:t xml:space="preserve"> of this Agreement.</w:t>
            </w:r>
          </w:p>
          <w:p w14:paraId="756F6EE8" w14:textId="51653BD7" w:rsidR="00701B9B" w:rsidRDefault="00B979F2" w:rsidP="00694B53">
            <w:pPr>
              <w:pStyle w:val="GSRL4numberedclause"/>
              <w:numPr>
                <w:ilvl w:val="0"/>
                <w:numId w:val="0"/>
              </w:numPr>
            </w:pPr>
            <w:r>
              <w:t xml:space="preserve">Microsoft </w:t>
            </w:r>
            <w:r w:rsidR="00C27FFE">
              <w:t>Azure</w:t>
            </w:r>
            <w:r>
              <w:t xml:space="preserve"> – London and Cardiff</w:t>
            </w:r>
          </w:p>
          <w:p w14:paraId="08AB5C9F" w14:textId="77777777" w:rsidR="00B979F2" w:rsidRDefault="00B979F2" w:rsidP="00694B53">
            <w:pPr>
              <w:pStyle w:val="GSRL4numberedclause"/>
              <w:numPr>
                <w:ilvl w:val="0"/>
                <w:numId w:val="0"/>
              </w:numPr>
            </w:pPr>
          </w:p>
          <w:p w14:paraId="59031801" w14:textId="77777777" w:rsidR="00694B53" w:rsidRPr="001A1836" w:rsidRDefault="00694B53" w:rsidP="003216C3">
            <w:pPr>
              <w:pStyle w:val="GSRL4numberedclause"/>
              <w:numPr>
                <w:ilvl w:val="0"/>
                <w:numId w:val="0"/>
              </w:numPr>
            </w:pPr>
          </w:p>
        </w:tc>
      </w:tr>
      <w:tr w:rsidR="0072090A" w:rsidRPr="001A1836" w14:paraId="2B448247" w14:textId="77777777" w:rsidTr="00694B53">
        <w:tc>
          <w:tcPr>
            <w:tcW w:w="2258" w:type="dxa"/>
            <w:tcBorders>
              <w:top w:val="single" w:sz="4" w:space="0" w:color="auto"/>
              <w:left w:val="single" w:sz="4" w:space="0" w:color="auto"/>
              <w:bottom w:val="single" w:sz="4" w:space="0" w:color="auto"/>
              <w:right w:val="single" w:sz="4" w:space="0" w:color="auto"/>
            </w:tcBorders>
          </w:tcPr>
          <w:p w14:paraId="2E7F4F3E" w14:textId="68FEDE02" w:rsidR="0072090A" w:rsidRPr="00FE5D62" w:rsidRDefault="0072090A" w:rsidP="0072090A">
            <w:pPr>
              <w:rPr>
                <w:rFonts w:cs="Arial"/>
              </w:rPr>
            </w:pPr>
            <w:r w:rsidRPr="00FE5D62">
              <w:rPr>
                <w:rFonts w:cs="Arial"/>
              </w:rPr>
              <w:t xml:space="preserve">Protective Measures that the </w:t>
            </w:r>
            <w:r>
              <w:rPr>
                <w:rFonts w:cs="Arial"/>
              </w:rPr>
              <w:t>Provider</w:t>
            </w:r>
            <w:r w:rsidRPr="00FE5D62">
              <w:rPr>
                <w:rFonts w:cs="Arial"/>
              </w:rPr>
              <w:t xml:space="preserve"> and, </w:t>
            </w:r>
            <w:r>
              <w:rPr>
                <w:rFonts w:cs="Arial"/>
              </w:rPr>
              <w:t>where applicable, its Sub-C</w:t>
            </w:r>
            <w:r w:rsidRPr="00016234">
              <w:rPr>
                <w:rFonts w:cs="Arial"/>
              </w:rPr>
              <w:t xml:space="preserve">ontractors have implemented to protect Personal Data processed under this </w:t>
            </w:r>
            <w:r w:rsidRPr="00016234">
              <w:rPr>
                <w:rFonts w:cs="Arial"/>
              </w:rPr>
              <w:lastRenderedPageBreak/>
              <w:t>Agreement</w:t>
            </w:r>
            <w:r w:rsidRPr="00FE5D62">
              <w:rPr>
                <w:rFonts w:cs="Arial"/>
              </w:rPr>
              <w:t xml:space="preserve"> against a breach of </w:t>
            </w:r>
            <w:r w:rsidRPr="001D763B">
              <w:rPr>
                <w:rFonts w:cs="Arial"/>
              </w:rPr>
              <w:t xml:space="preserve">security (insofar as that </w:t>
            </w:r>
            <w:r w:rsidRPr="00C421B6">
              <w:rPr>
                <w:rFonts w:cs="Arial"/>
              </w:rPr>
              <w:t>breach of security relates to data) or a Personal Data Breach</w:t>
            </w:r>
          </w:p>
        </w:tc>
        <w:tc>
          <w:tcPr>
            <w:tcW w:w="6752" w:type="dxa"/>
            <w:tcBorders>
              <w:top w:val="single" w:sz="4" w:space="0" w:color="auto"/>
              <w:left w:val="single" w:sz="4" w:space="0" w:color="auto"/>
              <w:bottom w:val="single" w:sz="4" w:space="0" w:color="auto"/>
              <w:right w:val="single" w:sz="4" w:space="0" w:color="auto"/>
            </w:tcBorders>
          </w:tcPr>
          <w:p w14:paraId="336BC481" w14:textId="312581F0" w:rsidR="00F946D5" w:rsidRPr="00F946D5" w:rsidRDefault="00F946D5" w:rsidP="00F946D5">
            <w:pPr>
              <w:tabs>
                <w:tab w:val="left" w:pos="1134"/>
              </w:tabs>
              <w:adjustRightInd w:val="0"/>
              <w:spacing w:before="120" w:after="120"/>
              <w:rPr>
                <w:rFonts w:cs="Arial"/>
                <w:kern w:val="0"/>
                <w:szCs w:val="22"/>
                <w:lang w:eastAsia="zh-CN"/>
              </w:rPr>
            </w:pPr>
            <w:r w:rsidRPr="00F946D5">
              <w:rPr>
                <w:rFonts w:cs="Arial"/>
                <w:kern w:val="0"/>
                <w:szCs w:val="22"/>
                <w:lang w:eastAsia="zh-CN"/>
              </w:rPr>
              <w:lastRenderedPageBreak/>
              <w:t xml:space="preserve">All data is housed in the Microsoft Azure Cloud Service hosted in the UK Data Regions. Where applicable, </w:t>
            </w:r>
            <w:r w:rsidR="009231DE">
              <w:rPr>
                <w:rFonts w:cs="Arial"/>
                <w:kern w:val="0"/>
                <w:szCs w:val="22"/>
                <w:lang w:eastAsia="zh-CN"/>
              </w:rPr>
              <w:t>the Provider</w:t>
            </w:r>
            <w:r w:rsidR="00100601">
              <w:rPr>
                <w:rFonts w:cs="Arial"/>
                <w:kern w:val="0"/>
                <w:szCs w:val="22"/>
                <w:lang w:eastAsia="zh-CN"/>
              </w:rPr>
              <w:t xml:space="preserve"> </w:t>
            </w:r>
            <w:r w:rsidRPr="00F946D5">
              <w:rPr>
                <w:rFonts w:cs="Arial"/>
                <w:kern w:val="0"/>
                <w:szCs w:val="22"/>
                <w:lang w:eastAsia="zh-CN"/>
              </w:rPr>
              <w:t xml:space="preserve">and </w:t>
            </w:r>
            <w:r w:rsidR="009231DE">
              <w:rPr>
                <w:rFonts w:cs="Arial"/>
                <w:kern w:val="0"/>
                <w:szCs w:val="22"/>
                <w:lang w:eastAsia="zh-CN"/>
              </w:rPr>
              <w:t xml:space="preserve">its </w:t>
            </w:r>
            <w:r w:rsidRPr="00F946D5">
              <w:rPr>
                <w:rFonts w:cs="Arial"/>
                <w:kern w:val="0"/>
                <w:szCs w:val="22"/>
                <w:lang w:eastAsia="zh-CN"/>
              </w:rPr>
              <w:t>Sub-Contractors have implemented robust protective measures to safeguard Personal Data processed under this Agreement. These measures include:</w:t>
            </w:r>
          </w:p>
          <w:p w14:paraId="485E5D88" w14:textId="77777777" w:rsidR="00F946D5" w:rsidRPr="00F946D5" w:rsidRDefault="00F946D5" w:rsidP="00F946D5">
            <w:pPr>
              <w:numPr>
                <w:ilvl w:val="0"/>
                <w:numId w:val="117"/>
              </w:numPr>
              <w:tabs>
                <w:tab w:val="left" w:pos="1134"/>
              </w:tabs>
              <w:adjustRightInd w:val="0"/>
              <w:spacing w:before="120" w:after="120"/>
              <w:jc w:val="left"/>
              <w:rPr>
                <w:rFonts w:cs="Arial"/>
                <w:kern w:val="0"/>
                <w:szCs w:val="22"/>
                <w:lang w:eastAsia="zh-CN"/>
              </w:rPr>
            </w:pPr>
            <w:r w:rsidRPr="00F946D5">
              <w:rPr>
                <w:rFonts w:cs="Arial"/>
                <w:kern w:val="0"/>
                <w:szCs w:val="22"/>
                <w:lang w:eastAsia="zh-CN"/>
              </w:rPr>
              <w:t>Encryption: Data encryption during transmission and at rest to prevent unauthorised access.</w:t>
            </w:r>
          </w:p>
          <w:p w14:paraId="67370DFC" w14:textId="77777777" w:rsidR="00F946D5" w:rsidRPr="00F946D5" w:rsidRDefault="00F946D5" w:rsidP="00F946D5">
            <w:pPr>
              <w:numPr>
                <w:ilvl w:val="0"/>
                <w:numId w:val="117"/>
              </w:numPr>
              <w:tabs>
                <w:tab w:val="left" w:pos="1134"/>
              </w:tabs>
              <w:adjustRightInd w:val="0"/>
              <w:spacing w:before="120" w:after="120"/>
              <w:jc w:val="left"/>
              <w:rPr>
                <w:rFonts w:cs="Arial"/>
                <w:kern w:val="0"/>
                <w:szCs w:val="22"/>
                <w:lang w:eastAsia="zh-CN"/>
              </w:rPr>
            </w:pPr>
            <w:r w:rsidRPr="00F946D5">
              <w:rPr>
                <w:rFonts w:cs="Arial"/>
                <w:kern w:val="0"/>
                <w:szCs w:val="22"/>
                <w:lang w:eastAsia="zh-CN"/>
              </w:rPr>
              <w:lastRenderedPageBreak/>
              <w:t>Access Controls: Role-based access management and multi-factor authentication to restrict data access to authorised personnel only.</w:t>
            </w:r>
          </w:p>
          <w:p w14:paraId="462065BF" w14:textId="77777777" w:rsidR="00F946D5" w:rsidRPr="00F946D5" w:rsidRDefault="00F946D5" w:rsidP="00F946D5">
            <w:pPr>
              <w:numPr>
                <w:ilvl w:val="0"/>
                <w:numId w:val="117"/>
              </w:numPr>
              <w:tabs>
                <w:tab w:val="left" w:pos="1134"/>
              </w:tabs>
              <w:adjustRightInd w:val="0"/>
              <w:spacing w:before="120" w:after="120"/>
              <w:jc w:val="left"/>
              <w:rPr>
                <w:rFonts w:cs="Arial"/>
                <w:kern w:val="0"/>
                <w:szCs w:val="22"/>
                <w:lang w:eastAsia="zh-CN"/>
              </w:rPr>
            </w:pPr>
            <w:r w:rsidRPr="00F946D5">
              <w:rPr>
                <w:rFonts w:cs="Arial"/>
                <w:kern w:val="0"/>
                <w:szCs w:val="22"/>
                <w:lang w:eastAsia="zh-CN"/>
              </w:rPr>
              <w:t>Monitoring and Auditing: Continuous monitoring of systems and regular security audits to identify and mitigate vulnerabilities.</w:t>
            </w:r>
          </w:p>
          <w:p w14:paraId="63EC2B1F" w14:textId="77777777" w:rsidR="00F946D5" w:rsidRPr="00F946D5" w:rsidRDefault="00F946D5" w:rsidP="00F946D5">
            <w:pPr>
              <w:numPr>
                <w:ilvl w:val="0"/>
                <w:numId w:val="117"/>
              </w:numPr>
              <w:tabs>
                <w:tab w:val="left" w:pos="1134"/>
              </w:tabs>
              <w:adjustRightInd w:val="0"/>
              <w:spacing w:before="120" w:after="120"/>
              <w:jc w:val="left"/>
              <w:rPr>
                <w:rFonts w:cs="Arial"/>
                <w:kern w:val="0"/>
                <w:szCs w:val="22"/>
                <w:lang w:eastAsia="zh-CN"/>
              </w:rPr>
            </w:pPr>
            <w:r w:rsidRPr="00F946D5">
              <w:rPr>
                <w:rFonts w:cs="Arial"/>
                <w:kern w:val="0"/>
                <w:szCs w:val="22"/>
                <w:lang w:eastAsia="zh-CN"/>
              </w:rPr>
              <w:t>Secure Data Storage: Use of secure servers and compliance with industry standards for data storage.</w:t>
            </w:r>
          </w:p>
          <w:p w14:paraId="763F4330" w14:textId="77777777" w:rsidR="00F946D5" w:rsidRPr="00F946D5" w:rsidRDefault="00F946D5" w:rsidP="00F946D5">
            <w:pPr>
              <w:numPr>
                <w:ilvl w:val="0"/>
                <w:numId w:val="117"/>
              </w:numPr>
              <w:tabs>
                <w:tab w:val="left" w:pos="1134"/>
              </w:tabs>
              <w:adjustRightInd w:val="0"/>
              <w:spacing w:before="120" w:after="120"/>
              <w:jc w:val="left"/>
              <w:rPr>
                <w:rFonts w:cs="Arial"/>
                <w:kern w:val="0"/>
                <w:szCs w:val="22"/>
                <w:lang w:eastAsia="zh-CN"/>
              </w:rPr>
            </w:pPr>
            <w:r w:rsidRPr="00F946D5">
              <w:rPr>
                <w:rFonts w:cs="Arial"/>
                <w:kern w:val="0"/>
                <w:szCs w:val="22"/>
                <w:lang w:eastAsia="zh-CN"/>
              </w:rPr>
              <w:t>Incident Response Plans: Well-defined Capita wide procedures for detecting, responding to, and mitigating the effects of data breaches.</w:t>
            </w:r>
          </w:p>
          <w:p w14:paraId="74017D19" w14:textId="77777777" w:rsidR="00F946D5" w:rsidRPr="00F946D5" w:rsidRDefault="00F946D5" w:rsidP="00F946D5">
            <w:pPr>
              <w:numPr>
                <w:ilvl w:val="0"/>
                <w:numId w:val="117"/>
              </w:numPr>
              <w:tabs>
                <w:tab w:val="left" w:pos="1134"/>
              </w:tabs>
              <w:adjustRightInd w:val="0"/>
              <w:spacing w:before="120" w:after="120"/>
              <w:jc w:val="left"/>
              <w:rPr>
                <w:rFonts w:cs="Arial"/>
                <w:kern w:val="0"/>
                <w:szCs w:val="22"/>
                <w:lang w:eastAsia="zh-CN"/>
              </w:rPr>
            </w:pPr>
            <w:r w:rsidRPr="00F946D5">
              <w:rPr>
                <w:rFonts w:cs="Arial"/>
                <w:kern w:val="0"/>
                <w:szCs w:val="22"/>
                <w:lang w:eastAsia="zh-CN"/>
              </w:rPr>
              <w:t>Employee Training: Regular training programs to ensure staff are aware of data protection obligations and best practices.</w:t>
            </w:r>
          </w:p>
          <w:p w14:paraId="7829213D" w14:textId="77777777" w:rsidR="00F946D5" w:rsidRPr="00F946D5" w:rsidRDefault="00F946D5" w:rsidP="00F946D5">
            <w:pPr>
              <w:numPr>
                <w:ilvl w:val="0"/>
                <w:numId w:val="117"/>
              </w:numPr>
              <w:tabs>
                <w:tab w:val="left" w:pos="1134"/>
              </w:tabs>
              <w:adjustRightInd w:val="0"/>
              <w:spacing w:before="120" w:after="120"/>
              <w:jc w:val="left"/>
              <w:rPr>
                <w:rFonts w:cs="Arial"/>
                <w:kern w:val="0"/>
                <w:szCs w:val="22"/>
                <w:lang w:eastAsia="zh-CN"/>
              </w:rPr>
            </w:pPr>
            <w:r w:rsidRPr="00F946D5">
              <w:rPr>
                <w:rFonts w:cs="Arial"/>
                <w:kern w:val="0"/>
                <w:szCs w:val="22"/>
                <w:lang w:eastAsia="zh-CN"/>
              </w:rPr>
              <w:t>Sub-Contractor Compliance: Ensuring that Sub-Contractors comply with equivalent security standards and legal requirements.</w:t>
            </w:r>
          </w:p>
          <w:p w14:paraId="650FD3FD" w14:textId="77777777" w:rsidR="0072090A" w:rsidRPr="001A1836" w:rsidRDefault="0072090A" w:rsidP="00F946D5">
            <w:pPr>
              <w:pStyle w:val="GSRL4numberedclause"/>
              <w:numPr>
                <w:ilvl w:val="0"/>
                <w:numId w:val="0"/>
              </w:numPr>
            </w:pPr>
          </w:p>
        </w:tc>
      </w:tr>
    </w:tbl>
    <w:p w14:paraId="7BCFDC38" w14:textId="77777777" w:rsidR="008E344E" w:rsidRPr="001A1836" w:rsidRDefault="008E344E" w:rsidP="008E344E"/>
    <w:p w14:paraId="70404AB3" w14:textId="77777777" w:rsidR="008E344E" w:rsidRPr="001A1836" w:rsidRDefault="008E344E">
      <w:pPr>
        <w:pStyle w:val="GSRL3heading"/>
      </w:pPr>
      <w:bookmarkStart w:id="3726" w:name="_Toc508699436"/>
      <w:bookmarkStart w:id="3727" w:name="_Toc508799937"/>
      <w:bookmarkStart w:id="3728" w:name="_Toc521327227"/>
      <w:bookmarkStart w:id="3729" w:name="_Toc521333460"/>
      <w:bookmarkStart w:id="3730" w:name="_Toc521484184"/>
      <w:bookmarkStart w:id="3731" w:name="_Toc521484947"/>
      <w:bookmarkStart w:id="3732" w:name="_Toc521485278"/>
      <w:bookmarkStart w:id="3733" w:name="_Toc521495158"/>
      <w:bookmarkStart w:id="3734" w:name="_Toc529346154"/>
      <w:bookmarkStart w:id="3735" w:name="_Toc129038394"/>
      <w:bookmarkStart w:id="3736" w:name="_Toc129038680"/>
      <w:bookmarkStart w:id="3737" w:name="_Toc129038701"/>
      <w:bookmarkStart w:id="3738" w:name="_Toc132268261"/>
      <w:bookmarkStart w:id="3739" w:name="_Toc132268567"/>
      <w:bookmarkStart w:id="3740" w:name="_Toc132268607"/>
      <w:bookmarkStart w:id="3741" w:name="_Toc136198795"/>
      <w:bookmarkStart w:id="3742" w:name="_Toc136199076"/>
      <w:bookmarkStart w:id="3743" w:name="_Toc136199102"/>
      <w:r w:rsidRPr="001A1836">
        <w:t>Sources of personal data</w:t>
      </w:r>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p>
    <w:p w14:paraId="6D7EA6B1" w14:textId="01A34EE0" w:rsidR="008E344E" w:rsidRPr="001A1836" w:rsidRDefault="008E344E">
      <w:pPr>
        <w:pStyle w:val="GSRL4numberedclause"/>
      </w:pPr>
      <w:r w:rsidRPr="001A1836">
        <w:t xml:space="preserve">The Provider shall receive personal data about Engineers: </w:t>
      </w:r>
    </w:p>
    <w:p w14:paraId="2ECDC345" w14:textId="77777777" w:rsidR="008E344E" w:rsidRPr="001A1836" w:rsidRDefault="008E344E">
      <w:pPr>
        <w:pStyle w:val="GSRL5numberedclause"/>
      </w:pPr>
      <w:r w:rsidRPr="001A1836">
        <w:t>as supplied by Businesses and Engineers during:</w:t>
      </w:r>
    </w:p>
    <w:p w14:paraId="26C9085B" w14:textId="77777777" w:rsidR="008E344E" w:rsidRPr="001A1836" w:rsidRDefault="008E344E">
      <w:pPr>
        <w:pStyle w:val="GSRL6numberedclause"/>
      </w:pPr>
      <w:r w:rsidRPr="001A1836">
        <w:t>registration application;</w:t>
      </w:r>
    </w:p>
    <w:p w14:paraId="0952602E" w14:textId="77777777" w:rsidR="008E344E" w:rsidRPr="001A1836" w:rsidRDefault="008E344E">
      <w:pPr>
        <w:pStyle w:val="GSRL6numberedclause"/>
      </w:pPr>
      <w:r w:rsidRPr="001A1836">
        <w:t xml:space="preserve">renewal; </w:t>
      </w:r>
    </w:p>
    <w:p w14:paraId="38408560" w14:textId="77777777" w:rsidR="008E344E" w:rsidRPr="001A1836" w:rsidRDefault="008E344E">
      <w:pPr>
        <w:pStyle w:val="GSRL6numberedclause"/>
      </w:pPr>
      <w:r w:rsidRPr="001A1836">
        <w:t>when updating personal or financial information;</w:t>
      </w:r>
    </w:p>
    <w:p w14:paraId="1E49845A" w14:textId="59B140F3" w:rsidR="008E344E" w:rsidRPr="001A1836" w:rsidRDefault="008E344E">
      <w:pPr>
        <w:pStyle w:val="GSRL6numberedclause"/>
      </w:pPr>
      <w:r w:rsidRPr="001A1836">
        <w:t>when Gas Work is notified under the Building Regulations</w:t>
      </w:r>
      <w:r w:rsidR="00A36A45">
        <w:t xml:space="preserve"> or Declaration of Safety</w:t>
      </w:r>
      <w:r w:rsidRPr="001A1836">
        <w:t>, directly by the Business, or via a third-party.</w:t>
      </w:r>
    </w:p>
    <w:p w14:paraId="05672752" w14:textId="77777777" w:rsidR="008E344E" w:rsidRPr="001A1836" w:rsidRDefault="008E344E">
      <w:pPr>
        <w:pStyle w:val="GSRL5numberedclause"/>
      </w:pPr>
      <w:r w:rsidRPr="001A1836">
        <w:t>via API upload from Awarding Bodies when Qualifications are taken or renewed;</w:t>
      </w:r>
    </w:p>
    <w:p w14:paraId="615C3839" w14:textId="77777777" w:rsidR="008E344E" w:rsidRPr="001A1836" w:rsidRDefault="008E344E">
      <w:pPr>
        <w:pStyle w:val="GSRL5numberedclause"/>
      </w:pPr>
      <w:r w:rsidRPr="001A1836">
        <w:t>following an Inspection of a Business and/or Engineer;</w:t>
      </w:r>
    </w:p>
    <w:p w14:paraId="29E5CED5" w14:textId="77777777" w:rsidR="008E344E" w:rsidRPr="001A1836" w:rsidRDefault="008E344E">
      <w:pPr>
        <w:pStyle w:val="GSRL5numberedclause"/>
      </w:pPr>
      <w:r w:rsidRPr="001A1836">
        <w:t>when complaints are made against Businesses or Engineers.</w:t>
      </w:r>
    </w:p>
    <w:p w14:paraId="7289817F" w14:textId="77777777" w:rsidR="008E344E" w:rsidRPr="001A1836" w:rsidRDefault="008E344E">
      <w:pPr>
        <w:pStyle w:val="GSRL3heading"/>
      </w:pPr>
      <w:bookmarkStart w:id="3744" w:name="_Toc511905883"/>
      <w:bookmarkStart w:id="3745" w:name="_Toc521327229"/>
      <w:bookmarkStart w:id="3746" w:name="_Toc521333462"/>
      <w:bookmarkStart w:id="3747" w:name="_Toc521484186"/>
      <w:bookmarkStart w:id="3748" w:name="_Toc521484949"/>
      <w:bookmarkStart w:id="3749" w:name="_Toc521485280"/>
      <w:bookmarkStart w:id="3750" w:name="_Toc521495160"/>
      <w:bookmarkStart w:id="3751" w:name="_Toc529346156"/>
      <w:bookmarkStart w:id="3752" w:name="_Toc129038396"/>
      <w:bookmarkStart w:id="3753" w:name="_Toc129038682"/>
      <w:bookmarkStart w:id="3754" w:name="_Toc129038703"/>
      <w:bookmarkStart w:id="3755" w:name="_Toc132268265"/>
      <w:bookmarkStart w:id="3756" w:name="_Toc132268571"/>
      <w:bookmarkStart w:id="3757" w:name="_Toc132268611"/>
      <w:bookmarkStart w:id="3758" w:name="_Toc136198796"/>
      <w:bookmarkStart w:id="3759" w:name="_Toc136199077"/>
      <w:bookmarkStart w:id="3760" w:name="_Toc136199103"/>
      <w:r w:rsidRPr="001A1836">
        <w:t>Recipients of Personal Data</w:t>
      </w:r>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p>
    <w:p w14:paraId="2039D070" w14:textId="77777777" w:rsidR="008E344E" w:rsidRPr="001A1836" w:rsidRDefault="008E344E">
      <w:pPr>
        <w:pStyle w:val="GSRL4numberedclause"/>
      </w:pPr>
      <w:bookmarkStart w:id="3761" w:name="_Ref512949309"/>
      <w:r w:rsidRPr="001A1836">
        <w:t>The following categories of recipients are approved to receive Personal Data:</w:t>
      </w:r>
      <w:bookmarkEnd w:id="3761"/>
    </w:p>
    <w:p w14:paraId="64FE105B" w14:textId="77777777" w:rsidR="008E344E" w:rsidRPr="001A1836" w:rsidRDefault="008E344E">
      <w:pPr>
        <w:pStyle w:val="GSRL5numberedclause"/>
      </w:pPr>
      <w:r w:rsidRPr="001A1836">
        <w:t>enforcement agencies and Government departments, as required to meet their legal or regulatory responsibilities;</w:t>
      </w:r>
    </w:p>
    <w:p w14:paraId="01C671B1" w14:textId="77777777" w:rsidR="008E344E" w:rsidRPr="001A1836" w:rsidRDefault="008E344E">
      <w:pPr>
        <w:pStyle w:val="GSRL5numberedclause"/>
      </w:pPr>
      <w:r w:rsidRPr="001A1836">
        <w:t>local authorities and Local Authority Building Control, limited to:</w:t>
      </w:r>
    </w:p>
    <w:p w14:paraId="350445BB" w14:textId="77777777" w:rsidR="008E344E" w:rsidRPr="001A1836" w:rsidRDefault="008E344E">
      <w:pPr>
        <w:pStyle w:val="GSRL6numberedclause"/>
      </w:pPr>
      <w:r w:rsidRPr="001A1836">
        <w:t>Property address;</w:t>
      </w:r>
    </w:p>
    <w:p w14:paraId="7FF3D3C6" w14:textId="77777777" w:rsidR="008E344E" w:rsidRPr="001A1836" w:rsidRDefault="008E344E">
      <w:pPr>
        <w:pStyle w:val="GSRL6numberedclause"/>
      </w:pPr>
      <w:r w:rsidRPr="001A1836">
        <w:t>Registered Business name, address and registration number.</w:t>
      </w:r>
    </w:p>
    <w:p w14:paraId="481056A7" w14:textId="77777777" w:rsidR="008E344E" w:rsidRPr="001A1836" w:rsidRDefault="008E344E">
      <w:pPr>
        <w:pStyle w:val="GSRL5numberedclause"/>
      </w:pPr>
      <w:r w:rsidRPr="001A1836">
        <w:lastRenderedPageBreak/>
        <w:t xml:space="preserve">gas appliance manufacturers. </w:t>
      </w:r>
      <w:bookmarkStart w:id="3762" w:name="_Toc511905884"/>
    </w:p>
    <w:p w14:paraId="35D92B19" w14:textId="77777777" w:rsidR="008E344E" w:rsidRPr="001A1836" w:rsidRDefault="008E344E">
      <w:pPr>
        <w:pStyle w:val="GSRL3heading"/>
      </w:pPr>
      <w:bookmarkStart w:id="3763" w:name="_Toc521327230"/>
      <w:bookmarkStart w:id="3764" w:name="_Toc521333463"/>
      <w:bookmarkStart w:id="3765" w:name="_Toc521484187"/>
      <w:bookmarkStart w:id="3766" w:name="_Toc521484950"/>
      <w:bookmarkStart w:id="3767" w:name="_Toc521485281"/>
      <w:bookmarkStart w:id="3768" w:name="_Toc521495161"/>
      <w:bookmarkStart w:id="3769" w:name="_Toc529346157"/>
      <w:bookmarkStart w:id="3770" w:name="_Toc129038397"/>
      <w:bookmarkStart w:id="3771" w:name="_Toc129038683"/>
      <w:bookmarkStart w:id="3772" w:name="_Toc129038704"/>
      <w:bookmarkStart w:id="3773" w:name="_Toc132268266"/>
      <w:bookmarkStart w:id="3774" w:name="_Toc132268572"/>
      <w:bookmarkStart w:id="3775" w:name="_Toc132268612"/>
      <w:bookmarkStart w:id="3776" w:name="_Toc136198797"/>
      <w:bookmarkStart w:id="3777" w:name="_Toc136199078"/>
      <w:bookmarkStart w:id="3778" w:name="_Toc136199104"/>
      <w:r w:rsidRPr="001A1836">
        <w:t>Existence of automated decision making, including profiling</w:t>
      </w:r>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p>
    <w:p w14:paraId="67571D2B" w14:textId="77777777" w:rsidR="008E344E" w:rsidRPr="001A1836" w:rsidRDefault="008E344E">
      <w:pPr>
        <w:pStyle w:val="GSRL4numberedclause"/>
      </w:pPr>
      <w:r w:rsidRPr="001A1836">
        <w:t>Registered Businesses and Engineers shall be allocated a risk rating which will determine the risk category they are allocated to.</w:t>
      </w:r>
    </w:p>
    <w:p w14:paraId="1406F894" w14:textId="77777777" w:rsidR="008E344E" w:rsidRPr="001A1836" w:rsidRDefault="008E344E">
      <w:pPr>
        <w:pStyle w:val="GSRL4numberedclause"/>
      </w:pPr>
      <w:r w:rsidRPr="001A1836">
        <w:t>Risk categories are:</w:t>
      </w:r>
    </w:p>
    <w:p w14:paraId="6A7B0634" w14:textId="77777777" w:rsidR="008E344E" w:rsidRPr="001A1836" w:rsidRDefault="008E344E">
      <w:pPr>
        <w:pStyle w:val="GSRL5numberedclause"/>
      </w:pPr>
      <w:r w:rsidRPr="001A1836">
        <w:t>low risk;</w:t>
      </w:r>
    </w:p>
    <w:p w14:paraId="0CA9DAD3" w14:textId="77777777" w:rsidR="008E344E" w:rsidRPr="001A1836" w:rsidRDefault="008E344E">
      <w:pPr>
        <w:pStyle w:val="GSRL5numberedclause"/>
      </w:pPr>
      <w:r w:rsidRPr="001A1836">
        <w:t>medium risk;</w:t>
      </w:r>
    </w:p>
    <w:p w14:paraId="6B3C93A3" w14:textId="77777777" w:rsidR="008E344E" w:rsidRPr="001A1836" w:rsidRDefault="008E344E">
      <w:pPr>
        <w:pStyle w:val="GSRL5numberedclause"/>
      </w:pPr>
      <w:r w:rsidRPr="001A1836">
        <w:t xml:space="preserve">higher risk; </w:t>
      </w:r>
    </w:p>
    <w:p w14:paraId="0DF8BCE5" w14:textId="77777777" w:rsidR="008E344E" w:rsidRPr="001A1836" w:rsidRDefault="008E344E">
      <w:pPr>
        <w:pStyle w:val="GSRL5numberedclause"/>
      </w:pPr>
      <w:r w:rsidRPr="001A1836">
        <w:t>targeted higher risk.</w:t>
      </w:r>
    </w:p>
    <w:p w14:paraId="1A73473B" w14:textId="77777777" w:rsidR="008E344E" w:rsidRPr="001A1836" w:rsidRDefault="008E344E">
      <w:pPr>
        <w:pStyle w:val="GSRL4numberedclause"/>
      </w:pPr>
      <w:r w:rsidRPr="001A1836">
        <w:t>The Provider shall profile Businesses and Engineers using:</w:t>
      </w:r>
    </w:p>
    <w:p w14:paraId="53805216" w14:textId="77777777" w:rsidR="008E344E" w:rsidRPr="001A1836" w:rsidRDefault="008E344E">
      <w:pPr>
        <w:pStyle w:val="GSRL5numberedclause"/>
      </w:pPr>
      <w:r w:rsidRPr="001A1836">
        <w:t>unsafe Gas Work accredited to the Business or Engineer;</w:t>
      </w:r>
    </w:p>
    <w:p w14:paraId="7CDA03E9" w14:textId="77777777" w:rsidR="008E344E" w:rsidRPr="001A1836" w:rsidRDefault="008E344E">
      <w:pPr>
        <w:pStyle w:val="GSRL5numberedclause"/>
      </w:pPr>
      <w:r w:rsidRPr="001A1836">
        <w:t>complaint history;</w:t>
      </w:r>
    </w:p>
    <w:p w14:paraId="52D4ED64" w14:textId="7808668C" w:rsidR="008E344E" w:rsidRPr="001A1836" w:rsidRDefault="00435F96">
      <w:pPr>
        <w:pStyle w:val="GSRL5numberedclause"/>
      </w:pPr>
      <w:r>
        <w:t>I</w:t>
      </w:r>
      <w:r w:rsidR="008E344E" w:rsidRPr="001A1836">
        <w:t>nspection findings;</w:t>
      </w:r>
    </w:p>
    <w:p w14:paraId="4DA3F6F6" w14:textId="77777777" w:rsidR="008E344E" w:rsidRPr="001A1836" w:rsidRDefault="008E344E">
      <w:pPr>
        <w:pStyle w:val="GSRL5numberedclause"/>
      </w:pPr>
      <w:r w:rsidRPr="001A1836">
        <w:t>location of the business’s registered address or regional depot;</w:t>
      </w:r>
    </w:p>
    <w:p w14:paraId="264608D8" w14:textId="77777777" w:rsidR="008E344E" w:rsidRPr="001A1836" w:rsidRDefault="008E344E">
      <w:pPr>
        <w:pStyle w:val="GSRL5numberedclause"/>
      </w:pPr>
      <w:r w:rsidRPr="001A1836">
        <w:t>Certified Bodies / Awarding Bodies used for qualifications;</w:t>
      </w:r>
    </w:p>
    <w:p w14:paraId="67CE1943" w14:textId="77777777" w:rsidR="008E344E" w:rsidRPr="001A1836" w:rsidRDefault="008E344E">
      <w:pPr>
        <w:pStyle w:val="GSRL5numberedclause"/>
      </w:pPr>
      <w:r w:rsidRPr="001A1836">
        <w:t>engineer age;</w:t>
      </w:r>
    </w:p>
    <w:p w14:paraId="68AC1487" w14:textId="77777777" w:rsidR="008E344E" w:rsidRPr="001A1836" w:rsidRDefault="008E344E">
      <w:pPr>
        <w:pStyle w:val="GSRL5numberedclause"/>
      </w:pPr>
      <w:r w:rsidRPr="001A1836">
        <w:t>qualifications and resultant work categories;</w:t>
      </w:r>
    </w:p>
    <w:p w14:paraId="2C9C5C2E" w14:textId="77777777" w:rsidR="008E344E" w:rsidRPr="001A1836" w:rsidRDefault="008E344E">
      <w:pPr>
        <w:pStyle w:val="GSRL5numberedclause"/>
      </w:pPr>
      <w:r w:rsidRPr="001A1836">
        <w:t>scope of Gas work undertaken, eg domestic, commercial etc;</w:t>
      </w:r>
    </w:p>
    <w:p w14:paraId="05892216" w14:textId="77777777" w:rsidR="008E344E" w:rsidRPr="001A1836" w:rsidRDefault="008E344E">
      <w:pPr>
        <w:pStyle w:val="GSRL5numberedclause"/>
      </w:pPr>
      <w:r w:rsidRPr="001A1836">
        <w:t>registration history.</w:t>
      </w:r>
    </w:p>
    <w:p w14:paraId="78ED6381" w14:textId="77777777" w:rsidR="008E344E" w:rsidRPr="001A1836" w:rsidRDefault="008E344E">
      <w:pPr>
        <w:pStyle w:val="GSRL3heading"/>
      </w:pPr>
      <w:bookmarkStart w:id="3779" w:name="_Toc511905885"/>
      <w:bookmarkStart w:id="3780" w:name="_Toc521327231"/>
      <w:bookmarkStart w:id="3781" w:name="_Toc521333464"/>
      <w:bookmarkStart w:id="3782" w:name="_Toc521484188"/>
      <w:bookmarkStart w:id="3783" w:name="_Toc521484951"/>
      <w:bookmarkStart w:id="3784" w:name="_Toc521485282"/>
      <w:bookmarkStart w:id="3785" w:name="_Toc521495162"/>
      <w:bookmarkStart w:id="3786" w:name="_Toc529346158"/>
      <w:bookmarkStart w:id="3787" w:name="_Toc129038398"/>
      <w:bookmarkStart w:id="3788" w:name="_Toc129038684"/>
      <w:bookmarkStart w:id="3789" w:name="_Toc129038705"/>
      <w:bookmarkStart w:id="3790" w:name="_Toc132268267"/>
      <w:bookmarkStart w:id="3791" w:name="_Toc132268573"/>
      <w:bookmarkStart w:id="3792" w:name="_Toc132268613"/>
      <w:bookmarkStart w:id="3793" w:name="_Toc136198798"/>
      <w:bookmarkStart w:id="3794" w:name="_Toc136199079"/>
      <w:bookmarkStart w:id="3795" w:name="_Toc136199105"/>
      <w:r w:rsidRPr="001A1836">
        <w:t>Right to erasure</w:t>
      </w:r>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p>
    <w:p w14:paraId="460F50F0" w14:textId="77777777" w:rsidR="008E344E" w:rsidRPr="001A1836" w:rsidRDefault="008E344E">
      <w:pPr>
        <w:pStyle w:val="GSRL4numberedclause"/>
      </w:pPr>
      <w:r w:rsidRPr="001A1836">
        <w:t>Right to erasure shall not be applied to registration data, data collected for regulatory purposes or data relating to complaints against businesses or engineers.</w:t>
      </w:r>
    </w:p>
    <w:p w14:paraId="54A0D171" w14:textId="77777777" w:rsidR="008E344E" w:rsidRPr="001A1836" w:rsidRDefault="008E344E">
      <w:pPr>
        <w:pStyle w:val="GSRL4numberedclause"/>
      </w:pPr>
      <w:r w:rsidRPr="001A1836">
        <w:t>Right to erasure may be applied to marketing activity.</w:t>
      </w:r>
    </w:p>
    <w:p w14:paraId="388FB61E" w14:textId="77777777" w:rsidR="008E344E" w:rsidRPr="001A1836" w:rsidRDefault="008E344E">
      <w:pPr>
        <w:pStyle w:val="GSRL3heading"/>
      </w:pPr>
      <w:bookmarkStart w:id="3796" w:name="_Toc511905886"/>
      <w:bookmarkStart w:id="3797" w:name="_Toc521327232"/>
      <w:bookmarkStart w:id="3798" w:name="_Toc521333465"/>
      <w:bookmarkStart w:id="3799" w:name="_Toc521484189"/>
      <w:bookmarkStart w:id="3800" w:name="_Toc521484952"/>
      <w:bookmarkStart w:id="3801" w:name="_Toc521485283"/>
      <w:bookmarkStart w:id="3802" w:name="_Toc521495163"/>
      <w:bookmarkStart w:id="3803" w:name="_Toc529346159"/>
      <w:bookmarkStart w:id="3804" w:name="_Toc129038399"/>
      <w:bookmarkStart w:id="3805" w:name="_Toc129038685"/>
      <w:bookmarkStart w:id="3806" w:name="_Toc129038706"/>
      <w:bookmarkStart w:id="3807" w:name="_Toc132268268"/>
      <w:bookmarkStart w:id="3808" w:name="_Toc132268574"/>
      <w:bookmarkStart w:id="3809" w:name="_Toc132268614"/>
      <w:bookmarkStart w:id="3810" w:name="_Toc136198799"/>
      <w:bookmarkStart w:id="3811" w:name="_Toc136199080"/>
      <w:bookmarkStart w:id="3812" w:name="_Toc136199106"/>
      <w:r w:rsidRPr="001A1836">
        <w:t>Right to rectification</w:t>
      </w:r>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p>
    <w:p w14:paraId="7C4A5D1C" w14:textId="77777777" w:rsidR="008E344E" w:rsidRPr="001A1836" w:rsidRDefault="008E344E">
      <w:pPr>
        <w:pStyle w:val="GSRL4numberedclause"/>
      </w:pPr>
      <w:r w:rsidRPr="001A1836">
        <w:t>The Provider shall rectify inaccurate Personal Data concerning data subjects without delay where an error is reported.</w:t>
      </w:r>
    </w:p>
    <w:p w14:paraId="4BE2EE90" w14:textId="77777777" w:rsidR="008E344E" w:rsidRPr="001A1836" w:rsidRDefault="008E344E">
      <w:pPr>
        <w:pStyle w:val="GSRL3heading"/>
      </w:pPr>
      <w:bookmarkStart w:id="3813" w:name="_Toc511905887"/>
      <w:bookmarkStart w:id="3814" w:name="_Toc521327233"/>
      <w:bookmarkStart w:id="3815" w:name="_Toc521333466"/>
      <w:bookmarkStart w:id="3816" w:name="_Toc521484190"/>
      <w:bookmarkStart w:id="3817" w:name="_Toc521484953"/>
      <w:bookmarkStart w:id="3818" w:name="_Toc521485284"/>
      <w:bookmarkStart w:id="3819" w:name="_Toc521495164"/>
      <w:bookmarkStart w:id="3820" w:name="_Toc529346160"/>
      <w:bookmarkStart w:id="3821" w:name="_Toc129038400"/>
      <w:bookmarkStart w:id="3822" w:name="_Toc129038686"/>
      <w:bookmarkStart w:id="3823" w:name="_Toc129038707"/>
      <w:bookmarkStart w:id="3824" w:name="_Toc132268269"/>
      <w:bookmarkStart w:id="3825" w:name="_Toc132268575"/>
      <w:bookmarkStart w:id="3826" w:name="_Toc132268615"/>
      <w:bookmarkStart w:id="3827" w:name="_Toc136198800"/>
      <w:bookmarkStart w:id="3828" w:name="_Toc136199081"/>
      <w:bookmarkStart w:id="3829" w:name="_Toc136199107"/>
      <w:r w:rsidRPr="001A1836">
        <w:t>Subject Access Requests (SARs)</w:t>
      </w:r>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p>
    <w:p w14:paraId="5BE6D9A9" w14:textId="0001036E" w:rsidR="008E344E" w:rsidRPr="001A1836" w:rsidRDefault="008E344E">
      <w:pPr>
        <w:pStyle w:val="GSRL4numberedclause"/>
      </w:pPr>
      <w:r w:rsidRPr="001A1836">
        <w:t>The Provider shall receive and process any Subject Access Requests on HSE’s beh</w:t>
      </w:r>
      <w:r w:rsidR="00896468">
        <w:t>alf in accordance with Clause 32</w:t>
      </w:r>
      <w:r w:rsidRPr="001A1836">
        <w:t xml:space="preserve"> of this Agreement.</w:t>
      </w:r>
    </w:p>
    <w:p w14:paraId="42390FF2" w14:textId="77777777" w:rsidR="008E344E" w:rsidRPr="001A1836" w:rsidRDefault="008E344E">
      <w:pPr>
        <w:pStyle w:val="GSRL3heading"/>
      </w:pPr>
      <w:bookmarkStart w:id="3830" w:name="_Toc511905888"/>
      <w:bookmarkStart w:id="3831" w:name="_Toc521327234"/>
      <w:bookmarkStart w:id="3832" w:name="_Toc521333467"/>
      <w:bookmarkStart w:id="3833" w:name="_Toc521484191"/>
      <w:bookmarkStart w:id="3834" w:name="_Toc521484954"/>
      <w:bookmarkStart w:id="3835" w:name="_Toc521485285"/>
      <w:bookmarkStart w:id="3836" w:name="_Toc521495165"/>
      <w:bookmarkStart w:id="3837" w:name="_Toc529346161"/>
      <w:bookmarkStart w:id="3838" w:name="_Toc129038401"/>
      <w:bookmarkStart w:id="3839" w:name="_Toc129038687"/>
      <w:bookmarkStart w:id="3840" w:name="_Toc129038708"/>
      <w:bookmarkStart w:id="3841" w:name="_Toc132268270"/>
      <w:bookmarkStart w:id="3842" w:name="_Toc132268576"/>
      <w:bookmarkStart w:id="3843" w:name="_Toc132268616"/>
      <w:bookmarkStart w:id="3844" w:name="_Toc136198801"/>
      <w:bookmarkStart w:id="3845" w:name="_Toc136199082"/>
      <w:bookmarkStart w:id="3846" w:name="_Toc136199108"/>
      <w:r w:rsidRPr="001A1836">
        <w:t>Data retention period</w:t>
      </w:r>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p>
    <w:p w14:paraId="222591CE" w14:textId="37DC6F5E" w:rsidR="008E344E" w:rsidRPr="001A1836" w:rsidRDefault="008E344E">
      <w:pPr>
        <w:pStyle w:val="GSRL4numberedclause"/>
      </w:pPr>
      <w:r w:rsidRPr="001A1836">
        <w:t>Table 2 outlines the data retention periods for different types of data.</w:t>
      </w:r>
    </w:p>
    <w:p w14:paraId="1EA94370" w14:textId="77777777" w:rsidR="00CA27F1" w:rsidRPr="001A1836" w:rsidRDefault="00CA27F1" w:rsidP="00CA27F1">
      <w:pPr>
        <w:pStyle w:val="GSRL4numberedclause"/>
        <w:numPr>
          <w:ilvl w:val="0"/>
          <w:numId w:val="0"/>
        </w:numPr>
        <w:ind w:left="720"/>
      </w:pPr>
    </w:p>
    <w:p w14:paraId="16574BFA" w14:textId="77777777" w:rsidR="008E344E" w:rsidRPr="001A1836" w:rsidRDefault="008E344E" w:rsidP="008E344E">
      <w:pPr>
        <w:pStyle w:val="Number"/>
        <w:tabs>
          <w:tab w:val="left" w:pos="720"/>
        </w:tabs>
        <w:ind w:left="0" w:firstLine="0"/>
      </w:pPr>
      <w:r w:rsidRPr="001A1836">
        <w:rPr>
          <w:b/>
        </w:rPr>
        <w:t>Table 2</w:t>
      </w:r>
      <w:r w:rsidRPr="001A1836">
        <w:t xml:space="preserve"> Data retention periods</w:t>
      </w:r>
    </w:p>
    <w:tbl>
      <w:tblPr>
        <w:tblStyle w:val="TableGrid"/>
        <w:tblW w:w="0" w:type="auto"/>
        <w:tblLook w:val="04A0" w:firstRow="1" w:lastRow="0" w:firstColumn="1" w:lastColumn="0" w:noHBand="0" w:noVBand="1"/>
      </w:tblPr>
      <w:tblGrid>
        <w:gridCol w:w="4510"/>
        <w:gridCol w:w="4500"/>
      </w:tblGrid>
      <w:tr w:rsidR="008E344E" w:rsidRPr="001A1836" w14:paraId="0BA8EA6F" w14:textId="77777777" w:rsidTr="0007607F">
        <w:trPr>
          <w:cantSplit/>
          <w:tblHeader/>
        </w:trPr>
        <w:tc>
          <w:tcPr>
            <w:tcW w:w="4510" w:type="dxa"/>
            <w:tcBorders>
              <w:top w:val="single" w:sz="4" w:space="0" w:color="auto"/>
              <w:left w:val="single" w:sz="4" w:space="0" w:color="auto"/>
              <w:bottom w:val="single" w:sz="4" w:space="0" w:color="auto"/>
              <w:right w:val="single" w:sz="4" w:space="0" w:color="auto"/>
            </w:tcBorders>
            <w:hideMark/>
          </w:tcPr>
          <w:p w14:paraId="2E0A7BE1" w14:textId="77777777" w:rsidR="008E344E" w:rsidRPr="001A1836" w:rsidRDefault="008E344E">
            <w:pPr>
              <w:pStyle w:val="Number"/>
              <w:tabs>
                <w:tab w:val="left" w:pos="720"/>
              </w:tabs>
              <w:spacing w:before="120" w:after="120"/>
              <w:ind w:left="0" w:firstLine="0"/>
              <w:rPr>
                <w:b/>
              </w:rPr>
            </w:pPr>
            <w:r w:rsidRPr="001A1836">
              <w:rPr>
                <w:b/>
              </w:rPr>
              <w:lastRenderedPageBreak/>
              <w:t>Data</w:t>
            </w:r>
          </w:p>
        </w:tc>
        <w:tc>
          <w:tcPr>
            <w:tcW w:w="4500" w:type="dxa"/>
            <w:tcBorders>
              <w:top w:val="single" w:sz="4" w:space="0" w:color="auto"/>
              <w:left w:val="single" w:sz="4" w:space="0" w:color="auto"/>
              <w:bottom w:val="single" w:sz="4" w:space="0" w:color="auto"/>
              <w:right w:val="single" w:sz="4" w:space="0" w:color="auto"/>
            </w:tcBorders>
            <w:hideMark/>
          </w:tcPr>
          <w:p w14:paraId="633F3A35" w14:textId="77777777" w:rsidR="008E344E" w:rsidRPr="001A1836" w:rsidRDefault="008E344E">
            <w:pPr>
              <w:pStyle w:val="Number"/>
              <w:tabs>
                <w:tab w:val="left" w:pos="720"/>
              </w:tabs>
              <w:spacing w:before="120" w:after="120"/>
              <w:ind w:left="0" w:firstLine="0"/>
              <w:rPr>
                <w:b/>
              </w:rPr>
            </w:pPr>
            <w:r w:rsidRPr="001A1836">
              <w:rPr>
                <w:b/>
              </w:rPr>
              <w:t>Retention period</w:t>
            </w:r>
          </w:p>
        </w:tc>
      </w:tr>
      <w:tr w:rsidR="008E344E" w:rsidRPr="001A1836" w14:paraId="230C112A" w14:textId="77777777" w:rsidTr="0007607F">
        <w:trPr>
          <w:cantSplit/>
        </w:trPr>
        <w:tc>
          <w:tcPr>
            <w:tcW w:w="4510" w:type="dxa"/>
            <w:tcBorders>
              <w:top w:val="single" w:sz="4" w:space="0" w:color="auto"/>
              <w:left w:val="single" w:sz="4" w:space="0" w:color="auto"/>
              <w:bottom w:val="single" w:sz="4" w:space="0" w:color="auto"/>
              <w:right w:val="single" w:sz="4" w:space="0" w:color="auto"/>
            </w:tcBorders>
            <w:hideMark/>
          </w:tcPr>
          <w:p w14:paraId="6A365C5E" w14:textId="77777777" w:rsidR="008E344E" w:rsidRPr="001A1836" w:rsidRDefault="008E344E">
            <w:pPr>
              <w:pStyle w:val="Number"/>
              <w:tabs>
                <w:tab w:val="left" w:pos="720"/>
              </w:tabs>
              <w:spacing w:before="120" w:after="120"/>
              <w:ind w:left="0" w:firstLine="0"/>
            </w:pPr>
            <w:r w:rsidRPr="001A1836">
              <w:t>Registration data</w:t>
            </w:r>
          </w:p>
        </w:tc>
        <w:tc>
          <w:tcPr>
            <w:tcW w:w="4500" w:type="dxa"/>
            <w:tcBorders>
              <w:top w:val="single" w:sz="4" w:space="0" w:color="auto"/>
              <w:left w:val="single" w:sz="4" w:space="0" w:color="auto"/>
              <w:bottom w:val="single" w:sz="4" w:space="0" w:color="auto"/>
              <w:right w:val="single" w:sz="4" w:space="0" w:color="auto"/>
            </w:tcBorders>
            <w:hideMark/>
          </w:tcPr>
          <w:p w14:paraId="42827D41" w14:textId="72AA61C9" w:rsidR="008E344E" w:rsidRPr="001A1836" w:rsidRDefault="008E344E">
            <w:pPr>
              <w:pStyle w:val="Number"/>
              <w:tabs>
                <w:tab w:val="left" w:pos="720"/>
              </w:tabs>
              <w:spacing w:before="120" w:after="120"/>
              <w:ind w:left="0" w:firstLine="0"/>
            </w:pPr>
            <w:r w:rsidRPr="001A1836">
              <w:t>Until 1</w:t>
            </w:r>
            <w:r w:rsidR="0007607F">
              <w:t>2</w:t>
            </w:r>
            <w:r w:rsidRPr="001A1836">
              <w:t xml:space="preserve"> years after the last activity recorded against at Business’s or Engineer’s registration </w:t>
            </w:r>
          </w:p>
        </w:tc>
      </w:tr>
      <w:tr w:rsidR="008E344E" w:rsidRPr="001A1836" w14:paraId="14D9BB16" w14:textId="77777777" w:rsidTr="0007607F">
        <w:trPr>
          <w:cantSplit/>
        </w:trPr>
        <w:tc>
          <w:tcPr>
            <w:tcW w:w="4510" w:type="dxa"/>
            <w:tcBorders>
              <w:top w:val="single" w:sz="4" w:space="0" w:color="auto"/>
              <w:left w:val="single" w:sz="4" w:space="0" w:color="auto"/>
              <w:bottom w:val="single" w:sz="4" w:space="0" w:color="auto"/>
              <w:right w:val="single" w:sz="4" w:space="0" w:color="auto"/>
            </w:tcBorders>
            <w:hideMark/>
          </w:tcPr>
          <w:p w14:paraId="20FB36FA" w14:textId="77777777" w:rsidR="008E344E" w:rsidRPr="001A1836" w:rsidRDefault="008E344E">
            <w:pPr>
              <w:pStyle w:val="Number"/>
              <w:tabs>
                <w:tab w:val="left" w:pos="720"/>
              </w:tabs>
              <w:spacing w:before="120" w:after="120"/>
              <w:ind w:left="0" w:firstLine="0"/>
            </w:pPr>
            <w:r w:rsidRPr="001A1836">
              <w:t>Complaints</w:t>
            </w:r>
          </w:p>
        </w:tc>
        <w:tc>
          <w:tcPr>
            <w:tcW w:w="4500" w:type="dxa"/>
            <w:tcBorders>
              <w:top w:val="single" w:sz="4" w:space="0" w:color="auto"/>
              <w:left w:val="single" w:sz="4" w:space="0" w:color="auto"/>
              <w:bottom w:val="single" w:sz="4" w:space="0" w:color="auto"/>
              <w:right w:val="single" w:sz="4" w:space="0" w:color="auto"/>
            </w:tcBorders>
            <w:hideMark/>
          </w:tcPr>
          <w:p w14:paraId="6078C991" w14:textId="7AEC8223" w:rsidR="008E344E" w:rsidRPr="001A1836" w:rsidRDefault="008E344E">
            <w:pPr>
              <w:pStyle w:val="Number"/>
              <w:tabs>
                <w:tab w:val="left" w:pos="720"/>
              </w:tabs>
              <w:spacing w:before="120" w:after="120"/>
              <w:ind w:left="0" w:firstLine="0"/>
            </w:pPr>
            <w:r w:rsidRPr="001A1836">
              <w:t>Until 1</w:t>
            </w:r>
            <w:r w:rsidR="0007607F">
              <w:t>2</w:t>
            </w:r>
            <w:r w:rsidRPr="001A1836">
              <w:t xml:space="preserve"> years after the last activity recorded against at Business’s or Engineer’s registration</w:t>
            </w:r>
          </w:p>
        </w:tc>
      </w:tr>
      <w:tr w:rsidR="008E344E" w:rsidRPr="001A1836" w14:paraId="3BB4B618" w14:textId="77777777" w:rsidTr="0007607F">
        <w:trPr>
          <w:cantSplit/>
        </w:trPr>
        <w:tc>
          <w:tcPr>
            <w:tcW w:w="4510" w:type="dxa"/>
            <w:tcBorders>
              <w:top w:val="single" w:sz="4" w:space="0" w:color="auto"/>
              <w:left w:val="single" w:sz="4" w:space="0" w:color="auto"/>
              <w:bottom w:val="single" w:sz="4" w:space="0" w:color="auto"/>
              <w:right w:val="single" w:sz="4" w:space="0" w:color="auto"/>
            </w:tcBorders>
            <w:hideMark/>
          </w:tcPr>
          <w:p w14:paraId="7FEAF4AF" w14:textId="77777777" w:rsidR="008E344E" w:rsidRPr="001A1836" w:rsidRDefault="008E344E">
            <w:pPr>
              <w:pStyle w:val="Number"/>
              <w:tabs>
                <w:tab w:val="left" w:pos="720"/>
              </w:tabs>
              <w:spacing w:before="120" w:after="120"/>
              <w:ind w:left="0" w:firstLine="0"/>
            </w:pPr>
            <w:r w:rsidRPr="001A1836">
              <w:t>Awarding Body / Certification Body data not held against an active registration</w:t>
            </w:r>
          </w:p>
        </w:tc>
        <w:tc>
          <w:tcPr>
            <w:tcW w:w="4500" w:type="dxa"/>
            <w:tcBorders>
              <w:top w:val="single" w:sz="4" w:space="0" w:color="auto"/>
              <w:left w:val="single" w:sz="4" w:space="0" w:color="auto"/>
              <w:bottom w:val="single" w:sz="4" w:space="0" w:color="auto"/>
              <w:right w:val="single" w:sz="4" w:space="0" w:color="auto"/>
            </w:tcBorders>
            <w:hideMark/>
          </w:tcPr>
          <w:p w14:paraId="73B9D887" w14:textId="6862163D" w:rsidR="008E344E" w:rsidRPr="001A1836" w:rsidRDefault="008E344E">
            <w:pPr>
              <w:pStyle w:val="Number"/>
              <w:tabs>
                <w:tab w:val="left" w:pos="720"/>
              </w:tabs>
              <w:spacing w:before="120" w:after="120"/>
              <w:ind w:left="0" w:firstLine="0"/>
            </w:pPr>
            <w:r w:rsidRPr="001A1836">
              <w:t>Until 1</w:t>
            </w:r>
            <w:r w:rsidR="0007607F">
              <w:t>2</w:t>
            </w:r>
            <w:r w:rsidRPr="001A1836">
              <w:t xml:space="preserve"> years after the last activity recorded against at Business’s or Engineer’s registration, or for 1</w:t>
            </w:r>
            <w:r w:rsidR="0007607F">
              <w:t>2</w:t>
            </w:r>
            <w:r w:rsidRPr="001A1836">
              <w:t xml:space="preserve"> years if never registered</w:t>
            </w:r>
          </w:p>
        </w:tc>
      </w:tr>
      <w:tr w:rsidR="008E344E" w:rsidRPr="001A1836" w14:paraId="4945456D" w14:textId="77777777" w:rsidTr="0007607F">
        <w:trPr>
          <w:cantSplit/>
        </w:trPr>
        <w:tc>
          <w:tcPr>
            <w:tcW w:w="4510" w:type="dxa"/>
            <w:tcBorders>
              <w:top w:val="single" w:sz="4" w:space="0" w:color="auto"/>
              <w:left w:val="single" w:sz="4" w:space="0" w:color="auto"/>
              <w:bottom w:val="single" w:sz="4" w:space="0" w:color="auto"/>
              <w:right w:val="single" w:sz="4" w:space="0" w:color="auto"/>
            </w:tcBorders>
            <w:hideMark/>
          </w:tcPr>
          <w:p w14:paraId="1EBA84B9" w14:textId="77777777" w:rsidR="008E344E" w:rsidRPr="001A1836" w:rsidRDefault="008E344E">
            <w:pPr>
              <w:pStyle w:val="Number"/>
              <w:tabs>
                <w:tab w:val="left" w:pos="720"/>
              </w:tabs>
              <w:spacing w:before="120" w:after="120"/>
              <w:ind w:left="0" w:firstLine="0"/>
            </w:pPr>
            <w:r w:rsidRPr="001A1836">
              <w:t>Investigations, including those where further action is taken and where no further action is taken</w:t>
            </w:r>
          </w:p>
        </w:tc>
        <w:tc>
          <w:tcPr>
            <w:tcW w:w="4500" w:type="dxa"/>
            <w:tcBorders>
              <w:top w:val="single" w:sz="4" w:space="0" w:color="auto"/>
              <w:left w:val="single" w:sz="4" w:space="0" w:color="auto"/>
              <w:bottom w:val="single" w:sz="4" w:space="0" w:color="auto"/>
              <w:right w:val="single" w:sz="4" w:space="0" w:color="auto"/>
            </w:tcBorders>
            <w:hideMark/>
          </w:tcPr>
          <w:p w14:paraId="7482640D" w14:textId="2986CE24" w:rsidR="008E344E" w:rsidRPr="001A1836" w:rsidRDefault="008E344E">
            <w:pPr>
              <w:pStyle w:val="Number"/>
              <w:tabs>
                <w:tab w:val="left" w:pos="720"/>
              </w:tabs>
              <w:spacing w:before="120" w:after="120"/>
              <w:ind w:left="0" w:firstLine="0"/>
            </w:pPr>
            <w:r w:rsidRPr="001A1836">
              <w:t>Until 1</w:t>
            </w:r>
            <w:r w:rsidR="0007607F">
              <w:t>2</w:t>
            </w:r>
            <w:r w:rsidRPr="001A1836">
              <w:t xml:space="preserve"> years after the last activity recorded against at Business’s or Engineer’s registration</w:t>
            </w:r>
          </w:p>
        </w:tc>
      </w:tr>
      <w:tr w:rsidR="008E344E" w:rsidRPr="001A1836" w14:paraId="2197EC11" w14:textId="77777777" w:rsidTr="0007607F">
        <w:trPr>
          <w:cantSplit/>
        </w:trPr>
        <w:tc>
          <w:tcPr>
            <w:tcW w:w="4510" w:type="dxa"/>
            <w:tcBorders>
              <w:top w:val="single" w:sz="4" w:space="0" w:color="auto"/>
              <w:left w:val="single" w:sz="4" w:space="0" w:color="auto"/>
              <w:bottom w:val="single" w:sz="4" w:space="0" w:color="auto"/>
              <w:right w:val="single" w:sz="4" w:space="0" w:color="auto"/>
            </w:tcBorders>
            <w:hideMark/>
          </w:tcPr>
          <w:p w14:paraId="0185466F" w14:textId="77777777" w:rsidR="008E344E" w:rsidRPr="001A1836" w:rsidRDefault="008E344E">
            <w:pPr>
              <w:pStyle w:val="Number"/>
              <w:tabs>
                <w:tab w:val="left" w:pos="720"/>
              </w:tabs>
              <w:spacing w:before="120" w:after="120"/>
              <w:ind w:left="0" w:firstLine="0"/>
            </w:pPr>
            <w:r w:rsidRPr="001A1836">
              <w:t>PDF images of printed materials such as ID card, certificates etc</w:t>
            </w:r>
          </w:p>
        </w:tc>
        <w:tc>
          <w:tcPr>
            <w:tcW w:w="4500" w:type="dxa"/>
            <w:tcBorders>
              <w:top w:val="single" w:sz="4" w:space="0" w:color="auto"/>
              <w:left w:val="single" w:sz="4" w:space="0" w:color="auto"/>
              <w:bottom w:val="single" w:sz="4" w:space="0" w:color="auto"/>
              <w:right w:val="single" w:sz="4" w:space="0" w:color="auto"/>
            </w:tcBorders>
            <w:hideMark/>
          </w:tcPr>
          <w:p w14:paraId="70EBD003" w14:textId="6FFB69D7" w:rsidR="008E344E" w:rsidRPr="001A1836" w:rsidRDefault="008E344E">
            <w:pPr>
              <w:pStyle w:val="Number"/>
              <w:tabs>
                <w:tab w:val="left" w:pos="720"/>
              </w:tabs>
              <w:spacing w:before="120" w:after="120"/>
              <w:ind w:left="0" w:firstLine="0"/>
            </w:pPr>
            <w:r w:rsidRPr="001A1836">
              <w:t>Until 6 months after expiry for registration documents, until 1</w:t>
            </w:r>
            <w:r w:rsidR="0007607F">
              <w:t>2</w:t>
            </w:r>
            <w:r w:rsidRPr="001A1836">
              <w:t xml:space="preserve"> years after issue for notification certificates</w:t>
            </w:r>
          </w:p>
        </w:tc>
      </w:tr>
      <w:tr w:rsidR="0007607F" w:rsidRPr="001A1836" w14:paraId="66FC775E" w14:textId="77777777" w:rsidTr="0007607F">
        <w:trPr>
          <w:cantSplit/>
        </w:trPr>
        <w:tc>
          <w:tcPr>
            <w:tcW w:w="4510" w:type="dxa"/>
            <w:tcBorders>
              <w:top w:val="single" w:sz="4" w:space="0" w:color="auto"/>
              <w:left w:val="single" w:sz="4" w:space="0" w:color="auto"/>
              <w:bottom w:val="single" w:sz="4" w:space="0" w:color="auto"/>
              <w:right w:val="single" w:sz="4" w:space="0" w:color="auto"/>
            </w:tcBorders>
          </w:tcPr>
          <w:p w14:paraId="73484040" w14:textId="0CB12142" w:rsidR="0007607F" w:rsidRPr="001A1836" w:rsidRDefault="0007607F" w:rsidP="0007607F">
            <w:pPr>
              <w:pStyle w:val="Number"/>
              <w:tabs>
                <w:tab w:val="left" w:pos="720"/>
              </w:tabs>
              <w:spacing w:before="120" w:after="120"/>
              <w:ind w:left="0" w:firstLine="0"/>
            </w:pPr>
            <w:r>
              <w:t>Consumer name and/or email address (as applied when requesting copies of notification certificates)</w:t>
            </w:r>
          </w:p>
        </w:tc>
        <w:tc>
          <w:tcPr>
            <w:tcW w:w="4500" w:type="dxa"/>
            <w:tcBorders>
              <w:top w:val="single" w:sz="4" w:space="0" w:color="auto"/>
              <w:left w:val="single" w:sz="4" w:space="0" w:color="auto"/>
              <w:bottom w:val="single" w:sz="4" w:space="0" w:color="auto"/>
              <w:right w:val="single" w:sz="4" w:space="0" w:color="auto"/>
            </w:tcBorders>
          </w:tcPr>
          <w:p w14:paraId="35D5D295" w14:textId="02558818" w:rsidR="0007607F" w:rsidRPr="001A1836" w:rsidRDefault="0007607F" w:rsidP="0007607F">
            <w:pPr>
              <w:pStyle w:val="Number"/>
              <w:tabs>
                <w:tab w:val="left" w:pos="720"/>
              </w:tabs>
              <w:spacing w:before="120" w:after="120"/>
              <w:ind w:left="0" w:firstLine="0"/>
            </w:pPr>
            <w:r>
              <w:t>Until 6 months after the copy has been requested</w:t>
            </w:r>
          </w:p>
        </w:tc>
      </w:tr>
    </w:tbl>
    <w:p w14:paraId="5C48199F" w14:textId="77777777" w:rsidR="008E344E" w:rsidRPr="001A1836" w:rsidRDefault="008E344E" w:rsidP="008E344E">
      <w:pPr>
        <w:pStyle w:val="Number"/>
        <w:tabs>
          <w:tab w:val="left" w:pos="720"/>
        </w:tabs>
        <w:ind w:left="0" w:firstLine="0"/>
      </w:pPr>
    </w:p>
    <w:p w14:paraId="550BD39C" w14:textId="77777777" w:rsidR="008E344E" w:rsidRPr="001A1836" w:rsidRDefault="008E344E">
      <w:pPr>
        <w:pStyle w:val="GSRL3heading"/>
      </w:pPr>
      <w:bookmarkStart w:id="3847" w:name="_Toc521327235"/>
      <w:bookmarkStart w:id="3848" w:name="_Toc521333468"/>
      <w:bookmarkStart w:id="3849" w:name="_Toc521484192"/>
      <w:bookmarkStart w:id="3850" w:name="_Toc521484955"/>
      <w:bookmarkStart w:id="3851" w:name="_Toc521485286"/>
      <w:bookmarkStart w:id="3852" w:name="_Toc521495166"/>
      <w:bookmarkStart w:id="3853" w:name="_Toc529346162"/>
      <w:bookmarkStart w:id="3854" w:name="_Toc129038402"/>
      <w:bookmarkStart w:id="3855" w:name="_Toc129038688"/>
      <w:bookmarkStart w:id="3856" w:name="_Toc129038709"/>
      <w:bookmarkStart w:id="3857" w:name="_Toc132268271"/>
      <w:bookmarkStart w:id="3858" w:name="_Toc132268577"/>
      <w:bookmarkStart w:id="3859" w:name="_Toc132268617"/>
      <w:bookmarkStart w:id="3860" w:name="_Toc136198802"/>
      <w:bookmarkStart w:id="3861" w:name="_Toc136199083"/>
      <w:bookmarkStart w:id="3862" w:name="_Toc136199109"/>
      <w:bookmarkStart w:id="3863" w:name="_Toc511905889"/>
      <w:r w:rsidRPr="001A1836">
        <w:t>Data breach reporting process</w:t>
      </w:r>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p>
    <w:p w14:paraId="41C1E243" w14:textId="1FEC1414" w:rsidR="008E344E" w:rsidRPr="001A1836" w:rsidRDefault="008E344E">
      <w:pPr>
        <w:pStyle w:val="GSRL4numberedclause"/>
      </w:pPr>
      <w:r w:rsidRPr="001A1836">
        <w:t xml:space="preserve">The Provider shall inform HSE of any </w:t>
      </w:r>
      <w:r w:rsidR="00896D71">
        <w:t>Data Loss Event</w:t>
      </w:r>
      <w:r w:rsidRPr="001A1836">
        <w:t xml:space="preserve"> in line with the requirements of Clause </w:t>
      </w:r>
      <w:r w:rsidR="00896D71">
        <w:t>32</w:t>
      </w:r>
      <w:r w:rsidRPr="001A1836">
        <w:t xml:space="preserve"> of this Agreement.</w:t>
      </w:r>
    </w:p>
    <w:p w14:paraId="686828F5" w14:textId="77777777" w:rsidR="0072090A" w:rsidRDefault="008E344E">
      <w:pPr>
        <w:pStyle w:val="GSRL4numberedclause"/>
      </w:pPr>
      <w:r w:rsidRPr="001A1836">
        <w:t>The Provider shall report all data breaches to HSE, not just significant breaches that are required to be notified to the ICO.</w:t>
      </w:r>
      <w:bookmarkEnd w:id="3863"/>
    </w:p>
    <w:p w14:paraId="0BD9D147" w14:textId="75964919" w:rsidR="0072090A" w:rsidRPr="001A1836" w:rsidRDefault="0072090A">
      <w:pPr>
        <w:pStyle w:val="GSRL3heading"/>
      </w:pPr>
      <w:bookmarkStart w:id="3864" w:name="_Toc132268272"/>
      <w:bookmarkStart w:id="3865" w:name="_Toc132268578"/>
      <w:bookmarkStart w:id="3866" w:name="_Toc132268618"/>
      <w:bookmarkStart w:id="3867" w:name="_Toc136198803"/>
      <w:bookmarkStart w:id="3868" w:name="_Toc136199084"/>
      <w:bookmarkStart w:id="3869" w:name="_Toc136199110"/>
      <w:r>
        <w:t>Approved Sub-processors</w:t>
      </w:r>
      <w:bookmarkEnd w:id="3864"/>
      <w:bookmarkEnd w:id="3865"/>
      <w:bookmarkEnd w:id="3866"/>
      <w:bookmarkEnd w:id="3867"/>
      <w:bookmarkEnd w:id="3868"/>
      <w:bookmarkEnd w:id="3869"/>
    </w:p>
    <w:p w14:paraId="3E3E3715" w14:textId="3E57707D" w:rsidR="0072090A" w:rsidRPr="001A1836" w:rsidRDefault="0072090A">
      <w:pPr>
        <w:pStyle w:val="GSRL4numberedclause"/>
      </w:pPr>
      <w:r>
        <w:t>As at the Effective Date, the following Sub-processors have been approved by HSE:</w:t>
      </w:r>
    </w:p>
    <w:p w14:paraId="3D2CF2A7" w14:textId="7D56FFCE" w:rsidR="00694B53" w:rsidRPr="001A1836" w:rsidRDefault="00694B53" w:rsidP="008E344E">
      <w:pPr>
        <w:pStyle w:val="Number"/>
        <w:tabs>
          <w:tab w:val="left" w:pos="720"/>
        </w:tabs>
        <w:ind w:left="0" w:firstLine="0"/>
      </w:pPr>
    </w:p>
    <w:tbl>
      <w:tblPr>
        <w:tblStyle w:val="TableGrid"/>
        <w:tblW w:w="0" w:type="auto"/>
        <w:tblInd w:w="108" w:type="dxa"/>
        <w:tblLook w:val="04A0" w:firstRow="1" w:lastRow="0" w:firstColumn="1" w:lastColumn="0" w:noHBand="0" w:noVBand="1"/>
      </w:tblPr>
      <w:tblGrid>
        <w:gridCol w:w="2105"/>
        <w:gridCol w:w="1801"/>
        <w:gridCol w:w="2910"/>
        <w:gridCol w:w="2086"/>
      </w:tblGrid>
      <w:tr w:rsidR="008E344E" w:rsidRPr="001A1836" w14:paraId="649CF4C4" w14:textId="77777777" w:rsidTr="007F4A77">
        <w:tc>
          <w:tcPr>
            <w:tcW w:w="2105" w:type="dxa"/>
            <w:tcBorders>
              <w:top w:val="single" w:sz="4" w:space="0" w:color="auto"/>
              <w:left w:val="single" w:sz="4" w:space="0" w:color="auto"/>
              <w:bottom w:val="single" w:sz="4" w:space="0" w:color="auto"/>
              <w:right w:val="single" w:sz="4" w:space="0" w:color="auto"/>
            </w:tcBorders>
            <w:vAlign w:val="bottom"/>
            <w:hideMark/>
          </w:tcPr>
          <w:p w14:paraId="5B9A49B0" w14:textId="7BDACFC3" w:rsidR="008E344E" w:rsidRPr="001A1836" w:rsidRDefault="008E344E">
            <w:pPr>
              <w:pStyle w:val="Number"/>
              <w:tabs>
                <w:tab w:val="left" w:pos="720"/>
              </w:tabs>
              <w:spacing w:after="60"/>
              <w:ind w:left="0" w:firstLine="0"/>
              <w:jc w:val="left"/>
              <w:rPr>
                <w:b/>
              </w:rPr>
            </w:pPr>
            <w:r w:rsidRPr="001A1836">
              <w:rPr>
                <w:b/>
              </w:rPr>
              <w:t>Organisation</w:t>
            </w:r>
          </w:p>
        </w:tc>
        <w:tc>
          <w:tcPr>
            <w:tcW w:w="1801" w:type="dxa"/>
            <w:tcBorders>
              <w:top w:val="single" w:sz="4" w:space="0" w:color="auto"/>
              <w:left w:val="single" w:sz="4" w:space="0" w:color="auto"/>
              <w:bottom w:val="single" w:sz="4" w:space="0" w:color="auto"/>
              <w:right w:val="single" w:sz="4" w:space="0" w:color="auto"/>
            </w:tcBorders>
            <w:vAlign w:val="bottom"/>
            <w:hideMark/>
          </w:tcPr>
          <w:p w14:paraId="4909BB8E" w14:textId="77777777" w:rsidR="008E344E" w:rsidRPr="001A1836" w:rsidRDefault="008E344E">
            <w:pPr>
              <w:pStyle w:val="Number"/>
              <w:tabs>
                <w:tab w:val="left" w:pos="720"/>
              </w:tabs>
              <w:spacing w:after="60"/>
              <w:ind w:left="0" w:firstLine="0"/>
              <w:jc w:val="left"/>
              <w:rPr>
                <w:b/>
              </w:rPr>
            </w:pPr>
            <w:r w:rsidRPr="001A1836">
              <w:rPr>
                <w:b/>
              </w:rPr>
              <w:t>Data to be processed</w:t>
            </w:r>
          </w:p>
        </w:tc>
        <w:tc>
          <w:tcPr>
            <w:tcW w:w="2910" w:type="dxa"/>
            <w:tcBorders>
              <w:top w:val="single" w:sz="4" w:space="0" w:color="auto"/>
              <w:left w:val="single" w:sz="4" w:space="0" w:color="auto"/>
              <w:bottom w:val="single" w:sz="4" w:space="0" w:color="auto"/>
              <w:right w:val="single" w:sz="4" w:space="0" w:color="auto"/>
            </w:tcBorders>
            <w:vAlign w:val="bottom"/>
            <w:hideMark/>
          </w:tcPr>
          <w:p w14:paraId="156D0F87" w14:textId="77777777" w:rsidR="008E344E" w:rsidRPr="001A1836" w:rsidRDefault="008E344E">
            <w:pPr>
              <w:pStyle w:val="Number"/>
              <w:tabs>
                <w:tab w:val="left" w:pos="720"/>
              </w:tabs>
              <w:spacing w:after="60"/>
              <w:ind w:left="0" w:firstLine="0"/>
              <w:jc w:val="left"/>
              <w:rPr>
                <w:b/>
              </w:rPr>
            </w:pPr>
            <w:r w:rsidRPr="001A1836">
              <w:rPr>
                <w:b/>
              </w:rPr>
              <w:t>Approved processing activity</w:t>
            </w:r>
          </w:p>
        </w:tc>
        <w:tc>
          <w:tcPr>
            <w:tcW w:w="2086" w:type="dxa"/>
            <w:tcBorders>
              <w:top w:val="single" w:sz="4" w:space="0" w:color="auto"/>
              <w:left w:val="single" w:sz="4" w:space="0" w:color="auto"/>
              <w:bottom w:val="single" w:sz="4" w:space="0" w:color="auto"/>
              <w:right w:val="single" w:sz="4" w:space="0" w:color="auto"/>
            </w:tcBorders>
            <w:vAlign w:val="bottom"/>
            <w:hideMark/>
          </w:tcPr>
          <w:p w14:paraId="13F978D3" w14:textId="3F44D1EE" w:rsidR="008E344E" w:rsidRPr="001A1836" w:rsidRDefault="008E344E">
            <w:pPr>
              <w:pStyle w:val="Number"/>
              <w:tabs>
                <w:tab w:val="left" w:pos="720"/>
              </w:tabs>
              <w:spacing w:after="60"/>
              <w:ind w:left="0" w:firstLine="0"/>
              <w:jc w:val="left"/>
              <w:rPr>
                <w:b/>
              </w:rPr>
            </w:pPr>
            <w:r w:rsidRPr="001A1836">
              <w:rPr>
                <w:b/>
              </w:rPr>
              <w:t>Date agreement in place</w:t>
            </w:r>
          </w:p>
        </w:tc>
      </w:tr>
      <w:tr w:rsidR="007F4A77" w:rsidRPr="001A1836" w14:paraId="59D91CA8" w14:textId="77777777" w:rsidTr="007F4A77">
        <w:tc>
          <w:tcPr>
            <w:tcW w:w="2105" w:type="dxa"/>
            <w:tcBorders>
              <w:top w:val="single" w:sz="4" w:space="0" w:color="auto"/>
              <w:left w:val="single" w:sz="4" w:space="0" w:color="auto"/>
              <w:bottom w:val="single" w:sz="4" w:space="0" w:color="auto"/>
              <w:right w:val="single" w:sz="4" w:space="0" w:color="auto"/>
            </w:tcBorders>
            <w:vAlign w:val="bottom"/>
          </w:tcPr>
          <w:p w14:paraId="02E80807" w14:textId="01D224FF" w:rsidR="007F4A77" w:rsidRPr="001A1836" w:rsidRDefault="00734515">
            <w:pPr>
              <w:pStyle w:val="Number"/>
              <w:tabs>
                <w:tab w:val="left" w:pos="720"/>
              </w:tabs>
              <w:spacing w:after="60"/>
              <w:ind w:left="0" w:firstLine="0"/>
              <w:rPr>
                <w:b/>
              </w:rPr>
            </w:pPr>
            <w:r>
              <w:rPr>
                <w:b/>
              </w:rPr>
              <w:t>None</w:t>
            </w:r>
          </w:p>
        </w:tc>
        <w:tc>
          <w:tcPr>
            <w:tcW w:w="1801" w:type="dxa"/>
            <w:tcBorders>
              <w:top w:val="single" w:sz="4" w:space="0" w:color="auto"/>
              <w:left w:val="single" w:sz="4" w:space="0" w:color="auto"/>
              <w:bottom w:val="single" w:sz="4" w:space="0" w:color="auto"/>
              <w:right w:val="single" w:sz="4" w:space="0" w:color="auto"/>
            </w:tcBorders>
            <w:vAlign w:val="bottom"/>
          </w:tcPr>
          <w:p w14:paraId="1A88997C" w14:textId="77777777" w:rsidR="007F4A77" w:rsidRPr="001A1836" w:rsidRDefault="007F4A77">
            <w:pPr>
              <w:pStyle w:val="Number"/>
              <w:tabs>
                <w:tab w:val="left" w:pos="720"/>
              </w:tabs>
              <w:spacing w:after="60"/>
              <w:ind w:left="0" w:firstLine="0"/>
              <w:rPr>
                <w:b/>
              </w:rPr>
            </w:pPr>
          </w:p>
        </w:tc>
        <w:tc>
          <w:tcPr>
            <w:tcW w:w="2910" w:type="dxa"/>
            <w:tcBorders>
              <w:top w:val="single" w:sz="4" w:space="0" w:color="auto"/>
              <w:left w:val="single" w:sz="4" w:space="0" w:color="auto"/>
              <w:bottom w:val="single" w:sz="4" w:space="0" w:color="auto"/>
              <w:right w:val="single" w:sz="4" w:space="0" w:color="auto"/>
            </w:tcBorders>
            <w:vAlign w:val="bottom"/>
          </w:tcPr>
          <w:p w14:paraId="0574F295" w14:textId="77777777" w:rsidR="007F4A77" w:rsidRPr="001A1836" w:rsidRDefault="007F4A77">
            <w:pPr>
              <w:pStyle w:val="Number"/>
              <w:tabs>
                <w:tab w:val="left" w:pos="720"/>
              </w:tabs>
              <w:spacing w:after="60"/>
              <w:ind w:left="0" w:firstLine="0"/>
              <w:rPr>
                <w:b/>
              </w:rPr>
            </w:pPr>
          </w:p>
        </w:tc>
        <w:tc>
          <w:tcPr>
            <w:tcW w:w="2086" w:type="dxa"/>
            <w:tcBorders>
              <w:top w:val="single" w:sz="4" w:space="0" w:color="auto"/>
              <w:left w:val="single" w:sz="4" w:space="0" w:color="auto"/>
              <w:bottom w:val="single" w:sz="4" w:space="0" w:color="auto"/>
              <w:right w:val="single" w:sz="4" w:space="0" w:color="auto"/>
            </w:tcBorders>
            <w:vAlign w:val="bottom"/>
          </w:tcPr>
          <w:p w14:paraId="728B0203" w14:textId="77777777" w:rsidR="007F4A77" w:rsidRPr="001A1836" w:rsidRDefault="007F4A77">
            <w:pPr>
              <w:pStyle w:val="Number"/>
              <w:tabs>
                <w:tab w:val="left" w:pos="720"/>
              </w:tabs>
              <w:spacing w:after="60"/>
              <w:ind w:left="0" w:firstLine="0"/>
              <w:rPr>
                <w:b/>
              </w:rPr>
            </w:pPr>
          </w:p>
        </w:tc>
      </w:tr>
    </w:tbl>
    <w:p w14:paraId="0B48C5BD" w14:textId="77777777" w:rsidR="008E344E" w:rsidRPr="001A1836" w:rsidRDefault="008E344E" w:rsidP="008E344E"/>
    <w:bookmarkEnd w:id="3657"/>
    <w:p w14:paraId="01D6A6F3" w14:textId="33EA5669" w:rsidR="0072090A" w:rsidRDefault="0072090A">
      <w:pPr>
        <w:spacing w:before="0" w:after="0"/>
      </w:pPr>
      <w:r>
        <w:br w:type="page"/>
      </w:r>
    </w:p>
    <w:p w14:paraId="0C1A583F" w14:textId="5B9F946C" w:rsidR="0072090A" w:rsidRPr="0072090A" w:rsidRDefault="0072090A" w:rsidP="0072090A">
      <w:pPr>
        <w:pStyle w:val="Heading2"/>
        <w:jc w:val="center"/>
        <w:rPr>
          <w:rFonts w:cs="Arial"/>
          <w:sz w:val="22"/>
          <w:szCs w:val="22"/>
        </w:rPr>
      </w:pPr>
      <w:bookmarkStart w:id="3870" w:name="_Ref_ContractCompanion_9kb9Ut333"/>
      <w:bookmarkStart w:id="3871" w:name="_Ref_ContractCompanion_9kb9Ut335"/>
      <w:bookmarkStart w:id="3872" w:name="_Toc132267974"/>
      <w:bookmarkStart w:id="3873" w:name="_Toc132268273"/>
      <w:bookmarkStart w:id="3874" w:name="_Toc132268579"/>
      <w:bookmarkStart w:id="3875" w:name="_Toc136198529"/>
      <w:bookmarkStart w:id="3876" w:name="_Toc136198804"/>
      <w:bookmarkStart w:id="3877" w:name="_Toc136199085"/>
      <w:r w:rsidRPr="0072090A">
        <w:rPr>
          <w:rFonts w:cs="Arial"/>
          <w:sz w:val="22"/>
          <w:szCs w:val="22"/>
        </w:rPr>
        <w:lastRenderedPageBreak/>
        <w:t xml:space="preserve">ANNEX </w:t>
      </w:r>
      <w:bookmarkStart w:id="3878" w:name="ANNEX1_SCHEDULE31"/>
      <w:r w:rsidRPr="0072090A">
        <w:rPr>
          <w:rFonts w:cs="Arial"/>
          <w:sz w:val="22"/>
          <w:szCs w:val="22"/>
        </w:rPr>
        <w:t>1</w:t>
      </w:r>
      <w:bookmarkEnd w:id="3878"/>
      <w:r w:rsidRPr="0072090A">
        <w:rPr>
          <w:rFonts w:cs="Arial"/>
          <w:sz w:val="22"/>
          <w:szCs w:val="22"/>
        </w:rPr>
        <w:t xml:space="preserve">: </w:t>
      </w:r>
      <w:bookmarkStart w:id="3879" w:name="ANNEX1HEADING_SCHEDULE31"/>
      <w:r w:rsidRPr="0072090A">
        <w:rPr>
          <w:rFonts w:cs="Arial"/>
          <w:caps/>
          <w:sz w:val="22"/>
          <w:szCs w:val="22"/>
        </w:rPr>
        <w:t>Joint Controller Agreement</w:t>
      </w:r>
      <w:bookmarkEnd w:id="3870"/>
      <w:bookmarkEnd w:id="3871"/>
      <w:bookmarkEnd w:id="3872"/>
      <w:bookmarkEnd w:id="3873"/>
      <w:bookmarkEnd w:id="3874"/>
      <w:bookmarkEnd w:id="3875"/>
      <w:bookmarkEnd w:id="3876"/>
      <w:bookmarkEnd w:id="3877"/>
      <w:bookmarkEnd w:id="3879"/>
    </w:p>
    <w:p w14:paraId="69B8225B" w14:textId="77777777" w:rsidR="0072090A" w:rsidRPr="0072090A" w:rsidRDefault="0072090A" w:rsidP="004E2262">
      <w:pPr>
        <w:pStyle w:val="AppendixText1"/>
        <w:numPr>
          <w:ilvl w:val="0"/>
          <w:numId w:val="87"/>
        </w:numPr>
        <w:rPr>
          <w:rFonts w:cs="Arial"/>
          <w:sz w:val="22"/>
          <w:szCs w:val="22"/>
        </w:rPr>
      </w:pPr>
      <w:r w:rsidRPr="0072090A">
        <w:rPr>
          <w:rFonts w:cs="Arial"/>
          <w:sz w:val="22"/>
          <w:szCs w:val="22"/>
        </w:rPr>
        <w:t xml:space="preserve">Joint Controller Status and Allocation of Responsibilities </w:t>
      </w:r>
    </w:p>
    <w:p w14:paraId="580AE31C" w14:textId="72083DA9" w:rsidR="0072090A" w:rsidRPr="0072090A" w:rsidRDefault="0072090A">
      <w:pPr>
        <w:pStyle w:val="AppendixText2"/>
        <w:rPr>
          <w:rFonts w:cs="Arial"/>
          <w:sz w:val="22"/>
          <w:szCs w:val="22"/>
        </w:rPr>
      </w:pPr>
      <w:r w:rsidRPr="0072090A">
        <w:rPr>
          <w:rFonts w:cs="Arial"/>
          <w:sz w:val="22"/>
          <w:szCs w:val="22"/>
        </w:rPr>
        <w:t xml:space="preserve">With respect to Personal Data under Joint Control of the Parties, the Parties envisage that they shall each be a Data Controller in respect of that Personal Data in accordance with the terms of this </w:t>
      </w:r>
      <w:bookmarkStart w:id="3880" w:name="_9kR3WTr2BD77BLCwozN"/>
      <w:r w:rsidRPr="0072090A">
        <w:rPr>
          <w:rFonts w:cs="Arial"/>
          <w:sz w:val="22"/>
          <w:szCs w:val="22"/>
        </w:rPr>
        <w:t xml:space="preserve">Annex </w:t>
      </w:r>
      <w:r w:rsidRPr="0072090A">
        <w:rPr>
          <w:rFonts w:cs="Arial"/>
          <w:sz w:val="22"/>
          <w:szCs w:val="22"/>
        </w:rPr>
        <w:fldChar w:fldCharType="begin"/>
      </w:r>
      <w:r w:rsidRPr="0072090A">
        <w:rPr>
          <w:rFonts w:cs="Arial"/>
          <w:sz w:val="22"/>
          <w:szCs w:val="22"/>
        </w:rPr>
        <w:instrText xml:space="preserve"> REF ANNEX1_SCHEDULE31 \h  \* MERGEFORMAT </w:instrText>
      </w:r>
      <w:r w:rsidRPr="0072090A">
        <w:rPr>
          <w:rFonts w:cs="Arial"/>
          <w:sz w:val="22"/>
          <w:szCs w:val="22"/>
        </w:rPr>
      </w:r>
      <w:r w:rsidRPr="0072090A">
        <w:rPr>
          <w:rFonts w:cs="Arial"/>
          <w:sz w:val="22"/>
          <w:szCs w:val="22"/>
        </w:rPr>
        <w:fldChar w:fldCharType="separate"/>
      </w:r>
      <w:r w:rsidR="00C87D85" w:rsidRPr="0072090A">
        <w:rPr>
          <w:rFonts w:cs="Arial"/>
          <w:sz w:val="22"/>
          <w:szCs w:val="22"/>
        </w:rPr>
        <w:t>1</w:t>
      </w:r>
      <w:r w:rsidRPr="0072090A">
        <w:rPr>
          <w:rFonts w:cs="Arial"/>
          <w:sz w:val="22"/>
          <w:szCs w:val="22"/>
        </w:rPr>
        <w:fldChar w:fldCharType="end"/>
      </w:r>
      <w:bookmarkEnd w:id="3880"/>
      <w:r w:rsidRPr="0072090A">
        <w:rPr>
          <w:rFonts w:cs="Arial"/>
          <w:sz w:val="22"/>
          <w:szCs w:val="22"/>
        </w:rPr>
        <w:t xml:space="preserve"> (</w:t>
      </w:r>
      <w:r w:rsidRPr="0072090A">
        <w:rPr>
          <w:rFonts w:cs="Arial"/>
          <w:i/>
          <w:iCs/>
          <w:sz w:val="22"/>
          <w:szCs w:val="22"/>
        </w:rPr>
        <w:fldChar w:fldCharType="begin"/>
      </w:r>
      <w:r w:rsidRPr="0072090A">
        <w:rPr>
          <w:rFonts w:cs="Arial"/>
          <w:i/>
          <w:iCs/>
          <w:sz w:val="22"/>
          <w:szCs w:val="22"/>
        </w:rPr>
        <w:instrText xml:space="preserve"> REF ANNEX1HEADING_SCHEDULE31 \h  \* MERGEFORMAT </w:instrText>
      </w:r>
      <w:r w:rsidRPr="0072090A">
        <w:rPr>
          <w:rFonts w:cs="Arial"/>
          <w:i/>
          <w:iCs/>
          <w:sz w:val="22"/>
          <w:szCs w:val="22"/>
        </w:rPr>
      </w:r>
      <w:r w:rsidRPr="0072090A">
        <w:rPr>
          <w:rFonts w:cs="Arial"/>
          <w:i/>
          <w:iCs/>
          <w:sz w:val="22"/>
          <w:szCs w:val="22"/>
        </w:rPr>
        <w:fldChar w:fldCharType="separate"/>
      </w:r>
      <w:r w:rsidR="00C87D85" w:rsidRPr="00C87D85">
        <w:rPr>
          <w:rFonts w:cs="Arial"/>
          <w:i/>
          <w:iCs/>
          <w:sz w:val="22"/>
          <w:szCs w:val="22"/>
        </w:rPr>
        <w:t>Joint Controller Agreement</w:t>
      </w:r>
      <w:r w:rsidRPr="0072090A">
        <w:rPr>
          <w:rFonts w:cs="Arial"/>
          <w:i/>
          <w:iCs/>
          <w:sz w:val="22"/>
          <w:szCs w:val="22"/>
        </w:rPr>
        <w:fldChar w:fldCharType="end"/>
      </w:r>
      <w:r w:rsidRPr="0072090A">
        <w:rPr>
          <w:rFonts w:cs="Arial"/>
          <w:sz w:val="22"/>
          <w:szCs w:val="22"/>
        </w:rPr>
        <w:t xml:space="preserve">) in replacement of </w:t>
      </w:r>
      <w:bookmarkStart w:id="3881" w:name="_9kR3WTr2CC7FEKChrAv6JKKM"/>
      <w:r w:rsidRPr="0072090A">
        <w:rPr>
          <w:rFonts w:cs="Arial"/>
          <w:sz w:val="22"/>
          <w:szCs w:val="22"/>
        </w:rPr>
        <w:t xml:space="preserve">Clause </w:t>
      </w:r>
      <w:r>
        <w:rPr>
          <w:rFonts w:cs="Arial"/>
          <w:sz w:val="22"/>
          <w:szCs w:val="22"/>
        </w:rPr>
        <w:t>32</w:t>
      </w:r>
      <w:r w:rsidRPr="0072090A">
        <w:rPr>
          <w:rFonts w:cs="Arial"/>
          <w:sz w:val="22"/>
          <w:szCs w:val="22"/>
        </w:rPr>
        <w:t>.2-</w:t>
      </w:r>
      <w:bookmarkEnd w:id="3881"/>
      <w:r w:rsidRPr="0072090A">
        <w:rPr>
          <w:rFonts w:cs="Arial"/>
          <w:sz w:val="22"/>
          <w:szCs w:val="22"/>
        </w:rPr>
        <w:t>21.15 (</w:t>
      </w:r>
      <w:r w:rsidRPr="0072090A">
        <w:rPr>
          <w:rFonts w:cs="Arial"/>
          <w:i/>
          <w:sz w:val="22"/>
          <w:szCs w:val="22"/>
        </w:rPr>
        <w:t>Where one Party is</w:t>
      </w:r>
      <w:r w:rsidRPr="0072090A">
        <w:rPr>
          <w:rFonts w:cs="Arial"/>
          <w:sz w:val="22"/>
          <w:szCs w:val="22"/>
        </w:rPr>
        <w:t xml:space="preserve"> </w:t>
      </w:r>
      <w:r w:rsidRPr="0072090A">
        <w:rPr>
          <w:rFonts w:cs="Arial"/>
          <w:i/>
          <w:sz w:val="22"/>
          <w:szCs w:val="22"/>
        </w:rPr>
        <w:t>Controller and the other Party is Processor</w:t>
      </w:r>
      <w:r w:rsidRPr="0072090A">
        <w:rPr>
          <w:rFonts w:cs="Arial"/>
          <w:sz w:val="22"/>
          <w:szCs w:val="22"/>
        </w:rPr>
        <w:t xml:space="preserve">) and </w:t>
      </w:r>
      <w:bookmarkStart w:id="3882" w:name="_9kR3WTr2CC7FGCDDI"/>
      <w:r>
        <w:rPr>
          <w:rFonts w:cs="Arial"/>
          <w:sz w:val="22"/>
          <w:szCs w:val="22"/>
        </w:rPr>
        <w:t>32</w:t>
      </w:r>
      <w:r w:rsidRPr="0072090A">
        <w:rPr>
          <w:rFonts w:cs="Arial"/>
          <w:sz w:val="22"/>
          <w:szCs w:val="22"/>
        </w:rPr>
        <w:t>.17</w:t>
      </w:r>
      <w:bookmarkEnd w:id="3882"/>
      <w:r w:rsidRPr="0072090A">
        <w:rPr>
          <w:rFonts w:cs="Arial"/>
          <w:sz w:val="22"/>
          <w:szCs w:val="22"/>
        </w:rPr>
        <w:t>-</w:t>
      </w:r>
      <w:bookmarkStart w:id="3883" w:name="_9kR3WTr2CC7FHDDEJ"/>
      <w:r w:rsidRPr="0072090A">
        <w:rPr>
          <w:rFonts w:cs="Arial"/>
          <w:sz w:val="22"/>
          <w:szCs w:val="22"/>
        </w:rPr>
        <w:t>24.28</w:t>
      </w:r>
      <w:bookmarkEnd w:id="3883"/>
      <w:r w:rsidRPr="0072090A">
        <w:rPr>
          <w:rFonts w:cs="Arial"/>
          <w:sz w:val="22"/>
          <w:szCs w:val="22"/>
        </w:rPr>
        <w:t xml:space="preserve"> (</w:t>
      </w:r>
      <w:r w:rsidRPr="0072090A">
        <w:rPr>
          <w:rFonts w:cs="Arial"/>
          <w:i/>
          <w:sz w:val="22"/>
          <w:szCs w:val="22"/>
        </w:rPr>
        <w:t>Independent</w:t>
      </w:r>
      <w:r w:rsidRPr="0072090A">
        <w:rPr>
          <w:rFonts w:cs="Arial"/>
          <w:sz w:val="22"/>
          <w:szCs w:val="22"/>
        </w:rPr>
        <w:t xml:space="preserve"> </w:t>
      </w:r>
      <w:r w:rsidRPr="0072090A">
        <w:rPr>
          <w:rFonts w:cs="Arial"/>
          <w:i/>
          <w:sz w:val="22"/>
          <w:szCs w:val="22"/>
        </w:rPr>
        <w:t>Controllers of Personal Data</w:t>
      </w:r>
      <w:r w:rsidRPr="0072090A">
        <w:rPr>
          <w:rFonts w:cs="Arial"/>
          <w:sz w:val="22"/>
          <w:szCs w:val="22"/>
        </w:rPr>
        <w:t xml:space="preserve">). Accordingly, the Parties each undertake to comply with the applicable Data Protection Legislation in respect of their Processing of such Personal Data as Data Controllers. </w:t>
      </w:r>
    </w:p>
    <w:p w14:paraId="34B79226" w14:textId="1E99C5B5" w:rsidR="0072090A" w:rsidRPr="0072090A" w:rsidRDefault="0072090A">
      <w:pPr>
        <w:pStyle w:val="AppendixText2"/>
        <w:rPr>
          <w:rFonts w:cs="Arial"/>
          <w:sz w:val="22"/>
          <w:szCs w:val="22"/>
        </w:rPr>
      </w:pPr>
      <w:bookmarkStart w:id="3884" w:name="_9kR3WTrAGA7BKHBeRjSJsC4q1yn54s8Cu7RG2oz"/>
      <w:bookmarkStart w:id="3885" w:name="_Ref_ContractCompanion_9kb9Ut37E"/>
      <w:r w:rsidRPr="0072090A">
        <w:rPr>
          <w:rFonts w:cs="Arial"/>
          <w:sz w:val="22"/>
          <w:szCs w:val="22"/>
        </w:rPr>
        <w:t xml:space="preserve">The Parties agree that the </w:t>
      </w:r>
      <w:r w:rsidRPr="0072090A">
        <w:rPr>
          <w:rFonts w:cs="Arial"/>
          <w:sz w:val="22"/>
          <w:szCs w:val="22"/>
          <w:highlight w:val="yellow"/>
        </w:rPr>
        <w:t>[</w:t>
      </w:r>
      <w:r>
        <w:rPr>
          <w:rFonts w:cs="Arial"/>
          <w:sz w:val="22"/>
          <w:szCs w:val="22"/>
          <w:highlight w:val="yellow"/>
        </w:rPr>
        <w:t>Provider</w:t>
      </w:r>
      <w:r w:rsidRPr="0072090A">
        <w:rPr>
          <w:rFonts w:cs="Arial"/>
          <w:sz w:val="22"/>
          <w:szCs w:val="22"/>
          <w:highlight w:val="yellow"/>
        </w:rPr>
        <w:t>/</w:t>
      </w:r>
      <w:r>
        <w:rPr>
          <w:rFonts w:cs="Arial"/>
          <w:sz w:val="22"/>
          <w:szCs w:val="22"/>
          <w:highlight w:val="yellow"/>
        </w:rPr>
        <w:t>HSE</w:t>
      </w:r>
      <w:r w:rsidRPr="0072090A">
        <w:rPr>
          <w:rFonts w:cs="Arial"/>
          <w:sz w:val="22"/>
          <w:szCs w:val="22"/>
          <w:highlight w:val="yellow"/>
        </w:rPr>
        <w:t>]</w:t>
      </w:r>
      <w:r w:rsidRPr="0072090A">
        <w:rPr>
          <w:rFonts w:cs="Arial"/>
          <w:sz w:val="22"/>
          <w:szCs w:val="22"/>
        </w:rPr>
        <w:t>:</w:t>
      </w:r>
      <w:bookmarkEnd w:id="3884"/>
      <w:r w:rsidRPr="0072090A">
        <w:rPr>
          <w:rFonts w:cs="Arial"/>
          <w:sz w:val="22"/>
          <w:szCs w:val="22"/>
        </w:rPr>
        <w:t xml:space="preserve"> </w:t>
      </w:r>
      <w:bookmarkEnd w:id="3885"/>
    </w:p>
    <w:p w14:paraId="016E81A4" w14:textId="77777777" w:rsidR="0072090A" w:rsidRPr="0072090A" w:rsidRDefault="0072090A">
      <w:pPr>
        <w:pStyle w:val="AppendixText4"/>
        <w:rPr>
          <w:rFonts w:cs="Arial"/>
          <w:sz w:val="22"/>
          <w:szCs w:val="22"/>
        </w:rPr>
      </w:pPr>
      <w:r w:rsidRPr="0072090A">
        <w:rPr>
          <w:rFonts w:cs="Arial"/>
          <w:sz w:val="22"/>
          <w:szCs w:val="22"/>
        </w:rPr>
        <w:t>is the exclusive point of contact for Data Subjects and is responsible for all steps necessary to comply with the UK GDPR regarding the exercise by Data Subjects of their rights under the UK GDPR;</w:t>
      </w:r>
    </w:p>
    <w:p w14:paraId="07702F26" w14:textId="77777777" w:rsidR="0072090A" w:rsidRPr="0072090A" w:rsidRDefault="0072090A">
      <w:pPr>
        <w:pStyle w:val="AppendixText4"/>
        <w:rPr>
          <w:rFonts w:cs="Arial"/>
          <w:sz w:val="22"/>
          <w:szCs w:val="22"/>
        </w:rPr>
      </w:pPr>
      <w:r w:rsidRPr="0072090A">
        <w:rPr>
          <w:rFonts w:cs="Arial"/>
          <w:sz w:val="22"/>
          <w:szCs w:val="22"/>
        </w:rPr>
        <w:t>shall direct Data Subjects to its Data Protection Officer or suitable alternative in connection with the exercise of their rights as Data Subjects and for any enquiries concerning their Personal Data or privacy;</w:t>
      </w:r>
    </w:p>
    <w:p w14:paraId="75CD6B9E" w14:textId="77777777" w:rsidR="0072090A" w:rsidRPr="0072090A" w:rsidRDefault="0072090A">
      <w:pPr>
        <w:pStyle w:val="AppendixText4"/>
        <w:rPr>
          <w:rFonts w:cs="Arial"/>
          <w:sz w:val="22"/>
          <w:szCs w:val="22"/>
        </w:rPr>
      </w:pPr>
      <w:r w:rsidRPr="0072090A">
        <w:rPr>
          <w:rFonts w:cs="Arial"/>
          <w:sz w:val="22"/>
          <w:szCs w:val="22"/>
        </w:rPr>
        <w:t>is solely responsible for the Parties’ compliance with all duties to provide information to Data Subjects under Articles 13 and 14 of the UK GDPR;</w:t>
      </w:r>
    </w:p>
    <w:p w14:paraId="64A6752F" w14:textId="77777777" w:rsidR="0072090A" w:rsidRPr="0072090A" w:rsidRDefault="0072090A">
      <w:pPr>
        <w:pStyle w:val="AppendixText4"/>
        <w:rPr>
          <w:rFonts w:cs="Arial"/>
          <w:sz w:val="22"/>
          <w:szCs w:val="22"/>
        </w:rPr>
      </w:pPr>
      <w:r w:rsidRPr="0072090A">
        <w:rPr>
          <w:rFonts w:cs="Arial"/>
          <w:sz w:val="22"/>
          <w:szCs w:val="22"/>
        </w:rPr>
        <w:t>is responsible for obtaining the informed consent of Data Subjects, in accordance with the UK GDPR, for Processing in connection with the Services where consent is the relevant legal basis for that Processing; and</w:t>
      </w:r>
    </w:p>
    <w:p w14:paraId="60EA7A24" w14:textId="6EB8C245" w:rsidR="0072090A" w:rsidRPr="0072090A" w:rsidRDefault="0072090A">
      <w:pPr>
        <w:pStyle w:val="AppendixText4"/>
        <w:rPr>
          <w:rFonts w:cs="Arial"/>
          <w:sz w:val="22"/>
          <w:szCs w:val="22"/>
        </w:rPr>
      </w:pPr>
      <w:r w:rsidRPr="0072090A">
        <w:rPr>
          <w:rFonts w:cs="Arial"/>
          <w:sz w:val="22"/>
          <w:szCs w:val="22"/>
        </w:rPr>
        <w:t xml:space="preserve">shall make available to Data Subjects the essence of this Joint Controller Agreement (and notify them of any changes to it) concerning the allocation of responsibilities as Joint Controller and its role as exclusive point of contact, the Parties having used their best endeavours to agree the terms of that essence. This must be outlined in the </w:t>
      </w:r>
      <w:r w:rsidRPr="0072090A">
        <w:rPr>
          <w:rFonts w:cs="Arial"/>
          <w:sz w:val="22"/>
          <w:szCs w:val="22"/>
          <w:highlight w:val="yellow"/>
        </w:rPr>
        <w:t>[</w:t>
      </w:r>
      <w:r>
        <w:rPr>
          <w:rFonts w:cs="Arial"/>
          <w:sz w:val="22"/>
          <w:szCs w:val="22"/>
          <w:highlight w:val="yellow"/>
        </w:rPr>
        <w:t>Provider</w:t>
      </w:r>
      <w:r w:rsidRPr="0072090A">
        <w:rPr>
          <w:rFonts w:cs="Arial"/>
          <w:sz w:val="22"/>
          <w:szCs w:val="22"/>
          <w:highlight w:val="yellow"/>
        </w:rPr>
        <w:t>’s/</w:t>
      </w:r>
      <w:r>
        <w:rPr>
          <w:rFonts w:cs="Arial"/>
          <w:sz w:val="22"/>
          <w:szCs w:val="22"/>
          <w:highlight w:val="yellow"/>
        </w:rPr>
        <w:t>HSE</w:t>
      </w:r>
      <w:r w:rsidRPr="0072090A">
        <w:rPr>
          <w:rFonts w:cs="Arial"/>
          <w:sz w:val="22"/>
          <w:szCs w:val="22"/>
          <w:highlight w:val="yellow"/>
        </w:rPr>
        <w:t>’s]</w:t>
      </w:r>
      <w:r w:rsidRPr="0072090A">
        <w:rPr>
          <w:rFonts w:cs="Arial"/>
          <w:sz w:val="22"/>
          <w:szCs w:val="22"/>
        </w:rPr>
        <w:t xml:space="preserve"> privacy policy (which must be readily available by hyperlink or otherwise on all of its public facing services and marketing).</w:t>
      </w:r>
    </w:p>
    <w:p w14:paraId="1E5CB0C4" w14:textId="449E7C79" w:rsidR="0072090A" w:rsidRPr="0072090A" w:rsidRDefault="0072090A">
      <w:pPr>
        <w:pStyle w:val="AppendixText2"/>
        <w:rPr>
          <w:rFonts w:cs="Arial"/>
          <w:sz w:val="22"/>
          <w:szCs w:val="22"/>
        </w:rPr>
      </w:pPr>
      <w:r w:rsidRPr="0072090A">
        <w:rPr>
          <w:rFonts w:cs="Arial"/>
          <w:sz w:val="22"/>
          <w:szCs w:val="22"/>
        </w:rPr>
        <w:t xml:space="preserve">Notwithstanding the terms of </w:t>
      </w:r>
      <w:bookmarkStart w:id="3886" w:name="_9kMHG5YVtCIC9DMJDgTlULuE6s30p76uAEw9TI4"/>
      <w:r w:rsidR="00840A0F">
        <w:rPr>
          <w:rFonts w:cs="Arial"/>
          <w:sz w:val="22"/>
          <w:szCs w:val="22"/>
        </w:rPr>
        <w:t>p</w:t>
      </w:r>
      <w:r w:rsidRPr="0072090A">
        <w:rPr>
          <w:rFonts w:cs="Arial"/>
          <w:sz w:val="22"/>
          <w:szCs w:val="22"/>
        </w:rPr>
        <w:t xml:space="preserve">aragraph </w:t>
      </w:r>
      <w:r w:rsidRPr="0072090A">
        <w:rPr>
          <w:rFonts w:cs="Arial"/>
          <w:sz w:val="22"/>
          <w:szCs w:val="22"/>
        </w:rPr>
        <w:fldChar w:fldCharType="begin"/>
      </w:r>
      <w:r w:rsidRPr="0072090A">
        <w:rPr>
          <w:rFonts w:cs="Arial"/>
          <w:sz w:val="22"/>
          <w:szCs w:val="22"/>
        </w:rPr>
        <w:instrText xml:space="preserve"> REF _Ref_ContractCompanion_9kb9Ut37E \n \h \t \* MERGEFORMAT </w:instrText>
      </w:r>
      <w:r w:rsidRPr="0072090A">
        <w:rPr>
          <w:rFonts w:cs="Arial"/>
          <w:sz w:val="22"/>
          <w:szCs w:val="22"/>
        </w:rPr>
      </w:r>
      <w:r w:rsidRPr="0072090A">
        <w:rPr>
          <w:rFonts w:cs="Arial"/>
          <w:sz w:val="22"/>
          <w:szCs w:val="22"/>
        </w:rPr>
        <w:fldChar w:fldCharType="separate"/>
      </w:r>
      <w:r w:rsidR="00C87D85">
        <w:rPr>
          <w:rFonts w:cs="Arial"/>
          <w:sz w:val="22"/>
          <w:szCs w:val="22"/>
        </w:rPr>
        <w:t>1.2</w:t>
      </w:r>
      <w:r w:rsidRPr="0072090A">
        <w:rPr>
          <w:rFonts w:cs="Arial"/>
          <w:sz w:val="22"/>
          <w:szCs w:val="22"/>
        </w:rPr>
        <w:fldChar w:fldCharType="end"/>
      </w:r>
      <w:bookmarkEnd w:id="3886"/>
      <w:r w:rsidRPr="0072090A">
        <w:rPr>
          <w:rFonts w:cs="Arial"/>
          <w:sz w:val="22"/>
          <w:szCs w:val="22"/>
        </w:rPr>
        <w:t>, the Parties acknowledge that a Data Subject has the right to exercise their legal rights under the Data Protection Legislation as against the relevant Party as Data Controller.</w:t>
      </w:r>
    </w:p>
    <w:p w14:paraId="64F60214" w14:textId="77777777" w:rsidR="0072090A" w:rsidRPr="0072090A" w:rsidRDefault="0072090A">
      <w:pPr>
        <w:pStyle w:val="AppendixText1"/>
        <w:rPr>
          <w:rFonts w:cs="Arial"/>
          <w:sz w:val="22"/>
          <w:szCs w:val="22"/>
        </w:rPr>
      </w:pPr>
      <w:r w:rsidRPr="0072090A">
        <w:rPr>
          <w:rFonts w:cs="Arial"/>
          <w:sz w:val="22"/>
          <w:szCs w:val="22"/>
        </w:rPr>
        <w:t>Undertakings of both Parties</w:t>
      </w:r>
    </w:p>
    <w:p w14:paraId="4CBA9FEB" w14:textId="4C65562D" w:rsidR="0072090A" w:rsidRPr="0072090A" w:rsidRDefault="0072090A">
      <w:pPr>
        <w:pStyle w:val="AppendixText2"/>
        <w:rPr>
          <w:rFonts w:cs="Arial"/>
          <w:sz w:val="22"/>
          <w:szCs w:val="22"/>
        </w:rPr>
      </w:pPr>
      <w:bookmarkStart w:id="3887" w:name="_Ref_ContractCompanion_9kb9Us7EC"/>
      <w:r w:rsidRPr="0072090A">
        <w:rPr>
          <w:rFonts w:cs="Arial"/>
          <w:sz w:val="22"/>
          <w:szCs w:val="22"/>
        </w:rPr>
        <w:t xml:space="preserve">The </w:t>
      </w:r>
      <w:r w:rsidR="00010038">
        <w:rPr>
          <w:rFonts w:cs="Arial"/>
          <w:sz w:val="22"/>
          <w:szCs w:val="22"/>
        </w:rPr>
        <w:t>Provider</w:t>
      </w:r>
      <w:r w:rsidRPr="0072090A">
        <w:rPr>
          <w:rFonts w:cs="Arial"/>
          <w:sz w:val="22"/>
          <w:szCs w:val="22"/>
        </w:rPr>
        <w:t xml:space="preserve"> and </w:t>
      </w:r>
      <w:r w:rsidR="00010038">
        <w:rPr>
          <w:rFonts w:cs="Arial"/>
          <w:sz w:val="22"/>
          <w:szCs w:val="22"/>
        </w:rPr>
        <w:t>HSE</w:t>
      </w:r>
      <w:r w:rsidRPr="0072090A">
        <w:rPr>
          <w:rFonts w:cs="Arial"/>
          <w:sz w:val="22"/>
          <w:szCs w:val="22"/>
        </w:rPr>
        <w:t xml:space="preserve"> each undertake that they shall:</w:t>
      </w:r>
      <w:bookmarkEnd w:id="3887"/>
    </w:p>
    <w:p w14:paraId="2E95CE5E" w14:textId="77777777" w:rsidR="0072090A" w:rsidRPr="0072090A" w:rsidRDefault="0072090A">
      <w:pPr>
        <w:pStyle w:val="AppendixText4"/>
        <w:rPr>
          <w:rFonts w:cs="Arial"/>
          <w:sz w:val="22"/>
          <w:szCs w:val="22"/>
        </w:rPr>
      </w:pPr>
      <w:r w:rsidRPr="0072090A">
        <w:rPr>
          <w:rFonts w:cs="Arial"/>
          <w:sz w:val="22"/>
          <w:szCs w:val="22"/>
        </w:rPr>
        <w:t xml:space="preserve">report to the other Party every </w:t>
      </w:r>
      <w:r w:rsidRPr="0072090A">
        <w:rPr>
          <w:rFonts w:cs="Arial"/>
          <w:sz w:val="22"/>
          <w:szCs w:val="22"/>
          <w:highlight w:val="yellow"/>
        </w:rPr>
        <w:t>[x]</w:t>
      </w:r>
      <w:r w:rsidRPr="0072090A">
        <w:rPr>
          <w:rFonts w:cs="Arial"/>
          <w:sz w:val="22"/>
          <w:szCs w:val="22"/>
        </w:rPr>
        <w:t xml:space="preserve"> months on:</w:t>
      </w:r>
    </w:p>
    <w:p w14:paraId="441AB760" w14:textId="7638C352" w:rsidR="0072090A" w:rsidRPr="0072090A" w:rsidRDefault="0072090A">
      <w:pPr>
        <w:pStyle w:val="AppendixText5"/>
        <w:rPr>
          <w:rFonts w:cs="Arial"/>
          <w:sz w:val="22"/>
          <w:szCs w:val="22"/>
        </w:rPr>
      </w:pPr>
      <w:bookmarkStart w:id="3888" w:name="_Ref_ContractCompanion_9kb9Ut378"/>
      <w:bookmarkStart w:id="3889" w:name="_9kR3WTrAGA7BECBkfzzl0B29Bwz1RH45fuA04yE"/>
      <w:r w:rsidRPr="0072090A">
        <w:rPr>
          <w:rFonts w:cs="Arial"/>
          <w:sz w:val="22"/>
          <w:szCs w:val="22"/>
        </w:rPr>
        <w:t>the volume of Data Subject Access Requests (or purported Data Subject Access Requests) from Data Subjects (or third parties on their behalf);</w:t>
      </w:r>
      <w:bookmarkEnd w:id="3888"/>
      <w:bookmarkEnd w:id="3889"/>
    </w:p>
    <w:p w14:paraId="4FF9C5CD" w14:textId="77777777" w:rsidR="0072090A" w:rsidRPr="0072090A" w:rsidRDefault="0072090A">
      <w:pPr>
        <w:pStyle w:val="AppendixText5"/>
        <w:rPr>
          <w:rFonts w:cs="Arial"/>
          <w:sz w:val="22"/>
          <w:szCs w:val="22"/>
        </w:rPr>
      </w:pPr>
      <w:r w:rsidRPr="0072090A">
        <w:rPr>
          <w:rFonts w:cs="Arial"/>
          <w:sz w:val="22"/>
          <w:szCs w:val="22"/>
        </w:rPr>
        <w:t xml:space="preserve">the volume of requests from Data Subjects (or third parties on their behalf) to rectify, block or erase any Personal Data; </w:t>
      </w:r>
    </w:p>
    <w:p w14:paraId="3C2620D7" w14:textId="6C33C628" w:rsidR="0072090A" w:rsidRPr="0072090A" w:rsidRDefault="0072090A">
      <w:pPr>
        <w:pStyle w:val="AppendixText5"/>
        <w:rPr>
          <w:rFonts w:cs="Arial"/>
          <w:sz w:val="22"/>
          <w:szCs w:val="22"/>
        </w:rPr>
      </w:pPr>
      <w:bookmarkStart w:id="3890" w:name="_Ref_ContractCompanion_9kb9Ut36E"/>
      <w:bookmarkStart w:id="3891" w:name="_9kR3WTrAGA7BB9BkfopioDFB5r2G44LA9PQA7IK"/>
      <w:r w:rsidRPr="0072090A">
        <w:rPr>
          <w:rFonts w:cs="Arial"/>
          <w:sz w:val="22"/>
          <w:szCs w:val="22"/>
        </w:rPr>
        <w:lastRenderedPageBreak/>
        <w:t>any other requests, complaints or communications from Data Subjects (or third parties on their behalf) relating to the other Party’s obligations under applicable Data Protection Legislation;</w:t>
      </w:r>
      <w:bookmarkEnd w:id="3890"/>
      <w:bookmarkEnd w:id="3891"/>
    </w:p>
    <w:p w14:paraId="1DC6AA01" w14:textId="77777777" w:rsidR="0072090A" w:rsidRPr="0072090A" w:rsidRDefault="0072090A">
      <w:pPr>
        <w:pStyle w:val="AppendixText5"/>
        <w:rPr>
          <w:rFonts w:cs="Arial"/>
          <w:sz w:val="22"/>
          <w:szCs w:val="22"/>
        </w:rPr>
      </w:pPr>
      <w:r w:rsidRPr="0072090A">
        <w:rPr>
          <w:rFonts w:cs="Arial"/>
          <w:sz w:val="22"/>
          <w:szCs w:val="22"/>
        </w:rPr>
        <w:t>any communications from the Information Commissioner or any other regulatory authority in connection with Personal Data; and</w:t>
      </w:r>
    </w:p>
    <w:p w14:paraId="6974B04B" w14:textId="62BC4C36" w:rsidR="0072090A" w:rsidRPr="0072090A" w:rsidRDefault="0072090A">
      <w:pPr>
        <w:pStyle w:val="AppendixText5"/>
        <w:rPr>
          <w:rFonts w:cs="Arial"/>
          <w:sz w:val="22"/>
          <w:szCs w:val="22"/>
        </w:rPr>
      </w:pPr>
      <w:bookmarkStart w:id="3892" w:name="_Ref41647720"/>
      <w:r w:rsidRPr="0072090A">
        <w:rPr>
          <w:rFonts w:cs="Arial"/>
          <w:sz w:val="22"/>
          <w:szCs w:val="22"/>
        </w:rPr>
        <w:t>any requests from any third party for disclosure of Personal Data where compliance with such request is required or purported to be required by Law;</w:t>
      </w:r>
      <w:bookmarkEnd w:id="3892"/>
    </w:p>
    <w:p w14:paraId="3C9C1579" w14:textId="7A06E03C" w:rsidR="0072090A" w:rsidRPr="0072090A" w:rsidRDefault="0072090A" w:rsidP="0072090A">
      <w:pPr>
        <w:pStyle w:val="StdBodyText4"/>
        <w:rPr>
          <w:rFonts w:cs="Arial"/>
          <w:sz w:val="22"/>
          <w:szCs w:val="22"/>
        </w:rPr>
      </w:pPr>
      <w:r w:rsidRPr="0072090A">
        <w:rPr>
          <w:rFonts w:cs="Arial"/>
          <w:sz w:val="22"/>
          <w:szCs w:val="22"/>
        </w:rPr>
        <w:t xml:space="preserve">that it has received in relation to the subject matter of </w:t>
      </w:r>
      <w:r w:rsidR="00010038">
        <w:rPr>
          <w:rFonts w:cs="Arial"/>
          <w:sz w:val="22"/>
          <w:szCs w:val="22"/>
        </w:rPr>
        <w:t>the Agreement</w:t>
      </w:r>
      <w:r w:rsidRPr="0072090A" w:rsidDel="00562BBE">
        <w:rPr>
          <w:rFonts w:cs="Arial"/>
          <w:sz w:val="22"/>
          <w:szCs w:val="22"/>
        </w:rPr>
        <w:t xml:space="preserve"> </w:t>
      </w:r>
      <w:r w:rsidRPr="0072090A">
        <w:rPr>
          <w:rFonts w:cs="Arial"/>
          <w:sz w:val="22"/>
          <w:szCs w:val="22"/>
        </w:rPr>
        <w:t>during that period;</w:t>
      </w:r>
    </w:p>
    <w:p w14:paraId="4AF08FD5" w14:textId="646D3192" w:rsidR="0072090A" w:rsidRPr="0072090A" w:rsidRDefault="0072090A">
      <w:pPr>
        <w:pStyle w:val="AppendixText4"/>
        <w:rPr>
          <w:rFonts w:cs="Arial"/>
          <w:sz w:val="22"/>
          <w:szCs w:val="22"/>
        </w:rPr>
      </w:pPr>
      <w:r w:rsidRPr="0072090A">
        <w:rPr>
          <w:rFonts w:cs="Arial"/>
          <w:sz w:val="22"/>
          <w:szCs w:val="22"/>
        </w:rPr>
        <w:t xml:space="preserve">notify each other immediately if it receives any request, complaint or communication made as referred to in </w:t>
      </w:r>
      <w:bookmarkStart w:id="3893" w:name="_9kMHG5YVtCIC9DGEDmh11n2D4BDy13TJ67hwC26"/>
      <w:r w:rsidR="00840A0F">
        <w:rPr>
          <w:rFonts w:cs="Arial"/>
          <w:sz w:val="22"/>
          <w:szCs w:val="22"/>
        </w:rPr>
        <w:t>p</w:t>
      </w:r>
      <w:r w:rsidRPr="0072090A">
        <w:rPr>
          <w:rFonts w:cs="Arial"/>
          <w:sz w:val="22"/>
          <w:szCs w:val="22"/>
        </w:rPr>
        <w:t xml:space="preserve">aragraphs </w:t>
      </w:r>
      <w:r w:rsidRPr="0072090A">
        <w:rPr>
          <w:rFonts w:cs="Arial"/>
          <w:sz w:val="22"/>
          <w:szCs w:val="22"/>
        </w:rPr>
        <w:fldChar w:fldCharType="begin"/>
      </w:r>
      <w:r w:rsidRPr="0072090A">
        <w:rPr>
          <w:rFonts w:cs="Arial"/>
          <w:sz w:val="22"/>
          <w:szCs w:val="22"/>
        </w:rPr>
        <w:instrText xml:space="preserve"> REF _Ref_ContractCompanion_9kb9Ut378 \w \h \t \* MERGEFORMAT </w:instrText>
      </w:r>
      <w:r w:rsidRPr="0072090A">
        <w:rPr>
          <w:rFonts w:cs="Arial"/>
          <w:sz w:val="22"/>
          <w:szCs w:val="22"/>
        </w:rPr>
      </w:r>
      <w:r w:rsidRPr="0072090A">
        <w:rPr>
          <w:rFonts w:cs="Arial"/>
          <w:sz w:val="22"/>
          <w:szCs w:val="22"/>
        </w:rPr>
        <w:fldChar w:fldCharType="separate"/>
      </w:r>
      <w:r w:rsidR="00C87D85">
        <w:rPr>
          <w:rFonts w:cs="Arial"/>
          <w:sz w:val="22"/>
          <w:szCs w:val="22"/>
        </w:rPr>
        <w:t>2.1(a)(i)</w:t>
      </w:r>
      <w:r w:rsidRPr="0072090A">
        <w:rPr>
          <w:rFonts w:cs="Arial"/>
          <w:sz w:val="22"/>
          <w:szCs w:val="22"/>
        </w:rPr>
        <w:fldChar w:fldCharType="end"/>
      </w:r>
      <w:bookmarkEnd w:id="3893"/>
      <w:r w:rsidRPr="0072090A">
        <w:rPr>
          <w:rFonts w:cs="Arial"/>
          <w:sz w:val="22"/>
          <w:szCs w:val="22"/>
        </w:rPr>
        <w:t xml:space="preserve"> to </w:t>
      </w:r>
      <w:r w:rsidRPr="0072090A">
        <w:rPr>
          <w:rFonts w:cs="Arial"/>
          <w:sz w:val="22"/>
          <w:szCs w:val="22"/>
        </w:rPr>
        <w:fldChar w:fldCharType="begin"/>
      </w:r>
      <w:r w:rsidRPr="0072090A">
        <w:rPr>
          <w:rFonts w:cs="Arial"/>
          <w:sz w:val="22"/>
          <w:szCs w:val="22"/>
        </w:rPr>
        <w:instrText xml:space="preserve"> REF _Ref41647720 \n \h  \* MERGEFORMAT </w:instrText>
      </w:r>
      <w:r w:rsidRPr="0072090A">
        <w:rPr>
          <w:rFonts w:cs="Arial"/>
          <w:sz w:val="22"/>
          <w:szCs w:val="22"/>
        </w:rPr>
      </w:r>
      <w:r w:rsidRPr="0072090A">
        <w:rPr>
          <w:rFonts w:cs="Arial"/>
          <w:sz w:val="22"/>
          <w:szCs w:val="22"/>
        </w:rPr>
        <w:fldChar w:fldCharType="separate"/>
      </w:r>
      <w:bookmarkStart w:id="3894" w:name="_9kR3WTr2CC7FJ8"/>
      <w:r w:rsidR="00C87D85">
        <w:rPr>
          <w:rFonts w:cs="Arial"/>
          <w:sz w:val="22"/>
          <w:szCs w:val="22"/>
        </w:rPr>
        <w:t>(v)</w:t>
      </w:r>
      <w:bookmarkEnd w:id="3894"/>
      <w:r w:rsidRPr="0072090A">
        <w:rPr>
          <w:rFonts w:cs="Arial"/>
          <w:sz w:val="22"/>
          <w:szCs w:val="22"/>
        </w:rPr>
        <w:fldChar w:fldCharType="end"/>
      </w:r>
      <w:r w:rsidRPr="0072090A">
        <w:rPr>
          <w:rFonts w:cs="Arial"/>
          <w:sz w:val="22"/>
          <w:szCs w:val="22"/>
        </w:rPr>
        <w:t>; and</w:t>
      </w:r>
    </w:p>
    <w:p w14:paraId="09CAC629" w14:textId="3A2C6486" w:rsidR="0072090A" w:rsidRPr="0072090A" w:rsidRDefault="0072090A">
      <w:pPr>
        <w:pStyle w:val="AppendixText4"/>
        <w:rPr>
          <w:rFonts w:cs="Arial"/>
          <w:sz w:val="22"/>
          <w:szCs w:val="22"/>
        </w:rPr>
      </w:pPr>
      <w:r w:rsidRPr="0072090A">
        <w:rPr>
          <w:rFonts w:cs="Arial"/>
          <w:sz w:val="22"/>
          <w:szCs w:val="22"/>
        </w:rPr>
        <w:t xml:space="preserve">provide the other Party with full cooperation and assistance in relation to any request, complaint or communication made as referred to in </w:t>
      </w:r>
      <w:bookmarkStart w:id="3895" w:name="_9kMHG5YVtCIC9DDBDmhqrkqFHD7t4I66NCBRSC9"/>
      <w:r w:rsidR="00840A0F">
        <w:rPr>
          <w:rFonts w:cs="Arial"/>
          <w:sz w:val="22"/>
          <w:szCs w:val="22"/>
        </w:rPr>
        <w:t>p</w:t>
      </w:r>
      <w:r w:rsidRPr="0072090A">
        <w:rPr>
          <w:rFonts w:cs="Arial"/>
          <w:sz w:val="22"/>
          <w:szCs w:val="22"/>
        </w:rPr>
        <w:t xml:space="preserve">aragraphs </w:t>
      </w:r>
      <w:r w:rsidRPr="0072090A">
        <w:rPr>
          <w:rFonts w:cs="Arial"/>
          <w:sz w:val="22"/>
          <w:szCs w:val="22"/>
        </w:rPr>
        <w:fldChar w:fldCharType="begin"/>
      </w:r>
      <w:r w:rsidRPr="0072090A">
        <w:rPr>
          <w:rFonts w:cs="Arial"/>
          <w:sz w:val="22"/>
          <w:szCs w:val="22"/>
        </w:rPr>
        <w:instrText xml:space="preserve"> REF _Ref_ContractCompanion_9kb9Ut36E \w \h \t \* MERGEFORMAT </w:instrText>
      </w:r>
      <w:r w:rsidRPr="0072090A">
        <w:rPr>
          <w:rFonts w:cs="Arial"/>
          <w:sz w:val="22"/>
          <w:szCs w:val="22"/>
        </w:rPr>
      </w:r>
      <w:r w:rsidRPr="0072090A">
        <w:rPr>
          <w:rFonts w:cs="Arial"/>
          <w:sz w:val="22"/>
          <w:szCs w:val="22"/>
        </w:rPr>
        <w:fldChar w:fldCharType="separate"/>
      </w:r>
      <w:r w:rsidR="00C87D85">
        <w:rPr>
          <w:rFonts w:cs="Arial"/>
          <w:sz w:val="22"/>
          <w:szCs w:val="22"/>
        </w:rPr>
        <w:t>2.1(a)(iii)</w:t>
      </w:r>
      <w:r w:rsidRPr="0072090A">
        <w:rPr>
          <w:rFonts w:cs="Arial"/>
          <w:sz w:val="22"/>
          <w:szCs w:val="22"/>
        </w:rPr>
        <w:fldChar w:fldCharType="end"/>
      </w:r>
      <w:bookmarkEnd w:id="3895"/>
      <w:r w:rsidRPr="0072090A">
        <w:rPr>
          <w:rFonts w:cs="Arial"/>
          <w:sz w:val="22"/>
          <w:szCs w:val="22"/>
        </w:rPr>
        <w:t xml:space="preserve"> to </w:t>
      </w:r>
      <w:r w:rsidRPr="0072090A">
        <w:rPr>
          <w:rFonts w:cs="Arial"/>
          <w:sz w:val="22"/>
          <w:szCs w:val="22"/>
        </w:rPr>
        <w:fldChar w:fldCharType="begin"/>
      </w:r>
      <w:r w:rsidRPr="0072090A">
        <w:rPr>
          <w:rFonts w:cs="Arial"/>
          <w:sz w:val="22"/>
          <w:szCs w:val="22"/>
        </w:rPr>
        <w:instrText xml:space="preserve"> REF _Ref41647720 \n \h  \* MERGEFORMAT </w:instrText>
      </w:r>
      <w:r w:rsidRPr="0072090A">
        <w:rPr>
          <w:rFonts w:cs="Arial"/>
          <w:sz w:val="22"/>
          <w:szCs w:val="22"/>
        </w:rPr>
      </w:r>
      <w:r w:rsidRPr="0072090A">
        <w:rPr>
          <w:rFonts w:cs="Arial"/>
          <w:sz w:val="22"/>
          <w:szCs w:val="22"/>
        </w:rPr>
        <w:fldChar w:fldCharType="separate"/>
      </w:r>
      <w:r w:rsidR="00C87D85">
        <w:rPr>
          <w:rFonts w:cs="Arial"/>
          <w:sz w:val="22"/>
          <w:szCs w:val="22"/>
        </w:rPr>
        <w:t>(v)</w:t>
      </w:r>
      <w:r w:rsidRPr="0072090A">
        <w:rPr>
          <w:rFonts w:cs="Arial"/>
          <w:sz w:val="22"/>
          <w:szCs w:val="22"/>
        </w:rPr>
        <w:fldChar w:fldCharType="end"/>
      </w:r>
      <w:r w:rsidRPr="0072090A">
        <w:rPr>
          <w:rFonts w:cs="Arial"/>
          <w:sz w:val="22"/>
          <w:szCs w:val="22"/>
        </w:rPr>
        <w:t xml:space="preserve"> to enable the other Party to comply with the relevant timescales set out in the Data Protection Legislation. </w:t>
      </w:r>
    </w:p>
    <w:p w14:paraId="4320B5F6" w14:textId="468C6F2E" w:rsidR="0072090A" w:rsidRPr="0072090A" w:rsidRDefault="0072090A">
      <w:pPr>
        <w:pStyle w:val="AppendixText4"/>
        <w:rPr>
          <w:rFonts w:cs="Arial"/>
          <w:sz w:val="22"/>
          <w:szCs w:val="22"/>
        </w:rPr>
      </w:pPr>
      <w:r w:rsidRPr="0072090A">
        <w:rPr>
          <w:rFonts w:cs="Arial"/>
          <w:sz w:val="22"/>
          <w:szCs w:val="22"/>
        </w:rPr>
        <w:t xml:space="preserve">not disclose or transfer the Personal Data to any third party unless necessary for the provision of the Services and, for any disclosure or transfer of Personal Data to any third party, (save where such disclosure or transfer is specifically authorised under </w:t>
      </w:r>
      <w:r w:rsidR="00010038">
        <w:rPr>
          <w:rFonts w:cs="Arial"/>
          <w:sz w:val="22"/>
          <w:szCs w:val="22"/>
        </w:rPr>
        <w:t>the Agreement</w:t>
      </w:r>
      <w:r w:rsidRPr="0072090A" w:rsidDel="00562BBE">
        <w:rPr>
          <w:rFonts w:cs="Arial"/>
          <w:sz w:val="22"/>
          <w:szCs w:val="22"/>
        </w:rPr>
        <w:t xml:space="preserve"> </w:t>
      </w:r>
      <w:r w:rsidRPr="0072090A">
        <w:rPr>
          <w:rFonts w:cs="Arial"/>
          <w:sz w:val="22"/>
          <w:szCs w:val="22"/>
        </w:rPr>
        <w:t xml:space="preserve">or is required by Law) that disclosure or transfer of Personal Data is otherwise considered to be lawful processing of that Personal Data in accordance with Article 6 of the UK GDPR or EU GDPR (as the context requires). For the avoidance of doubt to which Personal Data is transferred must be subject to equivalent obligations which are no less onerous than those set out in this Annex. </w:t>
      </w:r>
    </w:p>
    <w:p w14:paraId="58F17881" w14:textId="77777777" w:rsidR="0072090A" w:rsidRPr="0072090A" w:rsidRDefault="0072090A">
      <w:pPr>
        <w:pStyle w:val="AppendixText4"/>
        <w:rPr>
          <w:rFonts w:cs="Arial"/>
          <w:sz w:val="22"/>
          <w:szCs w:val="22"/>
        </w:rPr>
      </w:pPr>
      <w:r w:rsidRPr="0072090A">
        <w:rPr>
          <w:rFonts w:cs="Arial"/>
          <w:sz w:val="22"/>
          <w:szCs w:val="22"/>
        </w:rPr>
        <w:t>request from the Data Subject only the minimum information necessary to provide the Services and treat such extracted information as Confidential Information.</w:t>
      </w:r>
    </w:p>
    <w:p w14:paraId="42A8DA69" w14:textId="77777777" w:rsidR="0072090A" w:rsidRPr="0072090A" w:rsidRDefault="0072090A">
      <w:pPr>
        <w:pStyle w:val="AppendixText4"/>
        <w:rPr>
          <w:rFonts w:cs="Arial"/>
          <w:sz w:val="22"/>
          <w:szCs w:val="22"/>
        </w:rPr>
      </w:pPr>
      <w:r w:rsidRPr="0072090A">
        <w:rPr>
          <w:rFonts w:cs="Arial"/>
          <w:sz w:val="22"/>
          <w:szCs w:val="22"/>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62CFB70C" w14:textId="77777777" w:rsidR="0072090A" w:rsidRPr="0072090A" w:rsidRDefault="0072090A">
      <w:pPr>
        <w:pStyle w:val="AppendixText4"/>
        <w:rPr>
          <w:rFonts w:cs="Arial"/>
          <w:sz w:val="22"/>
          <w:szCs w:val="22"/>
        </w:rPr>
      </w:pPr>
      <w:r w:rsidRPr="0072090A">
        <w:rPr>
          <w:rFonts w:cs="Arial"/>
          <w:sz w:val="22"/>
          <w:szCs w:val="22"/>
        </w:rPr>
        <w:t>take all reasonable steps to ensure the reliability and integrity of any of its Personnel who have access to the Personal Data and ensure that its Personnel:</w:t>
      </w:r>
    </w:p>
    <w:p w14:paraId="55AE3D72" w14:textId="756B9F69" w:rsidR="0072090A" w:rsidRPr="0072090A" w:rsidRDefault="0072090A">
      <w:pPr>
        <w:pStyle w:val="AppendixText5"/>
        <w:rPr>
          <w:rFonts w:cs="Arial"/>
          <w:sz w:val="22"/>
          <w:szCs w:val="22"/>
        </w:rPr>
      </w:pPr>
      <w:r w:rsidRPr="0072090A">
        <w:rPr>
          <w:rFonts w:cs="Arial"/>
          <w:sz w:val="22"/>
          <w:szCs w:val="22"/>
        </w:rPr>
        <w:t xml:space="preserve">are aware of and comply with their duties under this Annex </w:t>
      </w:r>
      <w:r w:rsidRPr="0072090A">
        <w:rPr>
          <w:rFonts w:cs="Arial"/>
          <w:sz w:val="22"/>
          <w:szCs w:val="22"/>
        </w:rPr>
        <w:fldChar w:fldCharType="begin"/>
      </w:r>
      <w:r w:rsidRPr="0072090A">
        <w:rPr>
          <w:rFonts w:cs="Arial"/>
          <w:sz w:val="22"/>
          <w:szCs w:val="22"/>
        </w:rPr>
        <w:instrText xml:space="preserve"> REF ANNEX1_SCHEDULE31 \h  \* MERGEFORMAT </w:instrText>
      </w:r>
      <w:r w:rsidRPr="0072090A">
        <w:rPr>
          <w:rFonts w:cs="Arial"/>
          <w:sz w:val="22"/>
          <w:szCs w:val="22"/>
        </w:rPr>
      </w:r>
      <w:r w:rsidRPr="0072090A">
        <w:rPr>
          <w:rFonts w:cs="Arial"/>
          <w:sz w:val="22"/>
          <w:szCs w:val="22"/>
        </w:rPr>
        <w:fldChar w:fldCharType="separate"/>
      </w:r>
      <w:r w:rsidR="00C87D85" w:rsidRPr="0072090A">
        <w:rPr>
          <w:rFonts w:cs="Arial"/>
          <w:sz w:val="22"/>
          <w:szCs w:val="22"/>
        </w:rPr>
        <w:t>1</w:t>
      </w:r>
      <w:r w:rsidRPr="0072090A">
        <w:rPr>
          <w:rFonts w:cs="Arial"/>
          <w:sz w:val="22"/>
          <w:szCs w:val="22"/>
        </w:rPr>
        <w:fldChar w:fldCharType="end"/>
      </w:r>
      <w:r w:rsidRPr="0072090A">
        <w:rPr>
          <w:rFonts w:cs="Arial"/>
          <w:sz w:val="22"/>
          <w:szCs w:val="22"/>
        </w:rPr>
        <w:t xml:space="preserve"> (</w:t>
      </w:r>
      <w:r w:rsidRPr="0072090A">
        <w:rPr>
          <w:rFonts w:cs="Arial"/>
          <w:i/>
          <w:iCs/>
          <w:sz w:val="22"/>
          <w:szCs w:val="22"/>
        </w:rPr>
        <w:fldChar w:fldCharType="begin"/>
      </w:r>
      <w:r w:rsidRPr="0072090A">
        <w:rPr>
          <w:rFonts w:cs="Arial"/>
          <w:i/>
          <w:iCs/>
          <w:sz w:val="22"/>
          <w:szCs w:val="22"/>
        </w:rPr>
        <w:instrText xml:space="preserve"> REF ANNEX1HEADING_SCHEDULE31 \h  \* MERGEFORMAT </w:instrText>
      </w:r>
      <w:r w:rsidRPr="0072090A">
        <w:rPr>
          <w:rFonts w:cs="Arial"/>
          <w:i/>
          <w:iCs/>
          <w:sz w:val="22"/>
          <w:szCs w:val="22"/>
        </w:rPr>
      </w:r>
      <w:r w:rsidRPr="0072090A">
        <w:rPr>
          <w:rFonts w:cs="Arial"/>
          <w:i/>
          <w:iCs/>
          <w:sz w:val="22"/>
          <w:szCs w:val="22"/>
        </w:rPr>
        <w:fldChar w:fldCharType="separate"/>
      </w:r>
      <w:r w:rsidR="00C87D85" w:rsidRPr="00C87D85">
        <w:rPr>
          <w:rFonts w:cs="Arial"/>
          <w:i/>
          <w:iCs/>
          <w:sz w:val="22"/>
          <w:szCs w:val="22"/>
        </w:rPr>
        <w:t>Joint Controller Agreement</w:t>
      </w:r>
      <w:r w:rsidRPr="0072090A">
        <w:rPr>
          <w:rFonts w:cs="Arial"/>
          <w:i/>
          <w:iCs/>
          <w:sz w:val="22"/>
          <w:szCs w:val="22"/>
        </w:rPr>
        <w:fldChar w:fldCharType="end"/>
      </w:r>
      <w:r w:rsidRPr="0072090A">
        <w:rPr>
          <w:rFonts w:cs="Arial"/>
          <w:sz w:val="22"/>
          <w:szCs w:val="22"/>
        </w:rPr>
        <w:t xml:space="preserve">)  and those in respect of Confidential Information </w:t>
      </w:r>
    </w:p>
    <w:p w14:paraId="18782272" w14:textId="77777777" w:rsidR="0072090A" w:rsidRPr="0072090A" w:rsidRDefault="0072090A">
      <w:pPr>
        <w:pStyle w:val="AppendixText5"/>
        <w:rPr>
          <w:rFonts w:cs="Arial"/>
          <w:sz w:val="22"/>
          <w:szCs w:val="22"/>
        </w:rPr>
      </w:pPr>
      <w:r w:rsidRPr="0072090A">
        <w:rPr>
          <w:rFonts w:cs="Arial"/>
          <w:sz w:val="22"/>
          <w:szCs w:val="22"/>
        </w:rP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53CE35B2" w14:textId="77777777" w:rsidR="0072090A" w:rsidRPr="0072090A" w:rsidRDefault="0072090A">
      <w:pPr>
        <w:pStyle w:val="AppendixText5"/>
        <w:rPr>
          <w:rFonts w:cs="Arial"/>
          <w:sz w:val="22"/>
          <w:szCs w:val="22"/>
        </w:rPr>
      </w:pPr>
      <w:r w:rsidRPr="0072090A">
        <w:rPr>
          <w:rFonts w:cs="Arial"/>
          <w:sz w:val="22"/>
          <w:szCs w:val="22"/>
        </w:rPr>
        <w:lastRenderedPageBreak/>
        <w:t>have undergone adequate training in the use, care, protection and handling of personal data as required by the applicable Data Protection Legislation;</w:t>
      </w:r>
    </w:p>
    <w:p w14:paraId="28EED60A" w14:textId="77777777" w:rsidR="0072090A" w:rsidRPr="0072090A" w:rsidRDefault="0072090A">
      <w:pPr>
        <w:pStyle w:val="AppendixText4"/>
        <w:rPr>
          <w:rFonts w:cs="Arial"/>
          <w:sz w:val="22"/>
          <w:szCs w:val="22"/>
        </w:rPr>
      </w:pPr>
      <w:r w:rsidRPr="0072090A">
        <w:rPr>
          <w:rFonts w:cs="Arial"/>
          <w:sz w:val="22"/>
          <w:szCs w:val="22"/>
        </w:rPr>
        <w:t>ensure that it has in place Protective Measures as appropriate to protect against a Data Loss Event having taken account of the:</w:t>
      </w:r>
    </w:p>
    <w:p w14:paraId="6D961872" w14:textId="77777777" w:rsidR="0072090A" w:rsidRPr="0072090A" w:rsidRDefault="0072090A">
      <w:pPr>
        <w:pStyle w:val="AppendixText5"/>
        <w:rPr>
          <w:rFonts w:cs="Arial"/>
          <w:sz w:val="22"/>
          <w:szCs w:val="22"/>
        </w:rPr>
      </w:pPr>
      <w:r w:rsidRPr="0072090A">
        <w:rPr>
          <w:rFonts w:cs="Arial"/>
          <w:sz w:val="22"/>
          <w:szCs w:val="22"/>
        </w:rPr>
        <w:t>nature of the data to be protected;</w:t>
      </w:r>
    </w:p>
    <w:p w14:paraId="3234ACF3" w14:textId="77777777" w:rsidR="0072090A" w:rsidRPr="0072090A" w:rsidRDefault="0072090A">
      <w:pPr>
        <w:pStyle w:val="AppendixText5"/>
        <w:rPr>
          <w:rFonts w:cs="Arial"/>
          <w:sz w:val="22"/>
          <w:szCs w:val="22"/>
        </w:rPr>
      </w:pPr>
      <w:r w:rsidRPr="0072090A">
        <w:rPr>
          <w:rFonts w:cs="Arial"/>
          <w:sz w:val="22"/>
          <w:szCs w:val="22"/>
        </w:rPr>
        <w:t>harm that might result from a Data Loss Event;</w:t>
      </w:r>
    </w:p>
    <w:p w14:paraId="29DBB088" w14:textId="77777777" w:rsidR="0072090A" w:rsidRPr="0072090A" w:rsidRDefault="0072090A">
      <w:pPr>
        <w:pStyle w:val="AppendixText5"/>
        <w:rPr>
          <w:rFonts w:cs="Arial"/>
          <w:sz w:val="22"/>
          <w:szCs w:val="22"/>
        </w:rPr>
      </w:pPr>
      <w:r w:rsidRPr="0072090A">
        <w:rPr>
          <w:rFonts w:cs="Arial"/>
          <w:sz w:val="22"/>
          <w:szCs w:val="22"/>
        </w:rPr>
        <w:t>state of technological development; and</w:t>
      </w:r>
    </w:p>
    <w:p w14:paraId="6C102B78" w14:textId="77777777" w:rsidR="0072090A" w:rsidRPr="0072090A" w:rsidRDefault="0072090A">
      <w:pPr>
        <w:pStyle w:val="AppendixText5"/>
        <w:rPr>
          <w:rFonts w:cs="Arial"/>
          <w:sz w:val="22"/>
          <w:szCs w:val="22"/>
        </w:rPr>
      </w:pPr>
      <w:r w:rsidRPr="0072090A">
        <w:rPr>
          <w:rFonts w:cs="Arial"/>
          <w:sz w:val="22"/>
          <w:szCs w:val="22"/>
        </w:rPr>
        <w:t>cost of implementing any measures.</w:t>
      </w:r>
    </w:p>
    <w:p w14:paraId="4360812C" w14:textId="3F1D9394" w:rsidR="0072090A" w:rsidRPr="0072090A" w:rsidRDefault="0072090A">
      <w:pPr>
        <w:pStyle w:val="AppendixText4"/>
        <w:rPr>
          <w:rFonts w:cs="Arial"/>
          <w:sz w:val="22"/>
          <w:szCs w:val="22"/>
        </w:rPr>
      </w:pPr>
      <w:r w:rsidRPr="0072090A">
        <w:rPr>
          <w:rFonts w:cs="Arial"/>
          <w:sz w:val="22"/>
          <w:szCs w:val="22"/>
        </w:rPr>
        <w:t xml:space="preserve">ensure that it has the capability (whether technological or otherwise), to the extent required by Data Protection Legislation, to provide or correct or delete at the request of a Data Subject all the Personal Data relating to that Data Subject that the </w:t>
      </w:r>
      <w:r w:rsidR="00010038">
        <w:rPr>
          <w:rFonts w:cs="Arial"/>
          <w:sz w:val="22"/>
          <w:szCs w:val="22"/>
        </w:rPr>
        <w:t>Provider</w:t>
      </w:r>
      <w:r w:rsidRPr="0072090A">
        <w:rPr>
          <w:rFonts w:cs="Arial"/>
          <w:sz w:val="22"/>
          <w:szCs w:val="22"/>
        </w:rPr>
        <w:t xml:space="preserve"> holds; </w:t>
      </w:r>
    </w:p>
    <w:p w14:paraId="68484215" w14:textId="77777777" w:rsidR="0072090A" w:rsidRPr="0072090A" w:rsidRDefault="0072090A">
      <w:pPr>
        <w:pStyle w:val="AppendixText4"/>
        <w:rPr>
          <w:rFonts w:cs="Arial"/>
          <w:sz w:val="22"/>
          <w:szCs w:val="22"/>
        </w:rPr>
      </w:pPr>
      <w:r w:rsidRPr="0072090A">
        <w:rPr>
          <w:rFonts w:cs="Arial"/>
          <w:sz w:val="22"/>
          <w:szCs w:val="22"/>
        </w:rPr>
        <w:t>ensure that it notifies the other Party as soon as it becomes aware of a Data Loss Event;</w:t>
      </w:r>
    </w:p>
    <w:p w14:paraId="06B75089" w14:textId="77777777" w:rsidR="00C0540F" w:rsidRPr="00C0540F" w:rsidRDefault="00C0540F" w:rsidP="00C0540F">
      <w:pPr>
        <w:pStyle w:val="AppendixText4"/>
        <w:rPr>
          <w:rFonts w:cs="Arial"/>
          <w:sz w:val="22"/>
          <w:szCs w:val="22"/>
        </w:rPr>
      </w:pPr>
      <w:r w:rsidRPr="00C0540F">
        <w:rPr>
          <w:rFonts w:cs="Arial"/>
          <w:sz w:val="22"/>
          <w:szCs w:val="22"/>
        </w:rPr>
        <w:t>not transfer such Personal Data outside of the UK and/or the EEA unless the prior written consent of the non-transferring Party has been obtained and the following conditions are fulfilled:</w:t>
      </w:r>
    </w:p>
    <w:p w14:paraId="419950F1" w14:textId="77777777" w:rsidR="00C0540F" w:rsidRPr="00C0540F" w:rsidRDefault="00C0540F" w:rsidP="00C0540F">
      <w:pPr>
        <w:pStyle w:val="AppendixText5"/>
        <w:rPr>
          <w:sz w:val="22"/>
          <w:szCs w:val="22"/>
        </w:rPr>
      </w:pPr>
      <w:r w:rsidRPr="00C0540F">
        <w:rPr>
          <w:sz w:val="22"/>
          <w:szCs w:val="22"/>
        </w:rPr>
        <w:t>the destination country has been recognised as adequate by the UK government is in accordance with Article 45 of the UK GDPR or DPA 2018 Section 74A and/or the transfer is in accordance with Article 45 of the EU GDPR (where applicable); or</w:t>
      </w:r>
    </w:p>
    <w:p w14:paraId="31C2F7BB" w14:textId="7E0F1DE2" w:rsidR="00C0540F" w:rsidRPr="00C0540F" w:rsidRDefault="00C0540F" w:rsidP="00C0540F">
      <w:pPr>
        <w:pStyle w:val="AppendixText5"/>
        <w:rPr>
          <w:sz w:val="22"/>
          <w:szCs w:val="22"/>
        </w:rPr>
      </w:pPr>
      <w:r w:rsidRPr="00C0540F">
        <w:rPr>
          <w:sz w:val="22"/>
          <w:szCs w:val="22"/>
        </w:rPr>
        <w:t>the transferring Party has provided appropriate safeguards in relation to the transfer (whether in accordance with Article 46 of the UK GDPR or DPA 2018 Section 75 and/or Article 46 of the EU GDPR (where applicable) as agreed with the non-transferring Party which could include the International Data Transfer Agreement or International Data Transfer Agreement Addendum to the European Commission's SCCs as published by the Information Commissioner's Office (as appropriate), as well as any additional measures;</w:t>
      </w:r>
    </w:p>
    <w:p w14:paraId="1FA69408" w14:textId="77777777" w:rsidR="00C0540F" w:rsidRPr="00C0540F" w:rsidRDefault="00C0540F" w:rsidP="00C0540F">
      <w:pPr>
        <w:pStyle w:val="AppendixText5"/>
        <w:rPr>
          <w:sz w:val="22"/>
          <w:szCs w:val="22"/>
        </w:rPr>
      </w:pPr>
      <w:r w:rsidRPr="00C0540F">
        <w:rPr>
          <w:sz w:val="22"/>
          <w:szCs w:val="22"/>
        </w:rPr>
        <w:t>where the transfer is subject to UK GDPR:</w:t>
      </w:r>
    </w:p>
    <w:p w14:paraId="5489BB3D" w14:textId="574AFBC8" w:rsidR="00C0540F" w:rsidRPr="00C0540F" w:rsidRDefault="00C0540F" w:rsidP="00C0540F">
      <w:pPr>
        <w:pStyle w:val="AppendixText6"/>
        <w:rPr>
          <w:sz w:val="22"/>
          <w:szCs w:val="22"/>
        </w:rPr>
      </w:pPr>
      <w:r w:rsidRPr="00C0540F">
        <w:rPr>
          <w:sz w:val="22"/>
          <w:szCs w:val="22"/>
        </w:rPr>
        <w:t>the UK International Data Transfer Agreement (the "IDTA") as published by the Inf</w:t>
      </w:r>
      <w:r>
        <w:rPr>
          <w:sz w:val="22"/>
          <w:szCs w:val="22"/>
        </w:rPr>
        <w:t xml:space="preserve">ormation Commissioner's Office </w:t>
      </w:r>
      <w:r w:rsidRPr="00C0540F">
        <w:rPr>
          <w:sz w:val="22"/>
          <w:szCs w:val="22"/>
        </w:rPr>
        <w:t>or such updated version of such IDTA as is published by the Information Commissioner's Office under section 119A(1) of the DPA 2018 from time to time ; or</w:t>
      </w:r>
    </w:p>
    <w:p w14:paraId="42E1062D" w14:textId="6F59509B" w:rsidR="00C0540F" w:rsidRPr="00C0540F" w:rsidRDefault="00C0540F" w:rsidP="00C0540F">
      <w:pPr>
        <w:pStyle w:val="AppendixText6"/>
        <w:rPr>
          <w:sz w:val="22"/>
          <w:szCs w:val="22"/>
        </w:rPr>
      </w:pPr>
      <w:r w:rsidRPr="00C0540F">
        <w:rPr>
          <w:sz w:val="22"/>
          <w:szCs w:val="22"/>
        </w:rPr>
        <w:t xml:space="preserve">the European Commission's Standard Contractual Clauses per decision 2021/914/EU or such updated version of such Standard Contractual Clauses as are published by the European Commission from time to time (the "EU SCCs"), together with the UK International Data Transfer Agreement Addendum to the EU SCCs (the "Addendum") or such updated version of such Addendum as is published </w:t>
      </w:r>
      <w:r w:rsidRPr="00C0540F">
        <w:rPr>
          <w:sz w:val="22"/>
          <w:szCs w:val="22"/>
        </w:rPr>
        <w:lastRenderedPageBreak/>
        <w:t>by the Information Commissioner's Office under section 119A(1) of the DPA 2018 from time to time; and/or</w:t>
      </w:r>
    </w:p>
    <w:p w14:paraId="4DB6BF38" w14:textId="77777777" w:rsidR="00C0540F" w:rsidRPr="00C0540F" w:rsidRDefault="00C0540F" w:rsidP="00C0540F">
      <w:pPr>
        <w:pStyle w:val="AppendixText5"/>
        <w:rPr>
          <w:sz w:val="22"/>
          <w:szCs w:val="22"/>
        </w:rPr>
      </w:pPr>
      <w:r w:rsidRPr="00C0540F">
        <w:rPr>
          <w:sz w:val="22"/>
          <w:szCs w:val="22"/>
        </w:rPr>
        <w:t>where the transfer is subject to EU GDPR, the EU SCCs,</w:t>
      </w:r>
    </w:p>
    <w:p w14:paraId="76D29D22" w14:textId="77777777" w:rsidR="00C0540F" w:rsidRPr="00C0540F" w:rsidRDefault="00C0540F" w:rsidP="00C0540F">
      <w:pPr>
        <w:pStyle w:val="AppendixText4"/>
        <w:numPr>
          <w:ilvl w:val="0"/>
          <w:numId w:val="0"/>
        </w:numPr>
        <w:ind w:left="1803"/>
        <w:rPr>
          <w:rFonts w:cs="Arial"/>
          <w:sz w:val="22"/>
          <w:szCs w:val="22"/>
        </w:rPr>
      </w:pPr>
      <w:r w:rsidRPr="00C0540F">
        <w:rPr>
          <w:rFonts w:cs="Arial"/>
          <w:sz w:val="22"/>
          <w:szCs w:val="22"/>
        </w:rPr>
        <w:t>(as well as any additional measures determined by the Controller being implemented by the importing party;</w:t>
      </w:r>
    </w:p>
    <w:p w14:paraId="418DE494" w14:textId="77777777" w:rsidR="0072090A" w:rsidRPr="0072090A" w:rsidRDefault="0072090A">
      <w:pPr>
        <w:pStyle w:val="AppendixText5"/>
        <w:rPr>
          <w:rFonts w:cs="Arial"/>
          <w:sz w:val="22"/>
          <w:szCs w:val="22"/>
        </w:rPr>
      </w:pPr>
      <w:r w:rsidRPr="0072090A">
        <w:rPr>
          <w:rFonts w:cs="Arial"/>
          <w:sz w:val="22"/>
          <w:szCs w:val="22"/>
        </w:rPr>
        <w:t>the Data Subject has enforceable rights and effective legal remedies;</w:t>
      </w:r>
    </w:p>
    <w:p w14:paraId="7B86E62B" w14:textId="25FEA134" w:rsidR="0072090A" w:rsidRPr="0072090A" w:rsidRDefault="0072090A">
      <w:pPr>
        <w:pStyle w:val="AppendixText5"/>
        <w:rPr>
          <w:rFonts w:cs="Arial"/>
          <w:sz w:val="22"/>
          <w:szCs w:val="22"/>
        </w:rPr>
      </w:pPr>
      <w:r w:rsidRPr="0072090A">
        <w:rPr>
          <w:rFonts w:cs="Arial"/>
          <w:sz w:val="22"/>
          <w:szCs w:val="22"/>
        </w:rPr>
        <w:t xml:space="preserve">the transferring Party complies with its obligations under </w:t>
      </w:r>
      <w:r w:rsidR="00403EAC">
        <w:rPr>
          <w:rFonts w:cs="Arial"/>
          <w:sz w:val="22"/>
          <w:szCs w:val="22"/>
        </w:rPr>
        <w:t>Data Protection Legislation</w:t>
      </w:r>
      <w:r w:rsidRPr="0072090A">
        <w:rPr>
          <w:rFonts w:cs="Arial"/>
          <w:sz w:val="22"/>
          <w:szCs w:val="22"/>
        </w:rPr>
        <w:t xml:space="preserve"> by providing an adequate level of protection to any Personal Data that is transferred (or, if it is not so bound, uses its best endeavours to assist the non-transferring Party in meeting its obligations); and</w:t>
      </w:r>
    </w:p>
    <w:p w14:paraId="0138E8C0" w14:textId="77777777" w:rsidR="0072090A" w:rsidRPr="0072090A" w:rsidRDefault="0072090A">
      <w:pPr>
        <w:pStyle w:val="AppendixText5"/>
        <w:rPr>
          <w:rFonts w:cs="Arial"/>
          <w:sz w:val="22"/>
          <w:szCs w:val="22"/>
        </w:rPr>
      </w:pPr>
      <w:r w:rsidRPr="0072090A">
        <w:rPr>
          <w:rFonts w:cs="Arial"/>
          <w:sz w:val="22"/>
          <w:szCs w:val="22"/>
        </w:rPr>
        <w:t xml:space="preserve">the transferring Party complies with any reasonable instructions notified to it in advance by the non-transferring Party with respect to the processing of the Personal Data. </w:t>
      </w:r>
    </w:p>
    <w:p w14:paraId="7F45BB3A" w14:textId="1DE59A42" w:rsidR="0072090A" w:rsidRPr="0072090A" w:rsidRDefault="0072090A">
      <w:pPr>
        <w:pStyle w:val="AppendixText2"/>
        <w:rPr>
          <w:rFonts w:cs="Arial"/>
          <w:sz w:val="22"/>
          <w:szCs w:val="22"/>
        </w:rPr>
      </w:pPr>
      <w:r w:rsidRPr="0072090A">
        <w:rPr>
          <w:rFonts w:cs="Arial"/>
          <w:sz w:val="22"/>
          <w:szCs w:val="22"/>
        </w:rPr>
        <w:t xml:space="preserve">Each Joint Controller shall use its </w:t>
      </w:r>
      <w:r w:rsidR="00403EAC">
        <w:rPr>
          <w:rFonts w:cs="Arial"/>
          <w:sz w:val="22"/>
          <w:szCs w:val="22"/>
        </w:rPr>
        <w:t>best</w:t>
      </w:r>
      <w:r w:rsidR="00403EAC" w:rsidRPr="0072090A">
        <w:rPr>
          <w:rFonts w:cs="Arial"/>
          <w:sz w:val="22"/>
          <w:szCs w:val="22"/>
        </w:rPr>
        <w:t xml:space="preserve"> </w:t>
      </w:r>
      <w:r w:rsidRPr="0072090A">
        <w:rPr>
          <w:rFonts w:cs="Arial"/>
          <w:sz w:val="22"/>
          <w:szCs w:val="22"/>
        </w:rPr>
        <w:t>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312CAA17" w14:textId="77777777" w:rsidR="0072090A" w:rsidRPr="0072090A" w:rsidRDefault="0072090A">
      <w:pPr>
        <w:pStyle w:val="AppendixText1"/>
        <w:rPr>
          <w:rFonts w:cs="Arial"/>
          <w:sz w:val="22"/>
          <w:szCs w:val="22"/>
        </w:rPr>
      </w:pPr>
      <w:r w:rsidRPr="0072090A">
        <w:rPr>
          <w:rFonts w:cs="Arial"/>
          <w:sz w:val="22"/>
          <w:szCs w:val="22"/>
        </w:rPr>
        <w:t>Data Protection Breach</w:t>
      </w:r>
    </w:p>
    <w:p w14:paraId="198609B4" w14:textId="7EE25040" w:rsidR="0072090A" w:rsidRPr="0072090A" w:rsidRDefault="0072090A">
      <w:pPr>
        <w:pStyle w:val="AppendixText2"/>
        <w:rPr>
          <w:rFonts w:cs="Arial"/>
          <w:sz w:val="22"/>
          <w:szCs w:val="22"/>
        </w:rPr>
      </w:pPr>
      <w:r w:rsidRPr="0072090A">
        <w:rPr>
          <w:rFonts w:cs="Arial"/>
          <w:sz w:val="22"/>
          <w:szCs w:val="22"/>
        </w:rPr>
        <w:t xml:space="preserve">Without prejudice to </w:t>
      </w:r>
      <w:bookmarkStart w:id="3896" w:name="_9kMHG5YVtCIC9BDEFR7ckYMvFNN7qv7G6y3u2EM"/>
      <w:r w:rsidR="00840A0F">
        <w:rPr>
          <w:rFonts w:cs="Arial"/>
          <w:sz w:val="22"/>
          <w:szCs w:val="22"/>
        </w:rPr>
        <w:t>p</w:t>
      </w:r>
      <w:r w:rsidRPr="0072090A">
        <w:rPr>
          <w:rFonts w:cs="Arial"/>
          <w:sz w:val="22"/>
          <w:szCs w:val="22"/>
        </w:rPr>
        <w:t xml:space="preserve">aragraph </w:t>
      </w:r>
      <w:r w:rsidRPr="0072090A">
        <w:rPr>
          <w:rFonts w:cs="Arial"/>
          <w:sz w:val="22"/>
          <w:szCs w:val="22"/>
        </w:rPr>
        <w:fldChar w:fldCharType="begin"/>
      </w:r>
      <w:r w:rsidRPr="0072090A">
        <w:rPr>
          <w:rFonts w:cs="Arial"/>
          <w:sz w:val="22"/>
          <w:szCs w:val="22"/>
        </w:rPr>
        <w:instrText xml:space="preserve"> REF _Ref_ContractCompanion_9kb9Ut355 \n \h \t \* MERGEFORMAT </w:instrText>
      </w:r>
      <w:r w:rsidRPr="0072090A">
        <w:rPr>
          <w:rFonts w:cs="Arial"/>
          <w:sz w:val="22"/>
          <w:szCs w:val="22"/>
        </w:rPr>
      </w:r>
      <w:r w:rsidRPr="0072090A">
        <w:rPr>
          <w:rFonts w:cs="Arial"/>
          <w:sz w:val="22"/>
          <w:szCs w:val="22"/>
        </w:rPr>
        <w:fldChar w:fldCharType="separate"/>
      </w:r>
      <w:r w:rsidR="00C87D85">
        <w:rPr>
          <w:rFonts w:cs="Arial"/>
          <w:sz w:val="22"/>
          <w:szCs w:val="22"/>
        </w:rPr>
        <w:t>3.2</w:t>
      </w:r>
      <w:r w:rsidRPr="0072090A">
        <w:rPr>
          <w:rFonts w:cs="Arial"/>
          <w:sz w:val="22"/>
          <w:szCs w:val="22"/>
        </w:rPr>
        <w:fldChar w:fldCharType="end"/>
      </w:r>
      <w:bookmarkEnd w:id="3896"/>
      <w:r w:rsidRPr="0072090A">
        <w:rPr>
          <w:rFonts w:cs="Arial"/>
          <w:sz w:val="22"/>
          <w:szCs w:val="22"/>
        </w:rPr>
        <w:t xml:space="preserve">, each Party shall notify the other Party promptly and without undue delay, and in any event within 48 hours, upon becoming aware of any Data </w:t>
      </w:r>
      <w:r w:rsidR="00403EAC">
        <w:rPr>
          <w:rFonts w:cs="Arial"/>
          <w:sz w:val="22"/>
          <w:szCs w:val="22"/>
        </w:rPr>
        <w:t>Loss Event</w:t>
      </w:r>
      <w:r w:rsidR="00403EAC" w:rsidRPr="0072090A">
        <w:rPr>
          <w:rFonts w:cs="Arial"/>
          <w:sz w:val="22"/>
          <w:szCs w:val="22"/>
        </w:rPr>
        <w:t xml:space="preserve"> </w:t>
      </w:r>
      <w:r w:rsidRPr="0072090A">
        <w:rPr>
          <w:rFonts w:cs="Arial"/>
          <w:sz w:val="22"/>
          <w:szCs w:val="22"/>
        </w:rPr>
        <w:t xml:space="preserve">or circumstances that are likely to give rise to a Data </w:t>
      </w:r>
      <w:r w:rsidR="00403EAC">
        <w:rPr>
          <w:rFonts w:cs="Arial"/>
          <w:sz w:val="22"/>
          <w:szCs w:val="22"/>
        </w:rPr>
        <w:t>Loss Event</w:t>
      </w:r>
      <w:r w:rsidRPr="0072090A">
        <w:rPr>
          <w:rFonts w:cs="Arial"/>
          <w:sz w:val="22"/>
          <w:szCs w:val="22"/>
        </w:rPr>
        <w:t>, providing the other Party and its advisors with:</w:t>
      </w:r>
    </w:p>
    <w:p w14:paraId="462EED98" w14:textId="77777777" w:rsidR="0072090A" w:rsidRPr="0072090A" w:rsidRDefault="0072090A">
      <w:pPr>
        <w:pStyle w:val="AppendixText4"/>
        <w:rPr>
          <w:rFonts w:cs="Arial"/>
          <w:sz w:val="22"/>
          <w:szCs w:val="22"/>
        </w:rPr>
      </w:pPr>
      <w:r w:rsidRPr="0072090A">
        <w:rPr>
          <w:rFonts w:cs="Arial"/>
          <w:sz w:val="22"/>
          <w:szCs w:val="22"/>
        </w:rPr>
        <w:t>sufficient information and in a timescale which allows the other Party to meet any obligations to report a Personal Data Breach under the Data Protection Legislation;</w:t>
      </w:r>
    </w:p>
    <w:p w14:paraId="115DCAB2" w14:textId="77777777" w:rsidR="0072090A" w:rsidRPr="0072090A" w:rsidRDefault="0072090A">
      <w:pPr>
        <w:pStyle w:val="AppendixText4"/>
        <w:rPr>
          <w:rFonts w:cs="Arial"/>
          <w:sz w:val="22"/>
          <w:szCs w:val="22"/>
        </w:rPr>
      </w:pPr>
      <w:r w:rsidRPr="0072090A">
        <w:rPr>
          <w:rFonts w:cs="Arial"/>
          <w:sz w:val="22"/>
          <w:szCs w:val="22"/>
        </w:rPr>
        <w:t>all reasonable assistance, including:</w:t>
      </w:r>
    </w:p>
    <w:p w14:paraId="5635C669" w14:textId="7BB6B8BF" w:rsidR="0072090A" w:rsidRPr="0072090A" w:rsidRDefault="0072090A">
      <w:pPr>
        <w:pStyle w:val="AppendixText5"/>
        <w:rPr>
          <w:rFonts w:cs="Arial"/>
          <w:sz w:val="22"/>
          <w:szCs w:val="22"/>
        </w:rPr>
      </w:pPr>
      <w:r w:rsidRPr="0072090A">
        <w:rPr>
          <w:rFonts w:cs="Arial"/>
          <w:sz w:val="22"/>
          <w:szCs w:val="22"/>
        </w:rPr>
        <w:t xml:space="preserve">co-operation with the other Party and the Information Commissioner investigating the Data </w:t>
      </w:r>
      <w:r w:rsidR="00403EAC">
        <w:rPr>
          <w:rFonts w:cs="Arial"/>
          <w:sz w:val="22"/>
          <w:szCs w:val="22"/>
        </w:rPr>
        <w:t>Loss Event</w:t>
      </w:r>
      <w:r w:rsidR="00403EAC" w:rsidRPr="0072090A">
        <w:rPr>
          <w:rFonts w:cs="Arial"/>
          <w:sz w:val="22"/>
          <w:szCs w:val="22"/>
        </w:rPr>
        <w:t xml:space="preserve"> </w:t>
      </w:r>
      <w:r w:rsidRPr="0072090A">
        <w:rPr>
          <w:rFonts w:cs="Arial"/>
          <w:sz w:val="22"/>
          <w:szCs w:val="22"/>
        </w:rPr>
        <w:t>and its cause, containing and recovering the compromised Personal Data and compliance with the applicable guidance;</w:t>
      </w:r>
    </w:p>
    <w:p w14:paraId="68098960" w14:textId="6ACDFB01" w:rsidR="0072090A" w:rsidRPr="0072090A" w:rsidRDefault="0072090A">
      <w:pPr>
        <w:pStyle w:val="AppendixText5"/>
        <w:rPr>
          <w:rFonts w:cs="Arial"/>
          <w:sz w:val="22"/>
          <w:szCs w:val="22"/>
        </w:rPr>
      </w:pPr>
      <w:r w:rsidRPr="0072090A">
        <w:rPr>
          <w:rFonts w:cs="Arial"/>
          <w:sz w:val="22"/>
          <w:szCs w:val="22"/>
        </w:rPr>
        <w:t xml:space="preserve">co-operation with the other Party including taking such reasonable steps as are directed by </w:t>
      </w:r>
      <w:r w:rsidR="00010038">
        <w:rPr>
          <w:rFonts w:cs="Arial"/>
          <w:sz w:val="22"/>
          <w:szCs w:val="22"/>
        </w:rPr>
        <w:t>HSE</w:t>
      </w:r>
      <w:r w:rsidRPr="0072090A">
        <w:rPr>
          <w:rFonts w:cs="Arial"/>
          <w:sz w:val="22"/>
          <w:szCs w:val="22"/>
        </w:rPr>
        <w:t xml:space="preserve"> to assist in the investigation, mitigation and remediation of a Data </w:t>
      </w:r>
      <w:r w:rsidR="00403EAC">
        <w:rPr>
          <w:rFonts w:cs="Arial"/>
          <w:sz w:val="22"/>
          <w:szCs w:val="22"/>
        </w:rPr>
        <w:t>Loss Event</w:t>
      </w:r>
      <w:r w:rsidRPr="0072090A">
        <w:rPr>
          <w:rFonts w:cs="Arial"/>
          <w:sz w:val="22"/>
          <w:szCs w:val="22"/>
        </w:rPr>
        <w:t>;</w:t>
      </w:r>
    </w:p>
    <w:p w14:paraId="50E822E8" w14:textId="7553E673" w:rsidR="0072090A" w:rsidRPr="0072090A" w:rsidRDefault="0072090A">
      <w:pPr>
        <w:pStyle w:val="AppendixText5"/>
        <w:rPr>
          <w:rFonts w:cs="Arial"/>
          <w:sz w:val="22"/>
          <w:szCs w:val="22"/>
        </w:rPr>
      </w:pPr>
      <w:r w:rsidRPr="0072090A">
        <w:rPr>
          <w:rFonts w:cs="Arial"/>
          <w:sz w:val="22"/>
          <w:szCs w:val="22"/>
        </w:rPr>
        <w:t xml:space="preserve">co-ordination with the other Party regarding the management of public relations and public statements relating to the Data </w:t>
      </w:r>
      <w:r w:rsidR="00403EAC">
        <w:rPr>
          <w:rFonts w:cs="Arial"/>
          <w:sz w:val="22"/>
          <w:szCs w:val="22"/>
        </w:rPr>
        <w:t>Loss Event</w:t>
      </w:r>
      <w:r w:rsidRPr="0072090A">
        <w:rPr>
          <w:rFonts w:cs="Arial"/>
          <w:sz w:val="22"/>
          <w:szCs w:val="22"/>
        </w:rPr>
        <w:t>;</w:t>
      </w:r>
    </w:p>
    <w:p w14:paraId="749001DC" w14:textId="2E6D2245" w:rsidR="0072090A" w:rsidRPr="0072090A" w:rsidRDefault="0072090A">
      <w:pPr>
        <w:pStyle w:val="AppendixText5"/>
        <w:rPr>
          <w:rFonts w:cs="Arial"/>
          <w:sz w:val="22"/>
          <w:szCs w:val="22"/>
        </w:rPr>
      </w:pPr>
      <w:r w:rsidRPr="0072090A">
        <w:rPr>
          <w:rFonts w:cs="Arial"/>
          <w:sz w:val="22"/>
          <w:szCs w:val="22"/>
        </w:rPr>
        <w:t xml:space="preserve">providing the other Party and to the extent instructed by the other Party to do so, and/or the Information Commissioner investigating the Data </w:t>
      </w:r>
      <w:r w:rsidR="00403EAC">
        <w:rPr>
          <w:rFonts w:cs="Arial"/>
          <w:sz w:val="22"/>
          <w:szCs w:val="22"/>
        </w:rPr>
        <w:t>Loss Event</w:t>
      </w:r>
      <w:r w:rsidRPr="0072090A">
        <w:rPr>
          <w:rFonts w:cs="Arial"/>
          <w:sz w:val="22"/>
          <w:szCs w:val="22"/>
        </w:rPr>
        <w:t xml:space="preserve">, with complete information relating to the </w:t>
      </w:r>
      <w:r w:rsidRPr="0072090A">
        <w:rPr>
          <w:rFonts w:cs="Arial"/>
          <w:sz w:val="22"/>
          <w:szCs w:val="22"/>
        </w:rPr>
        <w:lastRenderedPageBreak/>
        <w:t xml:space="preserve">Data </w:t>
      </w:r>
      <w:r w:rsidR="00403EAC">
        <w:rPr>
          <w:rFonts w:cs="Arial"/>
          <w:sz w:val="22"/>
          <w:szCs w:val="22"/>
        </w:rPr>
        <w:t>Loss Event</w:t>
      </w:r>
      <w:r w:rsidRPr="0072090A">
        <w:rPr>
          <w:rFonts w:cs="Arial"/>
          <w:sz w:val="22"/>
          <w:szCs w:val="22"/>
        </w:rPr>
        <w:t xml:space="preserve">, including, without limitation, the information set out in </w:t>
      </w:r>
      <w:bookmarkStart w:id="3897" w:name="_9kMIH5YVtCIC9BDEFR7ckYMvFNN7qv7G6y3u2EM"/>
      <w:r w:rsidR="00840A0F">
        <w:rPr>
          <w:rFonts w:cs="Arial"/>
          <w:sz w:val="22"/>
          <w:szCs w:val="22"/>
        </w:rPr>
        <w:t>p</w:t>
      </w:r>
      <w:r w:rsidRPr="0072090A">
        <w:rPr>
          <w:rFonts w:cs="Arial"/>
          <w:sz w:val="22"/>
          <w:szCs w:val="22"/>
        </w:rPr>
        <w:t xml:space="preserve">aragraph </w:t>
      </w:r>
      <w:r w:rsidRPr="0072090A">
        <w:rPr>
          <w:rFonts w:cs="Arial"/>
          <w:sz w:val="22"/>
          <w:szCs w:val="22"/>
        </w:rPr>
        <w:fldChar w:fldCharType="begin"/>
      </w:r>
      <w:r w:rsidRPr="0072090A">
        <w:rPr>
          <w:rFonts w:cs="Arial"/>
          <w:sz w:val="22"/>
          <w:szCs w:val="22"/>
        </w:rPr>
        <w:instrText xml:space="preserve"> REF _Ref_ContractCompanion_9kb9Ut355 \n \h \t \* MERGEFORMAT </w:instrText>
      </w:r>
      <w:r w:rsidRPr="0072090A">
        <w:rPr>
          <w:rFonts w:cs="Arial"/>
          <w:sz w:val="22"/>
          <w:szCs w:val="22"/>
        </w:rPr>
      </w:r>
      <w:r w:rsidRPr="0072090A">
        <w:rPr>
          <w:rFonts w:cs="Arial"/>
          <w:sz w:val="22"/>
          <w:szCs w:val="22"/>
        </w:rPr>
        <w:fldChar w:fldCharType="separate"/>
      </w:r>
      <w:r w:rsidR="00C87D85">
        <w:rPr>
          <w:rFonts w:cs="Arial"/>
          <w:sz w:val="22"/>
          <w:szCs w:val="22"/>
        </w:rPr>
        <w:t>3.2</w:t>
      </w:r>
      <w:r w:rsidRPr="0072090A">
        <w:rPr>
          <w:rFonts w:cs="Arial"/>
          <w:sz w:val="22"/>
          <w:szCs w:val="22"/>
        </w:rPr>
        <w:fldChar w:fldCharType="end"/>
      </w:r>
      <w:bookmarkEnd w:id="3897"/>
      <w:r w:rsidRPr="0072090A">
        <w:rPr>
          <w:rFonts w:cs="Arial"/>
          <w:sz w:val="22"/>
          <w:szCs w:val="22"/>
        </w:rPr>
        <w:t>.</w:t>
      </w:r>
    </w:p>
    <w:p w14:paraId="53A43E1F" w14:textId="64A77308" w:rsidR="0072090A" w:rsidRPr="0072090A" w:rsidRDefault="0072090A">
      <w:pPr>
        <w:pStyle w:val="AppendixText2"/>
        <w:rPr>
          <w:rFonts w:cs="Arial"/>
          <w:sz w:val="22"/>
          <w:szCs w:val="22"/>
        </w:rPr>
      </w:pPr>
      <w:bookmarkStart w:id="3898" w:name="_Ref_ContractCompanion_9kb9Ut355"/>
      <w:bookmarkStart w:id="3899" w:name="_9kR3WTrAGA79BCDP5aiWKtDLL5ot5E4w1s0CKTG"/>
      <w:r w:rsidRPr="0072090A">
        <w:rPr>
          <w:rFonts w:cs="Arial"/>
          <w:sz w:val="22"/>
          <w:szCs w:val="22"/>
        </w:rPr>
        <w:t xml:space="preserve">Each Party shall take all steps to restore, re-constitute and/or reconstruct any Personal Data where it has lost, damaged, destroyed, altered or corrupted as a result of a Data </w:t>
      </w:r>
      <w:r w:rsidR="00403EAC">
        <w:rPr>
          <w:rFonts w:cs="Arial"/>
          <w:sz w:val="22"/>
          <w:szCs w:val="22"/>
        </w:rPr>
        <w:t>Loss Event which is the fault of that Party,</w:t>
      </w:r>
      <w:r w:rsidR="00403EAC" w:rsidRPr="0072090A">
        <w:rPr>
          <w:rFonts w:cs="Arial"/>
          <w:sz w:val="22"/>
          <w:szCs w:val="22"/>
        </w:rPr>
        <w:t xml:space="preserve"> </w:t>
      </w:r>
      <w:r w:rsidRPr="0072090A">
        <w:rPr>
          <w:rFonts w:cs="Arial"/>
          <w:sz w:val="22"/>
          <w:szCs w:val="22"/>
        </w:rPr>
        <w:t xml:space="preserve">as if it was that Party’s own data at its own cost with all possible speed and shall provide the other Party with all reasonable assistance in respect of any such Data </w:t>
      </w:r>
      <w:r w:rsidR="00403EAC">
        <w:rPr>
          <w:rFonts w:cs="Arial"/>
          <w:sz w:val="22"/>
          <w:szCs w:val="22"/>
        </w:rPr>
        <w:t>Loss Event</w:t>
      </w:r>
      <w:r w:rsidRPr="0072090A">
        <w:rPr>
          <w:rFonts w:cs="Arial"/>
          <w:sz w:val="22"/>
          <w:szCs w:val="22"/>
        </w:rPr>
        <w:t xml:space="preserve">, including providing the other Party, as soon as possible and within 48 hours of the Data </w:t>
      </w:r>
      <w:r w:rsidR="00403EAC">
        <w:rPr>
          <w:rFonts w:cs="Arial"/>
          <w:sz w:val="22"/>
          <w:szCs w:val="22"/>
        </w:rPr>
        <w:t>Loss Event</w:t>
      </w:r>
      <w:r w:rsidRPr="0072090A">
        <w:rPr>
          <w:rFonts w:cs="Arial"/>
          <w:sz w:val="22"/>
          <w:szCs w:val="22"/>
        </w:rPr>
        <w:t xml:space="preserve"> relating to the Data </w:t>
      </w:r>
      <w:r w:rsidR="00403EAC">
        <w:rPr>
          <w:rFonts w:cs="Arial"/>
          <w:sz w:val="22"/>
          <w:szCs w:val="22"/>
        </w:rPr>
        <w:t>Loss Event</w:t>
      </w:r>
      <w:r w:rsidRPr="0072090A">
        <w:rPr>
          <w:rFonts w:cs="Arial"/>
          <w:sz w:val="22"/>
          <w:szCs w:val="22"/>
        </w:rPr>
        <w:t>, in particular:</w:t>
      </w:r>
      <w:bookmarkEnd w:id="3898"/>
      <w:bookmarkEnd w:id="3899"/>
    </w:p>
    <w:p w14:paraId="5EF00600" w14:textId="41B0E751" w:rsidR="0072090A" w:rsidRPr="0072090A" w:rsidRDefault="0072090A">
      <w:pPr>
        <w:pStyle w:val="AppendixText4"/>
        <w:rPr>
          <w:rFonts w:cs="Arial"/>
          <w:sz w:val="22"/>
          <w:szCs w:val="22"/>
        </w:rPr>
      </w:pPr>
      <w:r w:rsidRPr="0072090A">
        <w:rPr>
          <w:rFonts w:cs="Arial"/>
          <w:sz w:val="22"/>
          <w:szCs w:val="22"/>
        </w:rPr>
        <w:t xml:space="preserve">the nature of the Data </w:t>
      </w:r>
      <w:r w:rsidR="00403EAC">
        <w:rPr>
          <w:rFonts w:cs="Arial"/>
          <w:sz w:val="22"/>
          <w:szCs w:val="22"/>
        </w:rPr>
        <w:t>Loss Event</w:t>
      </w:r>
      <w:r w:rsidRPr="0072090A">
        <w:rPr>
          <w:rFonts w:cs="Arial"/>
          <w:sz w:val="22"/>
          <w:szCs w:val="22"/>
        </w:rPr>
        <w:t xml:space="preserve">; </w:t>
      </w:r>
    </w:p>
    <w:p w14:paraId="39230691" w14:textId="77777777" w:rsidR="0072090A" w:rsidRPr="0072090A" w:rsidRDefault="0072090A">
      <w:pPr>
        <w:pStyle w:val="AppendixText4"/>
        <w:rPr>
          <w:rFonts w:cs="Arial"/>
          <w:sz w:val="22"/>
          <w:szCs w:val="22"/>
        </w:rPr>
      </w:pPr>
      <w:r w:rsidRPr="0072090A">
        <w:rPr>
          <w:rFonts w:cs="Arial"/>
          <w:sz w:val="22"/>
          <w:szCs w:val="22"/>
        </w:rPr>
        <w:t>the nature of Personal Data affected;</w:t>
      </w:r>
    </w:p>
    <w:p w14:paraId="0FBFB6FB" w14:textId="77777777" w:rsidR="0072090A" w:rsidRPr="0072090A" w:rsidRDefault="0072090A">
      <w:pPr>
        <w:pStyle w:val="AppendixText4"/>
        <w:rPr>
          <w:rFonts w:cs="Arial"/>
          <w:sz w:val="22"/>
          <w:szCs w:val="22"/>
        </w:rPr>
      </w:pPr>
      <w:r w:rsidRPr="0072090A">
        <w:rPr>
          <w:rFonts w:cs="Arial"/>
          <w:sz w:val="22"/>
          <w:szCs w:val="22"/>
        </w:rPr>
        <w:t>the categories and number of Data Subjects concerned;</w:t>
      </w:r>
    </w:p>
    <w:p w14:paraId="48DB678A" w14:textId="6EA4141D" w:rsidR="0072090A" w:rsidRPr="0072090A" w:rsidRDefault="0072090A">
      <w:pPr>
        <w:pStyle w:val="AppendixText4"/>
        <w:rPr>
          <w:rFonts w:cs="Arial"/>
          <w:sz w:val="22"/>
          <w:szCs w:val="22"/>
        </w:rPr>
      </w:pPr>
      <w:r w:rsidRPr="0072090A">
        <w:rPr>
          <w:rFonts w:cs="Arial"/>
          <w:sz w:val="22"/>
          <w:szCs w:val="22"/>
        </w:rPr>
        <w:t xml:space="preserve">the name and contact details of the </w:t>
      </w:r>
      <w:r w:rsidR="00010038">
        <w:rPr>
          <w:rFonts w:cs="Arial"/>
          <w:sz w:val="22"/>
          <w:szCs w:val="22"/>
        </w:rPr>
        <w:t>Provider</w:t>
      </w:r>
      <w:r w:rsidRPr="0072090A">
        <w:rPr>
          <w:rFonts w:cs="Arial"/>
          <w:sz w:val="22"/>
          <w:szCs w:val="22"/>
        </w:rPr>
        <w:t>’s Data Protection Officer or other relevant contact from whom more information may be obtained;</w:t>
      </w:r>
    </w:p>
    <w:p w14:paraId="2420075B" w14:textId="2DD92504" w:rsidR="0072090A" w:rsidRPr="0072090A" w:rsidRDefault="0072090A">
      <w:pPr>
        <w:pStyle w:val="AppendixText4"/>
        <w:rPr>
          <w:rFonts w:cs="Arial"/>
          <w:sz w:val="22"/>
          <w:szCs w:val="22"/>
        </w:rPr>
      </w:pPr>
      <w:r w:rsidRPr="0072090A">
        <w:rPr>
          <w:rFonts w:cs="Arial"/>
          <w:sz w:val="22"/>
          <w:szCs w:val="22"/>
        </w:rPr>
        <w:t xml:space="preserve">measures taken or proposed to be taken to address the Data </w:t>
      </w:r>
      <w:r w:rsidR="00403EAC">
        <w:rPr>
          <w:rFonts w:cs="Arial"/>
          <w:sz w:val="22"/>
          <w:szCs w:val="22"/>
        </w:rPr>
        <w:t>Loss Event</w:t>
      </w:r>
      <w:r w:rsidRPr="0072090A">
        <w:rPr>
          <w:rFonts w:cs="Arial"/>
          <w:sz w:val="22"/>
          <w:szCs w:val="22"/>
        </w:rPr>
        <w:t>; and</w:t>
      </w:r>
    </w:p>
    <w:p w14:paraId="7BC6E8F3" w14:textId="736019C1" w:rsidR="0072090A" w:rsidRPr="0072090A" w:rsidRDefault="0072090A">
      <w:pPr>
        <w:pStyle w:val="AppendixText4"/>
        <w:rPr>
          <w:rFonts w:cs="Arial"/>
          <w:sz w:val="22"/>
          <w:szCs w:val="22"/>
        </w:rPr>
      </w:pPr>
      <w:r w:rsidRPr="0072090A">
        <w:rPr>
          <w:rFonts w:cs="Arial"/>
          <w:sz w:val="22"/>
          <w:szCs w:val="22"/>
        </w:rPr>
        <w:t xml:space="preserve">describe the likely consequences of the Data </w:t>
      </w:r>
      <w:r w:rsidR="00403EAC">
        <w:rPr>
          <w:rFonts w:cs="Arial"/>
          <w:sz w:val="22"/>
          <w:szCs w:val="22"/>
        </w:rPr>
        <w:t>Loss Event</w:t>
      </w:r>
      <w:r w:rsidRPr="0072090A">
        <w:rPr>
          <w:rFonts w:cs="Arial"/>
          <w:sz w:val="22"/>
          <w:szCs w:val="22"/>
        </w:rPr>
        <w:t>.</w:t>
      </w:r>
    </w:p>
    <w:p w14:paraId="18E3A9A4" w14:textId="77777777" w:rsidR="0072090A" w:rsidRPr="0072090A" w:rsidRDefault="0072090A">
      <w:pPr>
        <w:pStyle w:val="AppendixText1"/>
        <w:rPr>
          <w:rFonts w:cs="Arial"/>
          <w:sz w:val="22"/>
          <w:szCs w:val="22"/>
        </w:rPr>
      </w:pPr>
      <w:r w:rsidRPr="0072090A">
        <w:rPr>
          <w:rFonts w:cs="Arial"/>
          <w:sz w:val="22"/>
          <w:szCs w:val="22"/>
        </w:rPr>
        <w:t>Audit</w:t>
      </w:r>
    </w:p>
    <w:p w14:paraId="70EFB9B0" w14:textId="5295D563" w:rsidR="0072090A" w:rsidRPr="0072090A" w:rsidRDefault="0072090A">
      <w:pPr>
        <w:pStyle w:val="AppendixText2"/>
        <w:rPr>
          <w:rFonts w:cs="Arial"/>
          <w:sz w:val="22"/>
          <w:szCs w:val="22"/>
        </w:rPr>
      </w:pPr>
      <w:bookmarkStart w:id="3900" w:name="_Ref_ContractCompanion_9kb9Ut348"/>
      <w:bookmarkStart w:id="3901" w:name="_9kR3WTrAGA78EHDdRjVgA63xr1G7qv7C69IAI"/>
      <w:r w:rsidRPr="0072090A">
        <w:rPr>
          <w:rFonts w:cs="Arial"/>
          <w:sz w:val="22"/>
          <w:szCs w:val="22"/>
        </w:rPr>
        <w:t xml:space="preserve">The </w:t>
      </w:r>
      <w:r w:rsidR="00010038">
        <w:rPr>
          <w:rFonts w:cs="Arial"/>
          <w:sz w:val="22"/>
          <w:szCs w:val="22"/>
        </w:rPr>
        <w:t>Provider</w:t>
      </w:r>
      <w:r w:rsidRPr="0072090A">
        <w:rPr>
          <w:rFonts w:cs="Arial"/>
          <w:sz w:val="22"/>
          <w:szCs w:val="22"/>
        </w:rPr>
        <w:t xml:space="preserve"> shall permit:</w:t>
      </w:r>
      <w:bookmarkEnd w:id="3900"/>
      <w:bookmarkEnd w:id="3901"/>
    </w:p>
    <w:p w14:paraId="37B38F39" w14:textId="1AA580AD" w:rsidR="0072090A" w:rsidRPr="0072090A" w:rsidRDefault="00010038">
      <w:pPr>
        <w:pStyle w:val="AppendixText4"/>
        <w:rPr>
          <w:rFonts w:cs="Arial"/>
          <w:sz w:val="22"/>
          <w:szCs w:val="22"/>
        </w:rPr>
      </w:pPr>
      <w:r>
        <w:rPr>
          <w:rFonts w:cs="Arial"/>
          <w:sz w:val="22"/>
          <w:szCs w:val="22"/>
        </w:rPr>
        <w:t>HSE</w:t>
      </w:r>
      <w:r w:rsidR="0072090A" w:rsidRPr="0072090A">
        <w:rPr>
          <w:rFonts w:cs="Arial"/>
          <w:sz w:val="22"/>
          <w:szCs w:val="22"/>
        </w:rPr>
        <w:t xml:space="preserve">, or a third-party auditor acting under </w:t>
      </w:r>
      <w:r>
        <w:rPr>
          <w:rFonts w:cs="Arial"/>
          <w:sz w:val="22"/>
          <w:szCs w:val="22"/>
        </w:rPr>
        <w:t>HSE</w:t>
      </w:r>
      <w:r w:rsidR="0072090A" w:rsidRPr="0072090A">
        <w:rPr>
          <w:rFonts w:cs="Arial"/>
          <w:sz w:val="22"/>
          <w:szCs w:val="22"/>
        </w:rPr>
        <w:t xml:space="preserve">’s direction, to conduct, at </w:t>
      </w:r>
      <w:r>
        <w:rPr>
          <w:rFonts w:cs="Arial"/>
          <w:sz w:val="22"/>
          <w:szCs w:val="22"/>
        </w:rPr>
        <w:t>HSE</w:t>
      </w:r>
      <w:r w:rsidR="0072090A" w:rsidRPr="0072090A">
        <w:rPr>
          <w:rFonts w:cs="Arial"/>
          <w:sz w:val="22"/>
          <w:szCs w:val="22"/>
        </w:rPr>
        <w:t xml:space="preserve">’s cost, data privacy and security audits, assessments and inspections concerning the </w:t>
      </w:r>
      <w:r>
        <w:rPr>
          <w:rFonts w:cs="Arial"/>
          <w:sz w:val="22"/>
          <w:szCs w:val="22"/>
        </w:rPr>
        <w:t>Provider</w:t>
      </w:r>
      <w:r w:rsidR="0072090A" w:rsidRPr="0072090A">
        <w:rPr>
          <w:rFonts w:cs="Arial"/>
          <w:sz w:val="22"/>
          <w:szCs w:val="22"/>
        </w:rPr>
        <w:t xml:space="preserve">’s data security and privacy procedures relating to Personal Data, its compliance with this </w:t>
      </w:r>
      <w:bookmarkStart w:id="3902" w:name="_9kMIH5YVt4DF99DNEyq1P"/>
      <w:r w:rsidR="0072090A" w:rsidRPr="0072090A">
        <w:rPr>
          <w:rFonts w:cs="Arial"/>
          <w:sz w:val="22"/>
          <w:szCs w:val="22"/>
        </w:rPr>
        <w:t xml:space="preserve">Annex </w:t>
      </w:r>
      <w:r w:rsidR="0072090A" w:rsidRPr="0072090A">
        <w:rPr>
          <w:rFonts w:cs="Arial"/>
          <w:sz w:val="22"/>
          <w:szCs w:val="22"/>
        </w:rPr>
        <w:fldChar w:fldCharType="begin"/>
      </w:r>
      <w:r w:rsidR="0072090A" w:rsidRPr="0072090A">
        <w:rPr>
          <w:rFonts w:cs="Arial"/>
          <w:sz w:val="22"/>
          <w:szCs w:val="22"/>
        </w:rPr>
        <w:instrText xml:space="preserve"> REF ANNEX1_SCHEDULE31 \h  \* MERGEFORMAT </w:instrText>
      </w:r>
      <w:r w:rsidR="0072090A" w:rsidRPr="0072090A">
        <w:rPr>
          <w:rFonts w:cs="Arial"/>
          <w:sz w:val="22"/>
          <w:szCs w:val="22"/>
        </w:rPr>
      </w:r>
      <w:r w:rsidR="0072090A" w:rsidRPr="0072090A">
        <w:rPr>
          <w:rFonts w:cs="Arial"/>
          <w:sz w:val="22"/>
          <w:szCs w:val="22"/>
        </w:rPr>
        <w:fldChar w:fldCharType="separate"/>
      </w:r>
      <w:r w:rsidR="00C87D85" w:rsidRPr="0072090A">
        <w:rPr>
          <w:rFonts w:cs="Arial"/>
          <w:sz w:val="22"/>
          <w:szCs w:val="22"/>
        </w:rPr>
        <w:t>1</w:t>
      </w:r>
      <w:r w:rsidR="0072090A" w:rsidRPr="0072090A">
        <w:rPr>
          <w:rFonts w:cs="Arial"/>
          <w:sz w:val="22"/>
          <w:szCs w:val="22"/>
        </w:rPr>
        <w:fldChar w:fldCharType="end"/>
      </w:r>
      <w:bookmarkEnd w:id="3902"/>
      <w:r w:rsidR="0072090A" w:rsidRPr="0072090A">
        <w:rPr>
          <w:rFonts w:cs="Arial"/>
          <w:sz w:val="22"/>
          <w:szCs w:val="22"/>
        </w:rPr>
        <w:t xml:space="preserve"> and the Data Protection Legislation. </w:t>
      </w:r>
    </w:p>
    <w:p w14:paraId="7E8A41F7" w14:textId="3160238D" w:rsidR="0072090A" w:rsidRPr="0072090A" w:rsidRDefault="00010038">
      <w:pPr>
        <w:pStyle w:val="AppendixText4"/>
        <w:rPr>
          <w:rFonts w:cs="Arial"/>
          <w:sz w:val="22"/>
          <w:szCs w:val="22"/>
        </w:rPr>
      </w:pPr>
      <w:r>
        <w:rPr>
          <w:rFonts w:cs="Arial"/>
          <w:sz w:val="22"/>
          <w:szCs w:val="22"/>
        </w:rPr>
        <w:t>HSE</w:t>
      </w:r>
      <w:r w:rsidR="0072090A" w:rsidRPr="0072090A">
        <w:rPr>
          <w:rFonts w:cs="Arial"/>
          <w:sz w:val="22"/>
          <w:szCs w:val="22"/>
        </w:rPr>
        <w:t xml:space="preserve">, or a third-party auditor acting under </w:t>
      </w:r>
      <w:r>
        <w:rPr>
          <w:rFonts w:cs="Arial"/>
          <w:sz w:val="22"/>
          <w:szCs w:val="22"/>
        </w:rPr>
        <w:t>HSE</w:t>
      </w:r>
      <w:r w:rsidR="0072090A" w:rsidRPr="0072090A">
        <w:rPr>
          <w:rFonts w:cs="Arial"/>
          <w:sz w:val="22"/>
          <w:szCs w:val="22"/>
        </w:rPr>
        <w:t xml:space="preserve">’s direction, access to premises at which the Personal Data is accessible or at which it is able to inspect any relevant records, including the record maintained under Article 30 of the UK GDPR by the </w:t>
      </w:r>
      <w:r>
        <w:rPr>
          <w:rFonts w:cs="Arial"/>
          <w:sz w:val="22"/>
          <w:szCs w:val="22"/>
        </w:rPr>
        <w:t>Provider</w:t>
      </w:r>
      <w:r w:rsidR="0072090A" w:rsidRPr="0072090A">
        <w:rPr>
          <w:rFonts w:cs="Arial"/>
          <w:sz w:val="22"/>
          <w:szCs w:val="22"/>
        </w:rPr>
        <w:t xml:space="preserve"> so far as relevant to </w:t>
      </w:r>
      <w:r>
        <w:rPr>
          <w:rFonts w:cs="Arial"/>
          <w:sz w:val="22"/>
          <w:szCs w:val="22"/>
        </w:rPr>
        <w:t>the Agreement</w:t>
      </w:r>
      <w:r w:rsidR="0072090A" w:rsidRPr="0072090A">
        <w:rPr>
          <w:rFonts w:cs="Arial"/>
          <w:sz w:val="22"/>
          <w:szCs w:val="22"/>
        </w:rPr>
        <w:t xml:space="preserve">, and procedures, including premises under the control of any third party appointed by the </w:t>
      </w:r>
      <w:r>
        <w:rPr>
          <w:rFonts w:cs="Arial"/>
          <w:sz w:val="22"/>
          <w:szCs w:val="22"/>
        </w:rPr>
        <w:t>Provider</w:t>
      </w:r>
      <w:r w:rsidR="0072090A" w:rsidRPr="0072090A">
        <w:rPr>
          <w:rFonts w:cs="Arial"/>
          <w:sz w:val="22"/>
          <w:szCs w:val="22"/>
        </w:rPr>
        <w:t xml:space="preserve"> to assist in the provision of the Services. </w:t>
      </w:r>
    </w:p>
    <w:p w14:paraId="19118CC8" w14:textId="53CDCE39" w:rsidR="0072090A" w:rsidRPr="0072090A" w:rsidRDefault="00010038">
      <w:pPr>
        <w:pStyle w:val="AppendixText2"/>
        <w:rPr>
          <w:rFonts w:cs="Arial"/>
          <w:sz w:val="22"/>
          <w:szCs w:val="22"/>
        </w:rPr>
      </w:pPr>
      <w:r>
        <w:rPr>
          <w:rFonts w:cs="Arial"/>
          <w:sz w:val="22"/>
          <w:szCs w:val="22"/>
        </w:rPr>
        <w:t>HSE</w:t>
      </w:r>
      <w:r w:rsidR="0072090A" w:rsidRPr="0072090A">
        <w:rPr>
          <w:rFonts w:cs="Arial"/>
          <w:sz w:val="22"/>
          <w:szCs w:val="22"/>
        </w:rPr>
        <w:t xml:space="preserve"> may, in its sole discretion, require the </w:t>
      </w:r>
      <w:r>
        <w:rPr>
          <w:rFonts w:cs="Arial"/>
          <w:sz w:val="22"/>
          <w:szCs w:val="22"/>
        </w:rPr>
        <w:t>Provider</w:t>
      </w:r>
      <w:r w:rsidR="0072090A" w:rsidRPr="0072090A">
        <w:rPr>
          <w:rFonts w:cs="Arial"/>
          <w:sz w:val="22"/>
          <w:szCs w:val="22"/>
        </w:rPr>
        <w:t xml:space="preserve"> to provide evidence of the </w:t>
      </w:r>
      <w:r>
        <w:rPr>
          <w:rFonts w:cs="Arial"/>
          <w:sz w:val="22"/>
          <w:szCs w:val="22"/>
        </w:rPr>
        <w:t>Provider</w:t>
      </w:r>
      <w:r w:rsidR="0072090A" w:rsidRPr="0072090A">
        <w:rPr>
          <w:rFonts w:cs="Arial"/>
          <w:sz w:val="22"/>
          <w:szCs w:val="22"/>
        </w:rPr>
        <w:t xml:space="preserve">’s compliance with </w:t>
      </w:r>
      <w:bookmarkStart w:id="3903" w:name="_9kMHG5YVtCIC9AGJFfTlXiC85zt3I9sx9E8BKCK"/>
      <w:r w:rsidR="00840A0F">
        <w:rPr>
          <w:rFonts w:cs="Arial"/>
          <w:sz w:val="22"/>
          <w:szCs w:val="22"/>
        </w:rPr>
        <w:t>p</w:t>
      </w:r>
      <w:r w:rsidR="0072090A" w:rsidRPr="0072090A">
        <w:rPr>
          <w:rFonts w:cs="Arial"/>
          <w:sz w:val="22"/>
          <w:szCs w:val="22"/>
        </w:rPr>
        <w:t xml:space="preserve">aragraph </w:t>
      </w:r>
      <w:r w:rsidR="0072090A" w:rsidRPr="0072090A">
        <w:rPr>
          <w:rFonts w:cs="Arial"/>
          <w:sz w:val="22"/>
          <w:szCs w:val="22"/>
        </w:rPr>
        <w:fldChar w:fldCharType="begin"/>
      </w:r>
      <w:r w:rsidR="0072090A" w:rsidRPr="0072090A">
        <w:rPr>
          <w:rFonts w:cs="Arial"/>
          <w:sz w:val="22"/>
          <w:szCs w:val="22"/>
        </w:rPr>
        <w:instrText xml:space="preserve"> REF _Ref_ContractCompanion_9kb9Ut348 \n \h \t \* MERGEFORMAT </w:instrText>
      </w:r>
      <w:r w:rsidR="0072090A" w:rsidRPr="0072090A">
        <w:rPr>
          <w:rFonts w:cs="Arial"/>
          <w:sz w:val="22"/>
          <w:szCs w:val="22"/>
        </w:rPr>
      </w:r>
      <w:r w:rsidR="0072090A" w:rsidRPr="0072090A">
        <w:rPr>
          <w:rFonts w:cs="Arial"/>
          <w:sz w:val="22"/>
          <w:szCs w:val="22"/>
        </w:rPr>
        <w:fldChar w:fldCharType="separate"/>
      </w:r>
      <w:r w:rsidR="00C87D85">
        <w:rPr>
          <w:rFonts w:cs="Arial"/>
          <w:sz w:val="22"/>
          <w:szCs w:val="22"/>
        </w:rPr>
        <w:t>4.1</w:t>
      </w:r>
      <w:r w:rsidR="0072090A" w:rsidRPr="0072090A">
        <w:rPr>
          <w:rFonts w:cs="Arial"/>
          <w:sz w:val="22"/>
          <w:szCs w:val="22"/>
        </w:rPr>
        <w:fldChar w:fldCharType="end"/>
      </w:r>
      <w:bookmarkEnd w:id="3903"/>
      <w:r w:rsidR="0072090A" w:rsidRPr="0072090A">
        <w:rPr>
          <w:rFonts w:cs="Arial"/>
          <w:sz w:val="22"/>
          <w:szCs w:val="22"/>
        </w:rPr>
        <w:t xml:space="preserve"> in lieu of conducting such an audit, assessment or inspection.</w:t>
      </w:r>
    </w:p>
    <w:p w14:paraId="5152856F" w14:textId="77777777" w:rsidR="0072090A" w:rsidRPr="0072090A" w:rsidRDefault="0072090A">
      <w:pPr>
        <w:pStyle w:val="AppendixText1"/>
        <w:rPr>
          <w:rFonts w:cs="Arial"/>
          <w:sz w:val="22"/>
          <w:szCs w:val="22"/>
        </w:rPr>
      </w:pPr>
      <w:r w:rsidRPr="0072090A">
        <w:rPr>
          <w:rFonts w:cs="Arial"/>
          <w:sz w:val="22"/>
          <w:szCs w:val="22"/>
        </w:rPr>
        <w:t>Impact Assessments</w:t>
      </w:r>
    </w:p>
    <w:p w14:paraId="65D5D6AD" w14:textId="77777777" w:rsidR="0072090A" w:rsidRPr="0072090A" w:rsidRDefault="0072090A">
      <w:pPr>
        <w:pStyle w:val="AppendixText2"/>
        <w:rPr>
          <w:rFonts w:cs="Arial"/>
          <w:sz w:val="22"/>
          <w:szCs w:val="22"/>
        </w:rPr>
      </w:pPr>
      <w:r w:rsidRPr="0072090A">
        <w:rPr>
          <w:rStyle w:val="StdBodyTextBoldChar"/>
          <w:rFonts w:cs="Arial"/>
          <w:sz w:val="22"/>
          <w:szCs w:val="22"/>
        </w:rPr>
        <w:t>The Parties</w:t>
      </w:r>
      <w:r w:rsidRPr="0072090A">
        <w:rPr>
          <w:rFonts w:cs="Arial"/>
          <w:sz w:val="22"/>
          <w:szCs w:val="22"/>
        </w:rPr>
        <w:t xml:space="preserve"> shall:</w:t>
      </w:r>
    </w:p>
    <w:p w14:paraId="5799A581" w14:textId="77777777" w:rsidR="0072090A" w:rsidRPr="0072090A" w:rsidRDefault="0072090A">
      <w:pPr>
        <w:pStyle w:val="AppendixText4"/>
        <w:rPr>
          <w:rFonts w:cs="Arial"/>
          <w:sz w:val="22"/>
          <w:szCs w:val="22"/>
        </w:rPr>
      </w:pPr>
      <w:r w:rsidRPr="0072090A">
        <w:rPr>
          <w:rFonts w:cs="Arial"/>
          <w:sz w:val="22"/>
          <w:szCs w:val="22"/>
        </w:rPr>
        <w:t>provide all reasonable assistance to each other to prepare any Data Protection Impact Assessment as may be required (including provision of detailed information and assessments in relation to processing operations, risks and measures);</w:t>
      </w:r>
    </w:p>
    <w:p w14:paraId="3C6F2CF7" w14:textId="61AE9F01" w:rsidR="0072090A" w:rsidRPr="0072090A" w:rsidRDefault="0072090A">
      <w:pPr>
        <w:pStyle w:val="AppendixText4"/>
        <w:rPr>
          <w:rFonts w:cs="Arial"/>
          <w:sz w:val="22"/>
          <w:szCs w:val="22"/>
        </w:rPr>
      </w:pPr>
      <w:r w:rsidRPr="0072090A">
        <w:rPr>
          <w:rFonts w:cs="Arial"/>
          <w:sz w:val="22"/>
          <w:szCs w:val="22"/>
        </w:rPr>
        <w:lastRenderedPageBreak/>
        <w:t xml:space="preserve">maintain full and complete records of all Processing carried out in respect of the Personal Data in connection with </w:t>
      </w:r>
      <w:r w:rsidR="00010038">
        <w:rPr>
          <w:rFonts w:cs="Arial"/>
          <w:sz w:val="22"/>
          <w:szCs w:val="22"/>
        </w:rPr>
        <w:t>this Agreement</w:t>
      </w:r>
      <w:r w:rsidRPr="0072090A">
        <w:rPr>
          <w:rFonts w:cs="Arial"/>
          <w:sz w:val="22"/>
          <w:szCs w:val="22"/>
        </w:rPr>
        <w:t xml:space="preserve">, in accordance with the terms of </w:t>
      </w:r>
      <w:bookmarkStart w:id="3904" w:name="_9kR3WTr2CC7FKOG6yimp8I"/>
      <w:r w:rsidRPr="0072090A">
        <w:rPr>
          <w:rFonts w:cs="Arial"/>
          <w:sz w:val="22"/>
          <w:szCs w:val="22"/>
        </w:rPr>
        <w:t>Article 30</w:t>
      </w:r>
      <w:bookmarkEnd w:id="3904"/>
      <w:r w:rsidRPr="0072090A">
        <w:rPr>
          <w:rFonts w:cs="Arial"/>
          <w:sz w:val="22"/>
          <w:szCs w:val="22"/>
        </w:rPr>
        <w:t xml:space="preserve"> of the UK GDPR.</w:t>
      </w:r>
    </w:p>
    <w:p w14:paraId="101CD72D" w14:textId="77777777" w:rsidR="0072090A" w:rsidRPr="0072090A" w:rsidRDefault="0072090A">
      <w:pPr>
        <w:pStyle w:val="AppendixText1"/>
        <w:rPr>
          <w:rFonts w:cs="Arial"/>
          <w:sz w:val="22"/>
          <w:szCs w:val="22"/>
        </w:rPr>
      </w:pPr>
      <w:r w:rsidRPr="0072090A">
        <w:rPr>
          <w:rFonts w:cs="Arial"/>
          <w:sz w:val="22"/>
          <w:szCs w:val="22"/>
        </w:rPr>
        <w:t>ICO Guidance</w:t>
      </w:r>
    </w:p>
    <w:p w14:paraId="3D778BDA" w14:textId="3A7EC4AA" w:rsidR="0072090A" w:rsidRPr="0072090A" w:rsidRDefault="0072090A">
      <w:pPr>
        <w:pStyle w:val="AppendixText2"/>
        <w:rPr>
          <w:rFonts w:cs="Arial"/>
          <w:sz w:val="22"/>
          <w:szCs w:val="22"/>
        </w:rPr>
      </w:pPr>
      <w:r w:rsidRPr="0072090A">
        <w:rPr>
          <w:rFonts w:cs="Arial"/>
          <w:sz w:val="22"/>
          <w:szCs w:val="22"/>
        </w:rPr>
        <w:t xml:space="preserve">The Parties agree to take account of any </w:t>
      </w:r>
      <w:r w:rsidR="00403EAC">
        <w:rPr>
          <w:rFonts w:cs="Arial"/>
          <w:sz w:val="22"/>
          <w:szCs w:val="22"/>
        </w:rPr>
        <w:t xml:space="preserve">non-mandatory </w:t>
      </w:r>
      <w:r w:rsidRPr="0072090A">
        <w:rPr>
          <w:rFonts w:cs="Arial"/>
          <w:sz w:val="22"/>
          <w:szCs w:val="22"/>
        </w:rPr>
        <w:t xml:space="preserve">guidance issued by the Information Commissioner and/or any relevant </w:t>
      </w:r>
      <w:r w:rsidR="00314AD8" w:rsidRPr="00314AD8">
        <w:rPr>
          <w:sz w:val="22"/>
          <w:szCs w:val="22"/>
        </w:rPr>
        <w:t>Crown</w:t>
      </w:r>
      <w:r w:rsidRPr="0072090A">
        <w:rPr>
          <w:rFonts w:cs="Arial"/>
          <w:sz w:val="22"/>
          <w:szCs w:val="22"/>
        </w:rPr>
        <w:t xml:space="preserve"> Body</w:t>
      </w:r>
      <w:r w:rsidR="00403EAC">
        <w:rPr>
          <w:rFonts w:cs="Arial"/>
          <w:sz w:val="22"/>
          <w:szCs w:val="22"/>
        </w:rPr>
        <w:t xml:space="preserve"> and/or any other regulatory authority</w:t>
      </w:r>
      <w:r w:rsidRPr="0072090A">
        <w:rPr>
          <w:rFonts w:cs="Arial"/>
          <w:sz w:val="22"/>
          <w:szCs w:val="22"/>
        </w:rPr>
        <w:t xml:space="preserve">. </w:t>
      </w:r>
      <w:r w:rsidR="00010038">
        <w:rPr>
          <w:rFonts w:cs="Arial"/>
          <w:sz w:val="22"/>
          <w:szCs w:val="22"/>
        </w:rPr>
        <w:t>HSE</w:t>
      </w:r>
      <w:r w:rsidRPr="0072090A">
        <w:rPr>
          <w:rFonts w:cs="Arial"/>
          <w:sz w:val="22"/>
          <w:szCs w:val="22"/>
        </w:rPr>
        <w:t xml:space="preserve"> may on not less than thirty (30) Working Days’ notice to the </w:t>
      </w:r>
      <w:r w:rsidR="00010038">
        <w:rPr>
          <w:rFonts w:cs="Arial"/>
          <w:sz w:val="22"/>
          <w:szCs w:val="22"/>
        </w:rPr>
        <w:t>Provider</w:t>
      </w:r>
      <w:r w:rsidRPr="0072090A">
        <w:rPr>
          <w:rFonts w:cs="Arial"/>
          <w:sz w:val="22"/>
          <w:szCs w:val="22"/>
        </w:rPr>
        <w:t xml:space="preserve"> amend </w:t>
      </w:r>
      <w:r w:rsidR="00010038">
        <w:rPr>
          <w:rFonts w:cs="Arial"/>
          <w:sz w:val="22"/>
          <w:szCs w:val="22"/>
        </w:rPr>
        <w:t>this Agreement</w:t>
      </w:r>
      <w:r w:rsidRPr="0072090A" w:rsidDel="00562BBE">
        <w:rPr>
          <w:rFonts w:cs="Arial"/>
          <w:sz w:val="22"/>
          <w:szCs w:val="22"/>
        </w:rPr>
        <w:t xml:space="preserve"> </w:t>
      </w:r>
      <w:r w:rsidRPr="0072090A">
        <w:rPr>
          <w:rFonts w:cs="Arial"/>
          <w:sz w:val="22"/>
          <w:szCs w:val="22"/>
        </w:rPr>
        <w:t xml:space="preserve">to ensure that it complies with any guidance issued by the Information Commissioner and/or any </w:t>
      </w:r>
      <w:r w:rsidR="00403EAC">
        <w:rPr>
          <w:rFonts w:cs="Arial"/>
          <w:sz w:val="22"/>
          <w:szCs w:val="22"/>
        </w:rPr>
        <w:t>other regulatory body</w:t>
      </w:r>
      <w:r w:rsidRPr="0072090A">
        <w:rPr>
          <w:rFonts w:cs="Arial"/>
          <w:sz w:val="22"/>
          <w:szCs w:val="22"/>
        </w:rPr>
        <w:t>.</w:t>
      </w:r>
    </w:p>
    <w:p w14:paraId="2E3CEE02" w14:textId="77777777" w:rsidR="0072090A" w:rsidRPr="0072090A" w:rsidRDefault="0072090A">
      <w:pPr>
        <w:pStyle w:val="AppendixText1"/>
        <w:rPr>
          <w:rFonts w:cs="Arial"/>
          <w:sz w:val="22"/>
          <w:szCs w:val="22"/>
        </w:rPr>
      </w:pPr>
      <w:r w:rsidRPr="0072090A">
        <w:rPr>
          <w:rFonts w:cs="Arial"/>
          <w:sz w:val="22"/>
          <w:szCs w:val="22"/>
        </w:rPr>
        <w:t>Liabilities for Data Protection Breach</w:t>
      </w:r>
    </w:p>
    <w:p w14:paraId="728384F6" w14:textId="77777777" w:rsidR="0072090A" w:rsidRPr="0072090A" w:rsidRDefault="0072090A" w:rsidP="0072090A">
      <w:pPr>
        <w:pStyle w:val="StdBodyText1"/>
        <w:rPr>
          <w:rFonts w:cs="Arial"/>
          <w:b/>
          <w:i/>
          <w:sz w:val="22"/>
          <w:szCs w:val="22"/>
        </w:rPr>
      </w:pPr>
      <w:r w:rsidRPr="0072090A">
        <w:rPr>
          <w:rStyle w:val="StdBodyTextBoldChar"/>
          <w:rFonts w:cs="Arial"/>
          <w:i/>
          <w:sz w:val="22"/>
          <w:szCs w:val="22"/>
          <w:highlight w:val="yellow"/>
        </w:rPr>
        <w:t>[Guidance:</w:t>
      </w:r>
      <w:r w:rsidRPr="0072090A">
        <w:rPr>
          <w:rFonts w:cs="Arial"/>
          <w:b/>
          <w:i/>
          <w:sz w:val="22"/>
          <w:szCs w:val="22"/>
          <w:highlight w:val="yellow"/>
        </w:rPr>
        <w:t xml:space="preserve"> This paragraph represents a risk share, you may wish to reconsider the apportionment of liability and whether recoverability of losses are likely to be hindered by the contractual limitation of liability provisions]</w:t>
      </w:r>
      <w:r w:rsidRPr="0072090A">
        <w:rPr>
          <w:rFonts w:cs="Arial"/>
          <w:b/>
          <w:i/>
          <w:sz w:val="22"/>
          <w:szCs w:val="22"/>
        </w:rPr>
        <w:t xml:space="preserve"> </w:t>
      </w:r>
    </w:p>
    <w:p w14:paraId="3A90C116" w14:textId="688F6AE6" w:rsidR="0072090A" w:rsidRPr="0072090A" w:rsidRDefault="0072090A">
      <w:pPr>
        <w:pStyle w:val="AppendixText2"/>
        <w:rPr>
          <w:rFonts w:cs="Arial"/>
          <w:sz w:val="22"/>
          <w:szCs w:val="22"/>
        </w:rPr>
      </w:pPr>
      <w:bookmarkStart w:id="3905" w:name="_Ref78376844"/>
      <w:r w:rsidRPr="0072090A">
        <w:rPr>
          <w:rFonts w:cs="Arial"/>
          <w:sz w:val="22"/>
          <w:szCs w:val="22"/>
        </w:rPr>
        <w:t xml:space="preserve">If financial penalties are imposed by the Information Commissioner on either </w:t>
      </w:r>
      <w:r w:rsidR="00010038">
        <w:rPr>
          <w:rFonts w:cs="Arial"/>
          <w:sz w:val="22"/>
          <w:szCs w:val="22"/>
        </w:rPr>
        <w:t>HSE</w:t>
      </w:r>
      <w:r w:rsidRPr="0072090A">
        <w:rPr>
          <w:rFonts w:cs="Arial"/>
          <w:sz w:val="22"/>
          <w:szCs w:val="22"/>
        </w:rPr>
        <w:t xml:space="preserve"> or the </w:t>
      </w:r>
      <w:r w:rsidR="00010038">
        <w:rPr>
          <w:rFonts w:cs="Arial"/>
          <w:sz w:val="22"/>
          <w:szCs w:val="22"/>
        </w:rPr>
        <w:t>Provider</w:t>
      </w:r>
      <w:r w:rsidRPr="0072090A">
        <w:rPr>
          <w:rFonts w:cs="Arial"/>
          <w:sz w:val="22"/>
          <w:szCs w:val="22"/>
        </w:rPr>
        <w:t xml:space="preserve"> for a Data </w:t>
      </w:r>
      <w:r w:rsidR="00990608">
        <w:rPr>
          <w:rFonts w:cs="Arial"/>
          <w:sz w:val="22"/>
          <w:szCs w:val="22"/>
        </w:rPr>
        <w:t>Loss Event</w:t>
      </w:r>
      <w:r w:rsidR="00990608" w:rsidRPr="0072090A">
        <w:rPr>
          <w:rFonts w:cs="Arial"/>
          <w:sz w:val="22"/>
          <w:szCs w:val="22"/>
        </w:rPr>
        <w:t xml:space="preserve"> </w:t>
      </w:r>
      <w:r w:rsidRPr="0072090A">
        <w:rPr>
          <w:rFonts w:cs="Arial"/>
          <w:sz w:val="22"/>
          <w:szCs w:val="22"/>
        </w:rPr>
        <w:t>("</w:t>
      </w:r>
      <w:r w:rsidRPr="0072090A">
        <w:rPr>
          <w:rStyle w:val="StdBodyTextBoldChar"/>
          <w:rFonts w:cs="Arial"/>
          <w:sz w:val="22"/>
          <w:szCs w:val="22"/>
        </w:rPr>
        <w:t>Financial</w:t>
      </w:r>
      <w:r w:rsidRPr="0072090A">
        <w:rPr>
          <w:rFonts w:cs="Arial"/>
          <w:sz w:val="22"/>
          <w:szCs w:val="22"/>
        </w:rPr>
        <w:t xml:space="preserve"> </w:t>
      </w:r>
      <w:r w:rsidRPr="0072090A">
        <w:rPr>
          <w:rStyle w:val="StdBodyTextBoldChar"/>
          <w:rFonts w:cs="Arial"/>
          <w:sz w:val="22"/>
          <w:szCs w:val="22"/>
        </w:rPr>
        <w:t>Penalties</w:t>
      </w:r>
      <w:r w:rsidRPr="0072090A">
        <w:rPr>
          <w:rFonts w:cs="Arial"/>
          <w:sz w:val="22"/>
          <w:szCs w:val="22"/>
        </w:rPr>
        <w:t>") then the following shall occur:</w:t>
      </w:r>
      <w:bookmarkEnd w:id="3905"/>
    </w:p>
    <w:p w14:paraId="5E4C3C3C" w14:textId="0B8A6402" w:rsidR="0072090A" w:rsidRPr="0072090A" w:rsidRDefault="0072090A">
      <w:pPr>
        <w:pStyle w:val="AppendixText4"/>
        <w:rPr>
          <w:rFonts w:cs="Arial"/>
          <w:sz w:val="22"/>
          <w:szCs w:val="22"/>
        </w:rPr>
      </w:pPr>
      <w:r w:rsidRPr="0072090A">
        <w:rPr>
          <w:rFonts w:cs="Arial"/>
          <w:sz w:val="22"/>
          <w:szCs w:val="22"/>
        </w:rPr>
        <w:t xml:space="preserve">If in the view of the Information Commissioner, </w:t>
      </w:r>
      <w:r w:rsidR="00010038">
        <w:rPr>
          <w:rFonts w:cs="Arial"/>
          <w:sz w:val="22"/>
          <w:szCs w:val="22"/>
        </w:rPr>
        <w:t>HSE</w:t>
      </w:r>
      <w:r w:rsidRPr="0072090A">
        <w:rPr>
          <w:rFonts w:cs="Arial"/>
          <w:sz w:val="22"/>
          <w:szCs w:val="22"/>
        </w:rPr>
        <w:t xml:space="preserve"> is responsible for the Data </w:t>
      </w:r>
      <w:r w:rsidR="00990608">
        <w:rPr>
          <w:rFonts w:cs="Arial"/>
          <w:sz w:val="22"/>
          <w:szCs w:val="22"/>
        </w:rPr>
        <w:t>Loss Event</w:t>
      </w:r>
      <w:r w:rsidRPr="0072090A">
        <w:rPr>
          <w:rFonts w:cs="Arial"/>
          <w:sz w:val="22"/>
          <w:szCs w:val="22"/>
        </w:rPr>
        <w:t xml:space="preserve">, in that it is caused as a result of the actions or inaction of </w:t>
      </w:r>
      <w:r w:rsidR="00010038">
        <w:rPr>
          <w:rFonts w:cs="Arial"/>
          <w:sz w:val="22"/>
          <w:szCs w:val="22"/>
        </w:rPr>
        <w:t>HSE</w:t>
      </w:r>
      <w:r w:rsidRPr="0072090A">
        <w:rPr>
          <w:rFonts w:cs="Arial"/>
          <w:sz w:val="22"/>
          <w:szCs w:val="22"/>
        </w:rPr>
        <w:t xml:space="preserve">, its employees, agents, contractors (other than the </w:t>
      </w:r>
      <w:r w:rsidR="00010038">
        <w:rPr>
          <w:rFonts w:cs="Arial"/>
          <w:sz w:val="22"/>
          <w:szCs w:val="22"/>
        </w:rPr>
        <w:t>Provider</w:t>
      </w:r>
      <w:r w:rsidRPr="0072090A">
        <w:rPr>
          <w:rFonts w:cs="Arial"/>
          <w:sz w:val="22"/>
          <w:szCs w:val="22"/>
        </w:rPr>
        <w:t xml:space="preserve">) or systems and procedures controlled by </w:t>
      </w:r>
      <w:r w:rsidR="00010038">
        <w:rPr>
          <w:rFonts w:cs="Arial"/>
          <w:sz w:val="22"/>
          <w:szCs w:val="22"/>
        </w:rPr>
        <w:t>HSE</w:t>
      </w:r>
      <w:r w:rsidRPr="0072090A">
        <w:rPr>
          <w:rFonts w:cs="Arial"/>
          <w:sz w:val="22"/>
          <w:szCs w:val="22"/>
        </w:rPr>
        <w:t xml:space="preserve">, then </w:t>
      </w:r>
      <w:r w:rsidR="00010038">
        <w:rPr>
          <w:rFonts w:cs="Arial"/>
          <w:sz w:val="22"/>
          <w:szCs w:val="22"/>
        </w:rPr>
        <w:t>HSE</w:t>
      </w:r>
      <w:r w:rsidRPr="0072090A">
        <w:rPr>
          <w:rFonts w:cs="Arial"/>
          <w:sz w:val="22"/>
          <w:szCs w:val="22"/>
        </w:rPr>
        <w:t xml:space="preserve"> shall be responsible for the payment of such Financial Penalties. In this case, </w:t>
      </w:r>
      <w:r w:rsidR="00010038">
        <w:rPr>
          <w:rFonts w:cs="Arial"/>
          <w:sz w:val="22"/>
          <w:szCs w:val="22"/>
        </w:rPr>
        <w:t>HSE</w:t>
      </w:r>
      <w:r w:rsidRPr="0072090A">
        <w:rPr>
          <w:rFonts w:cs="Arial"/>
          <w:sz w:val="22"/>
          <w:szCs w:val="22"/>
        </w:rPr>
        <w:t xml:space="preserve"> will conduct an internal audit and engage at its reasonable cost when necessary, an independent third party to conduct an audit of any such data incident. The </w:t>
      </w:r>
      <w:r w:rsidR="00010038">
        <w:rPr>
          <w:rFonts w:cs="Arial"/>
          <w:sz w:val="22"/>
          <w:szCs w:val="22"/>
        </w:rPr>
        <w:t>Provider</w:t>
      </w:r>
      <w:r w:rsidRPr="0072090A">
        <w:rPr>
          <w:rFonts w:cs="Arial"/>
          <w:sz w:val="22"/>
          <w:szCs w:val="22"/>
        </w:rPr>
        <w:t xml:space="preserve"> shall provide to </w:t>
      </w:r>
      <w:r w:rsidR="00010038">
        <w:rPr>
          <w:rFonts w:cs="Arial"/>
          <w:sz w:val="22"/>
          <w:szCs w:val="22"/>
        </w:rPr>
        <w:t>HSE</w:t>
      </w:r>
      <w:r w:rsidRPr="0072090A">
        <w:rPr>
          <w:rFonts w:cs="Arial"/>
          <w:sz w:val="22"/>
          <w:szCs w:val="22"/>
        </w:rPr>
        <w:t xml:space="preserve"> and its third party investigators and auditors, on request and at the </w:t>
      </w:r>
      <w:r w:rsidR="00010038">
        <w:rPr>
          <w:rFonts w:cs="Arial"/>
          <w:sz w:val="22"/>
          <w:szCs w:val="22"/>
        </w:rPr>
        <w:t>Provider</w:t>
      </w:r>
      <w:r w:rsidRPr="0072090A">
        <w:rPr>
          <w:rFonts w:cs="Arial"/>
          <w:sz w:val="22"/>
          <w:szCs w:val="22"/>
        </w:rPr>
        <w:t xml:space="preserve">'s reasonable cost, full cooperation and access to conduct a thorough audit of such data incident; </w:t>
      </w:r>
    </w:p>
    <w:p w14:paraId="2DAFC26F" w14:textId="237A9FD5" w:rsidR="0072090A" w:rsidRPr="0072090A" w:rsidRDefault="0072090A">
      <w:pPr>
        <w:pStyle w:val="AppendixText4"/>
        <w:rPr>
          <w:rFonts w:cs="Arial"/>
          <w:sz w:val="22"/>
          <w:szCs w:val="22"/>
        </w:rPr>
      </w:pPr>
      <w:r w:rsidRPr="0072090A">
        <w:rPr>
          <w:rFonts w:cs="Arial"/>
          <w:sz w:val="22"/>
          <w:szCs w:val="22"/>
        </w:rPr>
        <w:t xml:space="preserve">If in the view of the Information Commissioner, the </w:t>
      </w:r>
      <w:r w:rsidR="00010038">
        <w:rPr>
          <w:rFonts w:cs="Arial"/>
          <w:sz w:val="22"/>
          <w:szCs w:val="22"/>
        </w:rPr>
        <w:t>Provider</w:t>
      </w:r>
      <w:r w:rsidRPr="0072090A">
        <w:rPr>
          <w:rFonts w:cs="Arial"/>
          <w:sz w:val="22"/>
          <w:szCs w:val="22"/>
        </w:rPr>
        <w:t xml:space="preserve"> is responsible for the Data </w:t>
      </w:r>
      <w:r w:rsidR="00990608">
        <w:rPr>
          <w:rFonts w:cs="Arial"/>
          <w:sz w:val="22"/>
          <w:szCs w:val="22"/>
        </w:rPr>
        <w:t>Loss Event</w:t>
      </w:r>
      <w:r w:rsidRPr="0072090A">
        <w:rPr>
          <w:rFonts w:cs="Arial"/>
          <w:sz w:val="22"/>
          <w:szCs w:val="22"/>
        </w:rPr>
        <w:t xml:space="preserve">, in that it is not a breach that </w:t>
      </w:r>
      <w:r w:rsidR="00010038">
        <w:rPr>
          <w:rFonts w:cs="Arial"/>
          <w:sz w:val="22"/>
          <w:szCs w:val="22"/>
        </w:rPr>
        <w:t>HSE</w:t>
      </w:r>
      <w:r w:rsidRPr="0072090A">
        <w:rPr>
          <w:rFonts w:cs="Arial"/>
          <w:sz w:val="22"/>
          <w:szCs w:val="22"/>
        </w:rPr>
        <w:t xml:space="preserve"> is responsible for, then the </w:t>
      </w:r>
      <w:r w:rsidR="00010038">
        <w:rPr>
          <w:rFonts w:cs="Arial"/>
          <w:sz w:val="22"/>
          <w:szCs w:val="22"/>
        </w:rPr>
        <w:t>Provider</w:t>
      </w:r>
      <w:r w:rsidRPr="0072090A">
        <w:rPr>
          <w:rFonts w:cs="Arial"/>
          <w:sz w:val="22"/>
          <w:szCs w:val="22"/>
        </w:rPr>
        <w:t xml:space="preserve"> shall be responsible for the payment of these Financial Penalties. The </w:t>
      </w:r>
      <w:r w:rsidR="00010038">
        <w:rPr>
          <w:rFonts w:cs="Arial"/>
          <w:sz w:val="22"/>
          <w:szCs w:val="22"/>
        </w:rPr>
        <w:t>Provider</w:t>
      </w:r>
      <w:r w:rsidRPr="0072090A">
        <w:rPr>
          <w:rFonts w:cs="Arial"/>
          <w:sz w:val="22"/>
          <w:szCs w:val="22"/>
        </w:rPr>
        <w:t xml:space="preserve"> will provide to </w:t>
      </w:r>
      <w:r w:rsidR="00010038">
        <w:rPr>
          <w:rFonts w:cs="Arial"/>
          <w:sz w:val="22"/>
          <w:szCs w:val="22"/>
        </w:rPr>
        <w:t>HSE</w:t>
      </w:r>
      <w:r w:rsidRPr="0072090A">
        <w:rPr>
          <w:rFonts w:cs="Arial"/>
          <w:sz w:val="22"/>
          <w:szCs w:val="22"/>
        </w:rPr>
        <w:t xml:space="preserve"> and its auditors, on request and at the </w:t>
      </w:r>
      <w:r w:rsidR="00010038">
        <w:rPr>
          <w:rFonts w:cs="Arial"/>
          <w:sz w:val="22"/>
          <w:szCs w:val="22"/>
        </w:rPr>
        <w:t>Provider</w:t>
      </w:r>
      <w:r w:rsidRPr="0072090A">
        <w:rPr>
          <w:rFonts w:cs="Arial"/>
          <w:sz w:val="22"/>
          <w:szCs w:val="22"/>
        </w:rPr>
        <w:t>’s sole cost, full cooperation and access to conduct a thorough audit of such data incident; or</w:t>
      </w:r>
    </w:p>
    <w:p w14:paraId="4AC2E0BC" w14:textId="46E64DF8" w:rsidR="0072090A" w:rsidRPr="0072090A" w:rsidRDefault="0072090A">
      <w:pPr>
        <w:pStyle w:val="AppendixText4"/>
        <w:rPr>
          <w:rFonts w:cs="Arial"/>
          <w:sz w:val="22"/>
          <w:szCs w:val="22"/>
        </w:rPr>
      </w:pPr>
      <w:r w:rsidRPr="0072090A">
        <w:rPr>
          <w:rFonts w:cs="Arial"/>
          <w:sz w:val="22"/>
          <w:szCs w:val="22"/>
        </w:rPr>
        <w:t xml:space="preserve">If no view as to responsibility is expressed by the Information Commissioner, then </w:t>
      </w:r>
      <w:r w:rsidR="00010038">
        <w:rPr>
          <w:rFonts w:cs="Arial"/>
          <w:sz w:val="22"/>
          <w:szCs w:val="22"/>
        </w:rPr>
        <w:t>HSE</w:t>
      </w:r>
      <w:r w:rsidRPr="0072090A">
        <w:rPr>
          <w:rFonts w:cs="Arial"/>
          <w:sz w:val="22"/>
          <w:szCs w:val="22"/>
        </w:rPr>
        <w:t xml:space="preserve"> and the </w:t>
      </w:r>
      <w:r w:rsidR="00010038">
        <w:rPr>
          <w:rFonts w:cs="Arial"/>
          <w:sz w:val="22"/>
          <w:szCs w:val="22"/>
        </w:rPr>
        <w:t>Provider</w:t>
      </w:r>
      <w:r w:rsidRPr="0072090A">
        <w:rPr>
          <w:rFonts w:cs="Arial"/>
          <w:sz w:val="22"/>
          <w:szCs w:val="22"/>
        </w:rPr>
        <w:t xml:space="preserve"> shall work together to investigate the relevant data incident and allocate responsibility for any Financial Penalties as outlined above, or by agreement to split any Financial Penalties equally if no responsibility for the Data </w:t>
      </w:r>
      <w:r w:rsidR="00990608">
        <w:rPr>
          <w:rFonts w:cs="Arial"/>
          <w:sz w:val="22"/>
          <w:szCs w:val="22"/>
        </w:rPr>
        <w:t>Loss Event</w:t>
      </w:r>
      <w:r w:rsidR="00990608" w:rsidRPr="0072090A">
        <w:rPr>
          <w:rFonts w:cs="Arial"/>
          <w:sz w:val="22"/>
          <w:szCs w:val="22"/>
        </w:rPr>
        <w:t xml:space="preserve"> </w:t>
      </w:r>
      <w:r w:rsidRPr="0072090A">
        <w:rPr>
          <w:rFonts w:cs="Arial"/>
          <w:sz w:val="22"/>
          <w:szCs w:val="22"/>
        </w:rPr>
        <w:t>can be apportioned. In the event that the Parties do not agree such apportionment then such Dispute shall be referred to the Dispute Resolution Procedure.</w:t>
      </w:r>
    </w:p>
    <w:p w14:paraId="31345FEB" w14:textId="709EC95B" w:rsidR="0072090A" w:rsidRPr="0072090A" w:rsidRDefault="0072090A">
      <w:pPr>
        <w:pStyle w:val="AppendixText2"/>
        <w:rPr>
          <w:rFonts w:cs="Arial"/>
          <w:sz w:val="22"/>
          <w:szCs w:val="22"/>
        </w:rPr>
      </w:pPr>
      <w:bookmarkStart w:id="3906" w:name="_9kR3WTrAGA788EHTEhl11nyE5rLWMA6HCFWSMSJ"/>
      <w:bookmarkStart w:id="3907" w:name="_Ref_ContractCompanion_9kb9Ut33B"/>
      <w:r w:rsidRPr="0072090A">
        <w:rPr>
          <w:rFonts w:cs="Arial"/>
          <w:sz w:val="22"/>
          <w:szCs w:val="22"/>
        </w:rPr>
        <w:t xml:space="preserve">If either </w:t>
      </w:r>
      <w:r w:rsidR="00010038">
        <w:rPr>
          <w:rFonts w:cs="Arial"/>
          <w:sz w:val="22"/>
          <w:szCs w:val="22"/>
        </w:rPr>
        <w:t>HSE</w:t>
      </w:r>
      <w:r w:rsidRPr="0072090A">
        <w:rPr>
          <w:rFonts w:cs="Arial"/>
          <w:sz w:val="22"/>
          <w:szCs w:val="22"/>
        </w:rPr>
        <w:t xml:space="preserve"> or the </w:t>
      </w:r>
      <w:r w:rsidR="00010038">
        <w:rPr>
          <w:rFonts w:cs="Arial"/>
          <w:sz w:val="22"/>
          <w:szCs w:val="22"/>
        </w:rPr>
        <w:t>Provider</w:t>
      </w:r>
      <w:r w:rsidRPr="0072090A">
        <w:rPr>
          <w:rFonts w:cs="Arial"/>
          <w:sz w:val="22"/>
          <w:szCs w:val="22"/>
        </w:rPr>
        <w:t xml:space="preserve"> is the defendant in a legal claim brought before a court of competent jurisdiction (“</w:t>
      </w:r>
      <w:r w:rsidRPr="0072090A">
        <w:rPr>
          <w:rStyle w:val="StdBodyTextBoldChar"/>
          <w:rFonts w:cs="Arial"/>
          <w:sz w:val="22"/>
          <w:szCs w:val="22"/>
        </w:rPr>
        <w:t>Court</w:t>
      </w:r>
      <w:r w:rsidRPr="0072090A">
        <w:rPr>
          <w:rFonts w:cs="Arial"/>
          <w:sz w:val="22"/>
          <w:szCs w:val="22"/>
        </w:rPr>
        <w:t xml:space="preserve">”) by a third party in respect of a Data </w:t>
      </w:r>
      <w:r w:rsidR="00990608">
        <w:rPr>
          <w:rFonts w:cs="Arial"/>
          <w:sz w:val="22"/>
          <w:szCs w:val="22"/>
        </w:rPr>
        <w:t>Loss Event</w:t>
      </w:r>
      <w:r w:rsidRPr="0072090A">
        <w:rPr>
          <w:rFonts w:cs="Arial"/>
          <w:sz w:val="22"/>
          <w:szCs w:val="22"/>
        </w:rPr>
        <w:t xml:space="preserve">, then unless the Parties otherwise agree, the Party that is determined by the final decision of the court to be responsible for the Data </w:t>
      </w:r>
      <w:r w:rsidR="00990608">
        <w:rPr>
          <w:rFonts w:cs="Arial"/>
          <w:sz w:val="22"/>
          <w:szCs w:val="22"/>
        </w:rPr>
        <w:t>Loss Event</w:t>
      </w:r>
      <w:r w:rsidR="00990608" w:rsidRPr="0072090A">
        <w:rPr>
          <w:rFonts w:cs="Arial"/>
          <w:sz w:val="22"/>
          <w:szCs w:val="22"/>
        </w:rPr>
        <w:t xml:space="preserve"> </w:t>
      </w:r>
      <w:r w:rsidRPr="0072090A">
        <w:rPr>
          <w:rFonts w:cs="Arial"/>
          <w:sz w:val="22"/>
          <w:szCs w:val="22"/>
        </w:rPr>
        <w:t>shall be liable for the losses arising from such breach.</w:t>
      </w:r>
      <w:bookmarkEnd w:id="3906"/>
      <w:r w:rsidRPr="0072090A">
        <w:rPr>
          <w:rFonts w:cs="Arial"/>
          <w:sz w:val="22"/>
          <w:szCs w:val="22"/>
        </w:rPr>
        <w:t xml:space="preserve"> Where both Parties are liable, the liability will be apportioned between the Parties in accordance with the decision of the Court.</w:t>
      </w:r>
      <w:bookmarkEnd w:id="3907"/>
    </w:p>
    <w:p w14:paraId="4150891F" w14:textId="77BC26A8" w:rsidR="0072090A" w:rsidRPr="0072090A" w:rsidRDefault="0072090A">
      <w:pPr>
        <w:pStyle w:val="AppendixText2"/>
        <w:rPr>
          <w:rFonts w:cs="Arial"/>
          <w:sz w:val="22"/>
          <w:szCs w:val="22"/>
        </w:rPr>
      </w:pPr>
      <w:bookmarkStart w:id="3908" w:name="_Ref_ContractCompanion_9kb9Ut338"/>
      <w:bookmarkStart w:id="3909" w:name="_9kR3WTrAGA77ELIUM2uw8vjzCzmvKJAINABA7OU"/>
      <w:r w:rsidRPr="0072090A">
        <w:rPr>
          <w:rFonts w:cs="Arial"/>
          <w:sz w:val="22"/>
          <w:szCs w:val="22"/>
        </w:rPr>
        <w:lastRenderedPageBreak/>
        <w:t>In respect of any losses, cost claims or expenses incurred by either Party as a result of a Personal Data Breach (the “</w:t>
      </w:r>
      <w:r w:rsidRPr="0072090A">
        <w:rPr>
          <w:rStyle w:val="StdBodyTextBoldChar"/>
          <w:rFonts w:cs="Arial"/>
          <w:sz w:val="22"/>
          <w:szCs w:val="22"/>
        </w:rPr>
        <w:t>Claim Losses</w:t>
      </w:r>
      <w:r w:rsidRPr="0072090A">
        <w:rPr>
          <w:rFonts w:cs="Arial"/>
          <w:sz w:val="22"/>
          <w:szCs w:val="22"/>
        </w:rPr>
        <w:t>”):</w:t>
      </w:r>
      <w:bookmarkEnd w:id="3908"/>
      <w:bookmarkEnd w:id="3909"/>
    </w:p>
    <w:p w14:paraId="49A9406E" w14:textId="2B5F68FB" w:rsidR="0072090A" w:rsidRPr="0072090A" w:rsidRDefault="0072090A">
      <w:pPr>
        <w:pStyle w:val="AppendixText4"/>
        <w:rPr>
          <w:rFonts w:cs="Arial"/>
          <w:sz w:val="22"/>
          <w:szCs w:val="22"/>
        </w:rPr>
      </w:pPr>
      <w:r w:rsidRPr="0072090A">
        <w:rPr>
          <w:rFonts w:cs="Arial"/>
          <w:sz w:val="22"/>
          <w:szCs w:val="22"/>
        </w:rPr>
        <w:t xml:space="preserve">if </w:t>
      </w:r>
      <w:r w:rsidR="00010038">
        <w:rPr>
          <w:rFonts w:cs="Arial"/>
          <w:sz w:val="22"/>
          <w:szCs w:val="22"/>
        </w:rPr>
        <w:t>HSE</w:t>
      </w:r>
      <w:r w:rsidRPr="0072090A">
        <w:rPr>
          <w:rFonts w:cs="Arial"/>
          <w:sz w:val="22"/>
          <w:szCs w:val="22"/>
        </w:rPr>
        <w:t xml:space="preserve"> is responsible for the relevant breach, then </w:t>
      </w:r>
      <w:r w:rsidR="00010038">
        <w:rPr>
          <w:rFonts w:cs="Arial"/>
          <w:sz w:val="22"/>
          <w:szCs w:val="22"/>
        </w:rPr>
        <w:t>HSE</w:t>
      </w:r>
      <w:r w:rsidRPr="0072090A">
        <w:rPr>
          <w:rFonts w:cs="Arial"/>
          <w:sz w:val="22"/>
          <w:szCs w:val="22"/>
        </w:rPr>
        <w:t xml:space="preserve"> shall be responsible for the Claim Losses;</w:t>
      </w:r>
    </w:p>
    <w:p w14:paraId="7D199173" w14:textId="41E7F678" w:rsidR="0072090A" w:rsidRPr="0072090A" w:rsidRDefault="0072090A">
      <w:pPr>
        <w:pStyle w:val="AppendixText4"/>
        <w:rPr>
          <w:rFonts w:cs="Arial"/>
          <w:sz w:val="22"/>
          <w:szCs w:val="22"/>
        </w:rPr>
      </w:pPr>
      <w:r w:rsidRPr="0072090A">
        <w:rPr>
          <w:rFonts w:cs="Arial"/>
          <w:sz w:val="22"/>
          <w:szCs w:val="22"/>
        </w:rPr>
        <w:t xml:space="preserve">if the </w:t>
      </w:r>
      <w:r w:rsidR="00010038">
        <w:rPr>
          <w:rFonts w:cs="Arial"/>
          <w:sz w:val="22"/>
          <w:szCs w:val="22"/>
        </w:rPr>
        <w:t>Provider</w:t>
      </w:r>
      <w:r w:rsidRPr="0072090A">
        <w:rPr>
          <w:rFonts w:cs="Arial"/>
          <w:sz w:val="22"/>
          <w:szCs w:val="22"/>
        </w:rPr>
        <w:t xml:space="preserve"> is responsible for the relevant breach, then the </w:t>
      </w:r>
      <w:r w:rsidR="00010038">
        <w:rPr>
          <w:rFonts w:cs="Arial"/>
          <w:sz w:val="22"/>
          <w:szCs w:val="22"/>
        </w:rPr>
        <w:t>Provider</w:t>
      </w:r>
      <w:r w:rsidRPr="0072090A">
        <w:rPr>
          <w:rFonts w:cs="Arial"/>
          <w:sz w:val="22"/>
          <w:szCs w:val="22"/>
        </w:rPr>
        <w:t xml:space="preserve"> shall be responsible for the Claim Losses; and</w:t>
      </w:r>
    </w:p>
    <w:p w14:paraId="58EDF2A5" w14:textId="071E6798" w:rsidR="0072090A" w:rsidRPr="0072090A" w:rsidRDefault="0072090A">
      <w:pPr>
        <w:pStyle w:val="AppendixText4"/>
        <w:rPr>
          <w:rFonts w:cs="Arial"/>
          <w:sz w:val="22"/>
          <w:szCs w:val="22"/>
        </w:rPr>
      </w:pPr>
      <w:r w:rsidRPr="0072090A">
        <w:rPr>
          <w:rFonts w:cs="Arial"/>
          <w:sz w:val="22"/>
          <w:szCs w:val="22"/>
        </w:rPr>
        <w:t xml:space="preserve">if responsibility is unclear, then </w:t>
      </w:r>
      <w:r w:rsidR="00010038">
        <w:rPr>
          <w:rFonts w:cs="Arial"/>
          <w:sz w:val="22"/>
          <w:szCs w:val="22"/>
        </w:rPr>
        <w:t>HSE</w:t>
      </w:r>
      <w:r w:rsidRPr="0072090A">
        <w:rPr>
          <w:rFonts w:cs="Arial"/>
          <w:sz w:val="22"/>
          <w:szCs w:val="22"/>
        </w:rPr>
        <w:t xml:space="preserve"> and the </w:t>
      </w:r>
      <w:r w:rsidR="00010038">
        <w:rPr>
          <w:rFonts w:cs="Arial"/>
          <w:sz w:val="22"/>
          <w:szCs w:val="22"/>
        </w:rPr>
        <w:t>Provider</w:t>
      </w:r>
      <w:r w:rsidRPr="0072090A">
        <w:rPr>
          <w:rFonts w:cs="Arial"/>
          <w:sz w:val="22"/>
          <w:szCs w:val="22"/>
        </w:rPr>
        <w:t xml:space="preserve"> shall be responsible for the Claim Losses equally. </w:t>
      </w:r>
    </w:p>
    <w:p w14:paraId="3B82862C" w14:textId="52D11D83" w:rsidR="0072090A" w:rsidRPr="0072090A" w:rsidRDefault="0072090A">
      <w:pPr>
        <w:pStyle w:val="AppendixText2"/>
        <w:rPr>
          <w:rFonts w:cs="Arial"/>
          <w:sz w:val="22"/>
          <w:szCs w:val="22"/>
        </w:rPr>
      </w:pPr>
      <w:bookmarkStart w:id="3910" w:name="_Ref78376848"/>
      <w:r w:rsidRPr="0072090A">
        <w:rPr>
          <w:rFonts w:cs="Arial"/>
          <w:sz w:val="22"/>
          <w:szCs w:val="22"/>
        </w:rPr>
        <w:t xml:space="preserve">Nothing in </w:t>
      </w:r>
      <w:bookmarkStart w:id="3911" w:name="_9kMHG5YVtCIC9AAGJVGjn33p0G7tNYOC8JEHYUO"/>
      <w:r w:rsidR="00840A0F">
        <w:rPr>
          <w:rFonts w:cs="Arial"/>
          <w:sz w:val="22"/>
          <w:szCs w:val="22"/>
        </w:rPr>
        <w:t>p</w:t>
      </w:r>
      <w:r w:rsidRPr="0072090A">
        <w:rPr>
          <w:rFonts w:cs="Arial"/>
          <w:sz w:val="22"/>
          <w:szCs w:val="22"/>
        </w:rPr>
        <w:t xml:space="preserve">aragraphs </w:t>
      </w:r>
      <w:r w:rsidRPr="0072090A">
        <w:rPr>
          <w:rFonts w:cs="Arial"/>
          <w:sz w:val="22"/>
          <w:szCs w:val="22"/>
        </w:rPr>
        <w:fldChar w:fldCharType="begin"/>
      </w:r>
      <w:r w:rsidRPr="0072090A">
        <w:rPr>
          <w:rFonts w:cs="Arial"/>
          <w:sz w:val="22"/>
          <w:szCs w:val="22"/>
        </w:rPr>
        <w:instrText xml:space="preserve"> REF _Ref_ContractCompanion_9kb9Ut33B \n \h \t \* MERGEFORMAT </w:instrText>
      </w:r>
      <w:r w:rsidRPr="0072090A">
        <w:rPr>
          <w:rFonts w:cs="Arial"/>
          <w:sz w:val="22"/>
          <w:szCs w:val="22"/>
        </w:rPr>
      </w:r>
      <w:r w:rsidRPr="0072090A">
        <w:rPr>
          <w:rFonts w:cs="Arial"/>
          <w:sz w:val="22"/>
          <w:szCs w:val="22"/>
        </w:rPr>
        <w:fldChar w:fldCharType="separate"/>
      </w:r>
      <w:r w:rsidR="00C87D85">
        <w:rPr>
          <w:rFonts w:cs="Arial"/>
          <w:sz w:val="22"/>
          <w:szCs w:val="22"/>
        </w:rPr>
        <w:t>7.2</w:t>
      </w:r>
      <w:r w:rsidRPr="0072090A">
        <w:rPr>
          <w:rFonts w:cs="Arial"/>
          <w:sz w:val="22"/>
          <w:szCs w:val="22"/>
        </w:rPr>
        <w:fldChar w:fldCharType="end"/>
      </w:r>
      <w:bookmarkEnd w:id="3911"/>
      <w:r w:rsidRPr="0072090A">
        <w:rPr>
          <w:rFonts w:cs="Arial"/>
          <w:sz w:val="22"/>
          <w:szCs w:val="22"/>
        </w:rPr>
        <w:t>-</w:t>
      </w:r>
      <w:bookmarkStart w:id="3912" w:name="_9kMHG5YVtCIC99GNKWO4wyAxl1E1oxMLCKPCDC9"/>
      <w:r w:rsidRPr="0072090A">
        <w:rPr>
          <w:rFonts w:cs="Arial"/>
          <w:sz w:val="22"/>
          <w:szCs w:val="22"/>
        </w:rPr>
        <w:fldChar w:fldCharType="begin"/>
      </w:r>
      <w:r w:rsidRPr="0072090A">
        <w:rPr>
          <w:rFonts w:cs="Arial"/>
          <w:sz w:val="22"/>
          <w:szCs w:val="22"/>
        </w:rPr>
        <w:instrText xml:space="preserve"> REF _Ref_ContractCompanion_9kb9Ut338 \n \h \t \* MERGEFORMAT </w:instrText>
      </w:r>
      <w:r w:rsidRPr="0072090A">
        <w:rPr>
          <w:rFonts w:cs="Arial"/>
          <w:sz w:val="22"/>
          <w:szCs w:val="22"/>
        </w:rPr>
      </w:r>
      <w:r w:rsidRPr="0072090A">
        <w:rPr>
          <w:rFonts w:cs="Arial"/>
          <w:sz w:val="22"/>
          <w:szCs w:val="22"/>
        </w:rPr>
        <w:fldChar w:fldCharType="separate"/>
      </w:r>
      <w:r w:rsidR="00C87D85">
        <w:rPr>
          <w:rFonts w:cs="Arial"/>
          <w:sz w:val="22"/>
          <w:szCs w:val="22"/>
        </w:rPr>
        <w:t>7.3</w:t>
      </w:r>
      <w:r w:rsidRPr="0072090A">
        <w:rPr>
          <w:rFonts w:cs="Arial"/>
          <w:sz w:val="22"/>
          <w:szCs w:val="22"/>
        </w:rPr>
        <w:fldChar w:fldCharType="end"/>
      </w:r>
      <w:bookmarkEnd w:id="3912"/>
      <w:r w:rsidRPr="0072090A">
        <w:rPr>
          <w:rFonts w:cs="Arial"/>
          <w:sz w:val="22"/>
          <w:szCs w:val="22"/>
        </w:rPr>
        <w:t xml:space="preserve"> shall preclude </w:t>
      </w:r>
      <w:r w:rsidR="00010038">
        <w:rPr>
          <w:rFonts w:cs="Arial"/>
          <w:sz w:val="22"/>
          <w:szCs w:val="22"/>
        </w:rPr>
        <w:t>HSE</w:t>
      </w:r>
      <w:r w:rsidRPr="0072090A">
        <w:rPr>
          <w:rFonts w:cs="Arial"/>
          <w:sz w:val="22"/>
          <w:szCs w:val="22"/>
        </w:rPr>
        <w:t xml:space="preserve"> and the </w:t>
      </w:r>
      <w:r w:rsidR="00010038">
        <w:rPr>
          <w:rFonts w:cs="Arial"/>
          <w:sz w:val="22"/>
          <w:szCs w:val="22"/>
        </w:rPr>
        <w:t>Provider</w:t>
      </w:r>
      <w:r w:rsidRPr="0072090A">
        <w:rPr>
          <w:rFonts w:cs="Arial"/>
          <w:sz w:val="22"/>
          <w:szCs w:val="22"/>
        </w:rPr>
        <w:t xml:space="preserve"> reaching any other agreement, including by way of compromise with a third party complainant or claimant, as to the apportionment of financial responsibility for any Claim Losses as a result of a Data </w:t>
      </w:r>
      <w:r w:rsidR="00990608">
        <w:rPr>
          <w:rFonts w:cs="Arial"/>
          <w:sz w:val="22"/>
          <w:szCs w:val="22"/>
        </w:rPr>
        <w:t>Loss Event</w:t>
      </w:r>
      <w:r w:rsidRPr="0072090A">
        <w:rPr>
          <w:rFonts w:cs="Arial"/>
          <w:sz w:val="22"/>
          <w:szCs w:val="22"/>
        </w:rPr>
        <w:t xml:space="preserve">, having regard to all the circumstances of the breach and the legal and financial obligations of </w:t>
      </w:r>
      <w:r w:rsidR="00010038">
        <w:rPr>
          <w:rFonts w:cs="Arial"/>
          <w:sz w:val="22"/>
          <w:szCs w:val="22"/>
        </w:rPr>
        <w:t>HSE</w:t>
      </w:r>
      <w:r w:rsidRPr="0072090A">
        <w:rPr>
          <w:rFonts w:cs="Arial"/>
          <w:sz w:val="22"/>
          <w:szCs w:val="22"/>
        </w:rPr>
        <w:t>.</w:t>
      </w:r>
      <w:bookmarkEnd w:id="3910"/>
    </w:p>
    <w:p w14:paraId="196224D9" w14:textId="77777777" w:rsidR="0072090A" w:rsidRPr="0072090A" w:rsidRDefault="0072090A">
      <w:pPr>
        <w:pStyle w:val="AppendixText1"/>
        <w:rPr>
          <w:rFonts w:cs="Arial"/>
          <w:sz w:val="22"/>
          <w:szCs w:val="22"/>
        </w:rPr>
      </w:pPr>
      <w:r w:rsidRPr="0072090A">
        <w:rPr>
          <w:rFonts w:cs="Arial"/>
          <w:sz w:val="22"/>
          <w:szCs w:val="22"/>
        </w:rPr>
        <w:t>Termination</w:t>
      </w:r>
    </w:p>
    <w:p w14:paraId="652C4AA8" w14:textId="058DD336" w:rsidR="0072090A" w:rsidRPr="0072090A" w:rsidRDefault="0072090A">
      <w:pPr>
        <w:pStyle w:val="AppendixText2"/>
        <w:rPr>
          <w:rFonts w:cs="Arial"/>
          <w:sz w:val="22"/>
          <w:szCs w:val="22"/>
        </w:rPr>
      </w:pPr>
      <w:r w:rsidRPr="0072090A">
        <w:rPr>
          <w:rFonts w:cs="Arial"/>
          <w:sz w:val="22"/>
          <w:szCs w:val="22"/>
        </w:rPr>
        <w:t xml:space="preserve">If the </w:t>
      </w:r>
      <w:r w:rsidR="00010038">
        <w:rPr>
          <w:rFonts w:cs="Arial"/>
          <w:sz w:val="22"/>
          <w:szCs w:val="22"/>
        </w:rPr>
        <w:t>Provider</w:t>
      </w:r>
      <w:r w:rsidRPr="0072090A">
        <w:rPr>
          <w:rFonts w:cs="Arial"/>
          <w:sz w:val="22"/>
          <w:szCs w:val="22"/>
        </w:rPr>
        <w:t xml:space="preserve"> is in material Default under any of its obligations under this Annex </w:t>
      </w:r>
      <w:r w:rsidRPr="0072090A">
        <w:rPr>
          <w:rFonts w:cs="Arial"/>
          <w:sz w:val="22"/>
          <w:szCs w:val="22"/>
        </w:rPr>
        <w:fldChar w:fldCharType="begin"/>
      </w:r>
      <w:r w:rsidRPr="0072090A">
        <w:rPr>
          <w:rFonts w:cs="Arial"/>
          <w:sz w:val="22"/>
          <w:szCs w:val="22"/>
        </w:rPr>
        <w:instrText xml:space="preserve"> REF ANNEX1_SCHEDULE31 \h  \* MERGEFORMAT </w:instrText>
      </w:r>
      <w:r w:rsidRPr="0072090A">
        <w:rPr>
          <w:rFonts w:cs="Arial"/>
          <w:sz w:val="22"/>
          <w:szCs w:val="22"/>
        </w:rPr>
      </w:r>
      <w:r w:rsidRPr="0072090A">
        <w:rPr>
          <w:rFonts w:cs="Arial"/>
          <w:sz w:val="22"/>
          <w:szCs w:val="22"/>
        </w:rPr>
        <w:fldChar w:fldCharType="separate"/>
      </w:r>
      <w:r w:rsidR="00C87D85" w:rsidRPr="0072090A">
        <w:rPr>
          <w:rFonts w:cs="Arial"/>
          <w:sz w:val="22"/>
          <w:szCs w:val="22"/>
        </w:rPr>
        <w:t>1</w:t>
      </w:r>
      <w:r w:rsidRPr="0072090A">
        <w:rPr>
          <w:rFonts w:cs="Arial"/>
          <w:sz w:val="22"/>
          <w:szCs w:val="22"/>
        </w:rPr>
        <w:fldChar w:fldCharType="end"/>
      </w:r>
      <w:r w:rsidRPr="0072090A">
        <w:rPr>
          <w:rFonts w:cs="Arial"/>
          <w:sz w:val="22"/>
          <w:szCs w:val="22"/>
        </w:rPr>
        <w:t xml:space="preserve"> (</w:t>
      </w:r>
      <w:r w:rsidRPr="0072090A">
        <w:rPr>
          <w:rFonts w:cs="Arial"/>
          <w:i/>
          <w:iCs/>
          <w:sz w:val="22"/>
          <w:szCs w:val="22"/>
        </w:rPr>
        <w:fldChar w:fldCharType="begin"/>
      </w:r>
      <w:r w:rsidRPr="0072090A">
        <w:rPr>
          <w:rFonts w:cs="Arial"/>
          <w:i/>
          <w:iCs/>
          <w:sz w:val="22"/>
          <w:szCs w:val="22"/>
        </w:rPr>
        <w:instrText xml:space="preserve"> REF ANNEX1HEADING_SCHEDULE31 \h  \* MERGEFORMAT </w:instrText>
      </w:r>
      <w:r w:rsidRPr="0072090A">
        <w:rPr>
          <w:rFonts w:cs="Arial"/>
          <w:i/>
          <w:iCs/>
          <w:sz w:val="22"/>
          <w:szCs w:val="22"/>
        </w:rPr>
      </w:r>
      <w:r w:rsidRPr="0072090A">
        <w:rPr>
          <w:rFonts w:cs="Arial"/>
          <w:i/>
          <w:iCs/>
          <w:sz w:val="22"/>
          <w:szCs w:val="22"/>
        </w:rPr>
        <w:fldChar w:fldCharType="separate"/>
      </w:r>
      <w:r w:rsidR="00C87D85" w:rsidRPr="00C87D85">
        <w:rPr>
          <w:rFonts w:cs="Arial"/>
          <w:i/>
          <w:iCs/>
          <w:sz w:val="22"/>
          <w:szCs w:val="22"/>
        </w:rPr>
        <w:t>Joint Controller Agreement</w:t>
      </w:r>
      <w:r w:rsidRPr="0072090A">
        <w:rPr>
          <w:rFonts w:cs="Arial"/>
          <w:i/>
          <w:iCs/>
          <w:sz w:val="22"/>
          <w:szCs w:val="22"/>
        </w:rPr>
        <w:fldChar w:fldCharType="end"/>
      </w:r>
      <w:r w:rsidRPr="0072090A">
        <w:rPr>
          <w:rFonts w:cs="Arial"/>
          <w:sz w:val="22"/>
          <w:szCs w:val="22"/>
        </w:rPr>
        <w:t xml:space="preserve">), </w:t>
      </w:r>
      <w:r w:rsidR="006047D5">
        <w:rPr>
          <w:rFonts w:cs="Arial"/>
          <w:sz w:val="22"/>
          <w:szCs w:val="22"/>
        </w:rPr>
        <w:t>HSE</w:t>
      </w:r>
      <w:r w:rsidRPr="0072090A">
        <w:rPr>
          <w:rFonts w:cs="Arial"/>
          <w:sz w:val="22"/>
          <w:szCs w:val="22"/>
        </w:rPr>
        <w:t xml:space="preserve"> shall be entitled to terminate </w:t>
      </w:r>
      <w:r w:rsidR="00010038">
        <w:rPr>
          <w:rFonts w:cs="Arial"/>
          <w:sz w:val="22"/>
          <w:szCs w:val="22"/>
        </w:rPr>
        <w:t>this Agreement</w:t>
      </w:r>
      <w:r w:rsidRPr="0072090A" w:rsidDel="00562BBE">
        <w:rPr>
          <w:rFonts w:cs="Arial"/>
          <w:sz w:val="22"/>
          <w:szCs w:val="22"/>
        </w:rPr>
        <w:t xml:space="preserve"> </w:t>
      </w:r>
      <w:r w:rsidRPr="0072090A">
        <w:rPr>
          <w:rFonts w:cs="Arial"/>
          <w:sz w:val="22"/>
          <w:szCs w:val="22"/>
        </w:rPr>
        <w:t xml:space="preserve">by issuing a </w:t>
      </w:r>
      <w:bookmarkStart w:id="3913" w:name="_9kMHzG6ZWu5DFAFMkPu3vxqx628ieHCwt"/>
      <w:r w:rsidRPr="0072090A">
        <w:rPr>
          <w:rFonts w:cs="Arial"/>
          <w:sz w:val="22"/>
          <w:szCs w:val="22"/>
        </w:rPr>
        <w:t>Termination Notice</w:t>
      </w:r>
      <w:bookmarkEnd w:id="3913"/>
      <w:r w:rsidRPr="0072090A">
        <w:rPr>
          <w:rFonts w:cs="Arial"/>
          <w:sz w:val="22"/>
          <w:szCs w:val="22"/>
        </w:rPr>
        <w:t xml:space="preserve"> to the </w:t>
      </w:r>
      <w:r w:rsidR="00010038">
        <w:rPr>
          <w:rFonts w:cs="Arial"/>
          <w:sz w:val="22"/>
          <w:szCs w:val="22"/>
        </w:rPr>
        <w:t>Provider</w:t>
      </w:r>
      <w:r w:rsidRPr="0072090A">
        <w:rPr>
          <w:rFonts w:cs="Arial"/>
          <w:sz w:val="22"/>
          <w:szCs w:val="22"/>
        </w:rPr>
        <w:t xml:space="preserve"> in accordance with </w:t>
      </w:r>
      <w:bookmarkStart w:id="3914" w:name="_9kMJI5YVt4EE8FELEjtCx9M"/>
      <w:r w:rsidR="006047D5">
        <w:rPr>
          <w:rFonts w:cs="Arial"/>
          <w:sz w:val="22"/>
          <w:szCs w:val="22"/>
        </w:rPr>
        <w:t>Clause 4</w:t>
      </w:r>
      <w:r w:rsidRPr="0072090A">
        <w:rPr>
          <w:rFonts w:cs="Arial"/>
          <w:sz w:val="22"/>
          <w:szCs w:val="22"/>
        </w:rPr>
        <w:t>1</w:t>
      </w:r>
      <w:bookmarkEnd w:id="3914"/>
      <w:r w:rsidR="00A3089C">
        <w:rPr>
          <w:rFonts w:cs="Arial"/>
          <w:sz w:val="22"/>
          <w:szCs w:val="22"/>
        </w:rPr>
        <w:t>.1.1(d)</w:t>
      </w:r>
      <w:r w:rsidRPr="0072090A">
        <w:rPr>
          <w:rFonts w:cs="Arial"/>
          <w:sz w:val="22"/>
          <w:szCs w:val="22"/>
        </w:rPr>
        <w:t xml:space="preserve"> (</w:t>
      </w:r>
      <w:r w:rsidRPr="0072090A">
        <w:rPr>
          <w:rFonts w:cs="Arial"/>
          <w:i/>
          <w:sz w:val="22"/>
          <w:szCs w:val="22"/>
        </w:rPr>
        <w:t>Termination</w:t>
      </w:r>
      <w:r w:rsidR="00A3089C">
        <w:rPr>
          <w:rFonts w:cs="Arial"/>
          <w:i/>
          <w:sz w:val="22"/>
          <w:szCs w:val="22"/>
        </w:rPr>
        <w:t xml:space="preserve"> for Material Breach</w:t>
      </w:r>
      <w:r w:rsidRPr="0072090A">
        <w:rPr>
          <w:rFonts w:cs="Arial"/>
          <w:sz w:val="22"/>
          <w:szCs w:val="22"/>
        </w:rPr>
        <w:t>).</w:t>
      </w:r>
    </w:p>
    <w:p w14:paraId="6F390737" w14:textId="77777777" w:rsidR="0072090A" w:rsidRPr="0072090A" w:rsidRDefault="0072090A">
      <w:pPr>
        <w:pStyle w:val="AppendixText1"/>
        <w:rPr>
          <w:rFonts w:cs="Arial"/>
          <w:sz w:val="22"/>
          <w:szCs w:val="22"/>
        </w:rPr>
      </w:pPr>
      <w:r w:rsidRPr="0072090A">
        <w:rPr>
          <w:rFonts w:cs="Arial"/>
          <w:sz w:val="22"/>
          <w:szCs w:val="22"/>
        </w:rPr>
        <w:t>Sub-Processing</w:t>
      </w:r>
    </w:p>
    <w:p w14:paraId="79D6B04E" w14:textId="77777777" w:rsidR="0072090A" w:rsidRPr="0072090A" w:rsidRDefault="0072090A">
      <w:pPr>
        <w:pStyle w:val="AppendixText2"/>
        <w:rPr>
          <w:rFonts w:cs="Arial"/>
          <w:sz w:val="22"/>
          <w:szCs w:val="22"/>
        </w:rPr>
      </w:pPr>
      <w:r w:rsidRPr="0072090A">
        <w:rPr>
          <w:rFonts w:cs="Arial"/>
          <w:sz w:val="22"/>
          <w:szCs w:val="22"/>
        </w:rPr>
        <w:t>In respect of any Processing of Personal performed by a third party on behalf of a Party, that Party shall:</w:t>
      </w:r>
    </w:p>
    <w:p w14:paraId="3C368CC2" w14:textId="2204E977" w:rsidR="0072090A" w:rsidRPr="0072090A" w:rsidRDefault="0072090A">
      <w:pPr>
        <w:pStyle w:val="AppendixText4"/>
        <w:rPr>
          <w:rFonts w:cs="Arial"/>
          <w:sz w:val="22"/>
          <w:szCs w:val="22"/>
        </w:rPr>
      </w:pPr>
      <w:r w:rsidRPr="0072090A">
        <w:rPr>
          <w:rFonts w:cs="Arial"/>
          <w:sz w:val="22"/>
          <w:szCs w:val="22"/>
        </w:rPr>
        <w:t xml:space="preserve">carry out adequate due diligence on such third party to ensure that it is capable of providing the level of protection for the Personal Data as is required by </w:t>
      </w:r>
      <w:r w:rsidR="00010038">
        <w:rPr>
          <w:rFonts w:cs="Arial"/>
          <w:sz w:val="22"/>
          <w:szCs w:val="22"/>
        </w:rPr>
        <w:t>this Agreement</w:t>
      </w:r>
      <w:r w:rsidRPr="0072090A">
        <w:rPr>
          <w:rFonts w:cs="Arial"/>
          <w:sz w:val="22"/>
          <w:szCs w:val="22"/>
        </w:rPr>
        <w:t>, and provide evidence of such due diligence to the other Party where reasonably requested; and</w:t>
      </w:r>
    </w:p>
    <w:p w14:paraId="13C2C206" w14:textId="77777777" w:rsidR="0072090A" w:rsidRPr="0072090A" w:rsidRDefault="0072090A">
      <w:pPr>
        <w:pStyle w:val="AppendixText4"/>
        <w:rPr>
          <w:rFonts w:cs="Arial"/>
          <w:sz w:val="22"/>
          <w:szCs w:val="22"/>
        </w:rPr>
      </w:pPr>
      <w:r w:rsidRPr="0072090A">
        <w:rPr>
          <w:rFonts w:cs="Arial"/>
          <w:sz w:val="22"/>
          <w:szCs w:val="22"/>
        </w:rPr>
        <w:t>ensure that a suitable agreement is in place with the third party as required under applicable Data Protection Legislation.</w:t>
      </w:r>
    </w:p>
    <w:p w14:paraId="319A27F6" w14:textId="77777777" w:rsidR="0072090A" w:rsidRPr="0072090A" w:rsidRDefault="0072090A">
      <w:pPr>
        <w:pStyle w:val="AppendixText1"/>
        <w:rPr>
          <w:rFonts w:cs="Arial"/>
          <w:sz w:val="22"/>
          <w:szCs w:val="22"/>
        </w:rPr>
      </w:pPr>
      <w:r w:rsidRPr="0072090A">
        <w:rPr>
          <w:rFonts w:cs="Arial"/>
          <w:sz w:val="22"/>
          <w:szCs w:val="22"/>
        </w:rPr>
        <w:t>Data Retention</w:t>
      </w:r>
    </w:p>
    <w:p w14:paraId="4001C526" w14:textId="0E2DA2E5" w:rsidR="008E344E" w:rsidRDefault="0072090A" w:rsidP="0072090A">
      <w:pPr>
        <w:ind w:left="720"/>
        <w:rPr>
          <w:rFonts w:cs="Arial"/>
          <w:szCs w:val="22"/>
        </w:rPr>
      </w:pPr>
      <w:r w:rsidRPr="0072090A">
        <w:rPr>
          <w:rFonts w:cs="Arial"/>
          <w:szCs w:val="22"/>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a Party for statutory compliance purposes or as otherwise required by </w:t>
      </w:r>
      <w:r w:rsidR="00010038">
        <w:rPr>
          <w:rFonts w:cs="Arial"/>
          <w:szCs w:val="22"/>
        </w:rPr>
        <w:t>this Agreement</w:t>
      </w:r>
      <w:r w:rsidRPr="0072090A">
        <w:rPr>
          <w:rFonts w:cs="Arial"/>
          <w:szCs w:val="22"/>
        </w:rPr>
        <w:t>), and taking all further actions as may be necessary to ensure its compliance with Data Protection Legislation and its privacy policy.</w:t>
      </w:r>
    </w:p>
    <w:p w14:paraId="4466A499" w14:textId="2D2113AC" w:rsidR="0072090A" w:rsidRDefault="0072090A" w:rsidP="0072090A">
      <w:pPr>
        <w:ind w:left="720"/>
        <w:rPr>
          <w:rFonts w:cs="Arial"/>
          <w:szCs w:val="22"/>
        </w:rPr>
      </w:pPr>
    </w:p>
    <w:p w14:paraId="68FC671A" w14:textId="30E8A853" w:rsidR="0072090A" w:rsidRDefault="0072090A">
      <w:pPr>
        <w:spacing w:before="0" w:after="0"/>
        <w:rPr>
          <w:rFonts w:cs="Arial"/>
          <w:szCs w:val="22"/>
        </w:rPr>
      </w:pPr>
      <w:r>
        <w:rPr>
          <w:rFonts w:cs="Arial"/>
          <w:szCs w:val="22"/>
        </w:rPr>
        <w:br w:type="page"/>
      </w:r>
    </w:p>
    <w:p w14:paraId="5E1FBD4B" w14:textId="06D23300" w:rsidR="0072090A" w:rsidRDefault="0072090A" w:rsidP="0072090A">
      <w:pPr>
        <w:pStyle w:val="Heading2"/>
        <w:jc w:val="center"/>
        <w:rPr>
          <w:rFonts w:cs="Arial"/>
          <w:szCs w:val="24"/>
        </w:rPr>
      </w:pPr>
      <w:bookmarkStart w:id="3915" w:name="_Toc132267975"/>
      <w:bookmarkStart w:id="3916" w:name="_Toc132268274"/>
      <w:bookmarkStart w:id="3917" w:name="_Toc132268580"/>
      <w:bookmarkStart w:id="3918" w:name="_Toc136198530"/>
      <w:bookmarkStart w:id="3919" w:name="_Toc136198805"/>
      <w:bookmarkStart w:id="3920" w:name="_Toc136199086"/>
      <w:r>
        <w:rPr>
          <w:szCs w:val="22"/>
        </w:rPr>
        <w:lastRenderedPageBreak/>
        <w:t>ANNEX 2:</w:t>
      </w:r>
      <w:r>
        <w:rPr>
          <w:rFonts w:cs="Arial"/>
          <w:szCs w:val="24"/>
        </w:rPr>
        <w:t xml:space="preserve"> </w:t>
      </w:r>
      <w:bookmarkEnd w:id="3915"/>
      <w:bookmarkEnd w:id="3916"/>
      <w:bookmarkEnd w:id="3917"/>
      <w:bookmarkEnd w:id="3918"/>
      <w:bookmarkEnd w:id="3919"/>
      <w:bookmarkEnd w:id="3920"/>
      <w:r w:rsidR="00171FDC">
        <w:rPr>
          <w:rFonts w:cs="Arial"/>
          <w:szCs w:val="24"/>
        </w:rPr>
        <w:t>NOT USED</w:t>
      </w:r>
    </w:p>
    <w:p w14:paraId="78673798" w14:textId="40A4565B" w:rsidR="0072090A" w:rsidRDefault="0072090A" w:rsidP="0072090A">
      <w:pPr>
        <w:pStyle w:val="Text"/>
        <w:numPr>
          <w:ilvl w:val="0"/>
          <w:numId w:val="0"/>
        </w:numPr>
        <w:ind w:left="360"/>
      </w:pPr>
    </w:p>
    <w:p w14:paraId="15248F31" w14:textId="7E68F606" w:rsidR="0072090A" w:rsidRDefault="0072090A" w:rsidP="0072090A"/>
    <w:p w14:paraId="1373E1B8" w14:textId="7E156874" w:rsidR="0072090A" w:rsidRDefault="0072090A" w:rsidP="0072090A">
      <w:pPr>
        <w:jc w:val="center"/>
        <w:rPr>
          <w:szCs w:val="22"/>
        </w:rPr>
      </w:pPr>
    </w:p>
    <w:p w14:paraId="165527A6" w14:textId="77D51A13" w:rsidR="0072090A" w:rsidRDefault="0072090A" w:rsidP="0072090A">
      <w:pPr>
        <w:jc w:val="center"/>
        <w:rPr>
          <w:szCs w:val="22"/>
        </w:rPr>
      </w:pPr>
    </w:p>
    <w:p w14:paraId="7DE1AB23" w14:textId="256E3585" w:rsidR="0072090A" w:rsidRDefault="0072090A" w:rsidP="0072090A">
      <w:pPr>
        <w:pStyle w:val="Heading2"/>
        <w:jc w:val="center"/>
        <w:rPr>
          <w:rFonts w:cs="Arial"/>
          <w:szCs w:val="24"/>
        </w:rPr>
      </w:pPr>
      <w:bookmarkStart w:id="3921" w:name="_Ref99088417"/>
      <w:bookmarkStart w:id="3922" w:name="_Toc132267976"/>
      <w:bookmarkStart w:id="3923" w:name="_Toc132268275"/>
      <w:bookmarkStart w:id="3924" w:name="_Toc132268581"/>
      <w:bookmarkStart w:id="3925" w:name="_Toc136198531"/>
      <w:bookmarkStart w:id="3926" w:name="_Toc136198806"/>
      <w:bookmarkStart w:id="3927" w:name="_Toc136199087"/>
      <w:r w:rsidRPr="00016234">
        <w:rPr>
          <w:rFonts w:cs="Arial"/>
          <w:szCs w:val="24"/>
        </w:rPr>
        <w:t xml:space="preserve">ANNEX </w:t>
      </w:r>
      <w:bookmarkStart w:id="3928" w:name="ANNEX3HEADING_SCHEDULE31"/>
      <w:r w:rsidRPr="00016234">
        <w:rPr>
          <w:rFonts w:cs="Arial"/>
          <w:szCs w:val="24"/>
        </w:rPr>
        <w:t>3</w:t>
      </w:r>
      <w:bookmarkEnd w:id="3928"/>
      <w:r w:rsidRPr="00016234">
        <w:rPr>
          <w:rFonts w:cs="Arial"/>
          <w:szCs w:val="24"/>
        </w:rPr>
        <w:t xml:space="preserve">: </w:t>
      </w:r>
      <w:r w:rsidR="00171FDC">
        <w:rPr>
          <w:rFonts w:cs="Arial"/>
          <w:szCs w:val="24"/>
        </w:rPr>
        <w:t>NOT USED</w:t>
      </w:r>
      <w:bookmarkEnd w:id="3921"/>
      <w:bookmarkEnd w:id="3922"/>
      <w:bookmarkEnd w:id="3923"/>
      <w:bookmarkEnd w:id="3924"/>
      <w:bookmarkEnd w:id="3925"/>
      <w:bookmarkEnd w:id="3926"/>
      <w:bookmarkEnd w:id="3927"/>
    </w:p>
    <w:p w14:paraId="2220CCE2" w14:textId="30E0AC10" w:rsidR="0072090A" w:rsidRDefault="0072090A" w:rsidP="0072090A">
      <w:pPr>
        <w:pStyle w:val="Text"/>
        <w:numPr>
          <w:ilvl w:val="0"/>
          <w:numId w:val="0"/>
        </w:numPr>
      </w:pPr>
    </w:p>
    <w:p w14:paraId="3635A1CD" w14:textId="17E01DCD" w:rsidR="0072090A" w:rsidRPr="0072090A" w:rsidRDefault="0072090A" w:rsidP="0072090A"/>
    <w:p w14:paraId="45564A81" w14:textId="77777777" w:rsidR="0072090A" w:rsidRDefault="0072090A" w:rsidP="0072090A">
      <w:pPr>
        <w:jc w:val="center"/>
        <w:rPr>
          <w:szCs w:val="22"/>
        </w:rPr>
      </w:pPr>
    </w:p>
    <w:p w14:paraId="1E34BC2C" w14:textId="77777777" w:rsidR="00450715" w:rsidRDefault="00450715">
      <w:pPr>
        <w:spacing w:before="0" w:after="0"/>
        <w:rPr>
          <w:szCs w:val="22"/>
        </w:rPr>
        <w:sectPr w:rsidR="00450715" w:rsidSect="00D64792">
          <w:headerReference w:type="default" r:id="rId76"/>
          <w:footerReference w:type="default" r:id="rId77"/>
          <w:pgSz w:w="11900" w:h="16840"/>
          <w:pgMar w:top="1440" w:right="1440" w:bottom="1440" w:left="1440" w:header="720" w:footer="170" w:gutter="0"/>
          <w:cols w:space="720"/>
          <w:docGrid w:linePitch="360"/>
        </w:sectPr>
      </w:pPr>
    </w:p>
    <w:p w14:paraId="3920D08F" w14:textId="79880649" w:rsidR="004A0DFF" w:rsidRPr="001A1836" w:rsidRDefault="00010038" w:rsidP="004A0DFF">
      <w:pPr>
        <w:pStyle w:val="GSRL1Scheduleheader"/>
      </w:pPr>
      <w:bookmarkStart w:id="3929" w:name="_Toc132268276"/>
      <w:bookmarkStart w:id="3930" w:name="_Toc132268582"/>
      <w:bookmarkStart w:id="3931" w:name="_Toc136198807"/>
      <w:bookmarkStart w:id="3932" w:name="_Toc136199088"/>
      <w:bookmarkStart w:id="3933" w:name="_Toc188885271"/>
      <w:r>
        <w:lastRenderedPageBreak/>
        <w:t xml:space="preserve">SCHEDULE 25: </w:t>
      </w:r>
      <w:r w:rsidR="008A6963">
        <w:rPr>
          <w:caps w:val="0"/>
        </w:rPr>
        <w:t>Financial Distress</w:t>
      </w:r>
      <w:bookmarkEnd w:id="3929"/>
      <w:bookmarkEnd w:id="3930"/>
      <w:bookmarkEnd w:id="3931"/>
      <w:bookmarkEnd w:id="3932"/>
      <w:bookmarkEnd w:id="3933"/>
    </w:p>
    <w:p w14:paraId="3AEDC069" w14:textId="77777777" w:rsidR="004A0DFF" w:rsidRPr="001A1836" w:rsidRDefault="004A0DFF" w:rsidP="004A0DFF"/>
    <w:p w14:paraId="4DFB5A67" w14:textId="77777777" w:rsidR="004A0DFF" w:rsidRPr="001A1836" w:rsidRDefault="004A0DFF" w:rsidP="004A0DFF"/>
    <w:p w14:paraId="0DF8A120" w14:textId="77777777" w:rsidR="00157341" w:rsidRDefault="00157341">
      <w:pPr>
        <w:spacing w:before="0" w:after="0"/>
        <w:rPr>
          <w:rFonts w:cs="Arial"/>
          <w:b/>
          <w:kern w:val="0"/>
          <w:szCs w:val="22"/>
          <w:lang w:eastAsia="en-GB"/>
        </w:rPr>
      </w:pPr>
      <w:r>
        <w:rPr>
          <w:rFonts w:cs="Arial"/>
          <w:szCs w:val="22"/>
        </w:rPr>
        <w:br w:type="page"/>
      </w:r>
    </w:p>
    <w:p w14:paraId="42D2F6BB" w14:textId="51FA64C4" w:rsidR="00010038" w:rsidRPr="00BC5352" w:rsidRDefault="00010038" w:rsidP="004E2262">
      <w:pPr>
        <w:pStyle w:val="ScheduleText1"/>
        <w:numPr>
          <w:ilvl w:val="0"/>
          <w:numId w:val="95"/>
        </w:numPr>
        <w:rPr>
          <w:rFonts w:cs="Arial"/>
          <w:sz w:val="22"/>
          <w:szCs w:val="22"/>
        </w:rPr>
      </w:pPr>
      <w:r w:rsidRPr="00BC5352">
        <w:rPr>
          <w:rFonts w:cs="Arial"/>
          <w:sz w:val="22"/>
          <w:szCs w:val="22"/>
        </w:rPr>
        <w:lastRenderedPageBreak/>
        <w:t>DEFINITIONS</w:t>
      </w:r>
    </w:p>
    <w:p w14:paraId="32504963" w14:textId="00875BB1" w:rsidR="00010038" w:rsidRPr="00010038" w:rsidRDefault="00010038" w:rsidP="004E2262">
      <w:pPr>
        <w:pStyle w:val="ScheduleText2"/>
        <w:numPr>
          <w:ilvl w:val="1"/>
          <w:numId w:val="83"/>
        </w:numPr>
        <w:rPr>
          <w:rFonts w:cs="Arial"/>
          <w:sz w:val="22"/>
          <w:szCs w:val="22"/>
        </w:rPr>
      </w:pPr>
      <w:r w:rsidRPr="00010038">
        <w:rPr>
          <w:rFonts w:cs="Arial"/>
          <w:sz w:val="22"/>
          <w:szCs w:val="22"/>
        </w:rPr>
        <w:t>In this Schedule,</w:t>
      </w:r>
      <w:r>
        <w:rPr>
          <w:rFonts w:cs="Arial"/>
          <w:sz w:val="22"/>
          <w:szCs w:val="22"/>
        </w:rPr>
        <w:t xml:space="preserve"> </w:t>
      </w:r>
      <w:r w:rsidRPr="00010038">
        <w:rPr>
          <w:rFonts w:cs="Arial"/>
          <w:sz w:val="22"/>
          <w:szCs w:val="22"/>
        </w:rPr>
        <w:t>the following definitions shall apply</w:t>
      </w:r>
      <w:r>
        <w:rPr>
          <w:rFonts w:cs="Arial"/>
          <w:sz w:val="22"/>
          <w:szCs w:val="22"/>
        </w:rPr>
        <w:t xml:space="preserve"> (and supplement the definitions in Schedule 1 (Definitions))</w:t>
      </w:r>
      <w:r w:rsidRPr="00010038">
        <w:rPr>
          <w:rFonts w:cs="Arial"/>
          <w:sz w:val="22"/>
          <w:szCs w:val="22"/>
        </w:rPr>
        <w:t>:</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1"/>
        <w:gridCol w:w="5627"/>
      </w:tblGrid>
      <w:tr w:rsidR="00010038" w:rsidRPr="00010038" w14:paraId="3367AFE6" w14:textId="77777777" w:rsidTr="00D64792">
        <w:tc>
          <w:tcPr>
            <w:tcW w:w="2790" w:type="dxa"/>
          </w:tcPr>
          <w:p w14:paraId="4D1C328E" w14:textId="77777777" w:rsidR="00010038" w:rsidRPr="00010038" w:rsidRDefault="00010038" w:rsidP="00D64792">
            <w:pPr>
              <w:pStyle w:val="StdBodyTextBold"/>
              <w:rPr>
                <w:rFonts w:cs="Arial"/>
                <w:sz w:val="22"/>
                <w:szCs w:val="22"/>
              </w:rPr>
            </w:pPr>
            <w:r w:rsidRPr="00010038">
              <w:rPr>
                <w:rFonts w:cs="Arial"/>
                <w:sz w:val="22"/>
                <w:szCs w:val="22"/>
              </w:rPr>
              <w:t>“Applicable Financial Indicators”</w:t>
            </w:r>
          </w:p>
        </w:tc>
        <w:tc>
          <w:tcPr>
            <w:tcW w:w="5661" w:type="dxa"/>
          </w:tcPr>
          <w:p w14:paraId="4DCC5863" w14:textId="474725D5" w:rsidR="00010038" w:rsidRPr="00010038" w:rsidRDefault="00010038" w:rsidP="00D64792">
            <w:pPr>
              <w:pStyle w:val="StdBodyText"/>
              <w:rPr>
                <w:rFonts w:cs="Arial"/>
                <w:sz w:val="22"/>
                <w:szCs w:val="22"/>
              </w:rPr>
            </w:pPr>
            <w:r w:rsidRPr="00010038">
              <w:rPr>
                <w:rFonts w:cs="Arial"/>
                <w:sz w:val="22"/>
                <w:szCs w:val="22"/>
              </w:rPr>
              <w:t xml:space="preserve">means the financial indicators from </w:t>
            </w:r>
            <w:bookmarkStart w:id="3934" w:name="_9kMHG5YVt4DDEHHfGpqgyts0HP"/>
            <w:r>
              <w:rPr>
                <w:rFonts w:cs="Arial"/>
                <w:sz w:val="22"/>
                <w:szCs w:val="22"/>
              </w:rPr>
              <w:t>p</w:t>
            </w:r>
            <w:r w:rsidRPr="00010038">
              <w:rPr>
                <w:rFonts w:cs="Arial"/>
                <w:sz w:val="22"/>
                <w:szCs w:val="22"/>
              </w:rPr>
              <w:t xml:space="preserve">aragraph </w:t>
            </w:r>
            <w:r w:rsidRPr="00010038">
              <w:rPr>
                <w:rFonts w:cs="Arial"/>
                <w:sz w:val="22"/>
                <w:szCs w:val="22"/>
              </w:rPr>
              <w:fldChar w:fldCharType="begin"/>
            </w:r>
            <w:r w:rsidRPr="00010038">
              <w:rPr>
                <w:rFonts w:cs="Arial"/>
                <w:sz w:val="22"/>
                <w:szCs w:val="22"/>
              </w:rPr>
              <w:instrText xml:space="preserve"> REF _Ref_ContractCompanion_9kb9Ur8B5 \n \h \t \* MERGEFORMAT </w:instrText>
            </w:r>
            <w:r w:rsidRPr="00010038">
              <w:rPr>
                <w:rFonts w:cs="Arial"/>
                <w:sz w:val="22"/>
                <w:szCs w:val="22"/>
              </w:rPr>
            </w:r>
            <w:r w:rsidRPr="00010038">
              <w:rPr>
                <w:rFonts w:cs="Arial"/>
                <w:sz w:val="22"/>
                <w:szCs w:val="22"/>
              </w:rPr>
              <w:fldChar w:fldCharType="separate"/>
            </w:r>
            <w:r w:rsidR="00C87D85">
              <w:rPr>
                <w:rFonts w:cs="Arial"/>
                <w:sz w:val="22"/>
                <w:szCs w:val="22"/>
              </w:rPr>
              <w:t>5.1</w:t>
            </w:r>
            <w:r w:rsidRPr="00010038">
              <w:rPr>
                <w:rFonts w:cs="Arial"/>
                <w:sz w:val="22"/>
                <w:szCs w:val="22"/>
              </w:rPr>
              <w:fldChar w:fldCharType="end"/>
            </w:r>
            <w:bookmarkEnd w:id="3934"/>
            <w:r w:rsidRPr="00010038">
              <w:rPr>
                <w:rFonts w:cs="Arial"/>
                <w:sz w:val="22"/>
                <w:szCs w:val="22"/>
              </w:rPr>
              <w:t xml:space="preserve"> of this Schedule which are to apply to the Monitored Suppliers as set out in </w:t>
            </w:r>
            <w:bookmarkStart w:id="3935" w:name="_9kMHG5YVt4DDCMPgGpqgyts0HQ"/>
            <w:r>
              <w:rPr>
                <w:rFonts w:cs="Arial"/>
                <w:sz w:val="22"/>
                <w:szCs w:val="22"/>
              </w:rPr>
              <w:t>p</w:t>
            </w:r>
            <w:r w:rsidRPr="00010038">
              <w:rPr>
                <w:rFonts w:cs="Arial"/>
                <w:sz w:val="22"/>
                <w:szCs w:val="22"/>
              </w:rPr>
              <w:t xml:space="preserve">aragraph </w:t>
            </w:r>
            <w:r w:rsidRPr="00010038">
              <w:rPr>
                <w:rFonts w:cs="Arial"/>
                <w:sz w:val="22"/>
                <w:szCs w:val="22"/>
              </w:rPr>
              <w:fldChar w:fldCharType="begin"/>
            </w:r>
            <w:r w:rsidRPr="00010038">
              <w:rPr>
                <w:rFonts w:cs="Arial"/>
                <w:sz w:val="22"/>
                <w:szCs w:val="22"/>
              </w:rPr>
              <w:instrText xml:space="preserve"> REF _Ref_ContractCompanion_9kb9Ur6GH \n \h \t \* MERGEFORMAT </w:instrText>
            </w:r>
            <w:r w:rsidRPr="00010038">
              <w:rPr>
                <w:rFonts w:cs="Arial"/>
                <w:sz w:val="22"/>
                <w:szCs w:val="22"/>
              </w:rPr>
            </w:r>
            <w:r w:rsidRPr="00010038">
              <w:rPr>
                <w:rFonts w:cs="Arial"/>
                <w:sz w:val="22"/>
                <w:szCs w:val="22"/>
              </w:rPr>
              <w:fldChar w:fldCharType="separate"/>
            </w:r>
            <w:r w:rsidR="00C87D85">
              <w:rPr>
                <w:rFonts w:cs="Arial"/>
                <w:sz w:val="22"/>
                <w:szCs w:val="22"/>
              </w:rPr>
              <w:t>5.2</w:t>
            </w:r>
            <w:r w:rsidRPr="00010038">
              <w:rPr>
                <w:rFonts w:cs="Arial"/>
                <w:sz w:val="22"/>
                <w:szCs w:val="22"/>
              </w:rPr>
              <w:fldChar w:fldCharType="end"/>
            </w:r>
            <w:bookmarkEnd w:id="3935"/>
            <w:r w:rsidRPr="00010038">
              <w:rPr>
                <w:rFonts w:cs="Arial"/>
                <w:sz w:val="22"/>
                <w:szCs w:val="22"/>
              </w:rPr>
              <w:t xml:space="preserve"> of this Schedule;</w:t>
            </w:r>
          </w:p>
        </w:tc>
      </w:tr>
      <w:tr w:rsidR="00010038" w:rsidRPr="00010038" w14:paraId="2D484886" w14:textId="77777777" w:rsidTr="00D64792">
        <w:tc>
          <w:tcPr>
            <w:tcW w:w="2790" w:type="dxa"/>
          </w:tcPr>
          <w:p w14:paraId="2BD3CD8B" w14:textId="77777777" w:rsidR="00010038" w:rsidRPr="00010038" w:rsidRDefault="00010038" w:rsidP="00D64792">
            <w:pPr>
              <w:pStyle w:val="StdBodyTextBold"/>
              <w:rPr>
                <w:rFonts w:cs="Arial"/>
                <w:sz w:val="22"/>
                <w:szCs w:val="22"/>
              </w:rPr>
            </w:pPr>
            <w:r w:rsidRPr="00010038">
              <w:rPr>
                <w:rFonts w:cs="Arial"/>
                <w:sz w:val="22"/>
                <w:szCs w:val="22"/>
              </w:rPr>
              <w:t>“Board”</w:t>
            </w:r>
          </w:p>
        </w:tc>
        <w:tc>
          <w:tcPr>
            <w:tcW w:w="5661" w:type="dxa"/>
          </w:tcPr>
          <w:p w14:paraId="77810FCE" w14:textId="61FC7663" w:rsidR="00010038" w:rsidRPr="00010038" w:rsidRDefault="00010038" w:rsidP="00D64792">
            <w:pPr>
              <w:pStyle w:val="StdBodyText"/>
              <w:rPr>
                <w:rFonts w:cs="Arial"/>
                <w:sz w:val="22"/>
                <w:szCs w:val="22"/>
              </w:rPr>
            </w:pPr>
            <w:r w:rsidRPr="00010038">
              <w:rPr>
                <w:rFonts w:cs="Arial"/>
                <w:sz w:val="22"/>
                <w:szCs w:val="22"/>
              </w:rPr>
              <w:t>means the Provider’s board of directors;</w:t>
            </w:r>
          </w:p>
        </w:tc>
      </w:tr>
      <w:tr w:rsidR="00010038" w:rsidRPr="00010038" w14:paraId="2C10DC0C" w14:textId="77777777" w:rsidTr="00D64792">
        <w:tc>
          <w:tcPr>
            <w:tcW w:w="2790" w:type="dxa"/>
          </w:tcPr>
          <w:p w14:paraId="49130BBB" w14:textId="77777777" w:rsidR="00010038" w:rsidRPr="00010038" w:rsidRDefault="00010038" w:rsidP="00D64792">
            <w:pPr>
              <w:pStyle w:val="StdBodyTextBold"/>
              <w:rPr>
                <w:rFonts w:cs="Arial"/>
                <w:sz w:val="22"/>
                <w:szCs w:val="22"/>
              </w:rPr>
            </w:pPr>
            <w:r w:rsidRPr="00010038">
              <w:rPr>
                <w:rFonts w:cs="Arial"/>
                <w:sz w:val="22"/>
                <w:szCs w:val="22"/>
              </w:rPr>
              <w:t>“Board Confirmation”</w:t>
            </w:r>
          </w:p>
        </w:tc>
        <w:tc>
          <w:tcPr>
            <w:tcW w:w="5661" w:type="dxa"/>
          </w:tcPr>
          <w:p w14:paraId="7AB5D09C" w14:textId="3A44D72D" w:rsidR="00010038" w:rsidRPr="00010038" w:rsidRDefault="00010038" w:rsidP="00D64792">
            <w:pPr>
              <w:pStyle w:val="StdBodyText"/>
              <w:rPr>
                <w:rFonts w:cs="Arial"/>
                <w:sz w:val="22"/>
                <w:szCs w:val="22"/>
              </w:rPr>
            </w:pPr>
            <w:r w:rsidRPr="00010038">
              <w:rPr>
                <w:rFonts w:cs="Arial"/>
                <w:sz w:val="22"/>
                <w:szCs w:val="22"/>
              </w:rPr>
              <w:t xml:space="preserve">means written confirmation from the Board in accordance with </w:t>
            </w:r>
            <w:bookmarkStart w:id="3936" w:name="_9kMHG5YVtCIB9BBcLhkhy7sFRTk7LNB01DC5ERX"/>
            <w:r w:rsidR="00840A0F">
              <w:rPr>
                <w:rFonts w:cs="Arial"/>
                <w:sz w:val="22"/>
                <w:szCs w:val="22"/>
              </w:rPr>
              <w:t>p</w:t>
            </w:r>
            <w:r w:rsidRPr="00010038">
              <w:rPr>
                <w:rFonts w:cs="Arial"/>
                <w:sz w:val="22"/>
                <w:szCs w:val="22"/>
              </w:rPr>
              <w:t xml:space="preserve">aragraph </w:t>
            </w:r>
            <w:r w:rsidRPr="00010038">
              <w:rPr>
                <w:rFonts w:cs="Arial"/>
                <w:sz w:val="22"/>
                <w:szCs w:val="22"/>
              </w:rPr>
              <w:fldChar w:fldCharType="begin"/>
            </w:r>
            <w:r w:rsidRPr="00010038">
              <w:rPr>
                <w:rFonts w:cs="Arial"/>
                <w:sz w:val="22"/>
                <w:szCs w:val="22"/>
              </w:rPr>
              <w:instrText xml:space="preserve"> REF _Ref_ContractCompanion_9kb9Us34C \w \n \h \t \* MERGEFORMAT </w:instrText>
            </w:r>
            <w:r w:rsidRPr="00010038">
              <w:rPr>
                <w:rFonts w:cs="Arial"/>
                <w:sz w:val="22"/>
                <w:szCs w:val="22"/>
              </w:rPr>
            </w:r>
            <w:r w:rsidRPr="00010038">
              <w:rPr>
                <w:rFonts w:cs="Arial"/>
                <w:sz w:val="22"/>
                <w:szCs w:val="22"/>
              </w:rPr>
              <w:fldChar w:fldCharType="separate"/>
            </w:r>
            <w:r w:rsidR="00C87D85">
              <w:rPr>
                <w:rFonts w:cs="Arial"/>
                <w:sz w:val="22"/>
                <w:szCs w:val="22"/>
              </w:rPr>
              <w:t>8</w:t>
            </w:r>
            <w:r w:rsidRPr="00010038">
              <w:rPr>
                <w:rFonts w:cs="Arial"/>
                <w:sz w:val="22"/>
                <w:szCs w:val="22"/>
              </w:rPr>
              <w:fldChar w:fldCharType="end"/>
            </w:r>
            <w:bookmarkEnd w:id="3936"/>
            <w:r w:rsidRPr="00010038">
              <w:rPr>
                <w:rFonts w:cs="Arial"/>
                <w:sz w:val="22"/>
                <w:szCs w:val="22"/>
              </w:rPr>
              <w:t xml:space="preserve"> of this Schedule;</w:t>
            </w:r>
          </w:p>
        </w:tc>
      </w:tr>
      <w:tr w:rsidR="00010038" w:rsidRPr="00010038" w14:paraId="50B8417F" w14:textId="77777777" w:rsidTr="00D64792">
        <w:tc>
          <w:tcPr>
            <w:tcW w:w="2790" w:type="dxa"/>
          </w:tcPr>
          <w:p w14:paraId="1DD67714" w14:textId="77777777" w:rsidR="00010038" w:rsidRPr="00010038" w:rsidRDefault="00010038" w:rsidP="00D64792">
            <w:pPr>
              <w:pStyle w:val="StdBodyTextBold"/>
              <w:rPr>
                <w:rFonts w:cs="Arial"/>
                <w:sz w:val="22"/>
                <w:szCs w:val="22"/>
              </w:rPr>
            </w:pPr>
            <w:r w:rsidRPr="00010038">
              <w:rPr>
                <w:rFonts w:cs="Arial"/>
                <w:sz w:val="22"/>
                <w:szCs w:val="22"/>
              </w:rPr>
              <w:t>“Credit Rating Level”</w:t>
            </w:r>
          </w:p>
        </w:tc>
        <w:tc>
          <w:tcPr>
            <w:tcW w:w="5661" w:type="dxa"/>
          </w:tcPr>
          <w:p w14:paraId="47A2EF04" w14:textId="38CD6EDB" w:rsidR="00010038" w:rsidRPr="00010038" w:rsidRDefault="00010038" w:rsidP="00D64792">
            <w:pPr>
              <w:pStyle w:val="StdBodyText"/>
              <w:rPr>
                <w:rFonts w:cs="Arial"/>
                <w:sz w:val="22"/>
                <w:szCs w:val="22"/>
              </w:rPr>
            </w:pPr>
            <w:r w:rsidRPr="00010038">
              <w:rPr>
                <w:rFonts w:cs="Arial"/>
                <w:sz w:val="22"/>
                <w:szCs w:val="22"/>
              </w:rPr>
              <w:t xml:space="preserve">a credit rating level as specified in Annex </w:t>
            </w:r>
            <w:r w:rsidRPr="00010038">
              <w:rPr>
                <w:rFonts w:cs="Arial"/>
                <w:sz w:val="22"/>
                <w:szCs w:val="22"/>
              </w:rPr>
              <w:fldChar w:fldCharType="begin"/>
            </w:r>
            <w:r w:rsidRPr="00010038">
              <w:rPr>
                <w:rFonts w:cs="Arial"/>
                <w:sz w:val="22"/>
                <w:szCs w:val="22"/>
              </w:rPr>
              <w:instrText xml:space="preserve"> REF ANNEX1_SCHEDULE18 \h  \* MERGEFORMAT </w:instrText>
            </w:r>
            <w:r w:rsidRPr="00010038">
              <w:rPr>
                <w:rFonts w:cs="Arial"/>
                <w:sz w:val="22"/>
                <w:szCs w:val="22"/>
              </w:rPr>
            </w:r>
            <w:r w:rsidRPr="00010038">
              <w:rPr>
                <w:rFonts w:cs="Arial"/>
                <w:sz w:val="22"/>
                <w:szCs w:val="22"/>
              </w:rPr>
              <w:fldChar w:fldCharType="separate"/>
            </w:r>
            <w:r w:rsidR="00C87D85" w:rsidRPr="00010038">
              <w:rPr>
                <w:rFonts w:cs="Arial"/>
                <w:sz w:val="22"/>
                <w:szCs w:val="22"/>
              </w:rPr>
              <w:t>1</w:t>
            </w:r>
            <w:r w:rsidRPr="00010038">
              <w:rPr>
                <w:rFonts w:cs="Arial"/>
                <w:sz w:val="22"/>
                <w:szCs w:val="22"/>
              </w:rPr>
              <w:fldChar w:fldCharType="end"/>
            </w:r>
            <w:r w:rsidRPr="00010038">
              <w:rPr>
                <w:rFonts w:cs="Arial"/>
                <w:sz w:val="22"/>
                <w:szCs w:val="22"/>
              </w:rPr>
              <w:t xml:space="preserve"> of this Schedule;</w:t>
            </w:r>
          </w:p>
        </w:tc>
      </w:tr>
      <w:tr w:rsidR="00010038" w:rsidRPr="00010038" w14:paraId="016E2618" w14:textId="77777777" w:rsidTr="00D64792">
        <w:tc>
          <w:tcPr>
            <w:tcW w:w="2790" w:type="dxa"/>
          </w:tcPr>
          <w:p w14:paraId="47B58532" w14:textId="77777777" w:rsidR="00010038" w:rsidRPr="00010038" w:rsidRDefault="00010038" w:rsidP="00D64792">
            <w:pPr>
              <w:pStyle w:val="StdBodyTextBold"/>
              <w:rPr>
                <w:rFonts w:cs="Arial"/>
                <w:sz w:val="22"/>
                <w:szCs w:val="22"/>
              </w:rPr>
            </w:pPr>
            <w:r w:rsidRPr="00010038">
              <w:rPr>
                <w:rFonts w:cs="Arial"/>
                <w:sz w:val="22"/>
                <w:szCs w:val="22"/>
              </w:rPr>
              <w:t>“Credit Rating Threshold”</w:t>
            </w:r>
          </w:p>
        </w:tc>
        <w:tc>
          <w:tcPr>
            <w:tcW w:w="5661" w:type="dxa"/>
          </w:tcPr>
          <w:p w14:paraId="19C3A3C3" w14:textId="2B3F0F5A" w:rsidR="00010038" w:rsidRPr="00010038" w:rsidRDefault="00010038" w:rsidP="00D64792">
            <w:pPr>
              <w:pStyle w:val="StdBodyText"/>
              <w:rPr>
                <w:rFonts w:cs="Arial"/>
                <w:sz w:val="22"/>
                <w:szCs w:val="22"/>
              </w:rPr>
            </w:pPr>
            <w:r w:rsidRPr="00010038">
              <w:rPr>
                <w:rFonts w:cs="Arial"/>
                <w:sz w:val="22"/>
                <w:szCs w:val="22"/>
              </w:rPr>
              <w:t xml:space="preserve">the minimum Credit Rating Level for each entity in the FDE Group as set out in Annex </w:t>
            </w:r>
            <w:r w:rsidRPr="00010038">
              <w:rPr>
                <w:rFonts w:cs="Arial"/>
                <w:sz w:val="22"/>
                <w:szCs w:val="22"/>
              </w:rPr>
              <w:fldChar w:fldCharType="begin"/>
            </w:r>
            <w:r w:rsidRPr="00010038">
              <w:rPr>
                <w:rFonts w:cs="Arial"/>
                <w:sz w:val="22"/>
                <w:szCs w:val="22"/>
              </w:rPr>
              <w:instrText xml:space="preserve"> REF ANNEX2_SCHEDULE18 \h  \* MERGEFORMAT </w:instrText>
            </w:r>
            <w:r w:rsidRPr="00010038">
              <w:rPr>
                <w:rFonts w:cs="Arial"/>
                <w:sz w:val="22"/>
                <w:szCs w:val="22"/>
              </w:rPr>
            </w:r>
            <w:r w:rsidRPr="00010038">
              <w:rPr>
                <w:rFonts w:cs="Arial"/>
                <w:sz w:val="22"/>
                <w:szCs w:val="22"/>
              </w:rPr>
              <w:fldChar w:fldCharType="separate"/>
            </w:r>
            <w:r w:rsidR="00C87D85" w:rsidRPr="00010038">
              <w:rPr>
                <w:rFonts w:cs="Arial"/>
                <w:sz w:val="22"/>
                <w:szCs w:val="22"/>
              </w:rPr>
              <w:t>2</w:t>
            </w:r>
            <w:r w:rsidRPr="00010038">
              <w:rPr>
                <w:rFonts w:cs="Arial"/>
                <w:sz w:val="22"/>
                <w:szCs w:val="22"/>
              </w:rPr>
              <w:fldChar w:fldCharType="end"/>
            </w:r>
            <w:r w:rsidRPr="00010038">
              <w:rPr>
                <w:rFonts w:cs="Arial"/>
                <w:sz w:val="22"/>
                <w:szCs w:val="22"/>
              </w:rPr>
              <w:t xml:space="preserve"> of this Schedule;</w:t>
            </w:r>
          </w:p>
        </w:tc>
      </w:tr>
      <w:tr w:rsidR="00010038" w:rsidRPr="00010038" w14:paraId="4AB5D739" w14:textId="77777777" w:rsidTr="00D64792">
        <w:tc>
          <w:tcPr>
            <w:tcW w:w="2790" w:type="dxa"/>
          </w:tcPr>
          <w:p w14:paraId="79B8074F" w14:textId="77777777" w:rsidR="00010038" w:rsidRPr="00010038" w:rsidRDefault="00010038" w:rsidP="00D64792">
            <w:pPr>
              <w:pStyle w:val="StdBodyTextBold"/>
              <w:rPr>
                <w:rFonts w:cs="Arial"/>
                <w:sz w:val="22"/>
                <w:szCs w:val="22"/>
              </w:rPr>
            </w:pPr>
            <w:r w:rsidRPr="00010038">
              <w:rPr>
                <w:rFonts w:cs="Arial"/>
                <w:sz w:val="22"/>
                <w:szCs w:val="22"/>
              </w:rPr>
              <w:t>“FDE Group”</w:t>
            </w:r>
          </w:p>
        </w:tc>
        <w:tc>
          <w:tcPr>
            <w:tcW w:w="5661" w:type="dxa"/>
          </w:tcPr>
          <w:p w14:paraId="23FD626E" w14:textId="317E5A88" w:rsidR="00010038" w:rsidRPr="00010038" w:rsidRDefault="00010038" w:rsidP="00CF7A92">
            <w:pPr>
              <w:pStyle w:val="StdBodyText"/>
              <w:rPr>
                <w:rFonts w:cs="Arial"/>
                <w:sz w:val="22"/>
                <w:szCs w:val="22"/>
              </w:rPr>
            </w:pPr>
            <w:r w:rsidRPr="009B4223">
              <w:rPr>
                <w:rFonts w:cs="Arial"/>
                <w:sz w:val="22"/>
                <w:szCs w:val="22"/>
              </w:rPr>
              <w:t>means the Provider;</w:t>
            </w:r>
          </w:p>
        </w:tc>
      </w:tr>
      <w:tr w:rsidR="00010038" w:rsidRPr="00010038" w14:paraId="77435018" w14:textId="77777777" w:rsidTr="00D64792">
        <w:tc>
          <w:tcPr>
            <w:tcW w:w="2790" w:type="dxa"/>
          </w:tcPr>
          <w:p w14:paraId="3D0E8790" w14:textId="77777777" w:rsidR="00010038" w:rsidRPr="00010038" w:rsidRDefault="00010038" w:rsidP="00D64792">
            <w:pPr>
              <w:pStyle w:val="StdBodyTextBold"/>
              <w:rPr>
                <w:rFonts w:cs="Arial"/>
                <w:sz w:val="22"/>
                <w:szCs w:val="22"/>
              </w:rPr>
            </w:pPr>
            <w:r w:rsidRPr="00010038">
              <w:rPr>
                <w:rFonts w:cs="Arial"/>
                <w:sz w:val="22"/>
                <w:szCs w:val="22"/>
              </w:rPr>
              <w:t>“Financial Indicators”</w:t>
            </w:r>
          </w:p>
        </w:tc>
        <w:tc>
          <w:tcPr>
            <w:tcW w:w="5661" w:type="dxa"/>
          </w:tcPr>
          <w:p w14:paraId="717381B1" w14:textId="0AE219EF" w:rsidR="00010038" w:rsidRPr="00010038" w:rsidRDefault="00010038" w:rsidP="00CF7A92">
            <w:pPr>
              <w:pStyle w:val="StdBodyText"/>
              <w:rPr>
                <w:rFonts w:cs="Arial"/>
                <w:sz w:val="22"/>
                <w:szCs w:val="22"/>
              </w:rPr>
            </w:pPr>
            <w:r w:rsidRPr="00010038">
              <w:rPr>
                <w:rFonts w:cs="Arial"/>
                <w:sz w:val="22"/>
                <w:szCs w:val="22"/>
              </w:rPr>
              <w:t>in respect of the Provider,</w:t>
            </w:r>
            <w:r w:rsidR="00CF7A92">
              <w:rPr>
                <w:rFonts w:cs="Arial"/>
                <w:sz w:val="22"/>
                <w:szCs w:val="22"/>
              </w:rPr>
              <w:t xml:space="preserve"> </w:t>
            </w:r>
            <w:r w:rsidRPr="00010038">
              <w:rPr>
                <w:rFonts w:cs="Arial"/>
                <w:sz w:val="22"/>
                <w:szCs w:val="22"/>
              </w:rPr>
              <w:t xml:space="preserve">means each of the financial indicators set out at </w:t>
            </w:r>
            <w:bookmarkStart w:id="3937" w:name="_9kR3WTr2BC79E2knoewrqyFN"/>
            <w:r>
              <w:rPr>
                <w:rFonts w:cs="Arial"/>
                <w:sz w:val="22"/>
                <w:szCs w:val="22"/>
              </w:rPr>
              <w:t>p</w:t>
            </w:r>
            <w:r w:rsidRPr="00010038">
              <w:rPr>
                <w:rFonts w:cs="Arial"/>
                <w:sz w:val="22"/>
                <w:szCs w:val="22"/>
              </w:rPr>
              <w:t xml:space="preserve">aragraph </w:t>
            </w:r>
            <w:r w:rsidRPr="00010038">
              <w:rPr>
                <w:rFonts w:cs="Arial"/>
                <w:sz w:val="22"/>
                <w:szCs w:val="22"/>
              </w:rPr>
              <w:fldChar w:fldCharType="begin"/>
            </w:r>
            <w:r w:rsidRPr="00010038">
              <w:rPr>
                <w:rFonts w:cs="Arial"/>
                <w:sz w:val="22"/>
                <w:szCs w:val="22"/>
              </w:rPr>
              <w:instrText xml:space="preserve"> REF _Ref_ContractCompanion_9kb9Us358 \n \h \t \* MERGEFORMAT </w:instrText>
            </w:r>
            <w:r w:rsidRPr="00010038">
              <w:rPr>
                <w:rFonts w:cs="Arial"/>
                <w:sz w:val="22"/>
                <w:szCs w:val="22"/>
              </w:rPr>
            </w:r>
            <w:r w:rsidRPr="00010038">
              <w:rPr>
                <w:rFonts w:cs="Arial"/>
                <w:sz w:val="22"/>
                <w:szCs w:val="22"/>
              </w:rPr>
              <w:fldChar w:fldCharType="separate"/>
            </w:r>
            <w:r w:rsidR="00C87D85">
              <w:rPr>
                <w:rFonts w:cs="Arial"/>
                <w:sz w:val="22"/>
                <w:szCs w:val="22"/>
              </w:rPr>
              <w:t>5.1</w:t>
            </w:r>
            <w:r w:rsidRPr="00010038">
              <w:rPr>
                <w:rFonts w:cs="Arial"/>
                <w:sz w:val="22"/>
                <w:szCs w:val="22"/>
              </w:rPr>
              <w:fldChar w:fldCharType="end"/>
            </w:r>
            <w:bookmarkEnd w:id="3937"/>
            <w:r w:rsidRPr="00010038">
              <w:rPr>
                <w:rFonts w:cs="Arial"/>
                <w:sz w:val="22"/>
                <w:szCs w:val="22"/>
              </w:rPr>
              <w:t xml:space="preserve"> of this Schedule; and in respect of each Monitored Supplier, means those Applicable Financial Indicators;</w:t>
            </w:r>
          </w:p>
        </w:tc>
      </w:tr>
      <w:tr w:rsidR="00010038" w:rsidRPr="00010038" w14:paraId="095BB08D" w14:textId="77777777" w:rsidTr="00D64792">
        <w:tc>
          <w:tcPr>
            <w:tcW w:w="2790" w:type="dxa"/>
          </w:tcPr>
          <w:p w14:paraId="6C649F07" w14:textId="77777777" w:rsidR="00010038" w:rsidRPr="00010038" w:rsidRDefault="00010038" w:rsidP="00D64792">
            <w:pPr>
              <w:pStyle w:val="StdBodyTextBold"/>
              <w:rPr>
                <w:rFonts w:cs="Arial"/>
                <w:sz w:val="22"/>
                <w:szCs w:val="22"/>
              </w:rPr>
            </w:pPr>
            <w:r w:rsidRPr="00010038">
              <w:rPr>
                <w:rFonts w:cs="Arial"/>
                <w:sz w:val="22"/>
                <w:szCs w:val="22"/>
              </w:rPr>
              <w:t>“Financial Target Thresholds”</w:t>
            </w:r>
          </w:p>
        </w:tc>
        <w:tc>
          <w:tcPr>
            <w:tcW w:w="5661" w:type="dxa"/>
          </w:tcPr>
          <w:p w14:paraId="6B35C88D" w14:textId="509B1601" w:rsidR="00010038" w:rsidRPr="00010038" w:rsidRDefault="00010038" w:rsidP="00D64792">
            <w:pPr>
              <w:pStyle w:val="StdBodyText"/>
              <w:rPr>
                <w:rFonts w:cs="Arial"/>
                <w:sz w:val="22"/>
                <w:szCs w:val="22"/>
              </w:rPr>
            </w:pPr>
            <w:r w:rsidRPr="00010038">
              <w:rPr>
                <w:rFonts w:cs="Arial"/>
                <w:sz w:val="22"/>
                <w:szCs w:val="22"/>
              </w:rPr>
              <w:t xml:space="preserve">means the target thresholds for each of the Financial Indicators set out at </w:t>
            </w:r>
            <w:bookmarkStart w:id="3938" w:name="_9kMHG5YVt4DE9BG4mpqgyts0HP"/>
            <w:r w:rsidR="00450715">
              <w:rPr>
                <w:rFonts w:cs="Arial"/>
                <w:sz w:val="22"/>
                <w:szCs w:val="22"/>
              </w:rPr>
              <w:t>p</w:t>
            </w:r>
            <w:r w:rsidRPr="00010038">
              <w:rPr>
                <w:rFonts w:cs="Arial"/>
                <w:sz w:val="22"/>
                <w:szCs w:val="22"/>
              </w:rPr>
              <w:t xml:space="preserve">aragraph </w:t>
            </w:r>
            <w:r w:rsidRPr="00010038">
              <w:rPr>
                <w:rFonts w:cs="Arial"/>
                <w:sz w:val="22"/>
                <w:szCs w:val="22"/>
              </w:rPr>
              <w:fldChar w:fldCharType="begin"/>
            </w:r>
            <w:r w:rsidRPr="00010038">
              <w:rPr>
                <w:rFonts w:cs="Arial"/>
                <w:sz w:val="22"/>
                <w:szCs w:val="22"/>
              </w:rPr>
              <w:instrText xml:space="preserve"> REF _Ref_ContractCompanion_9kb9Us358 \n \h \t \* MERGEFORMAT </w:instrText>
            </w:r>
            <w:r w:rsidRPr="00010038">
              <w:rPr>
                <w:rFonts w:cs="Arial"/>
                <w:sz w:val="22"/>
                <w:szCs w:val="22"/>
              </w:rPr>
            </w:r>
            <w:r w:rsidRPr="00010038">
              <w:rPr>
                <w:rFonts w:cs="Arial"/>
                <w:sz w:val="22"/>
                <w:szCs w:val="22"/>
              </w:rPr>
              <w:fldChar w:fldCharType="separate"/>
            </w:r>
            <w:r w:rsidR="00C87D85">
              <w:rPr>
                <w:rFonts w:cs="Arial"/>
                <w:sz w:val="22"/>
                <w:szCs w:val="22"/>
              </w:rPr>
              <w:t>5.1</w:t>
            </w:r>
            <w:r w:rsidRPr="00010038">
              <w:rPr>
                <w:rFonts w:cs="Arial"/>
                <w:sz w:val="22"/>
                <w:szCs w:val="22"/>
              </w:rPr>
              <w:fldChar w:fldCharType="end"/>
            </w:r>
            <w:bookmarkEnd w:id="3938"/>
            <w:r w:rsidRPr="00010038">
              <w:rPr>
                <w:rFonts w:cs="Arial"/>
                <w:sz w:val="22"/>
                <w:szCs w:val="22"/>
              </w:rPr>
              <w:t xml:space="preserve"> of this Schedule;</w:t>
            </w:r>
          </w:p>
        </w:tc>
      </w:tr>
      <w:tr w:rsidR="00010038" w:rsidRPr="00010038" w14:paraId="027AB94E" w14:textId="77777777" w:rsidTr="00D64792">
        <w:tc>
          <w:tcPr>
            <w:tcW w:w="2790" w:type="dxa"/>
          </w:tcPr>
          <w:p w14:paraId="1D90D748" w14:textId="77777777" w:rsidR="00010038" w:rsidRPr="00010038" w:rsidRDefault="00010038" w:rsidP="00D64792">
            <w:pPr>
              <w:pStyle w:val="StdBodyTextBold"/>
              <w:rPr>
                <w:rFonts w:cs="Arial"/>
                <w:sz w:val="22"/>
                <w:szCs w:val="22"/>
              </w:rPr>
            </w:pPr>
            <w:r w:rsidRPr="00010038">
              <w:rPr>
                <w:rFonts w:cs="Arial"/>
                <w:sz w:val="22"/>
                <w:szCs w:val="22"/>
              </w:rPr>
              <w:t>”Monitored Suppliers”</w:t>
            </w:r>
          </w:p>
        </w:tc>
        <w:tc>
          <w:tcPr>
            <w:tcW w:w="5661" w:type="dxa"/>
          </w:tcPr>
          <w:p w14:paraId="589FB8A0" w14:textId="0F00EBE1" w:rsidR="00010038" w:rsidRPr="00010038" w:rsidRDefault="00010038" w:rsidP="00D64792">
            <w:pPr>
              <w:pStyle w:val="StdBodyText"/>
              <w:rPr>
                <w:rFonts w:cs="Arial"/>
                <w:sz w:val="22"/>
                <w:szCs w:val="22"/>
              </w:rPr>
            </w:pPr>
            <w:r w:rsidRPr="00010038">
              <w:rPr>
                <w:rFonts w:cs="Arial"/>
                <w:sz w:val="22"/>
                <w:szCs w:val="22"/>
              </w:rPr>
              <w:t xml:space="preserve">means those entities specified at </w:t>
            </w:r>
            <w:bookmarkStart w:id="3939" w:name="_9kR3WTr2BC79H5knoewrqyFO"/>
            <w:r>
              <w:rPr>
                <w:rFonts w:cs="Arial"/>
                <w:sz w:val="22"/>
                <w:szCs w:val="22"/>
              </w:rPr>
              <w:t>p</w:t>
            </w:r>
            <w:r w:rsidRPr="00010038">
              <w:rPr>
                <w:rFonts w:cs="Arial"/>
                <w:sz w:val="22"/>
                <w:szCs w:val="22"/>
              </w:rPr>
              <w:t xml:space="preserve">aragraph </w:t>
            </w:r>
            <w:r w:rsidRPr="00010038">
              <w:rPr>
                <w:rFonts w:cs="Arial"/>
                <w:sz w:val="22"/>
                <w:szCs w:val="22"/>
              </w:rPr>
              <w:fldChar w:fldCharType="begin"/>
            </w:r>
            <w:r w:rsidRPr="00010038">
              <w:rPr>
                <w:rFonts w:cs="Arial"/>
                <w:sz w:val="22"/>
                <w:szCs w:val="22"/>
              </w:rPr>
              <w:instrText xml:space="preserve"> REF _Ref_ContractCompanion_9kb9Us35B \n \h \t \* MERGEFORMAT </w:instrText>
            </w:r>
            <w:r w:rsidRPr="00010038">
              <w:rPr>
                <w:rFonts w:cs="Arial"/>
                <w:sz w:val="22"/>
                <w:szCs w:val="22"/>
              </w:rPr>
            </w:r>
            <w:r w:rsidRPr="00010038">
              <w:rPr>
                <w:rFonts w:cs="Arial"/>
                <w:sz w:val="22"/>
                <w:szCs w:val="22"/>
              </w:rPr>
              <w:fldChar w:fldCharType="separate"/>
            </w:r>
            <w:r w:rsidR="00C87D85">
              <w:rPr>
                <w:rFonts w:cs="Arial"/>
                <w:sz w:val="22"/>
                <w:szCs w:val="22"/>
              </w:rPr>
              <w:t>5.2</w:t>
            </w:r>
            <w:r w:rsidRPr="00010038">
              <w:rPr>
                <w:rFonts w:cs="Arial"/>
                <w:sz w:val="22"/>
                <w:szCs w:val="22"/>
              </w:rPr>
              <w:fldChar w:fldCharType="end"/>
            </w:r>
            <w:bookmarkEnd w:id="3939"/>
            <w:r w:rsidRPr="00010038">
              <w:rPr>
                <w:rFonts w:cs="Arial"/>
                <w:sz w:val="22"/>
                <w:szCs w:val="22"/>
              </w:rPr>
              <w:t xml:space="preserve"> of this Schedule;</w:t>
            </w:r>
            <w:r>
              <w:rPr>
                <w:rFonts w:cs="Arial"/>
                <w:sz w:val="22"/>
                <w:szCs w:val="22"/>
              </w:rPr>
              <w:t xml:space="preserve"> and</w:t>
            </w:r>
          </w:p>
        </w:tc>
      </w:tr>
      <w:tr w:rsidR="00010038" w:rsidRPr="00010038" w14:paraId="54906A85" w14:textId="77777777" w:rsidTr="00D64792">
        <w:tc>
          <w:tcPr>
            <w:tcW w:w="2790" w:type="dxa"/>
          </w:tcPr>
          <w:p w14:paraId="39239D62" w14:textId="77777777" w:rsidR="00010038" w:rsidRPr="00010038" w:rsidRDefault="00010038" w:rsidP="00D64792">
            <w:pPr>
              <w:pStyle w:val="StdBodyTextBold"/>
              <w:rPr>
                <w:rFonts w:cs="Arial"/>
                <w:sz w:val="22"/>
                <w:szCs w:val="22"/>
              </w:rPr>
            </w:pPr>
            <w:r w:rsidRPr="00010038">
              <w:rPr>
                <w:rFonts w:cs="Arial"/>
                <w:sz w:val="22"/>
                <w:szCs w:val="22"/>
              </w:rPr>
              <w:t>“Rating Agencies”</w:t>
            </w:r>
          </w:p>
        </w:tc>
        <w:tc>
          <w:tcPr>
            <w:tcW w:w="5661" w:type="dxa"/>
          </w:tcPr>
          <w:p w14:paraId="26598D5A" w14:textId="3E25A9E2" w:rsidR="00010038" w:rsidRPr="00010038" w:rsidRDefault="00010038" w:rsidP="00D64792">
            <w:pPr>
              <w:pStyle w:val="StdBodyText"/>
              <w:rPr>
                <w:rFonts w:cs="Arial"/>
                <w:sz w:val="22"/>
                <w:szCs w:val="22"/>
              </w:rPr>
            </w:pPr>
            <w:r w:rsidRPr="00010038">
              <w:rPr>
                <w:rFonts w:cs="Arial"/>
                <w:sz w:val="22"/>
                <w:szCs w:val="22"/>
              </w:rPr>
              <w:t xml:space="preserve">the rating agencies listed in Annex </w:t>
            </w:r>
            <w:r w:rsidRPr="00010038">
              <w:rPr>
                <w:rFonts w:cs="Arial"/>
                <w:sz w:val="22"/>
                <w:szCs w:val="22"/>
              </w:rPr>
              <w:fldChar w:fldCharType="begin"/>
            </w:r>
            <w:r w:rsidRPr="00010038">
              <w:rPr>
                <w:rFonts w:cs="Arial"/>
                <w:sz w:val="22"/>
                <w:szCs w:val="22"/>
              </w:rPr>
              <w:instrText xml:space="preserve"> REF ANNEX1_SCHEDULE18 \h  \* MERGEFORMAT </w:instrText>
            </w:r>
            <w:r w:rsidRPr="00010038">
              <w:rPr>
                <w:rFonts w:cs="Arial"/>
                <w:sz w:val="22"/>
                <w:szCs w:val="22"/>
              </w:rPr>
            </w:r>
            <w:r w:rsidRPr="00010038">
              <w:rPr>
                <w:rFonts w:cs="Arial"/>
                <w:sz w:val="22"/>
                <w:szCs w:val="22"/>
              </w:rPr>
              <w:fldChar w:fldCharType="separate"/>
            </w:r>
            <w:r w:rsidR="00C87D85" w:rsidRPr="00010038">
              <w:rPr>
                <w:rFonts w:cs="Arial"/>
                <w:sz w:val="22"/>
                <w:szCs w:val="22"/>
              </w:rPr>
              <w:t>1</w:t>
            </w:r>
            <w:r w:rsidRPr="00010038">
              <w:rPr>
                <w:rFonts w:cs="Arial"/>
                <w:sz w:val="22"/>
                <w:szCs w:val="22"/>
              </w:rPr>
              <w:fldChar w:fldCharType="end"/>
            </w:r>
            <w:r w:rsidRPr="00010038">
              <w:rPr>
                <w:rFonts w:cs="Arial"/>
                <w:sz w:val="22"/>
                <w:szCs w:val="22"/>
              </w:rPr>
              <w:t xml:space="preserve"> of this Schedule.</w:t>
            </w:r>
          </w:p>
        </w:tc>
      </w:tr>
    </w:tbl>
    <w:p w14:paraId="43534C54" w14:textId="5F8B9DC2" w:rsidR="00010038" w:rsidRPr="00010038" w:rsidRDefault="00010038" w:rsidP="004E2262">
      <w:pPr>
        <w:pStyle w:val="ScheduleText1"/>
        <w:numPr>
          <w:ilvl w:val="0"/>
          <w:numId w:val="83"/>
        </w:numPr>
        <w:rPr>
          <w:rFonts w:cs="Arial"/>
          <w:sz w:val="22"/>
          <w:szCs w:val="22"/>
        </w:rPr>
      </w:pPr>
      <w:bookmarkStart w:id="3940" w:name="_9kMHG5YVtAGA67AD"/>
      <w:bookmarkStart w:id="3941" w:name="_Ref_ContractCompanion_9kb9Us3BE"/>
      <w:bookmarkEnd w:id="3940"/>
      <w:r w:rsidRPr="00010038">
        <w:rPr>
          <w:rFonts w:cs="Arial"/>
          <w:sz w:val="22"/>
          <w:szCs w:val="22"/>
        </w:rPr>
        <w:t>WARRANTIES AND DUTY TO NOTIFY</w:t>
      </w:r>
      <w:bookmarkEnd w:id="3941"/>
    </w:p>
    <w:p w14:paraId="6DA40E73" w14:textId="45386D80" w:rsidR="00010038" w:rsidRPr="00010038" w:rsidRDefault="00010038" w:rsidP="004E2262">
      <w:pPr>
        <w:pStyle w:val="ScheduleText2"/>
        <w:numPr>
          <w:ilvl w:val="1"/>
          <w:numId w:val="83"/>
        </w:numPr>
        <w:rPr>
          <w:rFonts w:cs="Arial"/>
          <w:sz w:val="22"/>
          <w:szCs w:val="22"/>
        </w:rPr>
      </w:pPr>
      <w:r w:rsidRPr="00010038">
        <w:rPr>
          <w:rFonts w:cs="Arial"/>
          <w:sz w:val="22"/>
          <w:szCs w:val="22"/>
        </w:rPr>
        <w:t>The Provider warrants and represents to HSE for the benefit of HSE that as at the Effective Date:</w:t>
      </w:r>
    </w:p>
    <w:p w14:paraId="49CB4D1C" w14:textId="187ED1D7" w:rsidR="00010038" w:rsidRPr="00010038" w:rsidRDefault="00010038" w:rsidP="004E2262">
      <w:pPr>
        <w:pStyle w:val="ScheduleText4"/>
        <w:numPr>
          <w:ilvl w:val="3"/>
          <w:numId w:val="83"/>
        </w:numPr>
        <w:rPr>
          <w:rFonts w:cs="Arial"/>
          <w:sz w:val="22"/>
          <w:szCs w:val="22"/>
        </w:rPr>
      </w:pPr>
      <w:r w:rsidRPr="00010038">
        <w:rPr>
          <w:rFonts w:cs="Arial"/>
          <w:sz w:val="22"/>
          <w:szCs w:val="22"/>
        </w:rPr>
        <w:t xml:space="preserve">the long term credit ratings issued for each entity in the FDE Group by each of the Rating Agencies are as set out in Annex </w:t>
      </w:r>
      <w:r w:rsidRPr="00010038">
        <w:rPr>
          <w:rFonts w:cs="Arial"/>
          <w:sz w:val="22"/>
          <w:szCs w:val="22"/>
        </w:rPr>
        <w:fldChar w:fldCharType="begin"/>
      </w:r>
      <w:r w:rsidRPr="00010038">
        <w:rPr>
          <w:rFonts w:cs="Arial"/>
          <w:sz w:val="22"/>
          <w:szCs w:val="22"/>
        </w:rPr>
        <w:instrText xml:space="preserve"> REF ANNEX2_SCHEDULE18 \h  \* MERGEFORMAT </w:instrText>
      </w:r>
      <w:r w:rsidRPr="00010038">
        <w:rPr>
          <w:rFonts w:cs="Arial"/>
          <w:sz w:val="22"/>
          <w:szCs w:val="22"/>
        </w:rPr>
      </w:r>
      <w:r w:rsidRPr="00010038">
        <w:rPr>
          <w:rFonts w:cs="Arial"/>
          <w:sz w:val="22"/>
          <w:szCs w:val="22"/>
        </w:rPr>
        <w:fldChar w:fldCharType="separate"/>
      </w:r>
      <w:r w:rsidR="00C87D85" w:rsidRPr="00010038">
        <w:rPr>
          <w:rFonts w:cs="Arial"/>
          <w:sz w:val="22"/>
          <w:szCs w:val="22"/>
        </w:rPr>
        <w:t>2</w:t>
      </w:r>
      <w:r w:rsidRPr="00010038">
        <w:rPr>
          <w:rFonts w:cs="Arial"/>
          <w:sz w:val="22"/>
          <w:szCs w:val="22"/>
        </w:rPr>
        <w:fldChar w:fldCharType="end"/>
      </w:r>
      <w:r w:rsidRPr="00010038">
        <w:rPr>
          <w:rFonts w:cs="Arial"/>
          <w:sz w:val="22"/>
          <w:szCs w:val="22"/>
        </w:rPr>
        <w:t xml:space="preserve"> of this Schedule; and</w:t>
      </w:r>
    </w:p>
    <w:p w14:paraId="175A046A" w14:textId="522AC7BE" w:rsidR="00010038" w:rsidRPr="00010038" w:rsidRDefault="00010038" w:rsidP="004E2262">
      <w:pPr>
        <w:pStyle w:val="ScheduleText4"/>
        <w:numPr>
          <w:ilvl w:val="3"/>
          <w:numId w:val="83"/>
        </w:numPr>
        <w:rPr>
          <w:rFonts w:cs="Arial"/>
          <w:sz w:val="22"/>
          <w:szCs w:val="22"/>
        </w:rPr>
      </w:pPr>
      <w:r w:rsidRPr="00010038">
        <w:rPr>
          <w:rFonts w:cs="Arial"/>
          <w:sz w:val="22"/>
          <w:szCs w:val="22"/>
        </w:rPr>
        <w:t>the financial position or, as appropriate, the financial performance of the Provider satisfies the Financial Target Thresholds.</w:t>
      </w:r>
    </w:p>
    <w:p w14:paraId="736816CB" w14:textId="0FAF6C42" w:rsidR="00010038" w:rsidRPr="00010038" w:rsidRDefault="00010038" w:rsidP="004E2262">
      <w:pPr>
        <w:pStyle w:val="ScheduleText2"/>
        <w:numPr>
          <w:ilvl w:val="1"/>
          <w:numId w:val="83"/>
        </w:numPr>
        <w:rPr>
          <w:rFonts w:cs="Arial"/>
          <w:sz w:val="22"/>
          <w:szCs w:val="22"/>
        </w:rPr>
      </w:pPr>
      <w:r w:rsidRPr="00010038">
        <w:rPr>
          <w:rFonts w:cs="Arial"/>
          <w:sz w:val="22"/>
          <w:szCs w:val="22"/>
        </w:rPr>
        <w:t>The Provider shall promptly notify (or shall procure that its auditors promptly notify) HSE in writing if there is any downgrade in the credit rating issued by any Rating Agency for any entity in the FDE Group (and in any event within 5 Working Days of the occurrence of the downgrade).</w:t>
      </w:r>
    </w:p>
    <w:p w14:paraId="7B3F641A" w14:textId="032535E2" w:rsidR="00010038" w:rsidRPr="00010038" w:rsidRDefault="00010038" w:rsidP="004E2262">
      <w:pPr>
        <w:pStyle w:val="ScheduleText2"/>
        <w:numPr>
          <w:ilvl w:val="1"/>
          <w:numId w:val="83"/>
        </w:numPr>
        <w:rPr>
          <w:rFonts w:cs="Arial"/>
          <w:sz w:val="22"/>
          <w:szCs w:val="22"/>
        </w:rPr>
      </w:pPr>
      <w:r w:rsidRPr="00010038">
        <w:rPr>
          <w:rFonts w:cs="Arial"/>
          <w:sz w:val="22"/>
          <w:szCs w:val="22"/>
        </w:rPr>
        <w:t xml:space="preserve">The Provider shall: </w:t>
      </w:r>
    </w:p>
    <w:p w14:paraId="49F02B1C" w14:textId="77777777" w:rsidR="00010038" w:rsidRPr="00010038" w:rsidRDefault="00010038" w:rsidP="004E2262">
      <w:pPr>
        <w:pStyle w:val="ScheduleText4"/>
        <w:numPr>
          <w:ilvl w:val="3"/>
          <w:numId w:val="83"/>
        </w:numPr>
        <w:rPr>
          <w:rFonts w:cs="Arial"/>
          <w:sz w:val="22"/>
          <w:szCs w:val="22"/>
        </w:rPr>
      </w:pPr>
      <w:r w:rsidRPr="00010038">
        <w:rPr>
          <w:rFonts w:cs="Arial"/>
          <w:sz w:val="22"/>
          <w:szCs w:val="22"/>
        </w:rPr>
        <w:lastRenderedPageBreak/>
        <w:t>regularly monitor the credit ratings of each entity in the FDE Group with the Rating Agencies;</w:t>
      </w:r>
    </w:p>
    <w:p w14:paraId="1DB2C025" w14:textId="71944E05" w:rsidR="00010038" w:rsidRPr="00010038" w:rsidRDefault="00010038" w:rsidP="004E2262">
      <w:pPr>
        <w:pStyle w:val="ScheduleText4"/>
        <w:numPr>
          <w:ilvl w:val="3"/>
          <w:numId w:val="83"/>
        </w:numPr>
        <w:rPr>
          <w:rFonts w:cs="Arial"/>
          <w:sz w:val="22"/>
          <w:szCs w:val="22"/>
        </w:rPr>
      </w:pPr>
      <w:bookmarkStart w:id="3942" w:name="_9kR3WTrAG97AEEDnky0v298vsw132DGMKFLG2ba"/>
      <w:bookmarkStart w:id="3943" w:name="_Ref_ContractCompanion_9kb9Ur27C"/>
      <w:bookmarkStart w:id="3944" w:name="_Ref_ContractCompanion_9kb9Us368"/>
      <w:bookmarkStart w:id="3945" w:name="_Ref_ContractCompanion_9kb9Us39E"/>
      <w:r w:rsidRPr="00010038">
        <w:rPr>
          <w:rFonts w:cs="Arial"/>
          <w:sz w:val="22"/>
          <w:szCs w:val="22"/>
        </w:rPr>
        <w:t xml:space="preserve">monitor and report on the Financial Indicators for each entity in the FDE Group against the Financial Target Thresholds at least at the frequency set out for each at </w:t>
      </w:r>
      <w:bookmarkStart w:id="3946" w:name="_9kMIH5YVt4DDEHHfGpqgyts0HP"/>
      <w:r w:rsidR="006D44DD">
        <w:rPr>
          <w:rFonts w:cs="Arial"/>
          <w:sz w:val="22"/>
          <w:szCs w:val="22"/>
        </w:rPr>
        <w:t>p</w:t>
      </w:r>
      <w:r w:rsidRPr="00010038">
        <w:rPr>
          <w:rFonts w:cs="Arial"/>
          <w:sz w:val="22"/>
          <w:szCs w:val="22"/>
        </w:rPr>
        <w:t xml:space="preserve">aragraph </w:t>
      </w:r>
      <w:r w:rsidRPr="00010038">
        <w:rPr>
          <w:rFonts w:cs="Arial"/>
          <w:sz w:val="22"/>
          <w:szCs w:val="22"/>
        </w:rPr>
        <w:fldChar w:fldCharType="begin"/>
      </w:r>
      <w:r w:rsidRPr="00010038">
        <w:rPr>
          <w:rFonts w:cs="Arial"/>
          <w:sz w:val="22"/>
          <w:szCs w:val="22"/>
        </w:rPr>
        <w:instrText xml:space="preserve"> REF _Ref_ContractCompanion_9kb9Ur8B7 \n \h \t \* MERGEFORMAT </w:instrText>
      </w:r>
      <w:r w:rsidRPr="00010038">
        <w:rPr>
          <w:rFonts w:cs="Arial"/>
          <w:sz w:val="22"/>
          <w:szCs w:val="22"/>
        </w:rPr>
      </w:r>
      <w:r w:rsidRPr="00010038">
        <w:rPr>
          <w:rFonts w:cs="Arial"/>
          <w:sz w:val="22"/>
          <w:szCs w:val="22"/>
        </w:rPr>
        <w:fldChar w:fldCharType="separate"/>
      </w:r>
      <w:r w:rsidR="00C87D85">
        <w:rPr>
          <w:rFonts w:cs="Arial"/>
          <w:sz w:val="22"/>
          <w:szCs w:val="22"/>
        </w:rPr>
        <w:t>5.1</w:t>
      </w:r>
      <w:r w:rsidRPr="00010038">
        <w:rPr>
          <w:rFonts w:cs="Arial"/>
          <w:sz w:val="22"/>
          <w:szCs w:val="22"/>
        </w:rPr>
        <w:fldChar w:fldCharType="end"/>
      </w:r>
      <w:bookmarkEnd w:id="3946"/>
      <w:r w:rsidRPr="00010038">
        <w:rPr>
          <w:rFonts w:cs="Arial"/>
          <w:sz w:val="22"/>
          <w:szCs w:val="22"/>
        </w:rPr>
        <w:t xml:space="preserve"> (where specified) and in any event, on a regular basis and no less than once a year within one hundred and twenty (120) days after the Accounting Reference Date;</w:t>
      </w:r>
      <w:bookmarkEnd w:id="3942"/>
      <w:r w:rsidRPr="00010038">
        <w:rPr>
          <w:rFonts w:cs="Arial"/>
          <w:sz w:val="22"/>
          <w:szCs w:val="22"/>
        </w:rPr>
        <w:t xml:space="preserve"> and</w:t>
      </w:r>
      <w:bookmarkEnd w:id="3943"/>
      <w:bookmarkEnd w:id="3944"/>
      <w:bookmarkEnd w:id="3945"/>
    </w:p>
    <w:p w14:paraId="6D81FF4A" w14:textId="2A8266D0" w:rsidR="00010038" w:rsidRPr="00010038" w:rsidRDefault="00010038" w:rsidP="004E2262">
      <w:pPr>
        <w:pStyle w:val="ScheduleText4"/>
        <w:numPr>
          <w:ilvl w:val="3"/>
          <w:numId w:val="83"/>
        </w:numPr>
        <w:rPr>
          <w:rFonts w:cs="Arial"/>
          <w:sz w:val="22"/>
          <w:szCs w:val="22"/>
        </w:rPr>
      </w:pPr>
      <w:bookmarkStart w:id="3947" w:name="_Ref_ContractCompanion_9kb9Us3AB"/>
      <w:r w:rsidRPr="00010038">
        <w:rPr>
          <w:rFonts w:cs="Arial"/>
          <w:sz w:val="22"/>
          <w:szCs w:val="22"/>
        </w:rPr>
        <w:t>promptly notify (or shall procure that its auditors promptly notify) HSE in writing following the occurrence of a Financial Distress Event or any fact, circumstance or matter which could cause a Financial Distress Event (and in any event, ensure that such notification is made within 10 Working Days of the date on which the Provider first becomes aware of the Financial Distress Event or the fact, circumstance or matter which could cause a Financial Distress Event).</w:t>
      </w:r>
      <w:bookmarkEnd w:id="3947"/>
    </w:p>
    <w:p w14:paraId="2F2BAE66" w14:textId="4709FA26" w:rsidR="00010038" w:rsidRPr="00010038" w:rsidRDefault="00010038" w:rsidP="004E2262">
      <w:pPr>
        <w:pStyle w:val="ScheduleText2"/>
        <w:numPr>
          <w:ilvl w:val="1"/>
          <w:numId w:val="83"/>
        </w:numPr>
        <w:rPr>
          <w:rFonts w:cs="Arial"/>
          <w:sz w:val="22"/>
          <w:szCs w:val="22"/>
        </w:rPr>
      </w:pPr>
      <w:r w:rsidRPr="00010038">
        <w:rPr>
          <w:rFonts w:cs="Arial"/>
          <w:sz w:val="22"/>
          <w:szCs w:val="22"/>
        </w:rPr>
        <w:t xml:space="preserve">For the purposes of determining whether a Financial Distress Event has occurred pursuant to the provisions of </w:t>
      </w:r>
      <w:bookmarkStart w:id="3948" w:name="_9kR3WTr2BC7ABYEnoewrqy2PMu"/>
      <w:r w:rsidR="006D44DD">
        <w:rPr>
          <w:rFonts w:cs="Arial"/>
          <w:sz w:val="22"/>
          <w:szCs w:val="22"/>
        </w:rPr>
        <w:t>p</w:t>
      </w:r>
      <w:r w:rsidRPr="00010038">
        <w:rPr>
          <w:rFonts w:cs="Arial"/>
          <w:sz w:val="22"/>
          <w:szCs w:val="22"/>
        </w:rPr>
        <w:t xml:space="preserve">aragraphs </w:t>
      </w:r>
      <w:r w:rsidRPr="00010038">
        <w:rPr>
          <w:rFonts w:cs="Arial"/>
          <w:sz w:val="22"/>
          <w:szCs w:val="22"/>
        </w:rPr>
        <w:fldChar w:fldCharType="begin"/>
      </w:r>
      <w:r w:rsidRPr="00010038">
        <w:rPr>
          <w:rFonts w:cs="Arial"/>
          <w:sz w:val="22"/>
          <w:szCs w:val="22"/>
        </w:rPr>
        <w:instrText xml:space="preserve"> REF _Ref_ContractCompanion_9kb9Us365 \w \h \t \* MERGEFORMAT </w:instrText>
      </w:r>
      <w:r w:rsidRPr="00010038">
        <w:rPr>
          <w:rFonts w:cs="Arial"/>
          <w:sz w:val="22"/>
          <w:szCs w:val="22"/>
        </w:rPr>
      </w:r>
      <w:r w:rsidRPr="00010038">
        <w:rPr>
          <w:rFonts w:cs="Arial"/>
          <w:sz w:val="22"/>
          <w:szCs w:val="22"/>
        </w:rPr>
        <w:fldChar w:fldCharType="separate"/>
      </w:r>
      <w:r w:rsidR="00C87D85">
        <w:rPr>
          <w:rFonts w:cs="Arial"/>
          <w:sz w:val="22"/>
          <w:szCs w:val="22"/>
        </w:rPr>
        <w:t>3.1(a)</w:t>
      </w:r>
      <w:r w:rsidRPr="00010038">
        <w:rPr>
          <w:rFonts w:cs="Arial"/>
          <w:sz w:val="22"/>
          <w:szCs w:val="22"/>
        </w:rPr>
        <w:fldChar w:fldCharType="end"/>
      </w:r>
      <w:bookmarkEnd w:id="3948"/>
      <w:r w:rsidRPr="00010038">
        <w:rPr>
          <w:rFonts w:cs="Arial"/>
          <w:sz w:val="22"/>
          <w:szCs w:val="22"/>
        </w:rPr>
        <w:t xml:space="preserve">, and for the purposes of determining relief under </w:t>
      </w:r>
      <w:bookmarkStart w:id="3949" w:name="_9kMJI5YVt4DDCKOhGpqgyts0JR"/>
      <w:r w:rsidR="006D44DD">
        <w:rPr>
          <w:rFonts w:cs="Arial"/>
          <w:sz w:val="22"/>
          <w:szCs w:val="22"/>
        </w:rPr>
        <w:t>p</w:t>
      </w:r>
      <w:r w:rsidRPr="00010038">
        <w:rPr>
          <w:rFonts w:cs="Arial"/>
          <w:sz w:val="22"/>
          <w:szCs w:val="22"/>
        </w:rPr>
        <w:t xml:space="preserve">aragraph </w:t>
      </w:r>
      <w:r w:rsidRPr="00010038">
        <w:rPr>
          <w:rFonts w:cs="Arial"/>
          <w:sz w:val="22"/>
          <w:szCs w:val="22"/>
        </w:rPr>
        <w:fldChar w:fldCharType="begin"/>
      </w:r>
      <w:r w:rsidRPr="00010038">
        <w:rPr>
          <w:rFonts w:cs="Arial"/>
          <w:sz w:val="22"/>
          <w:szCs w:val="22"/>
        </w:rPr>
        <w:instrText xml:space="preserve"> REF _Ref_ContractCompanion_9kb9Ur6EG \n \h \t \* MERGEFORMAT </w:instrText>
      </w:r>
      <w:r w:rsidRPr="00010038">
        <w:rPr>
          <w:rFonts w:cs="Arial"/>
          <w:sz w:val="22"/>
          <w:szCs w:val="22"/>
        </w:rPr>
      </w:r>
      <w:r w:rsidRPr="00010038">
        <w:rPr>
          <w:rFonts w:cs="Arial"/>
          <w:sz w:val="22"/>
          <w:szCs w:val="22"/>
        </w:rPr>
        <w:fldChar w:fldCharType="separate"/>
      </w:r>
      <w:r w:rsidR="00C87D85">
        <w:rPr>
          <w:rFonts w:cs="Arial"/>
          <w:sz w:val="22"/>
          <w:szCs w:val="22"/>
        </w:rPr>
        <w:t>7.1</w:t>
      </w:r>
      <w:r w:rsidRPr="00010038">
        <w:rPr>
          <w:rFonts w:cs="Arial"/>
          <w:sz w:val="22"/>
          <w:szCs w:val="22"/>
        </w:rPr>
        <w:fldChar w:fldCharType="end"/>
      </w:r>
      <w:bookmarkEnd w:id="3949"/>
      <w:r w:rsidRPr="00010038">
        <w:rPr>
          <w:rFonts w:cs="Arial"/>
          <w:sz w:val="22"/>
          <w:szCs w:val="22"/>
        </w:rPr>
        <w:t>, the credit rating of an FDE Group entity shall be deemed to have dropped below the applicable Credit Rating Threshold if:</w:t>
      </w:r>
    </w:p>
    <w:p w14:paraId="39CE43EA" w14:textId="77777777" w:rsidR="00010038" w:rsidRPr="00010038" w:rsidRDefault="00010038" w:rsidP="004E2262">
      <w:pPr>
        <w:pStyle w:val="ScheduleText4"/>
        <w:numPr>
          <w:ilvl w:val="3"/>
          <w:numId w:val="83"/>
        </w:numPr>
        <w:rPr>
          <w:rFonts w:cs="Arial"/>
          <w:sz w:val="22"/>
          <w:szCs w:val="22"/>
        </w:rPr>
      </w:pPr>
      <w:r w:rsidRPr="00010038">
        <w:rPr>
          <w:rFonts w:cs="Arial"/>
          <w:sz w:val="22"/>
          <w:szCs w:val="22"/>
        </w:rPr>
        <w:t>any of the Rating Agencies have given a Credit Rating Level for that entity which is below the applicable Credit Rating Threshold; or</w:t>
      </w:r>
    </w:p>
    <w:p w14:paraId="39103F13" w14:textId="25B41D3B" w:rsidR="00010038" w:rsidRPr="00010038" w:rsidRDefault="00010038" w:rsidP="004E2262">
      <w:pPr>
        <w:pStyle w:val="ScheduleText4"/>
        <w:numPr>
          <w:ilvl w:val="3"/>
          <w:numId w:val="83"/>
        </w:numPr>
        <w:rPr>
          <w:rFonts w:cs="Arial"/>
          <w:sz w:val="22"/>
          <w:szCs w:val="22"/>
        </w:rPr>
      </w:pPr>
      <w:r w:rsidRPr="00010038">
        <w:rPr>
          <w:rFonts w:cs="Arial"/>
          <w:sz w:val="22"/>
          <w:szCs w:val="22"/>
        </w:rPr>
        <w:t xml:space="preserve">a Rating Agency that is specified as holding a Credit Rating for an entity as set out at Annex </w:t>
      </w:r>
      <w:r w:rsidRPr="00010038">
        <w:rPr>
          <w:rFonts w:cs="Arial"/>
          <w:sz w:val="22"/>
          <w:szCs w:val="22"/>
        </w:rPr>
        <w:fldChar w:fldCharType="begin"/>
      </w:r>
      <w:r w:rsidRPr="00010038">
        <w:rPr>
          <w:rFonts w:cs="Arial"/>
          <w:sz w:val="22"/>
          <w:szCs w:val="22"/>
        </w:rPr>
        <w:instrText xml:space="preserve"> REF ANNEX2_SCHEDULE18 \h  \* MERGEFORMAT </w:instrText>
      </w:r>
      <w:r w:rsidRPr="00010038">
        <w:rPr>
          <w:rFonts w:cs="Arial"/>
          <w:sz w:val="22"/>
          <w:szCs w:val="22"/>
        </w:rPr>
      </w:r>
      <w:r w:rsidRPr="00010038">
        <w:rPr>
          <w:rFonts w:cs="Arial"/>
          <w:sz w:val="22"/>
          <w:szCs w:val="22"/>
        </w:rPr>
        <w:fldChar w:fldCharType="separate"/>
      </w:r>
      <w:r w:rsidR="00C87D85" w:rsidRPr="00010038">
        <w:rPr>
          <w:rFonts w:cs="Arial"/>
          <w:sz w:val="22"/>
          <w:szCs w:val="22"/>
        </w:rPr>
        <w:t>2</w:t>
      </w:r>
      <w:r w:rsidRPr="00010038">
        <w:rPr>
          <w:rFonts w:cs="Arial"/>
          <w:sz w:val="22"/>
          <w:szCs w:val="22"/>
        </w:rPr>
        <w:fldChar w:fldCharType="end"/>
      </w:r>
      <w:r w:rsidRPr="00010038">
        <w:rPr>
          <w:rFonts w:cs="Arial"/>
          <w:sz w:val="22"/>
          <w:szCs w:val="22"/>
        </w:rPr>
        <w:t xml:space="preserve"> of this Schedule ceases to hold a Credit Rating for that entity.</w:t>
      </w:r>
    </w:p>
    <w:p w14:paraId="3F50984A" w14:textId="5D2A0E1B" w:rsidR="00010038" w:rsidRPr="00010038" w:rsidRDefault="00010038" w:rsidP="004E2262">
      <w:pPr>
        <w:pStyle w:val="ScheduleText2"/>
        <w:numPr>
          <w:ilvl w:val="1"/>
          <w:numId w:val="83"/>
        </w:numPr>
        <w:rPr>
          <w:rFonts w:cs="Arial"/>
          <w:sz w:val="22"/>
          <w:szCs w:val="22"/>
        </w:rPr>
      </w:pPr>
      <w:bookmarkStart w:id="3950" w:name="_Ref_ContractCompanion_9kb9Us7CA"/>
      <w:r w:rsidRPr="00010038">
        <w:rPr>
          <w:rFonts w:cs="Arial"/>
          <w:sz w:val="22"/>
          <w:szCs w:val="22"/>
        </w:rPr>
        <w:t xml:space="preserve">Each report submitted by the Provider pursuant to </w:t>
      </w:r>
      <w:bookmarkStart w:id="3951" w:name="_9kMHG5YVtCIB9CGGFpm02x4BAxuy354FIOMHNI4"/>
      <w:r w:rsidR="006D44DD">
        <w:rPr>
          <w:rFonts w:cs="Arial"/>
          <w:sz w:val="22"/>
          <w:szCs w:val="22"/>
        </w:rPr>
        <w:t>p</w:t>
      </w:r>
      <w:r w:rsidRPr="00010038">
        <w:rPr>
          <w:rFonts w:cs="Arial"/>
          <w:sz w:val="22"/>
          <w:szCs w:val="22"/>
        </w:rPr>
        <w:t xml:space="preserve">aragraph </w:t>
      </w:r>
      <w:r w:rsidRPr="00010038">
        <w:rPr>
          <w:rFonts w:cs="Arial"/>
          <w:sz w:val="22"/>
          <w:szCs w:val="22"/>
        </w:rPr>
        <w:fldChar w:fldCharType="begin"/>
      </w:r>
      <w:r w:rsidRPr="00010038">
        <w:rPr>
          <w:rFonts w:cs="Arial"/>
          <w:sz w:val="22"/>
          <w:szCs w:val="22"/>
        </w:rPr>
        <w:instrText xml:space="preserve"> REF _Ref_ContractCompanion_9kb9Us368 \w \h \t \* MERGEFORMAT </w:instrText>
      </w:r>
      <w:r w:rsidRPr="00010038">
        <w:rPr>
          <w:rFonts w:cs="Arial"/>
          <w:sz w:val="22"/>
          <w:szCs w:val="22"/>
        </w:rPr>
      </w:r>
      <w:r w:rsidRPr="00010038">
        <w:rPr>
          <w:rFonts w:cs="Arial"/>
          <w:sz w:val="22"/>
          <w:szCs w:val="22"/>
        </w:rPr>
        <w:fldChar w:fldCharType="separate"/>
      </w:r>
      <w:r w:rsidR="00C87D85">
        <w:rPr>
          <w:rFonts w:cs="Arial"/>
          <w:sz w:val="22"/>
          <w:szCs w:val="22"/>
        </w:rPr>
        <w:t>2.3(b)</w:t>
      </w:r>
      <w:r w:rsidRPr="00010038">
        <w:rPr>
          <w:rFonts w:cs="Arial"/>
          <w:sz w:val="22"/>
          <w:szCs w:val="22"/>
        </w:rPr>
        <w:fldChar w:fldCharType="end"/>
      </w:r>
      <w:bookmarkEnd w:id="3951"/>
      <w:r w:rsidRPr="00010038">
        <w:rPr>
          <w:rFonts w:cs="Arial"/>
          <w:sz w:val="22"/>
          <w:szCs w:val="22"/>
        </w:rPr>
        <w:t xml:space="preserve"> shall:</w:t>
      </w:r>
      <w:bookmarkEnd w:id="3950"/>
    </w:p>
    <w:p w14:paraId="11EF274D" w14:textId="77777777" w:rsidR="00010038" w:rsidRPr="00010038" w:rsidRDefault="00010038" w:rsidP="004E2262">
      <w:pPr>
        <w:pStyle w:val="ScheduleText4"/>
        <w:numPr>
          <w:ilvl w:val="3"/>
          <w:numId w:val="83"/>
        </w:numPr>
        <w:rPr>
          <w:rFonts w:cs="Arial"/>
          <w:sz w:val="22"/>
          <w:szCs w:val="22"/>
        </w:rPr>
      </w:pPr>
      <w:r w:rsidRPr="00010038">
        <w:rPr>
          <w:rFonts w:cs="Arial"/>
          <w:sz w:val="22"/>
          <w:szCs w:val="22"/>
        </w:rPr>
        <w:t>be a single report with separate sections for each of the FDE Group entities;</w:t>
      </w:r>
    </w:p>
    <w:p w14:paraId="1EC37557" w14:textId="076C69F5" w:rsidR="00010038" w:rsidRPr="00010038" w:rsidRDefault="00010038" w:rsidP="004E2262">
      <w:pPr>
        <w:pStyle w:val="ScheduleText4"/>
        <w:numPr>
          <w:ilvl w:val="3"/>
          <w:numId w:val="83"/>
        </w:numPr>
        <w:rPr>
          <w:rFonts w:cs="Arial"/>
          <w:sz w:val="22"/>
          <w:szCs w:val="22"/>
        </w:rPr>
      </w:pPr>
      <w:r w:rsidRPr="00010038">
        <w:rPr>
          <w:rFonts w:cs="Arial"/>
          <w:sz w:val="22"/>
          <w:szCs w:val="22"/>
        </w:rPr>
        <w:t>contain a sufficient level of information to enable HSE to verify the calculations that have been made in respect of the Financial Indicators;</w:t>
      </w:r>
    </w:p>
    <w:p w14:paraId="4B793F34" w14:textId="77777777" w:rsidR="00010038" w:rsidRPr="00010038" w:rsidRDefault="00010038" w:rsidP="004E2262">
      <w:pPr>
        <w:pStyle w:val="ScheduleText4"/>
        <w:numPr>
          <w:ilvl w:val="3"/>
          <w:numId w:val="83"/>
        </w:numPr>
        <w:rPr>
          <w:rFonts w:cs="Arial"/>
          <w:sz w:val="22"/>
          <w:szCs w:val="22"/>
        </w:rPr>
      </w:pPr>
      <w:r w:rsidRPr="00010038">
        <w:rPr>
          <w:rFonts w:cs="Arial"/>
          <w:sz w:val="22"/>
          <w:szCs w:val="22"/>
        </w:rPr>
        <w:t>include key financial and other supporting information (including any accounts data that has been relied on) as separate annexes;</w:t>
      </w:r>
    </w:p>
    <w:p w14:paraId="057A9B5D" w14:textId="77777777" w:rsidR="00010038" w:rsidRPr="00010038" w:rsidRDefault="00010038" w:rsidP="004E2262">
      <w:pPr>
        <w:pStyle w:val="ScheduleText4"/>
        <w:numPr>
          <w:ilvl w:val="3"/>
          <w:numId w:val="83"/>
        </w:numPr>
        <w:rPr>
          <w:rFonts w:cs="Arial"/>
          <w:sz w:val="22"/>
          <w:szCs w:val="22"/>
        </w:rPr>
      </w:pPr>
      <w:r w:rsidRPr="00010038">
        <w:rPr>
          <w:rFonts w:cs="Arial"/>
          <w:sz w:val="22"/>
          <w:szCs w:val="22"/>
        </w:rPr>
        <w:t>be based on the audited accounts for the date or period on which the Financial Indicator is based or, where the Financial Indicator is not linked to an accounting period or an accounting reference date, on unaudited management accounts prepared in accordance with their normal timetable; and</w:t>
      </w:r>
    </w:p>
    <w:p w14:paraId="4BA700B9" w14:textId="20AF69CA" w:rsidR="00010038" w:rsidRPr="00010038" w:rsidRDefault="00010038" w:rsidP="004E2262">
      <w:pPr>
        <w:pStyle w:val="ScheduleText4"/>
        <w:numPr>
          <w:ilvl w:val="3"/>
          <w:numId w:val="83"/>
        </w:numPr>
        <w:rPr>
          <w:rFonts w:cs="Arial"/>
          <w:sz w:val="22"/>
          <w:szCs w:val="22"/>
        </w:rPr>
      </w:pPr>
      <w:r w:rsidRPr="00010038">
        <w:rPr>
          <w:rFonts w:cs="Arial"/>
          <w:sz w:val="22"/>
          <w:szCs w:val="22"/>
        </w:rPr>
        <w:t>include a history of the Financial Indicators reported by the Provider in graph form to enable HSE to easily analyse and assess the trends in financial performance.</w:t>
      </w:r>
    </w:p>
    <w:p w14:paraId="60D38D0D" w14:textId="77777777" w:rsidR="00010038" w:rsidRPr="00010038" w:rsidRDefault="00010038" w:rsidP="004E2262">
      <w:pPr>
        <w:pStyle w:val="ScheduleText1"/>
        <w:numPr>
          <w:ilvl w:val="0"/>
          <w:numId w:val="83"/>
        </w:numPr>
        <w:rPr>
          <w:rFonts w:cs="Arial"/>
          <w:sz w:val="22"/>
          <w:szCs w:val="22"/>
        </w:rPr>
      </w:pPr>
      <w:r w:rsidRPr="00010038">
        <w:rPr>
          <w:rFonts w:cs="Arial"/>
          <w:sz w:val="22"/>
          <w:szCs w:val="22"/>
        </w:rPr>
        <w:t>FINANCIAL DISTRESS EVENTS</w:t>
      </w:r>
    </w:p>
    <w:p w14:paraId="2ED70F61" w14:textId="09DDA90B" w:rsidR="00010038" w:rsidRPr="00010038" w:rsidRDefault="00010038" w:rsidP="004E2262">
      <w:pPr>
        <w:pStyle w:val="ScheduleText2"/>
        <w:numPr>
          <w:ilvl w:val="1"/>
          <w:numId w:val="83"/>
        </w:numPr>
        <w:rPr>
          <w:rFonts w:cs="Arial"/>
          <w:sz w:val="22"/>
          <w:szCs w:val="22"/>
        </w:rPr>
      </w:pPr>
      <w:bookmarkStart w:id="3952" w:name="_Ref44508774"/>
      <w:r w:rsidRPr="00010038">
        <w:rPr>
          <w:rFonts w:cs="Arial"/>
          <w:sz w:val="22"/>
          <w:szCs w:val="22"/>
        </w:rPr>
        <w:t>The following shall be Financial Distress Events:</w:t>
      </w:r>
      <w:bookmarkEnd w:id="3952"/>
    </w:p>
    <w:p w14:paraId="0B75C60C" w14:textId="6906B6D2" w:rsidR="00010038" w:rsidRPr="00010038" w:rsidRDefault="00010038" w:rsidP="004E2262">
      <w:pPr>
        <w:pStyle w:val="ScheduleText4"/>
        <w:numPr>
          <w:ilvl w:val="3"/>
          <w:numId w:val="83"/>
        </w:numPr>
        <w:rPr>
          <w:rFonts w:cs="Arial"/>
          <w:sz w:val="22"/>
          <w:szCs w:val="22"/>
        </w:rPr>
      </w:pPr>
      <w:bookmarkStart w:id="3953" w:name="_Ref_ContractCompanion_9kb9Us365"/>
      <w:r w:rsidRPr="00010038">
        <w:rPr>
          <w:rFonts w:cs="Arial"/>
          <w:sz w:val="22"/>
          <w:szCs w:val="22"/>
        </w:rPr>
        <w:t>the credit rating of an FDE Group entity dropping below the applicable Credit Rating Threshold;</w:t>
      </w:r>
      <w:bookmarkEnd w:id="3953"/>
    </w:p>
    <w:p w14:paraId="403B6A9D" w14:textId="7C545B32" w:rsidR="00010038" w:rsidRPr="00010038" w:rsidRDefault="00010038" w:rsidP="004E2262">
      <w:pPr>
        <w:pStyle w:val="ScheduleText4"/>
        <w:numPr>
          <w:ilvl w:val="3"/>
          <w:numId w:val="83"/>
        </w:numPr>
        <w:rPr>
          <w:rFonts w:cs="Arial"/>
          <w:sz w:val="22"/>
          <w:szCs w:val="22"/>
        </w:rPr>
      </w:pPr>
      <w:bookmarkStart w:id="3954" w:name="_Ref_ContractCompanion_9kb9Us3BH"/>
      <w:r w:rsidRPr="00010038">
        <w:rPr>
          <w:rFonts w:cs="Arial"/>
          <w:sz w:val="22"/>
          <w:szCs w:val="22"/>
        </w:rPr>
        <w:lastRenderedPageBreak/>
        <w:t>an FDE Group entity issuing a profits warning to a stock exchange or making any other public announcement, in each case about a material deterioration in its financial position or prospects;</w:t>
      </w:r>
      <w:bookmarkEnd w:id="3954"/>
    </w:p>
    <w:p w14:paraId="4275E1FA" w14:textId="77777777" w:rsidR="00010038" w:rsidRPr="00010038" w:rsidRDefault="00010038" w:rsidP="004E2262">
      <w:pPr>
        <w:pStyle w:val="ScheduleText4"/>
        <w:numPr>
          <w:ilvl w:val="3"/>
          <w:numId w:val="83"/>
        </w:numPr>
        <w:rPr>
          <w:rFonts w:cs="Arial"/>
          <w:sz w:val="22"/>
          <w:szCs w:val="22"/>
        </w:rPr>
      </w:pPr>
      <w:r w:rsidRPr="00010038">
        <w:rPr>
          <w:rFonts w:cs="Arial"/>
          <w:sz w:val="22"/>
          <w:szCs w:val="22"/>
        </w:rPr>
        <w:t xml:space="preserve">there being a public investigation into improper financial accounting and reporting, suspected fraud or any other impropriety of an FDE Group entity; </w:t>
      </w:r>
    </w:p>
    <w:p w14:paraId="3F6AFE99" w14:textId="77777777" w:rsidR="00010038" w:rsidRPr="00010038" w:rsidRDefault="00010038" w:rsidP="004E2262">
      <w:pPr>
        <w:pStyle w:val="ScheduleText4"/>
        <w:numPr>
          <w:ilvl w:val="3"/>
          <w:numId w:val="83"/>
        </w:numPr>
        <w:rPr>
          <w:rFonts w:cs="Arial"/>
          <w:sz w:val="22"/>
          <w:szCs w:val="22"/>
        </w:rPr>
      </w:pPr>
      <w:r w:rsidRPr="00010038">
        <w:rPr>
          <w:rFonts w:cs="Arial"/>
          <w:sz w:val="22"/>
          <w:szCs w:val="22"/>
        </w:rPr>
        <w:t xml:space="preserve">an FDE Group entity committing a material breach of covenant to its lenders; </w:t>
      </w:r>
    </w:p>
    <w:p w14:paraId="06B61811" w14:textId="7C5EEC61" w:rsidR="00010038" w:rsidRPr="00010038" w:rsidRDefault="00010038" w:rsidP="004E2262">
      <w:pPr>
        <w:pStyle w:val="ScheduleText4"/>
        <w:numPr>
          <w:ilvl w:val="3"/>
          <w:numId w:val="83"/>
        </w:numPr>
        <w:rPr>
          <w:rFonts w:cs="Arial"/>
          <w:sz w:val="22"/>
          <w:szCs w:val="22"/>
        </w:rPr>
      </w:pPr>
      <w:bookmarkStart w:id="3955" w:name="_Ref_ContractCompanion_9kb9Us378"/>
      <w:r w:rsidRPr="00010038">
        <w:rPr>
          <w:rFonts w:cs="Arial"/>
          <w:sz w:val="22"/>
          <w:szCs w:val="22"/>
        </w:rPr>
        <w:t xml:space="preserve">a Key Sub-contractor notifying HSE that the Provider has not satisfied any material sums properly due under a specified invoice and not subject to a genuine dispute; </w:t>
      </w:r>
      <w:bookmarkEnd w:id="3955"/>
    </w:p>
    <w:p w14:paraId="12C5E78C" w14:textId="72C97373" w:rsidR="00010038" w:rsidRPr="00010038" w:rsidRDefault="00010038" w:rsidP="004E2262">
      <w:pPr>
        <w:pStyle w:val="ScheduleText4"/>
        <w:numPr>
          <w:ilvl w:val="3"/>
          <w:numId w:val="83"/>
        </w:numPr>
        <w:rPr>
          <w:rFonts w:cs="Arial"/>
          <w:sz w:val="22"/>
          <w:szCs w:val="22"/>
        </w:rPr>
      </w:pPr>
      <w:r w:rsidRPr="00010038">
        <w:rPr>
          <w:rFonts w:cs="Arial"/>
          <w:sz w:val="22"/>
          <w:szCs w:val="22"/>
        </w:rPr>
        <w:t>any FDE Group entity extends the filing period for filing its accounts with the Registrar of Companies so that the filing period ends more than 9 months after its accounting reference date without an explanation to HSE which HSE (acting reasonably) considers to be adequate;</w:t>
      </w:r>
    </w:p>
    <w:p w14:paraId="4D508F25" w14:textId="11EEFF5B" w:rsidR="00010038" w:rsidRPr="00010038" w:rsidRDefault="00010038" w:rsidP="004E2262">
      <w:pPr>
        <w:pStyle w:val="ScheduleText4"/>
        <w:numPr>
          <w:ilvl w:val="3"/>
          <w:numId w:val="83"/>
        </w:numPr>
        <w:rPr>
          <w:rFonts w:cs="Arial"/>
          <w:sz w:val="22"/>
          <w:szCs w:val="22"/>
        </w:rPr>
      </w:pPr>
      <w:r w:rsidRPr="00010038">
        <w:rPr>
          <w:rFonts w:cs="Arial"/>
          <w:sz w:val="22"/>
          <w:szCs w:val="22"/>
        </w:rPr>
        <w:t>any FDE Group entity is late to file its annual accounts without a public notification or an explanation to HSE which HSE, acting reasonably, considers to be adequate;</w:t>
      </w:r>
    </w:p>
    <w:p w14:paraId="26905B81" w14:textId="77777777" w:rsidR="00010038" w:rsidRPr="00010038" w:rsidRDefault="00010038" w:rsidP="004E2262">
      <w:pPr>
        <w:pStyle w:val="ScheduleText4"/>
        <w:numPr>
          <w:ilvl w:val="3"/>
          <w:numId w:val="83"/>
        </w:numPr>
        <w:rPr>
          <w:rFonts w:cs="Arial"/>
          <w:sz w:val="22"/>
          <w:szCs w:val="22"/>
        </w:rPr>
      </w:pPr>
      <w:r w:rsidRPr="00010038">
        <w:rPr>
          <w:rFonts w:cs="Arial"/>
          <w:sz w:val="22"/>
          <w:szCs w:val="22"/>
        </w:rPr>
        <w:t>the directors and/or external auditors of any FDE Group entity conclude that a material uncertainty exists in relation to that FDE Group entity’s going concern in the annual report including in a reasonable but plausible downside scenario. This includes, but is not limited to, commentary about liquidity and trading prospects in the reports from directors or external auditors;</w:t>
      </w:r>
    </w:p>
    <w:p w14:paraId="0B132E45" w14:textId="77777777" w:rsidR="00010038" w:rsidRPr="00010038" w:rsidRDefault="00010038" w:rsidP="004E2262">
      <w:pPr>
        <w:pStyle w:val="ScheduleText4"/>
        <w:numPr>
          <w:ilvl w:val="3"/>
          <w:numId w:val="83"/>
        </w:numPr>
        <w:rPr>
          <w:rFonts w:cs="Arial"/>
          <w:sz w:val="22"/>
          <w:szCs w:val="22"/>
        </w:rPr>
      </w:pPr>
      <w:r w:rsidRPr="00010038">
        <w:rPr>
          <w:rFonts w:cs="Arial"/>
          <w:sz w:val="22"/>
          <w:szCs w:val="22"/>
        </w:rPr>
        <w:t>any of the following:</w:t>
      </w:r>
    </w:p>
    <w:p w14:paraId="79E2CEB3" w14:textId="77777777" w:rsidR="00010038" w:rsidRPr="00010038" w:rsidRDefault="00010038" w:rsidP="004E2262">
      <w:pPr>
        <w:pStyle w:val="ScheduleText5"/>
        <w:numPr>
          <w:ilvl w:val="4"/>
          <w:numId w:val="83"/>
        </w:numPr>
        <w:rPr>
          <w:rFonts w:cs="Arial"/>
          <w:sz w:val="22"/>
          <w:szCs w:val="22"/>
        </w:rPr>
      </w:pPr>
      <w:r w:rsidRPr="00010038">
        <w:rPr>
          <w:rFonts w:cs="Arial"/>
          <w:sz w:val="22"/>
          <w:szCs w:val="22"/>
        </w:rPr>
        <w:t>any FDE Group entity makes a public announcement which contains adverse commentary with regards to that FDE Group entity’s liquidity and trading and trading prospects, such as but not limited to, a profit warning or ability to trade as a going concern;</w:t>
      </w:r>
    </w:p>
    <w:p w14:paraId="0D20ADBB" w14:textId="77777777" w:rsidR="00010038" w:rsidRPr="00010038" w:rsidRDefault="00010038" w:rsidP="004E2262">
      <w:pPr>
        <w:pStyle w:val="ScheduleText5"/>
        <w:numPr>
          <w:ilvl w:val="4"/>
          <w:numId w:val="83"/>
        </w:numPr>
        <w:rPr>
          <w:rFonts w:cs="Arial"/>
          <w:sz w:val="22"/>
          <w:szCs w:val="22"/>
        </w:rPr>
      </w:pPr>
      <w:r w:rsidRPr="00010038">
        <w:rPr>
          <w:rFonts w:cs="Arial"/>
          <w:sz w:val="22"/>
          <w:szCs w:val="22"/>
        </w:rPr>
        <w:t xml:space="preserve">commencement of any litigation against an FDE Group entity with respect to financial indebtedness greater than £5m or obligations under a service contract with a total contract value greater than £5m; </w:t>
      </w:r>
    </w:p>
    <w:p w14:paraId="39B5866C" w14:textId="77777777" w:rsidR="00010038" w:rsidRPr="00010038" w:rsidRDefault="00010038" w:rsidP="004E2262">
      <w:pPr>
        <w:pStyle w:val="ScheduleText5"/>
        <w:numPr>
          <w:ilvl w:val="4"/>
          <w:numId w:val="83"/>
        </w:numPr>
        <w:rPr>
          <w:rFonts w:cs="Arial"/>
          <w:sz w:val="22"/>
          <w:szCs w:val="22"/>
        </w:rPr>
      </w:pPr>
      <w:r w:rsidRPr="00010038">
        <w:rPr>
          <w:rFonts w:cs="Arial"/>
          <w:sz w:val="22"/>
          <w:szCs w:val="22"/>
        </w:rPr>
        <w:t>non-payment by an FDE Group entity of any financial indebtedness;</w:t>
      </w:r>
    </w:p>
    <w:p w14:paraId="03F2AC83" w14:textId="77777777" w:rsidR="00010038" w:rsidRPr="00010038" w:rsidRDefault="00010038" w:rsidP="004E2262">
      <w:pPr>
        <w:pStyle w:val="ScheduleText5"/>
        <w:numPr>
          <w:ilvl w:val="4"/>
          <w:numId w:val="83"/>
        </w:numPr>
        <w:rPr>
          <w:rFonts w:cs="Arial"/>
          <w:sz w:val="22"/>
          <w:szCs w:val="22"/>
        </w:rPr>
      </w:pPr>
      <w:r w:rsidRPr="00010038">
        <w:rPr>
          <w:rFonts w:cs="Arial"/>
          <w:sz w:val="22"/>
          <w:szCs w:val="22"/>
        </w:rPr>
        <w:t>any financial indebtedness of an FDE Group entity becoming due as a result of an event of default;</w:t>
      </w:r>
    </w:p>
    <w:p w14:paraId="0FD0D7D0" w14:textId="77777777" w:rsidR="00010038" w:rsidRPr="00010038" w:rsidRDefault="00010038" w:rsidP="004E2262">
      <w:pPr>
        <w:pStyle w:val="ScheduleText5"/>
        <w:numPr>
          <w:ilvl w:val="4"/>
          <w:numId w:val="83"/>
        </w:numPr>
        <w:rPr>
          <w:rFonts w:cs="Arial"/>
          <w:sz w:val="22"/>
          <w:szCs w:val="22"/>
        </w:rPr>
      </w:pPr>
      <w:r w:rsidRPr="00010038">
        <w:rPr>
          <w:rFonts w:cs="Arial"/>
          <w:sz w:val="22"/>
          <w:szCs w:val="22"/>
        </w:rPr>
        <w:t>the cancellation or suspension of any financial indebtedness in respect of an FDE Group entity; or</w:t>
      </w:r>
    </w:p>
    <w:p w14:paraId="59F3FF35" w14:textId="77777777" w:rsidR="00010038" w:rsidRPr="00010038" w:rsidRDefault="00010038" w:rsidP="004E2262">
      <w:pPr>
        <w:pStyle w:val="ScheduleText5"/>
        <w:numPr>
          <w:ilvl w:val="4"/>
          <w:numId w:val="83"/>
        </w:numPr>
        <w:rPr>
          <w:rFonts w:cs="Arial"/>
          <w:sz w:val="22"/>
          <w:szCs w:val="22"/>
        </w:rPr>
      </w:pPr>
      <w:r w:rsidRPr="00010038">
        <w:rPr>
          <w:rFonts w:cs="Arial"/>
          <w:sz w:val="22"/>
          <w:szCs w:val="22"/>
        </w:rPr>
        <w:t>the external auditor of an FDE Group entity expressing a qualified opinion on, or including an emphasis of matter in, its opinion on the statutory accounts of that FDE entity;</w:t>
      </w:r>
    </w:p>
    <w:p w14:paraId="00927A63" w14:textId="562FE619" w:rsidR="00010038" w:rsidRPr="00010038" w:rsidRDefault="00010038" w:rsidP="00010038">
      <w:pPr>
        <w:pStyle w:val="StdBodyText4"/>
        <w:rPr>
          <w:rFonts w:cs="Arial"/>
          <w:sz w:val="22"/>
          <w:szCs w:val="22"/>
        </w:rPr>
      </w:pPr>
      <w:r w:rsidRPr="00010038">
        <w:rPr>
          <w:rFonts w:cs="Arial"/>
          <w:sz w:val="22"/>
          <w:szCs w:val="22"/>
        </w:rPr>
        <w:lastRenderedPageBreak/>
        <w:t>in each case which HSE reasonably believes (or would be likely reasonably to believe) could directly impact on the continued performance and delivery of the Services in accordance with this Agreement; and</w:t>
      </w:r>
    </w:p>
    <w:p w14:paraId="0E6DCB2F" w14:textId="314FBFBC" w:rsidR="00010038" w:rsidRPr="00010038" w:rsidRDefault="00010038" w:rsidP="004E2262">
      <w:pPr>
        <w:pStyle w:val="ScheduleText4"/>
        <w:numPr>
          <w:ilvl w:val="3"/>
          <w:numId w:val="83"/>
        </w:numPr>
        <w:rPr>
          <w:rFonts w:cs="Arial"/>
          <w:sz w:val="22"/>
          <w:szCs w:val="22"/>
        </w:rPr>
      </w:pPr>
      <w:bookmarkStart w:id="3956" w:name="_Ref_ContractCompanion_9kb9Us3CB"/>
      <w:r w:rsidRPr="00010038">
        <w:rPr>
          <w:rFonts w:cs="Arial"/>
          <w:sz w:val="22"/>
          <w:szCs w:val="22"/>
        </w:rPr>
        <w:t xml:space="preserve">any </w:t>
      </w:r>
      <w:r w:rsidR="006D44DD" w:rsidRPr="006D44DD">
        <w:rPr>
          <w:rFonts w:cs="Arial"/>
          <w:sz w:val="22"/>
          <w:szCs w:val="22"/>
        </w:rPr>
        <w:t>one</w:t>
      </w:r>
      <w:r w:rsidR="006D44DD">
        <w:rPr>
          <w:rFonts w:cs="Arial"/>
          <w:sz w:val="22"/>
          <w:szCs w:val="22"/>
        </w:rPr>
        <w:t xml:space="preserve"> or more</w:t>
      </w:r>
      <w:r w:rsidRPr="00010038">
        <w:rPr>
          <w:rFonts w:cs="Arial"/>
          <w:sz w:val="22"/>
          <w:szCs w:val="22"/>
        </w:rPr>
        <w:t xml:space="preserve"> of the Financial Indicators set out at </w:t>
      </w:r>
      <w:bookmarkStart w:id="3957" w:name="_9kMIH5YVt4DDDLFYGpqgyts0H"/>
      <w:r w:rsidR="00840A0F">
        <w:rPr>
          <w:rFonts w:cs="Arial"/>
          <w:sz w:val="22"/>
          <w:szCs w:val="22"/>
        </w:rPr>
        <w:t>p</w:t>
      </w:r>
      <w:r w:rsidRPr="00010038">
        <w:rPr>
          <w:rFonts w:cs="Arial"/>
          <w:sz w:val="22"/>
          <w:szCs w:val="22"/>
        </w:rPr>
        <w:t xml:space="preserve">aragraph </w:t>
      </w:r>
      <w:r w:rsidRPr="00010038">
        <w:rPr>
          <w:rFonts w:cs="Arial"/>
          <w:sz w:val="22"/>
          <w:szCs w:val="22"/>
        </w:rPr>
        <w:fldChar w:fldCharType="begin"/>
      </w:r>
      <w:r w:rsidRPr="00010038">
        <w:rPr>
          <w:rFonts w:cs="Arial"/>
          <w:sz w:val="22"/>
          <w:szCs w:val="22"/>
        </w:rPr>
        <w:instrText xml:space="preserve"> REF _Ref_ContractCompanion_9kb9Ur7EG \w \n \h \t \* MERGEFORMAT </w:instrText>
      </w:r>
      <w:r w:rsidRPr="00010038">
        <w:rPr>
          <w:rFonts w:cs="Arial"/>
          <w:sz w:val="22"/>
          <w:szCs w:val="22"/>
        </w:rPr>
      </w:r>
      <w:r w:rsidRPr="00010038">
        <w:rPr>
          <w:rFonts w:cs="Arial"/>
          <w:sz w:val="22"/>
          <w:szCs w:val="22"/>
        </w:rPr>
        <w:fldChar w:fldCharType="separate"/>
      </w:r>
      <w:r w:rsidR="00C87D85">
        <w:rPr>
          <w:rFonts w:cs="Arial"/>
          <w:sz w:val="22"/>
          <w:szCs w:val="22"/>
        </w:rPr>
        <w:t>5</w:t>
      </w:r>
      <w:r w:rsidRPr="00010038">
        <w:rPr>
          <w:rFonts w:cs="Arial"/>
          <w:sz w:val="22"/>
          <w:szCs w:val="22"/>
        </w:rPr>
        <w:fldChar w:fldCharType="end"/>
      </w:r>
      <w:bookmarkEnd w:id="3957"/>
      <w:r w:rsidRPr="00010038">
        <w:rPr>
          <w:rFonts w:cs="Arial"/>
          <w:sz w:val="22"/>
          <w:szCs w:val="22"/>
        </w:rPr>
        <w:t xml:space="preserve"> for any of the FDE Group entities failing to meet the required Financial Target Threshold.</w:t>
      </w:r>
      <w:bookmarkEnd w:id="3956"/>
    </w:p>
    <w:p w14:paraId="25188BCA" w14:textId="77777777" w:rsidR="00010038" w:rsidRPr="00010038" w:rsidRDefault="00010038" w:rsidP="004E2262">
      <w:pPr>
        <w:pStyle w:val="ScheduleText1"/>
        <w:numPr>
          <w:ilvl w:val="0"/>
          <w:numId w:val="83"/>
        </w:numPr>
        <w:rPr>
          <w:rFonts w:cs="Arial"/>
          <w:sz w:val="22"/>
          <w:szCs w:val="22"/>
        </w:rPr>
      </w:pPr>
      <w:r w:rsidRPr="00010038">
        <w:rPr>
          <w:rFonts w:cs="Arial"/>
          <w:sz w:val="22"/>
          <w:szCs w:val="22"/>
        </w:rPr>
        <w:t>CONSEQUENCES OF FINANCIAL DISTRESS EVENTS</w:t>
      </w:r>
    </w:p>
    <w:p w14:paraId="39B78ED3" w14:textId="4E585C5E" w:rsidR="00010038" w:rsidRPr="00010038" w:rsidRDefault="00010038" w:rsidP="004E2262">
      <w:pPr>
        <w:pStyle w:val="ScheduleText2"/>
        <w:numPr>
          <w:ilvl w:val="1"/>
          <w:numId w:val="83"/>
        </w:numPr>
        <w:rPr>
          <w:rFonts w:cs="Arial"/>
          <w:sz w:val="22"/>
          <w:szCs w:val="22"/>
        </w:rPr>
      </w:pPr>
      <w:bookmarkStart w:id="3958" w:name="_Ref_ContractCompanion_9kb9Us398"/>
      <w:bookmarkStart w:id="3959" w:name="_9kR3WTrAG97DEDDSLwphmkw1uFPHCBBDKF231uC"/>
      <w:r w:rsidRPr="00010038">
        <w:rPr>
          <w:rFonts w:cs="Arial"/>
          <w:sz w:val="22"/>
          <w:szCs w:val="22"/>
        </w:rPr>
        <w:t xml:space="preserve">Immediately upon notification by the Provider of a Financial Distress Event (or if HSE becomes aware of a Financial Distress Event without notification and brings the event to the attention of the Provider), the Provider shall have the obligations and HSE shall have the rights and remedies as set out in </w:t>
      </w:r>
      <w:bookmarkStart w:id="3960" w:name="_9kMHG5YVtCIB9CJLHhTlXiC85zt3I9sx9z26CH0"/>
      <w:r w:rsidR="002C5B87">
        <w:rPr>
          <w:rFonts w:cs="Arial"/>
          <w:sz w:val="22"/>
          <w:szCs w:val="22"/>
        </w:rPr>
        <w:t>p</w:t>
      </w:r>
      <w:r w:rsidRPr="00010038">
        <w:rPr>
          <w:rFonts w:cs="Arial"/>
          <w:sz w:val="22"/>
          <w:szCs w:val="22"/>
        </w:rPr>
        <w:t xml:space="preserve">aragraphs </w:t>
      </w:r>
      <w:r w:rsidRPr="00010038">
        <w:rPr>
          <w:rFonts w:cs="Arial"/>
          <w:sz w:val="22"/>
          <w:szCs w:val="22"/>
        </w:rPr>
        <w:fldChar w:fldCharType="begin"/>
      </w:r>
      <w:r w:rsidRPr="00010038">
        <w:rPr>
          <w:rFonts w:cs="Arial"/>
          <w:sz w:val="22"/>
          <w:szCs w:val="22"/>
        </w:rPr>
        <w:instrText xml:space="preserve"> REF _Ref_ContractCompanion_9kb9Us36B \n \h \t \* MERGEFORMAT </w:instrText>
      </w:r>
      <w:r w:rsidRPr="00010038">
        <w:rPr>
          <w:rFonts w:cs="Arial"/>
          <w:sz w:val="22"/>
          <w:szCs w:val="22"/>
        </w:rPr>
      </w:r>
      <w:r w:rsidRPr="00010038">
        <w:rPr>
          <w:rFonts w:cs="Arial"/>
          <w:sz w:val="22"/>
          <w:szCs w:val="22"/>
        </w:rPr>
        <w:fldChar w:fldCharType="separate"/>
      </w:r>
      <w:r w:rsidR="00C87D85">
        <w:rPr>
          <w:rFonts w:cs="Arial"/>
          <w:sz w:val="22"/>
          <w:szCs w:val="22"/>
        </w:rPr>
        <w:t>4.3</w:t>
      </w:r>
      <w:r w:rsidRPr="00010038">
        <w:rPr>
          <w:rFonts w:cs="Arial"/>
          <w:sz w:val="22"/>
          <w:szCs w:val="22"/>
        </w:rPr>
        <w:fldChar w:fldCharType="end"/>
      </w:r>
      <w:bookmarkEnd w:id="3960"/>
      <w:r w:rsidRPr="00010038">
        <w:rPr>
          <w:rFonts w:cs="Arial"/>
          <w:sz w:val="22"/>
          <w:szCs w:val="22"/>
        </w:rPr>
        <w:t xml:space="preserve"> to </w:t>
      </w:r>
      <w:bookmarkStart w:id="3961" w:name="_9kMHG5YVtCIB9DDEKWMzx1D80znxDGGL8zE9FI4"/>
      <w:r w:rsidRPr="00010038">
        <w:rPr>
          <w:rFonts w:cs="Arial"/>
          <w:sz w:val="22"/>
          <w:szCs w:val="22"/>
        </w:rPr>
        <w:fldChar w:fldCharType="begin"/>
      </w:r>
      <w:r w:rsidRPr="00010038">
        <w:rPr>
          <w:rFonts w:cs="Arial"/>
          <w:sz w:val="22"/>
          <w:szCs w:val="22"/>
        </w:rPr>
        <w:instrText xml:space="preserve"> REF _Ref_ContractCompanion_9kb9Us36E \n \h \t \* MERGEFORMAT </w:instrText>
      </w:r>
      <w:r w:rsidRPr="00010038">
        <w:rPr>
          <w:rFonts w:cs="Arial"/>
          <w:sz w:val="22"/>
          <w:szCs w:val="22"/>
        </w:rPr>
      </w:r>
      <w:r w:rsidRPr="00010038">
        <w:rPr>
          <w:rFonts w:cs="Arial"/>
          <w:sz w:val="22"/>
          <w:szCs w:val="22"/>
        </w:rPr>
        <w:fldChar w:fldCharType="separate"/>
      </w:r>
      <w:r w:rsidR="00C87D85">
        <w:rPr>
          <w:rFonts w:cs="Arial"/>
          <w:sz w:val="22"/>
          <w:szCs w:val="22"/>
        </w:rPr>
        <w:t>4.5</w:t>
      </w:r>
      <w:r w:rsidRPr="00010038">
        <w:rPr>
          <w:rFonts w:cs="Arial"/>
          <w:sz w:val="22"/>
          <w:szCs w:val="22"/>
        </w:rPr>
        <w:fldChar w:fldCharType="end"/>
      </w:r>
      <w:bookmarkEnd w:id="3961"/>
      <w:r w:rsidRPr="00010038">
        <w:rPr>
          <w:rFonts w:cs="Arial"/>
          <w:sz w:val="22"/>
          <w:szCs w:val="22"/>
        </w:rPr>
        <w:t>.</w:t>
      </w:r>
      <w:bookmarkEnd w:id="3958"/>
      <w:bookmarkEnd w:id="3959"/>
    </w:p>
    <w:p w14:paraId="51EF0CF4" w14:textId="59166369" w:rsidR="00010038" w:rsidRPr="00010038" w:rsidRDefault="00010038" w:rsidP="004E2262">
      <w:pPr>
        <w:pStyle w:val="ScheduleText2"/>
        <w:numPr>
          <w:ilvl w:val="1"/>
          <w:numId w:val="83"/>
        </w:numPr>
        <w:rPr>
          <w:rFonts w:cs="Arial"/>
          <w:sz w:val="22"/>
          <w:szCs w:val="22"/>
        </w:rPr>
      </w:pPr>
      <w:r w:rsidRPr="00010038">
        <w:rPr>
          <w:rFonts w:cs="Arial"/>
          <w:sz w:val="22"/>
          <w:szCs w:val="22"/>
        </w:rPr>
        <w:t>In the event of a la</w:t>
      </w:r>
      <w:r w:rsidR="002C5B87">
        <w:rPr>
          <w:rFonts w:cs="Arial"/>
          <w:sz w:val="22"/>
          <w:szCs w:val="22"/>
        </w:rPr>
        <w:t>te or non-payment of a Key Sub-C</w:t>
      </w:r>
      <w:bookmarkStart w:id="3962" w:name="_9kR3WTr2BC7BEaEnoewrqyDLx"/>
      <w:r w:rsidR="002C5B87">
        <w:rPr>
          <w:rFonts w:cs="Arial"/>
          <w:sz w:val="22"/>
          <w:szCs w:val="22"/>
        </w:rPr>
        <w:t>ontractor pursuant to p</w:t>
      </w:r>
      <w:r w:rsidRPr="00010038">
        <w:rPr>
          <w:rFonts w:cs="Arial"/>
          <w:sz w:val="22"/>
          <w:szCs w:val="22"/>
        </w:rPr>
        <w:t xml:space="preserve">aragraph </w:t>
      </w:r>
      <w:r w:rsidRPr="00010038">
        <w:rPr>
          <w:rFonts w:cs="Arial"/>
          <w:sz w:val="22"/>
          <w:szCs w:val="22"/>
        </w:rPr>
        <w:fldChar w:fldCharType="begin"/>
      </w:r>
      <w:r w:rsidRPr="00010038">
        <w:rPr>
          <w:rFonts w:cs="Arial"/>
          <w:sz w:val="22"/>
          <w:szCs w:val="22"/>
        </w:rPr>
        <w:instrText xml:space="preserve"> REF _Ref_ContractCompanion_9kb9Us378 \w \h \t \* MERGEFORMAT </w:instrText>
      </w:r>
      <w:r w:rsidRPr="00010038">
        <w:rPr>
          <w:rFonts w:cs="Arial"/>
          <w:sz w:val="22"/>
          <w:szCs w:val="22"/>
        </w:rPr>
      </w:r>
      <w:r w:rsidRPr="00010038">
        <w:rPr>
          <w:rFonts w:cs="Arial"/>
          <w:sz w:val="22"/>
          <w:szCs w:val="22"/>
        </w:rPr>
        <w:fldChar w:fldCharType="separate"/>
      </w:r>
      <w:r w:rsidR="00C87D85">
        <w:rPr>
          <w:rFonts w:cs="Arial"/>
          <w:sz w:val="22"/>
          <w:szCs w:val="22"/>
        </w:rPr>
        <w:t>3.1(e)</w:t>
      </w:r>
      <w:r w:rsidRPr="00010038">
        <w:rPr>
          <w:rFonts w:cs="Arial"/>
          <w:sz w:val="22"/>
          <w:szCs w:val="22"/>
        </w:rPr>
        <w:fldChar w:fldCharType="end"/>
      </w:r>
      <w:bookmarkEnd w:id="3962"/>
      <w:r w:rsidRPr="00010038">
        <w:rPr>
          <w:rFonts w:cs="Arial"/>
          <w:sz w:val="22"/>
          <w:szCs w:val="22"/>
        </w:rPr>
        <w:t xml:space="preserve">, HSE shall not exercise any of its rights or remedies under </w:t>
      </w:r>
      <w:bookmarkStart w:id="3963" w:name="_9kMIH5YVtCIB9CJLHhTlXiC85zt3I9sx9z26CH0"/>
      <w:r w:rsidR="002C5B87">
        <w:rPr>
          <w:rFonts w:cs="Arial"/>
          <w:sz w:val="22"/>
          <w:szCs w:val="22"/>
        </w:rPr>
        <w:t>p</w:t>
      </w:r>
      <w:r w:rsidRPr="00010038">
        <w:rPr>
          <w:rFonts w:cs="Arial"/>
          <w:sz w:val="22"/>
          <w:szCs w:val="22"/>
        </w:rPr>
        <w:t xml:space="preserve">aragraph </w:t>
      </w:r>
      <w:r w:rsidRPr="00010038">
        <w:rPr>
          <w:rFonts w:cs="Arial"/>
          <w:sz w:val="22"/>
          <w:szCs w:val="22"/>
        </w:rPr>
        <w:fldChar w:fldCharType="begin"/>
      </w:r>
      <w:r w:rsidRPr="00010038">
        <w:rPr>
          <w:rFonts w:cs="Arial"/>
          <w:sz w:val="22"/>
          <w:szCs w:val="22"/>
        </w:rPr>
        <w:instrText xml:space="preserve"> REF _Ref_ContractCompanion_9kb9Us36B \n \h \t \* MERGEFORMAT </w:instrText>
      </w:r>
      <w:r w:rsidRPr="00010038">
        <w:rPr>
          <w:rFonts w:cs="Arial"/>
          <w:sz w:val="22"/>
          <w:szCs w:val="22"/>
        </w:rPr>
      </w:r>
      <w:r w:rsidRPr="00010038">
        <w:rPr>
          <w:rFonts w:cs="Arial"/>
          <w:sz w:val="22"/>
          <w:szCs w:val="22"/>
        </w:rPr>
        <w:fldChar w:fldCharType="separate"/>
      </w:r>
      <w:r w:rsidR="00C87D85">
        <w:rPr>
          <w:rFonts w:cs="Arial"/>
          <w:sz w:val="22"/>
          <w:szCs w:val="22"/>
        </w:rPr>
        <w:t>4.3</w:t>
      </w:r>
      <w:r w:rsidRPr="00010038">
        <w:rPr>
          <w:rFonts w:cs="Arial"/>
          <w:sz w:val="22"/>
          <w:szCs w:val="22"/>
        </w:rPr>
        <w:fldChar w:fldCharType="end"/>
      </w:r>
      <w:bookmarkEnd w:id="3963"/>
      <w:r w:rsidRPr="00010038">
        <w:rPr>
          <w:rFonts w:cs="Arial"/>
          <w:sz w:val="22"/>
          <w:szCs w:val="22"/>
        </w:rPr>
        <w:t xml:space="preserve"> without first giving the Provider 10 Working Days to:</w:t>
      </w:r>
    </w:p>
    <w:p w14:paraId="5AD0DC22" w14:textId="77777777" w:rsidR="00010038" w:rsidRPr="00010038" w:rsidRDefault="00010038" w:rsidP="004E2262">
      <w:pPr>
        <w:pStyle w:val="ScheduleText4"/>
        <w:numPr>
          <w:ilvl w:val="3"/>
          <w:numId w:val="83"/>
        </w:numPr>
        <w:rPr>
          <w:rFonts w:cs="Arial"/>
          <w:sz w:val="22"/>
          <w:szCs w:val="22"/>
        </w:rPr>
      </w:pPr>
      <w:r w:rsidRPr="00010038">
        <w:rPr>
          <w:rFonts w:cs="Arial"/>
          <w:sz w:val="22"/>
          <w:szCs w:val="22"/>
        </w:rPr>
        <w:t xml:space="preserve">rectify such late or non-payment; or </w:t>
      </w:r>
    </w:p>
    <w:p w14:paraId="1999E8FC" w14:textId="76B5999C" w:rsidR="00010038" w:rsidRPr="00010038" w:rsidRDefault="00010038" w:rsidP="004E2262">
      <w:pPr>
        <w:pStyle w:val="ScheduleText4"/>
        <w:numPr>
          <w:ilvl w:val="3"/>
          <w:numId w:val="83"/>
        </w:numPr>
        <w:rPr>
          <w:rFonts w:cs="Arial"/>
          <w:sz w:val="22"/>
          <w:szCs w:val="22"/>
        </w:rPr>
      </w:pPr>
      <w:r w:rsidRPr="00010038">
        <w:rPr>
          <w:rFonts w:cs="Arial"/>
          <w:sz w:val="22"/>
          <w:szCs w:val="22"/>
        </w:rPr>
        <w:t>demonstrate to HSE's reasonable satisfaction that there is a valid reason for late or non-payment.</w:t>
      </w:r>
    </w:p>
    <w:p w14:paraId="408BBCDA" w14:textId="264F374B" w:rsidR="00010038" w:rsidRPr="00010038" w:rsidRDefault="00010038" w:rsidP="004E2262">
      <w:pPr>
        <w:pStyle w:val="ScheduleText2"/>
        <w:numPr>
          <w:ilvl w:val="1"/>
          <w:numId w:val="83"/>
        </w:numPr>
        <w:rPr>
          <w:rFonts w:cs="Arial"/>
          <w:sz w:val="22"/>
          <w:szCs w:val="22"/>
        </w:rPr>
      </w:pPr>
      <w:bookmarkStart w:id="3964" w:name="_Ref_ContractCompanion_9kb9Us36B"/>
      <w:bookmarkStart w:id="3965" w:name="_9kR3WTrAG97AHJFfRjVgA63xr1G7qv7x04AFy3F"/>
      <w:bookmarkStart w:id="3966" w:name="_Ref_ContractCompanion_9kb9Us3AE"/>
      <w:r w:rsidRPr="00010038">
        <w:rPr>
          <w:rFonts w:cs="Arial"/>
          <w:sz w:val="22"/>
          <w:szCs w:val="22"/>
        </w:rPr>
        <w:t xml:space="preserve">The Provider shall </w:t>
      </w:r>
      <w:bookmarkEnd w:id="3964"/>
      <w:bookmarkEnd w:id="3965"/>
      <w:bookmarkEnd w:id="3966"/>
    </w:p>
    <w:p w14:paraId="4BD8BE9A" w14:textId="6C43D99B" w:rsidR="00010038" w:rsidRPr="00010038" w:rsidRDefault="00010038" w:rsidP="004E2262">
      <w:pPr>
        <w:pStyle w:val="ScheduleText4"/>
        <w:numPr>
          <w:ilvl w:val="3"/>
          <w:numId w:val="83"/>
        </w:numPr>
        <w:rPr>
          <w:rFonts w:cs="Arial"/>
          <w:sz w:val="22"/>
          <w:szCs w:val="22"/>
        </w:rPr>
      </w:pPr>
      <w:bookmarkStart w:id="3967" w:name="_9kR3WTrAG97BHIFmXrB0mxyyF43JG39CySdTHDO"/>
      <w:bookmarkStart w:id="3968" w:name="_Ref_ContractCompanion_9kb9Us37B"/>
      <w:r w:rsidRPr="00010038">
        <w:rPr>
          <w:rFonts w:cs="Arial"/>
          <w:sz w:val="22"/>
          <w:szCs w:val="22"/>
        </w:rPr>
        <w:t>at the request of HSE, meet HSE as soon as reasonably practicable (and in any event within 3 Working Days of the initial notification (or awareness) of the Financial Distress Event or such other period as HSE may permit and notify to the Provider in writing) to review the effect of the Financial Distress Event on the continued performance and delivery of the Services in accordance with this Agreement;</w:t>
      </w:r>
      <w:bookmarkEnd w:id="3967"/>
      <w:r w:rsidRPr="00010038">
        <w:rPr>
          <w:rFonts w:cs="Arial"/>
          <w:sz w:val="22"/>
          <w:szCs w:val="22"/>
        </w:rPr>
        <w:t xml:space="preserve"> and</w:t>
      </w:r>
      <w:bookmarkEnd w:id="3968"/>
    </w:p>
    <w:p w14:paraId="5514F7C1" w14:textId="0D068710" w:rsidR="00010038" w:rsidRPr="00010038" w:rsidRDefault="00010038" w:rsidP="004E2262">
      <w:pPr>
        <w:pStyle w:val="ScheduleText4"/>
        <w:numPr>
          <w:ilvl w:val="3"/>
          <w:numId w:val="83"/>
        </w:numPr>
        <w:rPr>
          <w:rFonts w:cs="Arial"/>
          <w:sz w:val="22"/>
          <w:szCs w:val="22"/>
        </w:rPr>
      </w:pPr>
      <w:bookmarkStart w:id="3969" w:name="_Ref_ContractCompanion_9kb9Ur27F"/>
      <w:r w:rsidRPr="00010038">
        <w:rPr>
          <w:rFonts w:cs="Arial"/>
          <w:sz w:val="22"/>
          <w:szCs w:val="22"/>
        </w:rPr>
        <w:t xml:space="preserve">where HSE reasonably believes (taking into account the discussions and any representations made under </w:t>
      </w:r>
      <w:bookmarkStart w:id="3970" w:name="_9kMHG5YVtCIB9DJKHoZtD2oz00H65LI5BE0UfVJ"/>
      <w:r w:rsidR="002C5B87">
        <w:rPr>
          <w:rFonts w:cs="Arial"/>
          <w:sz w:val="22"/>
          <w:szCs w:val="22"/>
        </w:rPr>
        <w:t>p</w:t>
      </w:r>
      <w:r w:rsidRPr="00010038">
        <w:rPr>
          <w:rFonts w:cs="Arial"/>
          <w:sz w:val="22"/>
          <w:szCs w:val="22"/>
        </w:rPr>
        <w:t xml:space="preserve">aragraph </w:t>
      </w:r>
      <w:r w:rsidRPr="00010038">
        <w:rPr>
          <w:rFonts w:cs="Arial"/>
          <w:sz w:val="22"/>
          <w:szCs w:val="22"/>
        </w:rPr>
        <w:fldChar w:fldCharType="begin"/>
      </w:r>
      <w:r w:rsidRPr="00010038">
        <w:rPr>
          <w:rFonts w:cs="Arial"/>
          <w:sz w:val="22"/>
          <w:szCs w:val="22"/>
        </w:rPr>
        <w:instrText xml:space="preserve"> REF _Ref_ContractCompanion_9kb9Us37B \w \h \t \* MERGEFORMAT </w:instrText>
      </w:r>
      <w:r w:rsidRPr="00010038">
        <w:rPr>
          <w:rFonts w:cs="Arial"/>
          <w:sz w:val="22"/>
          <w:szCs w:val="22"/>
        </w:rPr>
      </w:r>
      <w:r w:rsidRPr="00010038">
        <w:rPr>
          <w:rFonts w:cs="Arial"/>
          <w:sz w:val="22"/>
          <w:szCs w:val="22"/>
        </w:rPr>
        <w:fldChar w:fldCharType="separate"/>
      </w:r>
      <w:r w:rsidR="00C87D85">
        <w:rPr>
          <w:rFonts w:cs="Arial"/>
          <w:sz w:val="22"/>
          <w:szCs w:val="22"/>
        </w:rPr>
        <w:t>4.3(a)</w:t>
      </w:r>
      <w:r w:rsidRPr="00010038">
        <w:rPr>
          <w:rFonts w:cs="Arial"/>
          <w:sz w:val="22"/>
          <w:szCs w:val="22"/>
        </w:rPr>
        <w:fldChar w:fldCharType="end"/>
      </w:r>
      <w:bookmarkEnd w:id="3970"/>
      <w:r w:rsidRPr="00010038">
        <w:rPr>
          <w:rFonts w:cs="Arial"/>
          <w:sz w:val="22"/>
          <w:szCs w:val="22"/>
        </w:rPr>
        <w:t xml:space="preserve"> that the Financial Distress Event could impact on the continued performance and delivery of the Services in accordance with this Agreement: </w:t>
      </w:r>
      <w:bookmarkEnd w:id="3969"/>
    </w:p>
    <w:p w14:paraId="207190D7" w14:textId="54BD7836" w:rsidR="00010038" w:rsidRPr="00010038" w:rsidRDefault="00010038" w:rsidP="004E2262">
      <w:pPr>
        <w:pStyle w:val="ScheduleText5"/>
        <w:numPr>
          <w:ilvl w:val="4"/>
          <w:numId w:val="83"/>
        </w:numPr>
        <w:rPr>
          <w:rFonts w:cs="Arial"/>
          <w:sz w:val="22"/>
          <w:szCs w:val="22"/>
        </w:rPr>
      </w:pPr>
      <w:r w:rsidRPr="00010038">
        <w:rPr>
          <w:rFonts w:cs="Arial"/>
          <w:sz w:val="22"/>
          <w:szCs w:val="22"/>
        </w:rPr>
        <w:t>submit to HSE for its approval, a draft Financial Distress Remediation Plan as soon as reasonably practicable (and in any event, within 10 Working Days of the initial notification (or awareness) of the Financial Distress Event or such other period as HSE may permit and notify to the Provider in writing); and</w:t>
      </w:r>
    </w:p>
    <w:p w14:paraId="3FCE46E5" w14:textId="71E6FE9F" w:rsidR="00010038" w:rsidRPr="00010038" w:rsidRDefault="00010038" w:rsidP="004E2262">
      <w:pPr>
        <w:pStyle w:val="ScheduleText5"/>
        <w:numPr>
          <w:ilvl w:val="4"/>
          <w:numId w:val="83"/>
        </w:numPr>
        <w:rPr>
          <w:rFonts w:cs="Arial"/>
          <w:sz w:val="22"/>
          <w:szCs w:val="22"/>
        </w:rPr>
      </w:pPr>
      <w:bookmarkStart w:id="3971" w:name="_Ref_ContractCompanion_9kb9Us39B"/>
      <w:bookmarkStart w:id="3972" w:name="_9kR3WTrAG97DHGFngo0782om6M4zFMBt6FGHHL8"/>
      <w:r w:rsidRPr="00010038">
        <w:rPr>
          <w:rFonts w:cs="Arial"/>
          <w:sz w:val="22"/>
          <w:szCs w:val="22"/>
        </w:rPr>
        <w:t xml:space="preserve">to the extent that it is legally permitted to do so and subject to </w:t>
      </w:r>
      <w:bookmarkStart w:id="3973" w:name="_9kMHG5YVtCIB9EDDMmTlXiC85zt3I9sx9JRCCDx"/>
      <w:r w:rsidR="002C5B87">
        <w:rPr>
          <w:rFonts w:cs="Arial"/>
          <w:sz w:val="22"/>
          <w:szCs w:val="22"/>
        </w:rPr>
        <w:t>p</w:t>
      </w:r>
      <w:r w:rsidRPr="00010038">
        <w:rPr>
          <w:rFonts w:cs="Arial"/>
          <w:sz w:val="22"/>
          <w:szCs w:val="22"/>
        </w:rPr>
        <w:t xml:space="preserve">aragraph </w:t>
      </w:r>
      <w:r w:rsidRPr="00010038">
        <w:rPr>
          <w:rFonts w:cs="Arial"/>
          <w:sz w:val="22"/>
          <w:szCs w:val="22"/>
        </w:rPr>
        <w:fldChar w:fldCharType="begin"/>
      </w:r>
      <w:r w:rsidRPr="00010038">
        <w:rPr>
          <w:rFonts w:cs="Arial"/>
          <w:sz w:val="22"/>
          <w:szCs w:val="22"/>
        </w:rPr>
        <w:instrText xml:space="preserve"> REF _Ref_ContractCompanion_9kb9Us37E \n \h \t \* MERGEFORMAT </w:instrText>
      </w:r>
      <w:r w:rsidRPr="00010038">
        <w:rPr>
          <w:rFonts w:cs="Arial"/>
          <w:sz w:val="22"/>
          <w:szCs w:val="22"/>
        </w:rPr>
      </w:r>
      <w:r w:rsidRPr="00010038">
        <w:rPr>
          <w:rFonts w:cs="Arial"/>
          <w:sz w:val="22"/>
          <w:szCs w:val="22"/>
        </w:rPr>
        <w:fldChar w:fldCharType="separate"/>
      </w:r>
      <w:r w:rsidR="00C87D85">
        <w:rPr>
          <w:rFonts w:cs="Arial"/>
          <w:sz w:val="22"/>
          <w:szCs w:val="22"/>
        </w:rPr>
        <w:t>4.7</w:t>
      </w:r>
      <w:r w:rsidRPr="00010038">
        <w:rPr>
          <w:rFonts w:cs="Arial"/>
          <w:sz w:val="22"/>
          <w:szCs w:val="22"/>
        </w:rPr>
        <w:fldChar w:fldCharType="end"/>
      </w:r>
      <w:bookmarkEnd w:id="3973"/>
      <w:r w:rsidRPr="00010038">
        <w:rPr>
          <w:rFonts w:cs="Arial"/>
          <w:sz w:val="22"/>
          <w:szCs w:val="22"/>
        </w:rPr>
        <w:t>, provide such information relating to the Provider, as HSE may reasonably require in order to understand the risk to the Services, which may include forecasts in relation to cash flow, orders and profits and details of financial measures being considered to mitigate the impact of the Financial Distress Event.</w:t>
      </w:r>
      <w:bookmarkEnd w:id="3971"/>
      <w:bookmarkEnd w:id="3972"/>
    </w:p>
    <w:p w14:paraId="6782A145" w14:textId="4B38574C" w:rsidR="00010038" w:rsidRPr="00010038" w:rsidRDefault="00010038" w:rsidP="004E2262">
      <w:pPr>
        <w:pStyle w:val="ScheduleText2"/>
        <w:numPr>
          <w:ilvl w:val="1"/>
          <w:numId w:val="83"/>
        </w:numPr>
        <w:rPr>
          <w:rFonts w:cs="Arial"/>
          <w:sz w:val="22"/>
          <w:szCs w:val="22"/>
        </w:rPr>
      </w:pPr>
      <w:bookmarkStart w:id="3974" w:name="_9kR3WTrAG97CKKGgRjDOE2y947OO8rw8BFMVLJJ"/>
      <w:bookmarkStart w:id="3975" w:name="_Ref88648491"/>
      <w:bookmarkStart w:id="3976" w:name="_Ref_ContractCompanion_9kb9Us38E"/>
      <w:r w:rsidRPr="00010038">
        <w:rPr>
          <w:rFonts w:cs="Arial"/>
          <w:sz w:val="22"/>
          <w:szCs w:val="22"/>
        </w:rPr>
        <w:t>HSE shall not withhold its approval of a draft Financial Distress Remediation Plan unreasonably.</w:t>
      </w:r>
      <w:bookmarkEnd w:id="3974"/>
      <w:r w:rsidRPr="00010038">
        <w:rPr>
          <w:rFonts w:cs="Arial"/>
          <w:sz w:val="22"/>
          <w:szCs w:val="22"/>
        </w:rPr>
        <w:t xml:space="preserve"> If HSE does not approve the draft Financial Distress Remediation Plan, it shall inform the Provider of its reasons and the Provider shall take those reasons into account in the preparation of a further draft Financial Distress Remediation Plan, which shall be resubmitted to HSE within 5 Working Days of the </w:t>
      </w:r>
      <w:r w:rsidRPr="00010038">
        <w:rPr>
          <w:rFonts w:cs="Arial"/>
          <w:sz w:val="22"/>
          <w:szCs w:val="22"/>
        </w:rPr>
        <w:lastRenderedPageBreak/>
        <w:t>rejection of the first draft. This process shall be repeated until the Financial Distress Remediation Plan is either:</w:t>
      </w:r>
      <w:bookmarkEnd w:id="3975"/>
    </w:p>
    <w:p w14:paraId="1971CB5B" w14:textId="4C346157" w:rsidR="00010038" w:rsidRPr="00010038" w:rsidRDefault="00010038" w:rsidP="004E2262">
      <w:pPr>
        <w:pStyle w:val="ScheduleText4"/>
        <w:numPr>
          <w:ilvl w:val="3"/>
          <w:numId w:val="83"/>
        </w:numPr>
        <w:rPr>
          <w:rFonts w:cs="Arial"/>
          <w:sz w:val="22"/>
          <w:szCs w:val="22"/>
        </w:rPr>
      </w:pPr>
      <w:r w:rsidRPr="00010038">
        <w:rPr>
          <w:rFonts w:cs="Arial"/>
          <w:sz w:val="22"/>
          <w:szCs w:val="22"/>
        </w:rPr>
        <w:t xml:space="preserve"> approved by HSE;</w:t>
      </w:r>
    </w:p>
    <w:p w14:paraId="3D931C21" w14:textId="77777777" w:rsidR="00010038" w:rsidRPr="00010038" w:rsidRDefault="00010038" w:rsidP="004E2262">
      <w:pPr>
        <w:pStyle w:val="ScheduleText4"/>
        <w:numPr>
          <w:ilvl w:val="3"/>
          <w:numId w:val="83"/>
        </w:numPr>
        <w:rPr>
          <w:rFonts w:cs="Arial"/>
          <w:sz w:val="22"/>
          <w:szCs w:val="22"/>
        </w:rPr>
      </w:pPr>
      <w:r w:rsidRPr="00010038">
        <w:rPr>
          <w:rFonts w:cs="Arial"/>
          <w:sz w:val="22"/>
          <w:szCs w:val="22"/>
        </w:rPr>
        <w:t>referred, by notice sent by either Party to the other Party explaining why it thinks the Financial Distress Remediation Plan has not been approved, to commercial negotiation led by senior representatives who have authority to agree the Financial Distress Remediation Plan to be held within 28 days of the date of the notice; or</w:t>
      </w:r>
    </w:p>
    <w:p w14:paraId="4FAAEF0F" w14:textId="4182026F" w:rsidR="00010038" w:rsidRPr="00010038" w:rsidRDefault="00010038" w:rsidP="004E2262">
      <w:pPr>
        <w:pStyle w:val="ScheduleText4"/>
        <w:numPr>
          <w:ilvl w:val="3"/>
          <w:numId w:val="83"/>
        </w:numPr>
        <w:rPr>
          <w:rFonts w:cs="Arial"/>
          <w:sz w:val="22"/>
          <w:szCs w:val="22"/>
        </w:rPr>
      </w:pPr>
      <w:r w:rsidRPr="00010038">
        <w:rPr>
          <w:rFonts w:cs="Arial"/>
          <w:sz w:val="22"/>
          <w:szCs w:val="22"/>
        </w:rPr>
        <w:t>finally rejected by HSE.</w:t>
      </w:r>
      <w:bookmarkEnd w:id="3976"/>
    </w:p>
    <w:p w14:paraId="6BA200D1" w14:textId="17CD566C" w:rsidR="00010038" w:rsidRPr="00010038" w:rsidRDefault="00010038" w:rsidP="004E2262">
      <w:pPr>
        <w:pStyle w:val="ScheduleText2"/>
        <w:numPr>
          <w:ilvl w:val="1"/>
          <w:numId w:val="83"/>
        </w:numPr>
        <w:rPr>
          <w:rFonts w:cs="Arial"/>
          <w:sz w:val="22"/>
          <w:szCs w:val="22"/>
        </w:rPr>
      </w:pPr>
      <w:bookmarkStart w:id="3977" w:name="_Ref_ContractCompanion_9kb9Us36E"/>
      <w:bookmarkStart w:id="3978" w:name="_9kR3WTrAG97BBCIUKxvzB6yxlvBEEJ6xC7DG2ba"/>
      <w:bookmarkStart w:id="3979" w:name="_Ref_ContractCompanion_9kb9Us3CE"/>
      <w:r w:rsidRPr="00010038">
        <w:rPr>
          <w:rFonts w:cs="Arial"/>
          <w:sz w:val="22"/>
          <w:szCs w:val="22"/>
        </w:rPr>
        <w:t>Following approval of the Financial Distress Remediation Plan by HSE, the Provider shall:</w:t>
      </w:r>
      <w:bookmarkEnd w:id="3977"/>
      <w:bookmarkEnd w:id="3978"/>
      <w:bookmarkEnd w:id="3979"/>
    </w:p>
    <w:p w14:paraId="4106411F" w14:textId="40E3192B" w:rsidR="00010038" w:rsidRPr="00010038" w:rsidRDefault="00010038" w:rsidP="004E2262">
      <w:pPr>
        <w:pStyle w:val="ScheduleText4"/>
        <w:numPr>
          <w:ilvl w:val="3"/>
          <w:numId w:val="83"/>
        </w:numPr>
        <w:rPr>
          <w:rFonts w:cs="Arial"/>
          <w:sz w:val="22"/>
          <w:szCs w:val="22"/>
        </w:rPr>
      </w:pPr>
      <w:bookmarkStart w:id="3980" w:name="_Ref_ContractCompanion_9kb9Us38B"/>
      <w:bookmarkStart w:id="3981" w:name="_9kR3WTrAG97CHHIplzmrwm39qxzj1ABQG3zzGH0"/>
      <w:r w:rsidRPr="00010038">
        <w:rPr>
          <w:rFonts w:cs="Arial"/>
          <w:sz w:val="22"/>
          <w:szCs w:val="22"/>
        </w:rPr>
        <w:t>on a regular basis (which shall not be less than fortnightly):</w:t>
      </w:r>
      <w:bookmarkEnd w:id="3980"/>
      <w:bookmarkEnd w:id="3981"/>
    </w:p>
    <w:p w14:paraId="27FD0B05" w14:textId="51B55411" w:rsidR="00010038" w:rsidRPr="00010038" w:rsidRDefault="00010038" w:rsidP="004E2262">
      <w:pPr>
        <w:pStyle w:val="ScheduleText5"/>
        <w:numPr>
          <w:ilvl w:val="4"/>
          <w:numId w:val="83"/>
        </w:numPr>
        <w:rPr>
          <w:rFonts w:cs="Arial"/>
          <w:sz w:val="22"/>
          <w:szCs w:val="22"/>
        </w:rPr>
      </w:pPr>
      <w:r w:rsidRPr="00010038">
        <w:rPr>
          <w:rFonts w:cs="Arial"/>
          <w:sz w:val="22"/>
          <w:szCs w:val="22"/>
        </w:rPr>
        <w:t>review and make any updates to the Financial Distress Remediation Plan as the Provider may deem reasonably necessary and/or as may be reasonably requested by HSE, so that the plan remains adequate, up to date and ensures the continued performance and delivery of the Services in accordance with this Agreement; and</w:t>
      </w:r>
    </w:p>
    <w:p w14:paraId="319C809B" w14:textId="5053E15E" w:rsidR="00010038" w:rsidRPr="00010038" w:rsidRDefault="00010038" w:rsidP="004E2262">
      <w:pPr>
        <w:pStyle w:val="ScheduleText5"/>
        <w:numPr>
          <w:ilvl w:val="4"/>
          <w:numId w:val="83"/>
        </w:numPr>
        <w:rPr>
          <w:rFonts w:cs="Arial"/>
          <w:sz w:val="22"/>
          <w:szCs w:val="22"/>
        </w:rPr>
      </w:pPr>
      <w:r w:rsidRPr="00010038">
        <w:rPr>
          <w:rFonts w:cs="Arial"/>
          <w:sz w:val="22"/>
          <w:szCs w:val="22"/>
        </w:rPr>
        <w:t>provide a written report to HSE setting out its progress against the Financial Distress Remediation Plan, the reasons for any changes made to the Financial Distress Remediation Plan by the Provider and/or the reasons why the Provider may have decided not to make any changes;</w:t>
      </w:r>
    </w:p>
    <w:p w14:paraId="5BFE8037" w14:textId="31A40614" w:rsidR="00010038" w:rsidRPr="00010038" w:rsidRDefault="00010038" w:rsidP="004E2262">
      <w:pPr>
        <w:pStyle w:val="ScheduleText4"/>
        <w:numPr>
          <w:ilvl w:val="3"/>
          <w:numId w:val="83"/>
        </w:numPr>
        <w:rPr>
          <w:rFonts w:cs="Arial"/>
          <w:sz w:val="22"/>
          <w:szCs w:val="22"/>
        </w:rPr>
      </w:pPr>
      <w:r w:rsidRPr="00010038">
        <w:rPr>
          <w:rFonts w:cs="Arial"/>
          <w:sz w:val="22"/>
          <w:szCs w:val="22"/>
        </w:rPr>
        <w:t xml:space="preserve">where updates are made to the Financial Distress Remediation Plan in accordance with </w:t>
      </w:r>
      <w:bookmarkStart w:id="3982" w:name="_9kMHG5YVtCIB9EJJKrn1otyo5Bsz1l3CDSI511I"/>
      <w:r w:rsidR="002C5B87">
        <w:rPr>
          <w:rFonts w:cs="Arial"/>
          <w:sz w:val="22"/>
          <w:szCs w:val="22"/>
        </w:rPr>
        <w:t>p</w:t>
      </w:r>
      <w:r w:rsidRPr="00010038">
        <w:rPr>
          <w:rFonts w:cs="Arial"/>
          <w:sz w:val="22"/>
          <w:szCs w:val="22"/>
        </w:rPr>
        <w:t xml:space="preserve">aragraph </w:t>
      </w:r>
      <w:r w:rsidRPr="00010038">
        <w:rPr>
          <w:rFonts w:cs="Arial"/>
          <w:sz w:val="22"/>
          <w:szCs w:val="22"/>
        </w:rPr>
        <w:fldChar w:fldCharType="begin"/>
      </w:r>
      <w:r w:rsidRPr="00010038">
        <w:rPr>
          <w:rFonts w:cs="Arial"/>
          <w:sz w:val="22"/>
          <w:szCs w:val="22"/>
        </w:rPr>
        <w:instrText xml:space="preserve"> REF _Ref_ContractCompanion_9kb9Us38B \w \h \t \* MERGEFORMAT </w:instrText>
      </w:r>
      <w:r w:rsidRPr="00010038">
        <w:rPr>
          <w:rFonts w:cs="Arial"/>
          <w:sz w:val="22"/>
          <w:szCs w:val="22"/>
        </w:rPr>
      </w:r>
      <w:r w:rsidRPr="00010038">
        <w:rPr>
          <w:rFonts w:cs="Arial"/>
          <w:sz w:val="22"/>
          <w:szCs w:val="22"/>
        </w:rPr>
        <w:fldChar w:fldCharType="separate"/>
      </w:r>
      <w:r w:rsidR="00C87D85">
        <w:rPr>
          <w:rFonts w:cs="Arial"/>
          <w:sz w:val="22"/>
          <w:szCs w:val="22"/>
        </w:rPr>
        <w:t>4.5(a)</w:t>
      </w:r>
      <w:r w:rsidRPr="00010038">
        <w:rPr>
          <w:rFonts w:cs="Arial"/>
          <w:sz w:val="22"/>
          <w:szCs w:val="22"/>
        </w:rPr>
        <w:fldChar w:fldCharType="end"/>
      </w:r>
      <w:bookmarkEnd w:id="3982"/>
      <w:r w:rsidRPr="00010038">
        <w:rPr>
          <w:rFonts w:cs="Arial"/>
          <w:sz w:val="22"/>
          <w:szCs w:val="22"/>
        </w:rPr>
        <w:t xml:space="preserve">, submit an updated Financial Distress Remediation Plan to HSE for its approval, and the provisions of </w:t>
      </w:r>
      <w:bookmarkStart w:id="3983" w:name="_9kMHG5YVtCIB9EMMIiTlFQG40B69QQAtyADHOXN"/>
      <w:r w:rsidR="002C5B87">
        <w:rPr>
          <w:rFonts w:cs="Arial"/>
          <w:sz w:val="22"/>
          <w:szCs w:val="22"/>
        </w:rPr>
        <w:t>p</w:t>
      </w:r>
      <w:r w:rsidRPr="00010038">
        <w:rPr>
          <w:rFonts w:cs="Arial"/>
          <w:sz w:val="22"/>
          <w:szCs w:val="22"/>
        </w:rPr>
        <w:t xml:space="preserve">aragraphs </w:t>
      </w:r>
      <w:r w:rsidRPr="00010038">
        <w:rPr>
          <w:rFonts w:cs="Arial"/>
          <w:sz w:val="22"/>
          <w:szCs w:val="22"/>
        </w:rPr>
        <w:fldChar w:fldCharType="begin"/>
      </w:r>
      <w:r w:rsidRPr="00010038">
        <w:rPr>
          <w:rFonts w:cs="Arial"/>
          <w:sz w:val="22"/>
          <w:szCs w:val="22"/>
        </w:rPr>
        <w:instrText xml:space="preserve"> REF _Ref_ContractCompanion_9kb9Us38E \n \h \t \* MERGEFORMAT </w:instrText>
      </w:r>
      <w:r w:rsidRPr="00010038">
        <w:rPr>
          <w:rFonts w:cs="Arial"/>
          <w:sz w:val="22"/>
          <w:szCs w:val="22"/>
        </w:rPr>
      </w:r>
      <w:r w:rsidRPr="00010038">
        <w:rPr>
          <w:rFonts w:cs="Arial"/>
          <w:sz w:val="22"/>
          <w:szCs w:val="22"/>
        </w:rPr>
        <w:fldChar w:fldCharType="separate"/>
      </w:r>
      <w:r w:rsidR="00C87D85">
        <w:rPr>
          <w:rFonts w:cs="Arial"/>
          <w:sz w:val="22"/>
          <w:szCs w:val="22"/>
        </w:rPr>
        <w:t>4.4</w:t>
      </w:r>
      <w:r w:rsidRPr="00010038">
        <w:rPr>
          <w:rFonts w:cs="Arial"/>
          <w:sz w:val="22"/>
          <w:szCs w:val="22"/>
        </w:rPr>
        <w:fldChar w:fldCharType="end"/>
      </w:r>
      <w:bookmarkEnd w:id="3983"/>
      <w:r w:rsidRPr="00010038">
        <w:rPr>
          <w:rFonts w:cs="Arial"/>
          <w:sz w:val="22"/>
          <w:szCs w:val="22"/>
        </w:rPr>
        <w:t xml:space="preserve"> and </w:t>
      </w:r>
      <w:bookmarkStart w:id="3984" w:name="_9kMIH5YVtCIB9EGGJYGy1nHSI62D8BSC3FKG2zE"/>
      <w:r w:rsidRPr="00010038">
        <w:rPr>
          <w:rFonts w:cs="Arial"/>
          <w:sz w:val="22"/>
          <w:szCs w:val="22"/>
        </w:rPr>
        <w:fldChar w:fldCharType="begin"/>
      </w:r>
      <w:r w:rsidRPr="00010038">
        <w:rPr>
          <w:rFonts w:cs="Arial"/>
          <w:sz w:val="22"/>
          <w:szCs w:val="22"/>
        </w:rPr>
        <w:instrText xml:space="preserve"> REF _Ref_ContractCompanion_9kb9Us38B \w \h \t \* MERGEFORMAT </w:instrText>
      </w:r>
      <w:r w:rsidRPr="00010038">
        <w:rPr>
          <w:rFonts w:cs="Arial"/>
          <w:sz w:val="22"/>
          <w:szCs w:val="22"/>
        </w:rPr>
      </w:r>
      <w:r w:rsidRPr="00010038">
        <w:rPr>
          <w:rFonts w:cs="Arial"/>
          <w:sz w:val="22"/>
          <w:szCs w:val="22"/>
        </w:rPr>
        <w:fldChar w:fldCharType="separate"/>
      </w:r>
      <w:r w:rsidR="00C87D85">
        <w:rPr>
          <w:rFonts w:cs="Arial"/>
          <w:sz w:val="22"/>
          <w:szCs w:val="22"/>
        </w:rPr>
        <w:t>4.5(a)</w:t>
      </w:r>
      <w:r w:rsidRPr="00010038">
        <w:rPr>
          <w:rFonts w:cs="Arial"/>
          <w:sz w:val="22"/>
          <w:szCs w:val="22"/>
        </w:rPr>
        <w:fldChar w:fldCharType="end"/>
      </w:r>
      <w:bookmarkEnd w:id="3984"/>
      <w:r w:rsidRPr="00010038">
        <w:rPr>
          <w:rFonts w:cs="Arial"/>
          <w:sz w:val="22"/>
          <w:szCs w:val="22"/>
        </w:rPr>
        <w:t xml:space="preserve"> shall apply to the review and approval process for the updated Financial Distress Remediation Plan; and </w:t>
      </w:r>
    </w:p>
    <w:p w14:paraId="4D89A9E0" w14:textId="68B9BDDC" w:rsidR="00010038" w:rsidRPr="00010038" w:rsidRDefault="00010038" w:rsidP="004E2262">
      <w:pPr>
        <w:pStyle w:val="ScheduleText4"/>
        <w:numPr>
          <w:ilvl w:val="3"/>
          <w:numId w:val="83"/>
        </w:numPr>
        <w:rPr>
          <w:rFonts w:cs="Arial"/>
          <w:sz w:val="22"/>
          <w:szCs w:val="22"/>
        </w:rPr>
      </w:pPr>
      <w:bookmarkStart w:id="3985" w:name="_Ref_ContractCompanion_9kb9Us3BB"/>
      <w:r w:rsidRPr="00010038">
        <w:rPr>
          <w:rFonts w:cs="Arial"/>
          <w:sz w:val="22"/>
          <w:szCs w:val="22"/>
        </w:rPr>
        <w:t>comply with the Financial Distress Remediation Plan (including any updated Financial Distress Remediation Plan) and ensure that it achieves the financial and performance requirements set out in the Financial Distress Remediation Plan.</w:t>
      </w:r>
      <w:bookmarkEnd w:id="3985"/>
    </w:p>
    <w:p w14:paraId="3546E5CB" w14:textId="413FA0A3" w:rsidR="00010038" w:rsidRPr="00010038" w:rsidRDefault="00010038" w:rsidP="004E2262">
      <w:pPr>
        <w:pStyle w:val="ScheduleText2"/>
        <w:numPr>
          <w:ilvl w:val="1"/>
          <w:numId w:val="83"/>
        </w:numPr>
        <w:rPr>
          <w:rFonts w:cs="Arial"/>
          <w:sz w:val="22"/>
          <w:szCs w:val="22"/>
        </w:rPr>
      </w:pPr>
      <w:r w:rsidRPr="00010038">
        <w:rPr>
          <w:rFonts w:cs="Arial"/>
          <w:sz w:val="22"/>
          <w:szCs w:val="22"/>
        </w:rPr>
        <w:t xml:space="preserve">Where the Provider reasonably believes that the relevant Financial Distress Event under </w:t>
      </w:r>
      <w:bookmarkStart w:id="3986" w:name="_9kMHG5YVtCIB9FGFFUNyrjomy3wHRJEDDFMH453"/>
      <w:r w:rsidR="00840A0F">
        <w:rPr>
          <w:rFonts w:cs="Arial"/>
          <w:sz w:val="22"/>
          <w:szCs w:val="22"/>
        </w:rPr>
        <w:t>p</w:t>
      </w:r>
      <w:r w:rsidRPr="00010038">
        <w:rPr>
          <w:rFonts w:cs="Arial"/>
          <w:sz w:val="22"/>
          <w:szCs w:val="22"/>
        </w:rPr>
        <w:t xml:space="preserve">aragraph </w:t>
      </w:r>
      <w:bookmarkEnd w:id="3986"/>
      <w:r w:rsidRPr="00010038">
        <w:rPr>
          <w:rFonts w:cs="Arial"/>
          <w:sz w:val="22"/>
          <w:szCs w:val="22"/>
        </w:rPr>
        <w:fldChar w:fldCharType="begin"/>
      </w:r>
      <w:r w:rsidRPr="00010038">
        <w:rPr>
          <w:rFonts w:cs="Arial"/>
          <w:sz w:val="22"/>
          <w:szCs w:val="22"/>
        </w:rPr>
        <w:instrText xml:space="preserve"> REF _Ref_ContractCompanion_9kb9Us398 \w \h  \* MERGEFORMAT </w:instrText>
      </w:r>
      <w:r w:rsidRPr="00010038">
        <w:rPr>
          <w:rFonts w:cs="Arial"/>
          <w:sz w:val="22"/>
          <w:szCs w:val="22"/>
        </w:rPr>
      </w:r>
      <w:r w:rsidRPr="00010038">
        <w:rPr>
          <w:rFonts w:cs="Arial"/>
          <w:sz w:val="22"/>
          <w:szCs w:val="22"/>
        </w:rPr>
        <w:fldChar w:fldCharType="separate"/>
      </w:r>
      <w:r w:rsidR="00C87D85">
        <w:rPr>
          <w:rFonts w:cs="Arial"/>
          <w:sz w:val="22"/>
          <w:szCs w:val="22"/>
        </w:rPr>
        <w:t>4.1</w:t>
      </w:r>
      <w:r w:rsidRPr="00010038">
        <w:rPr>
          <w:rFonts w:cs="Arial"/>
          <w:sz w:val="22"/>
          <w:szCs w:val="22"/>
        </w:rPr>
        <w:fldChar w:fldCharType="end"/>
      </w:r>
      <w:r w:rsidRPr="00010038">
        <w:rPr>
          <w:rFonts w:cs="Arial"/>
          <w:sz w:val="22"/>
          <w:szCs w:val="22"/>
        </w:rPr>
        <w:t xml:space="preserve"> (or the circumstance or matter which has caused or otherwise led to it) no longer exists, it shall notify HSE and the Parties may agree that the Provider shall be relieved of its obligations under </w:t>
      </w:r>
      <w:bookmarkStart w:id="3987" w:name="_9kMIH5YVtCIB9DDEKWMzx1D80znxDGGL8zE9FI4"/>
      <w:r w:rsidR="002C5B87">
        <w:rPr>
          <w:rFonts w:cs="Arial"/>
          <w:sz w:val="22"/>
          <w:szCs w:val="22"/>
        </w:rPr>
        <w:t>p</w:t>
      </w:r>
      <w:r w:rsidRPr="00010038">
        <w:rPr>
          <w:rFonts w:cs="Arial"/>
          <w:sz w:val="22"/>
          <w:szCs w:val="22"/>
        </w:rPr>
        <w:t xml:space="preserve">aragraph </w:t>
      </w:r>
      <w:r w:rsidRPr="00010038">
        <w:rPr>
          <w:rFonts w:cs="Arial"/>
          <w:sz w:val="22"/>
          <w:szCs w:val="22"/>
        </w:rPr>
        <w:fldChar w:fldCharType="begin"/>
      </w:r>
      <w:r w:rsidRPr="00010038">
        <w:rPr>
          <w:rFonts w:cs="Arial"/>
          <w:sz w:val="22"/>
          <w:szCs w:val="22"/>
        </w:rPr>
        <w:instrText xml:space="preserve"> REF _Ref_ContractCompanion_9kb9Us36E \n \h \t \* MERGEFORMAT </w:instrText>
      </w:r>
      <w:r w:rsidRPr="00010038">
        <w:rPr>
          <w:rFonts w:cs="Arial"/>
          <w:sz w:val="22"/>
          <w:szCs w:val="22"/>
        </w:rPr>
      </w:r>
      <w:r w:rsidRPr="00010038">
        <w:rPr>
          <w:rFonts w:cs="Arial"/>
          <w:sz w:val="22"/>
          <w:szCs w:val="22"/>
        </w:rPr>
        <w:fldChar w:fldCharType="separate"/>
      </w:r>
      <w:r w:rsidR="00C87D85">
        <w:rPr>
          <w:rFonts w:cs="Arial"/>
          <w:sz w:val="22"/>
          <w:szCs w:val="22"/>
        </w:rPr>
        <w:t>4.5</w:t>
      </w:r>
      <w:r w:rsidRPr="00010038">
        <w:rPr>
          <w:rFonts w:cs="Arial"/>
          <w:sz w:val="22"/>
          <w:szCs w:val="22"/>
        </w:rPr>
        <w:fldChar w:fldCharType="end"/>
      </w:r>
      <w:bookmarkEnd w:id="3987"/>
      <w:r w:rsidRPr="00010038">
        <w:rPr>
          <w:rFonts w:cs="Arial"/>
          <w:sz w:val="22"/>
          <w:szCs w:val="22"/>
        </w:rPr>
        <w:t xml:space="preserve">. </w:t>
      </w:r>
    </w:p>
    <w:p w14:paraId="7BEA7A67" w14:textId="1665FCAC" w:rsidR="00010038" w:rsidRPr="00010038" w:rsidRDefault="00010038" w:rsidP="004E2262">
      <w:pPr>
        <w:pStyle w:val="ScheduleText2"/>
        <w:numPr>
          <w:ilvl w:val="1"/>
          <w:numId w:val="83"/>
        </w:numPr>
        <w:rPr>
          <w:rFonts w:cs="Arial"/>
          <w:sz w:val="22"/>
          <w:szCs w:val="22"/>
        </w:rPr>
      </w:pPr>
      <w:bookmarkStart w:id="3988" w:name="_9kR3WTrAG97CBBKkRjVgA63xr1G7qv7HPAABvAP"/>
      <w:bookmarkStart w:id="3989" w:name="_Ref_ContractCompanion_9kb9Us37E"/>
      <w:r w:rsidRPr="00010038">
        <w:rPr>
          <w:rFonts w:cs="Arial"/>
          <w:sz w:val="22"/>
          <w:szCs w:val="22"/>
        </w:rPr>
        <w:t xml:space="preserve">The Provider shall use reasonable endeavours to put in place the necessary measures to ensure that the information specified at </w:t>
      </w:r>
      <w:bookmarkStart w:id="3990" w:name="_9kMHG5YVtCIB9FJIHpiq29A4qo8O61HODv8HIJJ"/>
      <w:r w:rsidR="002C5B87">
        <w:rPr>
          <w:rFonts w:cs="Arial"/>
          <w:sz w:val="22"/>
          <w:szCs w:val="22"/>
        </w:rPr>
        <w:t>p</w:t>
      </w:r>
      <w:r w:rsidRPr="00010038">
        <w:rPr>
          <w:rFonts w:cs="Arial"/>
          <w:sz w:val="22"/>
          <w:szCs w:val="22"/>
        </w:rPr>
        <w:t xml:space="preserve">aragraph </w:t>
      </w:r>
      <w:r w:rsidRPr="00010038">
        <w:rPr>
          <w:rFonts w:cs="Arial"/>
          <w:sz w:val="22"/>
          <w:szCs w:val="22"/>
        </w:rPr>
        <w:fldChar w:fldCharType="begin"/>
      </w:r>
      <w:r w:rsidRPr="00010038">
        <w:rPr>
          <w:rFonts w:cs="Arial"/>
          <w:sz w:val="22"/>
          <w:szCs w:val="22"/>
        </w:rPr>
        <w:instrText xml:space="preserve"> REF _Ref_ContractCompanion_9kb9Us39B \w \h \t \* MERGEFORMAT </w:instrText>
      </w:r>
      <w:r w:rsidRPr="00010038">
        <w:rPr>
          <w:rFonts w:cs="Arial"/>
          <w:sz w:val="22"/>
          <w:szCs w:val="22"/>
        </w:rPr>
      </w:r>
      <w:r w:rsidRPr="00010038">
        <w:rPr>
          <w:rFonts w:cs="Arial"/>
          <w:sz w:val="22"/>
          <w:szCs w:val="22"/>
        </w:rPr>
        <w:fldChar w:fldCharType="separate"/>
      </w:r>
      <w:r w:rsidR="00C87D85">
        <w:rPr>
          <w:rFonts w:cs="Arial"/>
          <w:sz w:val="22"/>
          <w:szCs w:val="22"/>
        </w:rPr>
        <w:t>4.3(b)(ii)</w:t>
      </w:r>
      <w:r w:rsidRPr="00010038">
        <w:rPr>
          <w:rFonts w:cs="Arial"/>
          <w:sz w:val="22"/>
          <w:szCs w:val="22"/>
        </w:rPr>
        <w:fldChar w:fldCharType="end"/>
      </w:r>
      <w:bookmarkEnd w:id="3990"/>
      <w:r w:rsidRPr="00010038">
        <w:rPr>
          <w:rFonts w:cs="Arial"/>
          <w:sz w:val="22"/>
          <w:szCs w:val="22"/>
        </w:rPr>
        <w:t xml:space="preserve"> is available when required and on request from HSE and within reasonable timescales.</w:t>
      </w:r>
      <w:bookmarkEnd w:id="3988"/>
      <w:r w:rsidRPr="00010038">
        <w:rPr>
          <w:rFonts w:cs="Arial"/>
          <w:sz w:val="22"/>
          <w:szCs w:val="22"/>
        </w:rPr>
        <w:t xml:space="preserve"> Such measures may include:</w:t>
      </w:r>
      <w:bookmarkEnd w:id="3989"/>
    </w:p>
    <w:p w14:paraId="5C3F96D1" w14:textId="1321EA5A" w:rsidR="00010038" w:rsidRPr="00010038" w:rsidRDefault="00010038" w:rsidP="004E2262">
      <w:pPr>
        <w:pStyle w:val="ScheduleText4"/>
        <w:numPr>
          <w:ilvl w:val="3"/>
          <w:numId w:val="83"/>
        </w:numPr>
        <w:rPr>
          <w:rFonts w:cs="Arial"/>
          <w:sz w:val="22"/>
          <w:szCs w:val="22"/>
        </w:rPr>
      </w:pPr>
      <w:r w:rsidRPr="00010038">
        <w:rPr>
          <w:rFonts w:cs="Arial"/>
          <w:sz w:val="22"/>
          <w:szCs w:val="22"/>
        </w:rPr>
        <w:t xml:space="preserve">putting in place any other reasonable arrangements to enable the information to be lawfully disclosed to HSE (which may include making price sensitive information available to </w:t>
      </w:r>
      <w:r w:rsidR="00F1524D">
        <w:rPr>
          <w:rFonts w:cs="Arial"/>
          <w:sz w:val="22"/>
          <w:szCs w:val="22"/>
        </w:rPr>
        <w:t>HSE</w:t>
      </w:r>
      <w:r w:rsidRPr="00010038">
        <w:rPr>
          <w:rFonts w:cs="Arial"/>
          <w:sz w:val="22"/>
          <w:szCs w:val="22"/>
        </w:rPr>
        <w:t xml:space="preserve"> nominated personnel through confidential arrangements, subject to their consent); and</w:t>
      </w:r>
    </w:p>
    <w:p w14:paraId="0E89AABE" w14:textId="77777777" w:rsidR="00010038" w:rsidRPr="00010038" w:rsidRDefault="00010038" w:rsidP="004E2262">
      <w:pPr>
        <w:pStyle w:val="ScheduleText4"/>
        <w:numPr>
          <w:ilvl w:val="3"/>
          <w:numId w:val="83"/>
        </w:numPr>
        <w:rPr>
          <w:rFonts w:cs="Arial"/>
          <w:sz w:val="22"/>
          <w:szCs w:val="22"/>
        </w:rPr>
      </w:pPr>
      <w:r w:rsidRPr="00010038">
        <w:rPr>
          <w:rFonts w:cs="Arial"/>
          <w:sz w:val="22"/>
          <w:szCs w:val="22"/>
        </w:rPr>
        <w:lastRenderedPageBreak/>
        <w:t>disclosing the information to the fullest extent that it is lawfully entitled to do so, including through the use of redaction, anonymisation and any other techniques to permit disclosure of the information without breaching a duty of confidentiality.</w:t>
      </w:r>
    </w:p>
    <w:p w14:paraId="5267F431" w14:textId="2EEA5B81" w:rsidR="00010038" w:rsidRPr="00010038" w:rsidRDefault="00010038" w:rsidP="004E2262">
      <w:pPr>
        <w:pStyle w:val="ScheduleText1"/>
        <w:numPr>
          <w:ilvl w:val="0"/>
          <w:numId w:val="83"/>
        </w:numPr>
        <w:rPr>
          <w:rFonts w:cs="Arial"/>
          <w:sz w:val="22"/>
          <w:szCs w:val="22"/>
        </w:rPr>
      </w:pPr>
      <w:bookmarkStart w:id="3991" w:name="_Ref_ContractCompanion_9kb9Ur7EG"/>
      <w:r w:rsidRPr="00010038">
        <w:rPr>
          <w:rFonts w:cs="Arial"/>
          <w:sz w:val="22"/>
          <w:szCs w:val="22"/>
        </w:rPr>
        <w:t>FINANCIAL INDICATORS</w:t>
      </w:r>
      <w:bookmarkEnd w:id="3991"/>
    </w:p>
    <w:p w14:paraId="72EABF10" w14:textId="62E55270" w:rsidR="00010038" w:rsidRPr="00010038" w:rsidRDefault="00010038" w:rsidP="004E2262">
      <w:pPr>
        <w:pStyle w:val="ScheduleText2"/>
        <w:numPr>
          <w:ilvl w:val="1"/>
          <w:numId w:val="83"/>
        </w:numPr>
        <w:rPr>
          <w:rFonts w:cs="Arial"/>
          <w:sz w:val="22"/>
          <w:szCs w:val="22"/>
        </w:rPr>
      </w:pPr>
      <w:bookmarkStart w:id="3992" w:name="_Ref_ContractCompanion_9kb9Ur8B5"/>
      <w:bookmarkStart w:id="3993" w:name="_Ref_ContractCompanion_9kb9Ur8B7"/>
      <w:bookmarkStart w:id="3994" w:name="_Ref_ContractCompanion_9kb9Ur8B9"/>
      <w:bookmarkStart w:id="3995" w:name="_Ref_ContractCompanion_9kb9Us358"/>
      <w:bookmarkStart w:id="3996" w:name="_Ref_ContractCompanion_9kb9Us39H"/>
      <w:bookmarkStart w:id="3997" w:name="_9kR3WTrAG97EEDEcdtjnhxFBC6solvy8Iz8HDJI"/>
      <w:r w:rsidRPr="00010038">
        <w:rPr>
          <w:rFonts w:cs="Arial"/>
          <w:sz w:val="22"/>
          <w:szCs w:val="22"/>
        </w:rPr>
        <w:t xml:space="preserve">Subject to the calculation methodology set out at Annex </w:t>
      </w:r>
      <w:r w:rsidRPr="00010038">
        <w:rPr>
          <w:rFonts w:cs="Arial"/>
          <w:sz w:val="22"/>
          <w:szCs w:val="22"/>
        </w:rPr>
        <w:fldChar w:fldCharType="begin"/>
      </w:r>
      <w:r w:rsidRPr="00010038">
        <w:rPr>
          <w:rFonts w:cs="Arial"/>
          <w:sz w:val="22"/>
          <w:szCs w:val="22"/>
        </w:rPr>
        <w:instrText xml:space="preserve"> REF ANNEX3_SCHEDULE18 \h  \* MERGEFORMAT </w:instrText>
      </w:r>
      <w:r w:rsidRPr="00010038">
        <w:rPr>
          <w:rFonts w:cs="Arial"/>
          <w:sz w:val="22"/>
          <w:szCs w:val="22"/>
        </w:rPr>
      </w:r>
      <w:r w:rsidRPr="00010038">
        <w:rPr>
          <w:rFonts w:cs="Arial"/>
          <w:sz w:val="22"/>
          <w:szCs w:val="22"/>
        </w:rPr>
        <w:fldChar w:fldCharType="separate"/>
      </w:r>
      <w:r w:rsidR="00C87D85" w:rsidRPr="00010038">
        <w:rPr>
          <w:rFonts w:cs="Arial"/>
          <w:sz w:val="22"/>
          <w:szCs w:val="22"/>
        </w:rPr>
        <w:t>3</w:t>
      </w:r>
      <w:r w:rsidRPr="00010038">
        <w:rPr>
          <w:rFonts w:cs="Arial"/>
          <w:sz w:val="22"/>
          <w:szCs w:val="22"/>
        </w:rPr>
        <w:fldChar w:fldCharType="end"/>
      </w:r>
      <w:r w:rsidRPr="00010038">
        <w:rPr>
          <w:rFonts w:cs="Arial"/>
          <w:sz w:val="22"/>
          <w:szCs w:val="22"/>
        </w:rPr>
        <w:t xml:space="preserve"> of this Schedule, the Financial Indicators and the corresponding calculations and thresholds used to determine whether a Financial Distress Event has occurred in respect of those Financial Indicators, shall be as follows:</w:t>
      </w:r>
      <w:bookmarkEnd w:id="3992"/>
      <w:bookmarkEnd w:id="3993"/>
      <w:bookmarkEnd w:id="3994"/>
      <w:bookmarkEnd w:id="3995"/>
      <w:bookmarkEnd w:id="3996"/>
      <w:bookmarkEnd w:id="3997"/>
    </w:p>
    <w:p w14:paraId="32B0B396" w14:textId="77777777" w:rsidR="00010038" w:rsidRPr="00010038" w:rsidRDefault="00010038" w:rsidP="00010038">
      <w:pPr>
        <w:rPr>
          <w:rFonts w:cs="Arial"/>
          <w:szCs w:val="22"/>
          <w:lang w:eastAsia="en-GB"/>
        </w:rPr>
      </w:pPr>
      <w:r w:rsidRPr="00010038">
        <w:rPr>
          <w:rFonts w:cs="Arial"/>
          <w:szCs w:val="22"/>
        </w:rPr>
        <w:br w:type="page"/>
      </w:r>
    </w:p>
    <w:tbl>
      <w:tblPr>
        <w:tblStyle w:val="TableGrid"/>
        <w:tblW w:w="0" w:type="auto"/>
        <w:tblLook w:val="04A0" w:firstRow="1" w:lastRow="0" w:firstColumn="1" w:lastColumn="0" w:noHBand="0" w:noVBand="1"/>
      </w:tblPr>
      <w:tblGrid>
        <w:gridCol w:w="2254"/>
        <w:gridCol w:w="1975"/>
        <w:gridCol w:w="1695"/>
        <w:gridCol w:w="3086"/>
      </w:tblGrid>
      <w:tr w:rsidR="00010038" w:rsidRPr="00010038" w14:paraId="67BF2CD6" w14:textId="77777777" w:rsidTr="003A3754">
        <w:tc>
          <w:tcPr>
            <w:tcW w:w="2254" w:type="dxa"/>
            <w:shd w:val="pct15" w:color="auto" w:fill="auto"/>
            <w:vAlign w:val="center"/>
          </w:tcPr>
          <w:p w14:paraId="3FE65530" w14:textId="77777777" w:rsidR="00010038" w:rsidRPr="00010038" w:rsidRDefault="00010038" w:rsidP="00D64792">
            <w:pPr>
              <w:pStyle w:val="StdBodyTextBold"/>
              <w:jc w:val="center"/>
              <w:rPr>
                <w:rFonts w:cs="Arial"/>
                <w:sz w:val="22"/>
                <w:szCs w:val="22"/>
              </w:rPr>
            </w:pPr>
            <w:r w:rsidRPr="00010038">
              <w:rPr>
                <w:rFonts w:cs="Arial"/>
                <w:sz w:val="22"/>
                <w:szCs w:val="22"/>
              </w:rPr>
              <w:lastRenderedPageBreak/>
              <w:t>Financial Indicator</w:t>
            </w:r>
          </w:p>
        </w:tc>
        <w:tc>
          <w:tcPr>
            <w:tcW w:w="1975" w:type="dxa"/>
            <w:shd w:val="pct15" w:color="auto" w:fill="auto"/>
            <w:vAlign w:val="center"/>
          </w:tcPr>
          <w:p w14:paraId="025EE829" w14:textId="77777777" w:rsidR="00010038" w:rsidRPr="00010038" w:rsidRDefault="00010038" w:rsidP="00D64792">
            <w:pPr>
              <w:pStyle w:val="StdBodyTextBold"/>
              <w:jc w:val="center"/>
              <w:rPr>
                <w:rFonts w:cs="Arial"/>
                <w:sz w:val="22"/>
                <w:szCs w:val="22"/>
              </w:rPr>
            </w:pPr>
            <w:r w:rsidRPr="00010038">
              <w:rPr>
                <w:rFonts w:cs="Arial"/>
                <w:sz w:val="22"/>
                <w:szCs w:val="22"/>
              </w:rPr>
              <w:t>Calculation</w:t>
            </w:r>
            <w:r w:rsidRPr="00010038">
              <w:rPr>
                <w:rFonts w:cs="Arial"/>
                <w:sz w:val="22"/>
                <w:szCs w:val="22"/>
                <w:vertAlign w:val="superscript"/>
              </w:rPr>
              <w:t>1</w:t>
            </w:r>
          </w:p>
        </w:tc>
        <w:tc>
          <w:tcPr>
            <w:tcW w:w="1695" w:type="dxa"/>
            <w:shd w:val="pct15" w:color="auto" w:fill="auto"/>
            <w:vAlign w:val="center"/>
          </w:tcPr>
          <w:p w14:paraId="0DFD1895" w14:textId="77777777" w:rsidR="00010038" w:rsidRPr="00010038" w:rsidRDefault="00010038" w:rsidP="00D64792">
            <w:pPr>
              <w:pStyle w:val="StdBodyTextBold"/>
              <w:jc w:val="center"/>
              <w:rPr>
                <w:rFonts w:cs="Arial"/>
                <w:sz w:val="22"/>
                <w:szCs w:val="22"/>
              </w:rPr>
            </w:pPr>
            <w:r w:rsidRPr="00010038">
              <w:rPr>
                <w:rFonts w:cs="Arial"/>
                <w:sz w:val="22"/>
                <w:szCs w:val="22"/>
              </w:rPr>
              <w:t>Financial Target Threshold:</w:t>
            </w:r>
          </w:p>
        </w:tc>
        <w:tc>
          <w:tcPr>
            <w:tcW w:w="3086" w:type="dxa"/>
            <w:shd w:val="pct15" w:color="auto" w:fill="auto"/>
            <w:vAlign w:val="center"/>
          </w:tcPr>
          <w:p w14:paraId="41A4BBA3" w14:textId="09E0C24F" w:rsidR="00010038" w:rsidRPr="00010038" w:rsidRDefault="00010038" w:rsidP="00B24E57">
            <w:pPr>
              <w:pStyle w:val="StdBodyTextBold"/>
              <w:jc w:val="center"/>
              <w:rPr>
                <w:rFonts w:cs="Arial"/>
                <w:sz w:val="22"/>
                <w:szCs w:val="22"/>
              </w:rPr>
            </w:pPr>
            <w:r w:rsidRPr="00010038">
              <w:rPr>
                <w:rFonts w:cs="Arial"/>
                <w:sz w:val="22"/>
                <w:szCs w:val="22"/>
              </w:rPr>
              <w:t xml:space="preserve">Monitoring and Reporting Frequency </w:t>
            </w:r>
          </w:p>
        </w:tc>
      </w:tr>
      <w:tr w:rsidR="00010038" w:rsidRPr="00010038" w14:paraId="4B232A18" w14:textId="77777777" w:rsidTr="003A3754">
        <w:tc>
          <w:tcPr>
            <w:tcW w:w="2254" w:type="dxa"/>
            <w:vAlign w:val="center"/>
          </w:tcPr>
          <w:p w14:paraId="2C27F8AB" w14:textId="77777777" w:rsidR="00010038" w:rsidRPr="00B24E57" w:rsidRDefault="00010038" w:rsidP="00D64792">
            <w:pPr>
              <w:pStyle w:val="StdBodyTextBold"/>
              <w:rPr>
                <w:rFonts w:cs="Arial"/>
                <w:sz w:val="22"/>
                <w:szCs w:val="22"/>
              </w:rPr>
            </w:pPr>
            <w:r w:rsidRPr="00B24E57">
              <w:rPr>
                <w:rFonts w:cs="Arial"/>
                <w:sz w:val="22"/>
                <w:szCs w:val="22"/>
              </w:rPr>
              <w:t>1</w:t>
            </w:r>
          </w:p>
          <w:p w14:paraId="147B7351" w14:textId="0854B05F" w:rsidR="00010038" w:rsidRPr="00B24E57" w:rsidRDefault="00010038" w:rsidP="00D64792">
            <w:pPr>
              <w:pStyle w:val="StdBodyTextBold"/>
              <w:rPr>
                <w:rFonts w:cs="Arial"/>
                <w:sz w:val="22"/>
                <w:szCs w:val="22"/>
              </w:rPr>
            </w:pPr>
            <w:r w:rsidRPr="00B24E57">
              <w:rPr>
                <w:rFonts w:cs="Arial"/>
                <w:sz w:val="22"/>
                <w:szCs w:val="22"/>
              </w:rPr>
              <w:t>Operating Margin</w:t>
            </w:r>
          </w:p>
          <w:p w14:paraId="2BA797BE" w14:textId="6BF7220B" w:rsidR="00010038" w:rsidRPr="00B24E57" w:rsidRDefault="00010038" w:rsidP="00D64792">
            <w:pPr>
              <w:pStyle w:val="StdBodyTextBold"/>
              <w:rPr>
                <w:rFonts w:cs="Arial"/>
                <w:sz w:val="22"/>
                <w:szCs w:val="22"/>
              </w:rPr>
            </w:pPr>
            <w:r w:rsidRPr="00B24E57">
              <w:rPr>
                <w:rFonts w:cs="Arial"/>
                <w:sz w:val="22"/>
                <w:szCs w:val="22"/>
              </w:rPr>
              <w:t>periods</w:t>
            </w:r>
          </w:p>
        </w:tc>
        <w:tc>
          <w:tcPr>
            <w:tcW w:w="1975" w:type="dxa"/>
            <w:vAlign w:val="center"/>
          </w:tcPr>
          <w:p w14:paraId="57752279" w14:textId="616E3F40" w:rsidR="00010038" w:rsidRPr="00C57091" w:rsidRDefault="00010038" w:rsidP="00D64792">
            <w:pPr>
              <w:pStyle w:val="StdBodyText"/>
              <w:jc w:val="center"/>
              <w:rPr>
                <w:rFonts w:cs="Arial"/>
                <w:i/>
                <w:sz w:val="22"/>
                <w:szCs w:val="22"/>
              </w:rPr>
            </w:pPr>
            <w:r w:rsidRPr="00C57091">
              <w:rPr>
                <w:rFonts w:cs="Arial"/>
                <w:i/>
                <w:sz w:val="22"/>
                <w:szCs w:val="22"/>
              </w:rPr>
              <w:t>Operating Margin = Operating Profit / Revenue</w:t>
            </w:r>
          </w:p>
        </w:tc>
        <w:tc>
          <w:tcPr>
            <w:tcW w:w="1695" w:type="dxa"/>
            <w:vAlign w:val="center"/>
          </w:tcPr>
          <w:p w14:paraId="43B85C9D" w14:textId="5878BABB" w:rsidR="00010038" w:rsidRPr="00C57091" w:rsidRDefault="00010038" w:rsidP="00D64792">
            <w:pPr>
              <w:pStyle w:val="StdBodyText"/>
              <w:jc w:val="center"/>
              <w:rPr>
                <w:rFonts w:cs="Arial"/>
                <w:i/>
                <w:sz w:val="22"/>
                <w:szCs w:val="22"/>
              </w:rPr>
            </w:pPr>
            <w:r w:rsidRPr="00C57091">
              <w:rPr>
                <w:rFonts w:cs="Arial"/>
                <w:i/>
                <w:sz w:val="22"/>
                <w:szCs w:val="22"/>
              </w:rPr>
              <w:t xml:space="preserve">&gt; </w:t>
            </w:r>
            <w:r w:rsidR="0032119D" w:rsidRPr="00C57091">
              <w:rPr>
                <w:rFonts w:cs="Arial"/>
                <w:i/>
                <w:sz w:val="22"/>
                <w:szCs w:val="22"/>
              </w:rPr>
              <w:t>5</w:t>
            </w:r>
            <w:r w:rsidRPr="00C57091">
              <w:rPr>
                <w:rFonts w:cs="Arial"/>
                <w:i/>
                <w:sz w:val="22"/>
                <w:szCs w:val="22"/>
              </w:rPr>
              <w:t>%</w:t>
            </w:r>
          </w:p>
        </w:tc>
        <w:tc>
          <w:tcPr>
            <w:tcW w:w="3086" w:type="dxa"/>
            <w:vAlign w:val="center"/>
          </w:tcPr>
          <w:p w14:paraId="12C5D904" w14:textId="06BEF2B3" w:rsidR="00010038" w:rsidRPr="00010038" w:rsidRDefault="00010038" w:rsidP="00D64792">
            <w:pPr>
              <w:pStyle w:val="StdBodyText"/>
              <w:jc w:val="center"/>
              <w:rPr>
                <w:rFonts w:cs="Arial"/>
                <w:i/>
                <w:sz w:val="22"/>
                <w:szCs w:val="22"/>
              </w:rPr>
            </w:pPr>
            <w:r w:rsidRPr="00C57091">
              <w:rPr>
                <w:rFonts w:cs="Arial"/>
                <w:i/>
                <w:sz w:val="22"/>
                <w:szCs w:val="22"/>
              </w:rPr>
              <w:t xml:space="preserve">Tested and reported </w:t>
            </w:r>
            <w:r w:rsidR="005945AE" w:rsidRPr="00C57091">
              <w:rPr>
                <w:rFonts w:cs="Arial"/>
                <w:i/>
                <w:sz w:val="22"/>
                <w:szCs w:val="22"/>
              </w:rPr>
              <w:t xml:space="preserve">half </w:t>
            </w:r>
            <w:r w:rsidRPr="00C57091">
              <w:rPr>
                <w:rFonts w:cs="Arial"/>
                <w:i/>
                <w:sz w:val="22"/>
                <w:szCs w:val="22"/>
              </w:rPr>
              <w:t>yearly in arrears within  90 days of each accounting reference date based upon figures for the 12 months ending on the relevant accounting reference date</w:t>
            </w:r>
          </w:p>
        </w:tc>
      </w:tr>
      <w:tr w:rsidR="00010038" w:rsidRPr="00010038" w14:paraId="0975A45B" w14:textId="77777777" w:rsidTr="003A3754">
        <w:tc>
          <w:tcPr>
            <w:tcW w:w="2254" w:type="dxa"/>
            <w:vAlign w:val="center"/>
          </w:tcPr>
          <w:p w14:paraId="1F12CB0A" w14:textId="77777777" w:rsidR="00010038" w:rsidRPr="00B24E57" w:rsidRDefault="00010038" w:rsidP="00D64792">
            <w:pPr>
              <w:pStyle w:val="StdBodyTextBold"/>
              <w:rPr>
                <w:rFonts w:cs="Arial"/>
                <w:sz w:val="22"/>
                <w:szCs w:val="22"/>
              </w:rPr>
            </w:pPr>
            <w:r w:rsidRPr="00B24E57">
              <w:rPr>
                <w:rFonts w:cs="Arial"/>
                <w:sz w:val="22"/>
                <w:szCs w:val="22"/>
              </w:rPr>
              <w:t>2</w:t>
            </w:r>
          </w:p>
          <w:p w14:paraId="2F03FCD3" w14:textId="38067500" w:rsidR="00010038" w:rsidRPr="00B24E57" w:rsidRDefault="00010038" w:rsidP="00D64792">
            <w:pPr>
              <w:pStyle w:val="StdBodyTextBold"/>
              <w:rPr>
                <w:rFonts w:cs="Arial"/>
                <w:sz w:val="22"/>
                <w:szCs w:val="22"/>
              </w:rPr>
            </w:pPr>
            <w:r w:rsidRPr="00B24E57">
              <w:rPr>
                <w:rFonts w:cs="Arial"/>
                <w:sz w:val="22"/>
                <w:szCs w:val="22"/>
              </w:rPr>
              <w:t>Free Cash Flow to Net Debt Ratio</w:t>
            </w:r>
          </w:p>
          <w:p w14:paraId="71E57738" w14:textId="66A92FE9" w:rsidR="00010038" w:rsidRPr="00B24E57" w:rsidRDefault="00010038" w:rsidP="00D64792">
            <w:pPr>
              <w:pStyle w:val="StdBodyTextBold"/>
              <w:rPr>
                <w:rFonts w:cs="Arial"/>
                <w:sz w:val="22"/>
                <w:szCs w:val="22"/>
              </w:rPr>
            </w:pPr>
          </w:p>
        </w:tc>
        <w:tc>
          <w:tcPr>
            <w:tcW w:w="1975" w:type="dxa"/>
            <w:vAlign w:val="center"/>
          </w:tcPr>
          <w:p w14:paraId="0B1BA325" w14:textId="2B6FE44A" w:rsidR="00010038" w:rsidRPr="00C57091" w:rsidRDefault="00010038" w:rsidP="00D64792">
            <w:pPr>
              <w:pStyle w:val="StdBodyText"/>
              <w:jc w:val="center"/>
              <w:rPr>
                <w:rFonts w:cs="Arial"/>
                <w:i/>
                <w:sz w:val="22"/>
                <w:szCs w:val="22"/>
              </w:rPr>
            </w:pPr>
            <w:r w:rsidRPr="00C57091">
              <w:rPr>
                <w:rFonts w:cs="Arial"/>
                <w:i/>
                <w:sz w:val="22"/>
                <w:szCs w:val="22"/>
              </w:rPr>
              <w:t>Free Cash Flow to Net Debt Ratio = Free Cash Flow / Net Deb</w:t>
            </w:r>
            <w:r w:rsidR="008D4C4C" w:rsidRPr="00C57091">
              <w:rPr>
                <w:rFonts w:cs="Arial"/>
                <w:i/>
                <w:sz w:val="22"/>
                <w:szCs w:val="22"/>
              </w:rPr>
              <w:t>t</w:t>
            </w:r>
          </w:p>
          <w:p w14:paraId="65F9E86B" w14:textId="629E873B" w:rsidR="00010038" w:rsidRPr="00C57091" w:rsidRDefault="00010038" w:rsidP="00D64792">
            <w:pPr>
              <w:pStyle w:val="StdBodyText"/>
              <w:jc w:val="center"/>
              <w:rPr>
                <w:rFonts w:cs="Arial"/>
                <w:i/>
                <w:sz w:val="22"/>
                <w:szCs w:val="22"/>
              </w:rPr>
            </w:pPr>
          </w:p>
        </w:tc>
        <w:tc>
          <w:tcPr>
            <w:tcW w:w="1695" w:type="dxa"/>
            <w:vAlign w:val="center"/>
          </w:tcPr>
          <w:p w14:paraId="3F562CF5" w14:textId="1909F6AE" w:rsidR="00010038" w:rsidRPr="00C57091" w:rsidRDefault="00010038" w:rsidP="00D64792">
            <w:pPr>
              <w:pStyle w:val="StdBodyText"/>
              <w:jc w:val="center"/>
              <w:rPr>
                <w:rFonts w:cs="Arial"/>
                <w:i/>
                <w:sz w:val="22"/>
                <w:szCs w:val="22"/>
              </w:rPr>
            </w:pPr>
            <w:r w:rsidRPr="00C57091">
              <w:rPr>
                <w:rFonts w:cs="Arial"/>
                <w:i/>
                <w:sz w:val="22"/>
                <w:szCs w:val="22"/>
              </w:rPr>
              <w:t xml:space="preserve">&gt; </w:t>
            </w:r>
            <w:r w:rsidR="001C1C25" w:rsidRPr="00C57091">
              <w:rPr>
                <w:rFonts w:cs="Arial"/>
                <w:i/>
                <w:sz w:val="22"/>
                <w:szCs w:val="22"/>
              </w:rPr>
              <w:t>5</w:t>
            </w:r>
            <w:r w:rsidRPr="00C57091">
              <w:rPr>
                <w:rFonts w:cs="Arial"/>
                <w:i/>
                <w:sz w:val="22"/>
                <w:szCs w:val="22"/>
              </w:rPr>
              <w:t>%</w:t>
            </w:r>
          </w:p>
          <w:p w14:paraId="060EDC7F" w14:textId="71665031" w:rsidR="00010038" w:rsidRPr="00C57091" w:rsidRDefault="00010038" w:rsidP="00D64792">
            <w:pPr>
              <w:pStyle w:val="StdBodyText"/>
              <w:jc w:val="center"/>
              <w:rPr>
                <w:rFonts w:cs="Arial"/>
                <w:i/>
                <w:sz w:val="22"/>
                <w:szCs w:val="22"/>
              </w:rPr>
            </w:pPr>
          </w:p>
        </w:tc>
        <w:tc>
          <w:tcPr>
            <w:tcW w:w="3086" w:type="dxa"/>
            <w:vAlign w:val="center"/>
          </w:tcPr>
          <w:p w14:paraId="032DA73E" w14:textId="79901146" w:rsidR="00010038" w:rsidRPr="00010038" w:rsidRDefault="00010038" w:rsidP="00D64792">
            <w:pPr>
              <w:pStyle w:val="StdBodyText"/>
              <w:jc w:val="center"/>
              <w:rPr>
                <w:rFonts w:cs="Arial"/>
                <w:i/>
                <w:sz w:val="22"/>
                <w:szCs w:val="22"/>
              </w:rPr>
            </w:pPr>
            <w:r w:rsidRPr="00010038">
              <w:rPr>
                <w:rFonts w:cs="Arial"/>
                <w:i/>
                <w:sz w:val="22"/>
                <w:szCs w:val="22"/>
              </w:rPr>
              <w:t>Tested and reported</w:t>
            </w:r>
            <w:r w:rsidR="00C57091">
              <w:rPr>
                <w:rFonts w:cs="Arial"/>
                <w:i/>
                <w:sz w:val="22"/>
                <w:szCs w:val="22"/>
              </w:rPr>
              <w:t xml:space="preserve"> </w:t>
            </w:r>
            <w:r w:rsidR="001F2A9C">
              <w:rPr>
                <w:rFonts w:cs="Arial"/>
                <w:i/>
                <w:sz w:val="22"/>
                <w:szCs w:val="22"/>
              </w:rPr>
              <w:t xml:space="preserve">half </w:t>
            </w:r>
            <w:r w:rsidRPr="00C57091">
              <w:rPr>
                <w:rFonts w:cs="Arial"/>
                <w:i/>
                <w:sz w:val="22"/>
                <w:szCs w:val="22"/>
              </w:rPr>
              <w:t>yearly in arrears within 90 days of each accounting reference date based upon Free Cash Flow for the 12 months ending on, and Net Debt at, the relevant accounting reference date</w:t>
            </w:r>
          </w:p>
        </w:tc>
      </w:tr>
      <w:tr w:rsidR="00010038" w:rsidRPr="00010038" w14:paraId="5D6E8CEF" w14:textId="77777777" w:rsidTr="003A3754">
        <w:tc>
          <w:tcPr>
            <w:tcW w:w="2254" w:type="dxa"/>
            <w:vAlign w:val="center"/>
          </w:tcPr>
          <w:p w14:paraId="012EFEB2" w14:textId="77777777" w:rsidR="00010038" w:rsidRPr="00B24E57" w:rsidRDefault="00010038" w:rsidP="00D64792">
            <w:pPr>
              <w:pStyle w:val="StdBodyTextBold"/>
              <w:rPr>
                <w:rFonts w:cs="Arial"/>
                <w:sz w:val="22"/>
                <w:szCs w:val="22"/>
              </w:rPr>
            </w:pPr>
            <w:r w:rsidRPr="00B24E57">
              <w:rPr>
                <w:rFonts w:cs="Arial"/>
                <w:sz w:val="22"/>
                <w:szCs w:val="22"/>
              </w:rPr>
              <w:t>3</w:t>
            </w:r>
          </w:p>
          <w:p w14:paraId="02EDAFA6" w14:textId="579542E3" w:rsidR="00010038" w:rsidRPr="00B24E57" w:rsidRDefault="00010038" w:rsidP="00D64792">
            <w:pPr>
              <w:pStyle w:val="StdBodyTextBold"/>
              <w:rPr>
                <w:rFonts w:cs="Arial"/>
                <w:sz w:val="22"/>
                <w:szCs w:val="22"/>
              </w:rPr>
            </w:pPr>
            <w:r w:rsidRPr="00B24E57">
              <w:rPr>
                <w:rFonts w:cs="Arial"/>
                <w:sz w:val="22"/>
                <w:szCs w:val="22"/>
              </w:rPr>
              <w:t>Net Debt + Net Pension Deficit to EBITDA ratio</w:t>
            </w:r>
          </w:p>
        </w:tc>
        <w:tc>
          <w:tcPr>
            <w:tcW w:w="1975" w:type="dxa"/>
            <w:vAlign w:val="center"/>
          </w:tcPr>
          <w:p w14:paraId="73783857" w14:textId="629DE971" w:rsidR="00010038" w:rsidRPr="00C57091" w:rsidRDefault="00010038" w:rsidP="00D64792">
            <w:pPr>
              <w:pStyle w:val="StdBodyText"/>
              <w:jc w:val="center"/>
              <w:rPr>
                <w:rFonts w:cs="Arial"/>
                <w:i/>
                <w:sz w:val="22"/>
                <w:szCs w:val="22"/>
              </w:rPr>
            </w:pPr>
            <w:r w:rsidRPr="00C57091">
              <w:rPr>
                <w:rFonts w:cs="Arial"/>
                <w:i/>
                <w:sz w:val="22"/>
                <w:szCs w:val="22"/>
              </w:rPr>
              <w:t>Net Debt + Net Pension Deficit to EBITDA Ratio = (Net Debt + Net Pension Deficit) / EBITDA</w:t>
            </w:r>
          </w:p>
        </w:tc>
        <w:tc>
          <w:tcPr>
            <w:tcW w:w="1695" w:type="dxa"/>
            <w:vAlign w:val="center"/>
          </w:tcPr>
          <w:p w14:paraId="66165984" w14:textId="3B2A5012" w:rsidR="00010038" w:rsidRPr="00C57091" w:rsidRDefault="00010038" w:rsidP="00D64792">
            <w:pPr>
              <w:pStyle w:val="StdBodyText"/>
              <w:jc w:val="center"/>
              <w:rPr>
                <w:rFonts w:cs="Arial"/>
                <w:i/>
                <w:sz w:val="22"/>
                <w:szCs w:val="22"/>
              </w:rPr>
            </w:pPr>
            <w:r w:rsidRPr="00C57091">
              <w:rPr>
                <w:rFonts w:cs="Arial"/>
                <w:i/>
                <w:sz w:val="22"/>
                <w:szCs w:val="22"/>
              </w:rPr>
              <w:t xml:space="preserve">&lt; </w:t>
            </w:r>
            <w:r w:rsidR="00915F91" w:rsidRPr="00C57091">
              <w:rPr>
                <w:rFonts w:cs="Arial"/>
                <w:i/>
                <w:sz w:val="22"/>
                <w:szCs w:val="22"/>
              </w:rPr>
              <w:t>5</w:t>
            </w:r>
            <w:r w:rsidRPr="00C57091">
              <w:rPr>
                <w:rFonts w:cs="Arial"/>
                <w:i/>
                <w:sz w:val="22"/>
                <w:szCs w:val="22"/>
              </w:rPr>
              <w:t xml:space="preserve"> times</w:t>
            </w:r>
          </w:p>
        </w:tc>
        <w:tc>
          <w:tcPr>
            <w:tcW w:w="3086" w:type="dxa"/>
            <w:vAlign w:val="center"/>
          </w:tcPr>
          <w:p w14:paraId="0274FF30" w14:textId="77777777" w:rsidR="00010038" w:rsidRPr="00010038" w:rsidRDefault="00010038" w:rsidP="00D64792">
            <w:pPr>
              <w:pStyle w:val="StdBodyText"/>
              <w:jc w:val="center"/>
              <w:rPr>
                <w:rFonts w:cs="Arial"/>
                <w:i/>
                <w:sz w:val="22"/>
                <w:szCs w:val="22"/>
              </w:rPr>
            </w:pPr>
            <w:r w:rsidRPr="00010038">
              <w:rPr>
                <w:rFonts w:cs="Arial"/>
                <w:i/>
                <w:sz w:val="22"/>
                <w:szCs w:val="22"/>
              </w:rPr>
              <w:t>Tested and reported yearly in arrears within 120 days of each accounting reference date based upon EBITDA for the 12 months ending on, and the Net Debt and Net Pension Deficit at, the relevant accounting reference date</w:t>
            </w:r>
          </w:p>
        </w:tc>
      </w:tr>
      <w:tr w:rsidR="00010038" w:rsidRPr="00010038" w14:paraId="5B3B4EEE" w14:textId="77777777" w:rsidTr="003A3754">
        <w:tc>
          <w:tcPr>
            <w:tcW w:w="2254" w:type="dxa"/>
            <w:vAlign w:val="center"/>
          </w:tcPr>
          <w:p w14:paraId="75218504" w14:textId="77777777" w:rsidR="00010038" w:rsidRPr="00B24E57" w:rsidRDefault="00010038" w:rsidP="00D64792">
            <w:pPr>
              <w:pStyle w:val="StdBodyTextBold"/>
              <w:keepNext/>
              <w:rPr>
                <w:rFonts w:cs="Arial"/>
                <w:sz w:val="22"/>
                <w:szCs w:val="22"/>
              </w:rPr>
            </w:pPr>
            <w:r w:rsidRPr="00B24E57">
              <w:rPr>
                <w:rFonts w:cs="Arial"/>
                <w:sz w:val="22"/>
                <w:szCs w:val="22"/>
              </w:rPr>
              <w:t>4</w:t>
            </w:r>
          </w:p>
          <w:p w14:paraId="21F8D348" w14:textId="1CCFA992" w:rsidR="00010038" w:rsidRPr="00B24E57" w:rsidRDefault="00010038" w:rsidP="00D64792">
            <w:pPr>
              <w:pStyle w:val="StdBodyTextBold"/>
              <w:rPr>
                <w:rFonts w:cs="Arial"/>
                <w:sz w:val="22"/>
                <w:szCs w:val="22"/>
              </w:rPr>
            </w:pPr>
            <w:r w:rsidRPr="00B24E57">
              <w:rPr>
                <w:rFonts w:cs="Arial"/>
                <w:sz w:val="22"/>
                <w:szCs w:val="22"/>
              </w:rPr>
              <w:t>Net Interest Paid Cover</w:t>
            </w:r>
          </w:p>
        </w:tc>
        <w:tc>
          <w:tcPr>
            <w:tcW w:w="1975" w:type="dxa"/>
            <w:vAlign w:val="center"/>
          </w:tcPr>
          <w:p w14:paraId="61CE2920" w14:textId="77777777" w:rsidR="00010038" w:rsidRPr="00C57091" w:rsidRDefault="00010038" w:rsidP="00D64792">
            <w:pPr>
              <w:pStyle w:val="StdBodyText"/>
              <w:jc w:val="center"/>
              <w:rPr>
                <w:rFonts w:cs="Arial"/>
                <w:i/>
                <w:sz w:val="22"/>
                <w:szCs w:val="22"/>
              </w:rPr>
            </w:pPr>
            <w:r w:rsidRPr="00C57091">
              <w:rPr>
                <w:rFonts w:cs="Arial"/>
                <w:i/>
                <w:sz w:val="22"/>
                <w:szCs w:val="22"/>
              </w:rPr>
              <w:t>[Net Interest Paid Cover = Earnings Before Interest and Tax / Net Interest Paid]</w:t>
            </w:r>
          </w:p>
        </w:tc>
        <w:tc>
          <w:tcPr>
            <w:tcW w:w="1695" w:type="dxa"/>
            <w:vAlign w:val="center"/>
          </w:tcPr>
          <w:p w14:paraId="3D0CA4C4" w14:textId="16AB8A00" w:rsidR="00010038" w:rsidRPr="00C57091" w:rsidRDefault="00010038" w:rsidP="00FF732C">
            <w:pPr>
              <w:pStyle w:val="StdBodyText"/>
              <w:jc w:val="left"/>
              <w:rPr>
                <w:rFonts w:cs="Arial"/>
                <w:i/>
                <w:sz w:val="22"/>
                <w:szCs w:val="22"/>
              </w:rPr>
            </w:pPr>
            <w:r w:rsidRPr="00C57091">
              <w:rPr>
                <w:rFonts w:cs="Arial"/>
                <w:i/>
                <w:sz w:val="22"/>
                <w:szCs w:val="22"/>
              </w:rPr>
              <w:t xml:space="preserve">&gt; </w:t>
            </w:r>
            <w:r w:rsidR="005317AF" w:rsidRPr="00C57091">
              <w:rPr>
                <w:rFonts w:cs="Arial"/>
                <w:i/>
                <w:sz w:val="22"/>
                <w:szCs w:val="22"/>
              </w:rPr>
              <w:t>3</w:t>
            </w:r>
            <w:r w:rsidRPr="00C57091">
              <w:rPr>
                <w:rFonts w:cs="Arial"/>
                <w:i/>
                <w:sz w:val="22"/>
                <w:szCs w:val="22"/>
              </w:rPr>
              <w:t>times</w:t>
            </w:r>
          </w:p>
        </w:tc>
        <w:tc>
          <w:tcPr>
            <w:tcW w:w="3086" w:type="dxa"/>
            <w:vAlign w:val="center"/>
          </w:tcPr>
          <w:p w14:paraId="2919BB83" w14:textId="1059C598" w:rsidR="00010038" w:rsidRPr="00010038" w:rsidRDefault="00010038" w:rsidP="00D64792">
            <w:pPr>
              <w:pStyle w:val="StdBodyText"/>
              <w:jc w:val="center"/>
              <w:rPr>
                <w:rFonts w:cs="Arial"/>
                <w:i/>
                <w:sz w:val="22"/>
                <w:szCs w:val="22"/>
              </w:rPr>
            </w:pPr>
            <w:r w:rsidRPr="00010038">
              <w:rPr>
                <w:rFonts w:cs="Arial"/>
                <w:i/>
                <w:sz w:val="22"/>
                <w:szCs w:val="22"/>
              </w:rPr>
              <w:t xml:space="preserve">Tested and reported </w:t>
            </w:r>
            <w:r w:rsidR="001F2A9C">
              <w:rPr>
                <w:rFonts w:cs="Arial"/>
                <w:i/>
                <w:sz w:val="22"/>
                <w:szCs w:val="22"/>
              </w:rPr>
              <w:t xml:space="preserve">half </w:t>
            </w:r>
            <w:r w:rsidRPr="00C57091">
              <w:rPr>
                <w:rFonts w:cs="Arial"/>
                <w:i/>
                <w:sz w:val="22"/>
                <w:szCs w:val="22"/>
              </w:rPr>
              <w:t>yearly in arrears within  90 days of each accounting reference date based upon figures for the 12 months ending on the relevant accounting reference date</w:t>
            </w:r>
          </w:p>
        </w:tc>
      </w:tr>
      <w:tr w:rsidR="00010038" w:rsidRPr="00010038" w14:paraId="5B80544D" w14:textId="77777777" w:rsidTr="003A3754">
        <w:tc>
          <w:tcPr>
            <w:tcW w:w="2254" w:type="dxa"/>
            <w:vAlign w:val="center"/>
          </w:tcPr>
          <w:p w14:paraId="0D4FDF19" w14:textId="77777777" w:rsidR="00010038" w:rsidRPr="00B24E57" w:rsidRDefault="00010038" w:rsidP="00D64792">
            <w:pPr>
              <w:pStyle w:val="StdBodyTextBold"/>
              <w:rPr>
                <w:rFonts w:cs="Arial"/>
                <w:sz w:val="22"/>
                <w:szCs w:val="22"/>
              </w:rPr>
            </w:pPr>
            <w:r w:rsidRPr="00B24E57">
              <w:rPr>
                <w:rFonts w:cs="Arial"/>
                <w:sz w:val="22"/>
                <w:szCs w:val="22"/>
              </w:rPr>
              <w:t>5</w:t>
            </w:r>
          </w:p>
          <w:p w14:paraId="4C2E855E" w14:textId="56A87414" w:rsidR="00010038" w:rsidRPr="00B24E57" w:rsidRDefault="00010038" w:rsidP="00D64792">
            <w:pPr>
              <w:pStyle w:val="StdBodyTextBold"/>
              <w:rPr>
                <w:rFonts w:cs="Arial"/>
                <w:sz w:val="22"/>
                <w:szCs w:val="22"/>
              </w:rPr>
            </w:pPr>
            <w:r w:rsidRPr="00B24E57">
              <w:rPr>
                <w:rFonts w:cs="Arial"/>
                <w:sz w:val="22"/>
                <w:szCs w:val="22"/>
              </w:rPr>
              <w:t>Acid Ratio</w:t>
            </w:r>
          </w:p>
        </w:tc>
        <w:tc>
          <w:tcPr>
            <w:tcW w:w="1975" w:type="dxa"/>
            <w:vAlign w:val="center"/>
          </w:tcPr>
          <w:p w14:paraId="2FBF4556" w14:textId="177A18C2" w:rsidR="00010038" w:rsidRPr="00C57091" w:rsidRDefault="00010038" w:rsidP="00FF732C">
            <w:pPr>
              <w:pStyle w:val="StdBodyText"/>
              <w:jc w:val="left"/>
              <w:rPr>
                <w:rFonts w:cs="Arial"/>
                <w:i/>
                <w:sz w:val="22"/>
                <w:szCs w:val="22"/>
                <w:lang w:val="fr-FR"/>
              </w:rPr>
            </w:pPr>
            <w:r w:rsidRPr="00C57091">
              <w:rPr>
                <w:rFonts w:cs="Arial"/>
                <w:i/>
                <w:sz w:val="22"/>
                <w:szCs w:val="22"/>
                <w:lang w:val="fr-FR"/>
              </w:rPr>
              <w:t>[Acid Ratio = (Current Assets – Inventories) / Current Liabilities</w:t>
            </w:r>
          </w:p>
        </w:tc>
        <w:tc>
          <w:tcPr>
            <w:tcW w:w="1695" w:type="dxa"/>
            <w:vAlign w:val="center"/>
          </w:tcPr>
          <w:p w14:paraId="57D3B414" w14:textId="261CD7BB" w:rsidR="00010038" w:rsidRPr="00C57091" w:rsidRDefault="00010038" w:rsidP="00D64792">
            <w:pPr>
              <w:pStyle w:val="StdBodyText"/>
              <w:jc w:val="center"/>
              <w:rPr>
                <w:rFonts w:cs="Arial"/>
                <w:i/>
                <w:sz w:val="22"/>
                <w:szCs w:val="22"/>
              </w:rPr>
            </w:pPr>
            <w:r w:rsidRPr="00C57091">
              <w:rPr>
                <w:rFonts w:cs="Arial"/>
                <w:i/>
                <w:sz w:val="22"/>
                <w:szCs w:val="22"/>
              </w:rPr>
              <w:t xml:space="preserve">&gt; </w:t>
            </w:r>
            <w:r w:rsidR="00351B27" w:rsidRPr="00C57091">
              <w:rPr>
                <w:rFonts w:cs="Arial"/>
                <w:i/>
                <w:sz w:val="22"/>
                <w:szCs w:val="22"/>
              </w:rPr>
              <w:t>0.8</w:t>
            </w:r>
            <w:r w:rsidRPr="00C57091">
              <w:rPr>
                <w:rFonts w:cs="Arial"/>
                <w:i/>
                <w:sz w:val="22"/>
                <w:szCs w:val="22"/>
              </w:rPr>
              <w:t xml:space="preserve"> times</w:t>
            </w:r>
          </w:p>
        </w:tc>
        <w:tc>
          <w:tcPr>
            <w:tcW w:w="3086" w:type="dxa"/>
            <w:vAlign w:val="center"/>
          </w:tcPr>
          <w:p w14:paraId="6FB05A2D" w14:textId="67B88EC0" w:rsidR="00010038" w:rsidRPr="00010038" w:rsidRDefault="00010038" w:rsidP="00D64792">
            <w:pPr>
              <w:pStyle w:val="StdBodyText"/>
              <w:jc w:val="center"/>
              <w:rPr>
                <w:rFonts w:cs="Arial"/>
                <w:i/>
                <w:sz w:val="22"/>
                <w:szCs w:val="22"/>
              </w:rPr>
            </w:pPr>
            <w:r w:rsidRPr="00010038">
              <w:rPr>
                <w:rFonts w:cs="Arial"/>
                <w:i/>
                <w:sz w:val="22"/>
                <w:szCs w:val="22"/>
              </w:rPr>
              <w:t xml:space="preserve">Tested and reported </w:t>
            </w:r>
            <w:r w:rsidR="001F2A9C">
              <w:rPr>
                <w:rFonts w:cs="Arial"/>
                <w:i/>
                <w:sz w:val="22"/>
                <w:szCs w:val="22"/>
              </w:rPr>
              <w:t xml:space="preserve">half </w:t>
            </w:r>
            <w:r w:rsidRPr="00C57091">
              <w:rPr>
                <w:rFonts w:cs="Arial"/>
                <w:i/>
                <w:sz w:val="22"/>
                <w:szCs w:val="22"/>
              </w:rPr>
              <w:t>year</w:t>
            </w:r>
            <w:r w:rsidR="00351B27" w:rsidRPr="00C57091">
              <w:rPr>
                <w:rFonts w:cs="Arial"/>
                <w:i/>
                <w:sz w:val="22"/>
                <w:szCs w:val="22"/>
              </w:rPr>
              <w:t>ly</w:t>
            </w:r>
            <w:r w:rsidRPr="00C57091">
              <w:rPr>
                <w:rFonts w:cs="Arial"/>
                <w:i/>
                <w:sz w:val="22"/>
                <w:szCs w:val="22"/>
              </w:rPr>
              <w:t xml:space="preserve"> in arrears within 90 days of each accounting reference date based upon figures at the relevant accounting reference date</w:t>
            </w:r>
          </w:p>
        </w:tc>
      </w:tr>
      <w:tr w:rsidR="00010038" w:rsidRPr="00010038" w14:paraId="1B4F219A" w14:textId="77777777" w:rsidTr="003A3754">
        <w:tc>
          <w:tcPr>
            <w:tcW w:w="2254" w:type="dxa"/>
            <w:vAlign w:val="center"/>
          </w:tcPr>
          <w:p w14:paraId="652EF3CC" w14:textId="77777777" w:rsidR="00010038" w:rsidRPr="00B24E57" w:rsidRDefault="00010038" w:rsidP="00D64792">
            <w:pPr>
              <w:pStyle w:val="StdBodyTextBold"/>
              <w:rPr>
                <w:rFonts w:cs="Arial"/>
                <w:sz w:val="22"/>
                <w:szCs w:val="22"/>
              </w:rPr>
            </w:pPr>
            <w:r w:rsidRPr="00B24E57">
              <w:rPr>
                <w:rFonts w:cs="Arial"/>
                <w:sz w:val="22"/>
                <w:szCs w:val="22"/>
              </w:rPr>
              <w:t>6</w:t>
            </w:r>
          </w:p>
          <w:p w14:paraId="554BD38B" w14:textId="4E3CDE1D" w:rsidR="00010038" w:rsidRPr="00B24E57" w:rsidRDefault="00010038" w:rsidP="00D64792">
            <w:pPr>
              <w:pStyle w:val="StdBodyTextBold"/>
              <w:rPr>
                <w:rFonts w:cs="Arial"/>
                <w:sz w:val="22"/>
                <w:szCs w:val="22"/>
              </w:rPr>
            </w:pPr>
            <w:r w:rsidRPr="00B24E57">
              <w:rPr>
                <w:rFonts w:cs="Arial"/>
                <w:sz w:val="22"/>
                <w:szCs w:val="22"/>
              </w:rPr>
              <w:t>Net Asset value</w:t>
            </w:r>
          </w:p>
        </w:tc>
        <w:tc>
          <w:tcPr>
            <w:tcW w:w="1975" w:type="dxa"/>
            <w:vAlign w:val="center"/>
          </w:tcPr>
          <w:p w14:paraId="58FF4DB1" w14:textId="010BA34C" w:rsidR="00010038" w:rsidRPr="00C57091" w:rsidRDefault="00010038" w:rsidP="00D64792">
            <w:pPr>
              <w:pStyle w:val="StdBodyText"/>
              <w:jc w:val="center"/>
              <w:rPr>
                <w:rFonts w:cs="Arial"/>
                <w:i/>
                <w:sz w:val="22"/>
                <w:szCs w:val="22"/>
                <w:lang w:val="nl-NL"/>
              </w:rPr>
            </w:pPr>
            <w:r w:rsidRPr="00C57091">
              <w:rPr>
                <w:rFonts w:cs="Arial"/>
                <w:i/>
                <w:sz w:val="22"/>
                <w:szCs w:val="22"/>
                <w:lang w:val="nl-NL"/>
              </w:rPr>
              <w:t>Net Asset Value = Net Assets</w:t>
            </w:r>
          </w:p>
        </w:tc>
        <w:tc>
          <w:tcPr>
            <w:tcW w:w="1695" w:type="dxa"/>
            <w:vAlign w:val="center"/>
          </w:tcPr>
          <w:p w14:paraId="5554631B" w14:textId="0B19662A" w:rsidR="00010038" w:rsidRPr="00C57091" w:rsidRDefault="00010038" w:rsidP="00D64792">
            <w:pPr>
              <w:pStyle w:val="StdBodyText"/>
              <w:jc w:val="center"/>
              <w:rPr>
                <w:rFonts w:cs="Arial"/>
                <w:i/>
                <w:sz w:val="22"/>
                <w:szCs w:val="22"/>
              </w:rPr>
            </w:pPr>
            <w:r w:rsidRPr="00C57091">
              <w:rPr>
                <w:rFonts w:cs="Arial"/>
                <w:i/>
                <w:sz w:val="22"/>
                <w:szCs w:val="22"/>
              </w:rPr>
              <w:t>&gt; £0</w:t>
            </w:r>
          </w:p>
        </w:tc>
        <w:tc>
          <w:tcPr>
            <w:tcW w:w="3086" w:type="dxa"/>
            <w:vAlign w:val="center"/>
          </w:tcPr>
          <w:p w14:paraId="216ADA8D" w14:textId="0B6966E7" w:rsidR="00010038" w:rsidRPr="00C57091" w:rsidRDefault="00010038" w:rsidP="00D64792">
            <w:pPr>
              <w:pStyle w:val="StdBodyText"/>
              <w:jc w:val="center"/>
              <w:rPr>
                <w:rFonts w:cs="Arial"/>
                <w:i/>
                <w:sz w:val="22"/>
                <w:szCs w:val="22"/>
              </w:rPr>
            </w:pPr>
            <w:r w:rsidRPr="00C57091">
              <w:rPr>
                <w:rFonts w:cs="Arial"/>
                <w:i/>
                <w:sz w:val="22"/>
                <w:szCs w:val="22"/>
              </w:rPr>
              <w:t xml:space="preserve">Tested and reported </w:t>
            </w:r>
            <w:r w:rsidR="001F2A9C" w:rsidRPr="00C57091">
              <w:rPr>
                <w:rFonts w:cs="Arial"/>
                <w:i/>
                <w:sz w:val="22"/>
                <w:szCs w:val="22"/>
              </w:rPr>
              <w:t xml:space="preserve">half </w:t>
            </w:r>
            <w:r w:rsidRPr="00C57091">
              <w:rPr>
                <w:rFonts w:cs="Arial"/>
                <w:i/>
                <w:sz w:val="22"/>
                <w:szCs w:val="22"/>
              </w:rPr>
              <w:t>yearly in arrears within 90 days of each accounting reference date based upon figures at the relevant accounting reference date</w:t>
            </w:r>
          </w:p>
        </w:tc>
      </w:tr>
      <w:tr w:rsidR="00010038" w:rsidRPr="00010038" w14:paraId="45149740" w14:textId="77777777" w:rsidTr="003A3754">
        <w:tc>
          <w:tcPr>
            <w:tcW w:w="2254" w:type="dxa"/>
            <w:vAlign w:val="center"/>
          </w:tcPr>
          <w:p w14:paraId="45C8C445" w14:textId="77777777" w:rsidR="00010038" w:rsidRPr="00B24E57" w:rsidRDefault="00010038" w:rsidP="00D64792">
            <w:pPr>
              <w:pStyle w:val="StdBodyTextBold"/>
              <w:rPr>
                <w:rFonts w:cs="Arial"/>
                <w:sz w:val="22"/>
                <w:szCs w:val="22"/>
              </w:rPr>
            </w:pPr>
            <w:r w:rsidRPr="00B24E57">
              <w:rPr>
                <w:rFonts w:cs="Arial"/>
                <w:sz w:val="22"/>
                <w:szCs w:val="22"/>
              </w:rPr>
              <w:lastRenderedPageBreak/>
              <w:t>7</w:t>
            </w:r>
          </w:p>
          <w:p w14:paraId="421E752A" w14:textId="639EED90" w:rsidR="00010038" w:rsidRPr="00B24E57" w:rsidRDefault="00010038" w:rsidP="00D64792">
            <w:pPr>
              <w:pStyle w:val="StdBodyTextBold"/>
              <w:rPr>
                <w:rFonts w:cs="Arial"/>
                <w:sz w:val="22"/>
                <w:szCs w:val="22"/>
              </w:rPr>
            </w:pPr>
            <w:r w:rsidRPr="00B24E57">
              <w:rPr>
                <w:rFonts w:cs="Arial"/>
                <w:sz w:val="22"/>
                <w:szCs w:val="22"/>
              </w:rPr>
              <w:t>Group Exposure Ratio</w:t>
            </w:r>
          </w:p>
        </w:tc>
        <w:tc>
          <w:tcPr>
            <w:tcW w:w="1975" w:type="dxa"/>
            <w:vAlign w:val="center"/>
          </w:tcPr>
          <w:p w14:paraId="2581ADE4" w14:textId="72FD1116" w:rsidR="00010038" w:rsidRPr="00C57091" w:rsidRDefault="00010038" w:rsidP="00D64792">
            <w:pPr>
              <w:pStyle w:val="StdBodyText"/>
              <w:jc w:val="center"/>
              <w:rPr>
                <w:rFonts w:cs="Arial"/>
                <w:i/>
                <w:sz w:val="22"/>
                <w:szCs w:val="22"/>
              </w:rPr>
            </w:pPr>
            <w:r w:rsidRPr="00C57091">
              <w:rPr>
                <w:rFonts w:cs="Arial"/>
                <w:i/>
                <w:sz w:val="22"/>
                <w:szCs w:val="22"/>
              </w:rPr>
              <w:t>Group Exposure / Gross Assets</w:t>
            </w:r>
          </w:p>
        </w:tc>
        <w:tc>
          <w:tcPr>
            <w:tcW w:w="1695" w:type="dxa"/>
            <w:vAlign w:val="center"/>
          </w:tcPr>
          <w:p w14:paraId="7AF8D14D" w14:textId="16DD000D" w:rsidR="00010038" w:rsidRPr="00C57091" w:rsidRDefault="00010038" w:rsidP="00D64792">
            <w:pPr>
              <w:pStyle w:val="StdBodyText"/>
              <w:jc w:val="center"/>
              <w:rPr>
                <w:rFonts w:cs="Arial"/>
                <w:i/>
                <w:sz w:val="22"/>
                <w:szCs w:val="22"/>
              </w:rPr>
            </w:pPr>
            <w:r w:rsidRPr="00C57091">
              <w:rPr>
                <w:rFonts w:cs="Arial"/>
                <w:i/>
                <w:sz w:val="22"/>
                <w:szCs w:val="22"/>
              </w:rPr>
              <w:t xml:space="preserve">&lt; </w:t>
            </w:r>
            <w:r w:rsidR="00342562" w:rsidRPr="00C57091">
              <w:rPr>
                <w:rFonts w:cs="Arial"/>
                <w:i/>
                <w:sz w:val="22"/>
                <w:szCs w:val="22"/>
              </w:rPr>
              <w:t>50</w:t>
            </w:r>
            <w:r w:rsidRPr="00C57091">
              <w:rPr>
                <w:rFonts w:cs="Arial"/>
                <w:i/>
                <w:sz w:val="22"/>
                <w:szCs w:val="22"/>
              </w:rPr>
              <w:t>%</w:t>
            </w:r>
          </w:p>
        </w:tc>
        <w:tc>
          <w:tcPr>
            <w:tcW w:w="3086" w:type="dxa"/>
            <w:vAlign w:val="center"/>
          </w:tcPr>
          <w:p w14:paraId="36827022" w14:textId="3757B9D5" w:rsidR="00010038" w:rsidRPr="00010038" w:rsidRDefault="00010038" w:rsidP="00D64792">
            <w:pPr>
              <w:pStyle w:val="StdBodyText"/>
              <w:jc w:val="center"/>
              <w:rPr>
                <w:rFonts w:cs="Arial"/>
                <w:i/>
                <w:sz w:val="22"/>
                <w:szCs w:val="22"/>
              </w:rPr>
            </w:pPr>
            <w:r w:rsidRPr="00010038">
              <w:rPr>
                <w:rFonts w:cs="Arial"/>
                <w:i/>
                <w:sz w:val="22"/>
                <w:szCs w:val="22"/>
              </w:rPr>
              <w:t xml:space="preserve">Tested and reported yearly in arrears within </w:t>
            </w:r>
            <w:r w:rsidR="00342562">
              <w:rPr>
                <w:rFonts w:cs="Arial"/>
                <w:i/>
                <w:sz w:val="22"/>
                <w:szCs w:val="22"/>
              </w:rPr>
              <w:t>90</w:t>
            </w:r>
            <w:r w:rsidRPr="00010038">
              <w:rPr>
                <w:rFonts w:cs="Arial"/>
                <w:i/>
                <w:sz w:val="22"/>
                <w:szCs w:val="22"/>
              </w:rPr>
              <w:t xml:space="preserve"> days of each accounting reference date based upon figures at the relevant accounting reference date</w:t>
            </w:r>
          </w:p>
        </w:tc>
      </w:tr>
      <w:tr w:rsidR="003A3754" w:rsidRPr="00010038" w14:paraId="40246DAB" w14:textId="77777777" w:rsidTr="003A3754">
        <w:tc>
          <w:tcPr>
            <w:tcW w:w="2254" w:type="dxa"/>
            <w:vAlign w:val="center"/>
          </w:tcPr>
          <w:p w14:paraId="345DF722" w14:textId="562394E2" w:rsidR="003A3754" w:rsidRPr="00010038" w:rsidDel="00416844" w:rsidRDefault="005F1F52" w:rsidP="003A3754">
            <w:pPr>
              <w:pStyle w:val="StdBodyTextBold"/>
              <w:rPr>
                <w:rFonts w:cs="Arial"/>
                <w:sz w:val="22"/>
                <w:szCs w:val="22"/>
              </w:rPr>
            </w:pPr>
            <w:r>
              <w:rPr>
                <w:rFonts w:cs="Arial"/>
                <w:sz w:val="22"/>
                <w:szCs w:val="22"/>
              </w:rPr>
              <w:t>8</w:t>
            </w:r>
            <w:r w:rsidR="003A3754">
              <w:rPr>
                <w:rFonts w:cs="Arial"/>
                <w:sz w:val="22"/>
                <w:szCs w:val="22"/>
              </w:rPr>
              <w:t xml:space="preserve"> Turnover ratio</w:t>
            </w:r>
          </w:p>
        </w:tc>
        <w:tc>
          <w:tcPr>
            <w:tcW w:w="1975" w:type="dxa"/>
            <w:vAlign w:val="center"/>
          </w:tcPr>
          <w:p w14:paraId="13DEB031" w14:textId="77777777" w:rsidR="003A3754" w:rsidRPr="00C57091" w:rsidDel="002A14F3" w:rsidRDefault="003A3754" w:rsidP="003A3754">
            <w:pPr>
              <w:pStyle w:val="StdBodyText"/>
              <w:jc w:val="center"/>
              <w:rPr>
                <w:rFonts w:cs="Arial"/>
                <w:i/>
                <w:sz w:val="22"/>
                <w:szCs w:val="22"/>
              </w:rPr>
            </w:pPr>
          </w:p>
        </w:tc>
        <w:tc>
          <w:tcPr>
            <w:tcW w:w="1695" w:type="dxa"/>
            <w:vAlign w:val="center"/>
          </w:tcPr>
          <w:p w14:paraId="6119FD4C" w14:textId="328C0B39" w:rsidR="003A3754" w:rsidRPr="00C57091" w:rsidRDefault="003A3754" w:rsidP="003A3754">
            <w:pPr>
              <w:pStyle w:val="StdBodyText"/>
              <w:jc w:val="left"/>
              <w:rPr>
                <w:rFonts w:cs="Arial"/>
                <w:i/>
                <w:sz w:val="22"/>
                <w:szCs w:val="22"/>
              </w:rPr>
            </w:pPr>
            <w:r w:rsidRPr="00C57091">
              <w:rPr>
                <w:rFonts w:cs="Arial"/>
                <w:i/>
                <w:sz w:val="22"/>
                <w:szCs w:val="22"/>
              </w:rPr>
              <w:t xml:space="preserve"> &gt;1.5 times</w:t>
            </w:r>
          </w:p>
        </w:tc>
        <w:tc>
          <w:tcPr>
            <w:tcW w:w="3086" w:type="dxa"/>
            <w:vAlign w:val="center"/>
          </w:tcPr>
          <w:p w14:paraId="3D1740F9" w14:textId="62CDC6E3" w:rsidR="003A3754" w:rsidRPr="00010038" w:rsidRDefault="003A3754" w:rsidP="003A3754">
            <w:pPr>
              <w:pStyle w:val="StdBodyText"/>
              <w:jc w:val="center"/>
              <w:rPr>
                <w:rFonts w:cs="Arial"/>
                <w:i/>
                <w:sz w:val="22"/>
                <w:szCs w:val="22"/>
              </w:rPr>
            </w:pPr>
            <w:r w:rsidRPr="00010038">
              <w:rPr>
                <w:rFonts w:cs="Arial"/>
                <w:i/>
                <w:sz w:val="22"/>
                <w:szCs w:val="22"/>
              </w:rPr>
              <w:t xml:space="preserve">Tested and reported </w:t>
            </w:r>
            <w:r w:rsidR="001F2A9C">
              <w:rPr>
                <w:rFonts w:cs="Arial"/>
                <w:i/>
                <w:sz w:val="22"/>
                <w:szCs w:val="22"/>
              </w:rPr>
              <w:t xml:space="preserve">half </w:t>
            </w:r>
            <w:r w:rsidRPr="00C57091">
              <w:rPr>
                <w:rFonts w:cs="Arial"/>
                <w:i/>
                <w:sz w:val="22"/>
                <w:szCs w:val="22"/>
              </w:rPr>
              <w:t xml:space="preserve">yearly in arrears within 120 /90 days of each accounting reference date based upon figures at the relevant accounting reference date </w:t>
            </w:r>
          </w:p>
        </w:tc>
      </w:tr>
    </w:tbl>
    <w:p w14:paraId="053E12A9" w14:textId="474658D1" w:rsidR="00010038" w:rsidRPr="00010038" w:rsidRDefault="00010038" w:rsidP="00010038">
      <w:pPr>
        <w:pStyle w:val="StdBodyText"/>
        <w:rPr>
          <w:rFonts w:cs="Arial"/>
          <w:sz w:val="22"/>
          <w:szCs w:val="22"/>
        </w:rPr>
      </w:pPr>
      <w:r w:rsidRPr="00010038">
        <w:rPr>
          <w:rFonts w:cs="Arial"/>
          <w:sz w:val="22"/>
          <w:szCs w:val="22"/>
        </w:rPr>
        <w:t xml:space="preserve">Key: </w:t>
      </w:r>
      <w:r w:rsidRPr="00010038">
        <w:rPr>
          <w:rFonts w:cs="Arial"/>
          <w:sz w:val="22"/>
          <w:szCs w:val="22"/>
          <w:vertAlign w:val="superscript"/>
        </w:rPr>
        <w:t>1</w:t>
      </w:r>
      <w:r w:rsidRPr="00010038">
        <w:rPr>
          <w:rFonts w:cs="Arial"/>
          <w:sz w:val="22"/>
          <w:szCs w:val="22"/>
        </w:rPr>
        <w:t xml:space="preserve"> – See Annex </w:t>
      </w:r>
      <w:r w:rsidRPr="00010038">
        <w:rPr>
          <w:rFonts w:cs="Arial"/>
          <w:sz w:val="22"/>
          <w:szCs w:val="22"/>
        </w:rPr>
        <w:fldChar w:fldCharType="begin"/>
      </w:r>
      <w:r w:rsidRPr="00010038">
        <w:rPr>
          <w:rFonts w:cs="Arial"/>
          <w:sz w:val="22"/>
          <w:szCs w:val="22"/>
        </w:rPr>
        <w:instrText xml:space="preserve"> REF ANNEX3_SCHEDULE18 \h  \* MERGEFORMAT </w:instrText>
      </w:r>
      <w:r w:rsidRPr="00010038">
        <w:rPr>
          <w:rFonts w:cs="Arial"/>
          <w:sz w:val="22"/>
          <w:szCs w:val="22"/>
        </w:rPr>
      </w:r>
      <w:r w:rsidRPr="00010038">
        <w:rPr>
          <w:rFonts w:cs="Arial"/>
          <w:sz w:val="22"/>
          <w:szCs w:val="22"/>
        </w:rPr>
        <w:fldChar w:fldCharType="separate"/>
      </w:r>
      <w:r w:rsidR="00C87D85" w:rsidRPr="00010038">
        <w:rPr>
          <w:rFonts w:cs="Arial"/>
          <w:sz w:val="22"/>
          <w:szCs w:val="22"/>
        </w:rPr>
        <w:t>3</w:t>
      </w:r>
      <w:r w:rsidRPr="00010038">
        <w:rPr>
          <w:rFonts w:cs="Arial"/>
          <w:sz w:val="22"/>
          <w:szCs w:val="22"/>
        </w:rPr>
        <w:fldChar w:fldCharType="end"/>
      </w:r>
      <w:r w:rsidRPr="00010038">
        <w:rPr>
          <w:rFonts w:cs="Arial"/>
          <w:sz w:val="22"/>
          <w:szCs w:val="22"/>
        </w:rPr>
        <w:t xml:space="preserve"> of this Schedule which sets out the calculation methodology to be used in the calculation of each Financial Indicator.</w:t>
      </w:r>
    </w:p>
    <w:p w14:paraId="395E870E" w14:textId="77777777" w:rsidR="00010038" w:rsidRPr="00010038" w:rsidRDefault="00010038" w:rsidP="00010038">
      <w:pPr>
        <w:pStyle w:val="StdBodyText"/>
        <w:rPr>
          <w:rFonts w:cs="Arial"/>
          <w:sz w:val="22"/>
          <w:szCs w:val="22"/>
        </w:rPr>
      </w:pPr>
    </w:p>
    <w:p w14:paraId="7A6FFD9F" w14:textId="3C36BB5C" w:rsidR="00010038" w:rsidRPr="00010038" w:rsidRDefault="00010038" w:rsidP="004E2262">
      <w:pPr>
        <w:pStyle w:val="ScheduleText2"/>
        <w:numPr>
          <w:ilvl w:val="1"/>
          <w:numId w:val="83"/>
        </w:numPr>
        <w:rPr>
          <w:rFonts w:cs="Arial"/>
          <w:sz w:val="22"/>
          <w:szCs w:val="22"/>
        </w:rPr>
      </w:pPr>
      <w:bookmarkStart w:id="3998" w:name="_Ref_ContractCompanion_9kb9Ur6GH"/>
      <w:bookmarkStart w:id="3999" w:name="_Ref_ContractCompanion_9kb9Us35B"/>
      <w:r w:rsidRPr="00010038">
        <w:rPr>
          <w:rFonts w:cs="Arial"/>
          <w:sz w:val="22"/>
          <w:szCs w:val="22"/>
        </w:rPr>
        <w:t>Monitored Suppliers</w:t>
      </w:r>
      <w:bookmarkEnd w:id="3998"/>
      <w:bookmarkEnd w:id="3999"/>
    </w:p>
    <w:p w14:paraId="14EF2AA4" w14:textId="4E4E074E" w:rsidR="002D1942" w:rsidRDefault="002D1942" w:rsidP="00010038">
      <w:pPr>
        <w:pStyle w:val="StdBodyText2"/>
        <w:rPr>
          <w:rStyle w:val="StdBodyTextBoldChar"/>
          <w:rFonts w:cs="Arial"/>
          <w:i/>
          <w:sz w:val="22"/>
          <w:szCs w:val="22"/>
        </w:rPr>
      </w:pPr>
    </w:p>
    <w:p w14:paraId="5A63336F" w14:textId="227B1ADF" w:rsidR="002D1942" w:rsidRPr="00010038" w:rsidRDefault="002D1942" w:rsidP="00010038">
      <w:pPr>
        <w:pStyle w:val="StdBodyText2"/>
        <w:rPr>
          <w:rFonts w:cs="Arial"/>
          <w:sz w:val="22"/>
          <w:szCs w:val="22"/>
        </w:rPr>
      </w:pPr>
      <w:r>
        <w:rPr>
          <w:rStyle w:val="StdBodyTextBoldChar"/>
          <w:rFonts w:cs="Arial"/>
          <w:i/>
          <w:sz w:val="22"/>
          <w:szCs w:val="22"/>
        </w:rPr>
        <w:t>This table will be populated on the basis of the winning bidders tender submission</w:t>
      </w:r>
    </w:p>
    <w:tbl>
      <w:tblPr>
        <w:tblStyle w:val="TableGrid"/>
        <w:tblW w:w="0" w:type="auto"/>
        <w:tblInd w:w="720" w:type="dxa"/>
        <w:tblLook w:val="04A0" w:firstRow="1" w:lastRow="0" w:firstColumn="1" w:lastColumn="0" w:noHBand="0" w:noVBand="1"/>
      </w:tblPr>
      <w:tblGrid>
        <w:gridCol w:w="4079"/>
        <w:gridCol w:w="4211"/>
      </w:tblGrid>
      <w:tr w:rsidR="00010038" w:rsidRPr="00010038" w14:paraId="1E99C133" w14:textId="77777777" w:rsidTr="00131151">
        <w:tc>
          <w:tcPr>
            <w:tcW w:w="4079" w:type="dxa"/>
            <w:shd w:val="pct15" w:color="auto" w:fill="auto"/>
          </w:tcPr>
          <w:p w14:paraId="01F43D8C" w14:textId="77777777" w:rsidR="00010038" w:rsidRPr="00010038" w:rsidRDefault="00010038" w:rsidP="00D64792">
            <w:pPr>
              <w:pStyle w:val="StdBodyTextBold"/>
              <w:rPr>
                <w:rFonts w:cs="Arial"/>
                <w:sz w:val="22"/>
                <w:szCs w:val="22"/>
              </w:rPr>
            </w:pPr>
            <w:r w:rsidRPr="00010038">
              <w:rPr>
                <w:rFonts w:cs="Arial"/>
                <w:sz w:val="22"/>
                <w:szCs w:val="22"/>
              </w:rPr>
              <w:t>Monitored Supplier</w:t>
            </w:r>
          </w:p>
        </w:tc>
        <w:tc>
          <w:tcPr>
            <w:tcW w:w="4211" w:type="dxa"/>
            <w:shd w:val="pct15" w:color="auto" w:fill="auto"/>
          </w:tcPr>
          <w:p w14:paraId="11E9D82A" w14:textId="77777777" w:rsidR="00010038" w:rsidRPr="00010038" w:rsidRDefault="00010038" w:rsidP="00D64792">
            <w:pPr>
              <w:pStyle w:val="StdBodyText1"/>
              <w:ind w:left="0"/>
              <w:rPr>
                <w:rFonts w:cs="Arial"/>
                <w:sz w:val="22"/>
                <w:szCs w:val="22"/>
              </w:rPr>
            </w:pPr>
            <w:r w:rsidRPr="00010038">
              <w:rPr>
                <w:rFonts w:cs="Arial"/>
                <w:sz w:val="22"/>
                <w:szCs w:val="22"/>
              </w:rPr>
              <w:t>Applicable Financial Indicators</w:t>
            </w:r>
          </w:p>
          <w:p w14:paraId="53166E7E" w14:textId="13D0FEA4" w:rsidR="00010038" w:rsidRPr="00010038" w:rsidRDefault="00010038" w:rsidP="00D64792">
            <w:pPr>
              <w:pStyle w:val="StdBodyText1"/>
              <w:ind w:left="0"/>
              <w:rPr>
                <w:rFonts w:cs="Arial"/>
                <w:sz w:val="22"/>
                <w:szCs w:val="22"/>
              </w:rPr>
            </w:pPr>
            <w:r w:rsidRPr="00010038">
              <w:rPr>
                <w:rFonts w:cs="Arial"/>
                <w:sz w:val="22"/>
                <w:szCs w:val="22"/>
              </w:rPr>
              <w:t xml:space="preserve">(these are the Financial Indicators from the table in </w:t>
            </w:r>
            <w:bookmarkStart w:id="4000" w:name="_9kMHG5YVtCIB9GGFGefvlpjzHDE8uqnx0AK1AJF"/>
            <w:r w:rsidR="00840A0F">
              <w:rPr>
                <w:rFonts w:cs="Arial"/>
                <w:sz w:val="22"/>
                <w:szCs w:val="22"/>
              </w:rPr>
              <w:t>p</w:t>
            </w:r>
            <w:r w:rsidRPr="00010038">
              <w:rPr>
                <w:rFonts w:cs="Arial"/>
                <w:sz w:val="22"/>
                <w:szCs w:val="22"/>
              </w:rPr>
              <w:t xml:space="preserve">aragraph </w:t>
            </w:r>
            <w:r w:rsidRPr="00010038">
              <w:rPr>
                <w:rFonts w:cs="Arial"/>
                <w:sz w:val="22"/>
                <w:szCs w:val="22"/>
              </w:rPr>
              <w:fldChar w:fldCharType="begin"/>
            </w:r>
            <w:r w:rsidRPr="00010038">
              <w:rPr>
                <w:rFonts w:cs="Arial"/>
                <w:sz w:val="22"/>
                <w:szCs w:val="22"/>
              </w:rPr>
              <w:instrText xml:space="preserve"> REF _Ref_ContractCompanion_9kb9Us39H \n \h \t \* MERGEFORMAT </w:instrText>
            </w:r>
            <w:r w:rsidRPr="00010038">
              <w:rPr>
                <w:rFonts w:cs="Arial"/>
                <w:sz w:val="22"/>
                <w:szCs w:val="22"/>
              </w:rPr>
            </w:r>
            <w:r w:rsidRPr="00010038">
              <w:rPr>
                <w:rFonts w:cs="Arial"/>
                <w:sz w:val="22"/>
                <w:szCs w:val="22"/>
              </w:rPr>
              <w:fldChar w:fldCharType="separate"/>
            </w:r>
            <w:r w:rsidR="00C87D85">
              <w:rPr>
                <w:rFonts w:cs="Arial"/>
                <w:sz w:val="22"/>
                <w:szCs w:val="22"/>
              </w:rPr>
              <w:t>5.1</w:t>
            </w:r>
            <w:r w:rsidRPr="00010038">
              <w:rPr>
                <w:rFonts w:cs="Arial"/>
                <w:sz w:val="22"/>
                <w:szCs w:val="22"/>
              </w:rPr>
              <w:fldChar w:fldCharType="end"/>
            </w:r>
            <w:bookmarkEnd w:id="4000"/>
            <w:r w:rsidRPr="00010038">
              <w:rPr>
                <w:rFonts w:cs="Arial"/>
                <w:sz w:val="22"/>
                <w:szCs w:val="22"/>
              </w:rPr>
              <w:t xml:space="preserve"> which are to apply to the Monitored Suppliers)</w:t>
            </w:r>
          </w:p>
        </w:tc>
      </w:tr>
      <w:tr w:rsidR="00010038" w:rsidRPr="00010038" w14:paraId="78E122E4" w14:textId="77777777" w:rsidTr="00131151">
        <w:tc>
          <w:tcPr>
            <w:tcW w:w="4079" w:type="dxa"/>
          </w:tcPr>
          <w:p w14:paraId="0B958AD0" w14:textId="54563D41" w:rsidR="00010038" w:rsidRPr="00010038" w:rsidRDefault="00131151" w:rsidP="00D64792">
            <w:pPr>
              <w:pStyle w:val="StdBodyText1"/>
              <w:ind w:left="0"/>
              <w:rPr>
                <w:rFonts w:cs="Arial"/>
                <w:sz w:val="22"/>
                <w:szCs w:val="22"/>
                <w:highlight w:val="yellow"/>
              </w:rPr>
            </w:pPr>
            <w:r>
              <w:rPr>
                <w:rFonts w:cs="Arial"/>
                <w:sz w:val="22"/>
                <w:szCs w:val="22"/>
              </w:rPr>
              <w:t>Provider</w:t>
            </w:r>
          </w:p>
        </w:tc>
        <w:tc>
          <w:tcPr>
            <w:tcW w:w="4211" w:type="dxa"/>
          </w:tcPr>
          <w:p w14:paraId="0F1377A1" w14:textId="2C6337E5" w:rsidR="00010038" w:rsidRPr="00010038" w:rsidRDefault="00C57091" w:rsidP="00D64792">
            <w:pPr>
              <w:pStyle w:val="StdBodyText1"/>
              <w:ind w:left="0"/>
              <w:rPr>
                <w:rFonts w:cs="Arial"/>
                <w:sz w:val="22"/>
                <w:szCs w:val="22"/>
              </w:rPr>
            </w:pPr>
            <w:r w:rsidRPr="00331E4B" w:rsidDel="00C57091">
              <w:rPr>
                <w:rFonts w:cs="Arial"/>
                <w:sz w:val="22"/>
                <w:szCs w:val="22"/>
              </w:rPr>
              <w:t xml:space="preserve"> </w:t>
            </w:r>
            <w:r w:rsidRPr="00C57091">
              <w:rPr>
                <w:rFonts w:cs="Arial"/>
                <w:sz w:val="22"/>
                <w:szCs w:val="22"/>
              </w:rPr>
              <w:t>All of the financial indicators detailed in paragraph 5.1</w:t>
            </w:r>
          </w:p>
        </w:tc>
      </w:tr>
    </w:tbl>
    <w:p w14:paraId="379FC4CD" w14:textId="77777777" w:rsidR="00010038" w:rsidRPr="00010038" w:rsidRDefault="00010038" w:rsidP="00010038">
      <w:pPr>
        <w:pStyle w:val="StdBodyText"/>
        <w:rPr>
          <w:rFonts w:cs="Arial"/>
          <w:sz w:val="22"/>
          <w:szCs w:val="22"/>
        </w:rPr>
      </w:pPr>
    </w:p>
    <w:p w14:paraId="074DCBDC" w14:textId="53B0D411" w:rsidR="00010038" w:rsidRPr="00010038" w:rsidRDefault="00010038" w:rsidP="004E2262">
      <w:pPr>
        <w:pStyle w:val="ScheduleText1"/>
        <w:numPr>
          <w:ilvl w:val="0"/>
          <w:numId w:val="83"/>
        </w:numPr>
        <w:rPr>
          <w:rFonts w:cs="Arial"/>
          <w:sz w:val="22"/>
          <w:szCs w:val="22"/>
        </w:rPr>
      </w:pPr>
      <w:bookmarkStart w:id="4001" w:name="_Ref44571523"/>
      <w:r w:rsidRPr="00010038">
        <w:rPr>
          <w:rFonts w:cs="Arial"/>
          <w:sz w:val="22"/>
          <w:szCs w:val="22"/>
        </w:rPr>
        <w:t>TERMINATION RIGHTS</w:t>
      </w:r>
      <w:bookmarkEnd w:id="4001"/>
    </w:p>
    <w:p w14:paraId="4E92732A" w14:textId="1C6700C7" w:rsidR="00010038" w:rsidRPr="00010038" w:rsidRDefault="00010038" w:rsidP="004E2262">
      <w:pPr>
        <w:pStyle w:val="ScheduleText2"/>
        <w:numPr>
          <w:ilvl w:val="1"/>
          <w:numId w:val="83"/>
        </w:numPr>
        <w:rPr>
          <w:rFonts w:cs="Arial"/>
          <w:sz w:val="22"/>
          <w:szCs w:val="22"/>
        </w:rPr>
      </w:pPr>
      <w:r w:rsidRPr="00010038">
        <w:rPr>
          <w:rFonts w:cs="Arial"/>
          <w:sz w:val="22"/>
          <w:szCs w:val="22"/>
        </w:rPr>
        <w:t xml:space="preserve">HSE shall be entitled to terminate this Agreement under </w:t>
      </w:r>
      <w:bookmarkStart w:id="4002" w:name="_9kMIH5YVt4EE7BJTEjtCx9MLu"/>
      <w:bookmarkStart w:id="4003" w:name="_9kMHG5YVt4EE7CDMEjtCx9MLu"/>
      <w:r w:rsidRPr="00010038">
        <w:rPr>
          <w:rFonts w:cs="Arial"/>
          <w:sz w:val="22"/>
          <w:szCs w:val="22"/>
        </w:rPr>
        <w:t>Clause</w:t>
      </w:r>
      <w:r w:rsidR="002C5B87">
        <w:rPr>
          <w:rFonts w:cs="Arial"/>
          <w:sz w:val="22"/>
          <w:szCs w:val="22"/>
        </w:rPr>
        <w:t xml:space="preserve"> 41</w:t>
      </w:r>
      <w:r w:rsidRPr="00010038">
        <w:rPr>
          <w:rFonts w:cs="Arial"/>
          <w:sz w:val="22"/>
          <w:szCs w:val="22"/>
        </w:rPr>
        <w:t>.1</w:t>
      </w:r>
      <w:r w:rsidR="002C5B87">
        <w:rPr>
          <w:rFonts w:cs="Arial"/>
          <w:sz w:val="22"/>
          <w:szCs w:val="22"/>
        </w:rPr>
        <w:t>.1(d</w:t>
      </w:r>
      <w:r w:rsidRPr="00010038">
        <w:rPr>
          <w:rFonts w:cs="Arial"/>
          <w:sz w:val="22"/>
          <w:szCs w:val="22"/>
        </w:rPr>
        <w:t>)</w:t>
      </w:r>
      <w:bookmarkEnd w:id="4002"/>
      <w:bookmarkEnd w:id="4003"/>
      <w:r w:rsidRPr="00010038">
        <w:rPr>
          <w:rFonts w:cs="Arial"/>
          <w:sz w:val="22"/>
          <w:szCs w:val="22"/>
        </w:rPr>
        <w:t xml:space="preserve"> (</w:t>
      </w:r>
      <w:r w:rsidRPr="00010038">
        <w:rPr>
          <w:rFonts w:cs="Arial"/>
          <w:i/>
          <w:sz w:val="22"/>
          <w:szCs w:val="22"/>
        </w:rPr>
        <w:t xml:space="preserve">Termination </w:t>
      </w:r>
      <w:r w:rsidR="002C5B87">
        <w:rPr>
          <w:rFonts w:cs="Arial"/>
          <w:i/>
          <w:sz w:val="22"/>
          <w:szCs w:val="22"/>
        </w:rPr>
        <w:t>for Material Breach</w:t>
      </w:r>
      <w:r w:rsidRPr="00010038">
        <w:rPr>
          <w:rFonts w:cs="Arial"/>
          <w:sz w:val="22"/>
          <w:szCs w:val="22"/>
        </w:rPr>
        <w:t>) if:</w:t>
      </w:r>
    </w:p>
    <w:p w14:paraId="6358ED98" w14:textId="5C2BAA7B" w:rsidR="00010038" w:rsidRPr="00010038" w:rsidRDefault="00010038" w:rsidP="004E2262">
      <w:pPr>
        <w:pStyle w:val="ScheduleText4"/>
        <w:numPr>
          <w:ilvl w:val="3"/>
          <w:numId w:val="83"/>
        </w:numPr>
        <w:rPr>
          <w:rFonts w:cs="Arial"/>
          <w:sz w:val="22"/>
          <w:szCs w:val="22"/>
        </w:rPr>
      </w:pPr>
      <w:r w:rsidRPr="00010038">
        <w:rPr>
          <w:rFonts w:cs="Arial"/>
          <w:sz w:val="22"/>
          <w:szCs w:val="22"/>
        </w:rPr>
        <w:t xml:space="preserve">the Provider fails to notify HSE of a Financial Distress Event in accordance with </w:t>
      </w:r>
      <w:bookmarkStart w:id="4004" w:name="_9kR3WTr2BC7EHaEnoewrqyCMx"/>
      <w:r w:rsidR="002C5B87">
        <w:rPr>
          <w:rFonts w:cs="Arial"/>
          <w:sz w:val="22"/>
          <w:szCs w:val="22"/>
        </w:rPr>
        <w:t>p</w:t>
      </w:r>
      <w:r w:rsidRPr="00010038">
        <w:rPr>
          <w:rFonts w:cs="Arial"/>
          <w:sz w:val="22"/>
          <w:szCs w:val="22"/>
        </w:rPr>
        <w:t xml:space="preserve">aragraph </w:t>
      </w:r>
      <w:r w:rsidRPr="00010038">
        <w:rPr>
          <w:rFonts w:cs="Arial"/>
          <w:sz w:val="22"/>
          <w:szCs w:val="22"/>
        </w:rPr>
        <w:fldChar w:fldCharType="begin"/>
      </w:r>
      <w:r w:rsidRPr="00010038">
        <w:rPr>
          <w:rFonts w:cs="Arial"/>
          <w:sz w:val="22"/>
          <w:szCs w:val="22"/>
        </w:rPr>
        <w:instrText xml:space="preserve"> REF _Ref_ContractCompanion_9kb9Us3AB \w \h \t \* MERGEFORMAT </w:instrText>
      </w:r>
      <w:r w:rsidRPr="00010038">
        <w:rPr>
          <w:rFonts w:cs="Arial"/>
          <w:sz w:val="22"/>
          <w:szCs w:val="22"/>
        </w:rPr>
      </w:r>
      <w:r w:rsidRPr="00010038">
        <w:rPr>
          <w:rFonts w:cs="Arial"/>
          <w:sz w:val="22"/>
          <w:szCs w:val="22"/>
        </w:rPr>
        <w:fldChar w:fldCharType="separate"/>
      </w:r>
      <w:r w:rsidR="00C87D85">
        <w:rPr>
          <w:rFonts w:cs="Arial"/>
          <w:sz w:val="22"/>
          <w:szCs w:val="22"/>
        </w:rPr>
        <w:t>2.3(c)</w:t>
      </w:r>
      <w:r w:rsidRPr="00010038">
        <w:rPr>
          <w:rFonts w:cs="Arial"/>
          <w:sz w:val="22"/>
          <w:szCs w:val="22"/>
        </w:rPr>
        <w:fldChar w:fldCharType="end"/>
      </w:r>
      <w:bookmarkEnd w:id="4004"/>
      <w:r w:rsidRPr="00010038">
        <w:rPr>
          <w:rFonts w:cs="Arial"/>
          <w:sz w:val="22"/>
          <w:szCs w:val="22"/>
        </w:rPr>
        <w:t>;</w:t>
      </w:r>
    </w:p>
    <w:p w14:paraId="659FCA2A" w14:textId="0E45A255" w:rsidR="00010038" w:rsidRPr="00010038" w:rsidRDefault="00010038" w:rsidP="004E2262">
      <w:pPr>
        <w:pStyle w:val="ScheduleText4"/>
        <w:numPr>
          <w:ilvl w:val="3"/>
          <w:numId w:val="83"/>
        </w:numPr>
        <w:rPr>
          <w:rFonts w:cs="Arial"/>
          <w:sz w:val="22"/>
          <w:szCs w:val="22"/>
        </w:rPr>
      </w:pPr>
      <w:r w:rsidRPr="00010038">
        <w:rPr>
          <w:rFonts w:cs="Arial"/>
          <w:sz w:val="22"/>
          <w:szCs w:val="22"/>
        </w:rPr>
        <w:t>the Provider fa</w:t>
      </w:r>
      <w:r w:rsidR="002C5B87">
        <w:rPr>
          <w:rFonts w:cs="Arial"/>
          <w:sz w:val="22"/>
          <w:szCs w:val="22"/>
        </w:rPr>
        <w:t>ils to comply with any part of p</w:t>
      </w:r>
      <w:r w:rsidRPr="00010038">
        <w:rPr>
          <w:rFonts w:cs="Arial"/>
          <w:sz w:val="22"/>
          <w:szCs w:val="22"/>
        </w:rPr>
        <w:t xml:space="preserve">aragraph </w:t>
      </w:r>
      <w:r w:rsidRPr="00010038">
        <w:rPr>
          <w:rFonts w:cs="Arial"/>
          <w:sz w:val="22"/>
          <w:szCs w:val="22"/>
        </w:rPr>
        <w:fldChar w:fldCharType="begin"/>
      </w:r>
      <w:r w:rsidRPr="00010038">
        <w:rPr>
          <w:rFonts w:cs="Arial"/>
          <w:sz w:val="22"/>
          <w:szCs w:val="22"/>
        </w:rPr>
        <w:instrText xml:space="preserve"> REF _Ref_ContractCompanion_9kb9Us36B \r \h  \* MERGEFORMAT </w:instrText>
      </w:r>
      <w:r w:rsidRPr="00010038">
        <w:rPr>
          <w:rFonts w:cs="Arial"/>
          <w:sz w:val="22"/>
          <w:szCs w:val="22"/>
        </w:rPr>
      </w:r>
      <w:r w:rsidRPr="00010038">
        <w:rPr>
          <w:rFonts w:cs="Arial"/>
          <w:sz w:val="22"/>
          <w:szCs w:val="22"/>
        </w:rPr>
        <w:fldChar w:fldCharType="separate"/>
      </w:r>
      <w:r w:rsidR="00C87D85">
        <w:rPr>
          <w:rFonts w:cs="Arial"/>
          <w:sz w:val="22"/>
          <w:szCs w:val="22"/>
        </w:rPr>
        <w:t>4.3</w:t>
      </w:r>
      <w:r w:rsidRPr="00010038">
        <w:rPr>
          <w:rFonts w:cs="Arial"/>
          <w:sz w:val="22"/>
          <w:szCs w:val="22"/>
        </w:rPr>
        <w:fldChar w:fldCharType="end"/>
      </w:r>
      <w:r w:rsidRPr="00010038">
        <w:rPr>
          <w:rFonts w:cs="Arial"/>
          <w:sz w:val="22"/>
          <w:szCs w:val="22"/>
        </w:rPr>
        <w:t>;</w:t>
      </w:r>
    </w:p>
    <w:p w14:paraId="3E1BA751" w14:textId="357CF18E" w:rsidR="00010038" w:rsidRPr="00010038" w:rsidRDefault="00010038" w:rsidP="004E2262">
      <w:pPr>
        <w:pStyle w:val="ScheduleText4"/>
        <w:numPr>
          <w:ilvl w:val="3"/>
          <w:numId w:val="83"/>
        </w:numPr>
        <w:rPr>
          <w:rFonts w:cs="Arial"/>
          <w:sz w:val="22"/>
          <w:szCs w:val="22"/>
        </w:rPr>
      </w:pPr>
      <w:r w:rsidRPr="00010038">
        <w:rPr>
          <w:rFonts w:cs="Arial"/>
          <w:sz w:val="22"/>
          <w:szCs w:val="22"/>
        </w:rPr>
        <w:t xml:space="preserve">HSE finally rejects a Financial Distress Remediation Plan (or any updated Financial Distress Remediation Plan) in accordance with </w:t>
      </w:r>
      <w:bookmarkStart w:id="4005" w:name="_9kR3WTr2BC7EKdEnoewrqy2QP"/>
      <w:r w:rsidR="002C5B87">
        <w:rPr>
          <w:rFonts w:cs="Arial"/>
          <w:sz w:val="22"/>
          <w:szCs w:val="22"/>
        </w:rPr>
        <w:t>p</w:t>
      </w:r>
      <w:r w:rsidRPr="00010038">
        <w:rPr>
          <w:rFonts w:cs="Arial"/>
          <w:sz w:val="22"/>
          <w:szCs w:val="22"/>
        </w:rPr>
        <w:t xml:space="preserve">aragraphs </w:t>
      </w:r>
      <w:r w:rsidRPr="00010038">
        <w:rPr>
          <w:rFonts w:cs="Arial"/>
          <w:sz w:val="22"/>
          <w:szCs w:val="22"/>
        </w:rPr>
        <w:fldChar w:fldCharType="begin"/>
      </w:r>
      <w:r w:rsidRPr="00010038">
        <w:rPr>
          <w:rFonts w:cs="Arial"/>
          <w:sz w:val="22"/>
          <w:szCs w:val="22"/>
        </w:rPr>
        <w:instrText xml:space="preserve"> REF _Ref88648491 \r \h  \* MERGEFORMAT </w:instrText>
      </w:r>
      <w:r w:rsidRPr="00010038">
        <w:rPr>
          <w:rFonts w:cs="Arial"/>
          <w:sz w:val="22"/>
          <w:szCs w:val="22"/>
        </w:rPr>
      </w:r>
      <w:r w:rsidRPr="00010038">
        <w:rPr>
          <w:rFonts w:cs="Arial"/>
          <w:sz w:val="22"/>
          <w:szCs w:val="22"/>
        </w:rPr>
        <w:fldChar w:fldCharType="separate"/>
      </w:r>
      <w:r w:rsidR="00C87D85">
        <w:rPr>
          <w:rFonts w:cs="Arial"/>
          <w:sz w:val="22"/>
          <w:szCs w:val="22"/>
        </w:rPr>
        <w:t>4.4</w:t>
      </w:r>
      <w:r w:rsidRPr="00010038">
        <w:rPr>
          <w:rFonts w:cs="Arial"/>
          <w:sz w:val="22"/>
          <w:szCs w:val="22"/>
        </w:rPr>
        <w:fldChar w:fldCharType="end"/>
      </w:r>
      <w:bookmarkEnd w:id="4005"/>
      <w:r w:rsidRPr="00010038">
        <w:rPr>
          <w:rFonts w:cs="Arial"/>
          <w:sz w:val="22"/>
          <w:szCs w:val="22"/>
        </w:rPr>
        <w:t xml:space="preserve"> to </w:t>
      </w:r>
      <w:bookmarkStart w:id="4006" w:name="_9kR3WTr2BC7FEBH"/>
      <w:r w:rsidRPr="00010038">
        <w:rPr>
          <w:rFonts w:cs="Arial"/>
          <w:sz w:val="22"/>
          <w:szCs w:val="22"/>
        </w:rPr>
        <w:fldChar w:fldCharType="begin"/>
      </w:r>
      <w:r w:rsidRPr="00010038">
        <w:rPr>
          <w:rFonts w:cs="Arial"/>
          <w:sz w:val="22"/>
          <w:szCs w:val="22"/>
        </w:rPr>
        <w:instrText xml:space="preserve"> REF _Ref_ContractCompanion_9kb9Us38B \w \h \t \* MERGEFORMAT </w:instrText>
      </w:r>
      <w:r w:rsidRPr="00010038">
        <w:rPr>
          <w:rFonts w:cs="Arial"/>
          <w:sz w:val="22"/>
          <w:szCs w:val="22"/>
        </w:rPr>
      </w:r>
      <w:r w:rsidRPr="00010038">
        <w:rPr>
          <w:rFonts w:cs="Arial"/>
          <w:sz w:val="22"/>
          <w:szCs w:val="22"/>
        </w:rPr>
        <w:fldChar w:fldCharType="separate"/>
      </w:r>
      <w:r w:rsidR="00C87D85">
        <w:rPr>
          <w:rFonts w:cs="Arial"/>
          <w:sz w:val="22"/>
          <w:szCs w:val="22"/>
        </w:rPr>
        <w:t>4.5(a)</w:t>
      </w:r>
      <w:r w:rsidRPr="00010038">
        <w:rPr>
          <w:rFonts w:cs="Arial"/>
          <w:sz w:val="22"/>
          <w:szCs w:val="22"/>
        </w:rPr>
        <w:fldChar w:fldCharType="end"/>
      </w:r>
      <w:bookmarkEnd w:id="4006"/>
      <w:r w:rsidRPr="00010038">
        <w:rPr>
          <w:rFonts w:cs="Arial"/>
          <w:sz w:val="22"/>
          <w:szCs w:val="22"/>
        </w:rPr>
        <w:t>; and/or</w:t>
      </w:r>
    </w:p>
    <w:p w14:paraId="45EEA425" w14:textId="10C8FBCB" w:rsidR="00010038" w:rsidRPr="00010038" w:rsidRDefault="00010038" w:rsidP="004E2262">
      <w:pPr>
        <w:pStyle w:val="ScheduleText4"/>
        <w:numPr>
          <w:ilvl w:val="3"/>
          <w:numId w:val="83"/>
        </w:numPr>
        <w:rPr>
          <w:rFonts w:cs="Arial"/>
          <w:sz w:val="22"/>
          <w:szCs w:val="22"/>
        </w:rPr>
      </w:pPr>
      <w:r w:rsidRPr="00010038">
        <w:rPr>
          <w:rFonts w:cs="Arial"/>
          <w:sz w:val="22"/>
          <w:szCs w:val="22"/>
        </w:rPr>
        <w:t xml:space="preserve">the Provider fails to comply with the terms of the Financial Distress Remediation Plan (or any updated Financial Distress Remediation Plan) in accordance with </w:t>
      </w:r>
      <w:bookmarkStart w:id="4007" w:name="_9kR3WTr2BC7FHZEnoewrqyER0"/>
      <w:r w:rsidR="002C5B87">
        <w:rPr>
          <w:rFonts w:cs="Arial"/>
          <w:sz w:val="22"/>
          <w:szCs w:val="22"/>
        </w:rPr>
        <w:t>p</w:t>
      </w:r>
      <w:r w:rsidRPr="00010038">
        <w:rPr>
          <w:rFonts w:cs="Arial"/>
          <w:sz w:val="22"/>
          <w:szCs w:val="22"/>
        </w:rPr>
        <w:t xml:space="preserve">aragraph </w:t>
      </w:r>
      <w:r w:rsidRPr="00010038">
        <w:rPr>
          <w:rFonts w:cs="Arial"/>
          <w:sz w:val="22"/>
          <w:szCs w:val="22"/>
        </w:rPr>
        <w:fldChar w:fldCharType="begin"/>
      </w:r>
      <w:r w:rsidRPr="00010038">
        <w:rPr>
          <w:rFonts w:cs="Arial"/>
          <w:sz w:val="22"/>
          <w:szCs w:val="22"/>
        </w:rPr>
        <w:instrText xml:space="preserve"> REF _Ref_ContractCompanion_9kb9Us3BB \w \h \t \* MERGEFORMAT </w:instrText>
      </w:r>
      <w:r w:rsidRPr="00010038">
        <w:rPr>
          <w:rFonts w:cs="Arial"/>
          <w:sz w:val="22"/>
          <w:szCs w:val="22"/>
        </w:rPr>
      </w:r>
      <w:r w:rsidRPr="00010038">
        <w:rPr>
          <w:rFonts w:cs="Arial"/>
          <w:sz w:val="22"/>
          <w:szCs w:val="22"/>
        </w:rPr>
        <w:fldChar w:fldCharType="separate"/>
      </w:r>
      <w:r w:rsidR="00C87D85">
        <w:rPr>
          <w:rFonts w:cs="Arial"/>
          <w:sz w:val="22"/>
          <w:szCs w:val="22"/>
        </w:rPr>
        <w:t>4.5(c)</w:t>
      </w:r>
      <w:r w:rsidRPr="00010038">
        <w:rPr>
          <w:rFonts w:cs="Arial"/>
          <w:sz w:val="22"/>
          <w:szCs w:val="22"/>
        </w:rPr>
        <w:fldChar w:fldCharType="end"/>
      </w:r>
      <w:bookmarkEnd w:id="4007"/>
      <w:r w:rsidRPr="00010038">
        <w:rPr>
          <w:rFonts w:cs="Arial"/>
          <w:sz w:val="22"/>
          <w:szCs w:val="22"/>
        </w:rPr>
        <w:t>.</w:t>
      </w:r>
    </w:p>
    <w:p w14:paraId="6F1BF17C" w14:textId="77777777" w:rsidR="00010038" w:rsidRPr="00010038" w:rsidRDefault="00010038" w:rsidP="004E2262">
      <w:pPr>
        <w:pStyle w:val="ScheduleText1"/>
        <w:numPr>
          <w:ilvl w:val="0"/>
          <w:numId w:val="83"/>
        </w:numPr>
        <w:rPr>
          <w:rFonts w:cs="Arial"/>
          <w:sz w:val="22"/>
          <w:szCs w:val="22"/>
        </w:rPr>
      </w:pPr>
      <w:r w:rsidRPr="00010038">
        <w:rPr>
          <w:rFonts w:cs="Arial"/>
          <w:sz w:val="22"/>
          <w:szCs w:val="22"/>
        </w:rPr>
        <w:t>PRIMACY OF CREDIT RATINGS</w:t>
      </w:r>
    </w:p>
    <w:p w14:paraId="1E0C1E48" w14:textId="11D732BE" w:rsidR="00010038" w:rsidRPr="00010038" w:rsidRDefault="00010038" w:rsidP="004E2262">
      <w:pPr>
        <w:pStyle w:val="ScheduleText2"/>
        <w:numPr>
          <w:ilvl w:val="1"/>
          <w:numId w:val="83"/>
        </w:numPr>
        <w:rPr>
          <w:rFonts w:cs="Arial"/>
          <w:sz w:val="22"/>
          <w:szCs w:val="22"/>
        </w:rPr>
      </w:pPr>
      <w:bookmarkStart w:id="4008" w:name="_Ref_ContractCompanion_9kb9Ur34B"/>
      <w:bookmarkStart w:id="4009" w:name="_Ref_ContractCompanion_9kb9Ur354"/>
      <w:bookmarkStart w:id="4010" w:name="_Ref_ContractCompanion_9kb9Ur6EG"/>
      <w:r w:rsidRPr="00010038">
        <w:rPr>
          <w:rFonts w:cs="Arial"/>
          <w:sz w:val="22"/>
          <w:szCs w:val="22"/>
        </w:rPr>
        <w:lastRenderedPageBreak/>
        <w:t xml:space="preserve">Without prejudice to the Provider’s obligations and HSE’s rights and remedies under </w:t>
      </w:r>
      <w:bookmarkStart w:id="4011" w:name="_9kR3WTr2BC7FKcEnoewrqyC"/>
      <w:r w:rsidR="002C5B87">
        <w:rPr>
          <w:rFonts w:cs="Arial"/>
          <w:sz w:val="22"/>
          <w:szCs w:val="22"/>
        </w:rPr>
        <w:t>p</w:t>
      </w:r>
      <w:r w:rsidRPr="00010038">
        <w:rPr>
          <w:rFonts w:cs="Arial"/>
          <w:sz w:val="22"/>
          <w:szCs w:val="22"/>
        </w:rPr>
        <w:t xml:space="preserve">aragraph </w:t>
      </w:r>
      <w:r w:rsidRPr="00010038">
        <w:rPr>
          <w:rFonts w:cs="Arial"/>
          <w:sz w:val="22"/>
          <w:szCs w:val="22"/>
        </w:rPr>
        <w:fldChar w:fldCharType="begin"/>
      </w:r>
      <w:r w:rsidRPr="00010038">
        <w:rPr>
          <w:rFonts w:cs="Arial"/>
          <w:sz w:val="22"/>
          <w:szCs w:val="22"/>
        </w:rPr>
        <w:instrText xml:space="preserve"> REF _Ref_ContractCompanion_9kb9Us3BE \w \n \h \t \* MERGEFORMAT </w:instrText>
      </w:r>
      <w:r w:rsidRPr="00010038">
        <w:rPr>
          <w:rFonts w:cs="Arial"/>
          <w:sz w:val="22"/>
          <w:szCs w:val="22"/>
        </w:rPr>
      </w:r>
      <w:r w:rsidRPr="00010038">
        <w:rPr>
          <w:rFonts w:cs="Arial"/>
          <w:sz w:val="22"/>
          <w:szCs w:val="22"/>
        </w:rPr>
        <w:fldChar w:fldCharType="separate"/>
      </w:r>
      <w:r w:rsidR="00C87D85">
        <w:rPr>
          <w:rFonts w:cs="Arial"/>
          <w:sz w:val="22"/>
          <w:szCs w:val="22"/>
        </w:rPr>
        <w:t>2</w:t>
      </w:r>
      <w:r w:rsidRPr="00010038">
        <w:rPr>
          <w:rFonts w:cs="Arial"/>
          <w:sz w:val="22"/>
          <w:szCs w:val="22"/>
        </w:rPr>
        <w:fldChar w:fldCharType="end"/>
      </w:r>
      <w:bookmarkEnd w:id="4011"/>
      <w:r w:rsidRPr="00010038">
        <w:rPr>
          <w:rFonts w:cs="Arial"/>
          <w:sz w:val="22"/>
          <w:szCs w:val="22"/>
        </w:rPr>
        <w:t xml:space="preserve">, if, following the occurrence of a Financial Distress Event pursuant to any of </w:t>
      </w:r>
      <w:bookmarkStart w:id="4012" w:name="_9kR3WTr2BC7FNfEnoewrqy2PMv"/>
      <w:r w:rsidR="00BC5352">
        <w:rPr>
          <w:rFonts w:cs="Arial"/>
          <w:sz w:val="22"/>
          <w:szCs w:val="22"/>
        </w:rPr>
        <w:t>p</w:t>
      </w:r>
      <w:r w:rsidRPr="00010038">
        <w:rPr>
          <w:rFonts w:cs="Arial"/>
          <w:sz w:val="22"/>
          <w:szCs w:val="22"/>
        </w:rPr>
        <w:t xml:space="preserve">aragraphs </w:t>
      </w:r>
      <w:r w:rsidRPr="00010038">
        <w:rPr>
          <w:rFonts w:cs="Arial"/>
          <w:sz w:val="22"/>
          <w:szCs w:val="22"/>
        </w:rPr>
        <w:fldChar w:fldCharType="begin"/>
      </w:r>
      <w:r w:rsidRPr="00010038">
        <w:rPr>
          <w:rFonts w:cs="Arial"/>
          <w:sz w:val="22"/>
          <w:szCs w:val="22"/>
        </w:rPr>
        <w:instrText xml:space="preserve"> REF _Ref_ContractCompanion_9kb9Us3BH \w \h \t \* MERGEFORMAT </w:instrText>
      </w:r>
      <w:r w:rsidRPr="00010038">
        <w:rPr>
          <w:rFonts w:cs="Arial"/>
          <w:sz w:val="22"/>
          <w:szCs w:val="22"/>
        </w:rPr>
      </w:r>
      <w:r w:rsidRPr="00010038">
        <w:rPr>
          <w:rFonts w:cs="Arial"/>
          <w:sz w:val="22"/>
          <w:szCs w:val="22"/>
        </w:rPr>
        <w:fldChar w:fldCharType="separate"/>
      </w:r>
      <w:r w:rsidR="00C87D85">
        <w:rPr>
          <w:rFonts w:cs="Arial"/>
          <w:sz w:val="22"/>
          <w:szCs w:val="22"/>
        </w:rPr>
        <w:t>3.1(b)</w:t>
      </w:r>
      <w:r w:rsidRPr="00010038">
        <w:rPr>
          <w:rFonts w:cs="Arial"/>
          <w:sz w:val="22"/>
          <w:szCs w:val="22"/>
        </w:rPr>
        <w:fldChar w:fldCharType="end"/>
      </w:r>
      <w:bookmarkEnd w:id="4012"/>
      <w:r w:rsidRPr="00010038">
        <w:rPr>
          <w:rFonts w:cs="Arial"/>
          <w:sz w:val="22"/>
          <w:szCs w:val="22"/>
        </w:rPr>
        <w:t xml:space="preserve"> to </w:t>
      </w:r>
      <w:bookmarkStart w:id="4013" w:name="_9kR3WTr2BC7GHCCq"/>
      <w:r w:rsidRPr="00010038">
        <w:rPr>
          <w:rFonts w:cs="Arial"/>
          <w:sz w:val="22"/>
          <w:szCs w:val="22"/>
        </w:rPr>
        <w:fldChar w:fldCharType="begin"/>
      </w:r>
      <w:r w:rsidRPr="00010038">
        <w:rPr>
          <w:rFonts w:cs="Arial"/>
          <w:sz w:val="22"/>
          <w:szCs w:val="22"/>
        </w:rPr>
        <w:instrText xml:space="preserve"> REF _Ref_ContractCompanion_9kb9Us3CB \w \h \t \* MERGEFORMAT </w:instrText>
      </w:r>
      <w:r w:rsidRPr="00010038">
        <w:rPr>
          <w:rFonts w:cs="Arial"/>
          <w:sz w:val="22"/>
          <w:szCs w:val="22"/>
        </w:rPr>
      </w:r>
      <w:r w:rsidRPr="00010038">
        <w:rPr>
          <w:rFonts w:cs="Arial"/>
          <w:sz w:val="22"/>
          <w:szCs w:val="22"/>
        </w:rPr>
        <w:fldChar w:fldCharType="separate"/>
      </w:r>
      <w:r w:rsidR="00C87D85">
        <w:rPr>
          <w:rFonts w:cs="Arial"/>
          <w:sz w:val="22"/>
          <w:szCs w:val="22"/>
        </w:rPr>
        <w:t>3.1(j)</w:t>
      </w:r>
      <w:r w:rsidRPr="00010038">
        <w:rPr>
          <w:rFonts w:cs="Arial"/>
          <w:sz w:val="22"/>
          <w:szCs w:val="22"/>
        </w:rPr>
        <w:fldChar w:fldCharType="end"/>
      </w:r>
      <w:bookmarkEnd w:id="4013"/>
      <w:r w:rsidRPr="00010038">
        <w:rPr>
          <w:rFonts w:cs="Arial"/>
          <w:sz w:val="22"/>
          <w:szCs w:val="22"/>
        </w:rPr>
        <w:t xml:space="preserve">, the Rating Agencies review and report subsequently that the credit ratings for the FDE Group entities do not drop below the relevant Credit Rating Thresholds specified for those entities in Annex </w:t>
      </w:r>
      <w:r w:rsidRPr="00010038">
        <w:rPr>
          <w:rFonts w:cs="Arial"/>
          <w:sz w:val="22"/>
          <w:szCs w:val="22"/>
        </w:rPr>
        <w:fldChar w:fldCharType="begin"/>
      </w:r>
      <w:r w:rsidRPr="00010038">
        <w:rPr>
          <w:rFonts w:cs="Arial"/>
          <w:sz w:val="22"/>
          <w:szCs w:val="22"/>
        </w:rPr>
        <w:instrText xml:space="preserve"> REF ANNEX2_SCHEDULE18 \h  \* MERGEFORMAT </w:instrText>
      </w:r>
      <w:r w:rsidRPr="00010038">
        <w:rPr>
          <w:rFonts w:cs="Arial"/>
          <w:sz w:val="22"/>
          <w:szCs w:val="22"/>
        </w:rPr>
      </w:r>
      <w:r w:rsidRPr="00010038">
        <w:rPr>
          <w:rFonts w:cs="Arial"/>
          <w:sz w:val="22"/>
          <w:szCs w:val="22"/>
        </w:rPr>
        <w:fldChar w:fldCharType="separate"/>
      </w:r>
      <w:r w:rsidR="00C87D85" w:rsidRPr="00010038">
        <w:rPr>
          <w:rFonts w:cs="Arial"/>
          <w:sz w:val="22"/>
          <w:szCs w:val="22"/>
        </w:rPr>
        <w:t>2</w:t>
      </w:r>
      <w:r w:rsidRPr="00010038">
        <w:rPr>
          <w:rFonts w:cs="Arial"/>
          <w:sz w:val="22"/>
          <w:szCs w:val="22"/>
        </w:rPr>
        <w:fldChar w:fldCharType="end"/>
      </w:r>
      <w:r w:rsidRPr="00010038">
        <w:rPr>
          <w:rFonts w:cs="Arial"/>
          <w:sz w:val="22"/>
          <w:szCs w:val="22"/>
        </w:rPr>
        <w:t xml:space="preserve"> of this Schedule, then:</w:t>
      </w:r>
      <w:bookmarkEnd w:id="4008"/>
      <w:bookmarkEnd w:id="4009"/>
      <w:bookmarkEnd w:id="4010"/>
    </w:p>
    <w:p w14:paraId="51F269ED" w14:textId="2554CDFF" w:rsidR="00010038" w:rsidRPr="00010038" w:rsidRDefault="00010038" w:rsidP="004E2262">
      <w:pPr>
        <w:pStyle w:val="ScheduleText4"/>
        <w:numPr>
          <w:ilvl w:val="3"/>
          <w:numId w:val="83"/>
        </w:numPr>
        <w:rPr>
          <w:rFonts w:cs="Arial"/>
          <w:sz w:val="22"/>
          <w:szCs w:val="22"/>
        </w:rPr>
      </w:pPr>
      <w:r w:rsidRPr="00010038">
        <w:rPr>
          <w:rFonts w:cs="Arial"/>
          <w:sz w:val="22"/>
          <w:szCs w:val="22"/>
        </w:rPr>
        <w:t xml:space="preserve">the Provider shall be relieved automatically of its obligations under </w:t>
      </w:r>
      <w:bookmarkStart w:id="4014" w:name="_9kMHG5YVt4DE9GMfGpqgyts04SR"/>
      <w:r w:rsidR="002C5B87">
        <w:rPr>
          <w:rFonts w:cs="Arial"/>
          <w:sz w:val="22"/>
          <w:szCs w:val="22"/>
        </w:rPr>
        <w:t>p</w:t>
      </w:r>
      <w:r w:rsidRPr="00010038">
        <w:rPr>
          <w:rFonts w:cs="Arial"/>
          <w:sz w:val="22"/>
          <w:szCs w:val="22"/>
        </w:rPr>
        <w:t xml:space="preserve">aragraphs </w:t>
      </w:r>
      <w:r w:rsidRPr="00010038">
        <w:rPr>
          <w:rFonts w:cs="Arial"/>
          <w:sz w:val="22"/>
          <w:szCs w:val="22"/>
        </w:rPr>
        <w:fldChar w:fldCharType="begin"/>
      </w:r>
      <w:r w:rsidRPr="00010038">
        <w:rPr>
          <w:rFonts w:cs="Arial"/>
          <w:sz w:val="22"/>
          <w:szCs w:val="22"/>
        </w:rPr>
        <w:instrText xml:space="preserve"> REF _Ref_ContractCompanion_9kb9Us3AE \n \h \t \* MERGEFORMAT </w:instrText>
      </w:r>
      <w:r w:rsidRPr="00010038">
        <w:rPr>
          <w:rFonts w:cs="Arial"/>
          <w:sz w:val="22"/>
          <w:szCs w:val="22"/>
        </w:rPr>
      </w:r>
      <w:r w:rsidRPr="00010038">
        <w:rPr>
          <w:rFonts w:cs="Arial"/>
          <w:sz w:val="22"/>
          <w:szCs w:val="22"/>
        </w:rPr>
        <w:fldChar w:fldCharType="separate"/>
      </w:r>
      <w:r w:rsidR="00C87D85">
        <w:rPr>
          <w:rFonts w:cs="Arial"/>
          <w:sz w:val="22"/>
          <w:szCs w:val="22"/>
        </w:rPr>
        <w:t>4.3</w:t>
      </w:r>
      <w:r w:rsidRPr="00010038">
        <w:rPr>
          <w:rFonts w:cs="Arial"/>
          <w:sz w:val="22"/>
          <w:szCs w:val="22"/>
        </w:rPr>
        <w:fldChar w:fldCharType="end"/>
      </w:r>
      <w:bookmarkEnd w:id="4014"/>
      <w:r w:rsidRPr="00010038">
        <w:rPr>
          <w:rFonts w:cs="Arial"/>
          <w:sz w:val="22"/>
          <w:szCs w:val="22"/>
        </w:rPr>
        <w:t xml:space="preserve"> to </w:t>
      </w:r>
      <w:bookmarkStart w:id="4015" w:name="_9kR3WTr2BC7GKGI"/>
      <w:r w:rsidRPr="00010038">
        <w:rPr>
          <w:rFonts w:cs="Arial"/>
          <w:sz w:val="22"/>
          <w:szCs w:val="22"/>
        </w:rPr>
        <w:fldChar w:fldCharType="begin"/>
      </w:r>
      <w:r w:rsidRPr="00010038">
        <w:rPr>
          <w:rFonts w:cs="Arial"/>
          <w:sz w:val="22"/>
          <w:szCs w:val="22"/>
        </w:rPr>
        <w:instrText xml:space="preserve"> REF _Ref_ContractCompanion_9kb9Us3CE \n \h \t \* MERGEFORMAT </w:instrText>
      </w:r>
      <w:r w:rsidRPr="00010038">
        <w:rPr>
          <w:rFonts w:cs="Arial"/>
          <w:sz w:val="22"/>
          <w:szCs w:val="22"/>
        </w:rPr>
      </w:r>
      <w:r w:rsidRPr="00010038">
        <w:rPr>
          <w:rFonts w:cs="Arial"/>
          <w:sz w:val="22"/>
          <w:szCs w:val="22"/>
        </w:rPr>
        <w:fldChar w:fldCharType="separate"/>
      </w:r>
      <w:r w:rsidR="00C87D85">
        <w:rPr>
          <w:rFonts w:cs="Arial"/>
          <w:sz w:val="22"/>
          <w:szCs w:val="22"/>
        </w:rPr>
        <w:t>4.5</w:t>
      </w:r>
      <w:r w:rsidRPr="00010038">
        <w:rPr>
          <w:rFonts w:cs="Arial"/>
          <w:sz w:val="22"/>
          <w:szCs w:val="22"/>
        </w:rPr>
        <w:fldChar w:fldCharType="end"/>
      </w:r>
      <w:bookmarkEnd w:id="4015"/>
      <w:r w:rsidRPr="00010038">
        <w:rPr>
          <w:rFonts w:cs="Arial"/>
          <w:sz w:val="22"/>
          <w:szCs w:val="22"/>
        </w:rPr>
        <w:t>; and</w:t>
      </w:r>
    </w:p>
    <w:p w14:paraId="5BD684A9" w14:textId="6D05B57E" w:rsidR="00010038" w:rsidRPr="00010038" w:rsidRDefault="00010038" w:rsidP="004E2262">
      <w:pPr>
        <w:pStyle w:val="ScheduleText4"/>
        <w:numPr>
          <w:ilvl w:val="3"/>
          <w:numId w:val="83"/>
        </w:numPr>
        <w:rPr>
          <w:rFonts w:cs="Arial"/>
          <w:sz w:val="22"/>
          <w:szCs w:val="22"/>
        </w:rPr>
      </w:pPr>
      <w:r w:rsidRPr="00010038">
        <w:rPr>
          <w:rFonts w:cs="Arial"/>
          <w:sz w:val="22"/>
          <w:szCs w:val="22"/>
        </w:rPr>
        <w:t xml:space="preserve">HSE shall not be entitled to require the Provider to provide financial information in accordance with </w:t>
      </w:r>
      <w:bookmarkStart w:id="4016" w:name="_9kMIH5YVtCIB9FJIHpiq29A4qo8O61HODv8HIJJ"/>
      <w:r w:rsidR="002C5B87">
        <w:rPr>
          <w:rFonts w:cs="Arial"/>
          <w:sz w:val="22"/>
          <w:szCs w:val="22"/>
        </w:rPr>
        <w:t>p</w:t>
      </w:r>
      <w:r w:rsidRPr="00010038">
        <w:rPr>
          <w:rFonts w:cs="Arial"/>
          <w:sz w:val="22"/>
          <w:szCs w:val="22"/>
        </w:rPr>
        <w:t xml:space="preserve">aragraph </w:t>
      </w:r>
      <w:r w:rsidRPr="00010038">
        <w:rPr>
          <w:rFonts w:cs="Arial"/>
          <w:sz w:val="22"/>
          <w:szCs w:val="22"/>
        </w:rPr>
        <w:fldChar w:fldCharType="begin"/>
      </w:r>
      <w:r w:rsidRPr="00010038">
        <w:rPr>
          <w:rFonts w:cs="Arial"/>
          <w:sz w:val="22"/>
          <w:szCs w:val="22"/>
        </w:rPr>
        <w:instrText xml:space="preserve"> REF _Ref_ContractCompanion_9kb9Us39B \w \h \t \* MERGEFORMAT </w:instrText>
      </w:r>
      <w:r w:rsidRPr="00010038">
        <w:rPr>
          <w:rFonts w:cs="Arial"/>
          <w:sz w:val="22"/>
          <w:szCs w:val="22"/>
        </w:rPr>
      </w:r>
      <w:r w:rsidRPr="00010038">
        <w:rPr>
          <w:rFonts w:cs="Arial"/>
          <w:sz w:val="22"/>
          <w:szCs w:val="22"/>
        </w:rPr>
        <w:fldChar w:fldCharType="separate"/>
      </w:r>
      <w:r w:rsidR="00C87D85">
        <w:rPr>
          <w:rFonts w:cs="Arial"/>
          <w:sz w:val="22"/>
          <w:szCs w:val="22"/>
        </w:rPr>
        <w:t>4.3(b)(ii)</w:t>
      </w:r>
      <w:r w:rsidRPr="00010038">
        <w:rPr>
          <w:rFonts w:cs="Arial"/>
          <w:sz w:val="22"/>
          <w:szCs w:val="22"/>
        </w:rPr>
        <w:fldChar w:fldCharType="end"/>
      </w:r>
      <w:bookmarkEnd w:id="4016"/>
      <w:r w:rsidRPr="00010038">
        <w:rPr>
          <w:rFonts w:cs="Arial"/>
          <w:sz w:val="22"/>
          <w:szCs w:val="22"/>
        </w:rPr>
        <w:t xml:space="preserve">. </w:t>
      </w:r>
    </w:p>
    <w:p w14:paraId="4FAC1FE2" w14:textId="68BF8DC9" w:rsidR="00010038" w:rsidRPr="00010038" w:rsidRDefault="00010038" w:rsidP="004E2262">
      <w:pPr>
        <w:pStyle w:val="ScheduleText1"/>
        <w:numPr>
          <w:ilvl w:val="0"/>
          <w:numId w:val="83"/>
        </w:numPr>
        <w:rPr>
          <w:rFonts w:cs="Arial"/>
          <w:sz w:val="22"/>
          <w:szCs w:val="22"/>
        </w:rPr>
      </w:pPr>
      <w:bookmarkStart w:id="4017" w:name="_Ref_ContractCompanion_9kb9Ur246"/>
      <w:bookmarkStart w:id="4018" w:name="_Ref_ContractCompanion_9kb9Us34C"/>
      <w:bookmarkStart w:id="4019" w:name="_Ref_ContractCompanion_9kb9Us8A7"/>
      <w:r w:rsidRPr="00010038">
        <w:rPr>
          <w:rFonts w:cs="Arial"/>
          <w:sz w:val="22"/>
          <w:szCs w:val="22"/>
        </w:rPr>
        <w:t>BOARD CONFIRMATION</w:t>
      </w:r>
      <w:bookmarkEnd w:id="4017"/>
      <w:bookmarkEnd w:id="4018"/>
      <w:bookmarkEnd w:id="4019"/>
    </w:p>
    <w:p w14:paraId="19500ECD" w14:textId="6C7C6929" w:rsidR="00010038" w:rsidRPr="00010038" w:rsidRDefault="00010038" w:rsidP="004E2262">
      <w:pPr>
        <w:pStyle w:val="ScheduleText2"/>
        <w:numPr>
          <w:ilvl w:val="1"/>
          <w:numId w:val="83"/>
        </w:numPr>
        <w:rPr>
          <w:rFonts w:cs="Arial"/>
          <w:sz w:val="22"/>
          <w:szCs w:val="22"/>
        </w:rPr>
      </w:pPr>
      <w:bookmarkStart w:id="4020" w:name="_Ref_ContractCompanion_9kb9Ur894"/>
      <w:bookmarkStart w:id="4021" w:name="_Ref_ContractCompanion_9kb9Us3CK"/>
      <w:r w:rsidRPr="00010038">
        <w:rPr>
          <w:rFonts w:cs="Arial"/>
          <w:sz w:val="22"/>
          <w:szCs w:val="22"/>
        </w:rPr>
        <w:t xml:space="preserve">If this Agreement has been specified as a Critical Service Contract under </w:t>
      </w:r>
      <w:bookmarkStart w:id="4022" w:name="_9kMHG5YVt4EE7DIdGpqgyts0DKL"/>
      <w:r w:rsidR="00450715">
        <w:rPr>
          <w:rFonts w:cs="Arial"/>
          <w:sz w:val="22"/>
          <w:szCs w:val="22"/>
        </w:rPr>
        <w:t>p</w:t>
      </w:r>
      <w:r w:rsidRPr="00010038">
        <w:rPr>
          <w:rFonts w:cs="Arial"/>
          <w:sz w:val="22"/>
          <w:szCs w:val="22"/>
        </w:rPr>
        <w:t xml:space="preserve">aragraph </w:t>
      </w:r>
      <w:bookmarkEnd w:id="4022"/>
      <w:r w:rsidR="00450715">
        <w:rPr>
          <w:rFonts w:cs="Arial"/>
          <w:sz w:val="22"/>
          <w:szCs w:val="22"/>
        </w:rPr>
        <w:t>9</w:t>
      </w:r>
      <w:r w:rsidR="002C5B87">
        <w:rPr>
          <w:rFonts w:cs="Arial"/>
          <w:sz w:val="22"/>
          <w:szCs w:val="22"/>
        </w:rPr>
        <w:t>.1</w:t>
      </w:r>
      <w:r w:rsidRPr="00010038">
        <w:rPr>
          <w:rFonts w:cs="Arial"/>
          <w:sz w:val="22"/>
          <w:szCs w:val="22"/>
        </w:rPr>
        <w:t xml:space="preserve"> of </w:t>
      </w:r>
      <w:r w:rsidR="002C5B87">
        <w:rPr>
          <w:rFonts w:cs="Arial"/>
          <w:sz w:val="22"/>
          <w:szCs w:val="22"/>
        </w:rPr>
        <w:t>Schedule 15 (Service Continuity Plan and Corporate Resolution Planning)</w:t>
      </w:r>
      <w:r w:rsidRPr="00010038">
        <w:rPr>
          <w:rFonts w:cs="Arial"/>
          <w:sz w:val="22"/>
          <w:szCs w:val="22"/>
        </w:rPr>
        <w:t xml:space="preserve"> then, subject to </w:t>
      </w:r>
      <w:bookmarkStart w:id="4023" w:name="_9kR3WTr2BC7GNeEnoewrqyIT"/>
      <w:r w:rsidR="002C5B87">
        <w:rPr>
          <w:rFonts w:cs="Arial"/>
          <w:sz w:val="22"/>
          <w:szCs w:val="22"/>
        </w:rPr>
        <w:t>p</w:t>
      </w:r>
      <w:r w:rsidRPr="00010038">
        <w:rPr>
          <w:rFonts w:cs="Arial"/>
          <w:sz w:val="22"/>
          <w:szCs w:val="22"/>
        </w:rPr>
        <w:t xml:space="preserve">aragraph </w:t>
      </w:r>
      <w:r w:rsidRPr="00010038">
        <w:rPr>
          <w:rFonts w:cs="Arial"/>
          <w:sz w:val="22"/>
          <w:szCs w:val="22"/>
        </w:rPr>
        <w:fldChar w:fldCharType="begin"/>
      </w:r>
      <w:r w:rsidRPr="00010038">
        <w:rPr>
          <w:rFonts w:cs="Arial"/>
          <w:sz w:val="22"/>
          <w:szCs w:val="22"/>
        </w:rPr>
        <w:instrText xml:space="preserve"> REF _Ref_ContractCompanion_9kb9Us3CH \n \h \t \* MERGEFORMAT </w:instrText>
      </w:r>
      <w:r w:rsidRPr="00010038">
        <w:rPr>
          <w:rFonts w:cs="Arial"/>
          <w:sz w:val="22"/>
          <w:szCs w:val="22"/>
        </w:rPr>
      </w:r>
      <w:r w:rsidRPr="00010038">
        <w:rPr>
          <w:rFonts w:cs="Arial"/>
          <w:sz w:val="22"/>
          <w:szCs w:val="22"/>
        </w:rPr>
        <w:fldChar w:fldCharType="separate"/>
      </w:r>
      <w:r w:rsidR="00C87D85">
        <w:rPr>
          <w:rFonts w:cs="Arial"/>
          <w:sz w:val="22"/>
          <w:szCs w:val="22"/>
        </w:rPr>
        <w:t>8.4</w:t>
      </w:r>
      <w:r w:rsidRPr="00010038">
        <w:rPr>
          <w:rFonts w:cs="Arial"/>
          <w:sz w:val="22"/>
          <w:szCs w:val="22"/>
        </w:rPr>
        <w:fldChar w:fldCharType="end"/>
      </w:r>
      <w:bookmarkEnd w:id="4023"/>
      <w:r w:rsidRPr="00010038">
        <w:rPr>
          <w:rFonts w:cs="Arial"/>
          <w:sz w:val="22"/>
          <w:szCs w:val="22"/>
        </w:rPr>
        <w:t xml:space="preserve"> of this Schedule, the Provider shall within one hundred and twenty (120) days after each Accounting Reference Date or within 15 months of the previous Board Confirmation (whichever is the earlier) provide a Board Confirmation to HSE in the form set out at Annex </w:t>
      </w:r>
      <w:r w:rsidRPr="00010038">
        <w:rPr>
          <w:rFonts w:cs="Arial"/>
          <w:sz w:val="22"/>
          <w:szCs w:val="22"/>
        </w:rPr>
        <w:fldChar w:fldCharType="begin"/>
      </w:r>
      <w:r w:rsidRPr="00010038">
        <w:rPr>
          <w:rFonts w:cs="Arial"/>
          <w:sz w:val="22"/>
          <w:szCs w:val="22"/>
        </w:rPr>
        <w:instrText xml:space="preserve"> REF ANNEX4_SCHEDULE18 \h  \* MERGEFORMAT </w:instrText>
      </w:r>
      <w:r w:rsidRPr="00010038">
        <w:rPr>
          <w:rFonts w:cs="Arial"/>
          <w:sz w:val="22"/>
          <w:szCs w:val="22"/>
        </w:rPr>
      </w:r>
      <w:r w:rsidRPr="00010038">
        <w:rPr>
          <w:rFonts w:cs="Arial"/>
          <w:sz w:val="22"/>
          <w:szCs w:val="22"/>
        </w:rPr>
        <w:fldChar w:fldCharType="separate"/>
      </w:r>
      <w:r w:rsidR="00C87D85" w:rsidRPr="00010038">
        <w:rPr>
          <w:rFonts w:cs="Arial"/>
          <w:sz w:val="22"/>
          <w:szCs w:val="22"/>
        </w:rPr>
        <w:t>4</w:t>
      </w:r>
      <w:r w:rsidRPr="00010038">
        <w:rPr>
          <w:rFonts w:cs="Arial"/>
          <w:sz w:val="22"/>
          <w:szCs w:val="22"/>
        </w:rPr>
        <w:fldChar w:fldCharType="end"/>
      </w:r>
      <w:r w:rsidRPr="00010038">
        <w:rPr>
          <w:rFonts w:cs="Arial"/>
          <w:sz w:val="22"/>
          <w:szCs w:val="22"/>
        </w:rPr>
        <w:t xml:space="preserve"> of this Schedule, confirming that to the best of the Board’s knowledge and belief, it is not aware of and has no knowledge:</w:t>
      </w:r>
      <w:bookmarkEnd w:id="4020"/>
      <w:bookmarkEnd w:id="4021"/>
    </w:p>
    <w:p w14:paraId="2F547EF4" w14:textId="77777777" w:rsidR="00010038" w:rsidRPr="00010038" w:rsidRDefault="00010038" w:rsidP="004E2262">
      <w:pPr>
        <w:pStyle w:val="ScheduleText4"/>
        <w:numPr>
          <w:ilvl w:val="3"/>
          <w:numId w:val="83"/>
        </w:numPr>
        <w:rPr>
          <w:rFonts w:cs="Arial"/>
          <w:sz w:val="22"/>
          <w:szCs w:val="22"/>
        </w:rPr>
      </w:pPr>
      <w:r w:rsidRPr="00010038">
        <w:rPr>
          <w:rFonts w:cs="Arial"/>
          <w:sz w:val="22"/>
          <w:szCs w:val="22"/>
        </w:rPr>
        <w:t>that a Financial Distress Event has occurred since the later of the Effective Date or the previous Board Confirmation or is subsisting; or</w:t>
      </w:r>
    </w:p>
    <w:p w14:paraId="57971E1F" w14:textId="77777777" w:rsidR="00010038" w:rsidRPr="00010038" w:rsidRDefault="00010038" w:rsidP="004E2262">
      <w:pPr>
        <w:pStyle w:val="ScheduleText4"/>
        <w:numPr>
          <w:ilvl w:val="3"/>
          <w:numId w:val="83"/>
        </w:numPr>
        <w:rPr>
          <w:rFonts w:cs="Arial"/>
          <w:sz w:val="22"/>
          <w:szCs w:val="22"/>
        </w:rPr>
      </w:pPr>
      <w:r w:rsidRPr="00010038">
        <w:rPr>
          <w:rFonts w:cs="Arial"/>
          <w:sz w:val="22"/>
          <w:szCs w:val="22"/>
        </w:rPr>
        <w:t>of any matters which have occurred or are subsisting that could reasonably be expected to cause a Financial Distress Event.</w:t>
      </w:r>
    </w:p>
    <w:p w14:paraId="5B6B700A" w14:textId="05A4B64C" w:rsidR="00010038" w:rsidRPr="00010038" w:rsidRDefault="00010038" w:rsidP="004E2262">
      <w:pPr>
        <w:pStyle w:val="ScheduleText2"/>
        <w:numPr>
          <w:ilvl w:val="1"/>
          <w:numId w:val="83"/>
        </w:numPr>
        <w:rPr>
          <w:rFonts w:cs="Arial"/>
          <w:sz w:val="22"/>
          <w:szCs w:val="22"/>
        </w:rPr>
      </w:pPr>
      <w:r w:rsidRPr="00010038">
        <w:rPr>
          <w:rFonts w:cs="Arial"/>
          <w:sz w:val="22"/>
          <w:szCs w:val="22"/>
        </w:rPr>
        <w:t>The Provider shall ensure that in its preparation of the Board Confirmation it exercises due care and diligence and has made reasonable enquiry of all relevant Provider Personnel and other persons as is reasonably necessary to understand and confirm the position.</w:t>
      </w:r>
    </w:p>
    <w:p w14:paraId="43B6153C" w14:textId="24A2AAD5" w:rsidR="00010038" w:rsidRPr="00010038" w:rsidRDefault="00010038" w:rsidP="004E2262">
      <w:pPr>
        <w:pStyle w:val="ScheduleText2"/>
        <w:numPr>
          <w:ilvl w:val="1"/>
          <w:numId w:val="83"/>
        </w:numPr>
        <w:rPr>
          <w:rFonts w:cs="Arial"/>
          <w:sz w:val="22"/>
          <w:szCs w:val="22"/>
        </w:rPr>
      </w:pPr>
      <w:bookmarkStart w:id="4024" w:name="_Ref_ContractCompanion_9kb9Us444"/>
      <w:r w:rsidRPr="00010038">
        <w:rPr>
          <w:rFonts w:cs="Arial"/>
          <w:sz w:val="22"/>
          <w:szCs w:val="22"/>
        </w:rPr>
        <w:t xml:space="preserve">In respect of the first Board Confirmation to be provided under this Agreement, the Provider shall provide the Board Confirmation within 15 months of the Effective Date if earlier than the timescale for submission set out in </w:t>
      </w:r>
      <w:bookmarkStart w:id="4025" w:name="_9kMIH5YVt4DDEFCcGpqgyts0KS"/>
      <w:r w:rsidR="002C5B87">
        <w:rPr>
          <w:rFonts w:cs="Arial"/>
          <w:sz w:val="22"/>
          <w:szCs w:val="22"/>
        </w:rPr>
        <w:t>p</w:t>
      </w:r>
      <w:r w:rsidRPr="00010038">
        <w:rPr>
          <w:rFonts w:cs="Arial"/>
          <w:sz w:val="22"/>
          <w:szCs w:val="22"/>
        </w:rPr>
        <w:t xml:space="preserve">aragraph </w:t>
      </w:r>
      <w:r w:rsidRPr="00010038">
        <w:rPr>
          <w:rFonts w:cs="Arial"/>
          <w:sz w:val="22"/>
          <w:szCs w:val="22"/>
        </w:rPr>
        <w:fldChar w:fldCharType="begin"/>
      </w:r>
      <w:r w:rsidRPr="00010038">
        <w:rPr>
          <w:rFonts w:cs="Arial"/>
          <w:sz w:val="22"/>
          <w:szCs w:val="22"/>
        </w:rPr>
        <w:instrText xml:space="preserve"> REF _Ref_ContractCompanion_9kb9Ur894 \n \h \t \* MERGEFORMAT </w:instrText>
      </w:r>
      <w:r w:rsidRPr="00010038">
        <w:rPr>
          <w:rFonts w:cs="Arial"/>
          <w:sz w:val="22"/>
          <w:szCs w:val="22"/>
        </w:rPr>
      </w:r>
      <w:r w:rsidRPr="00010038">
        <w:rPr>
          <w:rFonts w:cs="Arial"/>
          <w:sz w:val="22"/>
          <w:szCs w:val="22"/>
        </w:rPr>
        <w:fldChar w:fldCharType="separate"/>
      </w:r>
      <w:r w:rsidR="00C87D85">
        <w:rPr>
          <w:rFonts w:cs="Arial"/>
          <w:sz w:val="22"/>
          <w:szCs w:val="22"/>
        </w:rPr>
        <w:t>8.1</w:t>
      </w:r>
      <w:r w:rsidRPr="00010038">
        <w:rPr>
          <w:rFonts w:cs="Arial"/>
          <w:sz w:val="22"/>
          <w:szCs w:val="22"/>
        </w:rPr>
        <w:fldChar w:fldCharType="end"/>
      </w:r>
      <w:bookmarkEnd w:id="4025"/>
      <w:r w:rsidRPr="00010038">
        <w:rPr>
          <w:rFonts w:cs="Arial"/>
          <w:sz w:val="22"/>
          <w:szCs w:val="22"/>
        </w:rPr>
        <w:t xml:space="preserve"> of this Schedule.</w:t>
      </w:r>
      <w:bookmarkEnd w:id="4024"/>
    </w:p>
    <w:p w14:paraId="3B598453" w14:textId="066F8F67" w:rsidR="00010038" w:rsidRPr="00010038" w:rsidRDefault="00010038" w:rsidP="004E2262">
      <w:pPr>
        <w:pStyle w:val="ScheduleText2"/>
        <w:numPr>
          <w:ilvl w:val="1"/>
          <w:numId w:val="83"/>
        </w:numPr>
        <w:rPr>
          <w:rFonts w:cs="Arial"/>
          <w:sz w:val="22"/>
          <w:szCs w:val="22"/>
        </w:rPr>
      </w:pPr>
      <w:bookmarkStart w:id="4026" w:name="_Ref_ContractCompanion_9kb9Us3CH"/>
      <w:r w:rsidRPr="00010038">
        <w:rPr>
          <w:rFonts w:cs="Arial"/>
          <w:sz w:val="22"/>
          <w:szCs w:val="22"/>
        </w:rPr>
        <w:t xml:space="preserve">Where the Provider is unable to provide a Board Confirmation in accordance with </w:t>
      </w:r>
      <w:bookmarkStart w:id="4027" w:name="_9kR3WTr2BC887XEnoewrqy2UR"/>
      <w:r w:rsidR="002C5B87">
        <w:rPr>
          <w:rFonts w:cs="Arial"/>
          <w:sz w:val="22"/>
          <w:szCs w:val="22"/>
        </w:rPr>
        <w:t>p</w:t>
      </w:r>
      <w:r w:rsidRPr="00010038">
        <w:rPr>
          <w:rFonts w:cs="Arial"/>
          <w:sz w:val="22"/>
          <w:szCs w:val="22"/>
        </w:rPr>
        <w:t xml:space="preserve">aragraphs </w:t>
      </w:r>
      <w:r w:rsidRPr="00010038">
        <w:rPr>
          <w:rFonts w:cs="Arial"/>
          <w:sz w:val="22"/>
          <w:szCs w:val="22"/>
        </w:rPr>
        <w:fldChar w:fldCharType="begin"/>
      </w:r>
      <w:r w:rsidRPr="00010038">
        <w:rPr>
          <w:rFonts w:cs="Arial"/>
          <w:sz w:val="22"/>
          <w:szCs w:val="22"/>
        </w:rPr>
        <w:instrText xml:space="preserve"> REF _Ref_ContractCompanion_9kb9Us3CK \n \h \t \* MERGEFORMAT </w:instrText>
      </w:r>
      <w:r w:rsidRPr="00010038">
        <w:rPr>
          <w:rFonts w:cs="Arial"/>
          <w:sz w:val="22"/>
          <w:szCs w:val="22"/>
        </w:rPr>
      </w:r>
      <w:r w:rsidRPr="00010038">
        <w:rPr>
          <w:rFonts w:cs="Arial"/>
          <w:sz w:val="22"/>
          <w:szCs w:val="22"/>
        </w:rPr>
        <w:fldChar w:fldCharType="separate"/>
      </w:r>
      <w:r w:rsidR="00C87D85">
        <w:rPr>
          <w:rFonts w:cs="Arial"/>
          <w:sz w:val="22"/>
          <w:szCs w:val="22"/>
        </w:rPr>
        <w:t>8.1</w:t>
      </w:r>
      <w:r w:rsidRPr="00010038">
        <w:rPr>
          <w:rFonts w:cs="Arial"/>
          <w:sz w:val="22"/>
          <w:szCs w:val="22"/>
        </w:rPr>
        <w:fldChar w:fldCharType="end"/>
      </w:r>
      <w:bookmarkEnd w:id="4027"/>
      <w:r w:rsidRPr="00010038">
        <w:rPr>
          <w:rFonts w:cs="Arial"/>
          <w:sz w:val="22"/>
          <w:szCs w:val="22"/>
        </w:rPr>
        <w:t xml:space="preserve"> to </w:t>
      </w:r>
      <w:bookmarkStart w:id="4028" w:name="_9kR3WTr2BC88AJJ"/>
      <w:r w:rsidRPr="00010038">
        <w:rPr>
          <w:rFonts w:cs="Arial"/>
          <w:sz w:val="22"/>
          <w:szCs w:val="22"/>
        </w:rPr>
        <w:fldChar w:fldCharType="begin"/>
      </w:r>
      <w:r w:rsidRPr="00010038">
        <w:rPr>
          <w:rFonts w:cs="Arial"/>
          <w:sz w:val="22"/>
          <w:szCs w:val="22"/>
        </w:rPr>
        <w:instrText xml:space="preserve"> REF _Ref_ContractCompanion_9kb9Us444 \n \h \t \* MERGEFORMAT </w:instrText>
      </w:r>
      <w:r w:rsidRPr="00010038">
        <w:rPr>
          <w:rFonts w:cs="Arial"/>
          <w:sz w:val="22"/>
          <w:szCs w:val="22"/>
        </w:rPr>
      </w:r>
      <w:r w:rsidRPr="00010038">
        <w:rPr>
          <w:rFonts w:cs="Arial"/>
          <w:sz w:val="22"/>
          <w:szCs w:val="22"/>
        </w:rPr>
        <w:fldChar w:fldCharType="separate"/>
      </w:r>
      <w:r w:rsidR="00C87D85">
        <w:rPr>
          <w:rFonts w:cs="Arial"/>
          <w:sz w:val="22"/>
          <w:szCs w:val="22"/>
        </w:rPr>
        <w:t>8.3</w:t>
      </w:r>
      <w:r w:rsidRPr="00010038">
        <w:rPr>
          <w:rFonts w:cs="Arial"/>
          <w:sz w:val="22"/>
          <w:szCs w:val="22"/>
        </w:rPr>
        <w:fldChar w:fldCharType="end"/>
      </w:r>
      <w:bookmarkEnd w:id="4028"/>
      <w:r w:rsidRPr="00010038">
        <w:rPr>
          <w:rFonts w:cs="Arial"/>
          <w:sz w:val="22"/>
          <w:szCs w:val="22"/>
        </w:rPr>
        <w:t xml:space="preserve"> of this Schedule due to the occurrence of a Financial Distress Event or knowledge of subsisting matters which could reasonably be expected to cause a Financial Distress Event, it will be sufficient for the Provider to submit in place of the Board Confirmation, a statement from the Board of Directors to HSE (and where the Provider is a Strategic Supplier, the Provider shall send a copy of the statement to the Cabinet Office Markets and Suppliers Team) setting out full details of any Financial Distress Events that have occurred and/or the matters which could reasonably be expected to cause a Financial Distress Event.</w:t>
      </w:r>
      <w:bookmarkEnd w:id="4026"/>
    </w:p>
    <w:p w14:paraId="743642B6" w14:textId="77777777" w:rsidR="00010038" w:rsidRPr="00010038" w:rsidRDefault="00010038" w:rsidP="00010038">
      <w:pPr>
        <w:rPr>
          <w:rFonts w:cs="Arial"/>
          <w:szCs w:val="22"/>
          <w:lang w:eastAsia="en-GB"/>
        </w:rPr>
        <w:sectPr w:rsidR="00010038" w:rsidRPr="00010038" w:rsidSect="00D64792">
          <w:footerReference w:type="default" r:id="rId78"/>
          <w:pgSz w:w="11900" w:h="16840"/>
          <w:pgMar w:top="1440" w:right="1440" w:bottom="1440" w:left="1440" w:header="720" w:footer="170" w:gutter="0"/>
          <w:cols w:space="720"/>
          <w:docGrid w:linePitch="360"/>
        </w:sectPr>
      </w:pPr>
    </w:p>
    <w:p w14:paraId="60AA22CC" w14:textId="0D1F16C0" w:rsidR="00010038" w:rsidRPr="00010038" w:rsidRDefault="00010038" w:rsidP="00010038">
      <w:pPr>
        <w:pStyle w:val="Heading2"/>
        <w:jc w:val="center"/>
        <w:rPr>
          <w:rFonts w:cs="Arial"/>
          <w:sz w:val="22"/>
          <w:szCs w:val="22"/>
        </w:rPr>
      </w:pPr>
      <w:bookmarkStart w:id="4029" w:name="_Ref_ContractCompanion_9kb9Ur7C6"/>
      <w:bookmarkStart w:id="4030" w:name="_Ref_ContractCompanion_9kb9Ur7C8"/>
      <w:bookmarkStart w:id="4031" w:name="_Toc132267977"/>
      <w:bookmarkStart w:id="4032" w:name="_Toc132268278"/>
      <w:bookmarkStart w:id="4033" w:name="_Toc132268584"/>
      <w:bookmarkStart w:id="4034" w:name="_Toc136198532"/>
      <w:bookmarkStart w:id="4035" w:name="_Toc136198808"/>
      <w:bookmarkStart w:id="4036" w:name="_Toc136199089"/>
      <w:r w:rsidRPr="00010038">
        <w:rPr>
          <w:rFonts w:cs="Arial"/>
          <w:sz w:val="22"/>
          <w:szCs w:val="22"/>
        </w:rPr>
        <w:lastRenderedPageBreak/>
        <w:t xml:space="preserve">ANNEX </w:t>
      </w:r>
      <w:bookmarkStart w:id="4037" w:name="ANNEX1_SCHEDULE18"/>
      <w:r w:rsidRPr="00010038">
        <w:rPr>
          <w:rFonts w:cs="Arial"/>
          <w:sz w:val="22"/>
          <w:szCs w:val="22"/>
        </w:rPr>
        <w:t>1</w:t>
      </w:r>
      <w:bookmarkEnd w:id="4037"/>
      <w:r w:rsidRPr="00010038">
        <w:rPr>
          <w:rFonts w:cs="Arial"/>
          <w:sz w:val="22"/>
          <w:szCs w:val="22"/>
        </w:rPr>
        <w:t>: RATING AGENCIES AND THEIR STANDARD RATING SYSTEM</w:t>
      </w:r>
      <w:bookmarkEnd w:id="4029"/>
      <w:bookmarkEnd w:id="4030"/>
      <w:bookmarkEnd w:id="4031"/>
      <w:bookmarkEnd w:id="4032"/>
      <w:bookmarkEnd w:id="4033"/>
      <w:bookmarkEnd w:id="4034"/>
      <w:bookmarkEnd w:id="4035"/>
      <w:bookmarkEnd w:id="4036"/>
    </w:p>
    <w:p w14:paraId="72298733" w14:textId="5B09C537" w:rsidR="00010038" w:rsidRPr="00C57091" w:rsidRDefault="00131151">
      <w:pPr>
        <w:pStyle w:val="BulletsBody"/>
        <w:rPr>
          <w:rFonts w:cs="Arial"/>
          <w:sz w:val="22"/>
          <w:szCs w:val="22"/>
        </w:rPr>
      </w:pPr>
      <w:r w:rsidRPr="002C5B87" w:rsidDel="00131151">
        <w:rPr>
          <w:rFonts w:cs="Arial"/>
          <w:i/>
          <w:color w:val="FF0000"/>
          <w:sz w:val="22"/>
          <w:szCs w:val="22"/>
        </w:rPr>
        <w:t xml:space="preserve"> </w:t>
      </w:r>
      <w:r w:rsidR="00010038" w:rsidRPr="00C57091">
        <w:rPr>
          <w:rFonts w:cs="Arial"/>
          <w:sz w:val="22"/>
          <w:szCs w:val="22"/>
        </w:rPr>
        <w:t xml:space="preserve">Rating Agency 1 </w:t>
      </w:r>
      <w:r w:rsidRPr="00C57091">
        <w:rPr>
          <w:rFonts w:cs="Arial"/>
          <w:sz w:val="22"/>
          <w:szCs w:val="22"/>
        </w:rPr>
        <w:t xml:space="preserve">– </w:t>
      </w:r>
      <w:r w:rsidR="00247876">
        <w:rPr>
          <w:rFonts w:cs="Arial"/>
          <w:color w:val="000000"/>
          <w:sz w:val="20"/>
        </w:rPr>
        <w:t>REDACTED</w:t>
      </w:r>
    </w:p>
    <w:p w14:paraId="4FA99426" w14:textId="5A9C0922" w:rsidR="00010038" w:rsidRPr="00010038" w:rsidRDefault="00C57091" w:rsidP="00010038">
      <w:pPr>
        <w:rPr>
          <w:rFonts w:cs="Arial"/>
          <w:szCs w:val="22"/>
          <w:lang w:eastAsia="en-GB"/>
        </w:rPr>
        <w:sectPr w:rsidR="00010038" w:rsidRPr="00010038" w:rsidSect="00D64792">
          <w:pgSz w:w="11909" w:h="16834"/>
          <w:pgMar w:top="1418" w:right="1418" w:bottom="1418" w:left="1418" w:header="709" w:footer="709" w:gutter="0"/>
          <w:paperSrc w:first="265" w:other="265"/>
          <w:cols w:space="720"/>
          <w:docGrid w:linePitch="326"/>
        </w:sectPr>
      </w:pPr>
      <w:r w:rsidRPr="00010038" w:rsidDel="00C57091">
        <w:rPr>
          <w:rFonts w:cs="Arial"/>
          <w:szCs w:val="22"/>
        </w:rPr>
        <w:t xml:space="preserve"> </w:t>
      </w:r>
    </w:p>
    <w:p w14:paraId="37A55A0F" w14:textId="20CFF66B" w:rsidR="00010038" w:rsidRPr="00010038" w:rsidRDefault="00010038" w:rsidP="00010038">
      <w:pPr>
        <w:pStyle w:val="Heading2"/>
        <w:jc w:val="center"/>
        <w:rPr>
          <w:rFonts w:cs="Arial"/>
          <w:sz w:val="22"/>
          <w:szCs w:val="22"/>
        </w:rPr>
      </w:pPr>
      <w:bookmarkStart w:id="4038" w:name="_Ref_ContractCompanion_9kb9Us356"/>
      <w:bookmarkStart w:id="4039" w:name="_Ref_ContractCompanion_9kb9Us447"/>
      <w:bookmarkStart w:id="4040" w:name="_Toc132267978"/>
      <w:bookmarkStart w:id="4041" w:name="_Toc132268279"/>
      <w:bookmarkStart w:id="4042" w:name="_Toc132268585"/>
      <w:bookmarkStart w:id="4043" w:name="_Toc136198533"/>
      <w:bookmarkStart w:id="4044" w:name="_Toc136198809"/>
      <w:bookmarkStart w:id="4045" w:name="_Toc136199090"/>
      <w:r w:rsidRPr="00010038">
        <w:rPr>
          <w:rFonts w:cs="Arial"/>
          <w:sz w:val="22"/>
          <w:szCs w:val="22"/>
        </w:rPr>
        <w:lastRenderedPageBreak/>
        <w:t xml:space="preserve">ANNEX </w:t>
      </w:r>
      <w:bookmarkStart w:id="4046" w:name="ANNEX2_SCHEDULE18"/>
      <w:r w:rsidRPr="00010038">
        <w:rPr>
          <w:rFonts w:cs="Arial"/>
          <w:sz w:val="22"/>
          <w:szCs w:val="22"/>
        </w:rPr>
        <w:t>2</w:t>
      </w:r>
      <w:bookmarkEnd w:id="4046"/>
      <w:r w:rsidRPr="00010038">
        <w:rPr>
          <w:rFonts w:cs="Arial"/>
          <w:sz w:val="22"/>
          <w:szCs w:val="22"/>
        </w:rPr>
        <w:t>: CREDIT RATINGS AND CREDIT RATING THRESHOLDS</w:t>
      </w:r>
      <w:bookmarkEnd w:id="4038"/>
      <w:bookmarkEnd w:id="4039"/>
      <w:bookmarkEnd w:id="4040"/>
      <w:bookmarkEnd w:id="4041"/>
      <w:bookmarkEnd w:id="4042"/>
      <w:bookmarkEnd w:id="4043"/>
      <w:bookmarkEnd w:id="4044"/>
      <w:bookmarkEnd w:id="4045"/>
    </w:p>
    <w:p w14:paraId="5D7CCCA3" w14:textId="1D96CDAF" w:rsidR="00010038" w:rsidRPr="002C5B87" w:rsidRDefault="00010038" w:rsidP="00010038">
      <w:pPr>
        <w:pStyle w:val="StdBodyTextBold"/>
        <w:rPr>
          <w:rFonts w:cs="Arial"/>
          <w:i/>
          <w:color w:val="FF0000"/>
          <w:sz w:val="22"/>
          <w:szCs w:val="22"/>
        </w:rPr>
      </w:pPr>
    </w:p>
    <w:tbl>
      <w:tblPr>
        <w:tblStyle w:val="TableGrid"/>
        <w:tblW w:w="0" w:type="auto"/>
        <w:tblLook w:val="04A0" w:firstRow="1" w:lastRow="0" w:firstColumn="1" w:lastColumn="0" w:noHBand="0" w:noVBand="1"/>
      </w:tblPr>
      <w:tblGrid>
        <w:gridCol w:w="3021"/>
        <w:gridCol w:w="3021"/>
        <w:gridCol w:w="3021"/>
      </w:tblGrid>
      <w:tr w:rsidR="00010038" w:rsidRPr="00010038" w14:paraId="6F168540" w14:textId="77777777" w:rsidTr="00647D45">
        <w:tc>
          <w:tcPr>
            <w:tcW w:w="3021" w:type="dxa"/>
            <w:tcBorders>
              <w:bottom w:val="single" w:sz="4" w:space="0" w:color="auto"/>
            </w:tcBorders>
            <w:shd w:val="pct15" w:color="auto" w:fill="auto"/>
          </w:tcPr>
          <w:p w14:paraId="17C3653B" w14:textId="77777777" w:rsidR="00010038" w:rsidRPr="00010038" w:rsidRDefault="00010038" w:rsidP="00D64792">
            <w:pPr>
              <w:pStyle w:val="StdBodyTextBold"/>
              <w:rPr>
                <w:rFonts w:cs="Arial"/>
                <w:sz w:val="22"/>
                <w:szCs w:val="22"/>
              </w:rPr>
            </w:pPr>
            <w:r w:rsidRPr="00010038">
              <w:rPr>
                <w:rFonts w:cs="Arial"/>
                <w:sz w:val="22"/>
                <w:szCs w:val="22"/>
              </w:rPr>
              <w:t>Entity</w:t>
            </w:r>
          </w:p>
        </w:tc>
        <w:tc>
          <w:tcPr>
            <w:tcW w:w="3021" w:type="dxa"/>
            <w:tcBorders>
              <w:bottom w:val="single" w:sz="4" w:space="0" w:color="auto"/>
            </w:tcBorders>
            <w:shd w:val="pct15" w:color="auto" w:fill="auto"/>
          </w:tcPr>
          <w:p w14:paraId="3E0F3E02" w14:textId="77777777" w:rsidR="00010038" w:rsidRPr="00010038" w:rsidRDefault="00010038" w:rsidP="00D64792">
            <w:pPr>
              <w:pStyle w:val="StdBodyTextBold"/>
              <w:rPr>
                <w:rFonts w:cs="Arial"/>
                <w:sz w:val="22"/>
                <w:szCs w:val="22"/>
              </w:rPr>
            </w:pPr>
            <w:r w:rsidRPr="00010038">
              <w:rPr>
                <w:rFonts w:cs="Arial"/>
                <w:sz w:val="22"/>
                <w:szCs w:val="22"/>
              </w:rPr>
              <w:t>Credit Rating (long term)</w:t>
            </w:r>
          </w:p>
          <w:p w14:paraId="69CAA7B1" w14:textId="77777777" w:rsidR="00010038" w:rsidRPr="00010038" w:rsidRDefault="00010038" w:rsidP="00D64792">
            <w:pPr>
              <w:pStyle w:val="StdBodyText"/>
              <w:rPr>
                <w:rFonts w:cs="Arial"/>
                <w:sz w:val="22"/>
                <w:szCs w:val="22"/>
              </w:rPr>
            </w:pPr>
            <w:r w:rsidRPr="00010038">
              <w:rPr>
                <w:rFonts w:cs="Arial"/>
                <w:sz w:val="22"/>
                <w:szCs w:val="22"/>
              </w:rPr>
              <w:t>(insert credit rating issued for the entity at the Effective Date)</w:t>
            </w:r>
          </w:p>
        </w:tc>
        <w:tc>
          <w:tcPr>
            <w:tcW w:w="3021" w:type="dxa"/>
            <w:tcBorders>
              <w:bottom w:val="single" w:sz="4" w:space="0" w:color="auto"/>
            </w:tcBorders>
            <w:shd w:val="pct15" w:color="auto" w:fill="auto"/>
          </w:tcPr>
          <w:p w14:paraId="1E9030C2" w14:textId="77777777" w:rsidR="00010038" w:rsidRPr="00010038" w:rsidRDefault="00010038" w:rsidP="00D64792">
            <w:pPr>
              <w:pStyle w:val="StdBodyTextBold"/>
              <w:rPr>
                <w:rFonts w:cs="Arial"/>
                <w:sz w:val="22"/>
                <w:szCs w:val="22"/>
              </w:rPr>
            </w:pPr>
            <w:r w:rsidRPr="00010038">
              <w:rPr>
                <w:rFonts w:cs="Arial"/>
                <w:sz w:val="22"/>
                <w:szCs w:val="22"/>
              </w:rPr>
              <w:t>Credit Rating Threshold</w:t>
            </w:r>
          </w:p>
          <w:p w14:paraId="1CAB34D5" w14:textId="77777777" w:rsidR="00010038" w:rsidRPr="00010038" w:rsidRDefault="00010038" w:rsidP="00D64792">
            <w:pPr>
              <w:pStyle w:val="StdBodyText"/>
              <w:rPr>
                <w:rFonts w:cs="Arial"/>
                <w:i/>
                <w:sz w:val="22"/>
                <w:szCs w:val="22"/>
              </w:rPr>
            </w:pPr>
            <w:r w:rsidRPr="00010038">
              <w:rPr>
                <w:rFonts w:cs="Arial"/>
                <w:i/>
                <w:sz w:val="22"/>
                <w:szCs w:val="22"/>
              </w:rPr>
              <w:t>(insert the actual rating (e.g. AA-) or the Credit Rating Level (e.g. Credit Rating Level 3)</w:t>
            </w:r>
          </w:p>
        </w:tc>
      </w:tr>
      <w:tr w:rsidR="00247876" w:rsidRPr="00010038" w14:paraId="61E30014" w14:textId="77777777" w:rsidTr="00647D45">
        <w:tc>
          <w:tcPr>
            <w:tcW w:w="3021" w:type="dxa"/>
            <w:tcBorders>
              <w:bottom w:val="single" w:sz="4" w:space="0" w:color="auto"/>
            </w:tcBorders>
          </w:tcPr>
          <w:p w14:paraId="4E02D917" w14:textId="4764A48C" w:rsidR="00247876" w:rsidRPr="00010038" w:rsidRDefault="00247876" w:rsidP="00247876">
            <w:pPr>
              <w:pStyle w:val="StdBodyTextBold"/>
              <w:rPr>
                <w:rFonts w:cs="Arial"/>
                <w:i/>
                <w:sz w:val="22"/>
                <w:szCs w:val="22"/>
              </w:rPr>
            </w:pPr>
            <w:r w:rsidRPr="00010038">
              <w:rPr>
                <w:rFonts w:cs="Arial"/>
                <w:i/>
                <w:sz w:val="22"/>
                <w:szCs w:val="22"/>
              </w:rPr>
              <w:t>Provider</w:t>
            </w:r>
          </w:p>
        </w:tc>
        <w:tc>
          <w:tcPr>
            <w:tcW w:w="3021" w:type="dxa"/>
            <w:tcBorders>
              <w:bottom w:val="single" w:sz="4" w:space="0" w:color="auto"/>
            </w:tcBorders>
          </w:tcPr>
          <w:p w14:paraId="5E4F3679" w14:textId="1E17ED01" w:rsidR="00247876" w:rsidRPr="00010038" w:rsidRDefault="00247876" w:rsidP="00247876">
            <w:pPr>
              <w:pStyle w:val="StdBodyText"/>
              <w:rPr>
                <w:rFonts w:cs="Arial"/>
                <w:sz w:val="22"/>
                <w:szCs w:val="22"/>
              </w:rPr>
            </w:pPr>
            <w:r w:rsidRPr="00E51CD2">
              <w:rPr>
                <w:rFonts w:cs="Arial"/>
                <w:color w:val="000000"/>
                <w:sz w:val="20"/>
              </w:rPr>
              <w:t>REDACTED</w:t>
            </w:r>
          </w:p>
        </w:tc>
        <w:tc>
          <w:tcPr>
            <w:tcW w:w="3021" w:type="dxa"/>
            <w:tcBorders>
              <w:bottom w:val="single" w:sz="4" w:space="0" w:color="auto"/>
            </w:tcBorders>
          </w:tcPr>
          <w:p w14:paraId="1FE9A81C" w14:textId="16EBFD08" w:rsidR="00247876" w:rsidRPr="00010038" w:rsidRDefault="00247876" w:rsidP="00247876">
            <w:pPr>
              <w:pStyle w:val="StdBodyText"/>
              <w:rPr>
                <w:rFonts w:cs="Arial"/>
                <w:sz w:val="22"/>
                <w:szCs w:val="22"/>
              </w:rPr>
            </w:pPr>
            <w:r w:rsidRPr="00E51CD2">
              <w:rPr>
                <w:rFonts w:cs="Arial"/>
                <w:color w:val="000000"/>
                <w:sz w:val="20"/>
              </w:rPr>
              <w:t>REDACTED</w:t>
            </w:r>
          </w:p>
        </w:tc>
      </w:tr>
    </w:tbl>
    <w:p w14:paraId="00954676" w14:textId="77777777" w:rsidR="00010038" w:rsidRPr="00010038" w:rsidRDefault="00010038" w:rsidP="00010038">
      <w:pPr>
        <w:pStyle w:val="StdBodyText"/>
        <w:rPr>
          <w:rFonts w:cs="Arial"/>
          <w:sz w:val="22"/>
          <w:szCs w:val="22"/>
        </w:rPr>
        <w:sectPr w:rsidR="00010038" w:rsidRPr="00010038" w:rsidSect="00D64792">
          <w:pgSz w:w="11909" w:h="16834"/>
          <w:pgMar w:top="1418" w:right="1418" w:bottom="1418" w:left="1418" w:header="709" w:footer="709" w:gutter="0"/>
          <w:paperSrc w:first="265" w:other="265"/>
          <w:cols w:space="720"/>
          <w:docGrid w:linePitch="326"/>
        </w:sectPr>
      </w:pPr>
    </w:p>
    <w:p w14:paraId="79BCC6C0" w14:textId="6AAAFCE3" w:rsidR="00010038" w:rsidRPr="00010038" w:rsidRDefault="00010038" w:rsidP="00010038">
      <w:pPr>
        <w:pStyle w:val="Heading2"/>
        <w:jc w:val="center"/>
        <w:rPr>
          <w:rFonts w:cs="Arial"/>
          <w:sz w:val="22"/>
          <w:szCs w:val="22"/>
        </w:rPr>
      </w:pPr>
      <w:bookmarkStart w:id="4047" w:name="_Ref_ContractCompanion_9kb9Ur78A"/>
      <w:bookmarkStart w:id="4048" w:name="_Ref_ContractCompanion_9kb9Ur793"/>
      <w:bookmarkStart w:id="4049" w:name="_Toc132267979"/>
      <w:bookmarkStart w:id="4050" w:name="_Toc132268280"/>
      <w:bookmarkStart w:id="4051" w:name="_Toc132268586"/>
      <w:bookmarkStart w:id="4052" w:name="_Toc136198534"/>
      <w:bookmarkStart w:id="4053" w:name="_Toc136198810"/>
      <w:bookmarkStart w:id="4054" w:name="_Toc136199091"/>
      <w:r w:rsidRPr="00010038">
        <w:rPr>
          <w:rFonts w:cs="Arial"/>
          <w:sz w:val="22"/>
          <w:szCs w:val="22"/>
        </w:rPr>
        <w:lastRenderedPageBreak/>
        <w:t xml:space="preserve">ANNEX </w:t>
      </w:r>
      <w:bookmarkStart w:id="4055" w:name="ANNEX3_SCHEDULE18"/>
      <w:r w:rsidRPr="00010038">
        <w:rPr>
          <w:rFonts w:cs="Arial"/>
          <w:sz w:val="22"/>
          <w:szCs w:val="22"/>
        </w:rPr>
        <w:t>3</w:t>
      </w:r>
      <w:bookmarkEnd w:id="4055"/>
      <w:r w:rsidRPr="00010038">
        <w:rPr>
          <w:rFonts w:cs="Arial"/>
          <w:sz w:val="22"/>
          <w:szCs w:val="22"/>
        </w:rPr>
        <w:t>: CALCULATION METHODOLOGY FOR FINANCIAL INDICATORS</w:t>
      </w:r>
      <w:bookmarkEnd w:id="4047"/>
      <w:bookmarkEnd w:id="4048"/>
      <w:bookmarkEnd w:id="4049"/>
      <w:bookmarkEnd w:id="4050"/>
      <w:bookmarkEnd w:id="4051"/>
      <w:bookmarkEnd w:id="4052"/>
      <w:bookmarkEnd w:id="4053"/>
      <w:bookmarkEnd w:id="4054"/>
    </w:p>
    <w:p w14:paraId="5A21A232" w14:textId="0C4485D4" w:rsidR="00010038" w:rsidRPr="00010038" w:rsidRDefault="00010038" w:rsidP="00010038">
      <w:pPr>
        <w:pStyle w:val="StdBodyTextBold"/>
        <w:rPr>
          <w:rFonts w:cs="Arial"/>
          <w:i/>
          <w:sz w:val="22"/>
          <w:szCs w:val="22"/>
        </w:rPr>
      </w:pPr>
    </w:p>
    <w:p w14:paraId="57583380" w14:textId="53C90ADD" w:rsidR="00010038" w:rsidRPr="00010038" w:rsidRDefault="00010038" w:rsidP="00010038">
      <w:pPr>
        <w:pStyle w:val="StdBodyText"/>
        <w:rPr>
          <w:rFonts w:cs="Arial"/>
          <w:sz w:val="22"/>
          <w:szCs w:val="22"/>
        </w:rPr>
      </w:pPr>
      <w:r w:rsidRPr="00010038">
        <w:rPr>
          <w:rFonts w:cs="Arial"/>
          <w:sz w:val="22"/>
          <w:szCs w:val="22"/>
        </w:rPr>
        <w:t>The Provider shall ensure that it uses the following general and specific methodologies for calculating the Financial Indicators against the Financial Target Thresholds:</w:t>
      </w:r>
    </w:p>
    <w:p w14:paraId="6DBC9F72" w14:textId="77777777" w:rsidR="00010038" w:rsidRPr="00010038" w:rsidRDefault="00010038" w:rsidP="00010038">
      <w:pPr>
        <w:pStyle w:val="StdBodyTextBold"/>
        <w:rPr>
          <w:rFonts w:cs="Arial"/>
          <w:sz w:val="22"/>
          <w:szCs w:val="22"/>
          <w:u w:val="single"/>
        </w:rPr>
      </w:pPr>
      <w:r w:rsidRPr="00010038">
        <w:rPr>
          <w:rFonts w:cs="Arial"/>
          <w:sz w:val="22"/>
          <w:szCs w:val="22"/>
          <w:u w:val="single"/>
        </w:rPr>
        <w:t>General methodology</w:t>
      </w:r>
    </w:p>
    <w:p w14:paraId="783DD278" w14:textId="77777777" w:rsidR="00010038" w:rsidRPr="00010038" w:rsidRDefault="00010038">
      <w:pPr>
        <w:pStyle w:val="AppendixText1"/>
        <w:rPr>
          <w:rFonts w:cs="Arial"/>
          <w:b w:val="0"/>
          <w:sz w:val="22"/>
          <w:szCs w:val="22"/>
        </w:rPr>
      </w:pPr>
      <w:r w:rsidRPr="00010038">
        <w:rPr>
          <w:rStyle w:val="StdBodyTextBoldChar"/>
          <w:rFonts w:cs="Arial"/>
          <w:i/>
          <w:sz w:val="22"/>
          <w:szCs w:val="22"/>
        </w:rPr>
        <w:t>Terminology</w:t>
      </w:r>
      <w:r w:rsidRPr="00010038">
        <w:rPr>
          <w:rFonts w:cs="Arial"/>
          <w:b w:val="0"/>
          <w:sz w:val="22"/>
          <w:szCs w:val="22"/>
        </w:rPr>
        <w:t>: The terms referred to in this Annex are those used by UK companies in their financial statements. Where the entity is not a UK company, the corresponding items should be used even if the terminology is slightly different (for example a charity would refer to a surplus or deficit rather than a profit or loss).</w:t>
      </w:r>
    </w:p>
    <w:p w14:paraId="76C041BF" w14:textId="77777777" w:rsidR="00010038" w:rsidRPr="00010038" w:rsidRDefault="00010038">
      <w:pPr>
        <w:pStyle w:val="AppendixText1"/>
        <w:rPr>
          <w:rFonts w:cs="Arial"/>
          <w:b w:val="0"/>
          <w:sz w:val="22"/>
          <w:szCs w:val="22"/>
        </w:rPr>
      </w:pPr>
      <w:bookmarkStart w:id="4056" w:name="_9kR3WTrAG988DOCwozPWV4ohsvnZeH8IifKOQP"/>
      <w:r w:rsidRPr="00010038">
        <w:rPr>
          <w:rStyle w:val="StdBodyTextBoldChar"/>
          <w:rFonts w:cs="Arial"/>
          <w:i/>
          <w:sz w:val="22"/>
          <w:szCs w:val="22"/>
        </w:rPr>
        <w:t>Groups</w:t>
      </w:r>
      <w:bookmarkEnd w:id="4056"/>
      <w:r w:rsidRPr="00010038">
        <w:rPr>
          <w:rFonts w:cs="Arial"/>
          <w:b w:val="0"/>
          <w:sz w:val="22"/>
          <w:szCs w:val="22"/>
        </w:rPr>
        <w:t>: Where the entity is the holding company of a group and prepares consolidated financial statements, the consolidated figures should be used.</w:t>
      </w:r>
    </w:p>
    <w:p w14:paraId="48A73BD7" w14:textId="77777777" w:rsidR="00010038" w:rsidRPr="00010038" w:rsidRDefault="00010038">
      <w:pPr>
        <w:pStyle w:val="AppendixText1"/>
        <w:rPr>
          <w:rFonts w:cs="Arial"/>
          <w:b w:val="0"/>
          <w:sz w:val="22"/>
          <w:szCs w:val="22"/>
        </w:rPr>
      </w:pPr>
      <w:r w:rsidRPr="00010038">
        <w:rPr>
          <w:rStyle w:val="StdBodyTextBoldChar"/>
          <w:rFonts w:cs="Arial"/>
          <w:i/>
          <w:sz w:val="22"/>
          <w:szCs w:val="22"/>
        </w:rPr>
        <w:t>Foreign currency conversion</w:t>
      </w:r>
      <w:r w:rsidRPr="00010038">
        <w:rPr>
          <w:rFonts w:cs="Arial"/>
          <w:b w:val="0"/>
          <w:sz w:val="22"/>
          <w:szCs w:val="22"/>
        </w:rPr>
        <w:t>: Figures denominated in foreign currencies should be converted at the exchange rate in force at the relevant date for which the Financial Indicator is being calculated.</w:t>
      </w:r>
    </w:p>
    <w:p w14:paraId="52AF7FE5" w14:textId="77777777" w:rsidR="00010038" w:rsidRPr="00010038" w:rsidRDefault="00010038">
      <w:pPr>
        <w:pStyle w:val="AppendixText1"/>
        <w:rPr>
          <w:rFonts w:cs="Arial"/>
          <w:b w:val="0"/>
          <w:sz w:val="22"/>
          <w:szCs w:val="22"/>
        </w:rPr>
      </w:pPr>
      <w:r w:rsidRPr="00010038">
        <w:rPr>
          <w:rStyle w:val="StdBodyTextBoldChar"/>
          <w:rFonts w:cs="Arial"/>
          <w:i/>
          <w:sz w:val="22"/>
          <w:szCs w:val="22"/>
        </w:rPr>
        <w:t>Treatment of non-underlying items</w:t>
      </w:r>
      <w:r w:rsidRPr="00010038">
        <w:rPr>
          <w:rFonts w:cs="Arial"/>
          <w:b w:val="0"/>
          <w:sz w:val="22"/>
          <w:szCs w:val="22"/>
        </w:rPr>
        <w:t>: Financial Indicators should be based on the figures in the financial statements before adjusting for non-underlying items.</w:t>
      </w:r>
    </w:p>
    <w:p w14:paraId="31CA5766" w14:textId="77777777" w:rsidR="00010038" w:rsidRPr="00010038" w:rsidRDefault="00010038" w:rsidP="00010038">
      <w:pPr>
        <w:pStyle w:val="StdBodyTextBold"/>
        <w:rPr>
          <w:rFonts w:cs="Arial"/>
          <w:sz w:val="22"/>
          <w:szCs w:val="22"/>
          <w:u w:val="single"/>
        </w:rPr>
      </w:pPr>
      <w:r w:rsidRPr="00010038">
        <w:rPr>
          <w:rFonts w:cs="Arial"/>
          <w:sz w:val="22"/>
          <w:szCs w:val="22"/>
          <w:u w:val="single"/>
        </w:rPr>
        <w:t>Specific Methodology</w:t>
      </w:r>
    </w:p>
    <w:tbl>
      <w:tblPr>
        <w:tblStyle w:val="TableGrid"/>
        <w:tblW w:w="0" w:type="auto"/>
        <w:tblLook w:val="04A0" w:firstRow="1" w:lastRow="0" w:firstColumn="1" w:lastColumn="0" w:noHBand="0" w:noVBand="1"/>
      </w:tblPr>
      <w:tblGrid>
        <w:gridCol w:w="2547"/>
        <w:gridCol w:w="6516"/>
      </w:tblGrid>
      <w:tr w:rsidR="00010038" w:rsidRPr="00010038" w14:paraId="28F22B1B" w14:textId="77777777" w:rsidTr="00D64792">
        <w:tc>
          <w:tcPr>
            <w:tcW w:w="2547" w:type="dxa"/>
            <w:shd w:val="pct15" w:color="auto" w:fill="auto"/>
          </w:tcPr>
          <w:p w14:paraId="3A87AA6A" w14:textId="77777777" w:rsidR="00010038" w:rsidRPr="00010038" w:rsidRDefault="00010038" w:rsidP="00D64792">
            <w:pPr>
              <w:pStyle w:val="StdBodyTextBold"/>
              <w:rPr>
                <w:rFonts w:cs="Arial"/>
                <w:sz w:val="22"/>
                <w:szCs w:val="22"/>
              </w:rPr>
            </w:pPr>
            <w:r w:rsidRPr="00010038">
              <w:rPr>
                <w:rFonts w:cs="Arial"/>
                <w:sz w:val="22"/>
                <w:szCs w:val="22"/>
              </w:rPr>
              <w:t>Financial Indicator</w:t>
            </w:r>
          </w:p>
        </w:tc>
        <w:tc>
          <w:tcPr>
            <w:tcW w:w="6516" w:type="dxa"/>
            <w:shd w:val="pct15" w:color="auto" w:fill="auto"/>
          </w:tcPr>
          <w:p w14:paraId="01A16D7E" w14:textId="77777777" w:rsidR="00010038" w:rsidRPr="00010038" w:rsidRDefault="00010038" w:rsidP="00D64792">
            <w:pPr>
              <w:pStyle w:val="StdBodyText"/>
              <w:rPr>
                <w:rFonts w:cs="Arial"/>
                <w:sz w:val="22"/>
                <w:szCs w:val="22"/>
              </w:rPr>
            </w:pPr>
            <w:r w:rsidRPr="00010038">
              <w:rPr>
                <w:rFonts w:cs="Arial"/>
                <w:sz w:val="22"/>
                <w:szCs w:val="22"/>
              </w:rPr>
              <w:t>Specific Methodology</w:t>
            </w:r>
          </w:p>
        </w:tc>
      </w:tr>
      <w:tr w:rsidR="00010038" w:rsidRPr="00010038" w14:paraId="7392EB49" w14:textId="77777777" w:rsidTr="00D64792">
        <w:tc>
          <w:tcPr>
            <w:tcW w:w="2547" w:type="dxa"/>
            <w:vAlign w:val="center"/>
          </w:tcPr>
          <w:p w14:paraId="6D6C645A" w14:textId="77777777" w:rsidR="00010038" w:rsidRPr="00C57091" w:rsidRDefault="00010038" w:rsidP="00D64792">
            <w:pPr>
              <w:pStyle w:val="StdBodyTextBold"/>
              <w:rPr>
                <w:rFonts w:cs="Arial"/>
                <w:sz w:val="22"/>
                <w:szCs w:val="22"/>
              </w:rPr>
            </w:pPr>
            <w:r w:rsidRPr="00C57091">
              <w:rPr>
                <w:rFonts w:cs="Arial"/>
                <w:sz w:val="22"/>
                <w:szCs w:val="22"/>
              </w:rPr>
              <w:t>1</w:t>
            </w:r>
          </w:p>
          <w:p w14:paraId="7252C937" w14:textId="0DBB7A3C" w:rsidR="00010038" w:rsidRPr="00C57091" w:rsidRDefault="00010038" w:rsidP="00D64792">
            <w:pPr>
              <w:pStyle w:val="StdBodyTextBold"/>
              <w:rPr>
                <w:rFonts w:cs="Arial"/>
                <w:sz w:val="22"/>
                <w:szCs w:val="22"/>
              </w:rPr>
            </w:pPr>
            <w:r w:rsidRPr="00C57091">
              <w:rPr>
                <w:rFonts w:cs="Arial"/>
                <w:sz w:val="22"/>
                <w:szCs w:val="22"/>
              </w:rPr>
              <w:t>Operating Margin</w:t>
            </w:r>
          </w:p>
        </w:tc>
        <w:tc>
          <w:tcPr>
            <w:tcW w:w="6516" w:type="dxa"/>
          </w:tcPr>
          <w:p w14:paraId="6CFE3698" w14:textId="6C4D019F" w:rsidR="00010038" w:rsidRPr="00C57091" w:rsidRDefault="00010038" w:rsidP="00D64792">
            <w:pPr>
              <w:pStyle w:val="StdBodyText"/>
              <w:rPr>
                <w:rFonts w:cs="Arial"/>
                <w:sz w:val="22"/>
                <w:szCs w:val="22"/>
              </w:rPr>
            </w:pPr>
            <w:r w:rsidRPr="00C57091">
              <w:rPr>
                <w:rFonts w:cs="Arial"/>
                <w:sz w:val="22"/>
                <w:szCs w:val="22"/>
              </w:rPr>
              <w:t>The elements used to calculate the Operating Margin should be shown on the face of the Income Statement in a standard set of financial statements.</w:t>
            </w:r>
          </w:p>
          <w:p w14:paraId="6F81498C" w14:textId="77777777" w:rsidR="00010038" w:rsidRPr="00C57091" w:rsidRDefault="00010038" w:rsidP="00D64792">
            <w:pPr>
              <w:pStyle w:val="StdBodyText"/>
              <w:rPr>
                <w:rFonts w:cs="Arial"/>
                <w:sz w:val="22"/>
                <w:szCs w:val="22"/>
              </w:rPr>
            </w:pPr>
            <w:r w:rsidRPr="00C57091">
              <w:rPr>
                <w:rFonts w:cs="Arial"/>
                <w:sz w:val="22"/>
                <w:szCs w:val="22"/>
              </w:rPr>
              <w:t>Figures for Operating Profit and Revenue should exclude the entity’s share of the results of any joint ventures or Associates.</w:t>
            </w:r>
          </w:p>
          <w:p w14:paraId="4DEF6217" w14:textId="614428F2" w:rsidR="00010038" w:rsidRPr="00C57091" w:rsidRDefault="00010038" w:rsidP="00D64792">
            <w:pPr>
              <w:pStyle w:val="StdBodyText"/>
              <w:rPr>
                <w:rFonts w:cs="Arial"/>
                <w:sz w:val="22"/>
                <w:szCs w:val="22"/>
              </w:rPr>
            </w:pPr>
            <w:r w:rsidRPr="00C57091">
              <w:rPr>
                <w:rFonts w:cs="Arial"/>
                <w:sz w:val="22"/>
                <w:szCs w:val="22"/>
              </w:rPr>
              <w:t>Where an entity has an operating loss (i.e. where the operating profit is negative), Operating Profit should be taken to be zero.</w:t>
            </w:r>
          </w:p>
        </w:tc>
      </w:tr>
      <w:tr w:rsidR="00010038" w:rsidRPr="00010038" w14:paraId="0B1E3A6B" w14:textId="77777777" w:rsidTr="00D64792">
        <w:tc>
          <w:tcPr>
            <w:tcW w:w="2547" w:type="dxa"/>
          </w:tcPr>
          <w:p w14:paraId="6659550A" w14:textId="77777777" w:rsidR="00010038" w:rsidRPr="001E6C98" w:rsidRDefault="00010038" w:rsidP="00D64792">
            <w:pPr>
              <w:pStyle w:val="StdBodyTextBold"/>
              <w:rPr>
                <w:rFonts w:cs="Arial"/>
                <w:sz w:val="22"/>
                <w:szCs w:val="22"/>
              </w:rPr>
            </w:pPr>
            <w:r w:rsidRPr="001E6C98">
              <w:rPr>
                <w:rFonts w:cs="Arial"/>
                <w:sz w:val="22"/>
                <w:szCs w:val="22"/>
              </w:rPr>
              <w:t>2</w:t>
            </w:r>
          </w:p>
          <w:p w14:paraId="0C2054DA" w14:textId="50601781" w:rsidR="00010038" w:rsidRPr="001E6C98" w:rsidRDefault="00010038" w:rsidP="00D64792">
            <w:pPr>
              <w:pStyle w:val="StdBodyTextBold"/>
              <w:rPr>
                <w:rFonts w:cs="Arial"/>
                <w:sz w:val="22"/>
                <w:szCs w:val="22"/>
              </w:rPr>
            </w:pPr>
            <w:r w:rsidRPr="001E6C98">
              <w:rPr>
                <w:rFonts w:cs="Arial"/>
                <w:sz w:val="22"/>
                <w:szCs w:val="22"/>
              </w:rPr>
              <w:t>Free Cash Flow to Net Debt Ratio</w:t>
            </w:r>
          </w:p>
          <w:p w14:paraId="4F63D81B" w14:textId="77777777" w:rsidR="00010038" w:rsidRPr="001E6C98" w:rsidRDefault="00010038" w:rsidP="00D64792">
            <w:pPr>
              <w:pStyle w:val="StdBodyText"/>
              <w:rPr>
                <w:rFonts w:cs="Arial"/>
                <w:sz w:val="22"/>
                <w:szCs w:val="22"/>
              </w:rPr>
            </w:pPr>
          </w:p>
          <w:p w14:paraId="44666464" w14:textId="77777777" w:rsidR="00010038" w:rsidRPr="001E6C98" w:rsidRDefault="00010038" w:rsidP="00D64792">
            <w:pPr>
              <w:pStyle w:val="StdBodyText"/>
              <w:rPr>
                <w:rFonts w:cs="Arial"/>
                <w:sz w:val="22"/>
                <w:szCs w:val="22"/>
              </w:rPr>
            </w:pPr>
          </w:p>
          <w:p w14:paraId="27262F57" w14:textId="77777777" w:rsidR="00010038" w:rsidRPr="001E6C98" w:rsidRDefault="00010038" w:rsidP="00D64792">
            <w:pPr>
              <w:pStyle w:val="StdBodyText"/>
              <w:rPr>
                <w:rFonts w:cs="Arial"/>
                <w:sz w:val="22"/>
                <w:szCs w:val="22"/>
              </w:rPr>
            </w:pPr>
          </w:p>
          <w:p w14:paraId="7EF2DC5E" w14:textId="77777777" w:rsidR="00010038" w:rsidRPr="001E6C98" w:rsidRDefault="00010038" w:rsidP="00D64792">
            <w:pPr>
              <w:pStyle w:val="StdBodyText"/>
              <w:rPr>
                <w:rFonts w:cs="Arial"/>
                <w:sz w:val="22"/>
                <w:szCs w:val="22"/>
              </w:rPr>
            </w:pPr>
          </w:p>
          <w:p w14:paraId="45FCF217" w14:textId="77777777" w:rsidR="00010038" w:rsidRPr="001E6C98" w:rsidRDefault="00010038" w:rsidP="00D64792">
            <w:pPr>
              <w:pStyle w:val="StdBodyText"/>
              <w:rPr>
                <w:rFonts w:cs="Arial"/>
                <w:sz w:val="22"/>
                <w:szCs w:val="22"/>
              </w:rPr>
            </w:pPr>
          </w:p>
          <w:p w14:paraId="13E04495" w14:textId="77777777" w:rsidR="00010038" w:rsidRPr="001E6C98" w:rsidRDefault="00010038" w:rsidP="00D64792">
            <w:pPr>
              <w:pStyle w:val="StdBodyText"/>
              <w:rPr>
                <w:rFonts w:cs="Arial"/>
                <w:sz w:val="22"/>
                <w:szCs w:val="22"/>
              </w:rPr>
            </w:pPr>
          </w:p>
          <w:p w14:paraId="1DB3D502" w14:textId="77777777" w:rsidR="00010038" w:rsidRPr="001E6C98" w:rsidRDefault="00010038" w:rsidP="00D64792">
            <w:pPr>
              <w:pStyle w:val="StdBodyText"/>
              <w:rPr>
                <w:rFonts w:cs="Arial"/>
                <w:sz w:val="22"/>
                <w:szCs w:val="22"/>
              </w:rPr>
            </w:pPr>
          </w:p>
          <w:p w14:paraId="16FF6F24" w14:textId="77777777" w:rsidR="00010038" w:rsidRPr="001E6C98" w:rsidRDefault="00010038" w:rsidP="00D64792">
            <w:pPr>
              <w:pStyle w:val="StdBodyText"/>
              <w:rPr>
                <w:rFonts w:cs="Arial"/>
                <w:sz w:val="22"/>
                <w:szCs w:val="22"/>
              </w:rPr>
            </w:pPr>
          </w:p>
          <w:p w14:paraId="60578182" w14:textId="77777777" w:rsidR="00010038" w:rsidRPr="001E6C98" w:rsidRDefault="00010038" w:rsidP="00D64792">
            <w:pPr>
              <w:pStyle w:val="StdBodyText"/>
              <w:rPr>
                <w:rFonts w:cs="Arial"/>
                <w:sz w:val="22"/>
                <w:szCs w:val="22"/>
              </w:rPr>
            </w:pPr>
          </w:p>
          <w:p w14:paraId="1810325E" w14:textId="77777777" w:rsidR="00010038" w:rsidRPr="001E6C98" w:rsidRDefault="00010038" w:rsidP="00D64792">
            <w:pPr>
              <w:pStyle w:val="StdBodyText"/>
              <w:rPr>
                <w:rFonts w:cs="Arial"/>
                <w:sz w:val="22"/>
                <w:szCs w:val="22"/>
              </w:rPr>
            </w:pPr>
          </w:p>
          <w:p w14:paraId="40690755" w14:textId="77777777" w:rsidR="00010038" w:rsidRPr="001E6C98" w:rsidRDefault="00010038" w:rsidP="00D64792">
            <w:pPr>
              <w:pStyle w:val="StdBodyText"/>
              <w:rPr>
                <w:rFonts w:cs="Arial"/>
                <w:sz w:val="22"/>
                <w:szCs w:val="22"/>
              </w:rPr>
            </w:pPr>
          </w:p>
          <w:p w14:paraId="184B10C9" w14:textId="77777777" w:rsidR="00010038" w:rsidRPr="001E6C98" w:rsidRDefault="00010038" w:rsidP="00D64792">
            <w:pPr>
              <w:pStyle w:val="StdBodyText"/>
              <w:rPr>
                <w:rFonts w:cs="Arial"/>
                <w:sz w:val="22"/>
                <w:szCs w:val="22"/>
              </w:rPr>
            </w:pPr>
          </w:p>
          <w:p w14:paraId="12CFBEBF" w14:textId="77777777" w:rsidR="00010038" w:rsidRPr="001E6C98" w:rsidRDefault="00010038" w:rsidP="00D64792">
            <w:pPr>
              <w:pStyle w:val="StdBodyText"/>
              <w:rPr>
                <w:rFonts w:cs="Arial"/>
                <w:sz w:val="22"/>
                <w:szCs w:val="22"/>
              </w:rPr>
            </w:pPr>
          </w:p>
          <w:p w14:paraId="46D5630D" w14:textId="77777777" w:rsidR="00010038" w:rsidRPr="001E6C98" w:rsidRDefault="00010038" w:rsidP="00D64792">
            <w:pPr>
              <w:pStyle w:val="StdBodyText"/>
              <w:rPr>
                <w:rFonts w:cs="Arial"/>
                <w:sz w:val="22"/>
                <w:szCs w:val="22"/>
              </w:rPr>
            </w:pPr>
          </w:p>
          <w:p w14:paraId="0345D65F" w14:textId="77777777" w:rsidR="00010038" w:rsidRPr="001E6C98" w:rsidRDefault="00010038" w:rsidP="00D64792">
            <w:pPr>
              <w:pStyle w:val="StdBodyText"/>
              <w:rPr>
                <w:rFonts w:cs="Arial"/>
                <w:sz w:val="22"/>
                <w:szCs w:val="22"/>
              </w:rPr>
            </w:pPr>
          </w:p>
          <w:p w14:paraId="293DBC86" w14:textId="77777777" w:rsidR="00010038" w:rsidRPr="001E6C98" w:rsidRDefault="00010038" w:rsidP="00D64792">
            <w:pPr>
              <w:pStyle w:val="StdBodyText"/>
              <w:rPr>
                <w:rFonts w:cs="Arial"/>
                <w:sz w:val="22"/>
                <w:szCs w:val="22"/>
              </w:rPr>
            </w:pPr>
          </w:p>
          <w:p w14:paraId="40763B7F" w14:textId="77777777" w:rsidR="00010038" w:rsidRPr="001E6C98" w:rsidRDefault="00010038" w:rsidP="00D64792">
            <w:pPr>
              <w:pStyle w:val="StdBodyText"/>
              <w:rPr>
                <w:rFonts w:cs="Arial"/>
                <w:sz w:val="22"/>
                <w:szCs w:val="22"/>
              </w:rPr>
            </w:pPr>
          </w:p>
          <w:p w14:paraId="12D54750" w14:textId="77777777" w:rsidR="00010038" w:rsidRPr="001E6C98" w:rsidRDefault="00010038" w:rsidP="00D64792">
            <w:pPr>
              <w:pStyle w:val="StdBodyText"/>
              <w:rPr>
                <w:rFonts w:cs="Arial"/>
                <w:sz w:val="22"/>
                <w:szCs w:val="22"/>
              </w:rPr>
            </w:pPr>
          </w:p>
          <w:p w14:paraId="1B1D892E" w14:textId="77777777" w:rsidR="00010038" w:rsidRPr="001E6C98" w:rsidRDefault="00010038" w:rsidP="00D64792">
            <w:pPr>
              <w:pStyle w:val="StdBodyText"/>
              <w:rPr>
                <w:rFonts w:cs="Arial"/>
                <w:sz w:val="22"/>
                <w:szCs w:val="22"/>
              </w:rPr>
            </w:pPr>
          </w:p>
          <w:p w14:paraId="57245744" w14:textId="77777777" w:rsidR="00010038" w:rsidRPr="001E6C98" w:rsidRDefault="00010038" w:rsidP="00D64792">
            <w:pPr>
              <w:pStyle w:val="StdBodyText"/>
              <w:rPr>
                <w:rFonts w:cs="Arial"/>
                <w:sz w:val="22"/>
                <w:szCs w:val="22"/>
              </w:rPr>
            </w:pPr>
          </w:p>
          <w:p w14:paraId="2834B654" w14:textId="77777777" w:rsidR="00010038" w:rsidRPr="001E6C98" w:rsidRDefault="00010038" w:rsidP="00D64792">
            <w:pPr>
              <w:pStyle w:val="StdBodyText"/>
              <w:rPr>
                <w:rFonts w:cs="Arial"/>
                <w:sz w:val="22"/>
                <w:szCs w:val="22"/>
              </w:rPr>
            </w:pPr>
          </w:p>
          <w:p w14:paraId="09437A34" w14:textId="77777777" w:rsidR="00010038" w:rsidRPr="001E6C98" w:rsidRDefault="00010038" w:rsidP="00D64792">
            <w:pPr>
              <w:pStyle w:val="StdBodyText"/>
              <w:rPr>
                <w:rFonts w:cs="Arial"/>
                <w:sz w:val="22"/>
                <w:szCs w:val="22"/>
              </w:rPr>
            </w:pPr>
          </w:p>
          <w:p w14:paraId="7CB3CD84" w14:textId="77777777" w:rsidR="00010038" w:rsidRPr="001E6C98" w:rsidRDefault="00010038" w:rsidP="00D64792">
            <w:pPr>
              <w:pStyle w:val="StdBodyText"/>
              <w:rPr>
                <w:rFonts w:cs="Arial"/>
                <w:sz w:val="22"/>
                <w:szCs w:val="22"/>
              </w:rPr>
            </w:pPr>
          </w:p>
          <w:p w14:paraId="18E03CBD" w14:textId="77777777" w:rsidR="00010038" w:rsidRPr="001E6C98" w:rsidRDefault="00010038" w:rsidP="00D64792">
            <w:pPr>
              <w:pStyle w:val="StdBodyText"/>
              <w:rPr>
                <w:rFonts w:cs="Arial"/>
                <w:sz w:val="22"/>
                <w:szCs w:val="22"/>
              </w:rPr>
            </w:pPr>
          </w:p>
          <w:p w14:paraId="6D86D4D5" w14:textId="77777777" w:rsidR="00010038" w:rsidRPr="001E6C98" w:rsidRDefault="00010038" w:rsidP="00D64792">
            <w:pPr>
              <w:pStyle w:val="StdBodyText"/>
              <w:rPr>
                <w:rFonts w:cs="Arial"/>
                <w:sz w:val="22"/>
                <w:szCs w:val="22"/>
              </w:rPr>
            </w:pPr>
          </w:p>
          <w:p w14:paraId="689FD5BB" w14:textId="77777777" w:rsidR="00010038" w:rsidRPr="001E6C98" w:rsidRDefault="00010038" w:rsidP="00D64792">
            <w:pPr>
              <w:pStyle w:val="StdBodyText"/>
              <w:rPr>
                <w:rFonts w:cs="Arial"/>
                <w:sz w:val="22"/>
                <w:szCs w:val="22"/>
              </w:rPr>
            </w:pPr>
          </w:p>
          <w:p w14:paraId="56D74591" w14:textId="77777777" w:rsidR="00010038" w:rsidRPr="001E6C98" w:rsidRDefault="00010038" w:rsidP="00D64792">
            <w:pPr>
              <w:pStyle w:val="StdBodyText"/>
              <w:rPr>
                <w:rFonts w:cs="Arial"/>
                <w:sz w:val="22"/>
                <w:szCs w:val="22"/>
              </w:rPr>
            </w:pPr>
          </w:p>
          <w:p w14:paraId="32FD0F57" w14:textId="0187CD98" w:rsidR="00010038" w:rsidRPr="001E6C98" w:rsidRDefault="00010038" w:rsidP="00D64792">
            <w:pPr>
              <w:pStyle w:val="StdBodyTextBold"/>
              <w:rPr>
                <w:rFonts w:cs="Arial"/>
                <w:sz w:val="22"/>
                <w:szCs w:val="22"/>
              </w:rPr>
            </w:pPr>
          </w:p>
        </w:tc>
        <w:tc>
          <w:tcPr>
            <w:tcW w:w="6516" w:type="dxa"/>
          </w:tcPr>
          <w:p w14:paraId="31423C72" w14:textId="1172A2BB" w:rsidR="00010038" w:rsidRPr="001E6C98" w:rsidRDefault="00010038" w:rsidP="00D64792">
            <w:pPr>
              <w:pStyle w:val="StdBodyText"/>
              <w:rPr>
                <w:rFonts w:cs="Arial"/>
                <w:i/>
                <w:sz w:val="22"/>
                <w:szCs w:val="22"/>
              </w:rPr>
            </w:pPr>
            <w:r w:rsidRPr="001E6C98">
              <w:rPr>
                <w:rFonts w:cs="Arial"/>
                <w:i/>
                <w:sz w:val="22"/>
                <w:szCs w:val="22"/>
              </w:rPr>
              <w:lastRenderedPageBreak/>
              <w:t>“</w:t>
            </w:r>
            <w:r w:rsidRPr="001E6C98">
              <w:rPr>
                <w:rStyle w:val="StdBodyTextBoldChar"/>
                <w:rFonts w:cs="Arial"/>
                <w:i/>
                <w:sz w:val="22"/>
                <w:szCs w:val="22"/>
              </w:rPr>
              <w:t>Free Cash Flow</w:t>
            </w:r>
            <w:r w:rsidRPr="001E6C98">
              <w:rPr>
                <w:rFonts w:cs="Arial"/>
                <w:i/>
                <w:sz w:val="22"/>
                <w:szCs w:val="22"/>
              </w:rPr>
              <w:t>” = Net Cash Flow from Operating Activities – Capital Expenditure</w:t>
            </w:r>
          </w:p>
          <w:p w14:paraId="5515B1F6" w14:textId="77777777" w:rsidR="00010038" w:rsidRPr="001E6C98" w:rsidRDefault="00010038" w:rsidP="00D64792">
            <w:pPr>
              <w:pStyle w:val="StdBodyText"/>
              <w:rPr>
                <w:rFonts w:cs="Arial"/>
                <w:i/>
                <w:sz w:val="22"/>
                <w:szCs w:val="22"/>
              </w:rPr>
            </w:pPr>
            <w:r w:rsidRPr="001E6C98">
              <w:rPr>
                <w:rFonts w:cs="Arial"/>
                <w:i/>
                <w:sz w:val="22"/>
                <w:szCs w:val="22"/>
              </w:rPr>
              <w:t>“</w:t>
            </w:r>
            <w:r w:rsidRPr="001E6C98">
              <w:rPr>
                <w:rStyle w:val="StdBodyTextBoldChar"/>
                <w:rFonts w:cs="Arial"/>
                <w:i/>
                <w:sz w:val="22"/>
                <w:szCs w:val="22"/>
              </w:rPr>
              <w:t>Capital Expenditure</w:t>
            </w:r>
            <w:r w:rsidRPr="001E6C98">
              <w:rPr>
                <w:rFonts w:cs="Arial"/>
                <w:i/>
                <w:sz w:val="22"/>
                <w:szCs w:val="22"/>
              </w:rPr>
              <w:t>” = Purchase of property, plant &amp; equipment + purchase of intangible assets</w:t>
            </w:r>
          </w:p>
          <w:p w14:paraId="3C590E52" w14:textId="77777777" w:rsidR="00010038" w:rsidRPr="001E6C98" w:rsidRDefault="00010038" w:rsidP="00D64792">
            <w:pPr>
              <w:pStyle w:val="StdBodyText"/>
              <w:rPr>
                <w:rFonts w:cs="Arial"/>
                <w:i/>
                <w:sz w:val="22"/>
                <w:szCs w:val="22"/>
              </w:rPr>
            </w:pPr>
            <w:r w:rsidRPr="001E6C98">
              <w:rPr>
                <w:rFonts w:cs="Arial"/>
                <w:i/>
                <w:sz w:val="22"/>
                <w:szCs w:val="22"/>
              </w:rPr>
              <w:t>“</w:t>
            </w:r>
            <w:r w:rsidRPr="001E6C98">
              <w:rPr>
                <w:rStyle w:val="StdBodyTextBoldChar"/>
                <w:rFonts w:cs="Arial"/>
                <w:i/>
                <w:sz w:val="22"/>
                <w:szCs w:val="22"/>
              </w:rPr>
              <w:t>Net Debt</w:t>
            </w:r>
            <w:r w:rsidRPr="001E6C98">
              <w:rPr>
                <w:rFonts w:cs="Arial"/>
                <w:i/>
                <w:sz w:val="22"/>
                <w:szCs w:val="22"/>
              </w:rPr>
              <w:t>” = Bank overdrafts + Loans and borrowings + Finance Leases + Deferred consideration payable – Cash and cash equivalents</w:t>
            </w:r>
          </w:p>
          <w:p w14:paraId="3F874578" w14:textId="77777777" w:rsidR="00010038" w:rsidRPr="001E6C98" w:rsidRDefault="00010038" w:rsidP="00D64792">
            <w:pPr>
              <w:pStyle w:val="StdBodyText"/>
              <w:rPr>
                <w:rFonts w:cs="Arial"/>
                <w:sz w:val="22"/>
                <w:szCs w:val="22"/>
              </w:rPr>
            </w:pPr>
            <w:r w:rsidRPr="001E6C98">
              <w:rPr>
                <w:rFonts w:cs="Arial"/>
                <w:sz w:val="22"/>
                <w:szCs w:val="22"/>
              </w:rPr>
              <w:t>The majority of the elements used to calculate the Free Cash Flow to Net Debt Ratio should be shown on the face of the Statement of Cash Flows and the Balance Sheet in a standard set of financial statements.</w:t>
            </w:r>
          </w:p>
          <w:p w14:paraId="4380D2BA" w14:textId="77777777" w:rsidR="00010038" w:rsidRPr="001E6C98" w:rsidRDefault="00010038" w:rsidP="00D64792">
            <w:pPr>
              <w:pStyle w:val="StdBodyText"/>
              <w:rPr>
                <w:rFonts w:cs="Arial"/>
                <w:sz w:val="22"/>
                <w:szCs w:val="22"/>
              </w:rPr>
            </w:pPr>
            <w:r w:rsidRPr="001E6C98">
              <w:rPr>
                <w:rFonts w:cs="Arial"/>
                <w:i/>
                <w:sz w:val="22"/>
                <w:szCs w:val="22"/>
                <w:u w:val="single"/>
              </w:rPr>
              <w:t>Net Cash Flow from Operating Activities</w:t>
            </w:r>
            <w:r w:rsidRPr="001E6C98">
              <w:rPr>
                <w:rFonts w:cs="Arial"/>
                <w:sz w:val="22"/>
                <w:szCs w:val="22"/>
              </w:rPr>
              <w:t>: This should be stated after deduction of interest and tax paid.</w:t>
            </w:r>
          </w:p>
          <w:p w14:paraId="40210402" w14:textId="77777777" w:rsidR="00010038" w:rsidRPr="001E6C98" w:rsidRDefault="00010038" w:rsidP="00D64792">
            <w:pPr>
              <w:pStyle w:val="StdBodyText"/>
              <w:rPr>
                <w:rFonts w:cs="Arial"/>
                <w:sz w:val="22"/>
                <w:szCs w:val="22"/>
              </w:rPr>
            </w:pPr>
            <w:r w:rsidRPr="001E6C98">
              <w:rPr>
                <w:rFonts w:cs="Arial"/>
                <w:i/>
                <w:sz w:val="22"/>
                <w:szCs w:val="22"/>
                <w:u w:val="single"/>
              </w:rPr>
              <w:lastRenderedPageBreak/>
              <w:t>Capital expenditure</w:t>
            </w:r>
            <w:r w:rsidRPr="001E6C98">
              <w:rPr>
                <w:rFonts w:cs="Arial"/>
                <w:sz w:val="22"/>
                <w:szCs w:val="22"/>
              </w:rPr>
              <w:t>: The elements of capital expenditure may be described slightly differently but will be found under ‘Cash flows from investing activities’ in the Statement of Cash Flows; they should be limited to the purchase of fixed assets (including intangible assets) for the business and exclude acquisitions. The figure should be shown gross without any deduction for any proceeds of sale of fixed assets.</w:t>
            </w:r>
          </w:p>
          <w:p w14:paraId="4DA3A3C8" w14:textId="77777777" w:rsidR="00010038" w:rsidRPr="001E6C98" w:rsidRDefault="00010038" w:rsidP="00D64792">
            <w:pPr>
              <w:pStyle w:val="StdBodyText"/>
              <w:rPr>
                <w:rFonts w:cs="Arial"/>
                <w:sz w:val="22"/>
                <w:szCs w:val="22"/>
              </w:rPr>
            </w:pPr>
            <w:r w:rsidRPr="001E6C98">
              <w:rPr>
                <w:rFonts w:cs="Arial"/>
                <w:i/>
                <w:sz w:val="22"/>
                <w:szCs w:val="22"/>
                <w:u w:val="single"/>
              </w:rPr>
              <w:t>Net Debt</w:t>
            </w:r>
            <w:r w:rsidRPr="001E6C98">
              <w:rPr>
                <w:rFonts w:cs="Arial"/>
                <w:sz w:val="22"/>
                <w:szCs w:val="22"/>
              </w:rPr>
              <w:t>: The elements of Net Debt may also be described slightly differently and should be found either on the face of the Balance Sheet or in the relevant note to the financial statements. All interest bearing liabilities (other than retirement benefit obligations) should be treated as borrowings as should, where disclosed, any liabilities (less any assets) in respect  of any hedges designated as linked to borrowings (but not non-designated hedges). Borrowings should also include balances owed to other group members.</w:t>
            </w:r>
          </w:p>
          <w:p w14:paraId="19CF0E71" w14:textId="77777777" w:rsidR="00010038" w:rsidRPr="001E6C98" w:rsidRDefault="00010038" w:rsidP="00D64792">
            <w:pPr>
              <w:pStyle w:val="StdBodyText"/>
              <w:rPr>
                <w:rFonts w:cs="Arial"/>
                <w:sz w:val="22"/>
                <w:szCs w:val="22"/>
              </w:rPr>
            </w:pPr>
            <w:r w:rsidRPr="001E6C98">
              <w:rPr>
                <w:rFonts w:cs="Arial"/>
                <w:sz w:val="22"/>
                <w:szCs w:val="22"/>
              </w:rPr>
              <w:t>Deferred consideration payable should be included in Net Debt despite typically being non-interest bearing.</w:t>
            </w:r>
          </w:p>
          <w:p w14:paraId="3769D646" w14:textId="77777777" w:rsidR="00010038" w:rsidRPr="001E6C98" w:rsidRDefault="00010038" w:rsidP="00D64792">
            <w:pPr>
              <w:pStyle w:val="StdBodyText"/>
              <w:rPr>
                <w:rFonts w:cs="Arial"/>
                <w:sz w:val="22"/>
                <w:szCs w:val="22"/>
              </w:rPr>
            </w:pPr>
            <w:r w:rsidRPr="001E6C98">
              <w:rPr>
                <w:rFonts w:cs="Arial"/>
                <w:sz w:val="22"/>
                <w:szCs w:val="22"/>
              </w:rPr>
              <w:t>Cash and cash equivalents should include short-term financial investments shown in current assets.</w:t>
            </w:r>
          </w:p>
          <w:p w14:paraId="724E115F" w14:textId="75D9A4DD" w:rsidR="00010038" w:rsidRPr="001E6C98" w:rsidRDefault="00010038" w:rsidP="00D64792">
            <w:pPr>
              <w:pStyle w:val="StdBodyText"/>
              <w:rPr>
                <w:rFonts w:cs="Arial"/>
                <w:sz w:val="22"/>
                <w:szCs w:val="22"/>
              </w:rPr>
            </w:pPr>
            <w:r w:rsidRPr="001E6C98">
              <w:rPr>
                <w:rFonts w:cs="Arial"/>
                <w:sz w:val="22"/>
                <w:szCs w:val="22"/>
              </w:rPr>
              <w:t>Where Net debt is negative (i.e. an entity has net cash), the relevant Financial Target Threshold should be treated as having been met.</w:t>
            </w:r>
          </w:p>
          <w:p w14:paraId="37FD5077" w14:textId="77777777" w:rsidR="00010038" w:rsidRPr="001E6C98" w:rsidRDefault="00010038" w:rsidP="00D64792">
            <w:pPr>
              <w:pStyle w:val="StdBodyText"/>
              <w:rPr>
                <w:rFonts w:cs="Arial"/>
                <w:sz w:val="22"/>
                <w:szCs w:val="22"/>
              </w:rPr>
            </w:pPr>
            <w:r w:rsidRPr="001E6C98">
              <w:rPr>
                <w:rFonts w:cs="Arial"/>
                <w:sz w:val="22"/>
                <w:szCs w:val="22"/>
              </w:rPr>
              <w:t>OR</w:t>
            </w:r>
          </w:p>
          <w:p w14:paraId="0C04AEE3" w14:textId="3996B6AF" w:rsidR="00010038" w:rsidRPr="001E6C98" w:rsidRDefault="00010038" w:rsidP="00D64792">
            <w:pPr>
              <w:pStyle w:val="StdBodyText"/>
              <w:rPr>
                <w:rFonts w:cs="Arial"/>
                <w:i/>
                <w:sz w:val="22"/>
                <w:szCs w:val="22"/>
              </w:rPr>
            </w:pPr>
            <w:r w:rsidRPr="001E6C98">
              <w:rPr>
                <w:rFonts w:cs="Arial"/>
                <w:i/>
                <w:sz w:val="22"/>
                <w:szCs w:val="22"/>
              </w:rPr>
              <w:t>“</w:t>
            </w:r>
            <w:r w:rsidRPr="001E6C98">
              <w:rPr>
                <w:rStyle w:val="StdBodyTextBoldChar"/>
                <w:rFonts w:cs="Arial"/>
                <w:i/>
                <w:sz w:val="22"/>
                <w:szCs w:val="22"/>
              </w:rPr>
              <w:t>Net Debt</w:t>
            </w:r>
            <w:r w:rsidRPr="001E6C98">
              <w:rPr>
                <w:rFonts w:cs="Arial"/>
                <w:i/>
                <w:sz w:val="22"/>
                <w:szCs w:val="22"/>
              </w:rPr>
              <w:t>” = Bank overdrafts + Loans and borrowings + Finance leases + Deferred consideration payable – Cash and cash equivalents</w:t>
            </w:r>
          </w:p>
          <w:p w14:paraId="2AB60326" w14:textId="77777777" w:rsidR="00010038" w:rsidRPr="001E6C98" w:rsidRDefault="00010038" w:rsidP="00D64792">
            <w:pPr>
              <w:pStyle w:val="StdBodyText"/>
              <w:rPr>
                <w:rFonts w:cs="Arial"/>
                <w:i/>
                <w:sz w:val="22"/>
                <w:szCs w:val="22"/>
              </w:rPr>
            </w:pPr>
            <w:r w:rsidRPr="001E6C98">
              <w:rPr>
                <w:rFonts w:cs="Arial"/>
                <w:i/>
                <w:sz w:val="22"/>
                <w:szCs w:val="22"/>
              </w:rPr>
              <w:t>“</w:t>
            </w:r>
            <w:r w:rsidRPr="001E6C98">
              <w:rPr>
                <w:rStyle w:val="StdBodyTextBoldChar"/>
                <w:rFonts w:cs="Arial"/>
                <w:i/>
                <w:sz w:val="22"/>
                <w:szCs w:val="22"/>
              </w:rPr>
              <w:t>EBITDA</w:t>
            </w:r>
            <w:r w:rsidRPr="001E6C98">
              <w:rPr>
                <w:rFonts w:cs="Arial"/>
                <w:i/>
                <w:sz w:val="22"/>
                <w:szCs w:val="22"/>
              </w:rPr>
              <w:t>” = Operating profit + Depreciation charge + Amortisation charge</w:t>
            </w:r>
          </w:p>
          <w:p w14:paraId="23A383A0" w14:textId="77777777" w:rsidR="00010038" w:rsidRPr="001E6C98" w:rsidRDefault="00010038" w:rsidP="00D64792">
            <w:pPr>
              <w:pStyle w:val="StdBodyText"/>
              <w:rPr>
                <w:rFonts w:cs="Arial"/>
                <w:sz w:val="22"/>
                <w:szCs w:val="22"/>
              </w:rPr>
            </w:pPr>
            <w:r w:rsidRPr="001E6C98">
              <w:rPr>
                <w:rFonts w:cs="Arial"/>
                <w:sz w:val="22"/>
                <w:szCs w:val="22"/>
              </w:rPr>
              <w:t>The majority of the elements used to calculate the Net Debt to EBITDA Ratio should be shown on the face of the Balance sheet, Income statement and Statement of Cash Flows in a standard set of financial statements but will otherwise be found in the notes to the financial statements.</w:t>
            </w:r>
          </w:p>
          <w:p w14:paraId="52FD5B27" w14:textId="77777777" w:rsidR="00010038" w:rsidRPr="001E6C98" w:rsidRDefault="00010038" w:rsidP="00D64792">
            <w:pPr>
              <w:pStyle w:val="StdBodyText"/>
              <w:rPr>
                <w:rFonts w:cs="Arial"/>
                <w:sz w:val="22"/>
                <w:szCs w:val="22"/>
              </w:rPr>
            </w:pPr>
            <w:r w:rsidRPr="001E6C98">
              <w:rPr>
                <w:rFonts w:cs="Arial"/>
                <w:i/>
                <w:sz w:val="22"/>
                <w:szCs w:val="22"/>
                <w:u w:val="single"/>
              </w:rPr>
              <w:t>Net Debt</w:t>
            </w:r>
            <w:r w:rsidRPr="001E6C98">
              <w:rPr>
                <w:rFonts w:cs="Arial"/>
                <w:sz w:val="22"/>
                <w:szCs w:val="22"/>
              </w:rPr>
              <w:t>: The elements of Net Debt may be described slightly differently and should be found either on the face of the Balance Sheet or in the relevant note to the financial statements. All interest bearing liabilities (other than retirement benefit obligations) should be included as borrowings as should, where disclosed, any liabilities (less any assets) in respect of any hedges designated as linked to borrowings (but not non-designated hedges). Borrowings should also include balances owed to other group members.</w:t>
            </w:r>
          </w:p>
          <w:p w14:paraId="5C9ED2B0" w14:textId="77777777" w:rsidR="00010038" w:rsidRPr="001E6C98" w:rsidRDefault="00010038" w:rsidP="00D64792">
            <w:pPr>
              <w:pStyle w:val="StdBodyText"/>
              <w:rPr>
                <w:rFonts w:cs="Arial"/>
                <w:sz w:val="22"/>
                <w:szCs w:val="22"/>
              </w:rPr>
            </w:pPr>
            <w:r w:rsidRPr="001E6C98">
              <w:rPr>
                <w:rFonts w:cs="Arial"/>
                <w:sz w:val="22"/>
                <w:szCs w:val="22"/>
              </w:rPr>
              <w:t>Deferred consideration payable should be included in Net Debt despite typically being non-interest bearing.</w:t>
            </w:r>
          </w:p>
          <w:p w14:paraId="54059CE0" w14:textId="77777777" w:rsidR="00010038" w:rsidRPr="001E6C98" w:rsidRDefault="00010038" w:rsidP="00D64792">
            <w:pPr>
              <w:pStyle w:val="StdBodyText"/>
              <w:rPr>
                <w:rFonts w:cs="Arial"/>
                <w:sz w:val="22"/>
                <w:szCs w:val="22"/>
              </w:rPr>
            </w:pPr>
            <w:r w:rsidRPr="001E6C98">
              <w:rPr>
                <w:rFonts w:cs="Arial"/>
                <w:sz w:val="22"/>
                <w:szCs w:val="22"/>
              </w:rPr>
              <w:lastRenderedPageBreak/>
              <w:t>Cash and cash equivalents should include short-term financial investments shown in current assets.</w:t>
            </w:r>
          </w:p>
          <w:p w14:paraId="76602FA3" w14:textId="77777777" w:rsidR="00010038" w:rsidRPr="001E6C98" w:rsidRDefault="00010038" w:rsidP="00D64792">
            <w:pPr>
              <w:pStyle w:val="StdBodyText"/>
              <w:rPr>
                <w:rFonts w:cs="Arial"/>
                <w:sz w:val="22"/>
                <w:szCs w:val="22"/>
              </w:rPr>
            </w:pPr>
            <w:r w:rsidRPr="001E6C98">
              <w:rPr>
                <w:rFonts w:cs="Arial"/>
                <w:sz w:val="22"/>
                <w:szCs w:val="22"/>
              </w:rPr>
              <w:t xml:space="preserve">Where Net debt is negative (i.e. an entity has net cash), the relevant Financial Target Threshold should be treated as having been met. </w:t>
            </w:r>
          </w:p>
          <w:p w14:paraId="6310807E" w14:textId="65EB2FEA" w:rsidR="00010038" w:rsidRPr="001E6C98" w:rsidRDefault="00010038" w:rsidP="00D64792">
            <w:pPr>
              <w:pStyle w:val="StdBodyText"/>
              <w:rPr>
                <w:rFonts w:cs="Arial"/>
                <w:i/>
                <w:sz w:val="22"/>
                <w:szCs w:val="22"/>
              </w:rPr>
            </w:pPr>
            <w:r w:rsidRPr="001E6C98">
              <w:rPr>
                <w:rFonts w:cs="Arial"/>
                <w:i/>
                <w:sz w:val="22"/>
                <w:szCs w:val="22"/>
                <w:u w:val="single"/>
              </w:rPr>
              <w:t>EBITDA</w:t>
            </w:r>
            <w:r w:rsidRPr="001E6C98">
              <w:rPr>
                <w:rFonts w:cs="Arial"/>
                <w:sz w:val="22"/>
                <w:szCs w:val="22"/>
              </w:rPr>
              <w:t xml:space="preserve">: Operating profit should be shown on the face of the Income Statement and, for the purposes of calculating this Financial Indicator, should include the entity’s share of the results of any joint ventures or Associates. </w:t>
            </w:r>
            <w:r w:rsidRPr="001E6C98">
              <w:rPr>
                <w:rFonts w:cs="Arial"/>
                <w:i/>
                <w:sz w:val="22"/>
                <w:szCs w:val="22"/>
              </w:rPr>
              <w:t xml:space="preserve">The depreciation and amortisation charges for the period may be found on the face of the </w:t>
            </w:r>
            <w:bookmarkStart w:id="4057" w:name="_9kR3WTr2AC7DFbapqvpqs8AxMCz7VUAMRKKFC5g"/>
            <w:r w:rsidRPr="001E6C98">
              <w:rPr>
                <w:rFonts w:cs="Arial"/>
                <w:i/>
                <w:sz w:val="22"/>
                <w:szCs w:val="22"/>
              </w:rPr>
              <w:t>Statement of Cash Flows or in a Note to the Accounts</w:t>
            </w:r>
            <w:bookmarkEnd w:id="4057"/>
            <w:r w:rsidRPr="001E6C98">
              <w:rPr>
                <w:rFonts w:cs="Arial"/>
                <w:i/>
                <w:sz w:val="22"/>
                <w:szCs w:val="22"/>
              </w:rPr>
              <w:t>. Where EBITDA is negative, the relevant Financial Target Threshold should be treated as not having been met (unless Net Debt is also negative, in which case the relevant Financial Target Threshold should be treated as having been met).</w:t>
            </w:r>
          </w:p>
        </w:tc>
      </w:tr>
      <w:tr w:rsidR="00010038" w:rsidRPr="00010038" w14:paraId="3896D9F8" w14:textId="77777777" w:rsidTr="00D64792">
        <w:tc>
          <w:tcPr>
            <w:tcW w:w="2547" w:type="dxa"/>
          </w:tcPr>
          <w:p w14:paraId="21B3C9C7" w14:textId="77777777" w:rsidR="00010038" w:rsidRPr="001E6C98" w:rsidRDefault="00010038" w:rsidP="00D64792">
            <w:pPr>
              <w:pStyle w:val="StdBodyTextBold"/>
              <w:rPr>
                <w:rFonts w:cs="Arial"/>
                <w:sz w:val="22"/>
                <w:szCs w:val="22"/>
              </w:rPr>
            </w:pPr>
            <w:r w:rsidRPr="001E6C98">
              <w:rPr>
                <w:rFonts w:cs="Arial"/>
                <w:sz w:val="22"/>
                <w:szCs w:val="22"/>
              </w:rPr>
              <w:lastRenderedPageBreak/>
              <w:t>3</w:t>
            </w:r>
          </w:p>
          <w:p w14:paraId="0950A5E5" w14:textId="518F5549" w:rsidR="00010038" w:rsidRPr="001E6C98" w:rsidRDefault="00010038" w:rsidP="00D64792">
            <w:pPr>
              <w:pStyle w:val="StdBodyTextBold"/>
              <w:rPr>
                <w:rFonts w:cs="Arial"/>
                <w:sz w:val="22"/>
                <w:szCs w:val="22"/>
              </w:rPr>
            </w:pPr>
            <w:r w:rsidRPr="001E6C98">
              <w:rPr>
                <w:rFonts w:cs="Arial"/>
                <w:sz w:val="22"/>
                <w:szCs w:val="22"/>
              </w:rPr>
              <w:t>Net Debt + Net  Pension Deficit to EBITDA ratio</w:t>
            </w:r>
          </w:p>
        </w:tc>
        <w:tc>
          <w:tcPr>
            <w:tcW w:w="6516" w:type="dxa"/>
          </w:tcPr>
          <w:p w14:paraId="75F90A6B" w14:textId="02C7BE9F" w:rsidR="00010038" w:rsidRPr="001E6C98" w:rsidRDefault="00010038" w:rsidP="00D64792">
            <w:pPr>
              <w:pStyle w:val="StdBodyText"/>
              <w:rPr>
                <w:rFonts w:cs="Arial"/>
                <w:i/>
                <w:sz w:val="22"/>
                <w:szCs w:val="22"/>
              </w:rPr>
            </w:pPr>
            <w:r w:rsidRPr="001E6C98">
              <w:rPr>
                <w:rFonts w:cs="Arial"/>
                <w:i/>
                <w:sz w:val="22"/>
                <w:szCs w:val="22"/>
              </w:rPr>
              <w:t>“</w:t>
            </w:r>
            <w:r w:rsidRPr="001E6C98">
              <w:rPr>
                <w:rStyle w:val="StdBodyTextBoldChar"/>
                <w:rFonts w:cs="Arial"/>
                <w:i/>
                <w:sz w:val="22"/>
                <w:szCs w:val="22"/>
              </w:rPr>
              <w:t>Net Debt</w:t>
            </w:r>
            <w:r w:rsidRPr="001E6C98">
              <w:rPr>
                <w:rFonts w:cs="Arial"/>
                <w:i/>
                <w:sz w:val="22"/>
                <w:szCs w:val="22"/>
              </w:rPr>
              <w:t>” = Bank overdrafts + Loans and borrowings + Finance leases + Deferred consideration payable – Cash and cash equivalents</w:t>
            </w:r>
          </w:p>
          <w:p w14:paraId="6E11AEF8" w14:textId="77777777" w:rsidR="00010038" w:rsidRPr="001E6C98" w:rsidRDefault="00010038" w:rsidP="00D64792">
            <w:pPr>
              <w:pStyle w:val="StdBodyText"/>
              <w:rPr>
                <w:rFonts w:cs="Arial"/>
                <w:i/>
                <w:sz w:val="22"/>
                <w:szCs w:val="22"/>
              </w:rPr>
            </w:pPr>
            <w:r w:rsidRPr="001E6C98">
              <w:rPr>
                <w:rFonts w:cs="Arial"/>
                <w:i/>
                <w:sz w:val="22"/>
                <w:szCs w:val="22"/>
              </w:rPr>
              <w:t>“</w:t>
            </w:r>
            <w:r w:rsidRPr="001E6C98">
              <w:rPr>
                <w:rStyle w:val="StdBodyTextBoldChar"/>
                <w:rFonts w:cs="Arial"/>
                <w:i/>
                <w:sz w:val="22"/>
                <w:szCs w:val="22"/>
              </w:rPr>
              <w:t>Net Pension Deficit</w:t>
            </w:r>
            <w:r w:rsidRPr="001E6C98">
              <w:rPr>
                <w:rFonts w:cs="Arial"/>
                <w:i/>
                <w:sz w:val="22"/>
                <w:szCs w:val="22"/>
              </w:rPr>
              <w:t>” = Retirement Benefit Obligations – Retirement Benefit Assets</w:t>
            </w:r>
          </w:p>
          <w:p w14:paraId="377242ED" w14:textId="77777777" w:rsidR="00010038" w:rsidRPr="001E6C98" w:rsidRDefault="00010038" w:rsidP="00D64792">
            <w:pPr>
              <w:pStyle w:val="StdBodyText"/>
              <w:rPr>
                <w:rFonts w:cs="Arial"/>
                <w:i/>
                <w:sz w:val="22"/>
                <w:szCs w:val="22"/>
              </w:rPr>
            </w:pPr>
            <w:r w:rsidRPr="001E6C98">
              <w:rPr>
                <w:rFonts w:cs="Arial"/>
                <w:i/>
                <w:sz w:val="22"/>
                <w:szCs w:val="22"/>
              </w:rPr>
              <w:t>“</w:t>
            </w:r>
            <w:r w:rsidRPr="001E6C98">
              <w:rPr>
                <w:rStyle w:val="StdBodyTextBoldChar"/>
                <w:rFonts w:cs="Arial"/>
                <w:i/>
                <w:sz w:val="22"/>
                <w:szCs w:val="22"/>
              </w:rPr>
              <w:t>EBITDA</w:t>
            </w:r>
            <w:r w:rsidRPr="001E6C98">
              <w:rPr>
                <w:rFonts w:cs="Arial"/>
                <w:i/>
                <w:sz w:val="22"/>
                <w:szCs w:val="22"/>
              </w:rPr>
              <w:t>” = Operating profit + Depreciation charge + Amortisation charge</w:t>
            </w:r>
          </w:p>
          <w:p w14:paraId="357E480E" w14:textId="77777777" w:rsidR="00010038" w:rsidRPr="001E6C98" w:rsidRDefault="00010038" w:rsidP="00D64792">
            <w:pPr>
              <w:pStyle w:val="StdBodyText"/>
              <w:rPr>
                <w:rFonts w:cs="Arial"/>
                <w:sz w:val="22"/>
                <w:szCs w:val="22"/>
              </w:rPr>
            </w:pPr>
            <w:r w:rsidRPr="001E6C98">
              <w:rPr>
                <w:rFonts w:cs="Arial"/>
                <w:sz w:val="22"/>
                <w:szCs w:val="22"/>
              </w:rPr>
              <w:t>The majority of the elements used to calculate the Net Debt + Net Pension Deficit to EBITDA Ratio should be shown on the face of the Balance sheet, Income statement and Statement of Cash Flows in a standard set of financial statements but will otherwise be found in the notes to the financial statements.</w:t>
            </w:r>
          </w:p>
          <w:p w14:paraId="489EFF47" w14:textId="77777777" w:rsidR="00010038" w:rsidRPr="001E6C98" w:rsidRDefault="00010038" w:rsidP="00D64792">
            <w:pPr>
              <w:pStyle w:val="StdBodyText"/>
              <w:rPr>
                <w:rFonts w:cs="Arial"/>
                <w:sz w:val="22"/>
                <w:szCs w:val="22"/>
              </w:rPr>
            </w:pPr>
            <w:r w:rsidRPr="001E6C98">
              <w:rPr>
                <w:rFonts w:cs="Arial"/>
                <w:i/>
                <w:sz w:val="22"/>
                <w:szCs w:val="22"/>
                <w:u w:val="single"/>
              </w:rPr>
              <w:t>Net Debt</w:t>
            </w:r>
            <w:r w:rsidRPr="001E6C98">
              <w:rPr>
                <w:rFonts w:cs="Arial"/>
                <w:sz w:val="22"/>
                <w:szCs w:val="22"/>
              </w:rPr>
              <w:t xml:space="preserve">: The elements of Net Debt may be described slightly differently and should be found either on the face of the Balance Sheet or in the relevant note to the financial statements. All interest bearing liabilities (other than retirement benefit obligations) should be included as borrowings as should, where disclosed, any liabilities (less any assets) in respect of any hedges designated as linked to borrowings (but </w:t>
            </w:r>
            <w:r w:rsidRPr="001E6C98">
              <w:rPr>
                <w:rFonts w:cs="Arial"/>
                <w:i/>
                <w:sz w:val="22"/>
                <w:szCs w:val="22"/>
              </w:rPr>
              <w:t>not</w:t>
            </w:r>
            <w:r w:rsidRPr="001E6C98">
              <w:rPr>
                <w:rFonts w:cs="Arial"/>
                <w:sz w:val="22"/>
                <w:szCs w:val="22"/>
              </w:rPr>
              <w:t xml:space="preserve"> non-designated hedges). Borrowings should also include balances owed to other group members.</w:t>
            </w:r>
          </w:p>
          <w:p w14:paraId="16B4177E" w14:textId="77777777" w:rsidR="00010038" w:rsidRPr="001E6C98" w:rsidRDefault="00010038" w:rsidP="00D64792">
            <w:pPr>
              <w:pStyle w:val="StdBodyText"/>
              <w:rPr>
                <w:rFonts w:cs="Arial"/>
                <w:sz w:val="22"/>
                <w:szCs w:val="22"/>
              </w:rPr>
            </w:pPr>
            <w:r w:rsidRPr="001E6C98">
              <w:rPr>
                <w:rFonts w:cs="Arial"/>
                <w:sz w:val="22"/>
                <w:szCs w:val="22"/>
              </w:rPr>
              <w:t>Deferred consideration payable should be included in Net Debt despite typically being non-interest bearing.</w:t>
            </w:r>
          </w:p>
          <w:p w14:paraId="15F6084E" w14:textId="77777777" w:rsidR="00010038" w:rsidRPr="001E6C98" w:rsidRDefault="00010038" w:rsidP="00D64792">
            <w:pPr>
              <w:pStyle w:val="StdBodyText"/>
              <w:rPr>
                <w:rFonts w:cs="Arial"/>
                <w:sz w:val="22"/>
                <w:szCs w:val="22"/>
              </w:rPr>
            </w:pPr>
            <w:r w:rsidRPr="001E6C98">
              <w:rPr>
                <w:rFonts w:cs="Arial"/>
                <w:sz w:val="22"/>
                <w:szCs w:val="22"/>
              </w:rPr>
              <w:t>Cash and cash equivalents should include short-term financial investments shown in current assets.</w:t>
            </w:r>
          </w:p>
          <w:p w14:paraId="1AA94F69" w14:textId="77777777" w:rsidR="00010038" w:rsidRPr="001E6C98" w:rsidRDefault="00010038" w:rsidP="00D64792">
            <w:pPr>
              <w:pStyle w:val="StdBodyText"/>
              <w:rPr>
                <w:rFonts w:cs="Arial"/>
                <w:sz w:val="22"/>
                <w:szCs w:val="22"/>
              </w:rPr>
            </w:pPr>
            <w:r w:rsidRPr="001E6C98">
              <w:rPr>
                <w:rFonts w:cs="Arial"/>
                <w:i/>
                <w:sz w:val="22"/>
                <w:szCs w:val="22"/>
                <w:u w:val="single"/>
              </w:rPr>
              <w:t>Net Pension Deficit</w:t>
            </w:r>
            <w:r w:rsidRPr="001E6C98">
              <w:rPr>
                <w:rFonts w:cs="Arial"/>
                <w:sz w:val="22"/>
                <w:szCs w:val="22"/>
              </w:rPr>
              <w:t xml:space="preserve">: Retirement Benefit Obligations and Retirement Benefit Assets may be shown on the face of the Balance Sheet or in the notes to the financial statements. They may also be described as pension benefits / obligations, post-employment obligations or other similar terms. </w:t>
            </w:r>
          </w:p>
          <w:p w14:paraId="6C583606" w14:textId="77777777" w:rsidR="00010038" w:rsidRPr="001E6C98" w:rsidRDefault="00010038" w:rsidP="00D64792">
            <w:pPr>
              <w:pStyle w:val="StdBodyText"/>
              <w:rPr>
                <w:rFonts w:cs="Arial"/>
                <w:sz w:val="22"/>
                <w:szCs w:val="22"/>
              </w:rPr>
            </w:pPr>
            <w:r w:rsidRPr="001E6C98">
              <w:rPr>
                <w:rFonts w:cs="Arial"/>
                <w:sz w:val="22"/>
                <w:szCs w:val="22"/>
              </w:rPr>
              <w:lastRenderedPageBreak/>
              <w:t>Where ‘Net Debt + Net Pension Deficit’ is negative, the relevant Financial Target Threshold should be treated as having been met.</w:t>
            </w:r>
          </w:p>
          <w:p w14:paraId="0F1D7DF1" w14:textId="77777777" w:rsidR="00010038" w:rsidRPr="001E6C98" w:rsidRDefault="00010038" w:rsidP="00D64792">
            <w:pPr>
              <w:pStyle w:val="StdBodyText"/>
              <w:rPr>
                <w:rFonts w:cs="Arial"/>
                <w:sz w:val="22"/>
                <w:szCs w:val="22"/>
              </w:rPr>
            </w:pPr>
            <w:r w:rsidRPr="001E6C98">
              <w:rPr>
                <w:rFonts w:cs="Arial"/>
                <w:i/>
                <w:sz w:val="22"/>
                <w:szCs w:val="22"/>
                <w:u w:val="single"/>
              </w:rPr>
              <w:t>EBITDA</w:t>
            </w:r>
            <w:r w:rsidRPr="001E6C98">
              <w:rPr>
                <w:rFonts w:cs="Arial"/>
                <w:sz w:val="22"/>
                <w:szCs w:val="22"/>
              </w:rPr>
              <w:t>: Operating profit should be shown on the face of the Income Statement and, for the purposes of calculating this Financial Indicator, should include the entity’s share of the results of any joint ventures or Associates.</w:t>
            </w:r>
          </w:p>
          <w:p w14:paraId="79754078" w14:textId="77777777" w:rsidR="00010038" w:rsidRPr="001E6C98" w:rsidRDefault="00010038" w:rsidP="00D64792">
            <w:pPr>
              <w:pStyle w:val="StdBodyText"/>
              <w:rPr>
                <w:rFonts w:cs="Arial"/>
                <w:sz w:val="22"/>
                <w:szCs w:val="22"/>
              </w:rPr>
            </w:pPr>
            <w:r w:rsidRPr="001E6C98">
              <w:rPr>
                <w:rFonts w:cs="Arial"/>
                <w:sz w:val="22"/>
                <w:szCs w:val="22"/>
              </w:rPr>
              <w:t xml:space="preserve">The depreciation and amortisation charges for the period may be found on the face of the </w:t>
            </w:r>
            <w:bookmarkStart w:id="4058" w:name="_9kMHG5YVt4CE9FHdcrsxrsuACzOE19XWCOTMMHE"/>
            <w:r w:rsidRPr="001E6C98">
              <w:rPr>
                <w:rFonts w:cs="Arial"/>
                <w:sz w:val="22"/>
                <w:szCs w:val="22"/>
              </w:rPr>
              <w:t>Statement of Cash Flows or in a Note to the Accounts</w:t>
            </w:r>
            <w:bookmarkEnd w:id="4058"/>
            <w:r w:rsidRPr="001E6C98">
              <w:rPr>
                <w:rFonts w:cs="Arial"/>
                <w:sz w:val="22"/>
                <w:szCs w:val="22"/>
              </w:rPr>
              <w:t xml:space="preserve">. </w:t>
            </w:r>
          </w:p>
          <w:p w14:paraId="22372518" w14:textId="43E878DB" w:rsidR="00010038" w:rsidRPr="001E6C98" w:rsidRDefault="00010038" w:rsidP="00D64792">
            <w:pPr>
              <w:pStyle w:val="StdBodyText"/>
              <w:rPr>
                <w:rFonts w:cs="Arial"/>
                <w:sz w:val="22"/>
                <w:szCs w:val="22"/>
              </w:rPr>
            </w:pPr>
            <w:r w:rsidRPr="001E6C98">
              <w:rPr>
                <w:rFonts w:cs="Arial"/>
                <w:sz w:val="22"/>
                <w:szCs w:val="22"/>
              </w:rPr>
              <w:t>Where EBITDA is negative, the relevant Financial Target Threshold should be treated as not having been met (unless ‘Net Debt + Net Pension Deficit’ is also negative, in which case the relevant Financial Target Threshold should be regarded as having been met).</w:t>
            </w:r>
          </w:p>
        </w:tc>
      </w:tr>
      <w:tr w:rsidR="00010038" w:rsidRPr="00010038" w14:paraId="1780F384" w14:textId="77777777" w:rsidTr="00D64792">
        <w:tc>
          <w:tcPr>
            <w:tcW w:w="2547" w:type="dxa"/>
            <w:vAlign w:val="center"/>
          </w:tcPr>
          <w:p w14:paraId="0E34C72E" w14:textId="77777777" w:rsidR="00010038" w:rsidRPr="001E6C98" w:rsidRDefault="00010038" w:rsidP="00D64792">
            <w:pPr>
              <w:pStyle w:val="StdBodyTextBold"/>
              <w:keepNext/>
              <w:rPr>
                <w:rFonts w:cs="Arial"/>
                <w:sz w:val="22"/>
                <w:szCs w:val="22"/>
              </w:rPr>
            </w:pPr>
            <w:r w:rsidRPr="001E6C98">
              <w:rPr>
                <w:rFonts w:cs="Arial"/>
                <w:sz w:val="22"/>
                <w:szCs w:val="22"/>
              </w:rPr>
              <w:lastRenderedPageBreak/>
              <w:t>4</w:t>
            </w:r>
          </w:p>
          <w:p w14:paraId="19C9D926" w14:textId="3E640F83" w:rsidR="00010038" w:rsidRPr="001E6C98" w:rsidRDefault="00010038" w:rsidP="00D64792">
            <w:pPr>
              <w:pStyle w:val="StdBodyTextBold"/>
              <w:rPr>
                <w:rFonts w:cs="Arial"/>
                <w:sz w:val="22"/>
                <w:szCs w:val="22"/>
              </w:rPr>
            </w:pPr>
            <w:r w:rsidRPr="001E6C98">
              <w:rPr>
                <w:rFonts w:cs="Arial"/>
                <w:sz w:val="22"/>
                <w:szCs w:val="22"/>
              </w:rPr>
              <w:t>Net Interest Paid Cover</w:t>
            </w:r>
          </w:p>
        </w:tc>
        <w:tc>
          <w:tcPr>
            <w:tcW w:w="6516" w:type="dxa"/>
          </w:tcPr>
          <w:p w14:paraId="6F9C4B70" w14:textId="1FB3E6F0" w:rsidR="00010038" w:rsidRPr="001E6C98" w:rsidRDefault="00010038" w:rsidP="00D64792">
            <w:pPr>
              <w:pStyle w:val="StdBodyText"/>
              <w:rPr>
                <w:rFonts w:cs="Arial"/>
                <w:i/>
                <w:sz w:val="22"/>
                <w:szCs w:val="22"/>
              </w:rPr>
            </w:pPr>
            <w:r w:rsidRPr="001E6C98">
              <w:rPr>
                <w:rFonts w:cs="Arial"/>
                <w:i/>
                <w:sz w:val="22"/>
                <w:szCs w:val="22"/>
              </w:rPr>
              <w:t>“</w:t>
            </w:r>
            <w:r w:rsidRPr="001E6C98">
              <w:rPr>
                <w:rStyle w:val="StdBodyTextBoldChar"/>
                <w:rFonts w:cs="Arial"/>
                <w:i/>
                <w:sz w:val="22"/>
                <w:szCs w:val="22"/>
              </w:rPr>
              <w:t>Earnings Before Interest and Tax</w:t>
            </w:r>
            <w:r w:rsidRPr="001E6C98">
              <w:rPr>
                <w:rFonts w:cs="Arial"/>
                <w:i/>
                <w:sz w:val="22"/>
                <w:szCs w:val="22"/>
              </w:rPr>
              <w:t>” = Operating profit</w:t>
            </w:r>
          </w:p>
          <w:p w14:paraId="5A06F036" w14:textId="77777777" w:rsidR="00010038" w:rsidRPr="001E6C98" w:rsidRDefault="00010038" w:rsidP="00D64792">
            <w:pPr>
              <w:pStyle w:val="StdBodyText"/>
              <w:rPr>
                <w:rFonts w:cs="Arial"/>
                <w:i/>
                <w:sz w:val="22"/>
                <w:szCs w:val="22"/>
              </w:rPr>
            </w:pPr>
            <w:r w:rsidRPr="001E6C98">
              <w:rPr>
                <w:rFonts w:cs="Arial"/>
                <w:i/>
                <w:sz w:val="22"/>
                <w:szCs w:val="22"/>
              </w:rPr>
              <w:t>“</w:t>
            </w:r>
            <w:r w:rsidRPr="001E6C98">
              <w:rPr>
                <w:rStyle w:val="StdBodyTextBoldChar"/>
                <w:rFonts w:cs="Arial"/>
                <w:i/>
                <w:sz w:val="22"/>
                <w:szCs w:val="22"/>
              </w:rPr>
              <w:t>Net Interest Paid</w:t>
            </w:r>
            <w:r w:rsidRPr="001E6C98">
              <w:rPr>
                <w:rFonts w:cs="Arial"/>
                <w:i/>
                <w:sz w:val="22"/>
                <w:szCs w:val="22"/>
              </w:rPr>
              <w:t>” = Interest paid – Interest received</w:t>
            </w:r>
          </w:p>
          <w:p w14:paraId="573A3071" w14:textId="77777777" w:rsidR="00010038" w:rsidRPr="001E6C98" w:rsidRDefault="00010038" w:rsidP="00D64792">
            <w:pPr>
              <w:pStyle w:val="StdBodyText"/>
              <w:rPr>
                <w:rFonts w:cs="Arial"/>
                <w:sz w:val="22"/>
                <w:szCs w:val="22"/>
              </w:rPr>
            </w:pPr>
            <w:r w:rsidRPr="001E6C98">
              <w:rPr>
                <w:rFonts w:cs="Arial"/>
                <w:sz w:val="22"/>
                <w:szCs w:val="22"/>
              </w:rPr>
              <w:t>Operating profit should be shown on the face of the Income Statement in a standard set of financial statements and, for the purposes of calculating this Financial Indicator, should include the entity’s share of the results of any joint ventures or Associates.</w:t>
            </w:r>
          </w:p>
          <w:p w14:paraId="6E613D4F" w14:textId="77777777" w:rsidR="00010038" w:rsidRPr="001E6C98" w:rsidRDefault="00010038" w:rsidP="00D64792">
            <w:pPr>
              <w:pStyle w:val="StdBodyText"/>
              <w:rPr>
                <w:rFonts w:cs="Arial"/>
                <w:sz w:val="22"/>
                <w:szCs w:val="22"/>
              </w:rPr>
            </w:pPr>
            <w:r w:rsidRPr="001E6C98">
              <w:rPr>
                <w:rFonts w:cs="Arial"/>
                <w:sz w:val="22"/>
                <w:szCs w:val="22"/>
              </w:rPr>
              <w:t>Interest received and interest paid should be shown on the face of the Cash Flow statement.</w:t>
            </w:r>
          </w:p>
          <w:p w14:paraId="2379ECDF" w14:textId="53AF5091" w:rsidR="00010038" w:rsidRPr="001E6C98" w:rsidRDefault="00010038" w:rsidP="00D64792">
            <w:pPr>
              <w:pStyle w:val="StdBodyText"/>
              <w:rPr>
                <w:rFonts w:cs="Arial"/>
                <w:sz w:val="22"/>
                <w:szCs w:val="22"/>
              </w:rPr>
            </w:pPr>
            <w:r w:rsidRPr="001E6C98">
              <w:rPr>
                <w:rFonts w:cs="Arial"/>
                <w:sz w:val="22"/>
                <w:szCs w:val="22"/>
              </w:rPr>
              <w:t>Where Net interest paid is negative (i.e. the entity has net interest received), the relevant Financial Target Threshold should be treated as having been met.</w:t>
            </w:r>
          </w:p>
        </w:tc>
      </w:tr>
      <w:tr w:rsidR="00010038" w:rsidRPr="00010038" w14:paraId="1467F6FF" w14:textId="77777777" w:rsidTr="00D64792">
        <w:tc>
          <w:tcPr>
            <w:tcW w:w="2547" w:type="dxa"/>
            <w:vAlign w:val="center"/>
          </w:tcPr>
          <w:p w14:paraId="490AD3E3" w14:textId="77777777" w:rsidR="00010038" w:rsidRPr="001E6C98" w:rsidRDefault="00010038" w:rsidP="00D64792">
            <w:pPr>
              <w:pStyle w:val="StdBodyTextBold"/>
              <w:rPr>
                <w:rFonts w:cs="Arial"/>
                <w:sz w:val="22"/>
                <w:szCs w:val="22"/>
              </w:rPr>
            </w:pPr>
            <w:r w:rsidRPr="001E6C98">
              <w:rPr>
                <w:rFonts w:cs="Arial"/>
                <w:sz w:val="22"/>
                <w:szCs w:val="22"/>
              </w:rPr>
              <w:t>5</w:t>
            </w:r>
          </w:p>
          <w:p w14:paraId="3F6F8980" w14:textId="69D17F78" w:rsidR="00010038" w:rsidRPr="001E6C98" w:rsidRDefault="00010038" w:rsidP="00D64792">
            <w:pPr>
              <w:pStyle w:val="StdBodyTextBold"/>
              <w:rPr>
                <w:rFonts w:cs="Arial"/>
                <w:sz w:val="22"/>
                <w:szCs w:val="22"/>
              </w:rPr>
            </w:pPr>
            <w:r w:rsidRPr="001E6C98">
              <w:rPr>
                <w:rFonts w:cs="Arial"/>
                <w:sz w:val="22"/>
                <w:szCs w:val="22"/>
              </w:rPr>
              <w:t>Acid Ratio</w:t>
            </w:r>
          </w:p>
        </w:tc>
        <w:tc>
          <w:tcPr>
            <w:tcW w:w="6516" w:type="dxa"/>
          </w:tcPr>
          <w:p w14:paraId="34FACBC4" w14:textId="0EDA5633" w:rsidR="00010038" w:rsidRPr="001E6C98" w:rsidRDefault="00010038" w:rsidP="00D64792">
            <w:pPr>
              <w:pStyle w:val="StdBodyText"/>
              <w:rPr>
                <w:rFonts w:cs="Arial"/>
                <w:sz w:val="22"/>
                <w:szCs w:val="22"/>
              </w:rPr>
            </w:pPr>
            <w:r w:rsidRPr="001E6C98">
              <w:rPr>
                <w:rFonts w:cs="Arial"/>
                <w:sz w:val="22"/>
                <w:szCs w:val="22"/>
              </w:rPr>
              <w:t>All elements that are used to calculate the Acid Ratio are available on the face of the Balance Sheet in a standard set of financial statements.</w:t>
            </w:r>
          </w:p>
        </w:tc>
      </w:tr>
      <w:tr w:rsidR="00010038" w:rsidRPr="00010038" w14:paraId="50195562" w14:textId="77777777" w:rsidTr="00D64792">
        <w:tc>
          <w:tcPr>
            <w:tcW w:w="2547" w:type="dxa"/>
            <w:vAlign w:val="center"/>
          </w:tcPr>
          <w:p w14:paraId="737B517A" w14:textId="77777777" w:rsidR="00010038" w:rsidRPr="001E6C98" w:rsidRDefault="00010038" w:rsidP="00D64792">
            <w:pPr>
              <w:pStyle w:val="StdBodyTextBold"/>
              <w:rPr>
                <w:rFonts w:cs="Arial"/>
                <w:sz w:val="22"/>
                <w:szCs w:val="22"/>
              </w:rPr>
            </w:pPr>
            <w:r w:rsidRPr="001E6C98">
              <w:rPr>
                <w:rFonts w:cs="Arial"/>
                <w:sz w:val="22"/>
                <w:szCs w:val="22"/>
              </w:rPr>
              <w:t>6</w:t>
            </w:r>
          </w:p>
          <w:p w14:paraId="5CF1A20A" w14:textId="7D27221E" w:rsidR="00010038" w:rsidRPr="001E6C98" w:rsidRDefault="00010038" w:rsidP="00D64792">
            <w:pPr>
              <w:pStyle w:val="StdBodyTextBold"/>
              <w:rPr>
                <w:rFonts w:cs="Arial"/>
                <w:sz w:val="22"/>
                <w:szCs w:val="22"/>
              </w:rPr>
            </w:pPr>
            <w:r w:rsidRPr="001E6C98">
              <w:rPr>
                <w:rFonts w:cs="Arial"/>
                <w:sz w:val="22"/>
                <w:szCs w:val="22"/>
              </w:rPr>
              <w:t>Net Asset value</w:t>
            </w:r>
          </w:p>
        </w:tc>
        <w:tc>
          <w:tcPr>
            <w:tcW w:w="6516" w:type="dxa"/>
          </w:tcPr>
          <w:p w14:paraId="3CE2490D" w14:textId="0BE930ED" w:rsidR="00010038" w:rsidRPr="001E6C98" w:rsidRDefault="00010038" w:rsidP="00D64792">
            <w:pPr>
              <w:pStyle w:val="StdBodyText"/>
              <w:rPr>
                <w:rFonts w:cs="Arial"/>
                <w:sz w:val="22"/>
                <w:szCs w:val="22"/>
              </w:rPr>
            </w:pPr>
            <w:r w:rsidRPr="001E6C98">
              <w:rPr>
                <w:rFonts w:cs="Arial"/>
                <w:sz w:val="22"/>
                <w:szCs w:val="22"/>
              </w:rPr>
              <w:t>Net Assets are shown (but sometimes not labelled) on the face of the Balance Sheet of a standard set of financial statements. Net Assets are sometimes called net worth or ‘Shareholders’ Funds’. They represent the net assets available to the shareholders. Where an entity has a majority interest in another entity in which there are also minority or non-controlling interests (i.e. where it has a subsidiary partially owned by outside investors), Net Assets should be taken inclusive of minority or non-controlling interests (as if the entity owned 100% of such entity).</w:t>
            </w:r>
          </w:p>
        </w:tc>
      </w:tr>
      <w:tr w:rsidR="00010038" w:rsidRPr="00010038" w14:paraId="541C5263" w14:textId="77777777" w:rsidTr="00D64792">
        <w:tc>
          <w:tcPr>
            <w:tcW w:w="2547" w:type="dxa"/>
            <w:vAlign w:val="center"/>
          </w:tcPr>
          <w:p w14:paraId="76ED6C63" w14:textId="77777777" w:rsidR="00010038" w:rsidRPr="001E6C98" w:rsidRDefault="00010038" w:rsidP="00D64792">
            <w:pPr>
              <w:pStyle w:val="StdBodyTextBold"/>
              <w:rPr>
                <w:rFonts w:cs="Arial"/>
                <w:sz w:val="22"/>
                <w:szCs w:val="22"/>
              </w:rPr>
            </w:pPr>
            <w:r w:rsidRPr="001E6C98">
              <w:rPr>
                <w:rFonts w:cs="Arial"/>
                <w:sz w:val="22"/>
                <w:szCs w:val="22"/>
              </w:rPr>
              <w:t>7</w:t>
            </w:r>
          </w:p>
          <w:p w14:paraId="0D63FF5D" w14:textId="747D3969" w:rsidR="00010038" w:rsidRPr="001E6C98" w:rsidRDefault="00010038" w:rsidP="00D64792">
            <w:pPr>
              <w:pStyle w:val="StdBodyTextBold"/>
              <w:rPr>
                <w:rFonts w:cs="Arial"/>
                <w:sz w:val="22"/>
                <w:szCs w:val="22"/>
              </w:rPr>
            </w:pPr>
            <w:r w:rsidRPr="001E6C98">
              <w:rPr>
                <w:rFonts w:cs="Arial"/>
                <w:sz w:val="22"/>
                <w:szCs w:val="22"/>
              </w:rPr>
              <w:t>Group Exposure Ratio</w:t>
            </w:r>
          </w:p>
        </w:tc>
        <w:tc>
          <w:tcPr>
            <w:tcW w:w="6516" w:type="dxa"/>
          </w:tcPr>
          <w:p w14:paraId="50484DC1" w14:textId="03106656" w:rsidR="00010038" w:rsidRPr="001E6C98" w:rsidRDefault="00010038" w:rsidP="00D64792">
            <w:pPr>
              <w:pStyle w:val="StdBodyText"/>
              <w:rPr>
                <w:rFonts w:cs="Arial"/>
                <w:i/>
                <w:sz w:val="22"/>
                <w:szCs w:val="22"/>
              </w:rPr>
            </w:pPr>
            <w:r w:rsidRPr="001E6C98">
              <w:rPr>
                <w:rFonts w:cs="Arial"/>
                <w:i/>
                <w:sz w:val="22"/>
                <w:szCs w:val="22"/>
              </w:rPr>
              <w:t>“</w:t>
            </w:r>
            <w:r w:rsidRPr="001E6C98">
              <w:rPr>
                <w:rStyle w:val="StdBodyTextBoldChar"/>
                <w:rFonts w:cs="Arial"/>
                <w:i/>
                <w:sz w:val="22"/>
                <w:szCs w:val="22"/>
              </w:rPr>
              <w:t>Group Exposure</w:t>
            </w:r>
            <w:r w:rsidRPr="001E6C98">
              <w:rPr>
                <w:rFonts w:cs="Arial"/>
                <w:i/>
                <w:sz w:val="22"/>
                <w:szCs w:val="22"/>
              </w:rPr>
              <w:t>” = Balances owed by Group Undertakings + Contingent liabilities assumed in support of Group Undertakings</w:t>
            </w:r>
          </w:p>
          <w:p w14:paraId="00DBBD15" w14:textId="77777777" w:rsidR="00010038" w:rsidRPr="001E6C98" w:rsidRDefault="00010038" w:rsidP="00D64792">
            <w:pPr>
              <w:pStyle w:val="StdBodyText"/>
              <w:rPr>
                <w:rFonts w:cs="Arial"/>
                <w:i/>
                <w:sz w:val="22"/>
                <w:szCs w:val="22"/>
              </w:rPr>
            </w:pPr>
            <w:r w:rsidRPr="001E6C98">
              <w:rPr>
                <w:rFonts w:cs="Arial"/>
                <w:i/>
                <w:sz w:val="22"/>
                <w:szCs w:val="22"/>
              </w:rPr>
              <w:t>“</w:t>
            </w:r>
            <w:r w:rsidRPr="001E6C98">
              <w:rPr>
                <w:rStyle w:val="StdBodyTextBoldChar"/>
                <w:rFonts w:cs="Arial"/>
                <w:i/>
                <w:sz w:val="22"/>
                <w:szCs w:val="22"/>
              </w:rPr>
              <w:t>Gross Assets</w:t>
            </w:r>
            <w:r w:rsidRPr="001E6C98">
              <w:rPr>
                <w:rFonts w:cs="Arial"/>
                <w:i/>
                <w:sz w:val="22"/>
                <w:szCs w:val="22"/>
              </w:rPr>
              <w:t>” = Fixed Assets + Current Assets</w:t>
            </w:r>
          </w:p>
          <w:p w14:paraId="08F18B8D" w14:textId="77777777" w:rsidR="00010038" w:rsidRPr="001E6C98" w:rsidRDefault="00010038" w:rsidP="00D64792">
            <w:pPr>
              <w:pStyle w:val="StdBodyText"/>
              <w:rPr>
                <w:rFonts w:cs="Arial"/>
                <w:sz w:val="22"/>
                <w:szCs w:val="22"/>
              </w:rPr>
            </w:pPr>
            <w:r w:rsidRPr="001E6C98">
              <w:rPr>
                <w:rFonts w:cs="Arial"/>
                <w:i/>
                <w:sz w:val="22"/>
                <w:szCs w:val="22"/>
                <w:u w:val="single"/>
              </w:rPr>
              <w:t>Group Exposure</w:t>
            </w:r>
            <w:r w:rsidRPr="001E6C98">
              <w:rPr>
                <w:rFonts w:cs="Arial"/>
                <w:sz w:val="22"/>
                <w:szCs w:val="22"/>
              </w:rPr>
              <w:t xml:space="preserve">:  Balances owed by (i.e. receivable from) Group Undertakings are shown within Fixed assets or Current assets either on the face of the Balance Sheet or in the relevant notes to </w:t>
            </w:r>
            <w:r w:rsidRPr="001E6C98">
              <w:rPr>
                <w:rFonts w:cs="Arial"/>
                <w:sz w:val="22"/>
                <w:szCs w:val="22"/>
              </w:rPr>
              <w:lastRenderedPageBreak/>
              <w:t>the financial statements. In many cases there may be no such balances, in particular where an entity is not a member of a group or is itself the ultimate holding company of the group.</w:t>
            </w:r>
          </w:p>
          <w:p w14:paraId="35834730" w14:textId="77777777" w:rsidR="00010038" w:rsidRPr="001E6C98" w:rsidRDefault="00010038" w:rsidP="00D64792">
            <w:pPr>
              <w:pStyle w:val="StdBodyText"/>
              <w:rPr>
                <w:rFonts w:cs="Arial"/>
                <w:sz w:val="22"/>
                <w:szCs w:val="22"/>
              </w:rPr>
            </w:pPr>
            <w:r w:rsidRPr="001E6C98">
              <w:rPr>
                <w:rFonts w:cs="Arial"/>
                <w:sz w:val="22"/>
                <w:szCs w:val="22"/>
              </w:rPr>
              <w:t>Contingent liabilities assumed in support of Group Undertakings are shown in the Contingent Liabilities note in a standard set of financial statements. They include guarantees and security given in support of the borrowings of other group companies, often as part of group borrowing arrangements. Where the contingent liabilities are capped, the capped figure should be taken as their value. Where no cap or maximum is specified, the relevant Financial Target Threshold should automatically be regarded as not having been met.</w:t>
            </w:r>
          </w:p>
          <w:p w14:paraId="084ECCCD" w14:textId="77777777" w:rsidR="00010038" w:rsidRPr="001E6C98" w:rsidRDefault="00010038" w:rsidP="00D64792">
            <w:pPr>
              <w:pStyle w:val="StdBodyText"/>
              <w:rPr>
                <w:rFonts w:cs="Arial"/>
                <w:sz w:val="22"/>
                <w:szCs w:val="22"/>
              </w:rPr>
            </w:pPr>
            <w:r w:rsidRPr="001E6C98">
              <w:rPr>
                <w:rFonts w:cs="Arial"/>
                <w:sz w:val="22"/>
                <w:szCs w:val="22"/>
              </w:rPr>
              <w:t>In many cases an entity may not have assumed any contingent liabilities in support of Group Undertakings, in particular where an entity is not a member of a group or is itself the ultimate holding company of the group.</w:t>
            </w:r>
          </w:p>
          <w:p w14:paraId="521393DC" w14:textId="2732A804" w:rsidR="00010038" w:rsidRPr="001E6C98" w:rsidRDefault="00010038" w:rsidP="00D64792">
            <w:pPr>
              <w:pStyle w:val="StdBodyText"/>
              <w:rPr>
                <w:rFonts w:cs="Arial"/>
                <w:sz w:val="22"/>
                <w:szCs w:val="22"/>
              </w:rPr>
            </w:pPr>
            <w:r w:rsidRPr="001E6C98">
              <w:rPr>
                <w:rFonts w:cs="Arial"/>
                <w:i/>
                <w:sz w:val="22"/>
                <w:szCs w:val="22"/>
                <w:u w:val="single"/>
              </w:rPr>
              <w:t>Gross Assets</w:t>
            </w:r>
            <w:r w:rsidRPr="001E6C98">
              <w:rPr>
                <w:rFonts w:cs="Arial"/>
                <w:sz w:val="22"/>
                <w:szCs w:val="22"/>
              </w:rPr>
              <w:t>: Both Fixed assets and Current assets are shown on the face of the Balance Sheet</w:t>
            </w:r>
          </w:p>
        </w:tc>
      </w:tr>
      <w:tr w:rsidR="00010038" w:rsidRPr="00010038" w14:paraId="42F4D318" w14:textId="77777777" w:rsidTr="00D64792">
        <w:tc>
          <w:tcPr>
            <w:tcW w:w="2547" w:type="dxa"/>
            <w:vAlign w:val="center"/>
          </w:tcPr>
          <w:p w14:paraId="30738B96" w14:textId="0C733AA5" w:rsidR="00010038" w:rsidRPr="00010038" w:rsidRDefault="00627083" w:rsidP="00D64792">
            <w:pPr>
              <w:pStyle w:val="StdBodyTextBold"/>
              <w:rPr>
                <w:rFonts w:cs="Arial"/>
                <w:sz w:val="22"/>
                <w:szCs w:val="22"/>
              </w:rPr>
            </w:pPr>
            <w:r>
              <w:rPr>
                <w:rFonts w:cs="Arial"/>
                <w:sz w:val="22"/>
                <w:szCs w:val="22"/>
              </w:rPr>
              <w:lastRenderedPageBreak/>
              <w:t>Turnover ratio</w:t>
            </w:r>
          </w:p>
        </w:tc>
        <w:tc>
          <w:tcPr>
            <w:tcW w:w="6516" w:type="dxa"/>
          </w:tcPr>
          <w:p w14:paraId="5BBED4C1" w14:textId="3B9D7694" w:rsidR="00010038" w:rsidRPr="00010038" w:rsidRDefault="00627083" w:rsidP="00D64792">
            <w:pPr>
              <w:pStyle w:val="StdBodyText"/>
              <w:rPr>
                <w:rFonts w:cs="Arial"/>
                <w:i/>
                <w:sz w:val="22"/>
                <w:szCs w:val="22"/>
                <w:highlight w:val="yellow"/>
                <w:u w:val="single"/>
              </w:rPr>
            </w:pPr>
            <w:r>
              <w:t xml:space="preserve">Turnover Ratio = Bidder Annual Revenue / Expected Annual Contract Value Definition Revenue should be shown on the face of the Income Statement in a standard set of financial statements. It should exclude the entity’s share of the revenue of joint ventures or associates. </w:t>
            </w:r>
          </w:p>
        </w:tc>
      </w:tr>
    </w:tbl>
    <w:p w14:paraId="45531789" w14:textId="77777777" w:rsidR="00010038" w:rsidRPr="00010038" w:rsidRDefault="00010038" w:rsidP="00010038">
      <w:pPr>
        <w:pStyle w:val="StdBodyText"/>
        <w:rPr>
          <w:rFonts w:cs="Arial"/>
          <w:sz w:val="22"/>
          <w:szCs w:val="22"/>
        </w:rPr>
        <w:sectPr w:rsidR="00010038" w:rsidRPr="00010038" w:rsidSect="00D64792">
          <w:footerReference w:type="default" r:id="rId79"/>
          <w:pgSz w:w="11909" w:h="16834"/>
          <w:pgMar w:top="1418" w:right="1418" w:bottom="1418" w:left="1418" w:header="709" w:footer="709" w:gutter="0"/>
          <w:paperSrc w:first="265" w:other="265"/>
          <w:cols w:space="720"/>
          <w:docGrid w:linePitch="326"/>
        </w:sectPr>
      </w:pPr>
    </w:p>
    <w:p w14:paraId="1FBAB81D" w14:textId="1892771E" w:rsidR="00010038" w:rsidRPr="00010038" w:rsidRDefault="00010038" w:rsidP="00010038">
      <w:pPr>
        <w:pStyle w:val="Heading2"/>
        <w:jc w:val="center"/>
        <w:rPr>
          <w:rFonts w:cs="Arial"/>
          <w:sz w:val="22"/>
          <w:szCs w:val="22"/>
        </w:rPr>
      </w:pPr>
      <w:bookmarkStart w:id="4059" w:name="_Ref_ContractCompanion_9kb9Ur6B8"/>
      <w:bookmarkStart w:id="4060" w:name="_Toc132267980"/>
      <w:bookmarkStart w:id="4061" w:name="_Toc132268281"/>
      <w:bookmarkStart w:id="4062" w:name="_Toc132268587"/>
      <w:bookmarkStart w:id="4063" w:name="_Toc136198535"/>
      <w:bookmarkStart w:id="4064" w:name="_Toc136198811"/>
      <w:bookmarkStart w:id="4065" w:name="_Toc136199092"/>
      <w:r w:rsidRPr="00010038">
        <w:rPr>
          <w:rFonts w:cs="Arial"/>
          <w:sz w:val="22"/>
          <w:szCs w:val="22"/>
        </w:rPr>
        <w:lastRenderedPageBreak/>
        <w:t xml:space="preserve">ANNEX </w:t>
      </w:r>
      <w:bookmarkStart w:id="4066" w:name="ANNEX4_SCHEDULE18"/>
      <w:r w:rsidRPr="00010038">
        <w:rPr>
          <w:rFonts w:cs="Arial"/>
          <w:sz w:val="22"/>
          <w:szCs w:val="22"/>
        </w:rPr>
        <w:t>4</w:t>
      </w:r>
      <w:bookmarkEnd w:id="4066"/>
      <w:r w:rsidRPr="00010038">
        <w:rPr>
          <w:rFonts w:cs="Arial"/>
          <w:sz w:val="22"/>
          <w:szCs w:val="22"/>
        </w:rPr>
        <w:t>: BOARD CONFIRMATION</w:t>
      </w:r>
      <w:bookmarkEnd w:id="4059"/>
      <w:bookmarkEnd w:id="4060"/>
      <w:bookmarkEnd w:id="4061"/>
      <w:bookmarkEnd w:id="4062"/>
      <w:bookmarkEnd w:id="4063"/>
      <w:bookmarkEnd w:id="4064"/>
      <w:bookmarkEnd w:id="4065"/>
    </w:p>
    <w:p w14:paraId="5936061A" w14:textId="77777777" w:rsidR="00010038" w:rsidRPr="00010038" w:rsidRDefault="00010038" w:rsidP="00010038">
      <w:pPr>
        <w:pStyle w:val="StdBodyText"/>
        <w:rPr>
          <w:rFonts w:cs="Arial"/>
          <w:sz w:val="22"/>
          <w:szCs w:val="22"/>
        </w:rPr>
      </w:pPr>
    </w:p>
    <w:p w14:paraId="0894FDEC" w14:textId="7A3AEFBF" w:rsidR="00010038" w:rsidRPr="00010038" w:rsidRDefault="00010038" w:rsidP="00010038">
      <w:pPr>
        <w:pStyle w:val="StdBodyTextBold"/>
        <w:rPr>
          <w:rFonts w:cs="Arial"/>
          <w:sz w:val="22"/>
          <w:szCs w:val="22"/>
        </w:rPr>
      </w:pPr>
      <w:r w:rsidRPr="00010038">
        <w:rPr>
          <w:rFonts w:cs="Arial"/>
          <w:sz w:val="22"/>
          <w:szCs w:val="22"/>
        </w:rPr>
        <w:t>Provider Name:</w:t>
      </w:r>
    </w:p>
    <w:p w14:paraId="56DDFE7B" w14:textId="77777777" w:rsidR="00010038" w:rsidRPr="00010038" w:rsidRDefault="00010038" w:rsidP="00010038">
      <w:pPr>
        <w:pStyle w:val="StdBodyTextBold"/>
        <w:rPr>
          <w:rFonts w:cs="Arial"/>
          <w:sz w:val="22"/>
          <w:szCs w:val="22"/>
        </w:rPr>
      </w:pPr>
      <w:r w:rsidRPr="00010038">
        <w:rPr>
          <w:rFonts w:cs="Arial"/>
          <w:sz w:val="22"/>
          <w:szCs w:val="22"/>
        </w:rPr>
        <w:t>Contract Reference Number:</w:t>
      </w:r>
    </w:p>
    <w:p w14:paraId="1D7893EB" w14:textId="77777777" w:rsidR="00010038" w:rsidRPr="00010038" w:rsidRDefault="00010038" w:rsidP="00010038">
      <w:pPr>
        <w:pStyle w:val="StdBodyText"/>
        <w:rPr>
          <w:rFonts w:cs="Arial"/>
          <w:sz w:val="22"/>
          <w:szCs w:val="22"/>
        </w:rPr>
      </w:pPr>
    </w:p>
    <w:p w14:paraId="35CF730A" w14:textId="3C86C4E6" w:rsidR="00010038" w:rsidRPr="00010038" w:rsidRDefault="00010038" w:rsidP="00010038">
      <w:pPr>
        <w:pStyle w:val="StdBodyText1"/>
        <w:rPr>
          <w:rFonts w:cs="Arial"/>
          <w:sz w:val="22"/>
          <w:szCs w:val="22"/>
        </w:rPr>
      </w:pPr>
      <w:r w:rsidRPr="00010038">
        <w:rPr>
          <w:rFonts w:cs="Arial"/>
          <w:sz w:val="22"/>
          <w:szCs w:val="22"/>
        </w:rPr>
        <w:t xml:space="preserve">The Board of Directors acknowledge the requirements set out at </w:t>
      </w:r>
      <w:bookmarkStart w:id="4067" w:name="_9kR3WTr2CC68C1knoewrqyI"/>
      <w:r w:rsidRPr="00010038">
        <w:rPr>
          <w:rFonts w:cs="Arial"/>
          <w:sz w:val="22"/>
          <w:szCs w:val="22"/>
        </w:rPr>
        <w:t xml:space="preserve">paragraph </w:t>
      </w:r>
      <w:r w:rsidRPr="00010038">
        <w:rPr>
          <w:rFonts w:cs="Arial"/>
          <w:sz w:val="22"/>
          <w:szCs w:val="22"/>
        </w:rPr>
        <w:fldChar w:fldCharType="begin"/>
      </w:r>
      <w:r w:rsidRPr="00010038">
        <w:rPr>
          <w:rFonts w:cs="Arial"/>
          <w:sz w:val="22"/>
          <w:szCs w:val="22"/>
        </w:rPr>
        <w:instrText xml:space="preserve"> REF _Ref_ContractCompanion_9kb9Ur246 \w \n \h \t \* MERGEFORMAT </w:instrText>
      </w:r>
      <w:r w:rsidRPr="00010038">
        <w:rPr>
          <w:rFonts w:cs="Arial"/>
          <w:sz w:val="22"/>
          <w:szCs w:val="22"/>
        </w:rPr>
      </w:r>
      <w:r w:rsidRPr="00010038">
        <w:rPr>
          <w:rFonts w:cs="Arial"/>
          <w:sz w:val="22"/>
          <w:szCs w:val="22"/>
        </w:rPr>
        <w:fldChar w:fldCharType="separate"/>
      </w:r>
      <w:r w:rsidR="00C87D85">
        <w:rPr>
          <w:rFonts w:cs="Arial"/>
          <w:sz w:val="22"/>
          <w:szCs w:val="22"/>
        </w:rPr>
        <w:t>8</w:t>
      </w:r>
      <w:r w:rsidRPr="00010038">
        <w:rPr>
          <w:rFonts w:cs="Arial"/>
          <w:sz w:val="22"/>
          <w:szCs w:val="22"/>
        </w:rPr>
        <w:fldChar w:fldCharType="end"/>
      </w:r>
      <w:bookmarkEnd w:id="4067"/>
      <w:r w:rsidRPr="00010038">
        <w:rPr>
          <w:rFonts w:cs="Arial"/>
          <w:sz w:val="22"/>
          <w:szCs w:val="22"/>
        </w:rPr>
        <w:t xml:space="preserve"> of </w:t>
      </w:r>
      <w:r w:rsidR="002C5B87">
        <w:rPr>
          <w:rFonts w:cs="Arial"/>
          <w:sz w:val="22"/>
          <w:szCs w:val="22"/>
        </w:rPr>
        <w:t>Schedule 25 (Financial Distress)</w:t>
      </w:r>
      <w:r w:rsidRPr="00010038">
        <w:rPr>
          <w:rFonts w:cs="Arial"/>
          <w:sz w:val="22"/>
          <w:szCs w:val="22"/>
        </w:rPr>
        <w:t xml:space="preserve"> and confirm that the Provider has exercised due care and diligence and made reasonable enquiry of all relevant Provider Personnel and other persons as is reasonably necessary to enable the Board to prepare this statement.</w:t>
      </w:r>
    </w:p>
    <w:p w14:paraId="727D2A36" w14:textId="77777777" w:rsidR="00010038" w:rsidRPr="00010038" w:rsidRDefault="00010038" w:rsidP="00010038">
      <w:pPr>
        <w:pStyle w:val="StdBodyText1"/>
        <w:rPr>
          <w:rFonts w:cs="Arial"/>
          <w:sz w:val="22"/>
          <w:szCs w:val="22"/>
        </w:rPr>
      </w:pPr>
      <w:r w:rsidRPr="00010038">
        <w:rPr>
          <w:rFonts w:cs="Arial"/>
          <w:sz w:val="22"/>
          <w:szCs w:val="22"/>
        </w:rPr>
        <w:t>The Board of Directors confirms, to the best of its knowledge and belief, that as at the date of this Board Confirmation it is not aware of and has no knowledge:</w:t>
      </w:r>
    </w:p>
    <w:p w14:paraId="46C942D1" w14:textId="77777777" w:rsidR="00010038" w:rsidRPr="00010038" w:rsidRDefault="00010038">
      <w:pPr>
        <w:pStyle w:val="AppendixText4"/>
        <w:rPr>
          <w:rFonts w:cs="Arial"/>
          <w:sz w:val="22"/>
          <w:szCs w:val="22"/>
        </w:rPr>
      </w:pPr>
      <w:r w:rsidRPr="00010038">
        <w:rPr>
          <w:rFonts w:cs="Arial"/>
          <w:sz w:val="22"/>
          <w:szCs w:val="22"/>
        </w:rPr>
        <w:t>that a Financial Distress Event has occurred since the later of the previous Board Confirmation and the Effective Date or is subsisting; or</w:t>
      </w:r>
    </w:p>
    <w:p w14:paraId="321526AA" w14:textId="77777777" w:rsidR="00010038" w:rsidRPr="00010038" w:rsidRDefault="00010038">
      <w:pPr>
        <w:pStyle w:val="AppendixText4"/>
        <w:rPr>
          <w:rFonts w:cs="Arial"/>
          <w:sz w:val="22"/>
          <w:szCs w:val="22"/>
        </w:rPr>
      </w:pPr>
      <w:r w:rsidRPr="00010038">
        <w:rPr>
          <w:rFonts w:cs="Arial"/>
          <w:sz w:val="22"/>
          <w:szCs w:val="22"/>
        </w:rPr>
        <w:t>of any matters which have occurred or are subsisting that could reasonably be expected to cause a Financial Distress Event</w:t>
      </w:r>
    </w:p>
    <w:p w14:paraId="70792052" w14:textId="77777777" w:rsidR="00010038" w:rsidRPr="00010038" w:rsidRDefault="00010038" w:rsidP="00010038">
      <w:pPr>
        <w:pStyle w:val="StdBodyText"/>
        <w:rPr>
          <w:rFonts w:cs="Arial"/>
          <w:sz w:val="22"/>
          <w:szCs w:val="22"/>
        </w:rPr>
      </w:pPr>
    </w:p>
    <w:p w14:paraId="71D9DE73" w14:textId="154B9248" w:rsidR="00010038" w:rsidRPr="00010038" w:rsidRDefault="00010038" w:rsidP="00010038">
      <w:pPr>
        <w:pStyle w:val="StdBodyText1"/>
        <w:rPr>
          <w:rFonts w:cs="Arial"/>
          <w:sz w:val="22"/>
          <w:szCs w:val="22"/>
        </w:rPr>
      </w:pPr>
      <w:r w:rsidRPr="00010038">
        <w:rPr>
          <w:rFonts w:cs="Arial"/>
          <w:sz w:val="22"/>
          <w:szCs w:val="22"/>
        </w:rPr>
        <w:t>On behalf of the Board of Directors:</w:t>
      </w:r>
    </w:p>
    <w:p w14:paraId="4E37DAF0" w14:textId="77777777" w:rsidR="00010038" w:rsidRPr="00010038" w:rsidRDefault="00010038" w:rsidP="00010038">
      <w:pPr>
        <w:pStyle w:val="StdBodyText"/>
        <w:rPr>
          <w:rFonts w:cs="Arial"/>
          <w:sz w:val="22"/>
          <w:szCs w:val="22"/>
        </w:rPr>
      </w:pPr>
    </w:p>
    <w:p w14:paraId="4FD6F816" w14:textId="77777777" w:rsidR="00010038" w:rsidRPr="00010038" w:rsidRDefault="00010038" w:rsidP="00010038">
      <w:pPr>
        <w:pStyle w:val="StdBodyText4"/>
        <w:rPr>
          <w:rFonts w:cs="Arial"/>
          <w:sz w:val="22"/>
          <w:szCs w:val="22"/>
        </w:rPr>
      </w:pPr>
      <w:r w:rsidRPr="00010038">
        <w:rPr>
          <w:rFonts w:cs="Arial"/>
          <w:sz w:val="22"/>
          <w:szCs w:val="22"/>
        </w:rPr>
        <w:t>Chair</w:t>
      </w:r>
      <w:r w:rsidRPr="00010038">
        <w:rPr>
          <w:rFonts w:cs="Arial"/>
          <w:sz w:val="22"/>
          <w:szCs w:val="22"/>
        </w:rPr>
        <w:tab/>
      </w:r>
      <w:r w:rsidRPr="00010038">
        <w:rPr>
          <w:rFonts w:cs="Arial"/>
          <w:sz w:val="22"/>
          <w:szCs w:val="22"/>
        </w:rPr>
        <w:tab/>
        <w:t>…………………………………</w:t>
      </w:r>
    </w:p>
    <w:p w14:paraId="04F8481A" w14:textId="77777777" w:rsidR="00010038" w:rsidRPr="00010038" w:rsidRDefault="00010038" w:rsidP="00010038">
      <w:pPr>
        <w:pStyle w:val="StdBodyText4"/>
        <w:rPr>
          <w:rFonts w:cs="Arial"/>
          <w:sz w:val="22"/>
          <w:szCs w:val="22"/>
        </w:rPr>
      </w:pPr>
      <w:r w:rsidRPr="00010038">
        <w:rPr>
          <w:rFonts w:cs="Arial"/>
          <w:sz w:val="22"/>
          <w:szCs w:val="22"/>
        </w:rPr>
        <w:t>Signed</w:t>
      </w:r>
      <w:r w:rsidRPr="00010038">
        <w:rPr>
          <w:rFonts w:cs="Arial"/>
          <w:sz w:val="22"/>
          <w:szCs w:val="22"/>
        </w:rPr>
        <w:tab/>
      </w:r>
      <w:r w:rsidRPr="00010038">
        <w:rPr>
          <w:rFonts w:cs="Arial"/>
          <w:sz w:val="22"/>
          <w:szCs w:val="22"/>
        </w:rPr>
        <w:tab/>
        <w:t>…………………………………</w:t>
      </w:r>
    </w:p>
    <w:p w14:paraId="43F2B455" w14:textId="77777777" w:rsidR="00010038" w:rsidRPr="00010038" w:rsidRDefault="00010038" w:rsidP="00010038">
      <w:pPr>
        <w:pStyle w:val="StdBodyText4"/>
        <w:rPr>
          <w:rFonts w:cs="Arial"/>
          <w:sz w:val="22"/>
          <w:szCs w:val="22"/>
        </w:rPr>
      </w:pPr>
      <w:r w:rsidRPr="00010038">
        <w:rPr>
          <w:rFonts w:cs="Arial"/>
          <w:sz w:val="22"/>
          <w:szCs w:val="22"/>
        </w:rPr>
        <w:t>Date</w:t>
      </w:r>
      <w:r w:rsidRPr="00010038">
        <w:rPr>
          <w:rFonts w:cs="Arial"/>
          <w:sz w:val="22"/>
          <w:szCs w:val="22"/>
        </w:rPr>
        <w:tab/>
      </w:r>
      <w:r w:rsidRPr="00010038">
        <w:rPr>
          <w:rFonts w:cs="Arial"/>
          <w:sz w:val="22"/>
          <w:szCs w:val="22"/>
        </w:rPr>
        <w:tab/>
        <w:t>…………………………………</w:t>
      </w:r>
    </w:p>
    <w:p w14:paraId="50FD0522" w14:textId="77777777" w:rsidR="00010038" w:rsidRPr="00010038" w:rsidRDefault="00010038" w:rsidP="00010038">
      <w:pPr>
        <w:pStyle w:val="StdBodyText"/>
        <w:rPr>
          <w:rFonts w:cs="Arial"/>
          <w:sz w:val="22"/>
          <w:szCs w:val="22"/>
        </w:rPr>
      </w:pPr>
    </w:p>
    <w:p w14:paraId="15BAC48B" w14:textId="77777777" w:rsidR="00010038" w:rsidRPr="00010038" w:rsidRDefault="00010038" w:rsidP="00010038">
      <w:pPr>
        <w:pStyle w:val="StdBodyText4"/>
        <w:rPr>
          <w:rFonts w:cs="Arial"/>
          <w:sz w:val="22"/>
          <w:szCs w:val="22"/>
        </w:rPr>
      </w:pPr>
      <w:r w:rsidRPr="00010038">
        <w:rPr>
          <w:rFonts w:cs="Arial"/>
          <w:sz w:val="22"/>
          <w:szCs w:val="22"/>
        </w:rPr>
        <w:t>Director</w:t>
      </w:r>
      <w:r w:rsidRPr="00010038">
        <w:rPr>
          <w:rFonts w:cs="Arial"/>
          <w:sz w:val="22"/>
          <w:szCs w:val="22"/>
        </w:rPr>
        <w:tab/>
      </w:r>
      <w:r w:rsidRPr="00010038">
        <w:rPr>
          <w:rFonts w:cs="Arial"/>
          <w:sz w:val="22"/>
          <w:szCs w:val="22"/>
        </w:rPr>
        <w:tab/>
        <w:t>…………………………………</w:t>
      </w:r>
    </w:p>
    <w:p w14:paraId="3912BE25" w14:textId="77777777" w:rsidR="00010038" w:rsidRPr="00010038" w:rsidRDefault="00010038" w:rsidP="00010038">
      <w:pPr>
        <w:pStyle w:val="StdBodyText4"/>
        <w:rPr>
          <w:rFonts w:cs="Arial"/>
          <w:sz w:val="22"/>
          <w:szCs w:val="22"/>
        </w:rPr>
      </w:pPr>
      <w:r w:rsidRPr="00010038">
        <w:rPr>
          <w:rFonts w:cs="Arial"/>
          <w:sz w:val="22"/>
          <w:szCs w:val="22"/>
        </w:rPr>
        <w:t>Signed</w:t>
      </w:r>
      <w:r w:rsidRPr="00010038">
        <w:rPr>
          <w:rFonts w:cs="Arial"/>
          <w:sz w:val="22"/>
          <w:szCs w:val="22"/>
        </w:rPr>
        <w:tab/>
      </w:r>
      <w:r w:rsidRPr="00010038">
        <w:rPr>
          <w:rFonts w:cs="Arial"/>
          <w:sz w:val="22"/>
          <w:szCs w:val="22"/>
        </w:rPr>
        <w:tab/>
        <w:t>…………………………………</w:t>
      </w:r>
    </w:p>
    <w:p w14:paraId="1F156D61" w14:textId="77777777" w:rsidR="00010038" w:rsidRPr="00010038" w:rsidRDefault="00010038" w:rsidP="00010038">
      <w:pPr>
        <w:pStyle w:val="StdBodyText4"/>
        <w:rPr>
          <w:rFonts w:cs="Arial"/>
          <w:sz w:val="22"/>
          <w:szCs w:val="22"/>
        </w:rPr>
      </w:pPr>
      <w:r w:rsidRPr="00010038">
        <w:rPr>
          <w:rFonts w:cs="Arial"/>
          <w:sz w:val="22"/>
          <w:szCs w:val="22"/>
        </w:rPr>
        <w:t>Date</w:t>
      </w:r>
      <w:r w:rsidRPr="00010038">
        <w:rPr>
          <w:rFonts w:cs="Arial"/>
          <w:sz w:val="22"/>
          <w:szCs w:val="22"/>
        </w:rPr>
        <w:tab/>
      </w:r>
      <w:r w:rsidRPr="00010038">
        <w:rPr>
          <w:rFonts w:cs="Arial"/>
          <w:sz w:val="22"/>
          <w:szCs w:val="22"/>
        </w:rPr>
        <w:tab/>
        <w:t>…………………………………</w:t>
      </w:r>
    </w:p>
    <w:p w14:paraId="0C6B8093" w14:textId="77777777" w:rsidR="00EC6321" w:rsidRDefault="004A0DFF" w:rsidP="00010038">
      <w:pPr>
        <w:pStyle w:val="GSRL2Sectionheading"/>
        <w:jc w:val="left"/>
        <w:sectPr w:rsidR="00EC6321" w:rsidSect="004F1C82">
          <w:footerReference w:type="default" r:id="rId80"/>
          <w:pgSz w:w="11900" w:h="16840"/>
          <w:pgMar w:top="1134" w:right="1440" w:bottom="1440" w:left="1440" w:header="1077" w:footer="833" w:gutter="0"/>
          <w:cols w:space="708"/>
        </w:sectPr>
      </w:pPr>
      <w:r>
        <w:t xml:space="preserve"> </w:t>
      </w:r>
    </w:p>
    <w:p w14:paraId="41F1AC81" w14:textId="20EC1CEE" w:rsidR="008E344E" w:rsidRPr="001A1836" w:rsidRDefault="008E344E" w:rsidP="00CF1BDA">
      <w:pPr>
        <w:pStyle w:val="GSRL1Scheduleheader"/>
      </w:pPr>
      <w:bookmarkStart w:id="4068" w:name="_Toc129038406"/>
      <w:bookmarkStart w:id="4069" w:name="_Toc129038692"/>
      <w:bookmarkStart w:id="4070" w:name="_Toc132268282"/>
      <w:bookmarkStart w:id="4071" w:name="_Toc132268588"/>
      <w:bookmarkStart w:id="4072" w:name="_Toc136198812"/>
      <w:bookmarkStart w:id="4073" w:name="_Toc136199093"/>
      <w:bookmarkStart w:id="4074" w:name="_Toc188885272"/>
      <w:r w:rsidRPr="001A1836">
        <w:lastRenderedPageBreak/>
        <w:t>SCHEDULE 2</w:t>
      </w:r>
      <w:r w:rsidR="004A0DFF">
        <w:t>6</w:t>
      </w:r>
      <w:r w:rsidRPr="001A1836">
        <w:t>: Tender</w:t>
      </w:r>
      <w:bookmarkEnd w:id="4068"/>
      <w:bookmarkEnd w:id="4069"/>
      <w:bookmarkEnd w:id="4070"/>
      <w:bookmarkEnd w:id="4071"/>
      <w:bookmarkEnd w:id="4072"/>
      <w:bookmarkEnd w:id="4073"/>
      <w:bookmarkEnd w:id="4074"/>
    </w:p>
    <w:p w14:paraId="6F73B4F7" w14:textId="77777777" w:rsidR="008E344E" w:rsidRPr="001A1836" w:rsidRDefault="008E344E" w:rsidP="00CF1BDA"/>
    <w:p w14:paraId="21A61283" w14:textId="43BAEB2B" w:rsidR="008E344E" w:rsidRPr="001A1836" w:rsidRDefault="008E344E" w:rsidP="00A202C2">
      <w:pPr>
        <w:pStyle w:val="GSRL2Sectionheading"/>
      </w:pPr>
      <w:r w:rsidRPr="001A1836">
        <w:br w:type="page"/>
      </w:r>
      <w:bookmarkStart w:id="4075" w:name="_Toc521327240"/>
      <w:bookmarkStart w:id="4076" w:name="_Toc521497029"/>
      <w:bookmarkStart w:id="4077" w:name="_Toc521498469"/>
      <w:bookmarkStart w:id="4078" w:name="_Toc129038408"/>
      <w:bookmarkStart w:id="4079" w:name="_Toc129038694"/>
      <w:bookmarkStart w:id="4080" w:name="_Toc132265329"/>
      <w:bookmarkStart w:id="4081" w:name="_Toc132268284"/>
      <w:bookmarkStart w:id="4082" w:name="_Toc132268590"/>
      <w:bookmarkStart w:id="4083" w:name="_Toc132268619"/>
      <w:bookmarkStart w:id="4084" w:name="_Toc136198814"/>
      <w:bookmarkStart w:id="4085" w:name="_Toc136199095"/>
      <w:bookmarkStart w:id="4086" w:name="Schedule25"/>
      <w:r w:rsidRPr="001A1836">
        <w:lastRenderedPageBreak/>
        <w:t>Introduction</w:t>
      </w:r>
      <w:bookmarkEnd w:id="4075"/>
      <w:bookmarkEnd w:id="4076"/>
      <w:bookmarkEnd w:id="4077"/>
      <w:bookmarkEnd w:id="4078"/>
      <w:bookmarkEnd w:id="4079"/>
      <w:bookmarkEnd w:id="4080"/>
      <w:bookmarkEnd w:id="4081"/>
      <w:bookmarkEnd w:id="4082"/>
      <w:bookmarkEnd w:id="4083"/>
      <w:bookmarkEnd w:id="4084"/>
      <w:bookmarkEnd w:id="4085"/>
    </w:p>
    <w:p w14:paraId="7B210281" w14:textId="77777777" w:rsidR="008E344E" w:rsidRPr="001A1836" w:rsidRDefault="008E344E" w:rsidP="004E2262">
      <w:pPr>
        <w:pStyle w:val="GSRL3heading"/>
        <w:numPr>
          <w:ilvl w:val="0"/>
          <w:numId w:val="76"/>
        </w:numPr>
      </w:pPr>
      <w:bookmarkStart w:id="4087" w:name="_Toc521327241"/>
      <w:bookmarkStart w:id="4088" w:name="_Toc521333472"/>
      <w:bookmarkStart w:id="4089" w:name="_Toc521484193"/>
      <w:bookmarkStart w:id="4090" w:name="_Toc521484683"/>
      <w:bookmarkStart w:id="4091" w:name="_Toc521484956"/>
      <w:bookmarkStart w:id="4092" w:name="_Toc521485287"/>
      <w:bookmarkStart w:id="4093" w:name="_Toc129038409"/>
      <w:bookmarkStart w:id="4094" w:name="_Toc129038695"/>
      <w:bookmarkStart w:id="4095" w:name="_Toc132265330"/>
      <w:bookmarkStart w:id="4096" w:name="_Toc132268285"/>
      <w:bookmarkStart w:id="4097" w:name="_Toc132268591"/>
      <w:bookmarkStart w:id="4098" w:name="_Toc132268620"/>
      <w:bookmarkStart w:id="4099" w:name="_Toc136198815"/>
      <w:bookmarkStart w:id="4100" w:name="_Toc136199096"/>
      <w:r w:rsidRPr="001A1836">
        <w:t>Introduction</w:t>
      </w:r>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p>
    <w:p w14:paraId="3C6A03AD" w14:textId="5000E392" w:rsidR="008E344E" w:rsidRPr="001A1836" w:rsidRDefault="008E344E">
      <w:pPr>
        <w:pStyle w:val="GSRL4numberedclause"/>
      </w:pPr>
      <w:r w:rsidRPr="001A1836">
        <w:t>Annex 1 of this Schedule 2</w:t>
      </w:r>
      <w:r w:rsidR="004A0DFF">
        <w:t>6</w:t>
      </w:r>
      <w:r w:rsidRPr="001A1836">
        <w:t xml:space="preserve"> sets out the Provider’s Tender submission.</w:t>
      </w:r>
    </w:p>
    <w:p w14:paraId="4A1BE494" w14:textId="77777777" w:rsidR="008E344E" w:rsidRPr="001A1836" w:rsidRDefault="008E344E" w:rsidP="007A29C3"/>
    <w:p w14:paraId="2B1CEEB7" w14:textId="77777777" w:rsidR="008E344E" w:rsidRPr="001A1836" w:rsidRDefault="008E344E" w:rsidP="008E344E"/>
    <w:p w14:paraId="0FFE9A01" w14:textId="6A2DD89C" w:rsidR="008E344E" w:rsidRPr="001A1836" w:rsidRDefault="008E344E" w:rsidP="00A202C2">
      <w:pPr>
        <w:pStyle w:val="GSRL2Sectionheading"/>
      </w:pPr>
      <w:bookmarkStart w:id="4101" w:name="_Toc521327242"/>
      <w:bookmarkStart w:id="4102" w:name="_Toc521497030"/>
      <w:bookmarkStart w:id="4103" w:name="_Toc521498470"/>
      <w:bookmarkStart w:id="4104" w:name="_Toc129038410"/>
      <w:bookmarkStart w:id="4105" w:name="_Toc129038696"/>
      <w:bookmarkStart w:id="4106" w:name="_Toc132265331"/>
      <w:bookmarkStart w:id="4107" w:name="_Toc132268286"/>
      <w:bookmarkStart w:id="4108" w:name="_Toc132268592"/>
      <w:bookmarkStart w:id="4109" w:name="_Toc132268621"/>
      <w:bookmarkStart w:id="4110" w:name="_Toc136198816"/>
      <w:bookmarkStart w:id="4111" w:name="_Toc136199097"/>
      <w:r w:rsidRPr="001A1836">
        <w:t xml:space="preserve">Annex 1 </w:t>
      </w:r>
      <w:r w:rsidR="00B949AC" w:rsidRPr="001A1836">
        <w:t xml:space="preserve">– </w:t>
      </w:r>
      <w:r w:rsidRPr="001A1836">
        <w:t>Tender</w:t>
      </w:r>
      <w:bookmarkEnd w:id="4101"/>
      <w:bookmarkEnd w:id="4102"/>
      <w:bookmarkEnd w:id="4103"/>
      <w:bookmarkEnd w:id="4104"/>
      <w:bookmarkEnd w:id="4105"/>
      <w:bookmarkEnd w:id="4106"/>
      <w:bookmarkEnd w:id="4107"/>
      <w:bookmarkEnd w:id="4108"/>
      <w:bookmarkEnd w:id="4109"/>
      <w:bookmarkEnd w:id="4110"/>
      <w:bookmarkEnd w:id="4111"/>
    </w:p>
    <w:p w14:paraId="6BC933E7" w14:textId="212B59F0" w:rsidR="000456AA" w:rsidRDefault="000456AA" w:rsidP="000456AA"/>
    <w:p w14:paraId="21B79CA5" w14:textId="53CB0146" w:rsidR="00255DE7" w:rsidRDefault="00247876" w:rsidP="00255DE7">
      <w:pPr>
        <w:pStyle w:val="GSRL4numberedclause"/>
      </w:pPr>
      <w:r>
        <w:rPr>
          <w:color w:val="000000"/>
          <w:sz w:val="20"/>
        </w:rPr>
        <w:t>REDACTEDREDACTED</w:t>
      </w:r>
      <w:r w:rsidDel="00247876">
        <w:t xml:space="preserve"> </w:t>
      </w:r>
      <w:r w:rsidR="00255DE7" w:rsidRPr="00255DE7">
        <w:t>.</w:t>
      </w:r>
    </w:p>
    <w:p w14:paraId="2A4D0CA1" w14:textId="6DD366DE" w:rsidR="00493F30" w:rsidRPr="006B65D7" w:rsidRDefault="00247876" w:rsidP="00493F30">
      <w:r>
        <w:rPr>
          <w:rFonts w:cs="Arial"/>
          <w:color w:val="000000"/>
          <w:sz w:val="20"/>
        </w:rPr>
        <w:lastRenderedPageBreak/>
        <w:t>REDACTED</w:t>
      </w:r>
      <w:r w:rsidDel="00F3702D">
        <w:t xml:space="preserve"> </w:t>
      </w:r>
      <w:r w:rsidR="00493F30" w:rsidRPr="0053028F">
        <w:rPr>
          <w:b/>
        </w:rPr>
        <w:t>IN WITNESS WHEREOF</w:t>
      </w:r>
      <w:r w:rsidR="00493F30" w:rsidRPr="006B65D7">
        <w:t xml:space="preserve"> each of the Parties has executed this Agreement on the date dated at the head of this Agreement. </w:t>
      </w:r>
    </w:p>
    <w:p w14:paraId="68EA3668" w14:textId="77777777" w:rsidR="00493F30" w:rsidRDefault="00493F30" w:rsidP="00493F30"/>
    <w:p w14:paraId="7C361D47" w14:textId="77777777" w:rsidR="00493F30" w:rsidRDefault="00493F30" w:rsidP="00493F30"/>
    <w:p w14:paraId="430E2368" w14:textId="77777777" w:rsidR="00493F30" w:rsidRPr="006B65D7" w:rsidRDefault="00493F30" w:rsidP="00493F30"/>
    <w:p w14:paraId="107114F1" w14:textId="77777777" w:rsidR="00493F30" w:rsidRPr="006B65D7" w:rsidRDefault="00493F30" w:rsidP="00493F30"/>
    <w:p w14:paraId="5D3D11F4" w14:textId="77777777" w:rsidR="00493F30" w:rsidRPr="006B65D7" w:rsidRDefault="00493F30" w:rsidP="00493F30">
      <w:r w:rsidRPr="0053028F">
        <w:rPr>
          <w:b/>
        </w:rPr>
        <w:t>SIGNED</w:t>
      </w:r>
      <w:r w:rsidRPr="006B65D7">
        <w:t xml:space="preserve"> by </w:t>
      </w:r>
    </w:p>
    <w:p w14:paraId="0AE6A485" w14:textId="77777777" w:rsidR="00493F30" w:rsidRPr="0053028F" w:rsidRDefault="00493F30" w:rsidP="00493F30">
      <w:r w:rsidRPr="0053028F">
        <w:t xml:space="preserve">duly authorised for and on behalf of </w:t>
      </w:r>
    </w:p>
    <w:p w14:paraId="4D4244DA" w14:textId="77777777" w:rsidR="00493F30" w:rsidRPr="0053028F" w:rsidRDefault="00493F30" w:rsidP="00493F30">
      <w:pPr>
        <w:rPr>
          <w:b/>
        </w:rPr>
      </w:pPr>
      <w:r w:rsidRPr="0053028F">
        <w:rPr>
          <w:b/>
        </w:rPr>
        <w:t xml:space="preserve">HEALTH AND SAFETY EXECUTIVE </w:t>
      </w:r>
    </w:p>
    <w:p w14:paraId="0258446D" w14:textId="77777777" w:rsidR="00493F30" w:rsidRDefault="00493F30" w:rsidP="00493F30"/>
    <w:p w14:paraId="0F45CC4A" w14:textId="77777777" w:rsidR="00493F30" w:rsidRDefault="00493F30" w:rsidP="00493F30"/>
    <w:p w14:paraId="03BAD954" w14:textId="77777777" w:rsidR="00493F30" w:rsidRPr="006B65D7" w:rsidRDefault="00493F30" w:rsidP="00493F30"/>
    <w:p w14:paraId="3230169A" w14:textId="77777777" w:rsidR="00493F30" w:rsidRPr="006B65D7" w:rsidRDefault="00493F30" w:rsidP="00493F30"/>
    <w:p w14:paraId="79DFD66D" w14:textId="77777777" w:rsidR="00493F30" w:rsidRPr="006B65D7" w:rsidRDefault="00493F30" w:rsidP="00493F30">
      <w:r w:rsidRPr="0053028F">
        <w:rPr>
          <w:b/>
        </w:rPr>
        <w:t>SIGNED</w:t>
      </w:r>
      <w:r w:rsidRPr="006B65D7">
        <w:t xml:space="preserve"> by </w:t>
      </w:r>
    </w:p>
    <w:p w14:paraId="1B32148D" w14:textId="77777777" w:rsidR="00493F30" w:rsidRPr="006B65D7" w:rsidRDefault="00493F30" w:rsidP="00493F30">
      <w:r w:rsidRPr="006B65D7">
        <w:t xml:space="preserve">duly authorised for and on behalf of </w:t>
      </w:r>
    </w:p>
    <w:p w14:paraId="6B4B2FED" w14:textId="77777777" w:rsidR="00493F30" w:rsidRPr="006B65D7" w:rsidRDefault="00493F30" w:rsidP="00493F30">
      <w:r w:rsidRPr="00562C68">
        <w:rPr>
          <w:b/>
        </w:rPr>
        <w:t>CAPITA BUSINESS SERVICES LIMITED</w:t>
      </w:r>
    </w:p>
    <w:p w14:paraId="6782423A" w14:textId="3593E940" w:rsidR="00493F30" w:rsidRPr="00BB2ABF" w:rsidRDefault="00493F30" w:rsidP="00493F30">
      <w:pPr>
        <w:pStyle w:val="GSRL4numberedclause"/>
        <w:numPr>
          <w:ilvl w:val="0"/>
          <w:numId w:val="0"/>
        </w:numPr>
      </w:pPr>
    </w:p>
    <w:p w14:paraId="3E8115FD" w14:textId="6B72A6D0" w:rsidR="00707279" w:rsidRDefault="00707279" w:rsidP="008B04B9"/>
    <w:p w14:paraId="28767C3D" w14:textId="1EC59F58" w:rsidR="00DC6F27" w:rsidRDefault="00DC6F27" w:rsidP="008B04B9"/>
    <w:p w14:paraId="1E7EC265" w14:textId="0F8F9D35" w:rsidR="00DC6F27" w:rsidRDefault="00DC6F27" w:rsidP="008B04B9"/>
    <w:bookmarkEnd w:id="4086"/>
    <w:p w14:paraId="138EA950" w14:textId="705DEDD4" w:rsidR="00DC6F27" w:rsidRPr="008B04B9" w:rsidRDefault="00DC6F27" w:rsidP="008B04B9"/>
    <w:sectPr w:rsidR="00DC6F27" w:rsidRPr="008B04B9" w:rsidSect="004F1C82">
      <w:footerReference w:type="default" r:id="rId81"/>
      <w:pgSz w:w="11900" w:h="16840"/>
      <w:pgMar w:top="1134" w:right="1440" w:bottom="1440" w:left="1440" w:header="1077" w:footer="83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201AE" w14:textId="77777777" w:rsidR="00322B5A" w:rsidRDefault="00322B5A">
      <w:r>
        <w:separator/>
      </w:r>
    </w:p>
  </w:endnote>
  <w:endnote w:type="continuationSeparator" w:id="0">
    <w:p w14:paraId="6E6E93D8" w14:textId="77777777" w:rsidR="00322B5A" w:rsidRDefault="00322B5A">
      <w:r>
        <w:continuationSeparator/>
      </w:r>
    </w:p>
  </w:endnote>
  <w:endnote w:type="continuationNotice" w:id="1">
    <w:p w14:paraId="39365D18" w14:textId="77777777" w:rsidR="00322B5A" w:rsidRDefault="00322B5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TZhongsong">
    <w:altName w:val="Times New Roman"/>
    <w:charset w:val="86"/>
    <w:family w:val="auto"/>
    <w:pitch w:val="variable"/>
    <w:sig w:usb0="00000287" w:usb1="080F0000" w:usb2="00000010" w:usb3="00000000" w:csb0="000400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E1964" w14:textId="7673780F" w:rsidR="001A54BC" w:rsidRPr="00B02E0C" w:rsidRDefault="001A54BC" w:rsidP="002D1942">
    <w:pPr>
      <w:pStyle w:val="Footer"/>
      <w:pBdr>
        <w:top w:val="single" w:sz="4" w:space="1" w:color="auto"/>
      </w:pBdr>
      <w:tabs>
        <w:tab w:val="clear" w:pos="9000"/>
        <w:tab w:val="center" w:pos="4536"/>
        <w:tab w:val="right" w:pos="9072"/>
      </w:tabs>
      <w:rPr>
        <w:rFonts w:cs="Arial"/>
        <w:color w:val="000000"/>
        <w:sz w:val="14"/>
        <w:szCs w:val="22"/>
      </w:rPr>
    </w:pPr>
    <w:r>
      <w:rPr>
        <w:color w:val="auto"/>
        <w:sz w:val="22"/>
        <w:szCs w:val="22"/>
      </w:rPr>
      <w:t>Schedules</w:t>
    </w:r>
    <w:r>
      <w:rPr>
        <w:color w:val="auto"/>
        <w:sz w:val="22"/>
        <w:szCs w:val="22"/>
      </w:rPr>
      <w:tab/>
      <w:t>Commercial in Confidence</w:t>
    </w:r>
    <w:r w:rsidRPr="000B0768">
      <w:rPr>
        <w:color w:val="auto"/>
        <w:sz w:val="22"/>
        <w:szCs w:val="22"/>
      </w:rPr>
      <w:tab/>
    </w:r>
    <w:r w:rsidRPr="000B0768">
      <w:rPr>
        <w:color w:val="auto"/>
        <w:sz w:val="22"/>
        <w:szCs w:val="22"/>
      </w:rPr>
      <w:fldChar w:fldCharType="begin"/>
    </w:r>
    <w:r w:rsidRPr="000B0768">
      <w:rPr>
        <w:color w:val="auto"/>
        <w:sz w:val="22"/>
        <w:szCs w:val="22"/>
      </w:rPr>
      <w:instrText xml:space="preserve"> PAGE   \* MERGEFORMAT </w:instrText>
    </w:r>
    <w:r w:rsidRPr="000B0768">
      <w:rPr>
        <w:color w:val="auto"/>
        <w:sz w:val="22"/>
        <w:szCs w:val="22"/>
      </w:rPr>
      <w:fldChar w:fldCharType="separate"/>
    </w:r>
    <w:r w:rsidR="009A4A36">
      <w:rPr>
        <w:noProof/>
        <w:color w:val="auto"/>
        <w:sz w:val="22"/>
        <w:szCs w:val="22"/>
      </w:rPr>
      <w:t>2</w:t>
    </w:r>
    <w:r w:rsidRPr="000B0768">
      <w:rPr>
        <w:noProof/>
        <w:color w:val="auto"/>
        <w:sz w:val="22"/>
        <w:szCs w:val="22"/>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94A01" w14:textId="76E459D8" w:rsidR="001A54BC" w:rsidRPr="00B02E0C" w:rsidRDefault="001A54BC" w:rsidP="003230A5">
    <w:pPr>
      <w:pStyle w:val="Footer"/>
      <w:pBdr>
        <w:top w:val="single" w:sz="4" w:space="1" w:color="auto"/>
      </w:pBdr>
      <w:tabs>
        <w:tab w:val="clear" w:pos="9000"/>
        <w:tab w:val="center" w:pos="4536"/>
        <w:tab w:val="right" w:pos="9072"/>
      </w:tabs>
      <w:rPr>
        <w:rFonts w:cs="Arial"/>
        <w:color w:val="000000"/>
        <w:sz w:val="14"/>
        <w:szCs w:val="22"/>
      </w:rPr>
    </w:pPr>
    <w:r>
      <w:rPr>
        <w:color w:val="auto"/>
        <w:sz w:val="22"/>
        <w:szCs w:val="22"/>
      </w:rPr>
      <w:t>Schedule 9</w:t>
    </w:r>
    <w:r>
      <w:rPr>
        <w:color w:val="auto"/>
        <w:sz w:val="22"/>
        <w:szCs w:val="22"/>
      </w:rPr>
      <w:tab/>
      <w:t>Commercial in Confidence</w:t>
    </w:r>
    <w:r w:rsidRPr="000B0768">
      <w:rPr>
        <w:color w:val="auto"/>
        <w:sz w:val="22"/>
        <w:szCs w:val="22"/>
      </w:rPr>
      <w:tab/>
    </w:r>
    <w:r w:rsidRPr="000B0768">
      <w:rPr>
        <w:color w:val="auto"/>
        <w:sz w:val="22"/>
        <w:szCs w:val="22"/>
      </w:rPr>
      <w:fldChar w:fldCharType="begin"/>
    </w:r>
    <w:r w:rsidRPr="000B0768">
      <w:rPr>
        <w:color w:val="auto"/>
        <w:sz w:val="22"/>
        <w:szCs w:val="22"/>
      </w:rPr>
      <w:instrText xml:space="preserve"> PAGE   \* MERGEFORMAT </w:instrText>
    </w:r>
    <w:r w:rsidRPr="000B0768">
      <w:rPr>
        <w:color w:val="auto"/>
        <w:sz w:val="22"/>
        <w:szCs w:val="22"/>
      </w:rPr>
      <w:fldChar w:fldCharType="separate"/>
    </w:r>
    <w:r w:rsidR="009A4A36">
      <w:rPr>
        <w:noProof/>
        <w:color w:val="auto"/>
        <w:sz w:val="22"/>
        <w:szCs w:val="22"/>
      </w:rPr>
      <w:t>145</w:t>
    </w:r>
    <w:r w:rsidRPr="000B0768">
      <w:rPr>
        <w:noProof/>
        <w:color w:val="auto"/>
        <w:sz w:val="22"/>
        <w:szCs w:val="22"/>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DA8CC" w14:textId="5C31B798" w:rsidR="001A54BC" w:rsidRPr="00B02E0C" w:rsidRDefault="001A54BC" w:rsidP="00275899">
    <w:pPr>
      <w:pStyle w:val="Footer"/>
      <w:pBdr>
        <w:top w:val="single" w:sz="4" w:space="1" w:color="auto"/>
      </w:pBdr>
      <w:tabs>
        <w:tab w:val="clear" w:pos="9000"/>
        <w:tab w:val="center" w:pos="4536"/>
        <w:tab w:val="right" w:pos="9072"/>
      </w:tabs>
      <w:rPr>
        <w:rFonts w:cs="Arial"/>
        <w:color w:val="000000"/>
        <w:sz w:val="14"/>
        <w:szCs w:val="22"/>
      </w:rPr>
    </w:pPr>
    <w:r>
      <w:rPr>
        <w:color w:val="auto"/>
        <w:sz w:val="22"/>
        <w:szCs w:val="22"/>
      </w:rPr>
      <w:t>Schedule 9</w:t>
    </w:r>
    <w:r>
      <w:rPr>
        <w:color w:val="auto"/>
        <w:sz w:val="22"/>
        <w:szCs w:val="22"/>
      </w:rPr>
      <w:tab/>
      <w:t>Commercial in Confidence</w:t>
    </w:r>
    <w:r w:rsidRPr="000B0768">
      <w:rPr>
        <w:color w:val="auto"/>
        <w:sz w:val="22"/>
        <w:szCs w:val="22"/>
      </w:rPr>
      <w:tab/>
    </w:r>
    <w:r w:rsidRPr="000B0768">
      <w:rPr>
        <w:color w:val="auto"/>
        <w:sz w:val="22"/>
        <w:szCs w:val="22"/>
      </w:rPr>
      <w:fldChar w:fldCharType="begin"/>
    </w:r>
    <w:r w:rsidRPr="000B0768">
      <w:rPr>
        <w:color w:val="auto"/>
        <w:sz w:val="22"/>
        <w:szCs w:val="22"/>
      </w:rPr>
      <w:instrText xml:space="preserve"> PAGE   \* MERGEFORMAT </w:instrText>
    </w:r>
    <w:r w:rsidRPr="000B0768">
      <w:rPr>
        <w:color w:val="auto"/>
        <w:sz w:val="22"/>
        <w:szCs w:val="22"/>
      </w:rPr>
      <w:fldChar w:fldCharType="separate"/>
    </w:r>
    <w:r w:rsidR="009A4A36">
      <w:rPr>
        <w:noProof/>
        <w:color w:val="auto"/>
        <w:sz w:val="22"/>
        <w:szCs w:val="22"/>
      </w:rPr>
      <w:t>153</w:t>
    </w:r>
    <w:r w:rsidRPr="000B0768">
      <w:rPr>
        <w:noProof/>
        <w:color w:val="auto"/>
        <w:sz w:val="22"/>
        <w:szCs w:val="22"/>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87C4D" w14:textId="720BB49A" w:rsidR="001A54BC" w:rsidRPr="00B02E0C" w:rsidRDefault="001A54BC" w:rsidP="00385CCC">
    <w:pPr>
      <w:pStyle w:val="Footer"/>
      <w:pBdr>
        <w:top w:val="single" w:sz="4" w:space="1" w:color="auto"/>
      </w:pBdr>
      <w:tabs>
        <w:tab w:val="clear" w:pos="9000"/>
        <w:tab w:val="center" w:pos="4536"/>
        <w:tab w:val="right" w:pos="9072"/>
      </w:tabs>
      <w:rPr>
        <w:rFonts w:cs="Arial"/>
        <w:color w:val="000000"/>
        <w:sz w:val="14"/>
        <w:szCs w:val="22"/>
      </w:rPr>
    </w:pPr>
    <w:r>
      <w:rPr>
        <w:color w:val="auto"/>
        <w:sz w:val="22"/>
        <w:szCs w:val="22"/>
      </w:rPr>
      <w:t>Schedule 10</w:t>
    </w:r>
    <w:r>
      <w:rPr>
        <w:color w:val="auto"/>
        <w:sz w:val="22"/>
        <w:szCs w:val="22"/>
      </w:rPr>
      <w:tab/>
      <w:t>Commercial in Confidence</w:t>
    </w:r>
    <w:r w:rsidRPr="000B0768">
      <w:rPr>
        <w:color w:val="auto"/>
        <w:sz w:val="22"/>
        <w:szCs w:val="22"/>
      </w:rPr>
      <w:tab/>
    </w:r>
    <w:r w:rsidRPr="000B0768">
      <w:rPr>
        <w:color w:val="auto"/>
        <w:sz w:val="22"/>
        <w:szCs w:val="22"/>
      </w:rPr>
      <w:fldChar w:fldCharType="begin"/>
    </w:r>
    <w:r w:rsidRPr="000B0768">
      <w:rPr>
        <w:color w:val="auto"/>
        <w:sz w:val="22"/>
        <w:szCs w:val="22"/>
      </w:rPr>
      <w:instrText xml:space="preserve"> PAGE   \* MERGEFORMAT </w:instrText>
    </w:r>
    <w:r w:rsidRPr="000B0768">
      <w:rPr>
        <w:color w:val="auto"/>
        <w:sz w:val="22"/>
        <w:szCs w:val="22"/>
      </w:rPr>
      <w:fldChar w:fldCharType="separate"/>
    </w:r>
    <w:r w:rsidR="009A4A36">
      <w:rPr>
        <w:noProof/>
        <w:color w:val="auto"/>
        <w:sz w:val="22"/>
        <w:szCs w:val="22"/>
      </w:rPr>
      <w:t>168</w:t>
    </w:r>
    <w:r w:rsidRPr="000B0768">
      <w:rPr>
        <w:noProof/>
        <w:color w:val="auto"/>
        <w:sz w:val="22"/>
        <w:szCs w:val="22"/>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9D11A" w14:textId="521728A0" w:rsidR="001A54BC" w:rsidRPr="00B02E0C" w:rsidRDefault="001A54BC" w:rsidP="00385CCC">
    <w:pPr>
      <w:pStyle w:val="Footer"/>
      <w:pBdr>
        <w:top w:val="single" w:sz="4" w:space="1" w:color="auto"/>
      </w:pBdr>
      <w:tabs>
        <w:tab w:val="clear" w:pos="9000"/>
        <w:tab w:val="center" w:pos="4536"/>
        <w:tab w:val="right" w:pos="9072"/>
      </w:tabs>
      <w:rPr>
        <w:rFonts w:cs="Arial"/>
        <w:color w:val="000000"/>
        <w:sz w:val="14"/>
        <w:szCs w:val="22"/>
      </w:rPr>
    </w:pPr>
    <w:r>
      <w:rPr>
        <w:color w:val="auto"/>
        <w:sz w:val="22"/>
        <w:szCs w:val="22"/>
      </w:rPr>
      <w:t>Schedule 11</w:t>
    </w:r>
    <w:r>
      <w:rPr>
        <w:color w:val="auto"/>
        <w:sz w:val="22"/>
        <w:szCs w:val="22"/>
      </w:rPr>
      <w:tab/>
      <w:t>Commercial in Confidence</w:t>
    </w:r>
    <w:r w:rsidRPr="000B0768">
      <w:rPr>
        <w:color w:val="auto"/>
        <w:sz w:val="22"/>
        <w:szCs w:val="22"/>
      </w:rPr>
      <w:tab/>
    </w:r>
    <w:r w:rsidRPr="000B0768">
      <w:rPr>
        <w:color w:val="auto"/>
        <w:sz w:val="22"/>
        <w:szCs w:val="22"/>
      </w:rPr>
      <w:fldChar w:fldCharType="begin"/>
    </w:r>
    <w:r w:rsidRPr="000B0768">
      <w:rPr>
        <w:color w:val="auto"/>
        <w:sz w:val="22"/>
        <w:szCs w:val="22"/>
      </w:rPr>
      <w:instrText xml:space="preserve"> PAGE   \* MERGEFORMAT </w:instrText>
    </w:r>
    <w:r w:rsidRPr="000B0768">
      <w:rPr>
        <w:color w:val="auto"/>
        <w:sz w:val="22"/>
        <w:szCs w:val="22"/>
      </w:rPr>
      <w:fldChar w:fldCharType="separate"/>
    </w:r>
    <w:r w:rsidR="009A4A36">
      <w:rPr>
        <w:noProof/>
        <w:color w:val="auto"/>
        <w:sz w:val="22"/>
        <w:szCs w:val="22"/>
      </w:rPr>
      <w:t>171</w:t>
    </w:r>
    <w:r w:rsidRPr="000B0768">
      <w:rPr>
        <w:noProof/>
        <w:color w:val="auto"/>
        <w:sz w:val="22"/>
        <w:szCs w:val="22"/>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73F66" w14:textId="0A38D335" w:rsidR="001A54BC" w:rsidRPr="00F277A8" w:rsidRDefault="001A54BC" w:rsidP="00385CCC">
    <w:pPr>
      <w:pStyle w:val="Footer"/>
      <w:pBdr>
        <w:top w:val="single" w:sz="4" w:space="1" w:color="auto"/>
      </w:pBdr>
      <w:tabs>
        <w:tab w:val="clear" w:pos="9000"/>
        <w:tab w:val="center" w:pos="4536"/>
        <w:tab w:val="right" w:pos="9072"/>
      </w:tabs>
      <w:rPr>
        <w:rFonts w:cs="Arial"/>
        <w:color w:val="000000"/>
        <w:sz w:val="14"/>
        <w:szCs w:val="22"/>
      </w:rPr>
    </w:pPr>
    <w:r>
      <w:rPr>
        <w:color w:val="auto"/>
        <w:sz w:val="22"/>
        <w:szCs w:val="22"/>
      </w:rPr>
      <w:t>Schedule 11</w:t>
    </w:r>
    <w:r>
      <w:rPr>
        <w:color w:val="auto"/>
        <w:sz w:val="22"/>
        <w:szCs w:val="22"/>
      </w:rPr>
      <w:tab/>
      <w:t>Commercial in Confidence</w:t>
    </w:r>
    <w:r w:rsidRPr="000B0768">
      <w:rPr>
        <w:color w:val="auto"/>
        <w:sz w:val="22"/>
        <w:szCs w:val="22"/>
      </w:rPr>
      <w:tab/>
    </w:r>
    <w:r w:rsidRPr="000B0768">
      <w:rPr>
        <w:color w:val="auto"/>
        <w:sz w:val="22"/>
        <w:szCs w:val="22"/>
      </w:rPr>
      <w:fldChar w:fldCharType="begin"/>
    </w:r>
    <w:r w:rsidRPr="000B0768">
      <w:rPr>
        <w:color w:val="auto"/>
        <w:sz w:val="22"/>
        <w:szCs w:val="22"/>
      </w:rPr>
      <w:instrText xml:space="preserve"> PAGE   \* MERGEFORMAT </w:instrText>
    </w:r>
    <w:r w:rsidRPr="000B0768">
      <w:rPr>
        <w:color w:val="auto"/>
        <w:sz w:val="22"/>
        <w:szCs w:val="22"/>
      </w:rPr>
      <w:fldChar w:fldCharType="separate"/>
    </w:r>
    <w:r w:rsidR="009A4A36">
      <w:rPr>
        <w:noProof/>
        <w:color w:val="auto"/>
        <w:sz w:val="22"/>
        <w:szCs w:val="22"/>
      </w:rPr>
      <w:t>198</w:t>
    </w:r>
    <w:r w:rsidRPr="000B0768">
      <w:rPr>
        <w:noProof/>
        <w:color w:val="auto"/>
        <w:sz w:val="22"/>
        <w:szCs w:val="22"/>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0A979" w14:textId="31CF0742" w:rsidR="001A54BC" w:rsidRPr="00B02E0C" w:rsidRDefault="001A54BC" w:rsidP="00C93EA2">
    <w:pPr>
      <w:pStyle w:val="Footer"/>
      <w:pBdr>
        <w:top w:val="single" w:sz="4" w:space="1" w:color="auto"/>
      </w:pBdr>
      <w:tabs>
        <w:tab w:val="clear" w:pos="9000"/>
        <w:tab w:val="center" w:pos="4536"/>
        <w:tab w:val="right" w:pos="9072"/>
      </w:tabs>
      <w:rPr>
        <w:rFonts w:cs="Arial"/>
        <w:color w:val="000000"/>
        <w:sz w:val="14"/>
        <w:szCs w:val="22"/>
      </w:rPr>
    </w:pPr>
    <w:r>
      <w:rPr>
        <w:color w:val="auto"/>
        <w:sz w:val="22"/>
        <w:szCs w:val="22"/>
      </w:rPr>
      <w:t>Schedule 12</w:t>
    </w:r>
    <w:r>
      <w:rPr>
        <w:color w:val="auto"/>
        <w:sz w:val="22"/>
        <w:szCs w:val="22"/>
      </w:rPr>
      <w:tab/>
      <w:t>Commercial in Confidence</w:t>
    </w:r>
    <w:r w:rsidRPr="000B0768">
      <w:rPr>
        <w:color w:val="auto"/>
        <w:sz w:val="22"/>
        <w:szCs w:val="22"/>
      </w:rPr>
      <w:tab/>
    </w:r>
    <w:r w:rsidRPr="000B0768">
      <w:rPr>
        <w:color w:val="auto"/>
        <w:sz w:val="22"/>
        <w:szCs w:val="22"/>
      </w:rPr>
      <w:fldChar w:fldCharType="begin"/>
    </w:r>
    <w:r w:rsidRPr="000B0768">
      <w:rPr>
        <w:color w:val="auto"/>
        <w:sz w:val="22"/>
        <w:szCs w:val="22"/>
      </w:rPr>
      <w:instrText xml:space="preserve"> PAGE   \* MERGEFORMAT </w:instrText>
    </w:r>
    <w:r w:rsidRPr="000B0768">
      <w:rPr>
        <w:color w:val="auto"/>
        <w:sz w:val="22"/>
        <w:szCs w:val="22"/>
      </w:rPr>
      <w:fldChar w:fldCharType="separate"/>
    </w:r>
    <w:r w:rsidR="009A4A36">
      <w:rPr>
        <w:noProof/>
        <w:color w:val="auto"/>
        <w:sz w:val="22"/>
        <w:szCs w:val="22"/>
      </w:rPr>
      <w:t>210</w:t>
    </w:r>
    <w:r w:rsidRPr="000B0768">
      <w:rPr>
        <w:noProof/>
        <w:color w:val="auto"/>
        <w:sz w:val="22"/>
        <w:szCs w:val="22"/>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9E672" w14:textId="62C37454" w:rsidR="001A54BC" w:rsidRPr="00B02E0C" w:rsidRDefault="001A54BC" w:rsidP="00E04336">
    <w:pPr>
      <w:pStyle w:val="Footer"/>
      <w:pBdr>
        <w:top w:val="single" w:sz="4" w:space="1" w:color="auto"/>
      </w:pBdr>
      <w:tabs>
        <w:tab w:val="clear" w:pos="9000"/>
        <w:tab w:val="center" w:pos="4536"/>
        <w:tab w:val="right" w:pos="9072"/>
      </w:tabs>
      <w:rPr>
        <w:rFonts w:cs="Arial"/>
        <w:color w:val="000000"/>
        <w:sz w:val="14"/>
        <w:szCs w:val="22"/>
      </w:rPr>
    </w:pPr>
    <w:r>
      <w:rPr>
        <w:color w:val="auto"/>
        <w:sz w:val="22"/>
        <w:szCs w:val="22"/>
      </w:rPr>
      <w:t>Schedule 13</w:t>
    </w:r>
    <w:r>
      <w:rPr>
        <w:color w:val="auto"/>
        <w:sz w:val="22"/>
        <w:szCs w:val="22"/>
      </w:rPr>
      <w:tab/>
      <w:t>Commercial in Confidence</w:t>
    </w:r>
    <w:r w:rsidRPr="000B0768">
      <w:rPr>
        <w:color w:val="auto"/>
        <w:sz w:val="22"/>
        <w:szCs w:val="22"/>
      </w:rPr>
      <w:tab/>
    </w:r>
    <w:r w:rsidRPr="000B0768">
      <w:rPr>
        <w:color w:val="auto"/>
        <w:sz w:val="22"/>
        <w:szCs w:val="22"/>
      </w:rPr>
      <w:fldChar w:fldCharType="begin"/>
    </w:r>
    <w:r w:rsidRPr="000B0768">
      <w:rPr>
        <w:color w:val="auto"/>
        <w:sz w:val="22"/>
        <w:szCs w:val="22"/>
      </w:rPr>
      <w:instrText xml:space="preserve"> PAGE   \* MERGEFORMAT </w:instrText>
    </w:r>
    <w:r w:rsidRPr="000B0768">
      <w:rPr>
        <w:color w:val="auto"/>
        <w:sz w:val="22"/>
        <w:szCs w:val="22"/>
      </w:rPr>
      <w:fldChar w:fldCharType="separate"/>
    </w:r>
    <w:r w:rsidR="009A4A36">
      <w:rPr>
        <w:noProof/>
        <w:color w:val="auto"/>
        <w:sz w:val="22"/>
        <w:szCs w:val="22"/>
      </w:rPr>
      <w:t>214</w:t>
    </w:r>
    <w:r w:rsidRPr="000B0768">
      <w:rPr>
        <w:noProof/>
        <w:color w:val="auto"/>
        <w:sz w:val="22"/>
        <w:szCs w:val="22"/>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F4190" w14:textId="3899D0E6" w:rsidR="001A54BC" w:rsidRPr="00B02E0C" w:rsidRDefault="001A54BC" w:rsidP="0071685C">
    <w:pPr>
      <w:pStyle w:val="Footer"/>
      <w:pBdr>
        <w:top w:val="single" w:sz="4" w:space="1" w:color="auto"/>
      </w:pBdr>
      <w:tabs>
        <w:tab w:val="clear" w:pos="9000"/>
        <w:tab w:val="center" w:pos="4536"/>
        <w:tab w:val="right" w:pos="9072"/>
      </w:tabs>
      <w:rPr>
        <w:rFonts w:cs="Arial"/>
        <w:color w:val="000000"/>
        <w:sz w:val="14"/>
        <w:szCs w:val="22"/>
      </w:rPr>
    </w:pPr>
    <w:r>
      <w:rPr>
        <w:color w:val="auto"/>
        <w:sz w:val="22"/>
        <w:szCs w:val="22"/>
      </w:rPr>
      <w:t>Schedule 14</w:t>
    </w:r>
    <w:r>
      <w:rPr>
        <w:color w:val="auto"/>
        <w:sz w:val="22"/>
        <w:szCs w:val="22"/>
      </w:rPr>
      <w:tab/>
      <w:t>Commercial in Confidence</w:t>
    </w:r>
    <w:r w:rsidRPr="000B0768">
      <w:rPr>
        <w:color w:val="auto"/>
        <w:sz w:val="22"/>
        <w:szCs w:val="22"/>
      </w:rPr>
      <w:tab/>
    </w:r>
    <w:r w:rsidRPr="000B0768">
      <w:rPr>
        <w:color w:val="auto"/>
        <w:sz w:val="22"/>
        <w:szCs w:val="22"/>
      </w:rPr>
      <w:fldChar w:fldCharType="begin"/>
    </w:r>
    <w:r w:rsidRPr="000B0768">
      <w:rPr>
        <w:color w:val="auto"/>
        <w:sz w:val="22"/>
        <w:szCs w:val="22"/>
      </w:rPr>
      <w:instrText xml:space="preserve"> PAGE   \* MERGEFORMAT </w:instrText>
    </w:r>
    <w:r w:rsidRPr="000B0768">
      <w:rPr>
        <w:color w:val="auto"/>
        <w:sz w:val="22"/>
        <w:szCs w:val="22"/>
      </w:rPr>
      <w:fldChar w:fldCharType="separate"/>
    </w:r>
    <w:r w:rsidR="009A4A36">
      <w:rPr>
        <w:noProof/>
        <w:color w:val="auto"/>
        <w:sz w:val="22"/>
        <w:szCs w:val="22"/>
      </w:rPr>
      <w:t>216</w:t>
    </w:r>
    <w:r w:rsidRPr="000B0768">
      <w:rPr>
        <w:noProof/>
        <w:color w:val="auto"/>
        <w:sz w:val="22"/>
        <w:szCs w:val="22"/>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9AD71" w14:textId="5F345DC7" w:rsidR="001A54BC" w:rsidRPr="00B02E0C" w:rsidRDefault="001A54BC" w:rsidP="0071685C">
    <w:pPr>
      <w:pStyle w:val="Footer"/>
      <w:pBdr>
        <w:top w:val="single" w:sz="4" w:space="1" w:color="auto"/>
      </w:pBdr>
      <w:tabs>
        <w:tab w:val="clear" w:pos="9000"/>
        <w:tab w:val="center" w:pos="4536"/>
        <w:tab w:val="right" w:pos="9072"/>
      </w:tabs>
      <w:rPr>
        <w:rFonts w:cs="Arial"/>
        <w:color w:val="000000"/>
        <w:sz w:val="14"/>
        <w:szCs w:val="22"/>
      </w:rPr>
    </w:pPr>
    <w:r>
      <w:rPr>
        <w:color w:val="auto"/>
        <w:sz w:val="22"/>
        <w:szCs w:val="22"/>
      </w:rPr>
      <w:t>Schedule 15</w:t>
    </w:r>
    <w:r>
      <w:rPr>
        <w:color w:val="auto"/>
        <w:sz w:val="22"/>
        <w:szCs w:val="22"/>
      </w:rPr>
      <w:tab/>
      <w:t>Commercial in Confidence</w:t>
    </w:r>
    <w:r w:rsidRPr="000B0768">
      <w:rPr>
        <w:color w:val="auto"/>
        <w:sz w:val="22"/>
        <w:szCs w:val="22"/>
      </w:rPr>
      <w:tab/>
    </w:r>
    <w:r w:rsidRPr="000B0768">
      <w:rPr>
        <w:color w:val="auto"/>
        <w:sz w:val="22"/>
        <w:szCs w:val="22"/>
      </w:rPr>
      <w:fldChar w:fldCharType="begin"/>
    </w:r>
    <w:r w:rsidRPr="000B0768">
      <w:rPr>
        <w:color w:val="auto"/>
        <w:sz w:val="22"/>
        <w:szCs w:val="22"/>
      </w:rPr>
      <w:instrText xml:space="preserve"> PAGE   \* MERGEFORMAT </w:instrText>
    </w:r>
    <w:r w:rsidRPr="000B0768">
      <w:rPr>
        <w:color w:val="auto"/>
        <w:sz w:val="22"/>
        <w:szCs w:val="22"/>
      </w:rPr>
      <w:fldChar w:fldCharType="separate"/>
    </w:r>
    <w:r w:rsidR="009A4A36">
      <w:rPr>
        <w:noProof/>
        <w:color w:val="auto"/>
        <w:sz w:val="22"/>
        <w:szCs w:val="22"/>
      </w:rPr>
      <w:t>233</w:t>
    </w:r>
    <w:r w:rsidRPr="000B0768">
      <w:rPr>
        <w:noProof/>
        <w:color w:val="auto"/>
        <w:sz w:val="22"/>
        <w:szCs w:val="22"/>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FBE8F" w14:textId="0746EBC4" w:rsidR="001A54BC" w:rsidRPr="00B02E0C" w:rsidRDefault="001A54BC" w:rsidP="000227FF">
    <w:pPr>
      <w:pStyle w:val="Footer"/>
      <w:pBdr>
        <w:top w:val="single" w:sz="4" w:space="1" w:color="auto"/>
      </w:pBdr>
      <w:tabs>
        <w:tab w:val="clear" w:pos="9000"/>
        <w:tab w:val="center" w:pos="4536"/>
        <w:tab w:val="right" w:pos="9072"/>
      </w:tabs>
      <w:rPr>
        <w:rFonts w:cs="Arial"/>
        <w:color w:val="000000"/>
        <w:sz w:val="14"/>
        <w:szCs w:val="22"/>
      </w:rPr>
    </w:pPr>
    <w:r>
      <w:rPr>
        <w:color w:val="auto"/>
        <w:sz w:val="22"/>
        <w:szCs w:val="22"/>
      </w:rPr>
      <w:t>Schedule 16</w:t>
    </w:r>
    <w:r>
      <w:rPr>
        <w:color w:val="auto"/>
        <w:sz w:val="22"/>
        <w:szCs w:val="22"/>
      </w:rPr>
      <w:tab/>
      <w:t>Commercial in Confidence</w:t>
    </w:r>
    <w:r w:rsidRPr="000B0768">
      <w:rPr>
        <w:color w:val="auto"/>
        <w:sz w:val="22"/>
        <w:szCs w:val="22"/>
      </w:rPr>
      <w:tab/>
    </w:r>
    <w:r w:rsidRPr="000B0768">
      <w:rPr>
        <w:color w:val="auto"/>
        <w:sz w:val="22"/>
        <w:szCs w:val="22"/>
      </w:rPr>
      <w:fldChar w:fldCharType="begin"/>
    </w:r>
    <w:r w:rsidRPr="000B0768">
      <w:rPr>
        <w:color w:val="auto"/>
        <w:sz w:val="22"/>
        <w:szCs w:val="22"/>
      </w:rPr>
      <w:instrText xml:space="preserve"> PAGE   \* MERGEFORMAT </w:instrText>
    </w:r>
    <w:r w:rsidRPr="000B0768">
      <w:rPr>
        <w:color w:val="auto"/>
        <w:sz w:val="22"/>
        <w:szCs w:val="22"/>
      </w:rPr>
      <w:fldChar w:fldCharType="separate"/>
    </w:r>
    <w:r w:rsidR="009A4A36">
      <w:rPr>
        <w:noProof/>
        <w:color w:val="auto"/>
        <w:sz w:val="22"/>
        <w:szCs w:val="22"/>
      </w:rPr>
      <w:t>236</w:t>
    </w:r>
    <w:r w:rsidRPr="000B0768">
      <w:rPr>
        <w:noProof/>
        <w:color w:val="auto"/>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68F04" w14:textId="47FC8B60" w:rsidR="001A54BC" w:rsidRPr="00100601" w:rsidRDefault="001A54BC" w:rsidP="00EF67EC">
    <w:pPr>
      <w:pStyle w:val="Footer"/>
      <w:pBdr>
        <w:top w:val="single" w:sz="4" w:space="1" w:color="auto"/>
      </w:pBdr>
      <w:tabs>
        <w:tab w:val="clear" w:pos="9000"/>
        <w:tab w:val="center" w:pos="4536"/>
        <w:tab w:val="right" w:pos="9072"/>
      </w:tabs>
      <w:rPr>
        <w:noProof/>
        <w:color w:val="auto"/>
        <w:sz w:val="22"/>
        <w:szCs w:val="22"/>
      </w:rPr>
    </w:pPr>
    <w:r>
      <w:rPr>
        <w:color w:val="auto"/>
        <w:sz w:val="22"/>
        <w:szCs w:val="22"/>
      </w:rPr>
      <w:t>Schedule 1</w:t>
    </w:r>
    <w:r>
      <w:rPr>
        <w:color w:val="auto"/>
        <w:sz w:val="22"/>
        <w:szCs w:val="22"/>
      </w:rPr>
      <w:tab/>
      <w:t>Commercial in Confidence</w:t>
    </w:r>
    <w:r w:rsidRPr="000B0768">
      <w:rPr>
        <w:color w:val="auto"/>
        <w:sz w:val="22"/>
        <w:szCs w:val="22"/>
      </w:rPr>
      <w:tab/>
    </w:r>
    <w:r w:rsidRPr="000B0768">
      <w:rPr>
        <w:color w:val="auto"/>
        <w:sz w:val="22"/>
        <w:szCs w:val="22"/>
      </w:rPr>
      <w:fldChar w:fldCharType="begin"/>
    </w:r>
    <w:r w:rsidRPr="000B0768">
      <w:rPr>
        <w:color w:val="auto"/>
        <w:sz w:val="22"/>
        <w:szCs w:val="22"/>
      </w:rPr>
      <w:instrText xml:space="preserve"> PAGE   \* MERGEFORMAT </w:instrText>
    </w:r>
    <w:r w:rsidRPr="000B0768">
      <w:rPr>
        <w:color w:val="auto"/>
        <w:sz w:val="22"/>
        <w:szCs w:val="22"/>
      </w:rPr>
      <w:fldChar w:fldCharType="separate"/>
    </w:r>
    <w:r w:rsidR="009A4A36">
      <w:rPr>
        <w:noProof/>
        <w:color w:val="auto"/>
        <w:sz w:val="22"/>
        <w:szCs w:val="22"/>
      </w:rPr>
      <w:t>4</w:t>
    </w:r>
    <w:r w:rsidRPr="000B0768">
      <w:rPr>
        <w:noProof/>
        <w:color w:val="auto"/>
        <w:sz w:val="22"/>
        <w:szCs w:val="22"/>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73541" w14:textId="631F4410" w:rsidR="001A54BC" w:rsidRPr="00B02E0C" w:rsidRDefault="001A54BC" w:rsidP="001F44AE">
    <w:pPr>
      <w:pStyle w:val="Footer"/>
      <w:pBdr>
        <w:top w:val="single" w:sz="4" w:space="1" w:color="auto"/>
      </w:pBdr>
      <w:tabs>
        <w:tab w:val="clear" w:pos="9000"/>
        <w:tab w:val="center" w:pos="4536"/>
        <w:tab w:val="right" w:pos="9072"/>
      </w:tabs>
      <w:rPr>
        <w:rFonts w:cs="Arial"/>
        <w:color w:val="000000"/>
        <w:sz w:val="14"/>
        <w:szCs w:val="22"/>
      </w:rPr>
    </w:pPr>
    <w:r>
      <w:rPr>
        <w:color w:val="auto"/>
        <w:sz w:val="22"/>
        <w:szCs w:val="22"/>
      </w:rPr>
      <w:t>Schedule 17</w:t>
    </w:r>
    <w:r>
      <w:rPr>
        <w:color w:val="auto"/>
        <w:sz w:val="22"/>
        <w:szCs w:val="22"/>
      </w:rPr>
      <w:tab/>
      <w:t>Commercial in Confidence</w:t>
    </w:r>
    <w:r w:rsidRPr="000B0768">
      <w:rPr>
        <w:color w:val="auto"/>
        <w:sz w:val="22"/>
        <w:szCs w:val="22"/>
      </w:rPr>
      <w:tab/>
    </w:r>
    <w:r w:rsidRPr="000B0768">
      <w:rPr>
        <w:color w:val="auto"/>
        <w:sz w:val="22"/>
        <w:szCs w:val="22"/>
      </w:rPr>
      <w:fldChar w:fldCharType="begin"/>
    </w:r>
    <w:r w:rsidRPr="000B0768">
      <w:rPr>
        <w:color w:val="auto"/>
        <w:sz w:val="22"/>
        <w:szCs w:val="22"/>
      </w:rPr>
      <w:instrText xml:space="preserve"> PAGE   \* MERGEFORMAT </w:instrText>
    </w:r>
    <w:r w:rsidRPr="000B0768">
      <w:rPr>
        <w:color w:val="auto"/>
        <w:sz w:val="22"/>
        <w:szCs w:val="22"/>
      </w:rPr>
      <w:fldChar w:fldCharType="separate"/>
    </w:r>
    <w:r w:rsidR="009A4A36">
      <w:rPr>
        <w:noProof/>
        <w:color w:val="auto"/>
        <w:sz w:val="22"/>
        <w:szCs w:val="22"/>
      </w:rPr>
      <w:t>248</w:t>
    </w:r>
    <w:r w:rsidRPr="000B0768">
      <w:rPr>
        <w:noProof/>
        <w:color w:val="auto"/>
        <w:sz w:val="22"/>
        <w:szCs w:val="22"/>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53128" w14:textId="0EF82EAC" w:rsidR="001A54BC" w:rsidRPr="00B02E0C" w:rsidRDefault="001A54BC" w:rsidP="001F44AE">
    <w:pPr>
      <w:pStyle w:val="Footer"/>
      <w:pBdr>
        <w:top w:val="single" w:sz="4" w:space="1" w:color="auto"/>
      </w:pBdr>
      <w:tabs>
        <w:tab w:val="clear" w:pos="9000"/>
        <w:tab w:val="left" w:pos="1440"/>
        <w:tab w:val="center" w:pos="4536"/>
        <w:tab w:val="right" w:pos="9072"/>
      </w:tabs>
      <w:rPr>
        <w:rFonts w:cs="Arial"/>
        <w:color w:val="000000"/>
        <w:sz w:val="14"/>
        <w:szCs w:val="22"/>
      </w:rPr>
    </w:pPr>
    <w:r>
      <w:rPr>
        <w:color w:val="auto"/>
        <w:sz w:val="22"/>
        <w:szCs w:val="22"/>
      </w:rPr>
      <w:t>Schedule 18</w:t>
    </w:r>
    <w:r>
      <w:rPr>
        <w:color w:val="auto"/>
        <w:sz w:val="22"/>
        <w:szCs w:val="22"/>
      </w:rPr>
      <w:tab/>
    </w:r>
    <w:r>
      <w:rPr>
        <w:color w:val="auto"/>
        <w:sz w:val="22"/>
        <w:szCs w:val="22"/>
      </w:rPr>
      <w:tab/>
      <w:t>Commercial in Confidence</w:t>
    </w:r>
    <w:r w:rsidRPr="000B0768">
      <w:rPr>
        <w:color w:val="auto"/>
        <w:sz w:val="22"/>
        <w:szCs w:val="22"/>
      </w:rPr>
      <w:tab/>
    </w:r>
    <w:r w:rsidRPr="000B0768">
      <w:rPr>
        <w:color w:val="auto"/>
        <w:sz w:val="22"/>
        <w:szCs w:val="22"/>
      </w:rPr>
      <w:fldChar w:fldCharType="begin"/>
    </w:r>
    <w:r w:rsidRPr="000B0768">
      <w:rPr>
        <w:color w:val="auto"/>
        <w:sz w:val="22"/>
        <w:szCs w:val="22"/>
      </w:rPr>
      <w:instrText xml:space="preserve"> PAGE   \* MERGEFORMAT </w:instrText>
    </w:r>
    <w:r w:rsidRPr="000B0768">
      <w:rPr>
        <w:color w:val="auto"/>
        <w:sz w:val="22"/>
        <w:szCs w:val="22"/>
      </w:rPr>
      <w:fldChar w:fldCharType="separate"/>
    </w:r>
    <w:r w:rsidR="009A4A36">
      <w:rPr>
        <w:noProof/>
        <w:color w:val="auto"/>
        <w:sz w:val="22"/>
        <w:szCs w:val="22"/>
      </w:rPr>
      <w:t>265</w:t>
    </w:r>
    <w:r w:rsidRPr="000B0768">
      <w:rPr>
        <w:noProof/>
        <w:color w:val="auto"/>
        <w:sz w:val="22"/>
        <w:szCs w:val="22"/>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D8820" w14:textId="5CCE5B64" w:rsidR="001A54BC" w:rsidRPr="00B02E0C" w:rsidRDefault="001A54BC" w:rsidP="000954E1">
    <w:pPr>
      <w:pStyle w:val="Footer"/>
      <w:pBdr>
        <w:top w:val="single" w:sz="4" w:space="1" w:color="auto"/>
      </w:pBdr>
      <w:tabs>
        <w:tab w:val="clear" w:pos="9000"/>
        <w:tab w:val="left" w:pos="1410"/>
        <w:tab w:val="left" w:pos="1440"/>
        <w:tab w:val="center" w:pos="4536"/>
        <w:tab w:val="right" w:pos="9072"/>
      </w:tabs>
      <w:rPr>
        <w:rFonts w:cs="Arial"/>
        <w:color w:val="000000"/>
        <w:sz w:val="14"/>
        <w:szCs w:val="22"/>
      </w:rPr>
    </w:pPr>
    <w:r>
      <w:rPr>
        <w:color w:val="auto"/>
        <w:sz w:val="22"/>
        <w:szCs w:val="22"/>
      </w:rPr>
      <w:t>Schedule 19</w:t>
    </w:r>
    <w:r>
      <w:rPr>
        <w:color w:val="auto"/>
        <w:sz w:val="22"/>
        <w:szCs w:val="22"/>
      </w:rPr>
      <w:tab/>
    </w:r>
    <w:r>
      <w:rPr>
        <w:color w:val="auto"/>
        <w:sz w:val="22"/>
        <w:szCs w:val="22"/>
      </w:rPr>
      <w:tab/>
    </w:r>
    <w:r>
      <w:rPr>
        <w:color w:val="auto"/>
        <w:sz w:val="22"/>
        <w:szCs w:val="22"/>
      </w:rPr>
      <w:tab/>
      <w:t>Commercial in Confidence</w:t>
    </w:r>
    <w:r w:rsidRPr="000B0768">
      <w:rPr>
        <w:color w:val="auto"/>
        <w:sz w:val="22"/>
        <w:szCs w:val="22"/>
      </w:rPr>
      <w:tab/>
    </w:r>
    <w:r w:rsidRPr="000B0768">
      <w:rPr>
        <w:color w:val="auto"/>
        <w:sz w:val="22"/>
        <w:szCs w:val="22"/>
      </w:rPr>
      <w:fldChar w:fldCharType="begin"/>
    </w:r>
    <w:r w:rsidRPr="000B0768">
      <w:rPr>
        <w:color w:val="auto"/>
        <w:sz w:val="22"/>
        <w:szCs w:val="22"/>
      </w:rPr>
      <w:instrText xml:space="preserve"> PAGE   \* MERGEFORMAT </w:instrText>
    </w:r>
    <w:r w:rsidRPr="000B0768">
      <w:rPr>
        <w:color w:val="auto"/>
        <w:sz w:val="22"/>
        <w:szCs w:val="22"/>
      </w:rPr>
      <w:fldChar w:fldCharType="separate"/>
    </w:r>
    <w:r w:rsidR="009A4A36">
      <w:rPr>
        <w:noProof/>
        <w:color w:val="auto"/>
        <w:sz w:val="22"/>
        <w:szCs w:val="22"/>
      </w:rPr>
      <w:t>271</w:t>
    </w:r>
    <w:r w:rsidRPr="000B0768">
      <w:rPr>
        <w:noProof/>
        <w:color w:val="auto"/>
        <w:sz w:val="22"/>
        <w:szCs w:val="22"/>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A1011" w14:textId="38A4F48E" w:rsidR="001A54BC" w:rsidRPr="00B02E0C" w:rsidRDefault="001A54BC" w:rsidP="000954E1">
    <w:pPr>
      <w:pStyle w:val="Footer"/>
      <w:pBdr>
        <w:top w:val="single" w:sz="4" w:space="1" w:color="auto"/>
      </w:pBdr>
      <w:tabs>
        <w:tab w:val="clear" w:pos="9000"/>
        <w:tab w:val="left" w:pos="1440"/>
        <w:tab w:val="center" w:pos="4536"/>
        <w:tab w:val="right" w:pos="9072"/>
      </w:tabs>
      <w:rPr>
        <w:rFonts w:cs="Arial"/>
        <w:color w:val="000000"/>
        <w:sz w:val="14"/>
        <w:szCs w:val="22"/>
      </w:rPr>
    </w:pPr>
    <w:r>
      <w:rPr>
        <w:color w:val="auto"/>
        <w:sz w:val="22"/>
        <w:szCs w:val="22"/>
      </w:rPr>
      <w:t>Schedule 20</w:t>
    </w:r>
    <w:r>
      <w:rPr>
        <w:color w:val="auto"/>
        <w:sz w:val="22"/>
        <w:szCs w:val="22"/>
      </w:rPr>
      <w:tab/>
    </w:r>
    <w:r>
      <w:rPr>
        <w:color w:val="auto"/>
        <w:sz w:val="22"/>
        <w:szCs w:val="22"/>
      </w:rPr>
      <w:tab/>
      <w:t>Commercial in Confidence</w:t>
    </w:r>
    <w:r w:rsidRPr="000B0768">
      <w:rPr>
        <w:color w:val="auto"/>
        <w:sz w:val="22"/>
        <w:szCs w:val="22"/>
      </w:rPr>
      <w:tab/>
    </w:r>
    <w:r w:rsidRPr="000B0768">
      <w:rPr>
        <w:color w:val="auto"/>
        <w:sz w:val="22"/>
        <w:szCs w:val="22"/>
      </w:rPr>
      <w:fldChar w:fldCharType="begin"/>
    </w:r>
    <w:r w:rsidRPr="000B0768">
      <w:rPr>
        <w:color w:val="auto"/>
        <w:sz w:val="22"/>
        <w:szCs w:val="22"/>
      </w:rPr>
      <w:instrText xml:space="preserve"> PAGE   \* MERGEFORMAT </w:instrText>
    </w:r>
    <w:r w:rsidRPr="000B0768">
      <w:rPr>
        <w:color w:val="auto"/>
        <w:sz w:val="22"/>
        <w:szCs w:val="22"/>
      </w:rPr>
      <w:fldChar w:fldCharType="separate"/>
    </w:r>
    <w:r w:rsidR="009A4A36">
      <w:rPr>
        <w:noProof/>
        <w:color w:val="auto"/>
        <w:sz w:val="22"/>
        <w:szCs w:val="22"/>
      </w:rPr>
      <w:t>279</w:t>
    </w:r>
    <w:r w:rsidRPr="000B0768">
      <w:rPr>
        <w:noProof/>
        <w:color w:val="auto"/>
        <w:sz w:val="22"/>
        <w:szCs w:val="22"/>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9C5FD" w14:textId="044A054C" w:rsidR="001A54BC" w:rsidRPr="00B02E0C" w:rsidRDefault="001A54BC" w:rsidP="000954E1">
    <w:pPr>
      <w:pStyle w:val="Footer"/>
      <w:pBdr>
        <w:top w:val="single" w:sz="4" w:space="1" w:color="auto"/>
      </w:pBdr>
      <w:tabs>
        <w:tab w:val="clear" w:pos="9000"/>
        <w:tab w:val="left" w:pos="1440"/>
        <w:tab w:val="center" w:pos="4536"/>
        <w:tab w:val="right" w:pos="9072"/>
      </w:tabs>
      <w:rPr>
        <w:rFonts w:cs="Arial"/>
        <w:color w:val="000000"/>
        <w:sz w:val="14"/>
        <w:szCs w:val="22"/>
      </w:rPr>
    </w:pPr>
    <w:r>
      <w:rPr>
        <w:color w:val="auto"/>
        <w:sz w:val="22"/>
        <w:szCs w:val="22"/>
      </w:rPr>
      <w:t>Schedule 21</w:t>
    </w:r>
    <w:r>
      <w:rPr>
        <w:color w:val="auto"/>
        <w:sz w:val="22"/>
        <w:szCs w:val="22"/>
      </w:rPr>
      <w:tab/>
    </w:r>
    <w:r>
      <w:rPr>
        <w:color w:val="auto"/>
        <w:sz w:val="22"/>
        <w:szCs w:val="22"/>
      </w:rPr>
      <w:tab/>
      <w:t>Commercial in Confidence</w:t>
    </w:r>
    <w:r w:rsidRPr="000B0768">
      <w:rPr>
        <w:color w:val="auto"/>
        <w:sz w:val="22"/>
        <w:szCs w:val="22"/>
      </w:rPr>
      <w:tab/>
    </w:r>
    <w:r w:rsidRPr="000B0768">
      <w:rPr>
        <w:color w:val="auto"/>
        <w:sz w:val="22"/>
        <w:szCs w:val="22"/>
      </w:rPr>
      <w:fldChar w:fldCharType="begin"/>
    </w:r>
    <w:r w:rsidRPr="000B0768">
      <w:rPr>
        <w:color w:val="auto"/>
        <w:sz w:val="22"/>
        <w:szCs w:val="22"/>
      </w:rPr>
      <w:instrText xml:space="preserve"> PAGE   \* MERGEFORMAT </w:instrText>
    </w:r>
    <w:r w:rsidRPr="000B0768">
      <w:rPr>
        <w:color w:val="auto"/>
        <w:sz w:val="22"/>
        <w:szCs w:val="22"/>
      </w:rPr>
      <w:fldChar w:fldCharType="separate"/>
    </w:r>
    <w:r w:rsidR="009A4A36">
      <w:rPr>
        <w:noProof/>
        <w:color w:val="auto"/>
        <w:sz w:val="22"/>
        <w:szCs w:val="22"/>
      </w:rPr>
      <w:t>295</w:t>
    </w:r>
    <w:r w:rsidRPr="000B0768">
      <w:rPr>
        <w:noProof/>
        <w:color w:val="auto"/>
        <w:sz w:val="22"/>
        <w:szCs w:val="22"/>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A6533" w14:textId="1F21B1E7" w:rsidR="001A54BC" w:rsidRPr="00B02E0C" w:rsidRDefault="001A54BC" w:rsidP="00712E75">
    <w:pPr>
      <w:pStyle w:val="Footer"/>
      <w:pBdr>
        <w:top w:val="single" w:sz="4" w:space="1" w:color="auto"/>
      </w:pBdr>
      <w:tabs>
        <w:tab w:val="clear" w:pos="9000"/>
        <w:tab w:val="left" w:pos="1440"/>
        <w:tab w:val="center" w:pos="4536"/>
        <w:tab w:val="right" w:pos="9072"/>
      </w:tabs>
      <w:rPr>
        <w:rFonts w:cs="Arial"/>
        <w:color w:val="000000"/>
        <w:sz w:val="14"/>
        <w:szCs w:val="22"/>
      </w:rPr>
    </w:pPr>
    <w:r>
      <w:rPr>
        <w:color w:val="auto"/>
        <w:sz w:val="22"/>
        <w:szCs w:val="22"/>
      </w:rPr>
      <w:t>Schedule 21</w:t>
    </w:r>
    <w:r>
      <w:rPr>
        <w:color w:val="auto"/>
        <w:sz w:val="22"/>
        <w:szCs w:val="22"/>
      </w:rPr>
      <w:tab/>
    </w:r>
    <w:r>
      <w:rPr>
        <w:color w:val="auto"/>
        <w:sz w:val="22"/>
        <w:szCs w:val="22"/>
      </w:rPr>
      <w:tab/>
      <w:t>Commercial in Confidence</w:t>
    </w:r>
    <w:r w:rsidRPr="000B0768">
      <w:rPr>
        <w:color w:val="auto"/>
        <w:sz w:val="22"/>
        <w:szCs w:val="22"/>
      </w:rPr>
      <w:tab/>
    </w:r>
    <w:r w:rsidRPr="000B0768">
      <w:rPr>
        <w:color w:val="auto"/>
        <w:sz w:val="22"/>
        <w:szCs w:val="22"/>
      </w:rPr>
      <w:fldChar w:fldCharType="begin"/>
    </w:r>
    <w:r w:rsidRPr="000B0768">
      <w:rPr>
        <w:color w:val="auto"/>
        <w:sz w:val="22"/>
        <w:szCs w:val="22"/>
      </w:rPr>
      <w:instrText xml:space="preserve"> PAGE   \* MERGEFORMAT </w:instrText>
    </w:r>
    <w:r w:rsidRPr="000B0768">
      <w:rPr>
        <w:color w:val="auto"/>
        <w:sz w:val="22"/>
        <w:szCs w:val="22"/>
      </w:rPr>
      <w:fldChar w:fldCharType="separate"/>
    </w:r>
    <w:r w:rsidR="009A4A36">
      <w:rPr>
        <w:noProof/>
        <w:color w:val="auto"/>
        <w:sz w:val="22"/>
        <w:szCs w:val="22"/>
      </w:rPr>
      <w:t>310</w:t>
    </w:r>
    <w:r w:rsidRPr="000B0768">
      <w:rPr>
        <w:noProof/>
        <w:color w:val="auto"/>
        <w:sz w:val="22"/>
        <w:szCs w:val="22"/>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DFC4C" w14:textId="65D0CB96" w:rsidR="001A54BC" w:rsidRPr="00B02E0C" w:rsidRDefault="001A54BC" w:rsidP="00712E75">
    <w:pPr>
      <w:pStyle w:val="Footer"/>
      <w:pBdr>
        <w:top w:val="single" w:sz="4" w:space="1" w:color="auto"/>
      </w:pBdr>
      <w:tabs>
        <w:tab w:val="clear" w:pos="9000"/>
        <w:tab w:val="left" w:pos="1440"/>
        <w:tab w:val="center" w:pos="4536"/>
        <w:tab w:val="right" w:pos="9072"/>
      </w:tabs>
      <w:rPr>
        <w:rFonts w:cs="Arial"/>
        <w:color w:val="000000"/>
        <w:sz w:val="14"/>
        <w:szCs w:val="22"/>
      </w:rPr>
    </w:pPr>
    <w:r>
      <w:rPr>
        <w:color w:val="auto"/>
        <w:sz w:val="22"/>
        <w:szCs w:val="22"/>
      </w:rPr>
      <w:t>Schedule 22</w:t>
    </w:r>
    <w:r>
      <w:rPr>
        <w:color w:val="auto"/>
        <w:sz w:val="22"/>
        <w:szCs w:val="22"/>
      </w:rPr>
      <w:tab/>
    </w:r>
    <w:r>
      <w:rPr>
        <w:color w:val="auto"/>
        <w:sz w:val="22"/>
        <w:szCs w:val="22"/>
      </w:rPr>
      <w:tab/>
      <w:t>Commercial in Confidence</w:t>
    </w:r>
    <w:r w:rsidRPr="000B0768">
      <w:rPr>
        <w:color w:val="auto"/>
        <w:sz w:val="22"/>
        <w:szCs w:val="22"/>
      </w:rPr>
      <w:tab/>
    </w:r>
    <w:r w:rsidRPr="000B0768">
      <w:rPr>
        <w:color w:val="auto"/>
        <w:sz w:val="22"/>
        <w:szCs w:val="22"/>
      </w:rPr>
      <w:fldChar w:fldCharType="begin"/>
    </w:r>
    <w:r w:rsidRPr="000B0768">
      <w:rPr>
        <w:color w:val="auto"/>
        <w:sz w:val="22"/>
        <w:szCs w:val="22"/>
      </w:rPr>
      <w:instrText xml:space="preserve"> PAGE   \* MERGEFORMAT </w:instrText>
    </w:r>
    <w:r w:rsidRPr="000B0768">
      <w:rPr>
        <w:color w:val="auto"/>
        <w:sz w:val="22"/>
        <w:szCs w:val="22"/>
      </w:rPr>
      <w:fldChar w:fldCharType="separate"/>
    </w:r>
    <w:r w:rsidR="009A4A36">
      <w:rPr>
        <w:noProof/>
        <w:color w:val="auto"/>
        <w:sz w:val="22"/>
        <w:szCs w:val="22"/>
      </w:rPr>
      <w:t>317</w:t>
    </w:r>
    <w:r w:rsidRPr="000B0768">
      <w:rPr>
        <w:noProof/>
        <w:color w:val="auto"/>
        <w:sz w:val="22"/>
        <w:szCs w:val="22"/>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BC192" w14:textId="2B1E3C25" w:rsidR="001A54BC" w:rsidRPr="00B02E0C" w:rsidRDefault="001A54BC" w:rsidP="00712E75">
    <w:pPr>
      <w:pStyle w:val="Footer"/>
      <w:pBdr>
        <w:top w:val="single" w:sz="4" w:space="1" w:color="auto"/>
      </w:pBdr>
      <w:tabs>
        <w:tab w:val="clear" w:pos="9000"/>
        <w:tab w:val="left" w:pos="1440"/>
        <w:tab w:val="center" w:pos="4536"/>
        <w:tab w:val="right" w:pos="9072"/>
      </w:tabs>
      <w:rPr>
        <w:rFonts w:cs="Arial"/>
        <w:color w:val="000000"/>
        <w:sz w:val="14"/>
        <w:szCs w:val="22"/>
      </w:rPr>
    </w:pPr>
    <w:r>
      <w:rPr>
        <w:color w:val="auto"/>
        <w:sz w:val="22"/>
        <w:szCs w:val="22"/>
      </w:rPr>
      <w:t>Schedule 23</w:t>
    </w:r>
    <w:r>
      <w:rPr>
        <w:color w:val="auto"/>
        <w:sz w:val="22"/>
        <w:szCs w:val="22"/>
      </w:rPr>
      <w:tab/>
    </w:r>
    <w:r>
      <w:rPr>
        <w:color w:val="auto"/>
        <w:sz w:val="22"/>
        <w:szCs w:val="22"/>
      </w:rPr>
      <w:tab/>
      <w:t>Commercial in Confidence</w:t>
    </w:r>
    <w:r w:rsidRPr="000B0768">
      <w:rPr>
        <w:color w:val="auto"/>
        <w:sz w:val="22"/>
        <w:szCs w:val="22"/>
      </w:rPr>
      <w:tab/>
    </w:r>
    <w:r w:rsidRPr="000B0768">
      <w:rPr>
        <w:color w:val="auto"/>
        <w:sz w:val="22"/>
        <w:szCs w:val="22"/>
      </w:rPr>
      <w:fldChar w:fldCharType="begin"/>
    </w:r>
    <w:r w:rsidRPr="000B0768">
      <w:rPr>
        <w:color w:val="auto"/>
        <w:sz w:val="22"/>
        <w:szCs w:val="22"/>
      </w:rPr>
      <w:instrText xml:space="preserve"> PAGE   \* MERGEFORMAT </w:instrText>
    </w:r>
    <w:r w:rsidRPr="000B0768">
      <w:rPr>
        <w:color w:val="auto"/>
        <w:sz w:val="22"/>
        <w:szCs w:val="22"/>
      </w:rPr>
      <w:fldChar w:fldCharType="separate"/>
    </w:r>
    <w:r w:rsidR="009A4A36">
      <w:rPr>
        <w:noProof/>
        <w:color w:val="auto"/>
        <w:sz w:val="22"/>
        <w:szCs w:val="22"/>
      </w:rPr>
      <w:t>320</w:t>
    </w:r>
    <w:r w:rsidRPr="000B0768">
      <w:rPr>
        <w:noProof/>
        <w:color w:val="auto"/>
        <w:sz w:val="22"/>
        <w:szCs w:val="22"/>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3516A" w14:textId="6899C977" w:rsidR="001A54BC" w:rsidRDefault="001A54BC" w:rsidP="00712E75">
    <w:pPr>
      <w:pStyle w:val="Footer"/>
      <w:pBdr>
        <w:top w:val="single" w:sz="4" w:space="1" w:color="auto"/>
      </w:pBdr>
      <w:tabs>
        <w:tab w:val="clear" w:pos="9000"/>
        <w:tab w:val="left" w:pos="1440"/>
        <w:tab w:val="center" w:pos="4536"/>
        <w:tab w:val="right" w:pos="9072"/>
      </w:tabs>
      <w:rPr>
        <w:noProof/>
        <w:color w:val="auto"/>
        <w:sz w:val="22"/>
        <w:szCs w:val="22"/>
      </w:rPr>
    </w:pPr>
    <w:r>
      <w:rPr>
        <w:color w:val="auto"/>
        <w:sz w:val="22"/>
        <w:szCs w:val="22"/>
      </w:rPr>
      <w:t>Schedule 24</w:t>
    </w:r>
    <w:r>
      <w:rPr>
        <w:color w:val="auto"/>
        <w:sz w:val="22"/>
        <w:szCs w:val="22"/>
      </w:rPr>
      <w:tab/>
    </w:r>
    <w:r>
      <w:rPr>
        <w:color w:val="auto"/>
        <w:sz w:val="22"/>
        <w:szCs w:val="22"/>
      </w:rPr>
      <w:tab/>
      <w:t>Commercial in Confidence</w:t>
    </w:r>
    <w:r w:rsidRPr="000B0768">
      <w:rPr>
        <w:color w:val="auto"/>
        <w:sz w:val="22"/>
        <w:szCs w:val="22"/>
      </w:rPr>
      <w:tab/>
    </w:r>
    <w:r w:rsidRPr="000B0768">
      <w:rPr>
        <w:color w:val="auto"/>
        <w:sz w:val="22"/>
        <w:szCs w:val="22"/>
      </w:rPr>
      <w:fldChar w:fldCharType="begin"/>
    </w:r>
    <w:r w:rsidRPr="000B0768">
      <w:rPr>
        <w:color w:val="auto"/>
        <w:sz w:val="22"/>
        <w:szCs w:val="22"/>
      </w:rPr>
      <w:instrText xml:space="preserve"> PAGE   \* MERGEFORMAT </w:instrText>
    </w:r>
    <w:r w:rsidRPr="000B0768">
      <w:rPr>
        <w:color w:val="auto"/>
        <w:sz w:val="22"/>
        <w:szCs w:val="22"/>
      </w:rPr>
      <w:fldChar w:fldCharType="separate"/>
    </w:r>
    <w:r w:rsidR="009A4A36">
      <w:rPr>
        <w:noProof/>
        <w:color w:val="auto"/>
        <w:sz w:val="22"/>
        <w:szCs w:val="22"/>
      </w:rPr>
      <w:t>330</w:t>
    </w:r>
    <w:r w:rsidRPr="000B0768">
      <w:rPr>
        <w:noProof/>
        <w:color w:val="auto"/>
        <w:sz w:val="22"/>
        <w:szCs w:val="22"/>
      </w:rPr>
      <w:fldChar w:fldCharType="end"/>
    </w:r>
  </w:p>
  <w:p w14:paraId="06923BD3" w14:textId="77777777" w:rsidR="001A54BC" w:rsidRPr="00100601" w:rsidRDefault="001A54BC" w:rsidP="00712E75">
    <w:pPr>
      <w:pStyle w:val="Footer"/>
      <w:pBdr>
        <w:top w:val="single" w:sz="4" w:space="1" w:color="auto"/>
      </w:pBdr>
      <w:tabs>
        <w:tab w:val="clear" w:pos="9000"/>
        <w:tab w:val="left" w:pos="1440"/>
        <w:tab w:val="center" w:pos="4536"/>
        <w:tab w:val="right" w:pos="9072"/>
      </w:tabs>
      <w:rPr>
        <w:color w:val="auto"/>
        <w:sz w:val="22"/>
        <w:szCs w:val="2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2C21B" w14:textId="7A035733" w:rsidR="001A54BC" w:rsidRDefault="001A54BC" w:rsidP="00712E75">
    <w:pPr>
      <w:pStyle w:val="Footer"/>
      <w:pBdr>
        <w:top w:val="single" w:sz="4" w:space="1" w:color="auto"/>
      </w:pBdr>
      <w:tabs>
        <w:tab w:val="clear" w:pos="9000"/>
        <w:tab w:val="left" w:pos="1440"/>
        <w:tab w:val="center" w:pos="4536"/>
        <w:tab w:val="right" w:pos="9072"/>
      </w:tabs>
      <w:rPr>
        <w:noProof/>
        <w:color w:val="auto"/>
        <w:sz w:val="22"/>
        <w:szCs w:val="22"/>
      </w:rPr>
    </w:pPr>
    <w:r>
      <w:rPr>
        <w:color w:val="auto"/>
        <w:sz w:val="22"/>
        <w:szCs w:val="22"/>
      </w:rPr>
      <w:t>Schedule 25</w:t>
    </w:r>
    <w:r>
      <w:rPr>
        <w:color w:val="auto"/>
        <w:sz w:val="22"/>
        <w:szCs w:val="22"/>
      </w:rPr>
      <w:tab/>
    </w:r>
    <w:r>
      <w:rPr>
        <w:color w:val="auto"/>
        <w:sz w:val="22"/>
        <w:szCs w:val="22"/>
      </w:rPr>
      <w:tab/>
      <w:t>Commercial in Confidence</w:t>
    </w:r>
    <w:r w:rsidRPr="000B0768">
      <w:rPr>
        <w:color w:val="auto"/>
        <w:sz w:val="22"/>
        <w:szCs w:val="22"/>
      </w:rPr>
      <w:tab/>
    </w:r>
    <w:r w:rsidRPr="000B0768">
      <w:rPr>
        <w:color w:val="auto"/>
        <w:sz w:val="22"/>
        <w:szCs w:val="22"/>
      </w:rPr>
      <w:fldChar w:fldCharType="begin"/>
    </w:r>
    <w:r w:rsidRPr="000B0768">
      <w:rPr>
        <w:color w:val="auto"/>
        <w:sz w:val="22"/>
        <w:szCs w:val="22"/>
      </w:rPr>
      <w:instrText xml:space="preserve"> PAGE   \* MERGEFORMAT </w:instrText>
    </w:r>
    <w:r w:rsidRPr="000B0768">
      <w:rPr>
        <w:color w:val="auto"/>
        <w:sz w:val="22"/>
        <w:szCs w:val="22"/>
      </w:rPr>
      <w:fldChar w:fldCharType="separate"/>
    </w:r>
    <w:r w:rsidR="009A4A36">
      <w:rPr>
        <w:noProof/>
        <w:color w:val="auto"/>
        <w:sz w:val="22"/>
        <w:szCs w:val="22"/>
      </w:rPr>
      <w:t>350</w:t>
    </w:r>
    <w:r w:rsidRPr="000B0768">
      <w:rPr>
        <w:noProof/>
        <w:color w:val="auto"/>
        <w:sz w:val="22"/>
        <w:szCs w:val="22"/>
      </w:rPr>
      <w:fldChar w:fldCharType="end"/>
    </w:r>
  </w:p>
  <w:p w14:paraId="6E67A6B1" w14:textId="77777777" w:rsidR="001A54BC" w:rsidRPr="006E5580" w:rsidRDefault="001A54BC" w:rsidP="00712E75">
    <w:pPr>
      <w:pStyle w:val="Footer"/>
      <w:pBdr>
        <w:top w:val="single" w:sz="4" w:space="1" w:color="auto"/>
      </w:pBdr>
      <w:tabs>
        <w:tab w:val="clear" w:pos="9000"/>
        <w:tab w:val="left" w:pos="1440"/>
        <w:tab w:val="center" w:pos="4536"/>
        <w:tab w:val="right" w:pos="9072"/>
      </w:tabs>
      <w:rPr>
        <w:color w:val="auto"/>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26929" w14:textId="3C857387" w:rsidR="001A54BC" w:rsidRPr="00B02E0C" w:rsidRDefault="001A54BC" w:rsidP="00EF67EC">
    <w:pPr>
      <w:pStyle w:val="Footer"/>
      <w:pBdr>
        <w:top w:val="single" w:sz="4" w:space="1" w:color="auto"/>
      </w:pBdr>
      <w:tabs>
        <w:tab w:val="clear" w:pos="9000"/>
        <w:tab w:val="center" w:pos="4536"/>
        <w:tab w:val="right" w:pos="9072"/>
      </w:tabs>
      <w:rPr>
        <w:rFonts w:cs="Arial"/>
        <w:color w:val="000000"/>
        <w:sz w:val="14"/>
        <w:szCs w:val="22"/>
      </w:rPr>
    </w:pPr>
    <w:r>
      <w:rPr>
        <w:color w:val="auto"/>
        <w:sz w:val="22"/>
        <w:szCs w:val="22"/>
      </w:rPr>
      <w:t>Schedule 2</w:t>
    </w:r>
    <w:r>
      <w:rPr>
        <w:color w:val="auto"/>
        <w:sz w:val="22"/>
        <w:szCs w:val="22"/>
      </w:rPr>
      <w:tab/>
      <w:t>Commercial in Confidence</w:t>
    </w:r>
    <w:r w:rsidRPr="000B0768">
      <w:rPr>
        <w:color w:val="auto"/>
        <w:sz w:val="22"/>
        <w:szCs w:val="22"/>
      </w:rPr>
      <w:tab/>
    </w:r>
    <w:r w:rsidRPr="000B0768">
      <w:rPr>
        <w:color w:val="auto"/>
        <w:sz w:val="22"/>
        <w:szCs w:val="22"/>
      </w:rPr>
      <w:fldChar w:fldCharType="begin"/>
    </w:r>
    <w:r w:rsidRPr="000B0768">
      <w:rPr>
        <w:color w:val="auto"/>
        <w:sz w:val="22"/>
        <w:szCs w:val="22"/>
      </w:rPr>
      <w:instrText xml:space="preserve"> PAGE   \* MERGEFORMAT </w:instrText>
    </w:r>
    <w:r w:rsidRPr="000B0768">
      <w:rPr>
        <w:color w:val="auto"/>
        <w:sz w:val="22"/>
        <w:szCs w:val="22"/>
      </w:rPr>
      <w:fldChar w:fldCharType="separate"/>
    </w:r>
    <w:r w:rsidR="009A4A36">
      <w:rPr>
        <w:noProof/>
        <w:color w:val="auto"/>
        <w:sz w:val="22"/>
        <w:szCs w:val="22"/>
      </w:rPr>
      <w:t>42</w:t>
    </w:r>
    <w:r w:rsidRPr="000B0768">
      <w:rPr>
        <w:noProof/>
        <w:color w:val="auto"/>
        <w:sz w:val="22"/>
        <w:szCs w:val="22"/>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0521F" w14:textId="76DB80C7" w:rsidR="001A54BC" w:rsidRDefault="001A54BC" w:rsidP="00712E75">
    <w:pPr>
      <w:pStyle w:val="Footer"/>
      <w:pBdr>
        <w:top w:val="single" w:sz="4" w:space="1" w:color="auto"/>
      </w:pBdr>
      <w:tabs>
        <w:tab w:val="clear" w:pos="9000"/>
        <w:tab w:val="left" w:pos="1440"/>
        <w:tab w:val="center" w:pos="4536"/>
        <w:tab w:val="right" w:pos="9072"/>
      </w:tabs>
      <w:rPr>
        <w:color w:val="auto"/>
        <w:sz w:val="22"/>
        <w:szCs w:val="22"/>
      </w:rPr>
    </w:pPr>
    <w:r>
      <w:rPr>
        <w:color w:val="auto"/>
        <w:sz w:val="22"/>
        <w:szCs w:val="22"/>
      </w:rPr>
      <w:t>Schedule 25</w:t>
    </w:r>
  </w:p>
  <w:p w14:paraId="40DB65E0" w14:textId="4EEE48C7" w:rsidR="001A54BC" w:rsidRPr="00B02E0C" w:rsidRDefault="001A54BC" w:rsidP="00712E75">
    <w:pPr>
      <w:pStyle w:val="Footer"/>
      <w:pBdr>
        <w:top w:val="single" w:sz="4" w:space="1" w:color="auto"/>
      </w:pBdr>
      <w:tabs>
        <w:tab w:val="clear" w:pos="9000"/>
        <w:tab w:val="left" w:pos="1440"/>
        <w:tab w:val="center" w:pos="4536"/>
        <w:tab w:val="right" w:pos="9072"/>
      </w:tabs>
      <w:rPr>
        <w:rFonts w:cs="Arial"/>
        <w:color w:val="000000"/>
        <w:sz w:val="14"/>
        <w:szCs w:val="22"/>
      </w:rPr>
    </w:pPr>
    <w:r>
      <w:rPr>
        <w:color w:val="auto"/>
        <w:sz w:val="22"/>
        <w:szCs w:val="22"/>
      </w:rPr>
      <w:tab/>
    </w:r>
    <w:r>
      <w:rPr>
        <w:color w:val="auto"/>
        <w:sz w:val="22"/>
        <w:szCs w:val="22"/>
      </w:rPr>
      <w:tab/>
      <w:t>Commercial in Confidence</w:t>
    </w:r>
    <w:r w:rsidRPr="000B0768">
      <w:rPr>
        <w:color w:val="auto"/>
        <w:sz w:val="22"/>
        <w:szCs w:val="22"/>
      </w:rPr>
      <w:tab/>
    </w:r>
    <w:r w:rsidRPr="000B0768">
      <w:rPr>
        <w:color w:val="auto"/>
        <w:sz w:val="22"/>
        <w:szCs w:val="22"/>
      </w:rPr>
      <w:fldChar w:fldCharType="begin"/>
    </w:r>
    <w:r w:rsidRPr="000B0768">
      <w:rPr>
        <w:color w:val="auto"/>
        <w:sz w:val="22"/>
        <w:szCs w:val="22"/>
      </w:rPr>
      <w:instrText xml:space="preserve"> PAGE   \* MERGEFORMAT </w:instrText>
    </w:r>
    <w:r w:rsidRPr="000B0768">
      <w:rPr>
        <w:color w:val="auto"/>
        <w:sz w:val="22"/>
        <w:szCs w:val="22"/>
      </w:rPr>
      <w:fldChar w:fldCharType="separate"/>
    </w:r>
    <w:r w:rsidR="009A4A36">
      <w:rPr>
        <w:noProof/>
        <w:color w:val="auto"/>
        <w:sz w:val="22"/>
        <w:szCs w:val="22"/>
      </w:rPr>
      <w:t>355</w:t>
    </w:r>
    <w:r w:rsidRPr="000B0768">
      <w:rPr>
        <w:noProof/>
        <w:color w:val="auto"/>
        <w:sz w:val="22"/>
        <w:szCs w:val="22"/>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D554F" w14:textId="36247320" w:rsidR="001A54BC" w:rsidRDefault="001A54BC" w:rsidP="00567750">
    <w:pPr>
      <w:pStyle w:val="Footer"/>
      <w:pBdr>
        <w:top w:val="single" w:sz="4" w:space="1" w:color="auto"/>
      </w:pBdr>
      <w:tabs>
        <w:tab w:val="clear" w:pos="9000"/>
        <w:tab w:val="left" w:pos="1440"/>
        <w:tab w:val="center" w:pos="4536"/>
        <w:tab w:val="right" w:pos="9072"/>
      </w:tabs>
      <w:rPr>
        <w:color w:val="auto"/>
        <w:sz w:val="22"/>
        <w:szCs w:val="22"/>
      </w:rPr>
    </w:pPr>
    <w:r>
      <w:rPr>
        <w:color w:val="auto"/>
        <w:sz w:val="22"/>
        <w:szCs w:val="22"/>
      </w:rPr>
      <w:t>Schedule 25</w:t>
    </w:r>
  </w:p>
  <w:p w14:paraId="0FF90B8E" w14:textId="06B45173" w:rsidR="001A54BC" w:rsidRPr="00B02E0C" w:rsidRDefault="001A54BC" w:rsidP="00CC47BD">
    <w:pPr>
      <w:pStyle w:val="Footer"/>
      <w:pBdr>
        <w:top w:val="single" w:sz="4" w:space="1" w:color="auto"/>
      </w:pBdr>
      <w:tabs>
        <w:tab w:val="clear" w:pos="9000"/>
        <w:tab w:val="left" w:pos="1440"/>
        <w:tab w:val="center" w:pos="4536"/>
        <w:tab w:val="right" w:pos="9072"/>
      </w:tabs>
      <w:rPr>
        <w:rFonts w:cs="Arial"/>
        <w:color w:val="000000"/>
        <w:sz w:val="14"/>
        <w:szCs w:val="22"/>
      </w:rPr>
    </w:pPr>
    <w:r>
      <w:rPr>
        <w:color w:val="auto"/>
        <w:sz w:val="22"/>
        <w:szCs w:val="22"/>
      </w:rPr>
      <w:tab/>
    </w:r>
    <w:r>
      <w:rPr>
        <w:color w:val="auto"/>
        <w:sz w:val="22"/>
        <w:szCs w:val="22"/>
      </w:rPr>
      <w:tab/>
      <w:t>Commercial in Confidence</w:t>
    </w:r>
    <w:r w:rsidRPr="000B0768">
      <w:rPr>
        <w:color w:val="auto"/>
        <w:sz w:val="22"/>
        <w:szCs w:val="22"/>
      </w:rPr>
      <w:tab/>
    </w:r>
    <w:r w:rsidRPr="000B0768">
      <w:rPr>
        <w:color w:val="auto"/>
        <w:sz w:val="22"/>
        <w:szCs w:val="22"/>
      </w:rPr>
      <w:fldChar w:fldCharType="begin"/>
    </w:r>
    <w:r w:rsidRPr="000B0768">
      <w:rPr>
        <w:color w:val="auto"/>
        <w:sz w:val="22"/>
        <w:szCs w:val="22"/>
      </w:rPr>
      <w:instrText xml:space="preserve"> PAGE   \* MERGEFORMAT </w:instrText>
    </w:r>
    <w:r w:rsidRPr="000B0768">
      <w:rPr>
        <w:color w:val="auto"/>
        <w:sz w:val="22"/>
        <w:szCs w:val="22"/>
      </w:rPr>
      <w:fldChar w:fldCharType="separate"/>
    </w:r>
    <w:r w:rsidR="009A4A36">
      <w:rPr>
        <w:noProof/>
        <w:color w:val="auto"/>
        <w:sz w:val="22"/>
        <w:szCs w:val="22"/>
      </w:rPr>
      <w:t>356</w:t>
    </w:r>
    <w:r w:rsidRPr="000B0768">
      <w:rPr>
        <w:noProof/>
        <w:color w:val="auto"/>
        <w:sz w:val="22"/>
        <w:szCs w:val="22"/>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823A6" w14:textId="0081238E" w:rsidR="001A54BC" w:rsidRDefault="001A54BC" w:rsidP="00567750">
    <w:pPr>
      <w:pStyle w:val="Footer"/>
      <w:pBdr>
        <w:top w:val="single" w:sz="4" w:space="1" w:color="auto"/>
      </w:pBdr>
      <w:tabs>
        <w:tab w:val="clear" w:pos="9000"/>
        <w:tab w:val="left" w:pos="1440"/>
        <w:tab w:val="center" w:pos="4536"/>
        <w:tab w:val="right" w:pos="9072"/>
      </w:tabs>
      <w:rPr>
        <w:color w:val="auto"/>
        <w:sz w:val="22"/>
        <w:szCs w:val="22"/>
      </w:rPr>
    </w:pPr>
    <w:r>
      <w:rPr>
        <w:color w:val="auto"/>
        <w:sz w:val="22"/>
        <w:szCs w:val="22"/>
      </w:rPr>
      <w:t>Schedule 26</w:t>
    </w:r>
  </w:p>
  <w:p w14:paraId="3FCC6861" w14:textId="57A8E80B" w:rsidR="001A54BC" w:rsidRPr="00B02E0C" w:rsidRDefault="001A54BC" w:rsidP="00CC47BD">
    <w:pPr>
      <w:pStyle w:val="Footer"/>
      <w:pBdr>
        <w:top w:val="single" w:sz="4" w:space="1" w:color="auto"/>
      </w:pBdr>
      <w:tabs>
        <w:tab w:val="clear" w:pos="9000"/>
        <w:tab w:val="left" w:pos="1440"/>
        <w:tab w:val="center" w:pos="4536"/>
        <w:tab w:val="right" w:pos="9072"/>
      </w:tabs>
      <w:rPr>
        <w:rFonts w:cs="Arial"/>
        <w:color w:val="000000"/>
        <w:sz w:val="14"/>
        <w:szCs w:val="22"/>
      </w:rPr>
    </w:pPr>
    <w:r>
      <w:rPr>
        <w:color w:val="auto"/>
        <w:sz w:val="22"/>
        <w:szCs w:val="22"/>
      </w:rPr>
      <w:tab/>
    </w:r>
    <w:r>
      <w:rPr>
        <w:color w:val="auto"/>
        <w:sz w:val="22"/>
        <w:szCs w:val="22"/>
      </w:rPr>
      <w:tab/>
      <w:t>Commercial in Confidence</w:t>
    </w:r>
    <w:r w:rsidRPr="000B0768">
      <w:rPr>
        <w:color w:val="auto"/>
        <w:sz w:val="22"/>
        <w:szCs w:val="22"/>
      </w:rPr>
      <w:tab/>
    </w:r>
    <w:r w:rsidRPr="000B0768">
      <w:rPr>
        <w:color w:val="auto"/>
        <w:sz w:val="22"/>
        <w:szCs w:val="22"/>
      </w:rPr>
      <w:fldChar w:fldCharType="begin"/>
    </w:r>
    <w:r w:rsidRPr="000B0768">
      <w:rPr>
        <w:color w:val="auto"/>
        <w:sz w:val="22"/>
        <w:szCs w:val="22"/>
      </w:rPr>
      <w:instrText xml:space="preserve"> PAGE   \* MERGEFORMAT </w:instrText>
    </w:r>
    <w:r w:rsidRPr="000B0768">
      <w:rPr>
        <w:color w:val="auto"/>
        <w:sz w:val="22"/>
        <w:szCs w:val="22"/>
      </w:rPr>
      <w:fldChar w:fldCharType="separate"/>
    </w:r>
    <w:r w:rsidR="009A4A36">
      <w:rPr>
        <w:noProof/>
        <w:color w:val="auto"/>
        <w:sz w:val="22"/>
        <w:szCs w:val="22"/>
      </w:rPr>
      <w:t>360</w:t>
    </w:r>
    <w:r w:rsidRPr="000B0768">
      <w:rPr>
        <w:noProof/>
        <w:color w:val="auto"/>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49E69" w14:textId="07EA885D" w:rsidR="001A54BC" w:rsidRPr="00100601" w:rsidRDefault="001A54BC" w:rsidP="00C050EC">
    <w:pPr>
      <w:pStyle w:val="Footer"/>
      <w:pBdr>
        <w:top w:val="single" w:sz="4" w:space="1" w:color="auto"/>
      </w:pBdr>
      <w:tabs>
        <w:tab w:val="clear" w:pos="9000"/>
        <w:tab w:val="center" w:pos="4536"/>
        <w:tab w:val="right" w:pos="9072"/>
      </w:tabs>
      <w:rPr>
        <w:noProof/>
        <w:color w:val="auto"/>
        <w:sz w:val="22"/>
        <w:szCs w:val="22"/>
      </w:rPr>
    </w:pPr>
    <w:r>
      <w:rPr>
        <w:color w:val="auto"/>
        <w:sz w:val="22"/>
        <w:szCs w:val="22"/>
      </w:rPr>
      <w:t>Schedule 3</w:t>
    </w:r>
    <w:r>
      <w:rPr>
        <w:color w:val="auto"/>
        <w:sz w:val="22"/>
        <w:szCs w:val="22"/>
      </w:rPr>
      <w:tab/>
      <w:t>Commercial in Confidence</w:t>
    </w:r>
    <w:r w:rsidRPr="000B0768">
      <w:rPr>
        <w:color w:val="auto"/>
        <w:sz w:val="22"/>
        <w:szCs w:val="22"/>
      </w:rPr>
      <w:tab/>
    </w:r>
    <w:r w:rsidRPr="000B0768">
      <w:rPr>
        <w:color w:val="auto"/>
        <w:sz w:val="22"/>
        <w:szCs w:val="22"/>
      </w:rPr>
      <w:fldChar w:fldCharType="begin"/>
    </w:r>
    <w:r w:rsidRPr="000B0768">
      <w:rPr>
        <w:color w:val="auto"/>
        <w:sz w:val="22"/>
        <w:szCs w:val="22"/>
      </w:rPr>
      <w:instrText xml:space="preserve"> PAGE   \* MERGEFORMAT </w:instrText>
    </w:r>
    <w:r w:rsidRPr="000B0768">
      <w:rPr>
        <w:color w:val="auto"/>
        <w:sz w:val="22"/>
        <w:szCs w:val="22"/>
      </w:rPr>
      <w:fldChar w:fldCharType="separate"/>
    </w:r>
    <w:r w:rsidR="009A4A36">
      <w:rPr>
        <w:noProof/>
        <w:color w:val="auto"/>
        <w:sz w:val="22"/>
        <w:szCs w:val="22"/>
      </w:rPr>
      <w:t>69</w:t>
    </w:r>
    <w:r w:rsidRPr="000B0768">
      <w:rPr>
        <w:noProof/>
        <w:color w:val="auto"/>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3BF6A" w14:textId="4BB81934" w:rsidR="001A54BC" w:rsidRPr="00B02E0C" w:rsidRDefault="001A54BC" w:rsidP="00747A08">
    <w:pPr>
      <w:pStyle w:val="Footer"/>
      <w:pBdr>
        <w:top w:val="single" w:sz="4" w:space="1" w:color="auto"/>
      </w:pBdr>
      <w:tabs>
        <w:tab w:val="clear" w:pos="9000"/>
        <w:tab w:val="center" w:pos="4536"/>
        <w:tab w:val="right" w:pos="9072"/>
      </w:tabs>
      <w:rPr>
        <w:rFonts w:cs="Arial"/>
        <w:color w:val="000000"/>
        <w:sz w:val="14"/>
        <w:szCs w:val="22"/>
      </w:rPr>
    </w:pPr>
    <w:r>
      <w:rPr>
        <w:color w:val="auto"/>
        <w:sz w:val="22"/>
        <w:szCs w:val="22"/>
      </w:rPr>
      <w:t>Schedule 4</w:t>
    </w:r>
    <w:r>
      <w:rPr>
        <w:color w:val="auto"/>
        <w:sz w:val="22"/>
        <w:szCs w:val="22"/>
      </w:rPr>
      <w:tab/>
      <w:t>Commercial in Confidence</w:t>
    </w:r>
    <w:r w:rsidRPr="000B0768">
      <w:rPr>
        <w:color w:val="auto"/>
        <w:sz w:val="22"/>
        <w:szCs w:val="22"/>
      </w:rPr>
      <w:tab/>
    </w:r>
    <w:r w:rsidRPr="000B0768">
      <w:rPr>
        <w:color w:val="auto"/>
        <w:sz w:val="22"/>
        <w:szCs w:val="22"/>
      </w:rPr>
      <w:fldChar w:fldCharType="begin"/>
    </w:r>
    <w:r w:rsidRPr="000B0768">
      <w:rPr>
        <w:color w:val="auto"/>
        <w:sz w:val="22"/>
        <w:szCs w:val="22"/>
      </w:rPr>
      <w:instrText xml:space="preserve"> PAGE   \* MERGEFORMAT </w:instrText>
    </w:r>
    <w:r w:rsidRPr="000B0768">
      <w:rPr>
        <w:color w:val="auto"/>
        <w:sz w:val="22"/>
        <w:szCs w:val="22"/>
      </w:rPr>
      <w:fldChar w:fldCharType="separate"/>
    </w:r>
    <w:r w:rsidR="009A4A36">
      <w:rPr>
        <w:noProof/>
        <w:color w:val="auto"/>
        <w:sz w:val="22"/>
        <w:szCs w:val="22"/>
      </w:rPr>
      <w:t>80</w:t>
    </w:r>
    <w:r w:rsidRPr="000B0768">
      <w:rPr>
        <w:noProof/>
        <w:color w:val="auto"/>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90BD6" w14:textId="0AF50928" w:rsidR="001A54BC" w:rsidRPr="00B02E0C" w:rsidRDefault="001A54BC" w:rsidP="00832747">
    <w:pPr>
      <w:pStyle w:val="Footer"/>
      <w:pBdr>
        <w:top w:val="single" w:sz="4" w:space="1" w:color="auto"/>
      </w:pBdr>
      <w:tabs>
        <w:tab w:val="clear" w:pos="9000"/>
        <w:tab w:val="center" w:pos="4536"/>
        <w:tab w:val="right" w:pos="9072"/>
      </w:tabs>
      <w:rPr>
        <w:rFonts w:cs="Arial"/>
        <w:color w:val="000000"/>
        <w:sz w:val="14"/>
        <w:szCs w:val="22"/>
      </w:rPr>
    </w:pPr>
    <w:r>
      <w:rPr>
        <w:color w:val="auto"/>
        <w:sz w:val="22"/>
        <w:szCs w:val="22"/>
      </w:rPr>
      <w:t>Schedule 5</w:t>
    </w:r>
    <w:r>
      <w:rPr>
        <w:color w:val="auto"/>
        <w:sz w:val="22"/>
        <w:szCs w:val="22"/>
      </w:rPr>
      <w:tab/>
      <w:t>Commercial in Confidence</w:t>
    </w:r>
    <w:r w:rsidRPr="000B0768">
      <w:rPr>
        <w:color w:val="auto"/>
        <w:sz w:val="22"/>
        <w:szCs w:val="22"/>
      </w:rPr>
      <w:tab/>
    </w:r>
    <w:r w:rsidRPr="000B0768">
      <w:rPr>
        <w:color w:val="auto"/>
        <w:sz w:val="22"/>
        <w:szCs w:val="22"/>
      </w:rPr>
      <w:fldChar w:fldCharType="begin"/>
    </w:r>
    <w:r w:rsidRPr="000B0768">
      <w:rPr>
        <w:color w:val="auto"/>
        <w:sz w:val="22"/>
        <w:szCs w:val="22"/>
      </w:rPr>
      <w:instrText xml:space="preserve"> PAGE   \* MERGEFORMAT </w:instrText>
    </w:r>
    <w:r w:rsidRPr="000B0768">
      <w:rPr>
        <w:color w:val="auto"/>
        <w:sz w:val="22"/>
        <w:szCs w:val="22"/>
      </w:rPr>
      <w:fldChar w:fldCharType="separate"/>
    </w:r>
    <w:r w:rsidR="009A4A36">
      <w:rPr>
        <w:noProof/>
        <w:color w:val="auto"/>
        <w:sz w:val="22"/>
        <w:szCs w:val="22"/>
      </w:rPr>
      <w:t>97</w:t>
    </w:r>
    <w:r w:rsidRPr="000B0768">
      <w:rPr>
        <w:noProof/>
        <w:color w:val="auto"/>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31966" w14:textId="2F7BD3FC" w:rsidR="001A54BC" w:rsidRPr="00B02E0C" w:rsidRDefault="001A54BC" w:rsidP="00832747">
    <w:pPr>
      <w:pStyle w:val="Footer"/>
      <w:pBdr>
        <w:top w:val="single" w:sz="4" w:space="1" w:color="auto"/>
      </w:pBdr>
      <w:tabs>
        <w:tab w:val="clear" w:pos="9000"/>
        <w:tab w:val="center" w:pos="4536"/>
        <w:tab w:val="right" w:pos="9072"/>
      </w:tabs>
      <w:rPr>
        <w:rFonts w:cs="Arial"/>
        <w:color w:val="000000"/>
        <w:sz w:val="14"/>
        <w:szCs w:val="22"/>
      </w:rPr>
    </w:pPr>
    <w:r>
      <w:rPr>
        <w:color w:val="auto"/>
        <w:sz w:val="22"/>
        <w:szCs w:val="22"/>
      </w:rPr>
      <w:t>Schedule 6</w:t>
    </w:r>
    <w:r>
      <w:rPr>
        <w:color w:val="auto"/>
        <w:sz w:val="22"/>
        <w:szCs w:val="22"/>
      </w:rPr>
      <w:tab/>
      <w:t>Commercial in Confidence</w:t>
    </w:r>
    <w:r w:rsidRPr="000B0768">
      <w:rPr>
        <w:color w:val="auto"/>
        <w:sz w:val="22"/>
        <w:szCs w:val="22"/>
      </w:rPr>
      <w:tab/>
    </w:r>
    <w:r w:rsidRPr="000B0768">
      <w:rPr>
        <w:color w:val="auto"/>
        <w:sz w:val="22"/>
        <w:szCs w:val="22"/>
      </w:rPr>
      <w:fldChar w:fldCharType="begin"/>
    </w:r>
    <w:r w:rsidRPr="000B0768">
      <w:rPr>
        <w:color w:val="auto"/>
        <w:sz w:val="22"/>
        <w:szCs w:val="22"/>
      </w:rPr>
      <w:instrText xml:space="preserve"> PAGE   \* MERGEFORMAT </w:instrText>
    </w:r>
    <w:r w:rsidRPr="000B0768">
      <w:rPr>
        <w:color w:val="auto"/>
        <w:sz w:val="22"/>
        <w:szCs w:val="22"/>
      </w:rPr>
      <w:fldChar w:fldCharType="separate"/>
    </w:r>
    <w:r w:rsidR="009A4A36">
      <w:rPr>
        <w:noProof/>
        <w:color w:val="auto"/>
        <w:sz w:val="22"/>
        <w:szCs w:val="22"/>
      </w:rPr>
      <w:t>101</w:t>
    </w:r>
    <w:r w:rsidRPr="000B0768">
      <w:rPr>
        <w:noProof/>
        <w:color w:val="auto"/>
        <w:sz w:val="22"/>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A1C7D" w14:textId="26671FA0" w:rsidR="001A54BC" w:rsidRPr="00B02E0C" w:rsidRDefault="001A54BC" w:rsidP="003230A5">
    <w:pPr>
      <w:pStyle w:val="Footer"/>
      <w:pBdr>
        <w:top w:val="single" w:sz="4" w:space="1" w:color="auto"/>
      </w:pBdr>
      <w:tabs>
        <w:tab w:val="clear" w:pos="9000"/>
        <w:tab w:val="center" w:pos="4536"/>
        <w:tab w:val="right" w:pos="9072"/>
      </w:tabs>
      <w:rPr>
        <w:rFonts w:cs="Arial"/>
        <w:color w:val="000000"/>
        <w:sz w:val="14"/>
        <w:szCs w:val="22"/>
      </w:rPr>
    </w:pPr>
    <w:r>
      <w:rPr>
        <w:color w:val="auto"/>
        <w:sz w:val="22"/>
        <w:szCs w:val="22"/>
      </w:rPr>
      <w:t>Schedule 7</w:t>
    </w:r>
    <w:r>
      <w:rPr>
        <w:color w:val="auto"/>
        <w:sz w:val="22"/>
        <w:szCs w:val="22"/>
      </w:rPr>
      <w:tab/>
      <w:t>Commercial in Confidence</w:t>
    </w:r>
    <w:r w:rsidRPr="000B0768">
      <w:rPr>
        <w:color w:val="auto"/>
        <w:sz w:val="22"/>
        <w:szCs w:val="22"/>
      </w:rPr>
      <w:tab/>
    </w:r>
    <w:r w:rsidRPr="000B0768">
      <w:rPr>
        <w:color w:val="auto"/>
        <w:sz w:val="22"/>
        <w:szCs w:val="22"/>
      </w:rPr>
      <w:fldChar w:fldCharType="begin"/>
    </w:r>
    <w:r w:rsidRPr="000B0768">
      <w:rPr>
        <w:color w:val="auto"/>
        <w:sz w:val="22"/>
        <w:szCs w:val="22"/>
      </w:rPr>
      <w:instrText xml:space="preserve"> PAGE   \* MERGEFORMAT </w:instrText>
    </w:r>
    <w:r w:rsidRPr="000B0768">
      <w:rPr>
        <w:color w:val="auto"/>
        <w:sz w:val="22"/>
        <w:szCs w:val="22"/>
      </w:rPr>
      <w:fldChar w:fldCharType="separate"/>
    </w:r>
    <w:r w:rsidR="009A4A36">
      <w:rPr>
        <w:noProof/>
        <w:color w:val="auto"/>
        <w:sz w:val="22"/>
        <w:szCs w:val="22"/>
      </w:rPr>
      <w:t>104</w:t>
    </w:r>
    <w:r w:rsidRPr="000B0768">
      <w:rPr>
        <w:noProof/>
        <w:color w:val="auto"/>
        <w:sz w:val="22"/>
        <w:szCs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F8DC0" w14:textId="6EA76F50" w:rsidR="001A54BC" w:rsidRPr="00B02E0C" w:rsidRDefault="001A54BC" w:rsidP="003230A5">
    <w:pPr>
      <w:pStyle w:val="Footer"/>
      <w:pBdr>
        <w:top w:val="single" w:sz="4" w:space="1" w:color="auto"/>
      </w:pBdr>
      <w:tabs>
        <w:tab w:val="clear" w:pos="9000"/>
        <w:tab w:val="center" w:pos="4536"/>
        <w:tab w:val="right" w:pos="9072"/>
      </w:tabs>
      <w:rPr>
        <w:rFonts w:cs="Arial"/>
        <w:color w:val="000000"/>
        <w:sz w:val="14"/>
        <w:szCs w:val="22"/>
      </w:rPr>
    </w:pPr>
    <w:r>
      <w:rPr>
        <w:color w:val="auto"/>
        <w:sz w:val="22"/>
        <w:szCs w:val="22"/>
      </w:rPr>
      <w:t>Schedule 8</w:t>
    </w:r>
    <w:r>
      <w:rPr>
        <w:color w:val="auto"/>
        <w:sz w:val="22"/>
        <w:szCs w:val="22"/>
      </w:rPr>
      <w:tab/>
      <w:t>Commercial in Confidence</w:t>
    </w:r>
    <w:r w:rsidRPr="000B0768">
      <w:rPr>
        <w:color w:val="auto"/>
        <w:sz w:val="22"/>
        <w:szCs w:val="22"/>
      </w:rPr>
      <w:tab/>
    </w:r>
    <w:r w:rsidRPr="000B0768">
      <w:rPr>
        <w:color w:val="auto"/>
        <w:sz w:val="22"/>
        <w:szCs w:val="22"/>
      </w:rPr>
      <w:fldChar w:fldCharType="begin"/>
    </w:r>
    <w:r w:rsidRPr="000B0768">
      <w:rPr>
        <w:color w:val="auto"/>
        <w:sz w:val="22"/>
        <w:szCs w:val="22"/>
      </w:rPr>
      <w:instrText xml:space="preserve"> PAGE   \* MERGEFORMAT </w:instrText>
    </w:r>
    <w:r w:rsidRPr="000B0768">
      <w:rPr>
        <w:color w:val="auto"/>
        <w:sz w:val="22"/>
        <w:szCs w:val="22"/>
      </w:rPr>
      <w:fldChar w:fldCharType="separate"/>
    </w:r>
    <w:r w:rsidR="009A4A36">
      <w:rPr>
        <w:noProof/>
        <w:color w:val="auto"/>
        <w:sz w:val="22"/>
        <w:szCs w:val="22"/>
      </w:rPr>
      <w:t>117</w:t>
    </w:r>
    <w:r w:rsidRPr="000B0768">
      <w:rPr>
        <w:noProof/>
        <w:color w:val="auto"/>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244B5" w14:textId="77777777" w:rsidR="00322B5A" w:rsidRDefault="00322B5A">
      <w:r>
        <w:separator/>
      </w:r>
    </w:p>
  </w:footnote>
  <w:footnote w:type="continuationSeparator" w:id="0">
    <w:p w14:paraId="12184EB8" w14:textId="77777777" w:rsidR="00322B5A" w:rsidRDefault="00322B5A">
      <w:r>
        <w:continuationSeparator/>
      </w:r>
    </w:p>
  </w:footnote>
  <w:footnote w:type="continuationNotice" w:id="1">
    <w:p w14:paraId="4A7C5676" w14:textId="77777777" w:rsidR="00322B5A" w:rsidRDefault="00322B5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E1962" w14:textId="4EE2BC9E" w:rsidR="001A54BC" w:rsidRDefault="001A54BC" w:rsidP="00C10FC6">
    <w:pPr>
      <w:pStyle w:val="Header"/>
      <w:pBdr>
        <w:bottom w:val="single" w:sz="4" w:space="1" w:color="auto"/>
      </w:pBdr>
      <w:spacing w:after="240"/>
      <w:rPr>
        <w:b/>
      </w:rPr>
    </w:pPr>
    <w:r w:rsidRPr="000B0768">
      <w:rPr>
        <w:color w:val="auto"/>
        <w:sz w:val="22"/>
        <w:szCs w:val="22"/>
      </w:rPr>
      <w:t>Gas Safe Register</w:t>
    </w:r>
    <w:r>
      <w:rPr>
        <w:color w:val="auto"/>
        <w:sz w:val="22"/>
        <w:szCs w:val="22"/>
      </w:rPr>
      <w:t xml:space="preserve"> Services Concession Agreement</w:t>
    </w:r>
    <w:r>
      <w:rPr>
        <w:color w:val="auto"/>
        <w:sz w:val="22"/>
        <w:szCs w:val="22"/>
      </w:rPr>
      <w:tab/>
    </w:r>
    <w:r>
      <w:rPr>
        <w:b/>
        <w:color w:val="000000" w:themeColor="text1"/>
        <w:sz w:val="22"/>
        <w:szCs w:val="22"/>
      </w:rPr>
      <w:t>Final Version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26AD0" w14:textId="77777777" w:rsidR="001A54BC" w:rsidRDefault="001A54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5CAD0E8"/>
    <w:lvl w:ilvl="0">
      <w:start w:val="1"/>
      <w:numFmt w:val="decimal"/>
      <w:pStyle w:val="ListNumber"/>
      <w:lvlText w:val="%1"/>
      <w:lvlJc w:val="left"/>
      <w:pPr>
        <w:tabs>
          <w:tab w:val="num" w:pos="720"/>
        </w:tabs>
        <w:ind w:left="0" w:firstLine="0"/>
      </w:pPr>
      <w:rPr>
        <w:rFonts w:hint="default"/>
      </w:rPr>
    </w:lvl>
  </w:abstractNum>
  <w:abstractNum w:abstractNumId="1" w15:restartNumberingAfterBreak="0">
    <w:nsid w:val="FFFFFFFE"/>
    <w:multiLevelType w:val="singleLevel"/>
    <w:tmpl w:val="9C2E2852"/>
    <w:lvl w:ilvl="0">
      <w:numFmt w:val="decimal"/>
      <w:pStyle w:val="StyleHeading5ServiceConformance4HeadingHeading5unusedLev"/>
      <w:lvlText w:val="*"/>
      <w:lvlJc w:val="left"/>
    </w:lvl>
  </w:abstractNum>
  <w:abstractNum w:abstractNumId="2" w15:restartNumberingAfterBreak="0">
    <w:nsid w:val="00000001"/>
    <w:multiLevelType w:val="multilevel"/>
    <w:tmpl w:val="00000001"/>
    <w:name w:val="WW8Num2"/>
    <w:lvl w:ilvl="0">
      <w:start w:val="1"/>
      <w:numFmt w:val="decimal"/>
      <w:lvlText w:val="%1."/>
      <w:lvlJc w:val="left"/>
      <w:pPr>
        <w:tabs>
          <w:tab w:val="num" w:pos="360"/>
        </w:tabs>
        <w:ind w:left="360" w:hanging="360"/>
      </w:pPr>
      <w:rPr>
        <w:rFonts w:cs="Times New Roman" w:hint="default"/>
        <w:b w:val="0"/>
        <w:i w:val="0"/>
      </w:rPr>
    </w:lvl>
    <w:lvl w:ilvl="1">
      <w:start w:val="1"/>
      <w:numFmt w:val="bullet"/>
      <w:lvlText w:val=""/>
      <w:lvlJc w:val="left"/>
      <w:pPr>
        <w:tabs>
          <w:tab w:val="num" w:pos="357"/>
        </w:tabs>
        <w:ind w:left="357"/>
      </w:pPr>
      <w:rPr>
        <w:rFonts w:ascii="Symbol" w:hAnsi="Symbol"/>
      </w:rPr>
    </w:lvl>
    <w:lvl w:ilvl="2">
      <w:start w:val="1"/>
      <w:numFmt w:val="bullet"/>
      <w:lvlText w:val=""/>
      <w:lvlJc w:val="left"/>
      <w:pPr>
        <w:tabs>
          <w:tab w:val="num" w:pos="2340"/>
        </w:tabs>
        <w:ind w:left="2340" w:hanging="360"/>
      </w:pPr>
      <w:rPr>
        <w:rFonts w:ascii="Symbol" w:hAnsi="Symbol"/>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0000002"/>
    <w:multiLevelType w:val="singleLevel"/>
    <w:tmpl w:val="00000002"/>
    <w:name w:val="WW8Num3"/>
    <w:lvl w:ilvl="0">
      <w:start w:val="1"/>
      <w:numFmt w:val="bullet"/>
      <w:lvlText w:val=""/>
      <w:lvlJc w:val="left"/>
      <w:pPr>
        <w:tabs>
          <w:tab w:val="num" w:pos="357"/>
        </w:tabs>
        <w:ind w:left="357"/>
      </w:pPr>
      <w:rPr>
        <w:rFonts w:ascii="Symbol" w:hAnsi="Symbol"/>
      </w:rPr>
    </w:lvl>
  </w:abstractNum>
  <w:abstractNum w:abstractNumId="4" w15:restartNumberingAfterBreak="0">
    <w:nsid w:val="00000003"/>
    <w:multiLevelType w:val="multilevel"/>
    <w:tmpl w:val="00000003"/>
    <w:name w:val="WW8Num8"/>
    <w:lvl w:ilvl="0">
      <w:start w:val="1"/>
      <w:numFmt w:val="bullet"/>
      <w:lvlText w:val=""/>
      <w:lvlJc w:val="left"/>
      <w:pPr>
        <w:tabs>
          <w:tab w:val="num" w:pos="357"/>
        </w:tabs>
        <w:ind w:left="357"/>
      </w:pPr>
      <w:rPr>
        <w:rFonts w:ascii="Symbol" w:hAnsi="Symbo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Wingdings" w:hAnsi="Wingdings"/>
        <w:sz w:val="20"/>
      </w:rPr>
    </w:lvl>
    <w:lvl w:ilvl="4">
      <w:start w:val="1"/>
      <w:numFmt w:val="bullet"/>
      <w:lvlText w:val=""/>
      <w:lvlJc w:val="left"/>
      <w:pPr>
        <w:tabs>
          <w:tab w:val="num" w:pos="3240"/>
        </w:tabs>
        <w:ind w:left="3240" w:hanging="360"/>
      </w:pPr>
      <w:rPr>
        <w:rFonts w:ascii="Wingdings" w:hAnsi="Wingdings"/>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Wingdings" w:hAnsi="Wingdings"/>
        <w:sz w:val="20"/>
      </w:rPr>
    </w:lvl>
    <w:lvl w:ilvl="7">
      <w:start w:val="1"/>
      <w:numFmt w:val="bullet"/>
      <w:lvlText w:val=""/>
      <w:lvlJc w:val="left"/>
      <w:pPr>
        <w:tabs>
          <w:tab w:val="num" w:pos="5400"/>
        </w:tabs>
        <w:ind w:left="5400" w:hanging="360"/>
      </w:pPr>
      <w:rPr>
        <w:rFonts w:ascii="Wingdings" w:hAnsi="Wingdings"/>
        <w:sz w:val="20"/>
      </w:rPr>
    </w:lvl>
    <w:lvl w:ilvl="8">
      <w:start w:val="1"/>
      <w:numFmt w:val="bullet"/>
      <w:lvlText w:val=""/>
      <w:lvlJc w:val="left"/>
      <w:pPr>
        <w:tabs>
          <w:tab w:val="num" w:pos="6120"/>
        </w:tabs>
        <w:ind w:left="6120" w:hanging="360"/>
      </w:pPr>
      <w:rPr>
        <w:rFonts w:ascii="Wingdings" w:hAnsi="Wingdings"/>
        <w:sz w:val="20"/>
      </w:rPr>
    </w:lvl>
  </w:abstractNum>
  <w:abstractNum w:abstractNumId="5" w15:restartNumberingAfterBreak="0">
    <w:nsid w:val="00000004"/>
    <w:multiLevelType w:val="singleLevel"/>
    <w:tmpl w:val="00000004"/>
    <w:name w:val="WW8Num11"/>
    <w:lvl w:ilvl="0">
      <w:start w:val="1"/>
      <w:numFmt w:val="bullet"/>
      <w:lvlText w:val=""/>
      <w:lvlJc w:val="left"/>
      <w:pPr>
        <w:tabs>
          <w:tab w:val="num" w:pos="720"/>
        </w:tabs>
        <w:ind w:left="720" w:hanging="360"/>
      </w:pPr>
      <w:rPr>
        <w:rFonts w:ascii="Symbol" w:hAnsi="Symbol"/>
      </w:rPr>
    </w:lvl>
  </w:abstractNum>
  <w:abstractNum w:abstractNumId="6" w15:restartNumberingAfterBreak="0">
    <w:nsid w:val="000454A5"/>
    <w:multiLevelType w:val="hybridMultilevel"/>
    <w:tmpl w:val="B64C1FB4"/>
    <w:lvl w:ilvl="0" w:tplc="DD7C743A">
      <w:start w:val="1"/>
      <w:numFmt w:val="lowerLetter"/>
      <w:pStyle w:val="Numbera"/>
      <w:lvlText w:val="(%1)"/>
      <w:lvlJc w:val="left"/>
      <w:pPr>
        <w:tabs>
          <w:tab w:val="num" w:pos="-31680"/>
        </w:tabs>
        <w:ind w:left="720" w:hanging="720"/>
      </w:pPr>
      <w:rPr>
        <w:rFonts w:ascii="Arial" w:hAnsi="Arial" w:hint="default"/>
        <w:sz w:val="20"/>
      </w:rPr>
    </w:lvl>
    <w:lvl w:ilvl="1" w:tplc="559489D2" w:tentative="1">
      <w:start w:val="1"/>
      <w:numFmt w:val="lowerLetter"/>
      <w:lvlText w:val="%2."/>
      <w:lvlJc w:val="left"/>
      <w:pPr>
        <w:tabs>
          <w:tab w:val="num" w:pos="1152"/>
        </w:tabs>
        <w:ind w:left="1152" w:hanging="360"/>
      </w:pPr>
    </w:lvl>
    <w:lvl w:ilvl="2" w:tplc="E144676C" w:tentative="1">
      <w:start w:val="1"/>
      <w:numFmt w:val="lowerRoman"/>
      <w:lvlText w:val="%3."/>
      <w:lvlJc w:val="right"/>
      <w:pPr>
        <w:tabs>
          <w:tab w:val="num" w:pos="1872"/>
        </w:tabs>
        <w:ind w:left="1872" w:hanging="180"/>
      </w:pPr>
    </w:lvl>
    <w:lvl w:ilvl="3" w:tplc="2BE8A7E2" w:tentative="1">
      <w:start w:val="1"/>
      <w:numFmt w:val="decimal"/>
      <w:lvlText w:val="%4."/>
      <w:lvlJc w:val="left"/>
      <w:pPr>
        <w:tabs>
          <w:tab w:val="num" w:pos="2592"/>
        </w:tabs>
        <w:ind w:left="2592" w:hanging="360"/>
      </w:pPr>
    </w:lvl>
    <w:lvl w:ilvl="4" w:tplc="03E8242E" w:tentative="1">
      <w:start w:val="1"/>
      <w:numFmt w:val="lowerLetter"/>
      <w:lvlText w:val="%5."/>
      <w:lvlJc w:val="left"/>
      <w:pPr>
        <w:tabs>
          <w:tab w:val="num" w:pos="3312"/>
        </w:tabs>
        <w:ind w:left="3312" w:hanging="360"/>
      </w:pPr>
    </w:lvl>
    <w:lvl w:ilvl="5" w:tplc="58042C86" w:tentative="1">
      <w:start w:val="1"/>
      <w:numFmt w:val="lowerRoman"/>
      <w:lvlText w:val="%6."/>
      <w:lvlJc w:val="right"/>
      <w:pPr>
        <w:tabs>
          <w:tab w:val="num" w:pos="4032"/>
        </w:tabs>
        <w:ind w:left="4032" w:hanging="180"/>
      </w:pPr>
    </w:lvl>
    <w:lvl w:ilvl="6" w:tplc="95F42686" w:tentative="1">
      <w:start w:val="1"/>
      <w:numFmt w:val="decimal"/>
      <w:lvlText w:val="%7."/>
      <w:lvlJc w:val="left"/>
      <w:pPr>
        <w:tabs>
          <w:tab w:val="num" w:pos="4752"/>
        </w:tabs>
        <w:ind w:left="4752" w:hanging="360"/>
      </w:pPr>
    </w:lvl>
    <w:lvl w:ilvl="7" w:tplc="32CAC66C" w:tentative="1">
      <w:start w:val="1"/>
      <w:numFmt w:val="lowerLetter"/>
      <w:lvlText w:val="%8."/>
      <w:lvlJc w:val="left"/>
      <w:pPr>
        <w:tabs>
          <w:tab w:val="num" w:pos="5472"/>
        </w:tabs>
        <w:ind w:left="5472" w:hanging="360"/>
      </w:pPr>
    </w:lvl>
    <w:lvl w:ilvl="8" w:tplc="AC34CEE0" w:tentative="1">
      <w:start w:val="1"/>
      <w:numFmt w:val="lowerRoman"/>
      <w:lvlText w:val="%9."/>
      <w:lvlJc w:val="right"/>
      <w:pPr>
        <w:tabs>
          <w:tab w:val="num" w:pos="6192"/>
        </w:tabs>
        <w:ind w:left="6192" w:hanging="180"/>
      </w:pPr>
    </w:lvl>
  </w:abstractNum>
  <w:abstractNum w:abstractNumId="7" w15:restartNumberingAfterBreak="0">
    <w:nsid w:val="02274C58"/>
    <w:multiLevelType w:val="hybridMultilevel"/>
    <w:tmpl w:val="42008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2814D04"/>
    <w:multiLevelType w:val="multilevel"/>
    <w:tmpl w:val="A418A2C8"/>
    <w:lvl w:ilvl="0">
      <w:start w:val="1"/>
      <w:numFmt w:val="decimal"/>
      <w:pStyle w:val="TitleClause"/>
      <w:lvlText w:val="%1."/>
      <w:lvlJc w:val="left"/>
      <w:pPr>
        <w:tabs>
          <w:tab w:val="num" w:pos="720"/>
        </w:tabs>
        <w:ind w:left="720" w:hanging="720"/>
      </w:pPr>
      <w:rPr>
        <w:rFonts w:hint="default"/>
        <w:b/>
        <w:bCs w:val="0"/>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3021209"/>
    <w:multiLevelType w:val="singleLevel"/>
    <w:tmpl w:val="14868FFB"/>
    <w:lvl w:ilvl="0">
      <w:start w:val="1"/>
      <w:numFmt w:val="decimal"/>
      <w:lvlText w:val="%1."/>
      <w:lvlJc w:val="left"/>
      <w:pPr>
        <w:tabs>
          <w:tab w:val="num" w:pos="720"/>
        </w:tabs>
        <w:ind w:left="720" w:hanging="360"/>
      </w:pPr>
      <w:rPr>
        <w:rFonts w:ascii="Arial" w:hAnsi="Arial"/>
        <w:snapToGrid/>
        <w:spacing w:val="-2"/>
        <w:sz w:val="22"/>
      </w:rPr>
    </w:lvl>
  </w:abstractNum>
  <w:abstractNum w:abstractNumId="10" w15:restartNumberingAfterBreak="0">
    <w:nsid w:val="03E45F92"/>
    <w:multiLevelType w:val="hybridMultilevel"/>
    <w:tmpl w:val="7AF20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507DB4"/>
    <w:multiLevelType w:val="hybridMultilevel"/>
    <w:tmpl w:val="7DCEC6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564AAB4"/>
    <w:multiLevelType w:val="singleLevel"/>
    <w:tmpl w:val="270B8639"/>
    <w:lvl w:ilvl="0">
      <w:start w:val="1"/>
      <w:numFmt w:val="decimal"/>
      <w:lvlText w:val="%1."/>
      <w:lvlJc w:val="left"/>
      <w:pPr>
        <w:tabs>
          <w:tab w:val="num" w:pos="216"/>
        </w:tabs>
      </w:pPr>
      <w:rPr>
        <w:rFonts w:ascii="Calibri" w:hAnsi="Calibri"/>
        <w:snapToGrid/>
        <w:sz w:val="22"/>
      </w:rPr>
    </w:lvl>
  </w:abstractNum>
  <w:abstractNum w:abstractNumId="13" w15:restartNumberingAfterBreak="0">
    <w:nsid w:val="060FA9E3"/>
    <w:multiLevelType w:val="singleLevel"/>
    <w:tmpl w:val="6C3719EB"/>
    <w:lvl w:ilvl="0">
      <w:start w:val="1"/>
      <w:numFmt w:val="decimal"/>
      <w:lvlText w:val="%1."/>
      <w:lvlJc w:val="left"/>
      <w:pPr>
        <w:tabs>
          <w:tab w:val="num" w:pos="216"/>
        </w:tabs>
      </w:pPr>
      <w:rPr>
        <w:rFonts w:ascii="Calibri" w:hAnsi="Calibri"/>
        <w:snapToGrid/>
        <w:sz w:val="22"/>
      </w:rPr>
    </w:lvl>
  </w:abstractNum>
  <w:abstractNum w:abstractNumId="14" w15:restartNumberingAfterBreak="0">
    <w:nsid w:val="06D9526C"/>
    <w:multiLevelType w:val="hybridMultilevel"/>
    <w:tmpl w:val="6DD87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8A7319F"/>
    <w:multiLevelType w:val="hybridMultilevel"/>
    <w:tmpl w:val="DC4AB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0D477C5F"/>
    <w:multiLevelType w:val="hybridMultilevel"/>
    <w:tmpl w:val="27E26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06C448A"/>
    <w:multiLevelType w:val="multilevel"/>
    <w:tmpl w:val="89BC94D4"/>
    <w:lvl w:ilvl="0">
      <w:start w:val="1"/>
      <w:numFmt w:val="upperLetter"/>
      <w:pStyle w:val="Recitals"/>
      <w:lvlText w:val="(%1)"/>
      <w:lvlJc w:val="left"/>
      <w:pPr>
        <w:tabs>
          <w:tab w:val="num" w:pos="720"/>
        </w:tabs>
        <w:ind w:left="72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1662343"/>
    <w:multiLevelType w:val="hybridMultilevel"/>
    <w:tmpl w:val="F934F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1D25F61"/>
    <w:multiLevelType w:val="hybridMultilevel"/>
    <w:tmpl w:val="D0889D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4663614"/>
    <w:multiLevelType w:val="hybridMultilevel"/>
    <w:tmpl w:val="999A19E8"/>
    <w:lvl w:ilvl="0" w:tplc="92C2A1B4">
      <w:start w:val="1"/>
      <w:numFmt w:val="lowerLetter"/>
      <w:pStyle w:val="SubsectionHeading"/>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16E75202"/>
    <w:multiLevelType w:val="hybridMultilevel"/>
    <w:tmpl w:val="9CECB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89702E8"/>
    <w:multiLevelType w:val="hybridMultilevel"/>
    <w:tmpl w:val="7F267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95471BF"/>
    <w:multiLevelType w:val="hybridMultilevel"/>
    <w:tmpl w:val="FCD89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A4D1F61"/>
    <w:multiLevelType w:val="hybridMultilevel"/>
    <w:tmpl w:val="206E7A8C"/>
    <w:lvl w:ilvl="0" w:tplc="11621D7A">
      <w:start w:val="1"/>
      <w:numFmt w:val="decimal"/>
      <w:pStyle w:val="numberedpara"/>
      <w:lvlText w:val="%1."/>
      <w:lvlJc w:val="left"/>
      <w:pPr>
        <w:ind w:left="360" w:hanging="360"/>
      </w:pPr>
      <w:rPr>
        <w:rFonts w:hint="default"/>
        <w:b w:val="0"/>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1A957491"/>
    <w:multiLevelType w:val="hybridMultilevel"/>
    <w:tmpl w:val="C854EF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B710351"/>
    <w:multiLevelType w:val="hybridMultilevel"/>
    <w:tmpl w:val="AEF0A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C04708E"/>
    <w:multiLevelType w:val="hybridMultilevel"/>
    <w:tmpl w:val="B51EE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F566CF2"/>
    <w:multiLevelType w:val="multilevel"/>
    <w:tmpl w:val="403C9792"/>
    <w:lvl w:ilvl="0">
      <w:start w:val="1"/>
      <w:numFmt w:val="decimal"/>
      <w:pStyle w:val="AppendixText1"/>
      <w:lvlText w:val="%1"/>
      <w:lvlJc w:val="left"/>
      <w:pPr>
        <w:ind w:left="720" w:hanging="720"/>
      </w:pPr>
      <w:rPr>
        <w:rFonts w:hint="default"/>
      </w:rPr>
    </w:lvl>
    <w:lvl w:ilvl="1">
      <w:start w:val="1"/>
      <w:numFmt w:val="decimal"/>
      <w:pStyle w:val="AppendixText2"/>
      <w:lvlText w:val="%1.%2"/>
      <w:lvlJc w:val="left"/>
      <w:pPr>
        <w:ind w:left="720" w:hanging="720"/>
      </w:pPr>
      <w:rPr>
        <w:rFonts w:hint="default"/>
        <w:b w:val="0"/>
      </w:rPr>
    </w:lvl>
    <w:lvl w:ilvl="2">
      <w:start w:val="1"/>
      <w:numFmt w:val="decimal"/>
      <w:pStyle w:val="AppendixText3"/>
      <w:lvlText w:val="%1.%2.%3"/>
      <w:lvlJc w:val="left"/>
      <w:pPr>
        <w:ind w:left="1803" w:hanging="1083"/>
      </w:pPr>
      <w:rPr>
        <w:rFonts w:hint="default"/>
        <w:b w:val="0"/>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upperLetter"/>
      <w:pStyle w:val="AppendixText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30" w15:restartNumberingAfterBreak="0">
    <w:nsid w:val="1FB87DBC"/>
    <w:multiLevelType w:val="multilevel"/>
    <w:tmpl w:val="60FE63E8"/>
    <w:lvl w:ilvl="0">
      <w:start w:val="1"/>
      <w:numFmt w:val="decimal"/>
      <w:lvlText w:val="%1."/>
      <w:lvlJc w:val="left"/>
      <w:pPr>
        <w:ind w:left="360" w:hanging="360"/>
      </w:pPr>
      <w:rPr>
        <w:rFonts w:hint="default"/>
      </w:rPr>
    </w:lvl>
    <w:lvl w:ilvl="1">
      <w:numFmt w:val="none"/>
      <w:pStyle w:val="Text"/>
      <w:lvlText w:val=""/>
      <w:lvlJc w:val="left"/>
      <w:pPr>
        <w:tabs>
          <w:tab w:val="num" w:pos="360"/>
        </w:tabs>
      </w:pPr>
    </w:lvl>
    <w:lvl w:ilvl="2">
      <w:start w:val="1"/>
      <w:numFmt w:val="lowerLetter"/>
      <w:lvlText w:val="%3)"/>
      <w:lvlJc w:val="left"/>
      <w:pPr>
        <w:tabs>
          <w:tab w:val="num" w:pos="1195"/>
        </w:tabs>
        <w:ind w:left="1195" w:hanging="475"/>
      </w:pPr>
      <w:rPr>
        <w:rFonts w:hint="default"/>
      </w:rPr>
    </w:lvl>
    <w:lvl w:ilvl="3">
      <w:start w:val="1"/>
      <w:numFmt w:val="lowerRoman"/>
      <w:pStyle w:val="ListBullet2"/>
      <w:lvlText w:val="%4)"/>
      <w:lvlJc w:val="left"/>
      <w:pPr>
        <w:tabs>
          <w:tab w:val="num" w:pos="1685"/>
        </w:tabs>
        <w:ind w:left="1685" w:hanging="490"/>
      </w:pPr>
      <w:rPr>
        <w:rFonts w:hint="default"/>
        <w:color w:val="auto"/>
        <w:sz w:val="24"/>
      </w:rPr>
    </w:lvl>
    <w:lvl w:ilvl="4">
      <w:start w:val="1"/>
      <w:numFmt w:val="bullet"/>
      <w:lvlText w:val=""/>
      <w:lvlJc w:val="left"/>
      <w:pPr>
        <w:tabs>
          <w:tab w:val="num" w:pos="1800"/>
        </w:tabs>
        <w:ind w:left="1800" w:hanging="360"/>
      </w:pPr>
      <w:rPr>
        <w:rFonts w:ascii="Symbol" w:hAnsi="Symbol"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31" w15:restartNumberingAfterBreak="0">
    <w:nsid w:val="23116E6D"/>
    <w:multiLevelType w:val="multilevel"/>
    <w:tmpl w:val="AED83362"/>
    <w:lvl w:ilvl="0">
      <w:start w:val="1"/>
      <w:numFmt w:val="decimal"/>
      <w:pStyle w:val="AnnexHeading"/>
      <w:suff w:val="nothing"/>
      <w:lvlText w:val="Annex %1"/>
      <w:lvlJc w:val="left"/>
      <w:pPr>
        <w:ind w:left="1277" w:firstLine="0"/>
      </w:pPr>
      <w:rPr>
        <w:rFonts w:hint="default"/>
        <w:b/>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1844"/>
        </w:tabs>
        <w:ind w:left="1277" w:firstLine="0"/>
      </w:pPr>
      <w:rPr>
        <w:rFonts w:hint="default"/>
      </w:rPr>
    </w:lvl>
    <w:lvl w:ilvl="2">
      <w:start w:val="1"/>
      <w:numFmt w:val="none"/>
      <w:lvlText w:val=""/>
      <w:lvlJc w:val="left"/>
      <w:pPr>
        <w:tabs>
          <w:tab w:val="num" w:pos="1844"/>
        </w:tabs>
        <w:ind w:left="1277" w:firstLine="0"/>
      </w:pPr>
      <w:rPr>
        <w:rFonts w:hint="default"/>
      </w:rPr>
    </w:lvl>
    <w:lvl w:ilvl="3">
      <w:start w:val="1"/>
      <w:numFmt w:val="none"/>
      <w:lvlText w:val=""/>
      <w:lvlJc w:val="left"/>
      <w:pPr>
        <w:tabs>
          <w:tab w:val="num" w:pos="1844"/>
        </w:tabs>
        <w:ind w:left="1277" w:firstLine="0"/>
      </w:pPr>
      <w:rPr>
        <w:rFonts w:hint="default"/>
      </w:rPr>
    </w:lvl>
    <w:lvl w:ilvl="4">
      <w:start w:val="1"/>
      <w:numFmt w:val="none"/>
      <w:lvlText w:val=""/>
      <w:lvlJc w:val="left"/>
      <w:pPr>
        <w:tabs>
          <w:tab w:val="num" w:pos="1844"/>
        </w:tabs>
        <w:ind w:left="1277" w:firstLine="0"/>
      </w:pPr>
      <w:rPr>
        <w:rFonts w:hint="default"/>
      </w:rPr>
    </w:lvl>
    <w:lvl w:ilvl="5">
      <w:start w:val="1"/>
      <w:numFmt w:val="none"/>
      <w:lvlText w:val=""/>
      <w:lvlJc w:val="left"/>
      <w:pPr>
        <w:tabs>
          <w:tab w:val="num" w:pos="1844"/>
        </w:tabs>
        <w:ind w:left="1277" w:firstLine="0"/>
      </w:pPr>
      <w:rPr>
        <w:rFonts w:hint="default"/>
      </w:rPr>
    </w:lvl>
    <w:lvl w:ilvl="6">
      <w:start w:val="1"/>
      <w:numFmt w:val="none"/>
      <w:lvlText w:val=""/>
      <w:lvlJc w:val="left"/>
      <w:pPr>
        <w:tabs>
          <w:tab w:val="num" w:pos="1844"/>
        </w:tabs>
        <w:ind w:left="1277" w:firstLine="0"/>
      </w:pPr>
      <w:rPr>
        <w:rFonts w:hint="default"/>
      </w:rPr>
    </w:lvl>
    <w:lvl w:ilvl="7">
      <w:start w:val="1"/>
      <w:numFmt w:val="none"/>
      <w:lvlText w:val=""/>
      <w:lvlJc w:val="left"/>
      <w:pPr>
        <w:tabs>
          <w:tab w:val="num" w:pos="1844"/>
        </w:tabs>
        <w:ind w:left="1277" w:firstLine="0"/>
      </w:pPr>
      <w:rPr>
        <w:rFonts w:hint="default"/>
      </w:rPr>
    </w:lvl>
    <w:lvl w:ilvl="8">
      <w:start w:val="1"/>
      <w:numFmt w:val="none"/>
      <w:lvlText w:val=""/>
      <w:lvlJc w:val="left"/>
      <w:pPr>
        <w:tabs>
          <w:tab w:val="num" w:pos="1844"/>
        </w:tabs>
        <w:ind w:left="1277" w:firstLine="0"/>
      </w:pPr>
      <w:rPr>
        <w:rFonts w:hint="default"/>
      </w:rPr>
    </w:lvl>
  </w:abstractNum>
  <w:abstractNum w:abstractNumId="32" w15:restartNumberingAfterBreak="0">
    <w:nsid w:val="278D0730"/>
    <w:multiLevelType w:val="hybridMultilevel"/>
    <w:tmpl w:val="65E690F8"/>
    <w:lvl w:ilvl="0" w:tplc="217853E8">
      <w:start w:val="1"/>
      <w:numFmt w:val="bullet"/>
      <w:pStyle w:val="Bullet1"/>
      <w:lvlText w:val=""/>
      <w:lvlJc w:val="left"/>
      <w:pPr>
        <w:tabs>
          <w:tab w:val="num" w:pos="-31680"/>
        </w:tabs>
        <w:ind w:left="720" w:hanging="72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9C22261"/>
    <w:multiLevelType w:val="multilevel"/>
    <w:tmpl w:val="E4007D2A"/>
    <w:lvl w:ilvl="0">
      <w:start w:val="1"/>
      <w:numFmt w:val="decimal"/>
      <w:pStyle w:val="TableAutonumber"/>
      <w:isLgl/>
      <w:suff w:val="nothing"/>
      <w:lvlText w:val="%1"/>
      <w:lvlJc w:val="right"/>
      <w:pPr>
        <w:ind w:firstLine="288"/>
      </w:pPr>
      <w:rPr>
        <w:rFonts w:hint="default"/>
      </w:rPr>
    </w:lvl>
    <w:lvl w:ilvl="1">
      <w:start w:val="1"/>
      <w:numFmt w:val="decimal"/>
      <w:isLgl/>
      <w:lvlText w:val="%2."/>
      <w:lvlJc w:val="left"/>
      <w:pPr>
        <w:tabs>
          <w:tab w:val="num" w:pos="720"/>
        </w:tabs>
        <w:ind w:left="720" w:hanging="720"/>
      </w:pPr>
      <w:rPr>
        <w:rFonts w:hint="default"/>
      </w:rPr>
    </w:lvl>
    <w:lvl w:ilvl="2">
      <w:start w:val="1"/>
      <w:numFmt w:val="lowerLetter"/>
      <w:lvlText w:val="(%3)"/>
      <w:lvlJc w:val="left"/>
      <w:pPr>
        <w:tabs>
          <w:tab w:val="num" w:pos="1195"/>
        </w:tabs>
        <w:ind w:left="1195" w:hanging="475"/>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hint="default"/>
        <w:sz w:val="22"/>
      </w:rPr>
    </w:lvl>
    <w:lvl w:ilvl="2">
      <w:start w:val="1"/>
      <w:numFmt w:val="decimal"/>
      <w:pStyle w:val="MOJLevel2"/>
      <w:lvlText w:val="%1%2.%3."/>
      <w:lvlJc w:val="left"/>
      <w:pPr>
        <w:tabs>
          <w:tab w:val="num" w:pos="720"/>
        </w:tabs>
        <w:ind w:left="720" w:hanging="720"/>
      </w:pPr>
      <w:rPr>
        <w:rFonts w:cs="Times New Roman" w:hint="default"/>
      </w:rPr>
    </w:lvl>
    <w:lvl w:ilvl="3">
      <w:start w:val="1"/>
      <w:numFmt w:val="decimal"/>
      <w:pStyle w:val="MOJLevel3"/>
      <w:lvlText w:val="%1%2.%3.%4."/>
      <w:lvlJc w:val="left"/>
      <w:pPr>
        <w:tabs>
          <w:tab w:val="num" w:pos="902"/>
        </w:tabs>
        <w:ind w:left="902" w:hanging="182"/>
      </w:pPr>
      <w:rPr>
        <w:rFonts w:cs="Times New Roman" w:hint="default"/>
      </w:rPr>
    </w:lvl>
    <w:lvl w:ilvl="4">
      <w:start w:val="1"/>
      <w:numFmt w:val="decimal"/>
      <w:pStyle w:val="MOJLevel4"/>
      <w:lvlText w:val="%1%2.%3.%4.%5."/>
      <w:lvlJc w:val="left"/>
      <w:pPr>
        <w:tabs>
          <w:tab w:val="num" w:pos="1259"/>
        </w:tabs>
        <w:ind w:left="1259" w:firstLine="363"/>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5" w15:restartNumberingAfterBreak="0">
    <w:nsid w:val="2C575111"/>
    <w:multiLevelType w:val="multilevel"/>
    <w:tmpl w:val="68169EC4"/>
    <w:styleLink w:val="ListBulletStyle"/>
    <w:lvl w:ilvl="0">
      <w:start w:val="1"/>
      <w:numFmt w:val="bullet"/>
      <w:pStyle w:val="ListBullet3"/>
      <w:lvlText w:val=""/>
      <w:lvlJc w:val="left"/>
      <w:pPr>
        <w:ind w:left="357" w:hanging="357"/>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1" w:hanging="357"/>
      </w:pPr>
      <w:rPr>
        <w:rFonts w:ascii="Symbol" w:hAnsi="Symbol" w:hint="default"/>
        <w:color w:val="auto"/>
      </w:rPr>
    </w:lvl>
    <w:lvl w:ilvl="3">
      <w:start w:val="1"/>
      <w:numFmt w:val="bullet"/>
      <w:lvlText w:val=""/>
      <w:lvlJc w:val="left"/>
      <w:pPr>
        <w:ind w:left="1428" w:hanging="357"/>
      </w:pPr>
      <w:rPr>
        <w:rFonts w:ascii="Symbol" w:hAnsi="Symbol" w:hint="default"/>
        <w:color w:val="auto"/>
      </w:rPr>
    </w:lvl>
    <w:lvl w:ilvl="4">
      <w:start w:val="1"/>
      <w:numFmt w:val="bullet"/>
      <w:lvlText w:val=""/>
      <w:lvlJc w:val="left"/>
      <w:pPr>
        <w:ind w:left="1785" w:hanging="357"/>
      </w:pPr>
      <w:rPr>
        <w:rFonts w:ascii="Symbol" w:hAnsi="Symbol" w:hint="default"/>
        <w:color w:val="auto"/>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6" w15:restartNumberingAfterBreak="0">
    <w:nsid w:val="2EC57B6B"/>
    <w:multiLevelType w:val="multilevel"/>
    <w:tmpl w:val="9D381458"/>
    <w:styleLink w:val="MPDTHeadingStyleList"/>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7" w15:restartNumberingAfterBreak="0">
    <w:nsid w:val="2F591F04"/>
    <w:multiLevelType w:val="hybridMultilevel"/>
    <w:tmpl w:val="4AFAB20C"/>
    <w:lvl w:ilvl="0" w:tplc="CA2455D2">
      <w:start w:val="1"/>
      <w:numFmt w:val="bullet"/>
      <w:lvlText w:val=""/>
      <w:lvlJc w:val="left"/>
      <w:pPr>
        <w:ind w:left="720" w:hanging="360"/>
      </w:pPr>
      <w:rPr>
        <w:rFonts w:ascii="Symbol" w:hAnsi="Symbol" w:hint="default"/>
      </w:rPr>
    </w:lvl>
    <w:lvl w:ilvl="1" w:tplc="DD1CFBCE" w:tentative="1">
      <w:start w:val="1"/>
      <w:numFmt w:val="bullet"/>
      <w:lvlText w:val="o"/>
      <w:lvlJc w:val="left"/>
      <w:pPr>
        <w:ind w:left="1440" w:hanging="360"/>
      </w:pPr>
      <w:rPr>
        <w:rFonts w:ascii="Courier New" w:hAnsi="Courier New" w:cs="Courier New" w:hint="default"/>
      </w:rPr>
    </w:lvl>
    <w:lvl w:ilvl="2" w:tplc="BF6E557C" w:tentative="1">
      <w:start w:val="1"/>
      <w:numFmt w:val="bullet"/>
      <w:lvlText w:val=""/>
      <w:lvlJc w:val="left"/>
      <w:pPr>
        <w:ind w:left="2160" w:hanging="360"/>
      </w:pPr>
      <w:rPr>
        <w:rFonts w:ascii="Wingdings" w:hAnsi="Wingdings" w:hint="default"/>
      </w:rPr>
    </w:lvl>
    <w:lvl w:ilvl="3" w:tplc="EDCEA706" w:tentative="1">
      <w:start w:val="1"/>
      <w:numFmt w:val="bullet"/>
      <w:lvlText w:val=""/>
      <w:lvlJc w:val="left"/>
      <w:pPr>
        <w:ind w:left="2880" w:hanging="360"/>
      </w:pPr>
      <w:rPr>
        <w:rFonts w:ascii="Symbol" w:hAnsi="Symbol" w:hint="default"/>
      </w:rPr>
    </w:lvl>
    <w:lvl w:ilvl="4" w:tplc="271E2D2A" w:tentative="1">
      <w:start w:val="1"/>
      <w:numFmt w:val="bullet"/>
      <w:lvlText w:val="o"/>
      <w:lvlJc w:val="left"/>
      <w:pPr>
        <w:ind w:left="3600" w:hanging="360"/>
      </w:pPr>
      <w:rPr>
        <w:rFonts w:ascii="Courier New" w:hAnsi="Courier New" w:cs="Courier New" w:hint="default"/>
      </w:rPr>
    </w:lvl>
    <w:lvl w:ilvl="5" w:tplc="F4A03372" w:tentative="1">
      <w:start w:val="1"/>
      <w:numFmt w:val="bullet"/>
      <w:lvlText w:val=""/>
      <w:lvlJc w:val="left"/>
      <w:pPr>
        <w:ind w:left="4320" w:hanging="360"/>
      </w:pPr>
      <w:rPr>
        <w:rFonts w:ascii="Wingdings" w:hAnsi="Wingdings" w:hint="default"/>
      </w:rPr>
    </w:lvl>
    <w:lvl w:ilvl="6" w:tplc="0644C61C" w:tentative="1">
      <w:start w:val="1"/>
      <w:numFmt w:val="bullet"/>
      <w:lvlText w:val=""/>
      <w:lvlJc w:val="left"/>
      <w:pPr>
        <w:ind w:left="5040" w:hanging="360"/>
      </w:pPr>
      <w:rPr>
        <w:rFonts w:ascii="Symbol" w:hAnsi="Symbol" w:hint="default"/>
      </w:rPr>
    </w:lvl>
    <w:lvl w:ilvl="7" w:tplc="B6FC68A4" w:tentative="1">
      <w:start w:val="1"/>
      <w:numFmt w:val="bullet"/>
      <w:lvlText w:val="o"/>
      <w:lvlJc w:val="left"/>
      <w:pPr>
        <w:ind w:left="5760" w:hanging="360"/>
      </w:pPr>
      <w:rPr>
        <w:rFonts w:ascii="Courier New" w:hAnsi="Courier New" w:cs="Courier New" w:hint="default"/>
      </w:rPr>
    </w:lvl>
    <w:lvl w:ilvl="8" w:tplc="F43A119E" w:tentative="1">
      <w:start w:val="1"/>
      <w:numFmt w:val="bullet"/>
      <w:lvlText w:val=""/>
      <w:lvlJc w:val="left"/>
      <w:pPr>
        <w:ind w:left="6480" w:hanging="360"/>
      </w:pPr>
      <w:rPr>
        <w:rFonts w:ascii="Wingdings" w:hAnsi="Wingdings" w:hint="default"/>
      </w:rPr>
    </w:lvl>
  </w:abstractNum>
  <w:abstractNum w:abstractNumId="38" w15:restartNumberingAfterBreak="0">
    <w:nsid w:val="30585B91"/>
    <w:multiLevelType w:val="multilevel"/>
    <w:tmpl w:val="27568AF2"/>
    <w:lvl w:ilvl="0">
      <w:start w:val="1"/>
      <w:numFmt w:val="decimal"/>
      <w:lvlText w:val="%1."/>
      <w:lvlJc w:val="left"/>
      <w:pPr>
        <w:tabs>
          <w:tab w:val="num" w:pos="720"/>
        </w:tabs>
        <w:ind w:left="720" w:hanging="720"/>
      </w:pPr>
      <w:rPr>
        <w:rFonts w:ascii="Arial" w:hAnsi="Arial" w:hint="default"/>
        <w:b w:val="0"/>
        <w:i w:val="0"/>
        <w:caps w:val="0"/>
        <w:strike w:val="0"/>
        <w:dstrike w:val="0"/>
        <w:vanish w:val="0"/>
        <w:color w:val="000000"/>
        <w:sz w:val="20"/>
        <w:szCs w:val="20"/>
        <w:u w:val="none"/>
        <w:vertAlign w:val="baseline"/>
      </w:rPr>
    </w:lvl>
    <w:lvl w:ilvl="1">
      <w:start w:val="1"/>
      <w:numFmt w:val="decimal"/>
      <w:lvlText w:val="%1.%2"/>
      <w:lvlJc w:val="left"/>
      <w:pPr>
        <w:tabs>
          <w:tab w:val="num" w:pos="1288"/>
        </w:tabs>
        <w:ind w:left="1288" w:hanging="720"/>
      </w:pPr>
      <w:rPr>
        <w:rFonts w:ascii="Arial" w:hAnsi="Arial" w:hint="default"/>
        <w:b w:val="0"/>
        <w:i w:val="0"/>
        <w:caps w:val="0"/>
        <w:strike w:val="0"/>
        <w:dstrike w:val="0"/>
        <w:vanish w:val="0"/>
        <w:color w:val="000000"/>
        <w:sz w:val="20"/>
        <w:szCs w:val="20"/>
        <w:u w:val="none"/>
        <w:vertAlign w:val="baseline"/>
      </w:rPr>
    </w:lvl>
    <w:lvl w:ilvl="2">
      <w:start w:val="1"/>
      <w:numFmt w:val="decimal"/>
      <w:lvlText w:val="%1.%2.%3"/>
      <w:lvlJc w:val="left"/>
      <w:pPr>
        <w:tabs>
          <w:tab w:val="num" w:pos="2160"/>
        </w:tabs>
        <w:ind w:left="2160" w:hanging="720"/>
      </w:pPr>
      <w:rPr>
        <w:rFonts w:ascii="Arial" w:hAnsi="Arial" w:hint="default"/>
        <w:b w:val="0"/>
        <w:i w:val="0"/>
        <w:caps w:val="0"/>
        <w:strike w:val="0"/>
        <w:dstrike w:val="0"/>
        <w:vanish w:val="0"/>
        <w:color w:val="000000"/>
        <w:sz w:val="20"/>
        <w:szCs w:val="20"/>
        <w:u w:val="none"/>
        <w:vertAlign w:val="baseline"/>
      </w:rPr>
    </w:lvl>
    <w:lvl w:ilvl="3">
      <w:start w:val="1"/>
      <w:numFmt w:val="decimal"/>
      <w:lvlText w:val="%1.%2.%3.%4"/>
      <w:lvlJc w:val="left"/>
      <w:pPr>
        <w:tabs>
          <w:tab w:val="num" w:pos="3240"/>
        </w:tabs>
        <w:ind w:left="3240" w:hanging="1080"/>
      </w:pPr>
      <w:rPr>
        <w:rFonts w:ascii="Arial" w:hAnsi="Arial" w:hint="default"/>
        <w:b w:val="0"/>
        <w:i w:val="0"/>
        <w:caps w:val="0"/>
        <w:strike w:val="0"/>
        <w:dstrike w:val="0"/>
        <w:vanish w:val="0"/>
        <w:color w:val="000000"/>
        <w:sz w:val="20"/>
        <w:szCs w:val="20"/>
        <w:u w:val="none"/>
        <w:vertAlign w:val="baseline"/>
      </w:rPr>
    </w:lvl>
    <w:lvl w:ilvl="4">
      <w:start w:val="1"/>
      <w:numFmt w:val="lowerLetter"/>
      <w:lvlText w:val="(%5)"/>
      <w:lvlJc w:val="left"/>
      <w:pPr>
        <w:tabs>
          <w:tab w:val="num" w:pos="3960"/>
        </w:tabs>
        <w:ind w:left="3960" w:hanging="720"/>
      </w:pPr>
      <w:rPr>
        <w:rFonts w:ascii="Arial" w:hAnsi="Arial" w:hint="default"/>
        <w:b w:val="0"/>
        <w:i w:val="0"/>
        <w:caps w:val="0"/>
        <w:strike w:val="0"/>
        <w:dstrike w:val="0"/>
        <w:vanish w:val="0"/>
        <w:color w:val="000000"/>
        <w:sz w:val="20"/>
        <w:szCs w:val="20"/>
        <w:u w:val="none"/>
        <w:vertAlign w:val="baseline"/>
      </w:rPr>
    </w:lvl>
    <w:lvl w:ilvl="5">
      <w:start w:val="1"/>
      <w:numFmt w:val="lowerRoman"/>
      <w:lvlText w:val="(%6)"/>
      <w:lvlJc w:val="left"/>
      <w:pPr>
        <w:tabs>
          <w:tab w:val="num" w:pos="4680"/>
        </w:tabs>
        <w:ind w:left="4680" w:hanging="720"/>
      </w:pPr>
      <w:rPr>
        <w:rFonts w:ascii="Arial" w:hAnsi="Arial" w:hint="default"/>
        <w:b w:val="0"/>
        <w:i w:val="0"/>
        <w:caps w:val="0"/>
        <w:strike w:val="0"/>
        <w:dstrike w:val="0"/>
        <w:vanish w:val="0"/>
        <w:color w:val="000000"/>
        <w:sz w:val="20"/>
        <w:szCs w:val="20"/>
        <w:u w:val="none"/>
        <w:vertAlign w:val="baseline"/>
      </w:rPr>
    </w:lvl>
    <w:lvl w:ilvl="6">
      <w:start w:val="1"/>
      <w:numFmt w:val="upperLetter"/>
      <w:lvlText w:val="(%7)"/>
      <w:lvlJc w:val="left"/>
      <w:pPr>
        <w:tabs>
          <w:tab w:val="num" w:pos="5400"/>
        </w:tabs>
        <w:ind w:left="5400" w:hanging="720"/>
      </w:pPr>
      <w:rPr>
        <w:rFonts w:hint="default"/>
        <w:u w:val="none"/>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314E4748"/>
    <w:multiLevelType w:val="hybridMultilevel"/>
    <w:tmpl w:val="8C1232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3AD2C23"/>
    <w:multiLevelType w:val="hybridMultilevel"/>
    <w:tmpl w:val="00702EF4"/>
    <w:lvl w:ilvl="0" w:tplc="6100B5EE">
      <w:start w:val="1"/>
      <w:numFmt w:val="bullet"/>
      <w:lvlText w:val=""/>
      <w:lvlJc w:val="left"/>
      <w:pPr>
        <w:ind w:left="720" w:hanging="360"/>
      </w:pPr>
      <w:rPr>
        <w:rFonts w:ascii="Symbol" w:hAnsi="Symbol" w:hint="default"/>
      </w:rPr>
    </w:lvl>
    <w:lvl w:ilvl="1" w:tplc="F5A8EEC2">
      <w:start w:val="1"/>
      <w:numFmt w:val="bullet"/>
      <w:lvlText w:val="o"/>
      <w:lvlJc w:val="left"/>
      <w:pPr>
        <w:ind w:left="1440" w:hanging="360"/>
      </w:pPr>
      <w:rPr>
        <w:rFonts w:ascii="Courier New" w:hAnsi="Courier New" w:cs="Courier New" w:hint="default"/>
      </w:rPr>
    </w:lvl>
    <w:lvl w:ilvl="2" w:tplc="4546EC96">
      <w:start w:val="1"/>
      <w:numFmt w:val="bullet"/>
      <w:lvlText w:val=""/>
      <w:lvlJc w:val="left"/>
      <w:pPr>
        <w:ind w:left="2160" w:hanging="360"/>
      </w:pPr>
      <w:rPr>
        <w:rFonts w:ascii="Wingdings" w:hAnsi="Wingdings" w:hint="default"/>
      </w:rPr>
    </w:lvl>
    <w:lvl w:ilvl="3" w:tplc="D2603AD4">
      <w:start w:val="1"/>
      <w:numFmt w:val="bullet"/>
      <w:lvlText w:val=""/>
      <w:lvlJc w:val="left"/>
      <w:pPr>
        <w:ind w:left="2880" w:hanging="360"/>
      </w:pPr>
      <w:rPr>
        <w:rFonts w:ascii="Symbol" w:hAnsi="Symbol" w:hint="default"/>
      </w:rPr>
    </w:lvl>
    <w:lvl w:ilvl="4" w:tplc="596AAD36">
      <w:start w:val="1"/>
      <w:numFmt w:val="bullet"/>
      <w:lvlText w:val="o"/>
      <w:lvlJc w:val="left"/>
      <w:pPr>
        <w:ind w:left="3600" w:hanging="360"/>
      </w:pPr>
      <w:rPr>
        <w:rFonts w:ascii="Courier New" w:hAnsi="Courier New" w:cs="Courier New" w:hint="default"/>
      </w:rPr>
    </w:lvl>
    <w:lvl w:ilvl="5" w:tplc="98C67790">
      <w:start w:val="1"/>
      <w:numFmt w:val="bullet"/>
      <w:lvlText w:val=""/>
      <w:lvlJc w:val="left"/>
      <w:pPr>
        <w:ind w:left="4320" w:hanging="360"/>
      </w:pPr>
      <w:rPr>
        <w:rFonts w:ascii="Wingdings" w:hAnsi="Wingdings" w:hint="default"/>
      </w:rPr>
    </w:lvl>
    <w:lvl w:ilvl="6" w:tplc="44F26CBE">
      <w:start w:val="1"/>
      <w:numFmt w:val="bullet"/>
      <w:lvlText w:val=""/>
      <w:lvlJc w:val="left"/>
      <w:pPr>
        <w:ind w:left="5040" w:hanging="360"/>
      </w:pPr>
      <w:rPr>
        <w:rFonts w:ascii="Symbol" w:hAnsi="Symbol" w:hint="default"/>
      </w:rPr>
    </w:lvl>
    <w:lvl w:ilvl="7" w:tplc="4D8AFA94">
      <w:start w:val="1"/>
      <w:numFmt w:val="bullet"/>
      <w:lvlText w:val="o"/>
      <w:lvlJc w:val="left"/>
      <w:pPr>
        <w:ind w:left="5760" w:hanging="360"/>
      </w:pPr>
      <w:rPr>
        <w:rFonts w:ascii="Courier New" w:hAnsi="Courier New" w:cs="Courier New" w:hint="default"/>
      </w:rPr>
    </w:lvl>
    <w:lvl w:ilvl="8" w:tplc="930CD706">
      <w:start w:val="1"/>
      <w:numFmt w:val="bullet"/>
      <w:lvlText w:val=""/>
      <w:lvlJc w:val="left"/>
      <w:pPr>
        <w:ind w:left="6480" w:hanging="360"/>
      </w:pPr>
      <w:rPr>
        <w:rFonts w:ascii="Wingdings" w:hAnsi="Wingdings" w:hint="default"/>
      </w:rPr>
    </w:lvl>
  </w:abstractNum>
  <w:abstractNum w:abstractNumId="41" w15:restartNumberingAfterBreak="0">
    <w:nsid w:val="33E348B6"/>
    <w:multiLevelType w:val="hybridMultilevel"/>
    <w:tmpl w:val="784C8D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34DF7C01"/>
    <w:multiLevelType w:val="hybridMultilevel"/>
    <w:tmpl w:val="D0780E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7AE5F86"/>
    <w:multiLevelType w:val="hybridMultilevel"/>
    <w:tmpl w:val="BE869862"/>
    <w:lvl w:ilvl="0" w:tplc="0CA46EF4">
      <w:start w:val="1"/>
      <w:numFmt w:val="lowerRoman"/>
      <w:pStyle w:val="Numberi"/>
      <w:lvlText w:val="%1)"/>
      <w:lvlJc w:val="right"/>
      <w:pPr>
        <w:tabs>
          <w:tab w:val="num" w:pos="1656"/>
        </w:tabs>
        <w:ind w:left="1656" w:hanging="360"/>
      </w:pPr>
      <w:rPr>
        <w:rFonts w:ascii="Arial" w:hAnsi="Arial" w:hint="default"/>
        <w:b w:val="0"/>
        <w:i w:val="0"/>
        <w:sz w:val="24"/>
      </w:rPr>
    </w:lvl>
    <w:lvl w:ilvl="1" w:tplc="284EAE58" w:tentative="1">
      <w:start w:val="1"/>
      <w:numFmt w:val="lowerLetter"/>
      <w:lvlText w:val="%2."/>
      <w:lvlJc w:val="left"/>
      <w:pPr>
        <w:tabs>
          <w:tab w:val="num" w:pos="1440"/>
        </w:tabs>
        <w:ind w:left="1440" w:hanging="360"/>
      </w:pPr>
    </w:lvl>
    <w:lvl w:ilvl="2" w:tplc="EC5C3B40" w:tentative="1">
      <w:start w:val="1"/>
      <w:numFmt w:val="lowerRoman"/>
      <w:lvlText w:val="%3."/>
      <w:lvlJc w:val="right"/>
      <w:pPr>
        <w:tabs>
          <w:tab w:val="num" w:pos="2160"/>
        </w:tabs>
        <w:ind w:left="2160" w:hanging="180"/>
      </w:pPr>
    </w:lvl>
    <w:lvl w:ilvl="3" w:tplc="7A8A8FBC" w:tentative="1">
      <w:start w:val="1"/>
      <w:numFmt w:val="decimal"/>
      <w:lvlText w:val="%4."/>
      <w:lvlJc w:val="left"/>
      <w:pPr>
        <w:tabs>
          <w:tab w:val="num" w:pos="2880"/>
        </w:tabs>
        <w:ind w:left="2880" w:hanging="360"/>
      </w:pPr>
    </w:lvl>
    <w:lvl w:ilvl="4" w:tplc="C2D88370" w:tentative="1">
      <w:start w:val="1"/>
      <w:numFmt w:val="lowerLetter"/>
      <w:lvlText w:val="%5."/>
      <w:lvlJc w:val="left"/>
      <w:pPr>
        <w:tabs>
          <w:tab w:val="num" w:pos="3600"/>
        </w:tabs>
        <w:ind w:left="3600" w:hanging="360"/>
      </w:pPr>
    </w:lvl>
    <w:lvl w:ilvl="5" w:tplc="E3AE4C10" w:tentative="1">
      <w:start w:val="1"/>
      <w:numFmt w:val="lowerRoman"/>
      <w:lvlText w:val="%6."/>
      <w:lvlJc w:val="right"/>
      <w:pPr>
        <w:tabs>
          <w:tab w:val="num" w:pos="4320"/>
        </w:tabs>
        <w:ind w:left="4320" w:hanging="180"/>
      </w:pPr>
    </w:lvl>
    <w:lvl w:ilvl="6" w:tplc="61C8B400" w:tentative="1">
      <w:start w:val="1"/>
      <w:numFmt w:val="decimal"/>
      <w:lvlText w:val="%7."/>
      <w:lvlJc w:val="left"/>
      <w:pPr>
        <w:tabs>
          <w:tab w:val="num" w:pos="5040"/>
        </w:tabs>
        <w:ind w:left="5040" w:hanging="360"/>
      </w:pPr>
    </w:lvl>
    <w:lvl w:ilvl="7" w:tplc="03E00AF4" w:tentative="1">
      <w:start w:val="1"/>
      <w:numFmt w:val="lowerLetter"/>
      <w:lvlText w:val="%8."/>
      <w:lvlJc w:val="left"/>
      <w:pPr>
        <w:tabs>
          <w:tab w:val="num" w:pos="5760"/>
        </w:tabs>
        <w:ind w:left="5760" w:hanging="360"/>
      </w:pPr>
    </w:lvl>
    <w:lvl w:ilvl="8" w:tplc="71507626" w:tentative="1">
      <w:start w:val="1"/>
      <w:numFmt w:val="lowerRoman"/>
      <w:lvlText w:val="%9."/>
      <w:lvlJc w:val="right"/>
      <w:pPr>
        <w:tabs>
          <w:tab w:val="num" w:pos="6480"/>
        </w:tabs>
        <w:ind w:left="6480" w:hanging="180"/>
      </w:pPr>
    </w:lvl>
  </w:abstractNum>
  <w:abstractNum w:abstractNumId="44" w15:restartNumberingAfterBreak="0">
    <w:nsid w:val="380421E4"/>
    <w:multiLevelType w:val="multilevel"/>
    <w:tmpl w:val="442E2198"/>
    <w:lvl w:ilvl="0">
      <w:start w:val="1"/>
      <w:numFmt w:val="decimal"/>
      <w:pStyle w:val="ScheduleText1"/>
      <w:lvlText w:val="%1"/>
      <w:lvlJc w:val="left"/>
      <w:pPr>
        <w:ind w:left="720" w:hanging="720"/>
      </w:pPr>
      <w:rPr>
        <w:rFonts w:hint="default"/>
        <w:sz w:val="22"/>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5" w15:restartNumberingAfterBreak="0">
    <w:nsid w:val="38571101"/>
    <w:multiLevelType w:val="hybridMultilevel"/>
    <w:tmpl w:val="9F96E7A4"/>
    <w:lvl w:ilvl="0" w:tplc="4940A9A0">
      <w:start w:val="1"/>
      <w:numFmt w:val="bullet"/>
      <w:lvlRestart w:val="0"/>
      <w:pStyle w:val="HRTBulletList"/>
      <w:lvlText w:val=""/>
      <w:lvlJc w:val="left"/>
      <w:pPr>
        <w:tabs>
          <w:tab w:val="num" w:pos="510"/>
        </w:tabs>
        <w:ind w:left="510" w:hanging="510"/>
      </w:pPr>
      <w:rPr>
        <w:rFonts w:ascii="Symbol" w:hAnsi="Symbol" w:hint="default"/>
        <w:color w:val="auto"/>
        <w:sz w:val="24"/>
      </w:rPr>
    </w:lvl>
    <w:lvl w:ilvl="1" w:tplc="E3A4A0F8">
      <w:start w:val="1"/>
      <w:numFmt w:val="bullet"/>
      <w:lvlText w:val="o"/>
      <w:lvlJc w:val="left"/>
      <w:pPr>
        <w:tabs>
          <w:tab w:val="num" w:pos="1440"/>
        </w:tabs>
        <w:ind w:left="1440" w:hanging="360"/>
      </w:pPr>
      <w:rPr>
        <w:rFonts w:ascii="Courier New" w:hAnsi="Courier New" w:hint="default"/>
      </w:rPr>
    </w:lvl>
    <w:lvl w:ilvl="2" w:tplc="BA3E925A">
      <w:start w:val="1"/>
      <w:numFmt w:val="bullet"/>
      <w:lvlText w:val=""/>
      <w:lvlJc w:val="left"/>
      <w:pPr>
        <w:tabs>
          <w:tab w:val="num" w:pos="2160"/>
        </w:tabs>
        <w:ind w:left="2160" w:hanging="360"/>
      </w:pPr>
      <w:rPr>
        <w:rFonts w:ascii="Wingdings" w:hAnsi="Wingdings" w:hint="default"/>
      </w:rPr>
    </w:lvl>
    <w:lvl w:ilvl="3" w:tplc="23EEB3F8" w:tentative="1">
      <w:start w:val="1"/>
      <w:numFmt w:val="bullet"/>
      <w:lvlText w:val=""/>
      <w:lvlJc w:val="left"/>
      <w:pPr>
        <w:tabs>
          <w:tab w:val="num" w:pos="2880"/>
        </w:tabs>
        <w:ind w:left="2880" w:hanging="360"/>
      </w:pPr>
      <w:rPr>
        <w:rFonts w:ascii="Symbol" w:hAnsi="Symbol" w:hint="default"/>
      </w:rPr>
    </w:lvl>
    <w:lvl w:ilvl="4" w:tplc="E2AC75CC" w:tentative="1">
      <w:start w:val="1"/>
      <w:numFmt w:val="bullet"/>
      <w:lvlText w:val="o"/>
      <w:lvlJc w:val="left"/>
      <w:pPr>
        <w:tabs>
          <w:tab w:val="num" w:pos="3600"/>
        </w:tabs>
        <w:ind w:left="3600" w:hanging="360"/>
      </w:pPr>
      <w:rPr>
        <w:rFonts w:ascii="Courier New" w:hAnsi="Courier New" w:hint="default"/>
      </w:rPr>
    </w:lvl>
    <w:lvl w:ilvl="5" w:tplc="B1EC4E56" w:tentative="1">
      <w:start w:val="1"/>
      <w:numFmt w:val="bullet"/>
      <w:lvlText w:val=""/>
      <w:lvlJc w:val="left"/>
      <w:pPr>
        <w:tabs>
          <w:tab w:val="num" w:pos="4320"/>
        </w:tabs>
        <w:ind w:left="4320" w:hanging="360"/>
      </w:pPr>
      <w:rPr>
        <w:rFonts w:ascii="Wingdings" w:hAnsi="Wingdings" w:hint="default"/>
      </w:rPr>
    </w:lvl>
    <w:lvl w:ilvl="6" w:tplc="A000D04C" w:tentative="1">
      <w:start w:val="1"/>
      <w:numFmt w:val="bullet"/>
      <w:lvlText w:val=""/>
      <w:lvlJc w:val="left"/>
      <w:pPr>
        <w:tabs>
          <w:tab w:val="num" w:pos="5040"/>
        </w:tabs>
        <w:ind w:left="5040" w:hanging="360"/>
      </w:pPr>
      <w:rPr>
        <w:rFonts w:ascii="Symbol" w:hAnsi="Symbol" w:hint="default"/>
      </w:rPr>
    </w:lvl>
    <w:lvl w:ilvl="7" w:tplc="7F427832" w:tentative="1">
      <w:start w:val="1"/>
      <w:numFmt w:val="bullet"/>
      <w:lvlText w:val="o"/>
      <w:lvlJc w:val="left"/>
      <w:pPr>
        <w:tabs>
          <w:tab w:val="num" w:pos="5760"/>
        </w:tabs>
        <w:ind w:left="5760" w:hanging="360"/>
      </w:pPr>
      <w:rPr>
        <w:rFonts w:ascii="Courier New" w:hAnsi="Courier New" w:hint="default"/>
      </w:rPr>
    </w:lvl>
    <w:lvl w:ilvl="8" w:tplc="A346449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146590B"/>
    <w:multiLevelType w:val="hybridMultilevel"/>
    <w:tmpl w:val="7D92D1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46F0C3C"/>
    <w:multiLevelType w:val="multilevel"/>
    <w:tmpl w:val="DDFC8A60"/>
    <w:styleLink w:val="MPDTAppendixHeadingStyle"/>
    <w:lvl w:ilvl="0">
      <w:start w:val="1"/>
      <w:numFmt w:val="upperLetter"/>
      <w:pStyle w:val="ApndxHeading"/>
      <w:suff w:val="space"/>
      <w:lvlText w:val="Appendix %1."/>
      <w:lvlJc w:val="left"/>
      <w:pPr>
        <w:ind w:left="432" w:hanging="432"/>
      </w:pPr>
      <w:rPr>
        <w:rFonts w:hint="default"/>
      </w:rPr>
    </w:lvl>
    <w:lvl w:ilvl="1">
      <w:start w:val="1"/>
      <w:numFmt w:val="decimal"/>
      <w:pStyle w:val="ApndxSubHeading"/>
      <w:suff w:val="space"/>
      <w:lvlText w:val="%1.%2."/>
      <w:lvlJc w:val="left"/>
      <w:pPr>
        <w:ind w:left="576" w:hanging="576"/>
      </w:pPr>
      <w:rPr>
        <w:rFonts w:hint="default"/>
      </w:rPr>
    </w:lvl>
    <w:lvl w:ilvl="2">
      <w:start w:val="1"/>
      <w:numFmt w:val="decimal"/>
      <w:pStyle w:val="ApndxSub-SubHeading"/>
      <w:suff w:val="space"/>
      <w:lvlText w:val="%1.%2.%3."/>
      <w:lvlJc w:val="left"/>
      <w:pPr>
        <w:ind w:left="720" w:hanging="720"/>
      </w:pPr>
      <w:rPr>
        <w:rFonts w:hint="default"/>
      </w:rPr>
    </w:lvl>
    <w:lvl w:ilvl="3">
      <w:start w:val="1"/>
      <w:numFmt w:val="decimal"/>
      <w:pStyle w:val="ApndxHeadingLevel4"/>
      <w:suff w:val="space"/>
      <w:lvlText w:val="%1.%2.%3.%4."/>
      <w:lvlJc w:val="left"/>
      <w:pPr>
        <w:ind w:left="864" w:hanging="864"/>
      </w:pPr>
      <w:rPr>
        <w:rFonts w:hint="default"/>
      </w:rPr>
    </w:lvl>
    <w:lvl w:ilvl="4">
      <w:start w:val="1"/>
      <w:numFmt w:val="decimal"/>
      <w:pStyle w:val="ApndxHeadingLevel5"/>
      <w:suff w:val="space"/>
      <w:lvlText w:val="%1.%2.%3.%4.%5."/>
      <w:lvlJc w:val="left"/>
      <w:pPr>
        <w:ind w:left="1008" w:hanging="1008"/>
      </w:pPr>
      <w:rPr>
        <w:rFonts w:hint="default"/>
      </w:rPr>
    </w:lvl>
    <w:lvl w:ilvl="5">
      <w:start w:val="1"/>
      <w:numFmt w:val="decimal"/>
      <w:pStyle w:val="ApndxHeadingLevel6"/>
      <w:suff w:val="space"/>
      <w:lvlText w:val="%1.%2.%3.%4.%5.%6."/>
      <w:lvlJc w:val="left"/>
      <w:pPr>
        <w:ind w:left="1152" w:hanging="1152"/>
      </w:pPr>
      <w:rPr>
        <w:rFonts w:hint="default"/>
      </w:rPr>
    </w:lvl>
    <w:lvl w:ilvl="6">
      <w:start w:val="1"/>
      <w:numFmt w:val="decimal"/>
      <w:pStyle w:val="ApndxHeadingLevel7"/>
      <w:suff w:val="space"/>
      <w:lvlText w:val="%1.%2.%3.%4.%5.%6.%7."/>
      <w:lvlJc w:val="left"/>
      <w:pPr>
        <w:ind w:left="1296" w:hanging="1296"/>
      </w:pPr>
      <w:rPr>
        <w:rFonts w:hint="default"/>
      </w:rPr>
    </w:lvl>
    <w:lvl w:ilvl="7">
      <w:start w:val="1"/>
      <w:numFmt w:val="decimal"/>
      <w:pStyle w:val="ApndxHeadingLevel8"/>
      <w:suff w:val="space"/>
      <w:lvlText w:val="%1.%2.%3.%4.%5.%6.%7.%8."/>
      <w:lvlJc w:val="left"/>
      <w:pPr>
        <w:ind w:left="1440" w:hanging="1440"/>
      </w:pPr>
      <w:rPr>
        <w:rFonts w:hint="default"/>
      </w:rPr>
    </w:lvl>
    <w:lvl w:ilvl="8">
      <w:start w:val="1"/>
      <w:numFmt w:val="decimal"/>
      <w:pStyle w:val="ApndxHeadingLevel9"/>
      <w:suff w:val="space"/>
      <w:lvlText w:val="%1.%2.%3.%4.%5.%6.%7.%8.%9."/>
      <w:lvlJc w:val="left"/>
      <w:pPr>
        <w:ind w:left="1584" w:hanging="1584"/>
      </w:pPr>
      <w:rPr>
        <w:rFonts w:hint="default"/>
      </w:rPr>
    </w:lvl>
  </w:abstractNum>
  <w:abstractNum w:abstractNumId="48" w15:restartNumberingAfterBreak="0">
    <w:nsid w:val="4AC36E16"/>
    <w:multiLevelType w:val="hybridMultilevel"/>
    <w:tmpl w:val="26980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B1D5A44"/>
    <w:multiLevelType w:val="hybridMultilevel"/>
    <w:tmpl w:val="5756E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BD45A82"/>
    <w:multiLevelType w:val="hybridMultilevel"/>
    <w:tmpl w:val="F52E7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BEA1C8A"/>
    <w:multiLevelType w:val="multilevel"/>
    <w:tmpl w:val="1292C20A"/>
    <w:lvl w:ilvl="0">
      <w:start w:val="1"/>
      <w:numFmt w:val="none"/>
      <w:suff w:val="nothing"/>
      <w:lvlText w:val=""/>
      <w:lvlJc w:val="left"/>
      <w:pPr>
        <w:ind w:left="0" w:firstLine="0"/>
      </w:pPr>
      <w:rPr>
        <w:rFonts w:hint="default"/>
      </w:rPr>
    </w:lvl>
    <w:lvl w:ilvl="1">
      <w:start w:val="1"/>
      <w:numFmt w:val="decimal"/>
      <w:lvlText w:val="%2."/>
      <w:lvlJc w:val="left"/>
      <w:pPr>
        <w:tabs>
          <w:tab w:val="num" w:pos="720"/>
        </w:tabs>
        <w:ind w:left="720" w:hanging="720"/>
      </w:pPr>
      <w:rPr>
        <w:rFonts w:hint="default"/>
      </w:rPr>
    </w:lvl>
    <w:lvl w:ilvl="2">
      <w:start w:val="1"/>
      <w:numFmt w:val="lowerLetter"/>
      <w:lvlText w:val="(%3)"/>
      <w:lvlJc w:val="left"/>
      <w:pPr>
        <w:tabs>
          <w:tab w:val="num" w:pos="1195"/>
        </w:tabs>
        <w:ind w:left="1195" w:hanging="475"/>
      </w:pPr>
      <w:rPr>
        <w:rFonts w:hint="default"/>
      </w:rPr>
    </w:lvl>
    <w:lvl w:ilvl="3">
      <w:start w:val="1"/>
      <w:numFmt w:val="lowerRoman"/>
      <w:lvlText w:val="(%4)"/>
      <w:lvlJc w:val="left"/>
      <w:pPr>
        <w:tabs>
          <w:tab w:val="num" w:pos="1800"/>
        </w:tabs>
        <w:ind w:left="1800" w:hanging="605"/>
      </w:pPr>
      <w:rPr>
        <w:rFonts w:hint="default"/>
      </w:rPr>
    </w:lvl>
    <w:lvl w:ilvl="4">
      <w:start w:val="1"/>
      <w:numFmt w:val="lowerLetter"/>
      <w:lvlText w:val="(%5)"/>
      <w:lvlJc w:val="left"/>
      <w:pPr>
        <w:tabs>
          <w:tab w:val="num" w:pos="2160"/>
        </w:tabs>
        <w:ind w:left="2160" w:hanging="360"/>
      </w:pPr>
      <w:rPr>
        <w:rFonts w:hint="default"/>
      </w:rPr>
    </w:lvl>
    <w:lvl w:ilvl="5">
      <w:start w:val="1"/>
      <w:numFmt w:val="lowerRoman"/>
      <w:pStyle w:val="Heading6"/>
      <w:lvlText w:val="(%6)"/>
      <w:lvlJc w:val="left"/>
      <w:pPr>
        <w:tabs>
          <w:tab w:val="num" w:pos="2520"/>
        </w:tabs>
        <w:ind w:left="2520" w:hanging="360"/>
      </w:pPr>
      <w:rPr>
        <w:rFonts w:hint="default"/>
      </w:rPr>
    </w:lvl>
    <w:lvl w:ilvl="6">
      <w:start w:val="1"/>
      <w:numFmt w:val="decimal"/>
      <w:pStyle w:val="Heading7"/>
      <w:lvlText w:val="%7."/>
      <w:lvlJc w:val="left"/>
      <w:pPr>
        <w:tabs>
          <w:tab w:val="num" w:pos="2880"/>
        </w:tabs>
        <w:ind w:left="2880" w:hanging="360"/>
      </w:pPr>
      <w:rPr>
        <w:rFonts w:hint="default"/>
      </w:rPr>
    </w:lvl>
    <w:lvl w:ilvl="7">
      <w:start w:val="1"/>
      <w:numFmt w:val="lowerLetter"/>
      <w:pStyle w:val="Heading8"/>
      <w:lvlText w:val="%8."/>
      <w:lvlJc w:val="left"/>
      <w:pPr>
        <w:tabs>
          <w:tab w:val="num" w:pos="3240"/>
        </w:tabs>
        <w:ind w:left="3240" w:hanging="360"/>
      </w:pPr>
      <w:rPr>
        <w:rFonts w:hint="default"/>
      </w:rPr>
    </w:lvl>
    <w:lvl w:ilvl="8">
      <w:start w:val="1"/>
      <w:numFmt w:val="lowerRoman"/>
      <w:pStyle w:val="Heading9"/>
      <w:lvlText w:val="%9."/>
      <w:lvlJc w:val="left"/>
      <w:pPr>
        <w:tabs>
          <w:tab w:val="num" w:pos="3600"/>
        </w:tabs>
        <w:ind w:left="3600" w:hanging="360"/>
      </w:pPr>
      <w:rPr>
        <w:rFonts w:hint="default"/>
      </w:rPr>
    </w:lvl>
  </w:abstractNum>
  <w:abstractNum w:abstractNumId="52" w15:restartNumberingAfterBreak="0">
    <w:nsid w:val="4CFA55AD"/>
    <w:multiLevelType w:val="hybridMultilevel"/>
    <w:tmpl w:val="5074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DD0654F"/>
    <w:multiLevelType w:val="multilevel"/>
    <w:tmpl w:val="1D107944"/>
    <w:lvl w:ilvl="0">
      <w:start w:val="1"/>
      <w:numFmt w:val="decimal"/>
      <w:pStyle w:val="TableDesc"/>
      <w:suff w:val="nothing"/>
      <w:lvlText w:val="Table %1 - "/>
      <w:lvlJc w:val="left"/>
      <w:pPr>
        <w:ind w:left="432" w:hanging="432"/>
      </w:pPr>
      <w:rPr>
        <w:rFonts w:cs="Times New Roman" w:hint="default"/>
        <w:b w:val="0"/>
        <w:bCs w:val="0"/>
        <w:i w:val="0"/>
        <w:iCs w:val="0"/>
        <w:caps w:val="0"/>
        <w:smallCaps w:val="0"/>
        <w:strike w:val="0"/>
        <w:dstrike w:val="0"/>
        <w:noProof w:val="0"/>
        <w:vanish w:val="0"/>
        <w:color w:val="00A1C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nothing"/>
      <w:lvlText w:val="Table %1.%2 - "/>
      <w:lvlJc w:val="left"/>
      <w:pPr>
        <w:ind w:left="576" w:hanging="576"/>
      </w:pPr>
      <w:rPr>
        <w:rFonts w:ascii="Arial Bold" w:hAnsi="Arial Bold" w:cs="Arial" w:hint="default"/>
        <w:b/>
        <w:bCs/>
        <w:i w:val="0"/>
        <w:iCs w:val="0"/>
        <w:color w:val="005B82"/>
        <w:sz w:val="18"/>
      </w:rPr>
    </w:lvl>
    <w:lvl w:ilvl="2">
      <w:start w:val="1"/>
      <w:numFmt w:val="decimal"/>
      <w:suff w:val="nothing"/>
      <w:lvlText w:val="Table %1.%2.%3 - "/>
      <w:lvlJc w:val="left"/>
      <w:pPr>
        <w:ind w:left="720" w:hanging="720"/>
      </w:pPr>
      <w:rPr>
        <w:rFonts w:hint="default"/>
        <w:color w:val="005B82"/>
        <w:sz w:val="22"/>
      </w:rPr>
    </w:lvl>
    <w:lvl w:ilvl="3">
      <w:start w:val="1"/>
      <w:numFmt w:val="decimal"/>
      <w:suff w:val="nothing"/>
      <w:lvlText w:val="Table %1.%2.%3.%4 - "/>
      <w:lvlJc w:val="left"/>
      <w:pPr>
        <w:ind w:left="864" w:hanging="864"/>
      </w:pPr>
      <w:rPr>
        <w:rFonts w:hint="default"/>
        <w:color w:val="005B82"/>
        <w:sz w:val="24"/>
      </w:rPr>
    </w:lvl>
    <w:lvl w:ilvl="4">
      <w:start w:val="1"/>
      <w:numFmt w:val="decimal"/>
      <w:lvlText w:val="%1.%2.%3.%4.%5"/>
      <w:lvlJc w:val="left"/>
      <w:pPr>
        <w:tabs>
          <w:tab w:val="num" w:pos="1008"/>
        </w:tabs>
        <w:ind w:left="1008" w:hanging="1008"/>
      </w:pPr>
      <w:rPr>
        <w:rFonts w:hint="default"/>
        <w:color w:val="005B82"/>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51ED42C4"/>
    <w:multiLevelType w:val="multilevel"/>
    <w:tmpl w:val="0C78C8B8"/>
    <w:lvl w:ilvl="0">
      <w:start w:val="1"/>
      <w:numFmt w:val="none"/>
      <w:suff w:val="nothing"/>
      <w:lvlText w:val=""/>
      <w:lvlJc w:val="left"/>
      <w:pPr>
        <w:ind w:left="720" w:firstLine="0"/>
      </w:pPr>
      <w:rPr>
        <w:rFonts w:hint="default"/>
      </w:rPr>
    </w:lvl>
    <w:lvl w:ilvl="1">
      <w:start w:val="1"/>
      <w:numFmt w:val="decimal"/>
      <w:lvlRestart w:val="0"/>
      <w:lvlText w:val="%2."/>
      <w:lvlJc w:val="left"/>
      <w:pPr>
        <w:ind w:left="1440" w:hanging="720"/>
      </w:pPr>
      <w:rPr>
        <w:rFonts w:hint="default"/>
      </w:rPr>
    </w:lvl>
    <w:lvl w:ilvl="2">
      <w:start w:val="1"/>
      <w:numFmt w:val="decimal"/>
      <w:lvlText w:val="%2.%3"/>
      <w:lvlJc w:val="left"/>
      <w:pPr>
        <w:ind w:left="1440" w:hanging="720"/>
      </w:pPr>
      <w:rPr>
        <w:rFonts w:hint="default"/>
      </w:rPr>
    </w:lvl>
    <w:lvl w:ilvl="3">
      <w:start w:val="1"/>
      <w:numFmt w:val="decimal"/>
      <w:lvlText w:val="%1%2.%3.%4"/>
      <w:lvlJc w:val="left"/>
      <w:pPr>
        <w:tabs>
          <w:tab w:val="num" w:pos="2304"/>
        </w:tabs>
        <w:ind w:left="2304" w:hanging="864"/>
      </w:pPr>
      <w:rPr>
        <w:rFonts w:hint="default"/>
      </w:rPr>
    </w:lvl>
    <w:lvl w:ilvl="4">
      <w:start w:val="1"/>
      <w:numFmt w:val="lowerLetter"/>
      <w:lvlText w:val="%2.%3.%4(%5)"/>
      <w:lvlJc w:val="left"/>
      <w:pPr>
        <w:tabs>
          <w:tab w:val="num" w:pos="3384"/>
        </w:tabs>
        <w:ind w:left="3384" w:hanging="1080"/>
      </w:pPr>
      <w:rPr>
        <w:rFonts w:hint="default"/>
      </w:rPr>
    </w:lvl>
    <w:lvl w:ilvl="5">
      <w:start w:val="1"/>
      <w:numFmt w:val="lowerRoman"/>
      <w:lvlText w:val="%2.%3.%4(%5)(%6) "/>
      <w:lvlJc w:val="left"/>
      <w:pPr>
        <w:ind w:left="4680" w:hanging="1296"/>
      </w:pPr>
      <w:rPr>
        <w:rFonts w:hint="default"/>
      </w:rPr>
    </w:lvl>
    <w:lvl w:ilvl="6">
      <w:start w:val="1"/>
      <w:numFmt w:val="bullet"/>
      <w:lvlText w:val=""/>
      <w:lvlJc w:val="left"/>
      <w:pPr>
        <w:tabs>
          <w:tab w:val="num" w:pos="1800"/>
        </w:tabs>
        <w:ind w:left="1800" w:hanging="720"/>
      </w:pPr>
      <w:rPr>
        <w:rFonts w:ascii="Symbol" w:hAnsi="Symbol" w:hint="default"/>
        <w:sz w:val="24"/>
      </w:rPr>
    </w:lvl>
    <w:lvl w:ilvl="7">
      <w:start w:val="1"/>
      <w:numFmt w:val="bullet"/>
      <w:lvlText w:val=""/>
      <w:lvlJc w:val="left"/>
      <w:pPr>
        <w:tabs>
          <w:tab w:val="num" w:pos="2520"/>
        </w:tabs>
        <w:ind w:left="2520" w:hanging="720"/>
      </w:pPr>
      <w:rPr>
        <w:rFonts w:ascii="Symbol" w:hAnsi="Symbol" w:hint="default"/>
        <w:sz w:val="28"/>
      </w:rPr>
    </w:lvl>
    <w:lvl w:ilvl="8">
      <w:start w:val="1"/>
      <w:numFmt w:val="bullet"/>
      <w:lvlText w:val=""/>
      <w:lvlJc w:val="left"/>
      <w:pPr>
        <w:tabs>
          <w:tab w:val="num" w:pos="3121"/>
        </w:tabs>
        <w:ind w:left="3121" w:hanging="601"/>
      </w:pPr>
      <w:rPr>
        <w:rFonts w:ascii="Symbol" w:hAnsi="Symbol" w:hint="default"/>
        <w:sz w:val="28"/>
      </w:rPr>
    </w:lvl>
  </w:abstractNum>
  <w:abstractNum w:abstractNumId="55" w15:restartNumberingAfterBreak="0">
    <w:nsid w:val="5278029D"/>
    <w:multiLevelType w:val="hybridMultilevel"/>
    <w:tmpl w:val="E65CD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56AD79EC"/>
    <w:multiLevelType w:val="hybridMultilevel"/>
    <w:tmpl w:val="34865972"/>
    <w:lvl w:ilvl="0" w:tplc="DECCD480">
      <w:start w:val="1"/>
      <w:numFmt w:val="bullet"/>
      <w:lvlText w:val=""/>
      <w:lvlJc w:val="left"/>
      <w:pPr>
        <w:ind w:left="720" w:hanging="360"/>
      </w:pPr>
      <w:rPr>
        <w:rFonts w:ascii="Symbol" w:hAnsi="Symbol" w:hint="default"/>
      </w:rPr>
    </w:lvl>
    <w:lvl w:ilvl="1" w:tplc="D92C293E">
      <w:start w:val="1"/>
      <w:numFmt w:val="bullet"/>
      <w:lvlText w:val="o"/>
      <w:lvlJc w:val="left"/>
      <w:pPr>
        <w:ind w:left="1440" w:hanging="360"/>
      </w:pPr>
      <w:rPr>
        <w:rFonts w:ascii="Courier New" w:hAnsi="Courier New" w:cs="Courier New" w:hint="default"/>
      </w:rPr>
    </w:lvl>
    <w:lvl w:ilvl="2" w:tplc="B0AE86A0">
      <w:start w:val="1"/>
      <w:numFmt w:val="bullet"/>
      <w:lvlText w:val=""/>
      <w:lvlJc w:val="left"/>
      <w:pPr>
        <w:ind w:left="2160" w:hanging="360"/>
      </w:pPr>
      <w:rPr>
        <w:rFonts w:ascii="Wingdings" w:hAnsi="Wingdings" w:hint="default"/>
      </w:rPr>
    </w:lvl>
    <w:lvl w:ilvl="3" w:tplc="3D182A00">
      <w:start w:val="1"/>
      <w:numFmt w:val="bullet"/>
      <w:lvlText w:val=""/>
      <w:lvlJc w:val="left"/>
      <w:pPr>
        <w:ind w:left="2880" w:hanging="360"/>
      </w:pPr>
      <w:rPr>
        <w:rFonts w:ascii="Symbol" w:hAnsi="Symbol" w:hint="default"/>
      </w:rPr>
    </w:lvl>
    <w:lvl w:ilvl="4" w:tplc="9C6099A8">
      <w:start w:val="1"/>
      <w:numFmt w:val="bullet"/>
      <w:lvlText w:val="o"/>
      <w:lvlJc w:val="left"/>
      <w:pPr>
        <w:ind w:left="3600" w:hanging="360"/>
      </w:pPr>
      <w:rPr>
        <w:rFonts w:ascii="Courier New" w:hAnsi="Courier New" w:cs="Courier New" w:hint="default"/>
      </w:rPr>
    </w:lvl>
    <w:lvl w:ilvl="5" w:tplc="646C185A">
      <w:start w:val="1"/>
      <w:numFmt w:val="bullet"/>
      <w:lvlText w:val=""/>
      <w:lvlJc w:val="left"/>
      <w:pPr>
        <w:ind w:left="4320" w:hanging="360"/>
      </w:pPr>
      <w:rPr>
        <w:rFonts w:ascii="Wingdings" w:hAnsi="Wingdings" w:hint="default"/>
      </w:rPr>
    </w:lvl>
    <w:lvl w:ilvl="6" w:tplc="A0D45226">
      <w:start w:val="1"/>
      <w:numFmt w:val="bullet"/>
      <w:lvlText w:val=""/>
      <w:lvlJc w:val="left"/>
      <w:pPr>
        <w:ind w:left="5040" w:hanging="360"/>
      </w:pPr>
      <w:rPr>
        <w:rFonts w:ascii="Symbol" w:hAnsi="Symbol" w:hint="default"/>
      </w:rPr>
    </w:lvl>
    <w:lvl w:ilvl="7" w:tplc="CFEAF8D0">
      <w:start w:val="1"/>
      <w:numFmt w:val="bullet"/>
      <w:lvlText w:val="o"/>
      <w:lvlJc w:val="left"/>
      <w:pPr>
        <w:ind w:left="5760" w:hanging="360"/>
      </w:pPr>
      <w:rPr>
        <w:rFonts w:ascii="Courier New" w:hAnsi="Courier New" w:cs="Courier New" w:hint="default"/>
      </w:rPr>
    </w:lvl>
    <w:lvl w:ilvl="8" w:tplc="10608814">
      <w:start w:val="1"/>
      <w:numFmt w:val="bullet"/>
      <w:lvlText w:val=""/>
      <w:lvlJc w:val="left"/>
      <w:pPr>
        <w:ind w:left="6480" w:hanging="360"/>
      </w:pPr>
      <w:rPr>
        <w:rFonts w:ascii="Wingdings" w:hAnsi="Wingdings" w:hint="default"/>
      </w:rPr>
    </w:lvl>
  </w:abstractNum>
  <w:abstractNum w:abstractNumId="57" w15:restartNumberingAfterBreak="0">
    <w:nsid w:val="588819D5"/>
    <w:multiLevelType w:val="hybridMultilevel"/>
    <w:tmpl w:val="66902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92C4088"/>
    <w:multiLevelType w:val="hybridMultilevel"/>
    <w:tmpl w:val="A1C0D8A8"/>
    <w:lvl w:ilvl="0" w:tplc="6C06C006">
      <w:start w:val="1"/>
      <w:numFmt w:val="bullet"/>
      <w:lvlText w:val=""/>
      <w:lvlJc w:val="left"/>
      <w:pPr>
        <w:ind w:left="720" w:hanging="360"/>
      </w:pPr>
      <w:rPr>
        <w:rFonts w:ascii="Symbol" w:hAnsi="Symbol" w:hint="default"/>
      </w:rPr>
    </w:lvl>
    <w:lvl w:ilvl="1" w:tplc="55E4A29C" w:tentative="1">
      <w:start w:val="1"/>
      <w:numFmt w:val="bullet"/>
      <w:lvlText w:val="o"/>
      <w:lvlJc w:val="left"/>
      <w:pPr>
        <w:ind w:left="1440" w:hanging="360"/>
      </w:pPr>
      <w:rPr>
        <w:rFonts w:ascii="Courier New" w:hAnsi="Courier New" w:cs="Courier New" w:hint="default"/>
      </w:rPr>
    </w:lvl>
    <w:lvl w:ilvl="2" w:tplc="EB1E773C" w:tentative="1">
      <w:start w:val="1"/>
      <w:numFmt w:val="bullet"/>
      <w:lvlText w:val=""/>
      <w:lvlJc w:val="left"/>
      <w:pPr>
        <w:ind w:left="2160" w:hanging="360"/>
      </w:pPr>
      <w:rPr>
        <w:rFonts w:ascii="Wingdings" w:hAnsi="Wingdings" w:hint="default"/>
      </w:rPr>
    </w:lvl>
    <w:lvl w:ilvl="3" w:tplc="BEF8E07A" w:tentative="1">
      <w:start w:val="1"/>
      <w:numFmt w:val="bullet"/>
      <w:lvlText w:val=""/>
      <w:lvlJc w:val="left"/>
      <w:pPr>
        <w:ind w:left="2880" w:hanging="360"/>
      </w:pPr>
      <w:rPr>
        <w:rFonts w:ascii="Symbol" w:hAnsi="Symbol" w:hint="default"/>
      </w:rPr>
    </w:lvl>
    <w:lvl w:ilvl="4" w:tplc="5BEE2056" w:tentative="1">
      <w:start w:val="1"/>
      <w:numFmt w:val="bullet"/>
      <w:lvlText w:val="o"/>
      <w:lvlJc w:val="left"/>
      <w:pPr>
        <w:ind w:left="3600" w:hanging="360"/>
      </w:pPr>
      <w:rPr>
        <w:rFonts w:ascii="Courier New" w:hAnsi="Courier New" w:cs="Courier New" w:hint="default"/>
      </w:rPr>
    </w:lvl>
    <w:lvl w:ilvl="5" w:tplc="EB4A39F2" w:tentative="1">
      <w:start w:val="1"/>
      <w:numFmt w:val="bullet"/>
      <w:lvlText w:val=""/>
      <w:lvlJc w:val="left"/>
      <w:pPr>
        <w:ind w:left="4320" w:hanging="360"/>
      </w:pPr>
      <w:rPr>
        <w:rFonts w:ascii="Wingdings" w:hAnsi="Wingdings" w:hint="default"/>
      </w:rPr>
    </w:lvl>
    <w:lvl w:ilvl="6" w:tplc="55DA1CB6" w:tentative="1">
      <w:start w:val="1"/>
      <w:numFmt w:val="bullet"/>
      <w:lvlText w:val=""/>
      <w:lvlJc w:val="left"/>
      <w:pPr>
        <w:ind w:left="5040" w:hanging="360"/>
      </w:pPr>
      <w:rPr>
        <w:rFonts w:ascii="Symbol" w:hAnsi="Symbol" w:hint="default"/>
      </w:rPr>
    </w:lvl>
    <w:lvl w:ilvl="7" w:tplc="DA8E08CE" w:tentative="1">
      <w:start w:val="1"/>
      <w:numFmt w:val="bullet"/>
      <w:lvlText w:val="o"/>
      <w:lvlJc w:val="left"/>
      <w:pPr>
        <w:ind w:left="5760" w:hanging="360"/>
      </w:pPr>
      <w:rPr>
        <w:rFonts w:ascii="Courier New" w:hAnsi="Courier New" w:cs="Courier New" w:hint="default"/>
      </w:rPr>
    </w:lvl>
    <w:lvl w:ilvl="8" w:tplc="3808D2A4" w:tentative="1">
      <w:start w:val="1"/>
      <w:numFmt w:val="bullet"/>
      <w:lvlText w:val=""/>
      <w:lvlJc w:val="left"/>
      <w:pPr>
        <w:ind w:left="6480" w:hanging="360"/>
      </w:pPr>
      <w:rPr>
        <w:rFonts w:ascii="Wingdings" w:hAnsi="Wingdings" w:hint="default"/>
      </w:rPr>
    </w:lvl>
  </w:abstractNum>
  <w:abstractNum w:abstractNumId="59" w15:restartNumberingAfterBreak="0">
    <w:nsid w:val="5DEB55BF"/>
    <w:multiLevelType w:val="hybridMultilevel"/>
    <w:tmpl w:val="843461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0D80AEF"/>
    <w:multiLevelType w:val="hybridMultilevel"/>
    <w:tmpl w:val="221CF422"/>
    <w:lvl w:ilvl="0" w:tplc="0D2490B4">
      <w:start w:val="1"/>
      <w:numFmt w:val="bullet"/>
      <w:pStyle w:val="TableBullet"/>
      <w:lvlText w:val=""/>
      <w:lvlJc w:val="left"/>
      <w:pPr>
        <w:tabs>
          <w:tab w:val="num" w:pos="360"/>
        </w:tabs>
        <w:ind w:left="245" w:hanging="245"/>
      </w:pPr>
      <w:rPr>
        <w:rFonts w:ascii="Symbol" w:eastAsia="Times New Roman" w:hAnsi="Symbol" w:hint="default"/>
        <w:b w:val="0"/>
        <w:i w:val="0"/>
        <w:color w:val="auto"/>
        <w:sz w:val="20"/>
      </w:rPr>
    </w:lvl>
    <w:lvl w:ilvl="1" w:tplc="CD84D2DE">
      <w:start w:val="1"/>
      <w:numFmt w:val="bullet"/>
      <w:lvlText w:val="o"/>
      <w:lvlJc w:val="left"/>
      <w:pPr>
        <w:tabs>
          <w:tab w:val="num" w:pos="1440"/>
        </w:tabs>
        <w:ind w:left="1440" w:hanging="360"/>
      </w:pPr>
      <w:rPr>
        <w:rFonts w:ascii="Courier New" w:hAnsi="Courier New" w:hint="default"/>
      </w:rPr>
    </w:lvl>
    <w:lvl w:ilvl="2" w:tplc="4D787894">
      <w:start w:val="1"/>
      <w:numFmt w:val="bullet"/>
      <w:lvlText w:val=""/>
      <w:lvlJc w:val="left"/>
      <w:pPr>
        <w:tabs>
          <w:tab w:val="num" w:pos="2160"/>
        </w:tabs>
        <w:ind w:left="2160" w:hanging="360"/>
      </w:pPr>
      <w:rPr>
        <w:rFonts w:ascii="Symbol" w:eastAsia="Times New Roman" w:hAnsi="Symbol" w:hint="default"/>
      </w:rPr>
    </w:lvl>
    <w:lvl w:ilvl="3" w:tplc="6A8CF062">
      <w:start w:val="1"/>
      <w:numFmt w:val="bullet"/>
      <w:lvlText w:val=""/>
      <w:lvlJc w:val="left"/>
      <w:pPr>
        <w:tabs>
          <w:tab w:val="num" w:pos="2880"/>
        </w:tabs>
        <w:ind w:left="2880" w:hanging="360"/>
      </w:pPr>
      <w:rPr>
        <w:rFonts w:ascii="Symbol" w:eastAsia="Times New Roman" w:hAnsi="Symbol" w:hint="default"/>
      </w:rPr>
    </w:lvl>
    <w:lvl w:ilvl="4" w:tplc="79D8F990">
      <w:start w:val="1"/>
      <w:numFmt w:val="bullet"/>
      <w:lvlText w:val="o"/>
      <w:lvlJc w:val="left"/>
      <w:pPr>
        <w:tabs>
          <w:tab w:val="num" w:pos="3600"/>
        </w:tabs>
        <w:ind w:left="3600" w:hanging="360"/>
      </w:pPr>
      <w:rPr>
        <w:rFonts w:ascii="Courier New" w:hAnsi="Courier New" w:hint="default"/>
      </w:rPr>
    </w:lvl>
    <w:lvl w:ilvl="5" w:tplc="A20E62CC">
      <w:start w:val="1"/>
      <w:numFmt w:val="bullet"/>
      <w:lvlText w:val=""/>
      <w:lvlJc w:val="left"/>
      <w:pPr>
        <w:tabs>
          <w:tab w:val="num" w:pos="4320"/>
        </w:tabs>
        <w:ind w:left="4320" w:hanging="360"/>
      </w:pPr>
      <w:rPr>
        <w:rFonts w:ascii="Symbol" w:eastAsia="Times New Roman" w:hAnsi="Symbol" w:hint="default"/>
      </w:rPr>
    </w:lvl>
    <w:lvl w:ilvl="6" w:tplc="B0D6B2F0">
      <w:start w:val="1"/>
      <w:numFmt w:val="bullet"/>
      <w:lvlText w:val=""/>
      <w:lvlJc w:val="left"/>
      <w:pPr>
        <w:tabs>
          <w:tab w:val="num" w:pos="5040"/>
        </w:tabs>
        <w:ind w:left="5040" w:hanging="360"/>
      </w:pPr>
      <w:rPr>
        <w:rFonts w:ascii="Symbol" w:eastAsia="Times New Roman" w:hAnsi="Symbol" w:hint="default"/>
      </w:rPr>
    </w:lvl>
    <w:lvl w:ilvl="7" w:tplc="3B2A1D26">
      <w:start w:val="1"/>
      <w:numFmt w:val="bullet"/>
      <w:lvlText w:val="o"/>
      <w:lvlJc w:val="left"/>
      <w:pPr>
        <w:tabs>
          <w:tab w:val="num" w:pos="5760"/>
        </w:tabs>
        <w:ind w:left="5760" w:hanging="360"/>
      </w:pPr>
      <w:rPr>
        <w:rFonts w:ascii="Courier New" w:hAnsi="Courier New" w:hint="default"/>
      </w:rPr>
    </w:lvl>
    <w:lvl w:ilvl="8" w:tplc="C5C23F10">
      <w:start w:val="1"/>
      <w:numFmt w:val="bullet"/>
      <w:lvlText w:val=""/>
      <w:lvlJc w:val="left"/>
      <w:pPr>
        <w:tabs>
          <w:tab w:val="num" w:pos="6480"/>
        </w:tabs>
        <w:ind w:left="6480" w:hanging="360"/>
      </w:pPr>
      <w:rPr>
        <w:rFonts w:ascii="Symbol" w:eastAsia="Times New Roman" w:hAnsi="Symbol" w:hint="default"/>
      </w:rPr>
    </w:lvl>
  </w:abstractNum>
  <w:abstractNum w:abstractNumId="61" w15:restartNumberingAfterBreak="0">
    <w:nsid w:val="60E62EA0"/>
    <w:multiLevelType w:val="hybridMultilevel"/>
    <w:tmpl w:val="095681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63" w15:restartNumberingAfterBreak="0">
    <w:nsid w:val="652E56B6"/>
    <w:multiLevelType w:val="hybridMultilevel"/>
    <w:tmpl w:val="ADD07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5331E23"/>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65" w15:restartNumberingAfterBreak="0">
    <w:nsid w:val="6762591A"/>
    <w:multiLevelType w:val="hybridMultilevel"/>
    <w:tmpl w:val="A61CF6BE"/>
    <w:lvl w:ilvl="0" w:tplc="7FFA125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 w15:restartNumberingAfterBreak="0">
    <w:nsid w:val="6B0C735F"/>
    <w:multiLevelType w:val="multilevel"/>
    <w:tmpl w:val="00B0DC96"/>
    <w:lvl w:ilvl="0">
      <w:start w:val="1"/>
      <w:numFmt w:val="decimal"/>
      <w:pStyle w:val="PartiesBodyText"/>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702C2885"/>
    <w:multiLevelType w:val="multilevel"/>
    <w:tmpl w:val="37CCF26E"/>
    <w:lvl w:ilvl="0">
      <w:start w:val="1"/>
      <w:numFmt w:val="bullet"/>
      <w:pStyle w:val="BulletsBody"/>
      <w:lvlText w:val=""/>
      <w:lvlJc w:val="left"/>
      <w:pPr>
        <w:tabs>
          <w:tab w:val="num" w:pos="720"/>
        </w:tabs>
        <w:ind w:left="720" w:hanging="720"/>
      </w:pPr>
      <w:rPr>
        <w:rFonts w:ascii="Symbol" w:hAnsi="Symbol" w:hint="default"/>
        <w:color w:val="auto"/>
      </w:rPr>
    </w:lvl>
    <w:lvl w:ilvl="1">
      <w:start w:val="1"/>
      <w:numFmt w:val="bullet"/>
      <w:pStyle w:val="BulletsLevel1"/>
      <w:lvlText w:val=""/>
      <w:lvlJc w:val="left"/>
      <w:pPr>
        <w:tabs>
          <w:tab w:val="num" w:pos="720"/>
        </w:tabs>
        <w:ind w:left="1803" w:hanging="1083"/>
      </w:pPr>
      <w:rPr>
        <w:rFonts w:ascii="Symbol" w:hAnsi="Symbol" w:hint="default"/>
        <w:color w:val="auto"/>
      </w:rPr>
    </w:lvl>
    <w:lvl w:ilvl="2">
      <w:start w:val="1"/>
      <w:numFmt w:val="bullet"/>
      <w:pStyle w:val="BulletsLevel2"/>
      <w:lvlText w:val="o"/>
      <w:lvlJc w:val="left"/>
      <w:pPr>
        <w:tabs>
          <w:tab w:val="num" w:pos="2523"/>
        </w:tabs>
        <w:ind w:left="2523" w:hanging="720"/>
      </w:pPr>
      <w:rPr>
        <w:rFonts w:ascii="Courier New" w:hAnsi="Courier New"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68" w15:restartNumberingAfterBreak="0">
    <w:nsid w:val="730D0663"/>
    <w:multiLevelType w:val="hybridMultilevel"/>
    <w:tmpl w:val="8D8E2684"/>
    <w:lvl w:ilvl="0" w:tplc="D3F85EDC">
      <w:start w:val="1"/>
      <w:numFmt w:val="bullet"/>
      <w:lvlText w:val=""/>
      <w:lvlJc w:val="left"/>
      <w:pPr>
        <w:ind w:left="720" w:hanging="360"/>
      </w:pPr>
      <w:rPr>
        <w:rFonts w:ascii="Symbol" w:hAnsi="Symbol" w:hint="default"/>
      </w:rPr>
    </w:lvl>
    <w:lvl w:ilvl="1" w:tplc="B8DA0244" w:tentative="1">
      <w:start w:val="1"/>
      <w:numFmt w:val="bullet"/>
      <w:lvlText w:val="o"/>
      <w:lvlJc w:val="left"/>
      <w:pPr>
        <w:ind w:left="1440" w:hanging="360"/>
      </w:pPr>
      <w:rPr>
        <w:rFonts w:ascii="Courier New" w:hAnsi="Courier New" w:cs="Courier New" w:hint="default"/>
      </w:rPr>
    </w:lvl>
    <w:lvl w:ilvl="2" w:tplc="65E8F904" w:tentative="1">
      <w:start w:val="1"/>
      <w:numFmt w:val="bullet"/>
      <w:lvlText w:val=""/>
      <w:lvlJc w:val="left"/>
      <w:pPr>
        <w:ind w:left="2160" w:hanging="360"/>
      </w:pPr>
      <w:rPr>
        <w:rFonts w:ascii="Wingdings" w:hAnsi="Wingdings" w:hint="default"/>
      </w:rPr>
    </w:lvl>
    <w:lvl w:ilvl="3" w:tplc="CFA0A1A8" w:tentative="1">
      <w:start w:val="1"/>
      <w:numFmt w:val="bullet"/>
      <w:lvlText w:val=""/>
      <w:lvlJc w:val="left"/>
      <w:pPr>
        <w:ind w:left="2880" w:hanging="360"/>
      </w:pPr>
      <w:rPr>
        <w:rFonts w:ascii="Symbol" w:hAnsi="Symbol" w:hint="default"/>
      </w:rPr>
    </w:lvl>
    <w:lvl w:ilvl="4" w:tplc="3C74A604" w:tentative="1">
      <w:start w:val="1"/>
      <w:numFmt w:val="bullet"/>
      <w:lvlText w:val="o"/>
      <w:lvlJc w:val="left"/>
      <w:pPr>
        <w:ind w:left="3600" w:hanging="360"/>
      </w:pPr>
      <w:rPr>
        <w:rFonts w:ascii="Courier New" w:hAnsi="Courier New" w:cs="Courier New" w:hint="default"/>
      </w:rPr>
    </w:lvl>
    <w:lvl w:ilvl="5" w:tplc="8A9ADF82" w:tentative="1">
      <w:start w:val="1"/>
      <w:numFmt w:val="bullet"/>
      <w:lvlText w:val=""/>
      <w:lvlJc w:val="left"/>
      <w:pPr>
        <w:ind w:left="4320" w:hanging="360"/>
      </w:pPr>
      <w:rPr>
        <w:rFonts w:ascii="Wingdings" w:hAnsi="Wingdings" w:hint="default"/>
      </w:rPr>
    </w:lvl>
    <w:lvl w:ilvl="6" w:tplc="3694243C" w:tentative="1">
      <w:start w:val="1"/>
      <w:numFmt w:val="bullet"/>
      <w:lvlText w:val=""/>
      <w:lvlJc w:val="left"/>
      <w:pPr>
        <w:ind w:left="5040" w:hanging="360"/>
      </w:pPr>
      <w:rPr>
        <w:rFonts w:ascii="Symbol" w:hAnsi="Symbol" w:hint="default"/>
      </w:rPr>
    </w:lvl>
    <w:lvl w:ilvl="7" w:tplc="8E8896A4" w:tentative="1">
      <w:start w:val="1"/>
      <w:numFmt w:val="bullet"/>
      <w:lvlText w:val="o"/>
      <w:lvlJc w:val="left"/>
      <w:pPr>
        <w:ind w:left="5760" w:hanging="360"/>
      </w:pPr>
      <w:rPr>
        <w:rFonts w:ascii="Courier New" w:hAnsi="Courier New" w:cs="Courier New" w:hint="default"/>
      </w:rPr>
    </w:lvl>
    <w:lvl w:ilvl="8" w:tplc="9FD63D88" w:tentative="1">
      <w:start w:val="1"/>
      <w:numFmt w:val="bullet"/>
      <w:lvlText w:val=""/>
      <w:lvlJc w:val="left"/>
      <w:pPr>
        <w:ind w:left="6480" w:hanging="360"/>
      </w:pPr>
      <w:rPr>
        <w:rFonts w:ascii="Wingdings" w:hAnsi="Wingdings" w:hint="default"/>
      </w:rPr>
    </w:lvl>
  </w:abstractNum>
  <w:abstractNum w:abstractNumId="69" w15:restartNumberingAfterBreak="0">
    <w:nsid w:val="740C4FF4"/>
    <w:multiLevelType w:val="hybridMultilevel"/>
    <w:tmpl w:val="2B629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47A3C66"/>
    <w:multiLevelType w:val="multilevel"/>
    <w:tmpl w:val="74F44944"/>
    <w:lvl w:ilvl="0">
      <w:start w:val="1"/>
      <w:numFmt w:val="decimal"/>
      <w:pStyle w:val="Appendix1"/>
      <w:suff w:val="space"/>
      <w:lvlText w:val="Appendix %1: "/>
      <w:lvlJc w:val="left"/>
      <w:pPr>
        <w:ind w:left="720" w:hanging="720"/>
      </w:pPr>
      <w:rPr>
        <w:rFonts w:hint="default"/>
      </w:rPr>
    </w:lvl>
    <w:lvl w:ilvl="1">
      <w:start w:val="1"/>
      <w:numFmt w:val="decimal"/>
      <w:isLgl/>
      <w:lvlText w:val="A%1.%2"/>
      <w:lvlJc w:val="left"/>
      <w:pPr>
        <w:tabs>
          <w:tab w:val="num" w:pos="720"/>
        </w:tabs>
        <w:ind w:left="720" w:hanging="720"/>
      </w:pPr>
      <w:rPr>
        <w:rFonts w:hint="default"/>
      </w:rPr>
    </w:lvl>
    <w:lvl w:ilvl="2">
      <w:start w:val="1"/>
      <w:numFmt w:val="lowerLetter"/>
      <w:lvlText w:val="(%3)"/>
      <w:lvlJc w:val="left"/>
      <w:pPr>
        <w:tabs>
          <w:tab w:val="num" w:pos="1195"/>
        </w:tabs>
        <w:ind w:left="1195" w:hanging="47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75662619"/>
    <w:multiLevelType w:val="hybridMultilevel"/>
    <w:tmpl w:val="AFF82F22"/>
    <w:lvl w:ilvl="0" w:tplc="3B36171A">
      <w:start w:val="1"/>
      <w:numFmt w:val="bullet"/>
      <w:pStyle w:val="Bullet2"/>
      <w:lvlText w:val=""/>
      <w:lvlJc w:val="left"/>
      <w:pPr>
        <w:tabs>
          <w:tab w:val="num" w:pos="1191"/>
        </w:tabs>
        <w:ind w:left="1191" w:hanging="454"/>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72936E4"/>
    <w:multiLevelType w:val="multilevel"/>
    <w:tmpl w:val="7BA62EC4"/>
    <w:lvl w:ilvl="0">
      <w:start w:val="1"/>
      <w:numFmt w:val="decimal"/>
      <w:pStyle w:val="GSRL3heading"/>
      <w:lvlText w:val="%1."/>
      <w:lvlJc w:val="left"/>
      <w:pPr>
        <w:tabs>
          <w:tab w:val="num" w:pos="720"/>
        </w:tabs>
        <w:ind w:left="720" w:hanging="720"/>
      </w:pPr>
      <w:rPr>
        <w:rFonts w:hint="default"/>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SRL4numberedclause"/>
      <w:isLgl/>
      <w:lvlText w:val="%1.%2"/>
      <w:lvlJc w:val="left"/>
      <w:pPr>
        <w:tabs>
          <w:tab w:val="num" w:pos="720"/>
        </w:tabs>
        <w:ind w:left="720" w:hanging="72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GSRL5numberedclause"/>
      <w:isLgl/>
      <w:lvlText w:val="%1.%2.%3"/>
      <w:lvlJc w:val="left"/>
      <w:pPr>
        <w:tabs>
          <w:tab w:val="num" w:pos="1582"/>
        </w:tabs>
        <w:ind w:left="1582" w:hanging="862"/>
      </w:pPr>
      <w:rPr>
        <w:rFonts w:ascii="Arial" w:hAnsi="Arial" w:cs="Times New Roman" w:hint="default"/>
        <w:b w:val="0"/>
        <w:bCs w:val="0"/>
        <w:i w:val="0"/>
        <w:iCs w:val="0"/>
        <w:caps w:val="0"/>
        <w:smallCaps w:val="0"/>
        <w:strike w:val="0"/>
        <w:dstrike w:val="0"/>
        <w:noProof w:val="0"/>
        <w:vanish w:val="0"/>
        <w:webHidden w:val="0"/>
        <w:color w:val="000000"/>
        <w:spacing w:val="0"/>
        <w:kern w:val="0"/>
        <w:position w:val="0"/>
        <w:sz w:val="22"/>
        <w:u w:val="none"/>
        <w:effect w:val="none"/>
        <w:vertAlign w:val="baseline"/>
        <w:em w:val="none"/>
        <w:specVanish w:val="0"/>
      </w:rPr>
    </w:lvl>
    <w:lvl w:ilvl="3">
      <w:start w:val="1"/>
      <w:numFmt w:val="lowerLetter"/>
      <w:pStyle w:val="GSRL6numberedclause"/>
      <w:lvlText w:val="%1.%2.%3(%4)"/>
      <w:lvlJc w:val="left"/>
      <w:pPr>
        <w:tabs>
          <w:tab w:val="num" w:pos="2665"/>
        </w:tabs>
        <w:ind w:left="2665" w:hanging="1083"/>
      </w:pPr>
      <w:rPr>
        <w:rFonts w:ascii="Arial" w:hAnsi="Arial"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lowerRoman"/>
      <w:pStyle w:val="GSRL7numberedclause"/>
      <w:lvlText w:val="%1.%2.%3(%4)(%5)"/>
      <w:lvlJc w:val="left"/>
      <w:pPr>
        <w:ind w:left="3969" w:hanging="1304"/>
      </w:pPr>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SRL8numbered"/>
      <w:lvlText w:val="(%6)"/>
      <w:lvlJc w:val="left"/>
      <w:pPr>
        <w:ind w:left="1440" w:hanging="1080"/>
      </w:pPr>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773C7811"/>
    <w:multiLevelType w:val="hybridMultilevel"/>
    <w:tmpl w:val="80188BC8"/>
    <w:lvl w:ilvl="0" w:tplc="13B693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 w15:restartNumberingAfterBreak="0">
    <w:nsid w:val="7B635E8E"/>
    <w:multiLevelType w:val="hybridMultilevel"/>
    <w:tmpl w:val="9D5C5A6E"/>
    <w:lvl w:ilvl="0" w:tplc="B9A44D5C">
      <w:start w:val="1"/>
      <w:numFmt w:val="lowerRoman"/>
      <w:pStyle w:val="Sub-SubsectionHeading"/>
      <w:lvlText w:val="%1."/>
      <w:lvlJc w:val="right"/>
      <w:pPr>
        <w:ind w:left="2421" w:hanging="360"/>
      </w:pPr>
      <w:rPr>
        <w:rFonts w:hint="default"/>
      </w:rPr>
    </w:lvl>
    <w:lvl w:ilvl="1" w:tplc="2E40A272" w:tentative="1">
      <w:start w:val="1"/>
      <w:numFmt w:val="lowerLetter"/>
      <w:lvlText w:val="%2."/>
      <w:lvlJc w:val="left"/>
      <w:pPr>
        <w:ind w:left="3141" w:hanging="360"/>
      </w:pPr>
    </w:lvl>
    <w:lvl w:ilvl="2" w:tplc="8E804A5E" w:tentative="1">
      <w:start w:val="1"/>
      <w:numFmt w:val="lowerRoman"/>
      <w:lvlText w:val="%3."/>
      <w:lvlJc w:val="right"/>
      <w:pPr>
        <w:ind w:left="3861" w:hanging="180"/>
      </w:pPr>
    </w:lvl>
    <w:lvl w:ilvl="3" w:tplc="69321C5C" w:tentative="1">
      <w:start w:val="1"/>
      <w:numFmt w:val="decimal"/>
      <w:pStyle w:val="SectionHeadingLevel4"/>
      <w:lvlText w:val="%4."/>
      <w:lvlJc w:val="left"/>
      <w:pPr>
        <w:ind w:left="4581" w:hanging="360"/>
      </w:pPr>
    </w:lvl>
    <w:lvl w:ilvl="4" w:tplc="7F7051EA" w:tentative="1">
      <w:start w:val="1"/>
      <w:numFmt w:val="lowerLetter"/>
      <w:pStyle w:val="SectionHeadingLevel5"/>
      <w:lvlText w:val="%5."/>
      <w:lvlJc w:val="left"/>
      <w:pPr>
        <w:ind w:left="5301" w:hanging="360"/>
      </w:pPr>
    </w:lvl>
    <w:lvl w:ilvl="5" w:tplc="0006314C" w:tentative="1">
      <w:start w:val="1"/>
      <w:numFmt w:val="lowerRoman"/>
      <w:pStyle w:val="SectionHeadingLevel6"/>
      <w:lvlText w:val="%6."/>
      <w:lvlJc w:val="right"/>
      <w:pPr>
        <w:ind w:left="6021" w:hanging="180"/>
      </w:pPr>
    </w:lvl>
    <w:lvl w:ilvl="6" w:tplc="A1AAA84E" w:tentative="1">
      <w:start w:val="1"/>
      <w:numFmt w:val="decimal"/>
      <w:pStyle w:val="SectionHeadingLevel7"/>
      <w:lvlText w:val="%7."/>
      <w:lvlJc w:val="left"/>
      <w:pPr>
        <w:ind w:left="6741" w:hanging="360"/>
      </w:pPr>
    </w:lvl>
    <w:lvl w:ilvl="7" w:tplc="5A2A77EC" w:tentative="1">
      <w:start w:val="1"/>
      <w:numFmt w:val="lowerLetter"/>
      <w:pStyle w:val="SectionHeadingLevel8"/>
      <w:lvlText w:val="%8."/>
      <w:lvlJc w:val="left"/>
      <w:pPr>
        <w:ind w:left="7461" w:hanging="360"/>
      </w:pPr>
    </w:lvl>
    <w:lvl w:ilvl="8" w:tplc="2A984FB8" w:tentative="1">
      <w:start w:val="1"/>
      <w:numFmt w:val="lowerRoman"/>
      <w:pStyle w:val="SectionHeadingLevel9"/>
      <w:lvlText w:val="%9."/>
      <w:lvlJc w:val="right"/>
      <w:pPr>
        <w:ind w:left="8181" w:hanging="180"/>
      </w:pPr>
    </w:lvl>
  </w:abstractNum>
  <w:abstractNum w:abstractNumId="75"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CB91C55"/>
    <w:multiLevelType w:val="hybridMultilevel"/>
    <w:tmpl w:val="60C84AA8"/>
    <w:lvl w:ilvl="0" w:tplc="29C4A282">
      <w:start w:val="1"/>
      <w:numFmt w:val="bullet"/>
      <w:lvlText w:val=""/>
      <w:lvlJc w:val="left"/>
      <w:pPr>
        <w:ind w:left="720" w:hanging="360"/>
      </w:pPr>
      <w:rPr>
        <w:rFonts w:ascii="Symbol" w:hAnsi="Symbol" w:hint="default"/>
      </w:rPr>
    </w:lvl>
    <w:lvl w:ilvl="1" w:tplc="0660D068" w:tentative="1">
      <w:start w:val="1"/>
      <w:numFmt w:val="bullet"/>
      <w:lvlText w:val="o"/>
      <w:lvlJc w:val="left"/>
      <w:pPr>
        <w:ind w:left="1440" w:hanging="360"/>
      </w:pPr>
      <w:rPr>
        <w:rFonts w:ascii="Courier New" w:hAnsi="Courier New" w:cs="Courier New" w:hint="default"/>
      </w:rPr>
    </w:lvl>
    <w:lvl w:ilvl="2" w:tplc="9D0C4E3E" w:tentative="1">
      <w:start w:val="1"/>
      <w:numFmt w:val="bullet"/>
      <w:lvlText w:val=""/>
      <w:lvlJc w:val="left"/>
      <w:pPr>
        <w:ind w:left="2160" w:hanging="360"/>
      </w:pPr>
      <w:rPr>
        <w:rFonts w:ascii="Wingdings" w:hAnsi="Wingdings" w:hint="default"/>
      </w:rPr>
    </w:lvl>
    <w:lvl w:ilvl="3" w:tplc="3A3C8DF0" w:tentative="1">
      <w:start w:val="1"/>
      <w:numFmt w:val="bullet"/>
      <w:lvlText w:val=""/>
      <w:lvlJc w:val="left"/>
      <w:pPr>
        <w:ind w:left="2880" w:hanging="360"/>
      </w:pPr>
      <w:rPr>
        <w:rFonts w:ascii="Symbol" w:hAnsi="Symbol" w:hint="default"/>
      </w:rPr>
    </w:lvl>
    <w:lvl w:ilvl="4" w:tplc="B6FC8C3A" w:tentative="1">
      <w:start w:val="1"/>
      <w:numFmt w:val="bullet"/>
      <w:lvlText w:val="o"/>
      <w:lvlJc w:val="left"/>
      <w:pPr>
        <w:ind w:left="3600" w:hanging="360"/>
      </w:pPr>
      <w:rPr>
        <w:rFonts w:ascii="Courier New" w:hAnsi="Courier New" w:cs="Courier New" w:hint="default"/>
      </w:rPr>
    </w:lvl>
    <w:lvl w:ilvl="5" w:tplc="313C375A" w:tentative="1">
      <w:start w:val="1"/>
      <w:numFmt w:val="bullet"/>
      <w:lvlText w:val=""/>
      <w:lvlJc w:val="left"/>
      <w:pPr>
        <w:ind w:left="4320" w:hanging="360"/>
      </w:pPr>
      <w:rPr>
        <w:rFonts w:ascii="Wingdings" w:hAnsi="Wingdings" w:hint="default"/>
      </w:rPr>
    </w:lvl>
    <w:lvl w:ilvl="6" w:tplc="D9342862" w:tentative="1">
      <w:start w:val="1"/>
      <w:numFmt w:val="bullet"/>
      <w:lvlText w:val=""/>
      <w:lvlJc w:val="left"/>
      <w:pPr>
        <w:ind w:left="5040" w:hanging="360"/>
      </w:pPr>
      <w:rPr>
        <w:rFonts w:ascii="Symbol" w:hAnsi="Symbol" w:hint="default"/>
      </w:rPr>
    </w:lvl>
    <w:lvl w:ilvl="7" w:tplc="B12A2490" w:tentative="1">
      <w:start w:val="1"/>
      <w:numFmt w:val="bullet"/>
      <w:lvlText w:val="o"/>
      <w:lvlJc w:val="left"/>
      <w:pPr>
        <w:ind w:left="5760" w:hanging="360"/>
      </w:pPr>
      <w:rPr>
        <w:rFonts w:ascii="Courier New" w:hAnsi="Courier New" w:cs="Courier New" w:hint="default"/>
      </w:rPr>
    </w:lvl>
    <w:lvl w:ilvl="8" w:tplc="EE10986E" w:tentative="1">
      <w:start w:val="1"/>
      <w:numFmt w:val="bullet"/>
      <w:lvlText w:val=""/>
      <w:lvlJc w:val="left"/>
      <w:pPr>
        <w:ind w:left="6480" w:hanging="360"/>
      </w:pPr>
      <w:rPr>
        <w:rFonts w:ascii="Wingdings" w:hAnsi="Wingdings" w:hint="default"/>
      </w:rPr>
    </w:lvl>
  </w:abstractNum>
  <w:num w:numId="1" w16cid:durableId="717708788">
    <w:abstractNumId w:val="51"/>
  </w:num>
  <w:num w:numId="2" w16cid:durableId="1431586159">
    <w:abstractNumId w:val="51"/>
  </w:num>
  <w:num w:numId="3" w16cid:durableId="209659824">
    <w:abstractNumId w:val="51"/>
  </w:num>
  <w:num w:numId="4" w16cid:durableId="140316161">
    <w:abstractNumId w:val="51"/>
  </w:num>
  <w:num w:numId="5" w16cid:durableId="168983479">
    <w:abstractNumId w:val="33"/>
  </w:num>
  <w:num w:numId="6" w16cid:durableId="476604930">
    <w:abstractNumId w:val="60"/>
  </w:num>
  <w:num w:numId="7" w16cid:durableId="1518808304">
    <w:abstractNumId w:val="30"/>
  </w:num>
  <w:num w:numId="8" w16cid:durableId="1707173280">
    <w:abstractNumId w:val="70"/>
  </w:num>
  <w:num w:numId="9" w16cid:durableId="1081023423">
    <w:abstractNumId w:val="45"/>
  </w:num>
  <w:num w:numId="10" w16cid:durableId="749157683">
    <w:abstractNumId w:val="6"/>
  </w:num>
  <w:num w:numId="11" w16cid:durableId="2026706519">
    <w:abstractNumId w:val="0"/>
  </w:num>
  <w:num w:numId="12" w16cid:durableId="1605919740">
    <w:abstractNumId w:val="35"/>
  </w:num>
  <w:num w:numId="13" w16cid:durableId="862284659">
    <w:abstractNumId w:val="36"/>
  </w:num>
  <w:num w:numId="14" w16cid:durableId="2043626212">
    <w:abstractNumId w:val="47"/>
  </w:num>
  <w:num w:numId="15" w16cid:durableId="559753270">
    <w:abstractNumId w:val="21"/>
  </w:num>
  <w:num w:numId="16" w16cid:durableId="271206964">
    <w:abstractNumId w:val="74"/>
  </w:num>
  <w:num w:numId="17" w16cid:durableId="1228341262">
    <w:abstractNumId w:val="25"/>
  </w:num>
  <w:num w:numId="18" w16cid:durableId="276067101">
    <w:abstractNumId w:val="54"/>
  </w:num>
  <w:num w:numId="19" w16cid:durableId="1813135684">
    <w:abstractNumId w:val="26"/>
  </w:num>
  <w:num w:numId="20" w16cid:durableId="1620139394">
    <w:abstractNumId w:val="39"/>
  </w:num>
  <w:num w:numId="21" w16cid:durableId="797991767">
    <w:abstractNumId w:val="23"/>
  </w:num>
  <w:num w:numId="22" w16cid:durableId="2102986749">
    <w:abstractNumId w:val="68"/>
  </w:num>
  <w:num w:numId="23" w16cid:durableId="36974335">
    <w:abstractNumId w:val="19"/>
  </w:num>
  <w:num w:numId="24" w16cid:durableId="1462575761">
    <w:abstractNumId w:val="76"/>
  </w:num>
  <w:num w:numId="25" w16cid:durableId="1350444433">
    <w:abstractNumId w:val="58"/>
  </w:num>
  <w:num w:numId="26" w16cid:durableId="1099984872">
    <w:abstractNumId w:val="22"/>
  </w:num>
  <w:num w:numId="27" w16cid:durableId="831213375">
    <w:abstractNumId w:val="50"/>
  </w:num>
  <w:num w:numId="28" w16cid:durableId="1179462086">
    <w:abstractNumId w:val="14"/>
  </w:num>
  <w:num w:numId="29" w16cid:durableId="164788420">
    <w:abstractNumId w:val="7"/>
  </w:num>
  <w:num w:numId="30" w16cid:durableId="1399522276">
    <w:abstractNumId w:val="10"/>
  </w:num>
  <w:num w:numId="31" w16cid:durableId="2130588106">
    <w:abstractNumId w:val="37"/>
  </w:num>
  <w:num w:numId="32" w16cid:durableId="880436231">
    <w:abstractNumId w:val="20"/>
  </w:num>
  <w:num w:numId="33" w16cid:durableId="196505409">
    <w:abstractNumId w:val="73"/>
  </w:num>
  <w:num w:numId="34" w16cid:durableId="1410075236">
    <w:abstractNumId w:val="65"/>
  </w:num>
  <w:num w:numId="35" w16cid:durableId="1951081584">
    <w:abstractNumId w:val="25"/>
    <w:lvlOverride w:ilvl="0">
      <w:startOverride w:val="1"/>
    </w:lvlOverride>
  </w:num>
  <w:num w:numId="36" w16cid:durableId="817843875">
    <w:abstractNumId w:val="17"/>
  </w:num>
  <w:num w:numId="37" w16cid:durableId="265235712">
    <w:abstractNumId w:val="71"/>
  </w:num>
  <w:num w:numId="38" w16cid:durableId="1482505978">
    <w:abstractNumId w:val="43"/>
  </w:num>
  <w:num w:numId="39" w16cid:durableId="1358240852">
    <w:abstractNumId w:val="64"/>
  </w:num>
  <w:num w:numId="40" w16cid:durableId="1118723967">
    <w:abstractNumId w:val="11"/>
  </w:num>
  <w:num w:numId="41" w16cid:durableId="905993403">
    <w:abstractNumId w:val="40"/>
  </w:num>
  <w:num w:numId="42" w16cid:durableId="946422974">
    <w:abstractNumId w:val="15"/>
  </w:num>
  <w:num w:numId="43" w16cid:durableId="1007052360">
    <w:abstractNumId w:val="56"/>
  </w:num>
  <w:num w:numId="44" w16cid:durableId="1641574818">
    <w:abstractNumId w:val="41"/>
  </w:num>
  <w:num w:numId="45" w16cid:durableId="887952608">
    <w:abstractNumId w:val="24"/>
  </w:num>
  <w:num w:numId="46" w16cid:durableId="770708733">
    <w:abstractNumId w:val="32"/>
  </w:num>
  <w:num w:numId="47" w16cid:durableId="2135903566">
    <w:abstractNumId w:val="34"/>
  </w:num>
  <w:num w:numId="48" w16cid:durableId="1496259146">
    <w:abstractNumId w:val="75"/>
  </w:num>
  <w:num w:numId="49" w16cid:durableId="1681928503">
    <w:abstractNumId w:val="69"/>
  </w:num>
  <w:num w:numId="50" w16cid:durableId="255214407">
    <w:abstractNumId w:val="27"/>
  </w:num>
  <w:num w:numId="51" w16cid:durableId="1606885598">
    <w:abstractNumId w:val="16"/>
  </w:num>
  <w:num w:numId="52" w16cid:durableId="516309004">
    <w:abstractNumId w:val="59"/>
  </w:num>
  <w:num w:numId="53" w16cid:durableId="698631076">
    <w:abstractNumId w:val="42"/>
  </w:num>
  <w:num w:numId="54" w16cid:durableId="332224781">
    <w:abstractNumId w:val="61"/>
  </w:num>
  <w:num w:numId="55" w16cid:durableId="1459840735">
    <w:abstractNumId w:val="57"/>
  </w:num>
  <w:num w:numId="56" w16cid:durableId="72121248">
    <w:abstractNumId w:val="28"/>
  </w:num>
  <w:num w:numId="57" w16cid:durableId="85257476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5428699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7947580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5587170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7280838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1866646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616994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5779031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2592421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7733382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1909992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95016404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1821470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1050451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9014184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82617093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67692952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78749909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73362020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5757239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63205022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730903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69460075">
    <w:abstractNumId w:val="53"/>
  </w:num>
  <w:num w:numId="80" w16cid:durableId="503281544">
    <w:abstractNumId w:val="52"/>
  </w:num>
  <w:num w:numId="81" w16cid:durableId="8336610">
    <w:abstractNumId w:val="67"/>
  </w:num>
  <w:num w:numId="82" w16cid:durableId="14140122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542256876">
    <w:abstractNumId w:val="44"/>
  </w:num>
  <w:num w:numId="84" w16cid:durableId="4188674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3444027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6058121">
    <w:abstractNumId w:val="29"/>
  </w:num>
  <w:num w:numId="87" w16cid:durableId="19294627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786999181">
    <w:abstractNumId w:val="31"/>
  </w:num>
  <w:num w:numId="89" w16cid:durableId="1181505918">
    <w:abstractNumId w:val="62"/>
  </w:num>
  <w:num w:numId="90" w16cid:durableId="28354138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605819006">
    <w:abstractNumId w:val="66"/>
  </w:num>
  <w:num w:numId="92" w16cid:durableId="1663656238">
    <w:abstractNumId w:val="18"/>
  </w:num>
  <w:num w:numId="93" w16cid:durableId="184995034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0240184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136036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655446599">
    <w:abstractNumId w:val="72"/>
  </w:num>
  <w:num w:numId="97" w16cid:durableId="78199404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2989543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5348098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3526875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93332490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19893550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52562750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62997124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39854960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33017924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45964483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855997340">
    <w:abstractNumId w:val="49"/>
  </w:num>
  <w:num w:numId="109" w16cid:durableId="1906184615">
    <w:abstractNumId w:val="46"/>
  </w:num>
  <w:num w:numId="110" w16cid:durableId="178437539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733577018">
    <w:abstractNumId w:val="55"/>
  </w:num>
  <w:num w:numId="112" w16cid:durableId="15468887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088771650">
    <w:abstractNumId w:val="1"/>
    <w:lvlOverride w:ilvl="0">
      <w:lvl w:ilvl="0">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114" w16cid:durableId="739181870">
    <w:abstractNumId w:val="48"/>
  </w:num>
  <w:num w:numId="115" w16cid:durableId="139687758">
    <w:abstractNumId w:val="38"/>
  </w:num>
  <w:num w:numId="116" w16cid:durableId="15602900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307324975">
    <w:abstractNumId w:val="63"/>
  </w:num>
  <w:num w:numId="118" w16cid:durableId="66995496">
    <w:abstractNumId w:val="12"/>
  </w:num>
  <w:num w:numId="119" w16cid:durableId="200434878">
    <w:abstractNumId w:val="13"/>
  </w:num>
  <w:num w:numId="120" w16cid:durableId="1046756105">
    <w:abstractNumId w:val="9"/>
  </w:num>
  <w:numIdMacAtCleanup w:val="1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an Davies">
    <w15:presenceInfo w15:providerId="AD" w15:userId="S::Fran.Davies@hse.gov.uk::e655d781-da6e-4f49-bca2-c4a226b312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6" w:nlCheck="1" w:checkStyle="1"/>
  <w:activeWritingStyle w:appName="MSWord" w:lang="fr-FR"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6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D86"/>
    <w:rsid w:val="000001E0"/>
    <w:rsid w:val="000009C3"/>
    <w:rsid w:val="00000B07"/>
    <w:rsid w:val="00000BE6"/>
    <w:rsid w:val="000016EB"/>
    <w:rsid w:val="0000322F"/>
    <w:rsid w:val="00003318"/>
    <w:rsid w:val="00003F40"/>
    <w:rsid w:val="00004651"/>
    <w:rsid w:val="00004CBD"/>
    <w:rsid w:val="00005833"/>
    <w:rsid w:val="00005B70"/>
    <w:rsid w:val="000065EA"/>
    <w:rsid w:val="00006660"/>
    <w:rsid w:val="000066BD"/>
    <w:rsid w:val="0000741B"/>
    <w:rsid w:val="0000794B"/>
    <w:rsid w:val="00007AA9"/>
    <w:rsid w:val="00010038"/>
    <w:rsid w:val="000102EA"/>
    <w:rsid w:val="00010C17"/>
    <w:rsid w:val="00010F50"/>
    <w:rsid w:val="00011042"/>
    <w:rsid w:val="0001279E"/>
    <w:rsid w:val="00012C2E"/>
    <w:rsid w:val="00013007"/>
    <w:rsid w:val="00013018"/>
    <w:rsid w:val="0001336A"/>
    <w:rsid w:val="00013450"/>
    <w:rsid w:val="0001397C"/>
    <w:rsid w:val="0001398B"/>
    <w:rsid w:val="00013F93"/>
    <w:rsid w:val="00014377"/>
    <w:rsid w:val="00014AE9"/>
    <w:rsid w:val="00014EC7"/>
    <w:rsid w:val="000167A7"/>
    <w:rsid w:val="00016CC9"/>
    <w:rsid w:val="000177E9"/>
    <w:rsid w:val="0001786A"/>
    <w:rsid w:val="000178ED"/>
    <w:rsid w:val="000202AE"/>
    <w:rsid w:val="00020362"/>
    <w:rsid w:val="0002116A"/>
    <w:rsid w:val="000217B5"/>
    <w:rsid w:val="00021BE8"/>
    <w:rsid w:val="000225C5"/>
    <w:rsid w:val="000226D6"/>
    <w:rsid w:val="000227FF"/>
    <w:rsid w:val="0002346D"/>
    <w:rsid w:val="00023A87"/>
    <w:rsid w:val="00023CAB"/>
    <w:rsid w:val="000245BF"/>
    <w:rsid w:val="000263B5"/>
    <w:rsid w:val="00026973"/>
    <w:rsid w:val="00026EF7"/>
    <w:rsid w:val="00027508"/>
    <w:rsid w:val="00027A4D"/>
    <w:rsid w:val="00027D15"/>
    <w:rsid w:val="00030467"/>
    <w:rsid w:val="000309F5"/>
    <w:rsid w:val="00031100"/>
    <w:rsid w:val="00031137"/>
    <w:rsid w:val="00031163"/>
    <w:rsid w:val="000318A9"/>
    <w:rsid w:val="0003190E"/>
    <w:rsid w:val="00031A93"/>
    <w:rsid w:val="00031D03"/>
    <w:rsid w:val="000327C4"/>
    <w:rsid w:val="00032945"/>
    <w:rsid w:val="00032E8D"/>
    <w:rsid w:val="000332C7"/>
    <w:rsid w:val="00033EEB"/>
    <w:rsid w:val="000358B0"/>
    <w:rsid w:val="000358C4"/>
    <w:rsid w:val="000358F4"/>
    <w:rsid w:val="00035BB9"/>
    <w:rsid w:val="00035F24"/>
    <w:rsid w:val="00036455"/>
    <w:rsid w:val="00036698"/>
    <w:rsid w:val="000366AD"/>
    <w:rsid w:val="00037811"/>
    <w:rsid w:val="00037826"/>
    <w:rsid w:val="0003785E"/>
    <w:rsid w:val="000407D7"/>
    <w:rsid w:val="00040A50"/>
    <w:rsid w:val="0004156D"/>
    <w:rsid w:val="000419C2"/>
    <w:rsid w:val="000422A8"/>
    <w:rsid w:val="00042643"/>
    <w:rsid w:val="00042BFD"/>
    <w:rsid w:val="00042E80"/>
    <w:rsid w:val="000432E7"/>
    <w:rsid w:val="00043383"/>
    <w:rsid w:val="00044100"/>
    <w:rsid w:val="00044317"/>
    <w:rsid w:val="00044984"/>
    <w:rsid w:val="00044DF0"/>
    <w:rsid w:val="00044E54"/>
    <w:rsid w:val="000456AA"/>
    <w:rsid w:val="000462AA"/>
    <w:rsid w:val="00046795"/>
    <w:rsid w:val="00046D38"/>
    <w:rsid w:val="0004736C"/>
    <w:rsid w:val="000474B3"/>
    <w:rsid w:val="000475FF"/>
    <w:rsid w:val="0004768D"/>
    <w:rsid w:val="00047E02"/>
    <w:rsid w:val="00050109"/>
    <w:rsid w:val="00050B06"/>
    <w:rsid w:val="00050C12"/>
    <w:rsid w:val="00050E1A"/>
    <w:rsid w:val="00050F52"/>
    <w:rsid w:val="0005158C"/>
    <w:rsid w:val="00051C83"/>
    <w:rsid w:val="00051E40"/>
    <w:rsid w:val="000528DA"/>
    <w:rsid w:val="00052A3E"/>
    <w:rsid w:val="00052B87"/>
    <w:rsid w:val="00052FC5"/>
    <w:rsid w:val="000535FB"/>
    <w:rsid w:val="00053A04"/>
    <w:rsid w:val="0005437F"/>
    <w:rsid w:val="00054CEC"/>
    <w:rsid w:val="00054FD7"/>
    <w:rsid w:val="000552DE"/>
    <w:rsid w:val="000558A0"/>
    <w:rsid w:val="00055E26"/>
    <w:rsid w:val="00056C13"/>
    <w:rsid w:val="00057BBB"/>
    <w:rsid w:val="00057F40"/>
    <w:rsid w:val="00060177"/>
    <w:rsid w:val="00060C8F"/>
    <w:rsid w:val="00060FDA"/>
    <w:rsid w:val="00061013"/>
    <w:rsid w:val="000615C3"/>
    <w:rsid w:val="000616D3"/>
    <w:rsid w:val="00061839"/>
    <w:rsid w:val="00061EEB"/>
    <w:rsid w:val="00063920"/>
    <w:rsid w:val="00063E92"/>
    <w:rsid w:val="00064734"/>
    <w:rsid w:val="00064C2D"/>
    <w:rsid w:val="00065579"/>
    <w:rsid w:val="00065B0A"/>
    <w:rsid w:val="00065FEE"/>
    <w:rsid w:val="00066108"/>
    <w:rsid w:val="000662E5"/>
    <w:rsid w:val="0006686E"/>
    <w:rsid w:val="00066BDB"/>
    <w:rsid w:val="00066CD2"/>
    <w:rsid w:val="00066F49"/>
    <w:rsid w:val="000671D8"/>
    <w:rsid w:val="0006737A"/>
    <w:rsid w:val="000678FB"/>
    <w:rsid w:val="00067B0F"/>
    <w:rsid w:val="00067E98"/>
    <w:rsid w:val="000706EF"/>
    <w:rsid w:val="00070DAA"/>
    <w:rsid w:val="000710BE"/>
    <w:rsid w:val="0007160C"/>
    <w:rsid w:val="00071BFF"/>
    <w:rsid w:val="00071C5E"/>
    <w:rsid w:val="000721EB"/>
    <w:rsid w:val="0007242F"/>
    <w:rsid w:val="0007322F"/>
    <w:rsid w:val="000734A5"/>
    <w:rsid w:val="00073871"/>
    <w:rsid w:val="000739EC"/>
    <w:rsid w:val="00073FFF"/>
    <w:rsid w:val="000747CF"/>
    <w:rsid w:val="00075C14"/>
    <w:rsid w:val="0007607F"/>
    <w:rsid w:val="0007693E"/>
    <w:rsid w:val="00076EA6"/>
    <w:rsid w:val="0007713C"/>
    <w:rsid w:val="00077BB6"/>
    <w:rsid w:val="00077C93"/>
    <w:rsid w:val="00080447"/>
    <w:rsid w:val="00080975"/>
    <w:rsid w:val="00080B91"/>
    <w:rsid w:val="00081361"/>
    <w:rsid w:val="000814A3"/>
    <w:rsid w:val="00081971"/>
    <w:rsid w:val="00081F09"/>
    <w:rsid w:val="0008276B"/>
    <w:rsid w:val="00082896"/>
    <w:rsid w:val="000828EE"/>
    <w:rsid w:val="0008294E"/>
    <w:rsid w:val="00082F40"/>
    <w:rsid w:val="00083A73"/>
    <w:rsid w:val="00083BA7"/>
    <w:rsid w:val="00084483"/>
    <w:rsid w:val="000847B5"/>
    <w:rsid w:val="000848A6"/>
    <w:rsid w:val="00084F5D"/>
    <w:rsid w:val="00084F9D"/>
    <w:rsid w:val="0008618D"/>
    <w:rsid w:val="00086626"/>
    <w:rsid w:val="0008672F"/>
    <w:rsid w:val="0008677C"/>
    <w:rsid w:val="00086A01"/>
    <w:rsid w:val="00086D0A"/>
    <w:rsid w:val="0008753B"/>
    <w:rsid w:val="00087CFA"/>
    <w:rsid w:val="00087E7D"/>
    <w:rsid w:val="000902CB"/>
    <w:rsid w:val="0009035A"/>
    <w:rsid w:val="00090414"/>
    <w:rsid w:val="00090A4D"/>
    <w:rsid w:val="00090BCD"/>
    <w:rsid w:val="00090CE5"/>
    <w:rsid w:val="00091053"/>
    <w:rsid w:val="00091266"/>
    <w:rsid w:val="00091F2A"/>
    <w:rsid w:val="00092006"/>
    <w:rsid w:val="000940A5"/>
    <w:rsid w:val="0009446A"/>
    <w:rsid w:val="0009457B"/>
    <w:rsid w:val="00094671"/>
    <w:rsid w:val="00094909"/>
    <w:rsid w:val="00094E17"/>
    <w:rsid w:val="00094EA7"/>
    <w:rsid w:val="0009506A"/>
    <w:rsid w:val="0009547F"/>
    <w:rsid w:val="000954E1"/>
    <w:rsid w:val="0009716D"/>
    <w:rsid w:val="0009749C"/>
    <w:rsid w:val="000978D3"/>
    <w:rsid w:val="000978E6"/>
    <w:rsid w:val="000979F2"/>
    <w:rsid w:val="00097A1C"/>
    <w:rsid w:val="00097DDA"/>
    <w:rsid w:val="00097DFE"/>
    <w:rsid w:val="00097F67"/>
    <w:rsid w:val="000A01BE"/>
    <w:rsid w:val="000A0B34"/>
    <w:rsid w:val="000A1CBE"/>
    <w:rsid w:val="000A219B"/>
    <w:rsid w:val="000A2390"/>
    <w:rsid w:val="000A286F"/>
    <w:rsid w:val="000A2BF9"/>
    <w:rsid w:val="000A32D6"/>
    <w:rsid w:val="000A3A6E"/>
    <w:rsid w:val="000A3B1C"/>
    <w:rsid w:val="000A42BB"/>
    <w:rsid w:val="000A43DB"/>
    <w:rsid w:val="000A4449"/>
    <w:rsid w:val="000A44BE"/>
    <w:rsid w:val="000A4A70"/>
    <w:rsid w:val="000A4D26"/>
    <w:rsid w:val="000A50D0"/>
    <w:rsid w:val="000A5507"/>
    <w:rsid w:val="000A59C8"/>
    <w:rsid w:val="000A5A45"/>
    <w:rsid w:val="000A5CFB"/>
    <w:rsid w:val="000A5EE4"/>
    <w:rsid w:val="000A65B7"/>
    <w:rsid w:val="000A758D"/>
    <w:rsid w:val="000A75B1"/>
    <w:rsid w:val="000A7D98"/>
    <w:rsid w:val="000B0410"/>
    <w:rsid w:val="000B0768"/>
    <w:rsid w:val="000B0900"/>
    <w:rsid w:val="000B13B2"/>
    <w:rsid w:val="000B151F"/>
    <w:rsid w:val="000B1790"/>
    <w:rsid w:val="000B1B18"/>
    <w:rsid w:val="000B21CE"/>
    <w:rsid w:val="000B22BF"/>
    <w:rsid w:val="000B2CED"/>
    <w:rsid w:val="000B2D2C"/>
    <w:rsid w:val="000B3733"/>
    <w:rsid w:val="000B4D9F"/>
    <w:rsid w:val="000B54EE"/>
    <w:rsid w:val="000B5600"/>
    <w:rsid w:val="000B593F"/>
    <w:rsid w:val="000B5FA9"/>
    <w:rsid w:val="000B611B"/>
    <w:rsid w:val="000B6417"/>
    <w:rsid w:val="000B6538"/>
    <w:rsid w:val="000B7023"/>
    <w:rsid w:val="000B71CF"/>
    <w:rsid w:val="000B798A"/>
    <w:rsid w:val="000B7D81"/>
    <w:rsid w:val="000C0927"/>
    <w:rsid w:val="000C1520"/>
    <w:rsid w:val="000C16BD"/>
    <w:rsid w:val="000C1F5C"/>
    <w:rsid w:val="000C24A2"/>
    <w:rsid w:val="000C287E"/>
    <w:rsid w:val="000C2924"/>
    <w:rsid w:val="000C3134"/>
    <w:rsid w:val="000C39C5"/>
    <w:rsid w:val="000C3D00"/>
    <w:rsid w:val="000C3EA3"/>
    <w:rsid w:val="000C426D"/>
    <w:rsid w:val="000C4553"/>
    <w:rsid w:val="000C4591"/>
    <w:rsid w:val="000C468E"/>
    <w:rsid w:val="000C47CC"/>
    <w:rsid w:val="000C4F6F"/>
    <w:rsid w:val="000C56C5"/>
    <w:rsid w:val="000C5AA1"/>
    <w:rsid w:val="000C5C9F"/>
    <w:rsid w:val="000C6109"/>
    <w:rsid w:val="000C62AA"/>
    <w:rsid w:val="000C6389"/>
    <w:rsid w:val="000C6955"/>
    <w:rsid w:val="000C7D9C"/>
    <w:rsid w:val="000C7F6D"/>
    <w:rsid w:val="000D051E"/>
    <w:rsid w:val="000D0F3D"/>
    <w:rsid w:val="000D10F8"/>
    <w:rsid w:val="000D1831"/>
    <w:rsid w:val="000D1EF0"/>
    <w:rsid w:val="000D24A7"/>
    <w:rsid w:val="000D24D0"/>
    <w:rsid w:val="000D24FD"/>
    <w:rsid w:val="000D2BC5"/>
    <w:rsid w:val="000D2DCD"/>
    <w:rsid w:val="000D32DF"/>
    <w:rsid w:val="000D3547"/>
    <w:rsid w:val="000D3599"/>
    <w:rsid w:val="000D380C"/>
    <w:rsid w:val="000D3DB7"/>
    <w:rsid w:val="000D40EF"/>
    <w:rsid w:val="000D55F5"/>
    <w:rsid w:val="000D56A7"/>
    <w:rsid w:val="000D61B8"/>
    <w:rsid w:val="000D642B"/>
    <w:rsid w:val="000D6886"/>
    <w:rsid w:val="000D69A1"/>
    <w:rsid w:val="000D6FE6"/>
    <w:rsid w:val="000D76A9"/>
    <w:rsid w:val="000E01FB"/>
    <w:rsid w:val="000E06AE"/>
    <w:rsid w:val="000E1039"/>
    <w:rsid w:val="000E1494"/>
    <w:rsid w:val="000E19B0"/>
    <w:rsid w:val="000E1F29"/>
    <w:rsid w:val="000E218C"/>
    <w:rsid w:val="000E23B5"/>
    <w:rsid w:val="000E2772"/>
    <w:rsid w:val="000E2B7D"/>
    <w:rsid w:val="000E2ED7"/>
    <w:rsid w:val="000E328C"/>
    <w:rsid w:val="000E33C7"/>
    <w:rsid w:val="000E36BC"/>
    <w:rsid w:val="000E3A46"/>
    <w:rsid w:val="000E48B3"/>
    <w:rsid w:val="000E49E7"/>
    <w:rsid w:val="000E4BDF"/>
    <w:rsid w:val="000E4ED7"/>
    <w:rsid w:val="000E505D"/>
    <w:rsid w:val="000E53D4"/>
    <w:rsid w:val="000E5EA1"/>
    <w:rsid w:val="000E6060"/>
    <w:rsid w:val="000E6697"/>
    <w:rsid w:val="000E7107"/>
    <w:rsid w:val="000E795D"/>
    <w:rsid w:val="000F01BE"/>
    <w:rsid w:val="000F02E1"/>
    <w:rsid w:val="000F0514"/>
    <w:rsid w:val="000F1369"/>
    <w:rsid w:val="000F1745"/>
    <w:rsid w:val="000F26E4"/>
    <w:rsid w:val="000F2EA9"/>
    <w:rsid w:val="000F35AF"/>
    <w:rsid w:val="000F35DE"/>
    <w:rsid w:val="000F3A9D"/>
    <w:rsid w:val="000F3C20"/>
    <w:rsid w:val="000F4416"/>
    <w:rsid w:val="000F44FD"/>
    <w:rsid w:val="000F4624"/>
    <w:rsid w:val="000F4C96"/>
    <w:rsid w:val="000F4DF0"/>
    <w:rsid w:val="000F519B"/>
    <w:rsid w:val="000F58BD"/>
    <w:rsid w:val="000F602A"/>
    <w:rsid w:val="000F6114"/>
    <w:rsid w:val="000F62FD"/>
    <w:rsid w:val="000F682F"/>
    <w:rsid w:val="000F73CE"/>
    <w:rsid w:val="000F7721"/>
    <w:rsid w:val="000F7898"/>
    <w:rsid w:val="000F7CCC"/>
    <w:rsid w:val="000F7CE8"/>
    <w:rsid w:val="00100601"/>
    <w:rsid w:val="00100747"/>
    <w:rsid w:val="00100A5E"/>
    <w:rsid w:val="00100EBA"/>
    <w:rsid w:val="001011C9"/>
    <w:rsid w:val="00101379"/>
    <w:rsid w:val="0010187F"/>
    <w:rsid w:val="001018D6"/>
    <w:rsid w:val="00101EEC"/>
    <w:rsid w:val="00101FCC"/>
    <w:rsid w:val="00102381"/>
    <w:rsid w:val="001024B9"/>
    <w:rsid w:val="00102CD1"/>
    <w:rsid w:val="00102DC5"/>
    <w:rsid w:val="00103C84"/>
    <w:rsid w:val="00103D36"/>
    <w:rsid w:val="0010425B"/>
    <w:rsid w:val="0010454B"/>
    <w:rsid w:val="0010588D"/>
    <w:rsid w:val="00105D1D"/>
    <w:rsid w:val="00105E05"/>
    <w:rsid w:val="001065C8"/>
    <w:rsid w:val="0010696A"/>
    <w:rsid w:val="001075D1"/>
    <w:rsid w:val="001078BB"/>
    <w:rsid w:val="00107AD8"/>
    <w:rsid w:val="00107BF0"/>
    <w:rsid w:val="00110909"/>
    <w:rsid w:val="00111805"/>
    <w:rsid w:val="001119A3"/>
    <w:rsid w:val="00111B99"/>
    <w:rsid w:val="0011260A"/>
    <w:rsid w:val="00112894"/>
    <w:rsid w:val="00112901"/>
    <w:rsid w:val="001132CC"/>
    <w:rsid w:val="00113CFF"/>
    <w:rsid w:val="0011404B"/>
    <w:rsid w:val="00114104"/>
    <w:rsid w:val="001144CE"/>
    <w:rsid w:val="00114D72"/>
    <w:rsid w:val="00115231"/>
    <w:rsid w:val="00115A36"/>
    <w:rsid w:val="00116410"/>
    <w:rsid w:val="001164B5"/>
    <w:rsid w:val="00116ADE"/>
    <w:rsid w:val="00116F61"/>
    <w:rsid w:val="00117477"/>
    <w:rsid w:val="00117861"/>
    <w:rsid w:val="00117885"/>
    <w:rsid w:val="00117B45"/>
    <w:rsid w:val="00117CE6"/>
    <w:rsid w:val="0012016A"/>
    <w:rsid w:val="0012028E"/>
    <w:rsid w:val="001207C2"/>
    <w:rsid w:val="00120E17"/>
    <w:rsid w:val="0012143F"/>
    <w:rsid w:val="001214FF"/>
    <w:rsid w:val="00122012"/>
    <w:rsid w:val="00122454"/>
    <w:rsid w:val="00122594"/>
    <w:rsid w:val="0012259D"/>
    <w:rsid w:val="0012267A"/>
    <w:rsid w:val="00122CA7"/>
    <w:rsid w:val="00122ECC"/>
    <w:rsid w:val="0012306E"/>
    <w:rsid w:val="001234EE"/>
    <w:rsid w:val="00123558"/>
    <w:rsid w:val="001235A5"/>
    <w:rsid w:val="001236C2"/>
    <w:rsid w:val="00123AE9"/>
    <w:rsid w:val="001242B9"/>
    <w:rsid w:val="001242E3"/>
    <w:rsid w:val="00124638"/>
    <w:rsid w:val="001254A4"/>
    <w:rsid w:val="00125565"/>
    <w:rsid w:val="00125B90"/>
    <w:rsid w:val="00125ED7"/>
    <w:rsid w:val="00126221"/>
    <w:rsid w:val="001262EA"/>
    <w:rsid w:val="0012634E"/>
    <w:rsid w:val="001264D7"/>
    <w:rsid w:val="00127CC8"/>
    <w:rsid w:val="00130AF6"/>
    <w:rsid w:val="00130AF9"/>
    <w:rsid w:val="00130B82"/>
    <w:rsid w:val="00130E75"/>
    <w:rsid w:val="001310CF"/>
    <w:rsid w:val="00131151"/>
    <w:rsid w:val="001312FD"/>
    <w:rsid w:val="001317EE"/>
    <w:rsid w:val="00131F4F"/>
    <w:rsid w:val="001322AF"/>
    <w:rsid w:val="00132B9D"/>
    <w:rsid w:val="00132E4C"/>
    <w:rsid w:val="00133140"/>
    <w:rsid w:val="0013331D"/>
    <w:rsid w:val="001334A4"/>
    <w:rsid w:val="00133C75"/>
    <w:rsid w:val="001343C0"/>
    <w:rsid w:val="00134A83"/>
    <w:rsid w:val="00134D75"/>
    <w:rsid w:val="00135384"/>
    <w:rsid w:val="001353DB"/>
    <w:rsid w:val="001354CC"/>
    <w:rsid w:val="00135AB3"/>
    <w:rsid w:val="0013607D"/>
    <w:rsid w:val="001360E0"/>
    <w:rsid w:val="00136583"/>
    <w:rsid w:val="00136BCE"/>
    <w:rsid w:val="00136C3C"/>
    <w:rsid w:val="00136E09"/>
    <w:rsid w:val="001370D8"/>
    <w:rsid w:val="0013731B"/>
    <w:rsid w:val="00140306"/>
    <w:rsid w:val="00140AC4"/>
    <w:rsid w:val="001412A4"/>
    <w:rsid w:val="001415D5"/>
    <w:rsid w:val="00141A0E"/>
    <w:rsid w:val="00141D3F"/>
    <w:rsid w:val="00141F5D"/>
    <w:rsid w:val="00142372"/>
    <w:rsid w:val="001425E4"/>
    <w:rsid w:val="0014263F"/>
    <w:rsid w:val="001426D8"/>
    <w:rsid w:val="00143A79"/>
    <w:rsid w:val="00144084"/>
    <w:rsid w:val="0014460B"/>
    <w:rsid w:val="00144D34"/>
    <w:rsid w:val="00144F08"/>
    <w:rsid w:val="00144F82"/>
    <w:rsid w:val="001457D6"/>
    <w:rsid w:val="00146346"/>
    <w:rsid w:val="00146453"/>
    <w:rsid w:val="00146C3F"/>
    <w:rsid w:val="00146D5C"/>
    <w:rsid w:val="0014723F"/>
    <w:rsid w:val="00147302"/>
    <w:rsid w:val="001500D1"/>
    <w:rsid w:val="001501FC"/>
    <w:rsid w:val="00150515"/>
    <w:rsid w:val="00150831"/>
    <w:rsid w:val="00150875"/>
    <w:rsid w:val="00150BEB"/>
    <w:rsid w:val="00150DC5"/>
    <w:rsid w:val="00151030"/>
    <w:rsid w:val="00151375"/>
    <w:rsid w:val="00151A3C"/>
    <w:rsid w:val="00151E80"/>
    <w:rsid w:val="00151F6F"/>
    <w:rsid w:val="001520F7"/>
    <w:rsid w:val="00152299"/>
    <w:rsid w:val="00152A89"/>
    <w:rsid w:val="001537C9"/>
    <w:rsid w:val="0015394F"/>
    <w:rsid w:val="00153B43"/>
    <w:rsid w:val="001547FE"/>
    <w:rsid w:val="00154940"/>
    <w:rsid w:val="00154E96"/>
    <w:rsid w:val="0015511F"/>
    <w:rsid w:val="00155364"/>
    <w:rsid w:val="00155A16"/>
    <w:rsid w:val="00155F73"/>
    <w:rsid w:val="001562BD"/>
    <w:rsid w:val="00156343"/>
    <w:rsid w:val="00156434"/>
    <w:rsid w:val="00156963"/>
    <w:rsid w:val="00156E64"/>
    <w:rsid w:val="00157311"/>
    <w:rsid w:val="00157341"/>
    <w:rsid w:val="001573AD"/>
    <w:rsid w:val="00157C7A"/>
    <w:rsid w:val="00160097"/>
    <w:rsid w:val="001600D9"/>
    <w:rsid w:val="00160782"/>
    <w:rsid w:val="00160D4B"/>
    <w:rsid w:val="001612E9"/>
    <w:rsid w:val="00161C68"/>
    <w:rsid w:val="00161D0D"/>
    <w:rsid w:val="00161EF8"/>
    <w:rsid w:val="00162CA1"/>
    <w:rsid w:val="0016335E"/>
    <w:rsid w:val="001633D5"/>
    <w:rsid w:val="001634C1"/>
    <w:rsid w:val="0016358A"/>
    <w:rsid w:val="001635E3"/>
    <w:rsid w:val="001636ED"/>
    <w:rsid w:val="00163F03"/>
    <w:rsid w:val="001642BB"/>
    <w:rsid w:val="00164FE6"/>
    <w:rsid w:val="001660BE"/>
    <w:rsid w:val="00166A53"/>
    <w:rsid w:val="00166BD7"/>
    <w:rsid w:val="00166D42"/>
    <w:rsid w:val="001671E3"/>
    <w:rsid w:val="0016787A"/>
    <w:rsid w:val="001679C3"/>
    <w:rsid w:val="00167E99"/>
    <w:rsid w:val="00167F07"/>
    <w:rsid w:val="00170DD4"/>
    <w:rsid w:val="001711F8"/>
    <w:rsid w:val="001718BC"/>
    <w:rsid w:val="00171FDC"/>
    <w:rsid w:val="0017212F"/>
    <w:rsid w:val="00172546"/>
    <w:rsid w:val="00173642"/>
    <w:rsid w:val="001742E1"/>
    <w:rsid w:val="001743C2"/>
    <w:rsid w:val="00174762"/>
    <w:rsid w:val="00174B08"/>
    <w:rsid w:val="00174E71"/>
    <w:rsid w:val="00175018"/>
    <w:rsid w:val="001751EB"/>
    <w:rsid w:val="0017562B"/>
    <w:rsid w:val="00175938"/>
    <w:rsid w:val="00175E59"/>
    <w:rsid w:val="0017689E"/>
    <w:rsid w:val="00176C80"/>
    <w:rsid w:val="00176F90"/>
    <w:rsid w:val="001772FC"/>
    <w:rsid w:val="001778C4"/>
    <w:rsid w:val="001779F4"/>
    <w:rsid w:val="00177BB7"/>
    <w:rsid w:val="00180E67"/>
    <w:rsid w:val="00180EE6"/>
    <w:rsid w:val="00181839"/>
    <w:rsid w:val="001819A1"/>
    <w:rsid w:val="00181B73"/>
    <w:rsid w:val="00181D51"/>
    <w:rsid w:val="00182150"/>
    <w:rsid w:val="001830F6"/>
    <w:rsid w:val="00183258"/>
    <w:rsid w:val="00183BCC"/>
    <w:rsid w:val="00183C12"/>
    <w:rsid w:val="00184473"/>
    <w:rsid w:val="00184F1A"/>
    <w:rsid w:val="00185B19"/>
    <w:rsid w:val="00185BF3"/>
    <w:rsid w:val="00185C3A"/>
    <w:rsid w:val="00185F17"/>
    <w:rsid w:val="001872FC"/>
    <w:rsid w:val="00187490"/>
    <w:rsid w:val="0019028D"/>
    <w:rsid w:val="001902EB"/>
    <w:rsid w:val="00190C03"/>
    <w:rsid w:val="00190C96"/>
    <w:rsid w:val="00190FDB"/>
    <w:rsid w:val="001911F6"/>
    <w:rsid w:val="0019139A"/>
    <w:rsid w:val="00191402"/>
    <w:rsid w:val="001914D0"/>
    <w:rsid w:val="001916EE"/>
    <w:rsid w:val="00191F07"/>
    <w:rsid w:val="001928BA"/>
    <w:rsid w:val="00192B64"/>
    <w:rsid w:val="00193866"/>
    <w:rsid w:val="00193EEE"/>
    <w:rsid w:val="00194847"/>
    <w:rsid w:val="00194DB4"/>
    <w:rsid w:val="00194E6A"/>
    <w:rsid w:val="001952DF"/>
    <w:rsid w:val="001956AF"/>
    <w:rsid w:val="00195755"/>
    <w:rsid w:val="00195D24"/>
    <w:rsid w:val="00195F50"/>
    <w:rsid w:val="00195F9C"/>
    <w:rsid w:val="001961B4"/>
    <w:rsid w:val="00196755"/>
    <w:rsid w:val="00196E08"/>
    <w:rsid w:val="00197294"/>
    <w:rsid w:val="001974A0"/>
    <w:rsid w:val="001A062D"/>
    <w:rsid w:val="001A0AEE"/>
    <w:rsid w:val="001A0BE1"/>
    <w:rsid w:val="001A180D"/>
    <w:rsid w:val="001A1836"/>
    <w:rsid w:val="001A1942"/>
    <w:rsid w:val="001A1A8C"/>
    <w:rsid w:val="001A1B44"/>
    <w:rsid w:val="001A1BF7"/>
    <w:rsid w:val="001A2243"/>
    <w:rsid w:val="001A2634"/>
    <w:rsid w:val="001A4963"/>
    <w:rsid w:val="001A4D43"/>
    <w:rsid w:val="001A5266"/>
    <w:rsid w:val="001A54BC"/>
    <w:rsid w:val="001A569D"/>
    <w:rsid w:val="001A56B4"/>
    <w:rsid w:val="001A5BB9"/>
    <w:rsid w:val="001A60C3"/>
    <w:rsid w:val="001A637D"/>
    <w:rsid w:val="001A6CE3"/>
    <w:rsid w:val="001A6EA4"/>
    <w:rsid w:val="001A7054"/>
    <w:rsid w:val="001A75C9"/>
    <w:rsid w:val="001A79C7"/>
    <w:rsid w:val="001B08E8"/>
    <w:rsid w:val="001B0BF2"/>
    <w:rsid w:val="001B0C18"/>
    <w:rsid w:val="001B1752"/>
    <w:rsid w:val="001B2AA3"/>
    <w:rsid w:val="001B2BB1"/>
    <w:rsid w:val="001B2C3A"/>
    <w:rsid w:val="001B3657"/>
    <w:rsid w:val="001B4682"/>
    <w:rsid w:val="001B4748"/>
    <w:rsid w:val="001B54CF"/>
    <w:rsid w:val="001B64AA"/>
    <w:rsid w:val="001B6E57"/>
    <w:rsid w:val="001B6EBC"/>
    <w:rsid w:val="001B788B"/>
    <w:rsid w:val="001C01F9"/>
    <w:rsid w:val="001C067A"/>
    <w:rsid w:val="001C076B"/>
    <w:rsid w:val="001C1139"/>
    <w:rsid w:val="001C1C25"/>
    <w:rsid w:val="001C2659"/>
    <w:rsid w:val="001C2A00"/>
    <w:rsid w:val="001C2A07"/>
    <w:rsid w:val="001C31A0"/>
    <w:rsid w:val="001C3BB5"/>
    <w:rsid w:val="001C3CE9"/>
    <w:rsid w:val="001C3FD5"/>
    <w:rsid w:val="001C446F"/>
    <w:rsid w:val="001C473E"/>
    <w:rsid w:val="001C4998"/>
    <w:rsid w:val="001C4F54"/>
    <w:rsid w:val="001C54B1"/>
    <w:rsid w:val="001C55D5"/>
    <w:rsid w:val="001C580E"/>
    <w:rsid w:val="001C5A83"/>
    <w:rsid w:val="001C5CC8"/>
    <w:rsid w:val="001C60CE"/>
    <w:rsid w:val="001C61FC"/>
    <w:rsid w:val="001C63BB"/>
    <w:rsid w:val="001C66E5"/>
    <w:rsid w:val="001C6A57"/>
    <w:rsid w:val="001C6D9C"/>
    <w:rsid w:val="001C6E0A"/>
    <w:rsid w:val="001C7185"/>
    <w:rsid w:val="001C7187"/>
    <w:rsid w:val="001C7ECF"/>
    <w:rsid w:val="001D09AC"/>
    <w:rsid w:val="001D1557"/>
    <w:rsid w:val="001D156C"/>
    <w:rsid w:val="001D1956"/>
    <w:rsid w:val="001D1BC7"/>
    <w:rsid w:val="001D1C06"/>
    <w:rsid w:val="001D1F70"/>
    <w:rsid w:val="001D220C"/>
    <w:rsid w:val="001D267A"/>
    <w:rsid w:val="001D2C19"/>
    <w:rsid w:val="001D2E20"/>
    <w:rsid w:val="001D2F86"/>
    <w:rsid w:val="001D3567"/>
    <w:rsid w:val="001D373A"/>
    <w:rsid w:val="001D3E28"/>
    <w:rsid w:val="001D3FC6"/>
    <w:rsid w:val="001D4576"/>
    <w:rsid w:val="001D4593"/>
    <w:rsid w:val="001D482B"/>
    <w:rsid w:val="001D4882"/>
    <w:rsid w:val="001D580D"/>
    <w:rsid w:val="001D5A13"/>
    <w:rsid w:val="001D5F0F"/>
    <w:rsid w:val="001D5F40"/>
    <w:rsid w:val="001D67D8"/>
    <w:rsid w:val="001D6877"/>
    <w:rsid w:val="001D6B26"/>
    <w:rsid w:val="001D787F"/>
    <w:rsid w:val="001D78BD"/>
    <w:rsid w:val="001D7C99"/>
    <w:rsid w:val="001D7FAD"/>
    <w:rsid w:val="001E007E"/>
    <w:rsid w:val="001E0176"/>
    <w:rsid w:val="001E029F"/>
    <w:rsid w:val="001E0324"/>
    <w:rsid w:val="001E0D36"/>
    <w:rsid w:val="001E1AEB"/>
    <w:rsid w:val="001E1B87"/>
    <w:rsid w:val="001E1C59"/>
    <w:rsid w:val="001E2613"/>
    <w:rsid w:val="001E273A"/>
    <w:rsid w:val="001E2AB2"/>
    <w:rsid w:val="001E30FB"/>
    <w:rsid w:val="001E342F"/>
    <w:rsid w:val="001E3473"/>
    <w:rsid w:val="001E3E64"/>
    <w:rsid w:val="001E406B"/>
    <w:rsid w:val="001E44AE"/>
    <w:rsid w:val="001E470C"/>
    <w:rsid w:val="001E519B"/>
    <w:rsid w:val="001E5526"/>
    <w:rsid w:val="001E5BE4"/>
    <w:rsid w:val="001E6726"/>
    <w:rsid w:val="001E6C98"/>
    <w:rsid w:val="001E6D31"/>
    <w:rsid w:val="001E732D"/>
    <w:rsid w:val="001E7626"/>
    <w:rsid w:val="001E7D3A"/>
    <w:rsid w:val="001F015F"/>
    <w:rsid w:val="001F0737"/>
    <w:rsid w:val="001F0B05"/>
    <w:rsid w:val="001F1128"/>
    <w:rsid w:val="001F19A4"/>
    <w:rsid w:val="001F2A9C"/>
    <w:rsid w:val="001F3A00"/>
    <w:rsid w:val="001F4239"/>
    <w:rsid w:val="001F44AE"/>
    <w:rsid w:val="001F48F0"/>
    <w:rsid w:val="001F4E56"/>
    <w:rsid w:val="001F4EFF"/>
    <w:rsid w:val="001F51D1"/>
    <w:rsid w:val="001F53EF"/>
    <w:rsid w:val="001F56DA"/>
    <w:rsid w:val="001F6043"/>
    <w:rsid w:val="001F648E"/>
    <w:rsid w:val="001F64CD"/>
    <w:rsid w:val="001F6E33"/>
    <w:rsid w:val="001F72AF"/>
    <w:rsid w:val="001F7456"/>
    <w:rsid w:val="001F7A27"/>
    <w:rsid w:val="001F7A95"/>
    <w:rsid w:val="001F7B68"/>
    <w:rsid w:val="0020021A"/>
    <w:rsid w:val="00200D36"/>
    <w:rsid w:val="00201AB0"/>
    <w:rsid w:val="00201C82"/>
    <w:rsid w:val="00201FA4"/>
    <w:rsid w:val="002025F8"/>
    <w:rsid w:val="002033A5"/>
    <w:rsid w:val="002038A1"/>
    <w:rsid w:val="00204053"/>
    <w:rsid w:val="00204404"/>
    <w:rsid w:val="00205BCF"/>
    <w:rsid w:val="00206324"/>
    <w:rsid w:val="00206355"/>
    <w:rsid w:val="002063CB"/>
    <w:rsid w:val="00206876"/>
    <w:rsid w:val="00207185"/>
    <w:rsid w:val="00207BA7"/>
    <w:rsid w:val="002104FE"/>
    <w:rsid w:val="002106F3"/>
    <w:rsid w:val="00210721"/>
    <w:rsid w:val="00210CF1"/>
    <w:rsid w:val="00211C89"/>
    <w:rsid w:val="00211D2B"/>
    <w:rsid w:val="002124CE"/>
    <w:rsid w:val="0021283B"/>
    <w:rsid w:val="00212AAA"/>
    <w:rsid w:val="00212B36"/>
    <w:rsid w:val="00212C33"/>
    <w:rsid w:val="002137B7"/>
    <w:rsid w:val="002140A6"/>
    <w:rsid w:val="00214727"/>
    <w:rsid w:val="00214D9D"/>
    <w:rsid w:val="00215041"/>
    <w:rsid w:val="0021518B"/>
    <w:rsid w:val="0021548F"/>
    <w:rsid w:val="002154C4"/>
    <w:rsid w:val="00215807"/>
    <w:rsid w:val="00216190"/>
    <w:rsid w:val="002161BB"/>
    <w:rsid w:val="00216553"/>
    <w:rsid w:val="00217103"/>
    <w:rsid w:val="002177F4"/>
    <w:rsid w:val="002201FF"/>
    <w:rsid w:val="00220F49"/>
    <w:rsid w:val="00221281"/>
    <w:rsid w:val="002215E6"/>
    <w:rsid w:val="0022167E"/>
    <w:rsid w:val="002219EB"/>
    <w:rsid w:val="00221F7D"/>
    <w:rsid w:val="00222364"/>
    <w:rsid w:val="002223C8"/>
    <w:rsid w:val="00222A08"/>
    <w:rsid w:val="00222BD6"/>
    <w:rsid w:val="00223019"/>
    <w:rsid w:val="0022367F"/>
    <w:rsid w:val="00223C7B"/>
    <w:rsid w:val="00223E89"/>
    <w:rsid w:val="0022463E"/>
    <w:rsid w:val="002249CA"/>
    <w:rsid w:val="00224D06"/>
    <w:rsid w:val="00224EF0"/>
    <w:rsid w:val="0022563E"/>
    <w:rsid w:val="002256E1"/>
    <w:rsid w:val="00225D7A"/>
    <w:rsid w:val="00225DFD"/>
    <w:rsid w:val="002262DE"/>
    <w:rsid w:val="00226424"/>
    <w:rsid w:val="002266AA"/>
    <w:rsid w:val="00227767"/>
    <w:rsid w:val="00227D67"/>
    <w:rsid w:val="00227DB0"/>
    <w:rsid w:val="00227F09"/>
    <w:rsid w:val="00230303"/>
    <w:rsid w:val="00230682"/>
    <w:rsid w:val="00230F40"/>
    <w:rsid w:val="0023100A"/>
    <w:rsid w:val="00232849"/>
    <w:rsid w:val="00232E18"/>
    <w:rsid w:val="002335ED"/>
    <w:rsid w:val="002338C0"/>
    <w:rsid w:val="00233A2B"/>
    <w:rsid w:val="0023419F"/>
    <w:rsid w:val="002341C8"/>
    <w:rsid w:val="002341D9"/>
    <w:rsid w:val="00234201"/>
    <w:rsid w:val="0023463B"/>
    <w:rsid w:val="00234704"/>
    <w:rsid w:val="00234A31"/>
    <w:rsid w:val="00234C5F"/>
    <w:rsid w:val="00235D10"/>
    <w:rsid w:val="002366B7"/>
    <w:rsid w:val="0023750A"/>
    <w:rsid w:val="00237637"/>
    <w:rsid w:val="002376F8"/>
    <w:rsid w:val="00240000"/>
    <w:rsid w:val="002401E5"/>
    <w:rsid w:val="0024058B"/>
    <w:rsid w:val="002411DF"/>
    <w:rsid w:val="002413F1"/>
    <w:rsid w:val="00241631"/>
    <w:rsid w:val="00241B29"/>
    <w:rsid w:val="00243548"/>
    <w:rsid w:val="00243EC6"/>
    <w:rsid w:val="002442C2"/>
    <w:rsid w:val="002448CF"/>
    <w:rsid w:val="00244B08"/>
    <w:rsid w:val="00245085"/>
    <w:rsid w:val="002452F8"/>
    <w:rsid w:val="002458ED"/>
    <w:rsid w:val="00246253"/>
    <w:rsid w:val="00246569"/>
    <w:rsid w:val="0024691F"/>
    <w:rsid w:val="002469DC"/>
    <w:rsid w:val="00246ED7"/>
    <w:rsid w:val="00247876"/>
    <w:rsid w:val="00247DF8"/>
    <w:rsid w:val="0025041B"/>
    <w:rsid w:val="0025097C"/>
    <w:rsid w:val="00250E60"/>
    <w:rsid w:val="002519D3"/>
    <w:rsid w:val="00252913"/>
    <w:rsid w:val="00252B3D"/>
    <w:rsid w:val="00252ED7"/>
    <w:rsid w:val="002531A3"/>
    <w:rsid w:val="00253CD4"/>
    <w:rsid w:val="00253F07"/>
    <w:rsid w:val="0025429A"/>
    <w:rsid w:val="002544BC"/>
    <w:rsid w:val="0025456F"/>
    <w:rsid w:val="0025569A"/>
    <w:rsid w:val="00255DE7"/>
    <w:rsid w:val="002561A5"/>
    <w:rsid w:val="002564D7"/>
    <w:rsid w:val="00256B4B"/>
    <w:rsid w:val="0026004C"/>
    <w:rsid w:val="002602DA"/>
    <w:rsid w:val="002603A2"/>
    <w:rsid w:val="00260791"/>
    <w:rsid w:val="0026089C"/>
    <w:rsid w:val="00260914"/>
    <w:rsid w:val="002614B5"/>
    <w:rsid w:val="002617B7"/>
    <w:rsid w:val="00261E9E"/>
    <w:rsid w:val="0026209F"/>
    <w:rsid w:val="00262478"/>
    <w:rsid w:val="002635FD"/>
    <w:rsid w:val="002638EA"/>
    <w:rsid w:val="0026419D"/>
    <w:rsid w:val="002641A0"/>
    <w:rsid w:val="0026436E"/>
    <w:rsid w:val="00264FD0"/>
    <w:rsid w:val="00265400"/>
    <w:rsid w:val="00265511"/>
    <w:rsid w:val="00265737"/>
    <w:rsid w:val="00266058"/>
    <w:rsid w:val="00266119"/>
    <w:rsid w:val="00266521"/>
    <w:rsid w:val="00266A0C"/>
    <w:rsid w:val="0026727C"/>
    <w:rsid w:val="002677C2"/>
    <w:rsid w:val="00267F93"/>
    <w:rsid w:val="00270C12"/>
    <w:rsid w:val="00270FF4"/>
    <w:rsid w:val="0027136C"/>
    <w:rsid w:val="00271509"/>
    <w:rsid w:val="00271A29"/>
    <w:rsid w:val="00271DF1"/>
    <w:rsid w:val="00272931"/>
    <w:rsid w:val="00273005"/>
    <w:rsid w:val="002732D9"/>
    <w:rsid w:val="0027360A"/>
    <w:rsid w:val="0027442E"/>
    <w:rsid w:val="002749E7"/>
    <w:rsid w:val="00274C29"/>
    <w:rsid w:val="00274CE6"/>
    <w:rsid w:val="00275899"/>
    <w:rsid w:val="00276360"/>
    <w:rsid w:val="00276E8E"/>
    <w:rsid w:val="00277107"/>
    <w:rsid w:val="002772B3"/>
    <w:rsid w:val="00280532"/>
    <w:rsid w:val="002806D0"/>
    <w:rsid w:val="002809EE"/>
    <w:rsid w:val="00280DF2"/>
    <w:rsid w:val="00280EE8"/>
    <w:rsid w:val="002816C2"/>
    <w:rsid w:val="0028170C"/>
    <w:rsid w:val="00281B1C"/>
    <w:rsid w:val="002825F5"/>
    <w:rsid w:val="00282833"/>
    <w:rsid w:val="002828B9"/>
    <w:rsid w:val="00282958"/>
    <w:rsid w:val="00282A06"/>
    <w:rsid w:val="00282CC6"/>
    <w:rsid w:val="002835BA"/>
    <w:rsid w:val="002836EB"/>
    <w:rsid w:val="002837B3"/>
    <w:rsid w:val="00284CA7"/>
    <w:rsid w:val="0028639D"/>
    <w:rsid w:val="002872B8"/>
    <w:rsid w:val="002872C2"/>
    <w:rsid w:val="002878B5"/>
    <w:rsid w:val="00287CE1"/>
    <w:rsid w:val="0029174B"/>
    <w:rsid w:val="00291F16"/>
    <w:rsid w:val="002920F7"/>
    <w:rsid w:val="002931FD"/>
    <w:rsid w:val="002934F2"/>
    <w:rsid w:val="00293509"/>
    <w:rsid w:val="002939AF"/>
    <w:rsid w:val="00293CD4"/>
    <w:rsid w:val="00293E55"/>
    <w:rsid w:val="00294410"/>
    <w:rsid w:val="00294619"/>
    <w:rsid w:val="00294640"/>
    <w:rsid w:val="00294EC2"/>
    <w:rsid w:val="00295BE8"/>
    <w:rsid w:val="00295D30"/>
    <w:rsid w:val="00295EA3"/>
    <w:rsid w:val="00295F0E"/>
    <w:rsid w:val="002962F9"/>
    <w:rsid w:val="00296D95"/>
    <w:rsid w:val="00297093"/>
    <w:rsid w:val="00297576"/>
    <w:rsid w:val="00297FD8"/>
    <w:rsid w:val="002A04DD"/>
    <w:rsid w:val="002A0A95"/>
    <w:rsid w:val="002A0E44"/>
    <w:rsid w:val="002A14F3"/>
    <w:rsid w:val="002A151A"/>
    <w:rsid w:val="002A1907"/>
    <w:rsid w:val="002A1CB7"/>
    <w:rsid w:val="002A228F"/>
    <w:rsid w:val="002A2FC1"/>
    <w:rsid w:val="002A3D23"/>
    <w:rsid w:val="002A3D55"/>
    <w:rsid w:val="002A4360"/>
    <w:rsid w:val="002A473A"/>
    <w:rsid w:val="002A4C74"/>
    <w:rsid w:val="002A4F97"/>
    <w:rsid w:val="002A5CA9"/>
    <w:rsid w:val="002A60F5"/>
    <w:rsid w:val="002A6E58"/>
    <w:rsid w:val="002A779B"/>
    <w:rsid w:val="002A7906"/>
    <w:rsid w:val="002A7953"/>
    <w:rsid w:val="002A7A44"/>
    <w:rsid w:val="002B0489"/>
    <w:rsid w:val="002B06BF"/>
    <w:rsid w:val="002B07BD"/>
    <w:rsid w:val="002B09E5"/>
    <w:rsid w:val="002B12BA"/>
    <w:rsid w:val="002B1AEB"/>
    <w:rsid w:val="002B22C6"/>
    <w:rsid w:val="002B2744"/>
    <w:rsid w:val="002B33E0"/>
    <w:rsid w:val="002B3867"/>
    <w:rsid w:val="002B3F67"/>
    <w:rsid w:val="002B497D"/>
    <w:rsid w:val="002B49B6"/>
    <w:rsid w:val="002B4B49"/>
    <w:rsid w:val="002B5DD4"/>
    <w:rsid w:val="002B6530"/>
    <w:rsid w:val="002B65B0"/>
    <w:rsid w:val="002B6642"/>
    <w:rsid w:val="002B6EFC"/>
    <w:rsid w:val="002B70B2"/>
    <w:rsid w:val="002B7A0A"/>
    <w:rsid w:val="002B7AA2"/>
    <w:rsid w:val="002B7D7D"/>
    <w:rsid w:val="002B7E36"/>
    <w:rsid w:val="002B7EF9"/>
    <w:rsid w:val="002C042B"/>
    <w:rsid w:val="002C0A5D"/>
    <w:rsid w:val="002C0B8D"/>
    <w:rsid w:val="002C0CCA"/>
    <w:rsid w:val="002C0D61"/>
    <w:rsid w:val="002C0DCB"/>
    <w:rsid w:val="002C1084"/>
    <w:rsid w:val="002C12F8"/>
    <w:rsid w:val="002C1AB1"/>
    <w:rsid w:val="002C2327"/>
    <w:rsid w:val="002C28E1"/>
    <w:rsid w:val="002C28EC"/>
    <w:rsid w:val="002C2E42"/>
    <w:rsid w:val="002C3595"/>
    <w:rsid w:val="002C3DA5"/>
    <w:rsid w:val="002C3DC5"/>
    <w:rsid w:val="002C439D"/>
    <w:rsid w:val="002C4A3E"/>
    <w:rsid w:val="002C4B5C"/>
    <w:rsid w:val="002C54AD"/>
    <w:rsid w:val="002C582F"/>
    <w:rsid w:val="002C5B87"/>
    <w:rsid w:val="002C62A2"/>
    <w:rsid w:val="002C64F4"/>
    <w:rsid w:val="002C670E"/>
    <w:rsid w:val="002C6975"/>
    <w:rsid w:val="002C6C52"/>
    <w:rsid w:val="002C6D44"/>
    <w:rsid w:val="002C6FB5"/>
    <w:rsid w:val="002C71C6"/>
    <w:rsid w:val="002D04BB"/>
    <w:rsid w:val="002D0AB8"/>
    <w:rsid w:val="002D0D58"/>
    <w:rsid w:val="002D0F6A"/>
    <w:rsid w:val="002D1157"/>
    <w:rsid w:val="002D15F8"/>
    <w:rsid w:val="002D1942"/>
    <w:rsid w:val="002D2138"/>
    <w:rsid w:val="002D22D8"/>
    <w:rsid w:val="002D25EA"/>
    <w:rsid w:val="002D29E1"/>
    <w:rsid w:val="002D34BE"/>
    <w:rsid w:val="002D39B8"/>
    <w:rsid w:val="002D4F75"/>
    <w:rsid w:val="002D6458"/>
    <w:rsid w:val="002D64A9"/>
    <w:rsid w:val="002D6C4D"/>
    <w:rsid w:val="002D712C"/>
    <w:rsid w:val="002D7347"/>
    <w:rsid w:val="002D748D"/>
    <w:rsid w:val="002D796A"/>
    <w:rsid w:val="002D7987"/>
    <w:rsid w:val="002D7B75"/>
    <w:rsid w:val="002D7BD6"/>
    <w:rsid w:val="002D7C13"/>
    <w:rsid w:val="002D7D71"/>
    <w:rsid w:val="002D7E0D"/>
    <w:rsid w:val="002D7ECB"/>
    <w:rsid w:val="002D7F82"/>
    <w:rsid w:val="002E001E"/>
    <w:rsid w:val="002E0178"/>
    <w:rsid w:val="002E0432"/>
    <w:rsid w:val="002E0AB5"/>
    <w:rsid w:val="002E0B66"/>
    <w:rsid w:val="002E1F12"/>
    <w:rsid w:val="002E21A0"/>
    <w:rsid w:val="002E2C04"/>
    <w:rsid w:val="002E2FB3"/>
    <w:rsid w:val="002E42EA"/>
    <w:rsid w:val="002E4FE4"/>
    <w:rsid w:val="002E506E"/>
    <w:rsid w:val="002E5439"/>
    <w:rsid w:val="002E5653"/>
    <w:rsid w:val="002E56E0"/>
    <w:rsid w:val="002E585A"/>
    <w:rsid w:val="002E5CF7"/>
    <w:rsid w:val="002E611E"/>
    <w:rsid w:val="002E61E2"/>
    <w:rsid w:val="002E6638"/>
    <w:rsid w:val="002E66E6"/>
    <w:rsid w:val="002E67DE"/>
    <w:rsid w:val="002E6920"/>
    <w:rsid w:val="002E6CC9"/>
    <w:rsid w:val="002E706B"/>
    <w:rsid w:val="002E783C"/>
    <w:rsid w:val="002E7AF9"/>
    <w:rsid w:val="002E7BFA"/>
    <w:rsid w:val="002F0098"/>
    <w:rsid w:val="002F020D"/>
    <w:rsid w:val="002F027B"/>
    <w:rsid w:val="002F0A09"/>
    <w:rsid w:val="002F0BFC"/>
    <w:rsid w:val="002F141B"/>
    <w:rsid w:val="002F15BC"/>
    <w:rsid w:val="002F1AC9"/>
    <w:rsid w:val="002F1BB2"/>
    <w:rsid w:val="002F1D35"/>
    <w:rsid w:val="002F1EB3"/>
    <w:rsid w:val="002F2D89"/>
    <w:rsid w:val="002F356A"/>
    <w:rsid w:val="002F3711"/>
    <w:rsid w:val="002F4075"/>
    <w:rsid w:val="002F4AC2"/>
    <w:rsid w:val="002F5547"/>
    <w:rsid w:val="002F5956"/>
    <w:rsid w:val="002F59E5"/>
    <w:rsid w:val="002F604A"/>
    <w:rsid w:val="002F61FA"/>
    <w:rsid w:val="002F7052"/>
    <w:rsid w:val="002F7AC7"/>
    <w:rsid w:val="002F7B36"/>
    <w:rsid w:val="00300BEC"/>
    <w:rsid w:val="0030102F"/>
    <w:rsid w:val="003010D7"/>
    <w:rsid w:val="003023AF"/>
    <w:rsid w:val="003026D0"/>
    <w:rsid w:val="00302E7A"/>
    <w:rsid w:val="00303A87"/>
    <w:rsid w:val="00303EB7"/>
    <w:rsid w:val="003045FA"/>
    <w:rsid w:val="0030499D"/>
    <w:rsid w:val="00304B5D"/>
    <w:rsid w:val="00304BCD"/>
    <w:rsid w:val="00304C94"/>
    <w:rsid w:val="00304D74"/>
    <w:rsid w:val="00305B66"/>
    <w:rsid w:val="00306879"/>
    <w:rsid w:val="00306CF8"/>
    <w:rsid w:val="00307194"/>
    <w:rsid w:val="00307584"/>
    <w:rsid w:val="00307B25"/>
    <w:rsid w:val="00310570"/>
    <w:rsid w:val="00310ED7"/>
    <w:rsid w:val="003116E2"/>
    <w:rsid w:val="00311816"/>
    <w:rsid w:val="00311CA6"/>
    <w:rsid w:val="00313A1B"/>
    <w:rsid w:val="00314744"/>
    <w:rsid w:val="003148B3"/>
    <w:rsid w:val="00314AD8"/>
    <w:rsid w:val="00314B76"/>
    <w:rsid w:val="003155BE"/>
    <w:rsid w:val="0031579C"/>
    <w:rsid w:val="00315D04"/>
    <w:rsid w:val="00315E1C"/>
    <w:rsid w:val="00316A23"/>
    <w:rsid w:val="00316B48"/>
    <w:rsid w:val="00316DB6"/>
    <w:rsid w:val="00317223"/>
    <w:rsid w:val="00317A76"/>
    <w:rsid w:val="003202C1"/>
    <w:rsid w:val="00320557"/>
    <w:rsid w:val="00320B34"/>
    <w:rsid w:val="00320DFF"/>
    <w:rsid w:val="00320FFB"/>
    <w:rsid w:val="0032119D"/>
    <w:rsid w:val="003216C3"/>
    <w:rsid w:val="00321B3F"/>
    <w:rsid w:val="00322311"/>
    <w:rsid w:val="00322960"/>
    <w:rsid w:val="00322B5A"/>
    <w:rsid w:val="003230A5"/>
    <w:rsid w:val="0032362F"/>
    <w:rsid w:val="00323D23"/>
    <w:rsid w:val="00323F71"/>
    <w:rsid w:val="00325A6C"/>
    <w:rsid w:val="00325B1F"/>
    <w:rsid w:val="00325C38"/>
    <w:rsid w:val="0032620D"/>
    <w:rsid w:val="003269B4"/>
    <w:rsid w:val="00326A97"/>
    <w:rsid w:val="00326C49"/>
    <w:rsid w:val="00326D8B"/>
    <w:rsid w:val="0032721A"/>
    <w:rsid w:val="00327338"/>
    <w:rsid w:val="00327374"/>
    <w:rsid w:val="00327407"/>
    <w:rsid w:val="00327997"/>
    <w:rsid w:val="00330025"/>
    <w:rsid w:val="0033051B"/>
    <w:rsid w:val="003306E0"/>
    <w:rsid w:val="00330846"/>
    <w:rsid w:val="003308F2"/>
    <w:rsid w:val="00330DDB"/>
    <w:rsid w:val="003313E7"/>
    <w:rsid w:val="00331ACC"/>
    <w:rsid w:val="00331B5B"/>
    <w:rsid w:val="00331E4B"/>
    <w:rsid w:val="003322F5"/>
    <w:rsid w:val="00332B45"/>
    <w:rsid w:val="003330CB"/>
    <w:rsid w:val="00333ED5"/>
    <w:rsid w:val="00334F87"/>
    <w:rsid w:val="003352F2"/>
    <w:rsid w:val="0033564E"/>
    <w:rsid w:val="00335991"/>
    <w:rsid w:val="00335B85"/>
    <w:rsid w:val="00335C4E"/>
    <w:rsid w:val="00336EA9"/>
    <w:rsid w:val="00337594"/>
    <w:rsid w:val="00337802"/>
    <w:rsid w:val="003378C9"/>
    <w:rsid w:val="00337B25"/>
    <w:rsid w:val="00337CEB"/>
    <w:rsid w:val="003401E1"/>
    <w:rsid w:val="00340417"/>
    <w:rsid w:val="003404C0"/>
    <w:rsid w:val="0034060A"/>
    <w:rsid w:val="00340AA2"/>
    <w:rsid w:val="00340C7A"/>
    <w:rsid w:val="00340DD8"/>
    <w:rsid w:val="003410ED"/>
    <w:rsid w:val="0034159A"/>
    <w:rsid w:val="00341A46"/>
    <w:rsid w:val="00341BC1"/>
    <w:rsid w:val="00342562"/>
    <w:rsid w:val="003429C1"/>
    <w:rsid w:val="00342D3A"/>
    <w:rsid w:val="003430C7"/>
    <w:rsid w:val="003439CB"/>
    <w:rsid w:val="00343D15"/>
    <w:rsid w:val="00343D51"/>
    <w:rsid w:val="0034471A"/>
    <w:rsid w:val="00344892"/>
    <w:rsid w:val="003453F9"/>
    <w:rsid w:val="00345B90"/>
    <w:rsid w:val="00346593"/>
    <w:rsid w:val="00346946"/>
    <w:rsid w:val="00347241"/>
    <w:rsid w:val="003475DE"/>
    <w:rsid w:val="00347A23"/>
    <w:rsid w:val="00347D34"/>
    <w:rsid w:val="003502A6"/>
    <w:rsid w:val="003508E8"/>
    <w:rsid w:val="00350C00"/>
    <w:rsid w:val="0035110D"/>
    <w:rsid w:val="0035135B"/>
    <w:rsid w:val="00351522"/>
    <w:rsid w:val="00351970"/>
    <w:rsid w:val="00351B27"/>
    <w:rsid w:val="00351BAE"/>
    <w:rsid w:val="003522BF"/>
    <w:rsid w:val="003529FC"/>
    <w:rsid w:val="00352B3B"/>
    <w:rsid w:val="00352D5A"/>
    <w:rsid w:val="00353BC3"/>
    <w:rsid w:val="00353C47"/>
    <w:rsid w:val="003543C0"/>
    <w:rsid w:val="003546F3"/>
    <w:rsid w:val="00354B27"/>
    <w:rsid w:val="0035532D"/>
    <w:rsid w:val="0035546C"/>
    <w:rsid w:val="0035586C"/>
    <w:rsid w:val="00356206"/>
    <w:rsid w:val="00356284"/>
    <w:rsid w:val="00356DCE"/>
    <w:rsid w:val="00357018"/>
    <w:rsid w:val="003578AF"/>
    <w:rsid w:val="0036038F"/>
    <w:rsid w:val="00360879"/>
    <w:rsid w:val="00360A56"/>
    <w:rsid w:val="003612EE"/>
    <w:rsid w:val="00361513"/>
    <w:rsid w:val="00361DD8"/>
    <w:rsid w:val="00361EE1"/>
    <w:rsid w:val="00362FD7"/>
    <w:rsid w:val="00363792"/>
    <w:rsid w:val="003637D4"/>
    <w:rsid w:val="0036395B"/>
    <w:rsid w:val="00363D35"/>
    <w:rsid w:val="0036427C"/>
    <w:rsid w:val="00364317"/>
    <w:rsid w:val="00364AD1"/>
    <w:rsid w:val="00364C2C"/>
    <w:rsid w:val="00365449"/>
    <w:rsid w:val="003659AA"/>
    <w:rsid w:val="0036615B"/>
    <w:rsid w:val="00366169"/>
    <w:rsid w:val="0036633D"/>
    <w:rsid w:val="0036698D"/>
    <w:rsid w:val="00366D64"/>
    <w:rsid w:val="00367734"/>
    <w:rsid w:val="003707BA"/>
    <w:rsid w:val="00371205"/>
    <w:rsid w:val="003714F9"/>
    <w:rsid w:val="00371FBF"/>
    <w:rsid w:val="0037218F"/>
    <w:rsid w:val="003727EC"/>
    <w:rsid w:val="00373435"/>
    <w:rsid w:val="003739C2"/>
    <w:rsid w:val="00373F97"/>
    <w:rsid w:val="00374777"/>
    <w:rsid w:val="00374D3A"/>
    <w:rsid w:val="00374FEE"/>
    <w:rsid w:val="0037503A"/>
    <w:rsid w:val="00375370"/>
    <w:rsid w:val="00375DAE"/>
    <w:rsid w:val="00375F5E"/>
    <w:rsid w:val="00376183"/>
    <w:rsid w:val="00376237"/>
    <w:rsid w:val="003764B4"/>
    <w:rsid w:val="00376C0D"/>
    <w:rsid w:val="00376D9C"/>
    <w:rsid w:val="0037764B"/>
    <w:rsid w:val="003801A1"/>
    <w:rsid w:val="003805E6"/>
    <w:rsid w:val="00380F18"/>
    <w:rsid w:val="00381548"/>
    <w:rsid w:val="0038167B"/>
    <w:rsid w:val="0038172A"/>
    <w:rsid w:val="00381962"/>
    <w:rsid w:val="003820A2"/>
    <w:rsid w:val="00382142"/>
    <w:rsid w:val="00382878"/>
    <w:rsid w:val="00382EB3"/>
    <w:rsid w:val="00382F88"/>
    <w:rsid w:val="0038334F"/>
    <w:rsid w:val="0038394B"/>
    <w:rsid w:val="00383DA8"/>
    <w:rsid w:val="00384043"/>
    <w:rsid w:val="003843F6"/>
    <w:rsid w:val="00384741"/>
    <w:rsid w:val="003848E5"/>
    <w:rsid w:val="003849BD"/>
    <w:rsid w:val="00384C81"/>
    <w:rsid w:val="00384FB9"/>
    <w:rsid w:val="00385B6F"/>
    <w:rsid w:val="00385CCC"/>
    <w:rsid w:val="00385E2A"/>
    <w:rsid w:val="00385FA5"/>
    <w:rsid w:val="00386E74"/>
    <w:rsid w:val="00387139"/>
    <w:rsid w:val="003871B3"/>
    <w:rsid w:val="0038721B"/>
    <w:rsid w:val="00390406"/>
    <w:rsid w:val="003908FF"/>
    <w:rsid w:val="003911B3"/>
    <w:rsid w:val="00391C54"/>
    <w:rsid w:val="00391C91"/>
    <w:rsid w:val="003920F7"/>
    <w:rsid w:val="00392AE3"/>
    <w:rsid w:val="00392B2D"/>
    <w:rsid w:val="003931F7"/>
    <w:rsid w:val="003933ED"/>
    <w:rsid w:val="003934E6"/>
    <w:rsid w:val="00394111"/>
    <w:rsid w:val="00394191"/>
    <w:rsid w:val="00394C41"/>
    <w:rsid w:val="00395397"/>
    <w:rsid w:val="0039584D"/>
    <w:rsid w:val="00396258"/>
    <w:rsid w:val="00396743"/>
    <w:rsid w:val="00396790"/>
    <w:rsid w:val="0039693D"/>
    <w:rsid w:val="00396C6E"/>
    <w:rsid w:val="00396CDB"/>
    <w:rsid w:val="00396F22"/>
    <w:rsid w:val="00396FCF"/>
    <w:rsid w:val="003970C6"/>
    <w:rsid w:val="0039756C"/>
    <w:rsid w:val="00397955"/>
    <w:rsid w:val="00397D1B"/>
    <w:rsid w:val="003A0CD9"/>
    <w:rsid w:val="003A12A5"/>
    <w:rsid w:val="003A130A"/>
    <w:rsid w:val="003A207B"/>
    <w:rsid w:val="003A241E"/>
    <w:rsid w:val="003A32EF"/>
    <w:rsid w:val="003A3754"/>
    <w:rsid w:val="003A3FA1"/>
    <w:rsid w:val="003A419C"/>
    <w:rsid w:val="003A4328"/>
    <w:rsid w:val="003A4853"/>
    <w:rsid w:val="003A48A1"/>
    <w:rsid w:val="003A5366"/>
    <w:rsid w:val="003A5414"/>
    <w:rsid w:val="003A5AE5"/>
    <w:rsid w:val="003A5BA1"/>
    <w:rsid w:val="003A6475"/>
    <w:rsid w:val="003A68DF"/>
    <w:rsid w:val="003A6C82"/>
    <w:rsid w:val="003A779A"/>
    <w:rsid w:val="003B0837"/>
    <w:rsid w:val="003B0F7E"/>
    <w:rsid w:val="003B12EE"/>
    <w:rsid w:val="003B1BEA"/>
    <w:rsid w:val="003B208E"/>
    <w:rsid w:val="003B2647"/>
    <w:rsid w:val="003B26BE"/>
    <w:rsid w:val="003B27D6"/>
    <w:rsid w:val="003B27E1"/>
    <w:rsid w:val="003B3297"/>
    <w:rsid w:val="003B3A0B"/>
    <w:rsid w:val="003B46B6"/>
    <w:rsid w:val="003B46B7"/>
    <w:rsid w:val="003B47F4"/>
    <w:rsid w:val="003B485D"/>
    <w:rsid w:val="003B5069"/>
    <w:rsid w:val="003B50F4"/>
    <w:rsid w:val="003B5326"/>
    <w:rsid w:val="003B5BA3"/>
    <w:rsid w:val="003B5D69"/>
    <w:rsid w:val="003B5D96"/>
    <w:rsid w:val="003B5FD3"/>
    <w:rsid w:val="003B69A4"/>
    <w:rsid w:val="003B6A26"/>
    <w:rsid w:val="003B6C15"/>
    <w:rsid w:val="003B6C71"/>
    <w:rsid w:val="003B7223"/>
    <w:rsid w:val="003B72AB"/>
    <w:rsid w:val="003B787E"/>
    <w:rsid w:val="003C074C"/>
    <w:rsid w:val="003C09A5"/>
    <w:rsid w:val="003C0A74"/>
    <w:rsid w:val="003C0AB9"/>
    <w:rsid w:val="003C0B1A"/>
    <w:rsid w:val="003C1188"/>
    <w:rsid w:val="003C1718"/>
    <w:rsid w:val="003C1768"/>
    <w:rsid w:val="003C1BED"/>
    <w:rsid w:val="003C20C1"/>
    <w:rsid w:val="003C3A4A"/>
    <w:rsid w:val="003C3F5F"/>
    <w:rsid w:val="003C512C"/>
    <w:rsid w:val="003C51FD"/>
    <w:rsid w:val="003C5294"/>
    <w:rsid w:val="003C59CE"/>
    <w:rsid w:val="003C7B45"/>
    <w:rsid w:val="003D000D"/>
    <w:rsid w:val="003D01F0"/>
    <w:rsid w:val="003D07CA"/>
    <w:rsid w:val="003D0E6B"/>
    <w:rsid w:val="003D1790"/>
    <w:rsid w:val="003D1912"/>
    <w:rsid w:val="003D2913"/>
    <w:rsid w:val="003D2981"/>
    <w:rsid w:val="003D33C5"/>
    <w:rsid w:val="003D3FC5"/>
    <w:rsid w:val="003D41E1"/>
    <w:rsid w:val="003D41EF"/>
    <w:rsid w:val="003D446B"/>
    <w:rsid w:val="003D49CB"/>
    <w:rsid w:val="003D4E3B"/>
    <w:rsid w:val="003D4E47"/>
    <w:rsid w:val="003D5421"/>
    <w:rsid w:val="003D56FE"/>
    <w:rsid w:val="003D6401"/>
    <w:rsid w:val="003D6861"/>
    <w:rsid w:val="003D6CD6"/>
    <w:rsid w:val="003D6DEA"/>
    <w:rsid w:val="003D6F69"/>
    <w:rsid w:val="003D7A20"/>
    <w:rsid w:val="003D7BED"/>
    <w:rsid w:val="003D7F18"/>
    <w:rsid w:val="003E0D31"/>
    <w:rsid w:val="003E1128"/>
    <w:rsid w:val="003E1BA1"/>
    <w:rsid w:val="003E1E80"/>
    <w:rsid w:val="003E2452"/>
    <w:rsid w:val="003E28CD"/>
    <w:rsid w:val="003E2B4E"/>
    <w:rsid w:val="003E3539"/>
    <w:rsid w:val="003E3F92"/>
    <w:rsid w:val="003E4628"/>
    <w:rsid w:val="003E4A17"/>
    <w:rsid w:val="003E5CDD"/>
    <w:rsid w:val="003E6131"/>
    <w:rsid w:val="003E62D2"/>
    <w:rsid w:val="003E6CBE"/>
    <w:rsid w:val="003E798A"/>
    <w:rsid w:val="003F0B4E"/>
    <w:rsid w:val="003F1A11"/>
    <w:rsid w:val="003F2FE1"/>
    <w:rsid w:val="003F313F"/>
    <w:rsid w:val="003F34E2"/>
    <w:rsid w:val="003F41C1"/>
    <w:rsid w:val="003F41EF"/>
    <w:rsid w:val="003F4C99"/>
    <w:rsid w:val="003F57BA"/>
    <w:rsid w:val="003F5853"/>
    <w:rsid w:val="003F591E"/>
    <w:rsid w:val="003F5D22"/>
    <w:rsid w:val="003F6C5E"/>
    <w:rsid w:val="003F7CF6"/>
    <w:rsid w:val="003F7E74"/>
    <w:rsid w:val="003F7EC8"/>
    <w:rsid w:val="004000B9"/>
    <w:rsid w:val="004001A4"/>
    <w:rsid w:val="004004FC"/>
    <w:rsid w:val="0040096E"/>
    <w:rsid w:val="00400EF0"/>
    <w:rsid w:val="00401903"/>
    <w:rsid w:val="004019A5"/>
    <w:rsid w:val="00401C9B"/>
    <w:rsid w:val="004026AB"/>
    <w:rsid w:val="00402D51"/>
    <w:rsid w:val="004034C6"/>
    <w:rsid w:val="00403EAC"/>
    <w:rsid w:val="00404025"/>
    <w:rsid w:val="00404454"/>
    <w:rsid w:val="004048B3"/>
    <w:rsid w:val="00405508"/>
    <w:rsid w:val="00405EC1"/>
    <w:rsid w:val="004063A2"/>
    <w:rsid w:val="00406F86"/>
    <w:rsid w:val="004079A7"/>
    <w:rsid w:val="00407B93"/>
    <w:rsid w:val="00407C2E"/>
    <w:rsid w:val="00410816"/>
    <w:rsid w:val="00411398"/>
    <w:rsid w:val="004120EF"/>
    <w:rsid w:val="004124E3"/>
    <w:rsid w:val="00412747"/>
    <w:rsid w:val="004129FF"/>
    <w:rsid w:val="00412AD5"/>
    <w:rsid w:val="004133EC"/>
    <w:rsid w:val="004135DB"/>
    <w:rsid w:val="00413788"/>
    <w:rsid w:val="0041385A"/>
    <w:rsid w:val="00413864"/>
    <w:rsid w:val="004138A3"/>
    <w:rsid w:val="00413B94"/>
    <w:rsid w:val="004142C0"/>
    <w:rsid w:val="00414516"/>
    <w:rsid w:val="00414575"/>
    <w:rsid w:val="0041466C"/>
    <w:rsid w:val="00415272"/>
    <w:rsid w:val="004158E1"/>
    <w:rsid w:val="00415FB6"/>
    <w:rsid w:val="00416844"/>
    <w:rsid w:val="00416A5A"/>
    <w:rsid w:val="00416F3E"/>
    <w:rsid w:val="0041755A"/>
    <w:rsid w:val="004175B5"/>
    <w:rsid w:val="00417ABC"/>
    <w:rsid w:val="00417F5A"/>
    <w:rsid w:val="0042028D"/>
    <w:rsid w:val="0042082F"/>
    <w:rsid w:val="00420C23"/>
    <w:rsid w:val="00420C5F"/>
    <w:rsid w:val="00421432"/>
    <w:rsid w:val="004219DD"/>
    <w:rsid w:val="00421B3A"/>
    <w:rsid w:val="00421B3D"/>
    <w:rsid w:val="00421D7E"/>
    <w:rsid w:val="0042203C"/>
    <w:rsid w:val="00422250"/>
    <w:rsid w:val="00422C80"/>
    <w:rsid w:val="00422C8D"/>
    <w:rsid w:val="004231AB"/>
    <w:rsid w:val="00423D9E"/>
    <w:rsid w:val="00423E95"/>
    <w:rsid w:val="00423EA0"/>
    <w:rsid w:val="004243E5"/>
    <w:rsid w:val="0042459F"/>
    <w:rsid w:val="004248D9"/>
    <w:rsid w:val="00424E42"/>
    <w:rsid w:val="004250AF"/>
    <w:rsid w:val="0042612E"/>
    <w:rsid w:val="00426183"/>
    <w:rsid w:val="004263B6"/>
    <w:rsid w:val="00426B1A"/>
    <w:rsid w:val="004270D5"/>
    <w:rsid w:val="00427EBE"/>
    <w:rsid w:val="00430009"/>
    <w:rsid w:val="00430B02"/>
    <w:rsid w:val="00430C6E"/>
    <w:rsid w:val="00431112"/>
    <w:rsid w:val="00431243"/>
    <w:rsid w:val="00431EB0"/>
    <w:rsid w:val="00432976"/>
    <w:rsid w:val="00432B49"/>
    <w:rsid w:val="00432F7A"/>
    <w:rsid w:val="00433060"/>
    <w:rsid w:val="004338EF"/>
    <w:rsid w:val="00433B0A"/>
    <w:rsid w:val="004342EF"/>
    <w:rsid w:val="004342F8"/>
    <w:rsid w:val="0043531D"/>
    <w:rsid w:val="004355C8"/>
    <w:rsid w:val="0043571E"/>
    <w:rsid w:val="0043593F"/>
    <w:rsid w:val="00435961"/>
    <w:rsid w:val="00435F96"/>
    <w:rsid w:val="004361E8"/>
    <w:rsid w:val="004362CC"/>
    <w:rsid w:val="0043630A"/>
    <w:rsid w:val="0043637F"/>
    <w:rsid w:val="004368C1"/>
    <w:rsid w:val="00436C1F"/>
    <w:rsid w:val="00437CB3"/>
    <w:rsid w:val="00440528"/>
    <w:rsid w:val="00440639"/>
    <w:rsid w:val="00440B2E"/>
    <w:rsid w:val="0044107D"/>
    <w:rsid w:val="004413E5"/>
    <w:rsid w:val="004417D3"/>
    <w:rsid w:val="00441C8D"/>
    <w:rsid w:val="00441DF9"/>
    <w:rsid w:val="00443144"/>
    <w:rsid w:val="004432AF"/>
    <w:rsid w:val="00443735"/>
    <w:rsid w:val="004439AA"/>
    <w:rsid w:val="00443AF6"/>
    <w:rsid w:val="004440BF"/>
    <w:rsid w:val="00444380"/>
    <w:rsid w:val="0044438B"/>
    <w:rsid w:val="004443C7"/>
    <w:rsid w:val="004446F7"/>
    <w:rsid w:val="0044490C"/>
    <w:rsid w:val="00444A4F"/>
    <w:rsid w:val="00445013"/>
    <w:rsid w:val="0044589A"/>
    <w:rsid w:val="004458CA"/>
    <w:rsid w:val="00445E9B"/>
    <w:rsid w:val="0044652F"/>
    <w:rsid w:val="00447048"/>
    <w:rsid w:val="00447516"/>
    <w:rsid w:val="0044751B"/>
    <w:rsid w:val="004478F0"/>
    <w:rsid w:val="00447A09"/>
    <w:rsid w:val="00447C19"/>
    <w:rsid w:val="004503C3"/>
    <w:rsid w:val="0045063E"/>
    <w:rsid w:val="00450715"/>
    <w:rsid w:val="00450D7B"/>
    <w:rsid w:val="00450F73"/>
    <w:rsid w:val="00451337"/>
    <w:rsid w:val="00451434"/>
    <w:rsid w:val="00451BDD"/>
    <w:rsid w:val="0045243C"/>
    <w:rsid w:val="0045281C"/>
    <w:rsid w:val="00452D1A"/>
    <w:rsid w:val="0045315F"/>
    <w:rsid w:val="004531F9"/>
    <w:rsid w:val="00453AE6"/>
    <w:rsid w:val="00454402"/>
    <w:rsid w:val="00454955"/>
    <w:rsid w:val="00454F8A"/>
    <w:rsid w:val="004550DF"/>
    <w:rsid w:val="00455915"/>
    <w:rsid w:val="00455DBC"/>
    <w:rsid w:val="00455F3A"/>
    <w:rsid w:val="00456047"/>
    <w:rsid w:val="00456176"/>
    <w:rsid w:val="00456237"/>
    <w:rsid w:val="00456B29"/>
    <w:rsid w:val="00456C69"/>
    <w:rsid w:val="004570E1"/>
    <w:rsid w:val="0045712A"/>
    <w:rsid w:val="00457886"/>
    <w:rsid w:val="00457B7D"/>
    <w:rsid w:val="00457BCA"/>
    <w:rsid w:val="00457CD0"/>
    <w:rsid w:val="00457DA8"/>
    <w:rsid w:val="0046120F"/>
    <w:rsid w:val="00461884"/>
    <w:rsid w:val="00461D26"/>
    <w:rsid w:val="00462189"/>
    <w:rsid w:val="00462516"/>
    <w:rsid w:val="00462552"/>
    <w:rsid w:val="00462583"/>
    <w:rsid w:val="00462C4A"/>
    <w:rsid w:val="0046321A"/>
    <w:rsid w:val="00463AB2"/>
    <w:rsid w:val="0046405B"/>
    <w:rsid w:val="004642C4"/>
    <w:rsid w:val="0046454A"/>
    <w:rsid w:val="004645D3"/>
    <w:rsid w:val="004647D6"/>
    <w:rsid w:val="00464A1B"/>
    <w:rsid w:val="00465E4D"/>
    <w:rsid w:val="00465F9B"/>
    <w:rsid w:val="00466051"/>
    <w:rsid w:val="0046653C"/>
    <w:rsid w:val="00466AA6"/>
    <w:rsid w:val="0046752E"/>
    <w:rsid w:val="004676CB"/>
    <w:rsid w:val="00467A32"/>
    <w:rsid w:val="00470C76"/>
    <w:rsid w:val="00470D0D"/>
    <w:rsid w:val="00470DB5"/>
    <w:rsid w:val="00470DD1"/>
    <w:rsid w:val="004711DB"/>
    <w:rsid w:val="00471758"/>
    <w:rsid w:val="00472247"/>
    <w:rsid w:val="00472523"/>
    <w:rsid w:val="00472EC9"/>
    <w:rsid w:val="00473132"/>
    <w:rsid w:val="004735A4"/>
    <w:rsid w:val="0047421C"/>
    <w:rsid w:val="00474C82"/>
    <w:rsid w:val="00475129"/>
    <w:rsid w:val="0047519B"/>
    <w:rsid w:val="00475386"/>
    <w:rsid w:val="004759CB"/>
    <w:rsid w:val="00475A02"/>
    <w:rsid w:val="00475C61"/>
    <w:rsid w:val="004763C8"/>
    <w:rsid w:val="0047657C"/>
    <w:rsid w:val="00476828"/>
    <w:rsid w:val="00477098"/>
    <w:rsid w:val="00480198"/>
    <w:rsid w:val="00481324"/>
    <w:rsid w:val="004816CB"/>
    <w:rsid w:val="00482599"/>
    <w:rsid w:val="00482871"/>
    <w:rsid w:val="00482B33"/>
    <w:rsid w:val="00482D8A"/>
    <w:rsid w:val="00482F7A"/>
    <w:rsid w:val="00483516"/>
    <w:rsid w:val="00483C2A"/>
    <w:rsid w:val="00483C7E"/>
    <w:rsid w:val="00484053"/>
    <w:rsid w:val="00484DD5"/>
    <w:rsid w:val="00484EDD"/>
    <w:rsid w:val="004850D6"/>
    <w:rsid w:val="004852AB"/>
    <w:rsid w:val="004853A9"/>
    <w:rsid w:val="004857E6"/>
    <w:rsid w:val="00485E16"/>
    <w:rsid w:val="00486442"/>
    <w:rsid w:val="004869A4"/>
    <w:rsid w:val="00486B11"/>
    <w:rsid w:val="00486CEB"/>
    <w:rsid w:val="00486FB5"/>
    <w:rsid w:val="00487D7B"/>
    <w:rsid w:val="004902A0"/>
    <w:rsid w:val="004903AA"/>
    <w:rsid w:val="00490415"/>
    <w:rsid w:val="00490627"/>
    <w:rsid w:val="00490CE4"/>
    <w:rsid w:val="00491121"/>
    <w:rsid w:val="004917EB"/>
    <w:rsid w:val="00491BC3"/>
    <w:rsid w:val="00492070"/>
    <w:rsid w:val="00492516"/>
    <w:rsid w:val="00492C0C"/>
    <w:rsid w:val="00492C34"/>
    <w:rsid w:val="0049305D"/>
    <w:rsid w:val="004935E6"/>
    <w:rsid w:val="00493F30"/>
    <w:rsid w:val="00493F8F"/>
    <w:rsid w:val="00494154"/>
    <w:rsid w:val="00494200"/>
    <w:rsid w:val="00494351"/>
    <w:rsid w:val="0049458E"/>
    <w:rsid w:val="00494D48"/>
    <w:rsid w:val="00495355"/>
    <w:rsid w:val="00495521"/>
    <w:rsid w:val="00495931"/>
    <w:rsid w:val="00495C40"/>
    <w:rsid w:val="004961C6"/>
    <w:rsid w:val="00496428"/>
    <w:rsid w:val="00496891"/>
    <w:rsid w:val="00496CAE"/>
    <w:rsid w:val="0049705B"/>
    <w:rsid w:val="004972FC"/>
    <w:rsid w:val="00497671"/>
    <w:rsid w:val="0049769F"/>
    <w:rsid w:val="004A033B"/>
    <w:rsid w:val="004A037B"/>
    <w:rsid w:val="004A0DFF"/>
    <w:rsid w:val="004A10D4"/>
    <w:rsid w:val="004A21DA"/>
    <w:rsid w:val="004A24F2"/>
    <w:rsid w:val="004A296A"/>
    <w:rsid w:val="004A2B63"/>
    <w:rsid w:val="004A35B5"/>
    <w:rsid w:val="004A35ED"/>
    <w:rsid w:val="004A3744"/>
    <w:rsid w:val="004A3E8D"/>
    <w:rsid w:val="004A451F"/>
    <w:rsid w:val="004A45AA"/>
    <w:rsid w:val="004A4A15"/>
    <w:rsid w:val="004A4DE9"/>
    <w:rsid w:val="004A4FBB"/>
    <w:rsid w:val="004A5022"/>
    <w:rsid w:val="004A5089"/>
    <w:rsid w:val="004A5312"/>
    <w:rsid w:val="004A535B"/>
    <w:rsid w:val="004A55DE"/>
    <w:rsid w:val="004A55F6"/>
    <w:rsid w:val="004A56BC"/>
    <w:rsid w:val="004A6116"/>
    <w:rsid w:val="004A641C"/>
    <w:rsid w:val="004A68CA"/>
    <w:rsid w:val="004A6E66"/>
    <w:rsid w:val="004A7164"/>
    <w:rsid w:val="004A7A64"/>
    <w:rsid w:val="004A7B17"/>
    <w:rsid w:val="004B005F"/>
    <w:rsid w:val="004B08A2"/>
    <w:rsid w:val="004B124B"/>
    <w:rsid w:val="004B1E87"/>
    <w:rsid w:val="004B2576"/>
    <w:rsid w:val="004B25C9"/>
    <w:rsid w:val="004B2AC2"/>
    <w:rsid w:val="004B2F5B"/>
    <w:rsid w:val="004B3D86"/>
    <w:rsid w:val="004B419D"/>
    <w:rsid w:val="004B43B6"/>
    <w:rsid w:val="004B4538"/>
    <w:rsid w:val="004B4D49"/>
    <w:rsid w:val="004B506D"/>
    <w:rsid w:val="004B5654"/>
    <w:rsid w:val="004B5A72"/>
    <w:rsid w:val="004B5B3A"/>
    <w:rsid w:val="004B5CD9"/>
    <w:rsid w:val="004B5CFA"/>
    <w:rsid w:val="004B612A"/>
    <w:rsid w:val="004B682A"/>
    <w:rsid w:val="004B7040"/>
    <w:rsid w:val="004B749A"/>
    <w:rsid w:val="004C0372"/>
    <w:rsid w:val="004C0857"/>
    <w:rsid w:val="004C14E1"/>
    <w:rsid w:val="004C162F"/>
    <w:rsid w:val="004C1744"/>
    <w:rsid w:val="004C1A83"/>
    <w:rsid w:val="004C1A88"/>
    <w:rsid w:val="004C1DBA"/>
    <w:rsid w:val="004C1DD8"/>
    <w:rsid w:val="004C2504"/>
    <w:rsid w:val="004C2BAD"/>
    <w:rsid w:val="004C2D73"/>
    <w:rsid w:val="004C2DA9"/>
    <w:rsid w:val="004C2ED4"/>
    <w:rsid w:val="004C2FF4"/>
    <w:rsid w:val="004C3F69"/>
    <w:rsid w:val="004C437A"/>
    <w:rsid w:val="004C4615"/>
    <w:rsid w:val="004C5414"/>
    <w:rsid w:val="004C6171"/>
    <w:rsid w:val="004C61C0"/>
    <w:rsid w:val="004C6C80"/>
    <w:rsid w:val="004C6F36"/>
    <w:rsid w:val="004C7511"/>
    <w:rsid w:val="004C75BC"/>
    <w:rsid w:val="004D019C"/>
    <w:rsid w:val="004D036D"/>
    <w:rsid w:val="004D07F1"/>
    <w:rsid w:val="004D0AE0"/>
    <w:rsid w:val="004D1B5D"/>
    <w:rsid w:val="004D1F3F"/>
    <w:rsid w:val="004D1FA1"/>
    <w:rsid w:val="004D2007"/>
    <w:rsid w:val="004D2832"/>
    <w:rsid w:val="004D2DBC"/>
    <w:rsid w:val="004D2E96"/>
    <w:rsid w:val="004D2FBF"/>
    <w:rsid w:val="004D35E3"/>
    <w:rsid w:val="004D3648"/>
    <w:rsid w:val="004D385F"/>
    <w:rsid w:val="004D394B"/>
    <w:rsid w:val="004D3BA1"/>
    <w:rsid w:val="004D3EE1"/>
    <w:rsid w:val="004D4808"/>
    <w:rsid w:val="004D524F"/>
    <w:rsid w:val="004D5470"/>
    <w:rsid w:val="004D6A46"/>
    <w:rsid w:val="004D73EA"/>
    <w:rsid w:val="004D763A"/>
    <w:rsid w:val="004D790B"/>
    <w:rsid w:val="004D7911"/>
    <w:rsid w:val="004D7CF2"/>
    <w:rsid w:val="004E05A0"/>
    <w:rsid w:val="004E0C14"/>
    <w:rsid w:val="004E1060"/>
    <w:rsid w:val="004E14F0"/>
    <w:rsid w:val="004E170D"/>
    <w:rsid w:val="004E1B5F"/>
    <w:rsid w:val="004E2262"/>
    <w:rsid w:val="004E22F7"/>
    <w:rsid w:val="004E268D"/>
    <w:rsid w:val="004E2739"/>
    <w:rsid w:val="004E2CFD"/>
    <w:rsid w:val="004E3879"/>
    <w:rsid w:val="004E3AC7"/>
    <w:rsid w:val="004E3B1E"/>
    <w:rsid w:val="004E3BF5"/>
    <w:rsid w:val="004E5391"/>
    <w:rsid w:val="004E5FD1"/>
    <w:rsid w:val="004E6080"/>
    <w:rsid w:val="004E689C"/>
    <w:rsid w:val="004E6969"/>
    <w:rsid w:val="004E7153"/>
    <w:rsid w:val="004E7C0B"/>
    <w:rsid w:val="004E7C7C"/>
    <w:rsid w:val="004E7CFA"/>
    <w:rsid w:val="004E7D46"/>
    <w:rsid w:val="004F01D8"/>
    <w:rsid w:val="004F05B3"/>
    <w:rsid w:val="004F07D1"/>
    <w:rsid w:val="004F0CAF"/>
    <w:rsid w:val="004F0E0E"/>
    <w:rsid w:val="004F0ED1"/>
    <w:rsid w:val="004F18DF"/>
    <w:rsid w:val="004F1C82"/>
    <w:rsid w:val="004F1E7C"/>
    <w:rsid w:val="004F2E05"/>
    <w:rsid w:val="004F2E31"/>
    <w:rsid w:val="004F3080"/>
    <w:rsid w:val="004F394F"/>
    <w:rsid w:val="004F40C5"/>
    <w:rsid w:val="004F479D"/>
    <w:rsid w:val="004F49C8"/>
    <w:rsid w:val="004F5808"/>
    <w:rsid w:val="004F585D"/>
    <w:rsid w:val="004F5B99"/>
    <w:rsid w:val="004F618D"/>
    <w:rsid w:val="004F6AFB"/>
    <w:rsid w:val="004F6B88"/>
    <w:rsid w:val="004F6BF0"/>
    <w:rsid w:val="004F71AE"/>
    <w:rsid w:val="00500096"/>
    <w:rsid w:val="0050058B"/>
    <w:rsid w:val="00500E54"/>
    <w:rsid w:val="00501072"/>
    <w:rsid w:val="0050110D"/>
    <w:rsid w:val="0050147E"/>
    <w:rsid w:val="00501E45"/>
    <w:rsid w:val="00501F4E"/>
    <w:rsid w:val="00502391"/>
    <w:rsid w:val="00502F6F"/>
    <w:rsid w:val="0050351E"/>
    <w:rsid w:val="005037DB"/>
    <w:rsid w:val="0050384F"/>
    <w:rsid w:val="00503955"/>
    <w:rsid w:val="00503F5D"/>
    <w:rsid w:val="00504813"/>
    <w:rsid w:val="0050483C"/>
    <w:rsid w:val="0050521C"/>
    <w:rsid w:val="005058C6"/>
    <w:rsid w:val="00506043"/>
    <w:rsid w:val="00506868"/>
    <w:rsid w:val="005100F7"/>
    <w:rsid w:val="00510454"/>
    <w:rsid w:val="00511040"/>
    <w:rsid w:val="005112BF"/>
    <w:rsid w:val="00511435"/>
    <w:rsid w:val="00511468"/>
    <w:rsid w:val="005116C5"/>
    <w:rsid w:val="00511979"/>
    <w:rsid w:val="00511AFF"/>
    <w:rsid w:val="00511EF3"/>
    <w:rsid w:val="00512E9C"/>
    <w:rsid w:val="005135FF"/>
    <w:rsid w:val="005136FA"/>
    <w:rsid w:val="00514298"/>
    <w:rsid w:val="00514303"/>
    <w:rsid w:val="005147B6"/>
    <w:rsid w:val="005154F4"/>
    <w:rsid w:val="00515893"/>
    <w:rsid w:val="00516092"/>
    <w:rsid w:val="005161F8"/>
    <w:rsid w:val="005167D2"/>
    <w:rsid w:val="00516CE7"/>
    <w:rsid w:val="0051796E"/>
    <w:rsid w:val="005207BE"/>
    <w:rsid w:val="00520F8A"/>
    <w:rsid w:val="0052138C"/>
    <w:rsid w:val="0052146A"/>
    <w:rsid w:val="00521960"/>
    <w:rsid w:val="00521BD3"/>
    <w:rsid w:val="00522115"/>
    <w:rsid w:val="0052251F"/>
    <w:rsid w:val="0052291E"/>
    <w:rsid w:val="00522D84"/>
    <w:rsid w:val="005233AF"/>
    <w:rsid w:val="005234F8"/>
    <w:rsid w:val="005240A7"/>
    <w:rsid w:val="00524229"/>
    <w:rsid w:val="00524536"/>
    <w:rsid w:val="00525197"/>
    <w:rsid w:val="00525462"/>
    <w:rsid w:val="005263E9"/>
    <w:rsid w:val="0052657E"/>
    <w:rsid w:val="0052738F"/>
    <w:rsid w:val="00527D1A"/>
    <w:rsid w:val="00527D20"/>
    <w:rsid w:val="00530149"/>
    <w:rsid w:val="00530197"/>
    <w:rsid w:val="005306AB"/>
    <w:rsid w:val="00530CCD"/>
    <w:rsid w:val="00530F57"/>
    <w:rsid w:val="00530FB9"/>
    <w:rsid w:val="0053136C"/>
    <w:rsid w:val="00531446"/>
    <w:rsid w:val="00531611"/>
    <w:rsid w:val="005317AF"/>
    <w:rsid w:val="0053182D"/>
    <w:rsid w:val="005325CA"/>
    <w:rsid w:val="005326CA"/>
    <w:rsid w:val="0053285D"/>
    <w:rsid w:val="00533269"/>
    <w:rsid w:val="0053390D"/>
    <w:rsid w:val="00533A8E"/>
    <w:rsid w:val="00534066"/>
    <w:rsid w:val="0053413A"/>
    <w:rsid w:val="0053434F"/>
    <w:rsid w:val="005343BD"/>
    <w:rsid w:val="00534E55"/>
    <w:rsid w:val="00534F83"/>
    <w:rsid w:val="0053539B"/>
    <w:rsid w:val="005359AE"/>
    <w:rsid w:val="00536DDB"/>
    <w:rsid w:val="00536F40"/>
    <w:rsid w:val="00536FC9"/>
    <w:rsid w:val="005374CD"/>
    <w:rsid w:val="00537C72"/>
    <w:rsid w:val="00537F38"/>
    <w:rsid w:val="005408A5"/>
    <w:rsid w:val="00540CC1"/>
    <w:rsid w:val="00541331"/>
    <w:rsid w:val="00541734"/>
    <w:rsid w:val="00541C60"/>
    <w:rsid w:val="00541CA4"/>
    <w:rsid w:val="005430C2"/>
    <w:rsid w:val="0054313D"/>
    <w:rsid w:val="0054338E"/>
    <w:rsid w:val="00543F75"/>
    <w:rsid w:val="00544764"/>
    <w:rsid w:val="00544867"/>
    <w:rsid w:val="00544E94"/>
    <w:rsid w:val="0054505F"/>
    <w:rsid w:val="00545071"/>
    <w:rsid w:val="0054508E"/>
    <w:rsid w:val="00545342"/>
    <w:rsid w:val="00545402"/>
    <w:rsid w:val="00545466"/>
    <w:rsid w:val="00545675"/>
    <w:rsid w:val="005456AA"/>
    <w:rsid w:val="0054598E"/>
    <w:rsid w:val="00545A8C"/>
    <w:rsid w:val="00545A91"/>
    <w:rsid w:val="00545AC2"/>
    <w:rsid w:val="00545BA6"/>
    <w:rsid w:val="00545DDD"/>
    <w:rsid w:val="00547671"/>
    <w:rsid w:val="00547B7E"/>
    <w:rsid w:val="005504F6"/>
    <w:rsid w:val="005505A7"/>
    <w:rsid w:val="00550867"/>
    <w:rsid w:val="00551189"/>
    <w:rsid w:val="00551793"/>
    <w:rsid w:val="005521B0"/>
    <w:rsid w:val="005522DB"/>
    <w:rsid w:val="0055253F"/>
    <w:rsid w:val="00553771"/>
    <w:rsid w:val="00553A84"/>
    <w:rsid w:val="00553B32"/>
    <w:rsid w:val="00554A98"/>
    <w:rsid w:val="00554BF6"/>
    <w:rsid w:val="0055516A"/>
    <w:rsid w:val="00555CB5"/>
    <w:rsid w:val="00556110"/>
    <w:rsid w:val="00556735"/>
    <w:rsid w:val="005567E9"/>
    <w:rsid w:val="00556939"/>
    <w:rsid w:val="00556ADA"/>
    <w:rsid w:val="00556B1B"/>
    <w:rsid w:val="00556CFD"/>
    <w:rsid w:val="00557CD9"/>
    <w:rsid w:val="00557F98"/>
    <w:rsid w:val="005602C2"/>
    <w:rsid w:val="00560382"/>
    <w:rsid w:val="0056091C"/>
    <w:rsid w:val="00560B9B"/>
    <w:rsid w:val="00560BB9"/>
    <w:rsid w:val="0056154E"/>
    <w:rsid w:val="005618B7"/>
    <w:rsid w:val="005618F1"/>
    <w:rsid w:val="00561904"/>
    <w:rsid w:val="00561A46"/>
    <w:rsid w:val="00561BE4"/>
    <w:rsid w:val="005622C0"/>
    <w:rsid w:val="00562482"/>
    <w:rsid w:val="00562AC6"/>
    <w:rsid w:val="00562C58"/>
    <w:rsid w:val="005640F6"/>
    <w:rsid w:val="0056414D"/>
    <w:rsid w:val="00564B80"/>
    <w:rsid w:val="00564D8F"/>
    <w:rsid w:val="0056542A"/>
    <w:rsid w:val="00565738"/>
    <w:rsid w:val="005667FE"/>
    <w:rsid w:val="0056692E"/>
    <w:rsid w:val="0056722D"/>
    <w:rsid w:val="005672B4"/>
    <w:rsid w:val="00567750"/>
    <w:rsid w:val="00567CF3"/>
    <w:rsid w:val="0057008F"/>
    <w:rsid w:val="00571B2C"/>
    <w:rsid w:val="00572FA5"/>
    <w:rsid w:val="00572FD2"/>
    <w:rsid w:val="00573661"/>
    <w:rsid w:val="005737C1"/>
    <w:rsid w:val="00573EA2"/>
    <w:rsid w:val="0057407F"/>
    <w:rsid w:val="00574511"/>
    <w:rsid w:val="00574635"/>
    <w:rsid w:val="0057464A"/>
    <w:rsid w:val="0057524D"/>
    <w:rsid w:val="0057528D"/>
    <w:rsid w:val="00575421"/>
    <w:rsid w:val="00575997"/>
    <w:rsid w:val="00575A8D"/>
    <w:rsid w:val="00575AD8"/>
    <w:rsid w:val="00575D3D"/>
    <w:rsid w:val="0057715B"/>
    <w:rsid w:val="00577AAD"/>
    <w:rsid w:val="00577D63"/>
    <w:rsid w:val="00580582"/>
    <w:rsid w:val="00580B8C"/>
    <w:rsid w:val="0058166B"/>
    <w:rsid w:val="005817AA"/>
    <w:rsid w:val="005824BD"/>
    <w:rsid w:val="005827CA"/>
    <w:rsid w:val="0058297F"/>
    <w:rsid w:val="00582CF1"/>
    <w:rsid w:val="00582ED0"/>
    <w:rsid w:val="00583430"/>
    <w:rsid w:val="00583A4B"/>
    <w:rsid w:val="00583B73"/>
    <w:rsid w:val="00584008"/>
    <w:rsid w:val="00585069"/>
    <w:rsid w:val="005850B4"/>
    <w:rsid w:val="005853D8"/>
    <w:rsid w:val="0058575E"/>
    <w:rsid w:val="00585ACC"/>
    <w:rsid w:val="00585D07"/>
    <w:rsid w:val="0058600A"/>
    <w:rsid w:val="005861BC"/>
    <w:rsid w:val="005865FD"/>
    <w:rsid w:val="00586707"/>
    <w:rsid w:val="00587A56"/>
    <w:rsid w:val="00587F33"/>
    <w:rsid w:val="0059011E"/>
    <w:rsid w:val="005901C1"/>
    <w:rsid w:val="005905CE"/>
    <w:rsid w:val="0059078B"/>
    <w:rsid w:val="00590AA6"/>
    <w:rsid w:val="00590B17"/>
    <w:rsid w:val="00590E3A"/>
    <w:rsid w:val="005918A0"/>
    <w:rsid w:val="00591CB7"/>
    <w:rsid w:val="00591EF1"/>
    <w:rsid w:val="005927F3"/>
    <w:rsid w:val="00592D6C"/>
    <w:rsid w:val="00592D94"/>
    <w:rsid w:val="00592F04"/>
    <w:rsid w:val="00593279"/>
    <w:rsid w:val="005933E6"/>
    <w:rsid w:val="0059368C"/>
    <w:rsid w:val="00593910"/>
    <w:rsid w:val="005944B1"/>
    <w:rsid w:val="005945AE"/>
    <w:rsid w:val="005948C6"/>
    <w:rsid w:val="00594FC6"/>
    <w:rsid w:val="005960F1"/>
    <w:rsid w:val="0059619B"/>
    <w:rsid w:val="00596650"/>
    <w:rsid w:val="00597993"/>
    <w:rsid w:val="00597A46"/>
    <w:rsid w:val="00597BE6"/>
    <w:rsid w:val="00597C74"/>
    <w:rsid w:val="00597F26"/>
    <w:rsid w:val="005A0505"/>
    <w:rsid w:val="005A05F2"/>
    <w:rsid w:val="005A0C55"/>
    <w:rsid w:val="005A134D"/>
    <w:rsid w:val="005A344F"/>
    <w:rsid w:val="005A36B1"/>
    <w:rsid w:val="005A391A"/>
    <w:rsid w:val="005A3BB2"/>
    <w:rsid w:val="005A3F3B"/>
    <w:rsid w:val="005A547C"/>
    <w:rsid w:val="005A560B"/>
    <w:rsid w:val="005A5D7B"/>
    <w:rsid w:val="005A60E4"/>
    <w:rsid w:val="005A6640"/>
    <w:rsid w:val="005A7037"/>
    <w:rsid w:val="005A7622"/>
    <w:rsid w:val="005B00B4"/>
    <w:rsid w:val="005B034F"/>
    <w:rsid w:val="005B0456"/>
    <w:rsid w:val="005B0B03"/>
    <w:rsid w:val="005B0CF6"/>
    <w:rsid w:val="005B0E9D"/>
    <w:rsid w:val="005B0F23"/>
    <w:rsid w:val="005B1A0F"/>
    <w:rsid w:val="005B21B6"/>
    <w:rsid w:val="005B2663"/>
    <w:rsid w:val="005B2E10"/>
    <w:rsid w:val="005B3897"/>
    <w:rsid w:val="005B3940"/>
    <w:rsid w:val="005B3B88"/>
    <w:rsid w:val="005B465B"/>
    <w:rsid w:val="005B483D"/>
    <w:rsid w:val="005B48BB"/>
    <w:rsid w:val="005B496D"/>
    <w:rsid w:val="005B4A08"/>
    <w:rsid w:val="005B5BB6"/>
    <w:rsid w:val="005B68F7"/>
    <w:rsid w:val="005B6CA7"/>
    <w:rsid w:val="005B6D89"/>
    <w:rsid w:val="005B6FB9"/>
    <w:rsid w:val="005B7066"/>
    <w:rsid w:val="005B717F"/>
    <w:rsid w:val="005B7203"/>
    <w:rsid w:val="005B7241"/>
    <w:rsid w:val="005B777B"/>
    <w:rsid w:val="005C0334"/>
    <w:rsid w:val="005C0850"/>
    <w:rsid w:val="005C12D4"/>
    <w:rsid w:val="005C1AE8"/>
    <w:rsid w:val="005C276D"/>
    <w:rsid w:val="005C3043"/>
    <w:rsid w:val="005C3803"/>
    <w:rsid w:val="005C40AC"/>
    <w:rsid w:val="005C48B7"/>
    <w:rsid w:val="005C496C"/>
    <w:rsid w:val="005C4B6A"/>
    <w:rsid w:val="005C701A"/>
    <w:rsid w:val="005C7B82"/>
    <w:rsid w:val="005C7F5E"/>
    <w:rsid w:val="005D01AE"/>
    <w:rsid w:val="005D12B1"/>
    <w:rsid w:val="005D139D"/>
    <w:rsid w:val="005D13D7"/>
    <w:rsid w:val="005D14D2"/>
    <w:rsid w:val="005D19AB"/>
    <w:rsid w:val="005D1ABC"/>
    <w:rsid w:val="005D1C25"/>
    <w:rsid w:val="005D2333"/>
    <w:rsid w:val="005D24F5"/>
    <w:rsid w:val="005D291B"/>
    <w:rsid w:val="005D297E"/>
    <w:rsid w:val="005D2D58"/>
    <w:rsid w:val="005D2E5F"/>
    <w:rsid w:val="005D2F4E"/>
    <w:rsid w:val="005D3064"/>
    <w:rsid w:val="005D30D8"/>
    <w:rsid w:val="005D373E"/>
    <w:rsid w:val="005D3C85"/>
    <w:rsid w:val="005D3CA8"/>
    <w:rsid w:val="005D3E9E"/>
    <w:rsid w:val="005D3FB0"/>
    <w:rsid w:val="005D4389"/>
    <w:rsid w:val="005D4630"/>
    <w:rsid w:val="005D4FD1"/>
    <w:rsid w:val="005D536F"/>
    <w:rsid w:val="005D5C8A"/>
    <w:rsid w:val="005D6773"/>
    <w:rsid w:val="005D6821"/>
    <w:rsid w:val="005D779C"/>
    <w:rsid w:val="005D7872"/>
    <w:rsid w:val="005D79FD"/>
    <w:rsid w:val="005E01C5"/>
    <w:rsid w:val="005E106E"/>
    <w:rsid w:val="005E1BB8"/>
    <w:rsid w:val="005E1F32"/>
    <w:rsid w:val="005E2072"/>
    <w:rsid w:val="005E280A"/>
    <w:rsid w:val="005E28A6"/>
    <w:rsid w:val="005E2916"/>
    <w:rsid w:val="005E2FC3"/>
    <w:rsid w:val="005E3C11"/>
    <w:rsid w:val="005E43DB"/>
    <w:rsid w:val="005E45F3"/>
    <w:rsid w:val="005E4997"/>
    <w:rsid w:val="005E49DE"/>
    <w:rsid w:val="005E4A18"/>
    <w:rsid w:val="005E4B55"/>
    <w:rsid w:val="005E55F9"/>
    <w:rsid w:val="005E5DF4"/>
    <w:rsid w:val="005E5ED4"/>
    <w:rsid w:val="005E6061"/>
    <w:rsid w:val="005E62CD"/>
    <w:rsid w:val="005E6514"/>
    <w:rsid w:val="005E6E66"/>
    <w:rsid w:val="005E74D2"/>
    <w:rsid w:val="005E75ED"/>
    <w:rsid w:val="005E79F0"/>
    <w:rsid w:val="005E7AF1"/>
    <w:rsid w:val="005F0444"/>
    <w:rsid w:val="005F1F52"/>
    <w:rsid w:val="005F23AE"/>
    <w:rsid w:val="005F30E4"/>
    <w:rsid w:val="005F39DF"/>
    <w:rsid w:val="005F4279"/>
    <w:rsid w:val="005F4C69"/>
    <w:rsid w:val="005F4DD9"/>
    <w:rsid w:val="005F4E44"/>
    <w:rsid w:val="005F57E0"/>
    <w:rsid w:val="005F59E4"/>
    <w:rsid w:val="005F5C99"/>
    <w:rsid w:val="005F5F3A"/>
    <w:rsid w:val="005F65EE"/>
    <w:rsid w:val="005F6696"/>
    <w:rsid w:val="005F6AB4"/>
    <w:rsid w:val="005F7541"/>
    <w:rsid w:val="005F7A5D"/>
    <w:rsid w:val="005F7C08"/>
    <w:rsid w:val="005F7E46"/>
    <w:rsid w:val="005F7F7B"/>
    <w:rsid w:val="006000EA"/>
    <w:rsid w:val="00600919"/>
    <w:rsid w:val="0060095F"/>
    <w:rsid w:val="00600ADA"/>
    <w:rsid w:val="00601C20"/>
    <w:rsid w:val="00601DC6"/>
    <w:rsid w:val="00601EA5"/>
    <w:rsid w:val="0060290C"/>
    <w:rsid w:val="00602AB3"/>
    <w:rsid w:val="00604247"/>
    <w:rsid w:val="006047AB"/>
    <w:rsid w:val="006047D5"/>
    <w:rsid w:val="0060485C"/>
    <w:rsid w:val="00604BEA"/>
    <w:rsid w:val="006051B4"/>
    <w:rsid w:val="00605D86"/>
    <w:rsid w:val="006067B2"/>
    <w:rsid w:val="00606CC2"/>
    <w:rsid w:val="006073B9"/>
    <w:rsid w:val="00607849"/>
    <w:rsid w:val="00607F68"/>
    <w:rsid w:val="0061052F"/>
    <w:rsid w:val="006110D6"/>
    <w:rsid w:val="006114B0"/>
    <w:rsid w:val="006114E6"/>
    <w:rsid w:val="006114F1"/>
    <w:rsid w:val="00611979"/>
    <w:rsid w:val="00611B67"/>
    <w:rsid w:val="00611E12"/>
    <w:rsid w:val="00612642"/>
    <w:rsid w:val="00613256"/>
    <w:rsid w:val="006133AA"/>
    <w:rsid w:val="006134BE"/>
    <w:rsid w:val="00614016"/>
    <w:rsid w:val="006150DD"/>
    <w:rsid w:val="00615782"/>
    <w:rsid w:val="0061609B"/>
    <w:rsid w:val="00616156"/>
    <w:rsid w:val="0061644B"/>
    <w:rsid w:val="00616490"/>
    <w:rsid w:val="00616601"/>
    <w:rsid w:val="00617549"/>
    <w:rsid w:val="006205A2"/>
    <w:rsid w:val="00620F8E"/>
    <w:rsid w:val="00622699"/>
    <w:rsid w:val="00622A90"/>
    <w:rsid w:val="00623134"/>
    <w:rsid w:val="0062370F"/>
    <w:rsid w:val="006240BD"/>
    <w:rsid w:val="006246CA"/>
    <w:rsid w:val="00624962"/>
    <w:rsid w:val="0062553C"/>
    <w:rsid w:val="00625950"/>
    <w:rsid w:val="00625A44"/>
    <w:rsid w:val="00626054"/>
    <w:rsid w:val="00626834"/>
    <w:rsid w:val="00626E0A"/>
    <w:rsid w:val="00626EEF"/>
    <w:rsid w:val="00626FAC"/>
    <w:rsid w:val="00627083"/>
    <w:rsid w:val="006272DF"/>
    <w:rsid w:val="0063004D"/>
    <w:rsid w:val="0063086A"/>
    <w:rsid w:val="0063164B"/>
    <w:rsid w:val="00631884"/>
    <w:rsid w:val="00631AEE"/>
    <w:rsid w:val="00631D84"/>
    <w:rsid w:val="006323A5"/>
    <w:rsid w:val="0063293A"/>
    <w:rsid w:val="00632FC1"/>
    <w:rsid w:val="00633592"/>
    <w:rsid w:val="00633902"/>
    <w:rsid w:val="006339EF"/>
    <w:rsid w:val="0063427F"/>
    <w:rsid w:val="006343F9"/>
    <w:rsid w:val="0063470D"/>
    <w:rsid w:val="006348F1"/>
    <w:rsid w:val="00634D7B"/>
    <w:rsid w:val="00635294"/>
    <w:rsid w:val="00635967"/>
    <w:rsid w:val="00635D30"/>
    <w:rsid w:val="00636789"/>
    <w:rsid w:val="00636825"/>
    <w:rsid w:val="006370EA"/>
    <w:rsid w:val="00637350"/>
    <w:rsid w:val="00637576"/>
    <w:rsid w:val="00637882"/>
    <w:rsid w:val="00637C77"/>
    <w:rsid w:val="006404BA"/>
    <w:rsid w:val="00640CC4"/>
    <w:rsid w:val="00642407"/>
    <w:rsid w:val="0064282C"/>
    <w:rsid w:val="00642973"/>
    <w:rsid w:val="00643801"/>
    <w:rsid w:val="00644081"/>
    <w:rsid w:val="006446D3"/>
    <w:rsid w:val="006450ED"/>
    <w:rsid w:val="00645515"/>
    <w:rsid w:val="00645821"/>
    <w:rsid w:val="00645DE4"/>
    <w:rsid w:val="006467EA"/>
    <w:rsid w:val="00647242"/>
    <w:rsid w:val="00647D45"/>
    <w:rsid w:val="00650568"/>
    <w:rsid w:val="00650C20"/>
    <w:rsid w:val="006510E3"/>
    <w:rsid w:val="00652162"/>
    <w:rsid w:val="0065234B"/>
    <w:rsid w:val="006523E0"/>
    <w:rsid w:val="0065383A"/>
    <w:rsid w:val="00653CF3"/>
    <w:rsid w:val="00653FBC"/>
    <w:rsid w:val="0065425B"/>
    <w:rsid w:val="006545BC"/>
    <w:rsid w:val="00654B6A"/>
    <w:rsid w:val="00655F94"/>
    <w:rsid w:val="00656155"/>
    <w:rsid w:val="006564D8"/>
    <w:rsid w:val="006569EB"/>
    <w:rsid w:val="00656C95"/>
    <w:rsid w:val="00656CD5"/>
    <w:rsid w:val="00656EBE"/>
    <w:rsid w:val="00657496"/>
    <w:rsid w:val="00657518"/>
    <w:rsid w:val="00657583"/>
    <w:rsid w:val="00657B6B"/>
    <w:rsid w:val="00660CB7"/>
    <w:rsid w:val="00660D47"/>
    <w:rsid w:val="006610F8"/>
    <w:rsid w:val="006618ED"/>
    <w:rsid w:val="00661984"/>
    <w:rsid w:val="006619A8"/>
    <w:rsid w:val="00661F94"/>
    <w:rsid w:val="006625F6"/>
    <w:rsid w:val="006632B8"/>
    <w:rsid w:val="006635C3"/>
    <w:rsid w:val="00663A2C"/>
    <w:rsid w:val="00664070"/>
    <w:rsid w:val="0066469C"/>
    <w:rsid w:val="00664E03"/>
    <w:rsid w:val="006651C0"/>
    <w:rsid w:val="0066533C"/>
    <w:rsid w:val="006655C9"/>
    <w:rsid w:val="0066646E"/>
    <w:rsid w:val="00667390"/>
    <w:rsid w:val="00667395"/>
    <w:rsid w:val="00667CB7"/>
    <w:rsid w:val="00670058"/>
    <w:rsid w:val="00670264"/>
    <w:rsid w:val="00670693"/>
    <w:rsid w:val="006711E6"/>
    <w:rsid w:val="006713C9"/>
    <w:rsid w:val="00671986"/>
    <w:rsid w:val="00671A34"/>
    <w:rsid w:val="00671AD3"/>
    <w:rsid w:val="00671F89"/>
    <w:rsid w:val="00671FB1"/>
    <w:rsid w:val="00671FC4"/>
    <w:rsid w:val="00671FDF"/>
    <w:rsid w:val="0067208D"/>
    <w:rsid w:val="006723EA"/>
    <w:rsid w:val="00672748"/>
    <w:rsid w:val="006729B4"/>
    <w:rsid w:val="006735AE"/>
    <w:rsid w:val="00673968"/>
    <w:rsid w:val="00673C6A"/>
    <w:rsid w:val="00674119"/>
    <w:rsid w:val="00674A00"/>
    <w:rsid w:val="00674A9F"/>
    <w:rsid w:val="00675AD1"/>
    <w:rsid w:val="0067754E"/>
    <w:rsid w:val="00677828"/>
    <w:rsid w:val="00677EC4"/>
    <w:rsid w:val="006807DD"/>
    <w:rsid w:val="00680E08"/>
    <w:rsid w:val="00681216"/>
    <w:rsid w:val="00681791"/>
    <w:rsid w:val="006827F2"/>
    <w:rsid w:val="006828F8"/>
    <w:rsid w:val="00683DFB"/>
    <w:rsid w:val="00684334"/>
    <w:rsid w:val="006846F9"/>
    <w:rsid w:val="0068485E"/>
    <w:rsid w:val="0068503F"/>
    <w:rsid w:val="0068529C"/>
    <w:rsid w:val="006858B3"/>
    <w:rsid w:val="00685EC5"/>
    <w:rsid w:val="00685F64"/>
    <w:rsid w:val="006863F7"/>
    <w:rsid w:val="00686490"/>
    <w:rsid w:val="00686A85"/>
    <w:rsid w:val="0068728D"/>
    <w:rsid w:val="0068757C"/>
    <w:rsid w:val="00687D57"/>
    <w:rsid w:val="00690575"/>
    <w:rsid w:val="00690CB9"/>
    <w:rsid w:val="00690DED"/>
    <w:rsid w:val="006910A6"/>
    <w:rsid w:val="006910BF"/>
    <w:rsid w:val="00691578"/>
    <w:rsid w:val="00691828"/>
    <w:rsid w:val="00691A34"/>
    <w:rsid w:val="00692398"/>
    <w:rsid w:val="0069307C"/>
    <w:rsid w:val="00693287"/>
    <w:rsid w:val="006932BE"/>
    <w:rsid w:val="006937A3"/>
    <w:rsid w:val="006939D1"/>
    <w:rsid w:val="00693C3E"/>
    <w:rsid w:val="00693F56"/>
    <w:rsid w:val="00694008"/>
    <w:rsid w:val="006944A1"/>
    <w:rsid w:val="00694B53"/>
    <w:rsid w:val="00694C00"/>
    <w:rsid w:val="00694D6D"/>
    <w:rsid w:val="00694EA3"/>
    <w:rsid w:val="00695383"/>
    <w:rsid w:val="006956B1"/>
    <w:rsid w:val="0069581D"/>
    <w:rsid w:val="006958E2"/>
    <w:rsid w:val="00696029"/>
    <w:rsid w:val="006961B5"/>
    <w:rsid w:val="006968C5"/>
    <w:rsid w:val="0069726A"/>
    <w:rsid w:val="006975C6"/>
    <w:rsid w:val="006A0725"/>
    <w:rsid w:val="006A0A32"/>
    <w:rsid w:val="006A1251"/>
    <w:rsid w:val="006A1569"/>
    <w:rsid w:val="006A19F2"/>
    <w:rsid w:val="006A1A49"/>
    <w:rsid w:val="006A1B86"/>
    <w:rsid w:val="006A20C3"/>
    <w:rsid w:val="006A24ED"/>
    <w:rsid w:val="006A2764"/>
    <w:rsid w:val="006A32B5"/>
    <w:rsid w:val="006A3426"/>
    <w:rsid w:val="006A3542"/>
    <w:rsid w:val="006A36B5"/>
    <w:rsid w:val="006A419E"/>
    <w:rsid w:val="006A494B"/>
    <w:rsid w:val="006A5327"/>
    <w:rsid w:val="006A5349"/>
    <w:rsid w:val="006A583F"/>
    <w:rsid w:val="006A5C5F"/>
    <w:rsid w:val="006A6119"/>
    <w:rsid w:val="006A6E79"/>
    <w:rsid w:val="006A704E"/>
    <w:rsid w:val="006A75B3"/>
    <w:rsid w:val="006A7905"/>
    <w:rsid w:val="006A7B54"/>
    <w:rsid w:val="006A7C0C"/>
    <w:rsid w:val="006B0240"/>
    <w:rsid w:val="006B09C5"/>
    <w:rsid w:val="006B0DFF"/>
    <w:rsid w:val="006B0F1E"/>
    <w:rsid w:val="006B133D"/>
    <w:rsid w:val="006B13FB"/>
    <w:rsid w:val="006B1620"/>
    <w:rsid w:val="006B1927"/>
    <w:rsid w:val="006B1D1C"/>
    <w:rsid w:val="006B1FC5"/>
    <w:rsid w:val="006B226B"/>
    <w:rsid w:val="006B24AC"/>
    <w:rsid w:val="006B317F"/>
    <w:rsid w:val="006B3587"/>
    <w:rsid w:val="006B3B66"/>
    <w:rsid w:val="006B3CA2"/>
    <w:rsid w:val="006B444A"/>
    <w:rsid w:val="006B45B6"/>
    <w:rsid w:val="006B51A5"/>
    <w:rsid w:val="006B64A6"/>
    <w:rsid w:val="006B7386"/>
    <w:rsid w:val="006B73C0"/>
    <w:rsid w:val="006B7989"/>
    <w:rsid w:val="006B7A10"/>
    <w:rsid w:val="006B7B40"/>
    <w:rsid w:val="006C010A"/>
    <w:rsid w:val="006C07A0"/>
    <w:rsid w:val="006C0F13"/>
    <w:rsid w:val="006C11FF"/>
    <w:rsid w:val="006C19F9"/>
    <w:rsid w:val="006C1CFD"/>
    <w:rsid w:val="006C1D70"/>
    <w:rsid w:val="006C1EB7"/>
    <w:rsid w:val="006C24E0"/>
    <w:rsid w:val="006C291D"/>
    <w:rsid w:val="006C2AF4"/>
    <w:rsid w:val="006C32B5"/>
    <w:rsid w:val="006C3662"/>
    <w:rsid w:val="006C3973"/>
    <w:rsid w:val="006C3F08"/>
    <w:rsid w:val="006C41D0"/>
    <w:rsid w:val="006C46D4"/>
    <w:rsid w:val="006C4816"/>
    <w:rsid w:val="006C4C1A"/>
    <w:rsid w:val="006C4D55"/>
    <w:rsid w:val="006C4EB8"/>
    <w:rsid w:val="006C5478"/>
    <w:rsid w:val="006C6135"/>
    <w:rsid w:val="006C6503"/>
    <w:rsid w:val="006C6567"/>
    <w:rsid w:val="006C69B6"/>
    <w:rsid w:val="006C719C"/>
    <w:rsid w:val="006C742C"/>
    <w:rsid w:val="006C7481"/>
    <w:rsid w:val="006C74D1"/>
    <w:rsid w:val="006C7714"/>
    <w:rsid w:val="006C776D"/>
    <w:rsid w:val="006D07E2"/>
    <w:rsid w:val="006D07FE"/>
    <w:rsid w:val="006D0805"/>
    <w:rsid w:val="006D0CD9"/>
    <w:rsid w:val="006D0F53"/>
    <w:rsid w:val="006D1274"/>
    <w:rsid w:val="006D1535"/>
    <w:rsid w:val="006D1D09"/>
    <w:rsid w:val="006D1DAF"/>
    <w:rsid w:val="006D26F5"/>
    <w:rsid w:val="006D277C"/>
    <w:rsid w:val="006D2913"/>
    <w:rsid w:val="006D320B"/>
    <w:rsid w:val="006D3296"/>
    <w:rsid w:val="006D340D"/>
    <w:rsid w:val="006D3A69"/>
    <w:rsid w:val="006D3B57"/>
    <w:rsid w:val="006D3B93"/>
    <w:rsid w:val="006D41ED"/>
    <w:rsid w:val="006D431C"/>
    <w:rsid w:val="006D44DD"/>
    <w:rsid w:val="006D4AD4"/>
    <w:rsid w:val="006D50EB"/>
    <w:rsid w:val="006D52D5"/>
    <w:rsid w:val="006D5557"/>
    <w:rsid w:val="006D5F60"/>
    <w:rsid w:val="006D6186"/>
    <w:rsid w:val="006D6751"/>
    <w:rsid w:val="006D6BD1"/>
    <w:rsid w:val="006D71CD"/>
    <w:rsid w:val="006D78CE"/>
    <w:rsid w:val="006D7CDC"/>
    <w:rsid w:val="006D7EF1"/>
    <w:rsid w:val="006E08A8"/>
    <w:rsid w:val="006E08C9"/>
    <w:rsid w:val="006E2BA8"/>
    <w:rsid w:val="006E43E8"/>
    <w:rsid w:val="006E5163"/>
    <w:rsid w:val="006E5580"/>
    <w:rsid w:val="006E5965"/>
    <w:rsid w:val="006E630D"/>
    <w:rsid w:val="006E66BD"/>
    <w:rsid w:val="006E6CB3"/>
    <w:rsid w:val="006E6CB7"/>
    <w:rsid w:val="006E6CD1"/>
    <w:rsid w:val="006E6F7D"/>
    <w:rsid w:val="006E707E"/>
    <w:rsid w:val="006E79C5"/>
    <w:rsid w:val="006E7AE2"/>
    <w:rsid w:val="006F034F"/>
    <w:rsid w:val="006F0A23"/>
    <w:rsid w:val="006F0AFC"/>
    <w:rsid w:val="006F14DE"/>
    <w:rsid w:val="006F16AE"/>
    <w:rsid w:val="006F1981"/>
    <w:rsid w:val="006F22F0"/>
    <w:rsid w:val="006F2684"/>
    <w:rsid w:val="006F29C6"/>
    <w:rsid w:val="006F2D37"/>
    <w:rsid w:val="006F3C83"/>
    <w:rsid w:val="006F438A"/>
    <w:rsid w:val="006F4EDB"/>
    <w:rsid w:val="006F4F7F"/>
    <w:rsid w:val="006F52F2"/>
    <w:rsid w:val="006F567A"/>
    <w:rsid w:val="006F6834"/>
    <w:rsid w:val="006F6A83"/>
    <w:rsid w:val="006F7A7A"/>
    <w:rsid w:val="006F7C0C"/>
    <w:rsid w:val="006F7F7A"/>
    <w:rsid w:val="007006A4"/>
    <w:rsid w:val="00700CA8"/>
    <w:rsid w:val="00701B9B"/>
    <w:rsid w:val="007023A9"/>
    <w:rsid w:val="00702584"/>
    <w:rsid w:val="00702F7F"/>
    <w:rsid w:val="00703292"/>
    <w:rsid w:val="007035AB"/>
    <w:rsid w:val="007041B5"/>
    <w:rsid w:val="00704567"/>
    <w:rsid w:val="00704C9E"/>
    <w:rsid w:val="00704D22"/>
    <w:rsid w:val="00704D73"/>
    <w:rsid w:val="00705819"/>
    <w:rsid w:val="007058FF"/>
    <w:rsid w:val="007060AF"/>
    <w:rsid w:val="00706226"/>
    <w:rsid w:val="00707279"/>
    <w:rsid w:val="00707A77"/>
    <w:rsid w:val="00707E88"/>
    <w:rsid w:val="0071009E"/>
    <w:rsid w:val="00710196"/>
    <w:rsid w:val="007104D8"/>
    <w:rsid w:val="00710F0C"/>
    <w:rsid w:val="00710FB8"/>
    <w:rsid w:val="00711269"/>
    <w:rsid w:val="00711CEA"/>
    <w:rsid w:val="0071216B"/>
    <w:rsid w:val="00712426"/>
    <w:rsid w:val="0071273D"/>
    <w:rsid w:val="00712E75"/>
    <w:rsid w:val="00712F29"/>
    <w:rsid w:val="00712FD6"/>
    <w:rsid w:val="00713004"/>
    <w:rsid w:val="007132A1"/>
    <w:rsid w:val="007132C2"/>
    <w:rsid w:val="00713875"/>
    <w:rsid w:val="00713C57"/>
    <w:rsid w:val="00713E48"/>
    <w:rsid w:val="00714878"/>
    <w:rsid w:val="00714BBD"/>
    <w:rsid w:val="00715181"/>
    <w:rsid w:val="007152A4"/>
    <w:rsid w:val="00715874"/>
    <w:rsid w:val="0071596A"/>
    <w:rsid w:val="007161DD"/>
    <w:rsid w:val="0071685C"/>
    <w:rsid w:val="00716A79"/>
    <w:rsid w:val="00716B73"/>
    <w:rsid w:val="00716C19"/>
    <w:rsid w:val="00716D51"/>
    <w:rsid w:val="007172D7"/>
    <w:rsid w:val="007172DB"/>
    <w:rsid w:val="00717700"/>
    <w:rsid w:val="00717707"/>
    <w:rsid w:val="007179C3"/>
    <w:rsid w:val="00717D39"/>
    <w:rsid w:val="00717F0C"/>
    <w:rsid w:val="00717FC9"/>
    <w:rsid w:val="0072090A"/>
    <w:rsid w:val="00720CF7"/>
    <w:rsid w:val="0072189E"/>
    <w:rsid w:val="007229F2"/>
    <w:rsid w:val="00722FD6"/>
    <w:rsid w:val="0072322F"/>
    <w:rsid w:val="00723AA0"/>
    <w:rsid w:val="00724034"/>
    <w:rsid w:val="0072405D"/>
    <w:rsid w:val="0072431D"/>
    <w:rsid w:val="00724337"/>
    <w:rsid w:val="007243BC"/>
    <w:rsid w:val="00724B7E"/>
    <w:rsid w:val="00724E92"/>
    <w:rsid w:val="007260F7"/>
    <w:rsid w:val="00726354"/>
    <w:rsid w:val="00726405"/>
    <w:rsid w:val="00726E1E"/>
    <w:rsid w:val="00727C16"/>
    <w:rsid w:val="007304FE"/>
    <w:rsid w:val="00730567"/>
    <w:rsid w:val="0073057E"/>
    <w:rsid w:val="00730A0B"/>
    <w:rsid w:val="00731B08"/>
    <w:rsid w:val="00731F62"/>
    <w:rsid w:val="00732287"/>
    <w:rsid w:val="0073230D"/>
    <w:rsid w:val="00733248"/>
    <w:rsid w:val="007334B2"/>
    <w:rsid w:val="00733714"/>
    <w:rsid w:val="00733A57"/>
    <w:rsid w:val="00733E67"/>
    <w:rsid w:val="00734515"/>
    <w:rsid w:val="00734A20"/>
    <w:rsid w:val="00734C63"/>
    <w:rsid w:val="0073586B"/>
    <w:rsid w:val="00735986"/>
    <w:rsid w:val="00735F63"/>
    <w:rsid w:val="00736548"/>
    <w:rsid w:val="00736559"/>
    <w:rsid w:val="00736DD3"/>
    <w:rsid w:val="007372E1"/>
    <w:rsid w:val="00737925"/>
    <w:rsid w:val="00737E8C"/>
    <w:rsid w:val="00737EAB"/>
    <w:rsid w:val="007410E7"/>
    <w:rsid w:val="007417A7"/>
    <w:rsid w:val="00741B8D"/>
    <w:rsid w:val="00741F02"/>
    <w:rsid w:val="00742BD2"/>
    <w:rsid w:val="00742E86"/>
    <w:rsid w:val="0074306F"/>
    <w:rsid w:val="007430E2"/>
    <w:rsid w:val="007430F5"/>
    <w:rsid w:val="00743406"/>
    <w:rsid w:val="00743C7E"/>
    <w:rsid w:val="00744264"/>
    <w:rsid w:val="007443A2"/>
    <w:rsid w:val="007445C4"/>
    <w:rsid w:val="007449EF"/>
    <w:rsid w:val="00744A99"/>
    <w:rsid w:val="007454FE"/>
    <w:rsid w:val="00745652"/>
    <w:rsid w:val="00745739"/>
    <w:rsid w:val="007459F4"/>
    <w:rsid w:val="007467F0"/>
    <w:rsid w:val="0074723C"/>
    <w:rsid w:val="00747264"/>
    <w:rsid w:val="00747A08"/>
    <w:rsid w:val="00747AC2"/>
    <w:rsid w:val="00750195"/>
    <w:rsid w:val="00750577"/>
    <w:rsid w:val="00751EA3"/>
    <w:rsid w:val="007522BA"/>
    <w:rsid w:val="007532C7"/>
    <w:rsid w:val="00753CAA"/>
    <w:rsid w:val="00753D86"/>
    <w:rsid w:val="00754083"/>
    <w:rsid w:val="00754088"/>
    <w:rsid w:val="00754274"/>
    <w:rsid w:val="007543C5"/>
    <w:rsid w:val="00754AC8"/>
    <w:rsid w:val="00755B90"/>
    <w:rsid w:val="00756195"/>
    <w:rsid w:val="00756367"/>
    <w:rsid w:val="007565AD"/>
    <w:rsid w:val="0075666B"/>
    <w:rsid w:val="00757383"/>
    <w:rsid w:val="00757510"/>
    <w:rsid w:val="007577CC"/>
    <w:rsid w:val="007604A3"/>
    <w:rsid w:val="007609A7"/>
    <w:rsid w:val="007610E2"/>
    <w:rsid w:val="0076110A"/>
    <w:rsid w:val="0076126B"/>
    <w:rsid w:val="00761404"/>
    <w:rsid w:val="007615E4"/>
    <w:rsid w:val="0076171B"/>
    <w:rsid w:val="00761EE9"/>
    <w:rsid w:val="00762554"/>
    <w:rsid w:val="00762BBB"/>
    <w:rsid w:val="00762C20"/>
    <w:rsid w:val="00762FF2"/>
    <w:rsid w:val="00763778"/>
    <w:rsid w:val="00764D7B"/>
    <w:rsid w:val="00764F99"/>
    <w:rsid w:val="00765D4E"/>
    <w:rsid w:val="00766E41"/>
    <w:rsid w:val="0076745A"/>
    <w:rsid w:val="00767466"/>
    <w:rsid w:val="007678D2"/>
    <w:rsid w:val="00767E9C"/>
    <w:rsid w:val="00770002"/>
    <w:rsid w:val="00770288"/>
    <w:rsid w:val="007717E7"/>
    <w:rsid w:val="00771BDB"/>
    <w:rsid w:val="00771C35"/>
    <w:rsid w:val="00772EF1"/>
    <w:rsid w:val="00772F2B"/>
    <w:rsid w:val="0077308D"/>
    <w:rsid w:val="007730D3"/>
    <w:rsid w:val="007738EF"/>
    <w:rsid w:val="00774809"/>
    <w:rsid w:val="00774D87"/>
    <w:rsid w:val="00774DCF"/>
    <w:rsid w:val="007759BE"/>
    <w:rsid w:val="00775D02"/>
    <w:rsid w:val="00775E8F"/>
    <w:rsid w:val="00776156"/>
    <w:rsid w:val="007761E1"/>
    <w:rsid w:val="007765DB"/>
    <w:rsid w:val="00776EAE"/>
    <w:rsid w:val="00777864"/>
    <w:rsid w:val="00777B9B"/>
    <w:rsid w:val="00777DA9"/>
    <w:rsid w:val="00777ED6"/>
    <w:rsid w:val="007801AA"/>
    <w:rsid w:val="007802F4"/>
    <w:rsid w:val="00780E55"/>
    <w:rsid w:val="00781141"/>
    <w:rsid w:val="0078156E"/>
    <w:rsid w:val="00781599"/>
    <w:rsid w:val="00781D61"/>
    <w:rsid w:val="007831FE"/>
    <w:rsid w:val="007833C1"/>
    <w:rsid w:val="007834C6"/>
    <w:rsid w:val="0078376F"/>
    <w:rsid w:val="00783AEC"/>
    <w:rsid w:val="00783E6A"/>
    <w:rsid w:val="00784552"/>
    <w:rsid w:val="00784B62"/>
    <w:rsid w:val="00784E47"/>
    <w:rsid w:val="007856F7"/>
    <w:rsid w:val="0078624E"/>
    <w:rsid w:val="00786571"/>
    <w:rsid w:val="0078752C"/>
    <w:rsid w:val="00787B05"/>
    <w:rsid w:val="007901BE"/>
    <w:rsid w:val="00790BFC"/>
    <w:rsid w:val="00790D6A"/>
    <w:rsid w:val="007911CC"/>
    <w:rsid w:val="00791A52"/>
    <w:rsid w:val="00791B1E"/>
    <w:rsid w:val="007920CE"/>
    <w:rsid w:val="0079222B"/>
    <w:rsid w:val="007926D4"/>
    <w:rsid w:val="00792A0C"/>
    <w:rsid w:val="00793736"/>
    <w:rsid w:val="00793D28"/>
    <w:rsid w:val="00794B67"/>
    <w:rsid w:val="00794D15"/>
    <w:rsid w:val="00794DB0"/>
    <w:rsid w:val="007951C6"/>
    <w:rsid w:val="007955A9"/>
    <w:rsid w:val="007955CB"/>
    <w:rsid w:val="00795644"/>
    <w:rsid w:val="00795980"/>
    <w:rsid w:val="00795982"/>
    <w:rsid w:val="00795CA6"/>
    <w:rsid w:val="00796CF5"/>
    <w:rsid w:val="00796F2D"/>
    <w:rsid w:val="007974B8"/>
    <w:rsid w:val="00797799"/>
    <w:rsid w:val="00797DBA"/>
    <w:rsid w:val="007A0499"/>
    <w:rsid w:val="007A04C9"/>
    <w:rsid w:val="007A06F7"/>
    <w:rsid w:val="007A08EA"/>
    <w:rsid w:val="007A0A4E"/>
    <w:rsid w:val="007A0B10"/>
    <w:rsid w:val="007A0C51"/>
    <w:rsid w:val="007A0CB9"/>
    <w:rsid w:val="007A0F4B"/>
    <w:rsid w:val="007A1334"/>
    <w:rsid w:val="007A1478"/>
    <w:rsid w:val="007A14CE"/>
    <w:rsid w:val="007A1761"/>
    <w:rsid w:val="007A1999"/>
    <w:rsid w:val="007A1D34"/>
    <w:rsid w:val="007A1E7C"/>
    <w:rsid w:val="007A21B0"/>
    <w:rsid w:val="007A2261"/>
    <w:rsid w:val="007A2345"/>
    <w:rsid w:val="007A2504"/>
    <w:rsid w:val="007A279E"/>
    <w:rsid w:val="007A2953"/>
    <w:rsid w:val="007A29C3"/>
    <w:rsid w:val="007A2EAD"/>
    <w:rsid w:val="007A326B"/>
    <w:rsid w:val="007A34F9"/>
    <w:rsid w:val="007A3DE3"/>
    <w:rsid w:val="007A457A"/>
    <w:rsid w:val="007A46AA"/>
    <w:rsid w:val="007A4A10"/>
    <w:rsid w:val="007A4EB4"/>
    <w:rsid w:val="007A5107"/>
    <w:rsid w:val="007A58E2"/>
    <w:rsid w:val="007A596F"/>
    <w:rsid w:val="007A5979"/>
    <w:rsid w:val="007A5EA1"/>
    <w:rsid w:val="007A6308"/>
    <w:rsid w:val="007A635D"/>
    <w:rsid w:val="007A64AC"/>
    <w:rsid w:val="007A68DD"/>
    <w:rsid w:val="007A7406"/>
    <w:rsid w:val="007A77A9"/>
    <w:rsid w:val="007A79DB"/>
    <w:rsid w:val="007A7EEE"/>
    <w:rsid w:val="007B0503"/>
    <w:rsid w:val="007B0519"/>
    <w:rsid w:val="007B2B13"/>
    <w:rsid w:val="007B2DCD"/>
    <w:rsid w:val="007B3323"/>
    <w:rsid w:val="007B34A9"/>
    <w:rsid w:val="007B3A2C"/>
    <w:rsid w:val="007B48B8"/>
    <w:rsid w:val="007B4B53"/>
    <w:rsid w:val="007B5C23"/>
    <w:rsid w:val="007B5E93"/>
    <w:rsid w:val="007B77E9"/>
    <w:rsid w:val="007C00B1"/>
    <w:rsid w:val="007C07DC"/>
    <w:rsid w:val="007C0CA3"/>
    <w:rsid w:val="007C14D7"/>
    <w:rsid w:val="007C14E9"/>
    <w:rsid w:val="007C1DB6"/>
    <w:rsid w:val="007C2A7E"/>
    <w:rsid w:val="007C36AA"/>
    <w:rsid w:val="007C396F"/>
    <w:rsid w:val="007C3D7C"/>
    <w:rsid w:val="007C406E"/>
    <w:rsid w:val="007C4DA4"/>
    <w:rsid w:val="007C5697"/>
    <w:rsid w:val="007C5864"/>
    <w:rsid w:val="007C6C85"/>
    <w:rsid w:val="007C6C9F"/>
    <w:rsid w:val="007C6EA3"/>
    <w:rsid w:val="007C718E"/>
    <w:rsid w:val="007C7425"/>
    <w:rsid w:val="007C75E7"/>
    <w:rsid w:val="007C7BCA"/>
    <w:rsid w:val="007C7C52"/>
    <w:rsid w:val="007D085C"/>
    <w:rsid w:val="007D15CE"/>
    <w:rsid w:val="007D1789"/>
    <w:rsid w:val="007D18CE"/>
    <w:rsid w:val="007D1C05"/>
    <w:rsid w:val="007D1D62"/>
    <w:rsid w:val="007D2103"/>
    <w:rsid w:val="007D27B3"/>
    <w:rsid w:val="007D2AAB"/>
    <w:rsid w:val="007D2FE2"/>
    <w:rsid w:val="007D3303"/>
    <w:rsid w:val="007D3596"/>
    <w:rsid w:val="007D3698"/>
    <w:rsid w:val="007D3A88"/>
    <w:rsid w:val="007D3DE3"/>
    <w:rsid w:val="007D4856"/>
    <w:rsid w:val="007D49CF"/>
    <w:rsid w:val="007D4A1C"/>
    <w:rsid w:val="007D4A41"/>
    <w:rsid w:val="007D4E41"/>
    <w:rsid w:val="007D515E"/>
    <w:rsid w:val="007D5959"/>
    <w:rsid w:val="007D68B1"/>
    <w:rsid w:val="007D6B1C"/>
    <w:rsid w:val="007D722F"/>
    <w:rsid w:val="007D78D1"/>
    <w:rsid w:val="007D7BB9"/>
    <w:rsid w:val="007D7C83"/>
    <w:rsid w:val="007D7DC1"/>
    <w:rsid w:val="007E0347"/>
    <w:rsid w:val="007E0541"/>
    <w:rsid w:val="007E096D"/>
    <w:rsid w:val="007E21C4"/>
    <w:rsid w:val="007E2782"/>
    <w:rsid w:val="007E2F09"/>
    <w:rsid w:val="007E2FB8"/>
    <w:rsid w:val="007E3302"/>
    <w:rsid w:val="007E3D89"/>
    <w:rsid w:val="007E3F52"/>
    <w:rsid w:val="007E468B"/>
    <w:rsid w:val="007E4A0E"/>
    <w:rsid w:val="007E4CD2"/>
    <w:rsid w:val="007E55EE"/>
    <w:rsid w:val="007E58A3"/>
    <w:rsid w:val="007E5F43"/>
    <w:rsid w:val="007E64CE"/>
    <w:rsid w:val="007E746C"/>
    <w:rsid w:val="007E791F"/>
    <w:rsid w:val="007E7939"/>
    <w:rsid w:val="007E7A18"/>
    <w:rsid w:val="007F05CF"/>
    <w:rsid w:val="007F0CDD"/>
    <w:rsid w:val="007F13D7"/>
    <w:rsid w:val="007F13F9"/>
    <w:rsid w:val="007F29F4"/>
    <w:rsid w:val="007F317F"/>
    <w:rsid w:val="007F3A1E"/>
    <w:rsid w:val="007F3C92"/>
    <w:rsid w:val="007F40DD"/>
    <w:rsid w:val="007F4A77"/>
    <w:rsid w:val="007F4E43"/>
    <w:rsid w:val="007F500C"/>
    <w:rsid w:val="007F578C"/>
    <w:rsid w:val="007F5EE7"/>
    <w:rsid w:val="007F6A8D"/>
    <w:rsid w:val="007F6A98"/>
    <w:rsid w:val="007F7E09"/>
    <w:rsid w:val="008006A3"/>
    <w:rsid w:val="008007E9"/>
    <w:rsid w:val="00800D41"/>
    <w:rsid w:val="00800FB2"/>
    <w:rsid w:val="00801100"/>
    <w:rsid w:val="00801260"/>
    <w:rsid w:val="0080172E"/>
    <w:rsid w:val="00802533"/>
    <w:rsid w:val="0080261B"/>
    <w:rsid w:val="00802AD8"/>
    <w:rsid w:val="0080334C"/>
    <w:rsid w:val="0080387D"/>
    <w:rsid w:val="0080396A"/>
    <w:rsid w:val="00803B48"/>
    <w:rsid w:val="00803F8F"/>
    <w:rsid w:val="0080411E"/>
    <w:rsid w:val="008047E8"/>
    <w:rsid w:val="00804813"/>
    <w:rsid w:val="00804AD0"/>
    <w:rsid w:val="00804E4D"/>
    <w:rsid w:val="00805474"/>
    <w:rsid w:val="00805B73"/>
    <w:rsid w:val="00805FDB"/>
    <w:rsid w:val="00806114"/>
    <w:rsid w:val="00806130"/>
    <w:rsid w:val="008061DB"/>
    <w:rsid w:val="00806317"/>
    <w:rsid w:val="00806C0A"/>
    <w:rsid w:val="00806FBC"/>
    <w:rsid w:val="00807ACA"/>
    <w:rsid w:val="00807ECE"/>
    <w:rsid w:val="00807F81"/>
    <w:rsid w:val="0081042E"/>
    <w:rsid w:val="008105AE"/>
    <w:rsid w:val="00810C20"/>
    <w:rsid w:val="00811070"/>
    <w:rsid w:val="008112E8"/>
    <w:rsid w:val="0081166B"/>
    <w:rsid w:val="0081172A"/>
    <w:rsid w:val="00811E91"/>
    <w:rsid w:val="008120D7"/>
    <w:rsid w:val="008123DA"/>
    <w:rsid w:val="0081260D"/>
    <w:rsid w:val="0081274E"/>
    <w:rsid w:val="0081278F"/>
    <w:rsid w:val="00812AFB"/>
    <w:rsid w:val="00812D7F"/>
    <w:rsid w:val="00812E01"/>
    <w:rsid w:val="00813B2E"/>
    <w:rsid w:val="00813D2C"/>
    <w:rsid w:val="0081432C"/>
    <w:rsid w:val="00814D68"/>
    <w:rsid w:val="00814F9D"/>
    <w:rsid w:val="00815E57"/>
    <w:rsid w:val="00816059"/>
    <w:rsid w:val="0081665E"/>
    <w:rsid w:val="00816838"/>
    <w:rsid w:val="00817A4B"/>
    <w:rsid w:val="00817F89"/>
    <w:rsid w:val="00820573"/>
    <w:rsid w:val="00820BD5"/>
    <w:rsid w:val="00820BE2"/>
    <w:rsid w:val="00820C9E"/>
    <w:rsid w:val="00820EE0"/>
    <w:rsid w:val="00820F6E"/>
    <w:rsid w:val="008212A3"/>
    <w:rsid w:val="00821651"/>
    <w:rsid w:val="008216F1"/>
    <w:rsid w:val="00821B54"/>
    <w:rsid w:val="00821E79"/>
    <w:rsid w:val="008224AA"/>
    <w:rsid w:val="00822588"/>
    <w:rsid w:val="008229CB"/>
    <w:rsid w:val="00822E90"/>
    <w:rsid w:val="00822EC5"/>
    <w:rsid w:val="00824345"/>
    <w:rsid w:val="00824586"/>
    <w:rsid w:val="00825068"/>
    <w:rsid w:val="00825622"/>
    <w:rsid w:val="008259A2"/>
    <w:rsid w:val="008263B4"/>
    <w:rsid w:val="0082655A"/>
    <w:rsid w:val="00826583"/>
    <w:rsid w:val="00826D8E"/>
    <w:rsid w:val="008271B8"/>
    <w:rsid w:val="008277C3"/>
    <w:rsid w:val="00830020"/>
    <w:rsid w:val="008303C4"/>
    <w:rsid w:val="008304AE"/>
    <w:rsid w:val="008308A2"/>
    <w:rsid w:val="00831439"/>
    <w:rsid w:val="00831ED6"/>
    <w:rsid w:val="008323D4"/>
    <w:rsid w:val="00832747"/>
    <w:rsid w:val="00832C6C"/>
    <w:rsid w:val="0083302C"/>
    <w:rsid w:val="0083494B"/>
    <w:rsid w:val="00834AAB"/>
    <w:rsid w:val="00834AEC"/>
    <w:rsid w:val="00834B56"/>
    <w:rsid w:val="00835413"/>
    <w:rsid w:val="0083595D"/>
    <w:rsid w:val="00835CCA"/>
    <w:rsid w:val="008367C9"/>
    <w:rsid w:val="008368ED"/>
    <w:rsid w:val="00836965"/>
    <w:rsid w:val="00836E14"/>
    <w:rsid w:val="00836EB5"/>
    <w:rsid w:val="00836F03"/>
    <w:rsid w:val="0083747D"/>
    <w:rsid w:val="00840141"/>
    <w:rsid w:val="008405DB"/>
    <w:rsid w:val="00840A0F"/>
    <w:rsid w:val="00842A73"/>
    <w:rsid w:val="00842BA5"/>
    <w:rsid w:val="00843232"/>
    <w:rsid w:val="00843814"/>
    <w:rsid w:val="00843A49"/>
    <w:rsid w:val="008441AD"/>
    <w:rsid w:val="00844778"/>
    <w:rsid w:val="008447FD"/>
    <w:rsid w:val="0084485F"/>
    <w:rsid w:val="00844DAC"/>
    <w:rsid w:val="00844F5B"/>
    <w:rsid w:val="00845BC9"/>
    <w:rsid w:val="00845E4D"/>
    <w:rsid w:val="0084765D"/>
    <w:rsid w:val="008477FC"/>
    <w:rsid w:val="00850043"/>
    <w:rsid w:val="00850156"/>
    <w:rsid w:val="008505BB"/>
    <w:rsid w:val="00850744"/>
    <w:rsid w:val="00850B95"/>
    <w:rsid w:val="0085113D"/>
    <w:rsid w:val="00851300"/>
    <w:rsid w:val="008514FF"/>
    <w:rsid w:val="0085151C"/>
    <w:rsid w:val="0085177D"/>
    <w:rsid w:val="00851E46"/>
    <w:rsid w:val="00852996"/>
    <w:rsid w:val="00852C04"/>
    <w:rsid w:val="00853619"/>
    <w:rsid w:val="008537F0"/>
    <w:rsid w:val="00853835"/>
    <w:rsid w:val="00853874"/>
    <w:rsid w:val="008538D4"/>
    <w:rsid w:val="00853942"/>
    <w:rsid w:val="00854606"/>
    <w:rsid w:val="00854B63"/>
    <w:rsid w:val="00855AA5"/>
    <w:rsid w:val="00856418"/>
    <w:rsid w:val="00856FA9"/>
    <w:rsid w:val="008572D2"/>
    <w:rsid w:val="00857417"/>
    <w:rsid w:val="00857779"/>
    <w:rsid w:val="00857A7E"/>
    <w:rsid w:val="00857D73"/>
    <w:rsid w:val="00857E1C"/>
    <w:rsid w:val="008604BC"/>
    <w:rsid w:val="00860619"/>
    <w:rsid w:val="0086107D"/>
    <w:rsid w:val="008611AD"/>
    <w:rsid w:val="00861B66"/>
    <w:rsid w:val="00861EE3"/>
    <w:rsid w:val="008621E7"/>
    <w:rsid w:val="008636EF"/>
    <w:rsid w:val="0086382C"/>
    <w:rsid w:val="0086403D"/>
    <w:rsid w:val="0086437B"/>
    <w:rsid w:val="00864919"/>
    <w:rsid w:val="0086498A"/>
    <w:rsid w:val="00864D45"/>
    <w:rsid w:val="00864FA9"/>
    <w:rsid w:val="0086501A"/>
    <w:rsid w:val="008650AB"/>
    <w:rsid w:val="0086594C"/>
    <w:rsid w:val="00865A55"/>
    <w:rsid w:val="00865C0F"/>
    <w:rsid w:val="00866242"/>
    <w:rsid w:val="0086708F"/>
    <w:rsid w:val="0086726A"/>
    <w:rsid w:val="008672E6"/>
    <w:rsid w:val="00867A7D"/>
    <w:rsid w:val="00867AF5"/>
    <w:rsid w:val="00870A32"/>
    <w:rsid w:val="00871352"/>
    <w:rsid w:val="0087178E"/>
    <w:rsid w:val="00872168"/>
    <w:rsid w:val="00872518"/>
    <w:rsid w:val="00872793"/>
    <w:rsid w:val="00873B3A"/>
    <w:rsid w:val="00873C87"/>
    <w:rsid w:val="00873DB1"/>
    <w:rsid w:val="00873DD4"/>
    <w:rsid w:val="008749D5"/>
    <w:rsid w:val="008749FF"/>
    <w:rsid w:val="00874B4C"/>
    <w:rsid w:val="0087549A"/>
    <w:rsid w:val="008760C3"/>
    <w:rsid w:val="0087648B"/>
    <w:rsid w:val="0087686B"/>
    <w:rsid w:val="00876A98"/>
    <w:rsid w:val="00876AD8"/>
    <w:rsid w:val="00876EC4"/>
    <w:rsid w:val="00877370"/>
    <w:rsid w:val="008774D5"/>
    <w:rsid w:val="008806CC"/>
    <w:rsid w:val="00880765"/>
    <w:rsid w:val="00880AEA"/>
    <w:rsid w:val="00880BB6"/>
    <w:rsid w:val="00880BBB"/>
    <w:rsid w:val="0088221D"/>
    <w:rsid w:val="0088254C"/>
    <w:rsid w:val="00883706"/>
    <w:rsid w:val="00886442"/>
    <w:rsid w:val="00886629"/>
    <w:rsid w:val="0088681F"/>
    <w:rsid w:val="00887971"/>
    <w:rsid w:val="00887E27"/>
    <w:rsid w:val="00887E38"/>
    <w:rsid w:val="00890070"/>
    <w:rsid w:val="008901A2"/>
    <w:rsid w:val="00890B5F"/>
    <w:rsid w:val="00890EA6"/>
    <w:rsid w:val="008921E4"/>
    <w:rsid w:val="00892F39"/>
    <w:rsid w:val="00893310"/>
    <w:rsid w:val="0089353E"/>
    <w:rsid w:val="00893754"/>
    <w:rsid w:val="00894347"/>
    <w:rsid w:val="00896046"/>
    <w:rsid w:val="0089615A"/>
    <w:rsid w:val="00896468"/>
    <w:rsid w:val="008965FF"/>
    <w:rsid w:val="00896782"/>
    <w:rsid w:val="00896A1F"/>
    <w:rsid w:val="00896D71"/>
    <w:rsid w:val="00896DE2"/>
    <w:rsid w:val="00897445"/>
    <w:rsid w:val="0089796C"/>
    <w:rsid w:val="00897DA7"/>
    <w:rsid w:val="008A005D"/>
    <w:rsid w:val="008A01A1"/>
    <w:rsid w:val="008A0916"/>
    <w:rsid w:val="008A0988"/>
    <w:rsid w:val="008A1120"/>
    <w:rsid w:val="008A112E"/>
    <w:rsid w:val="008A1E2E"/>
    <w:rsid w:val="008A20A5"/>
    <w:rsid w:val="008A2C25"/>
    <w:rsid w:val="008A2C4C"/>
    <w:rsid w:val="008A323A"/>
    <w:rsid w:val="008A3ACF"/>
    <w:rsid w:val="008A3BC6"/>
    <w:rsid w:val="008A4018"/>
    <w:rsid w:val="008A417C"/>
    <w:rsid w:val="008A4520"/>
    <w:rsid w:val="008A4560"/>
    <w:rsid w:val="008A49EF"/>
    <w:rsid w:val="008A4E2F"/>
    <w:rsid w:val="008A502B"/>
    <w:rsid w:val="008A5215"/>
    <w:rsid w:val="008A545A"/>
    <w:rsid w:val="008A5C15"/>
    <w:rsid w:val="008A5CCB"/>
    <w:rsid w:val="008A5E5F"/>
    <w:rsid w:val="008A603A"/>
    <w:rsid w:val="008A6081"/>
    <w:rsid w:val="008A62A2"/>
    <w:rsid w:val="008A6814"/>
    <w:rsid w:val="008A6963"/>
    <w:rsid w:val="008A6CF2"/>
    <w:rsid w:val="008A6EC9"/>
    <w:rsid w:val="008A7BAF"/>
    <w:rsid w:val="008A7D0F"/>
    <w:rsid w:val="008B0268"/>
    <w:rsid w:val="008B0406"/>
    <w:rsid w:val="008B04B9"/>
    <w:rsid w:val="008B078A"/>
    <w:rsid w:val="008B0B9B"/>
    <w:rsid w:val="008B0DAE"/>
    <w:rsid w:val="008B101A"/>
    <w:rsid w:val="008B1953"/>
    <w:rsid w:val="008B1A17"/>
    <w:rsid w:val="008B1C02"/>
    <w:rsid w:val="008B2189"/>
    <w:rsid w:val="008B2241"/>
    <w:rsid w:val="008B2BE9"/>
    <w:rsid w:val="008B2D9C"/>
    <w:rsid w:val="008B2EC1"/>
    <w:rsid w:val="008B3AA9"/>
    <w:rsid w:val="008B4A45"/>
    <w:rsid w:val="008B5D74"/>
    <w:rsid w:val="008B78FC"/>
    <w:rsid w:val="008C00D3"/>
    <w:rsid w:val="008C04D8"/>
    <w:rsid w:val="008C161A"/>
    <w:rsid w:val="008C1999"/>
    <w:rsid w:val="008C1E72"/>
    <w:rsid w:val="008C203D"/>
    <w:rsid w:val="008C215C"/>
    <w:rsid w:val="008C2550"/>
    <w:rsid w:val="008C27CE"/>
    <w:rsid w:val="008C2996"/>
    <w:rsid w:val="008C2CE8"/>
    <w:rsid w:val="008C43B4"/>
    <w:rsid w:val="008C4BC2"/>
    <w:rsid w:val="008C5620"/>
    <w:rsid w:val="008C5710"/>
    <w:rsid w:val="008C57DA"/>
    <w:rsid w:val="008C6097"/>
    <w:rsid w:val="008C7722"/>
    <w:rsid w:val="008C7B56"/>
    <w:rsid w:val="008C7B7A"/>
    <w:rsid w:val="008C7F98"/>
    <w:rsid w:val="008D056B"/>
    <w:rsid w:val="008D068C"/>
    <w:rsid w:val="008D0C72"/>
    <w:rsid w:val="008D1723"/>
    <w:rsid w:val="008D1931"/>
    <w:rsid w:val="008D1B9A"/>
    <w:rsid w:val="008D1BF6"/>
    <w:rsid w:val="008D1CE5"/>
    <w:rsid w:val="008D27FC"/>
    <w:rsid w:val="008D2931"/>
    <w:rsid w:val="008D293B"/>
    <w:rsid w:val="008D3066"/>
    <w:rsid w:val="008D32C0"/>
    <w:rsid w:val="008D4C4C"/>
    <w:rsid w:val="008D4DC5"/>
    <w:rsid w:val="008D5601"/>
    <w:rsid w:val="008D56D5"/>
    <w:rsid w:val="008D60EC"/>
    <w:rsid w:val="008D632A"/>
    <w:rsid w:val="008D673E"/>
    <w:rsid w:val="008D6CBE"/>
    <w:rsid w:val="008D75C9"/>
    <w:rsid w:val="008D764A"/>
    <w:rsid w:val="008D7B8D"/>
    <w:rsid w:val="008D7D46"/>
    <w:rsid w:val="008E0110"/>
    <w:rsid w:val="008E03A9"/>
    <w:rsid w:val="008E0FD5"/>
    <w:rsid w:val="008E1333"/>
    <w:rsid w:val="008E1419"/>
    <w:rsid w:val="008E142D"/>
    <w:rsid w:val="008E18BD"/>
    <w:rsid w:val="008E1B08"/>
    <w:rsid w:val="008E1B3A"/>
    <w:rsid w:val="008E1D62"/>
    <w:rsid w:val="008E2212"/>
    <w:rsid w:val="008E261B"/>
    <w:rsid w:val="008E278D"/>
    <w:rsid w:val="008E29CC"/>
    <w:rsid w:val="008E2B53"/>
    <w:rsid w:val="008E334B"/>
    <w:rsid w:val="008E33AB"/>
    <w:rsid w:val="008E344E"/>
    <w:rsid w:val="008E35D8"/>
    <w:rsid w:val="008E3FA9"/>
    <w:rsid w:val="008E591B"/>
    <w:rsid w:val="008E5941"/>
    <w:rsid w:val="008E61E7"/>
    <w:rsid w:val="008E667F"/>
    <w:rsid w:val="008E6770"/>
    <w:rsid w:val="008E69ED"/>
    <w:rsid w:val="008E712F"/>
    <w:rsid w:val="008E7474"/>
    <w:rsid w:val="008E771B"/>
    <w:rsid w:val="008E78DC"/>
    <w:rsid w:val="008E7A76"/>
    <w:rsid w:val="008F0297"/>
    <w:rsid w:val="008F09BA"/>
    <w:rsid w:val="008F0A43"/>
    <w:rsid w:val="008F0A47"/>
    <w:rsid w:val="008F0EE7"/>
    <w:rsid w:val="008F11E7"/>
    <w:rsid w:val="008F13D3"/>
    <w:rsid w:val="008F1EF0"/>
    <w:rsid w:val="008F2CB3"/>
    <w:rsid w:val="008F2E4D"/>
    <w:rsid w:val="008F3BB4"/>
    <w:rsid w:val="008F3CC1"/>
    <w:rsid w:val="008F4965"/>
    <w:rsid w:val="008F4EE3"/>
    <w:rsid w:val="008F4F3B"/>
    <w:rsid w:val="008F523E"/>
    <w:rsid w:val="008F52F5"/>
    <w:rsid w:val="008F59B9"/>
    <w:rsid w:val="008F5BD3"/>
    <w:rsid w:val="008F67D4"/>
    <w:rsid w:val="008F6C84"/>
    <w:rsid w:val="008F6D3D"/>
    <w:rsid w:val="008F7476"/>
    <w:rsid w:val="008F74C8"/>
    <w:rsid w:val="008F7B2E"/>
    <w:rsid w:val="00900593"/>
    <w:rsid w:val="0090080A"/>
    <w:rsid w:val="00900BF4"/>
    <w:rsid w:val="00900D36"/>
    <w:rsid w:val="00900F5D"/>
    <w:rsid w:val="00901630"/>
    <w:rsid w:val="0090179D"/>
    <w:rsid w:val="00901CB4"/>
    <w:rsid w:val="0090214A"/>
    <w:rsid w:val="009027C4"/>
    <w:rsid w:val="009029B7"/>
    <w:rsid w:val="00903224"/>
    <w:rsid w:val="009032AA"/>
    <w:rsid w:val="009038DD"/>
    <w:rsid w:val="009042FC"/>
    <w:rsid w:val="0090438D"/>
    <w:rsid w:val="00904491"/>
    <w:rsid w:val="00904BB9"/>
    <w:rsid w:val="0090594B"/>
    <w:rsid w:val="00905EF8"/>
    <w:rsid w:val="00906238"/>
    <w:rsid w:val="009064B4"/>
    <w:rsid w:val="0090688A"/>
    <w:rsid w:val="0090716D"/>
    <w:rsid w:val="0091023F"/>
    <w:rsid w:val="00910540"/>
    <w:rsid w:val="00910A4B"/>
    <w:rsid w:val="00911231"/>
    <w:rsid w:val="009114DF"/>
    <w:rsid w:val="009117F9"/>
    <w:rsid w:val="00911FB8"/>
    <w:rsid w:val="00912A35"/>
    <w:rsid w:val="0091349E"/>
    <w:rsid w:val="00913E9C"/>
    <w:rsid w:val="00914A1A"/>
    <w:rsid w:val="00915753"/>
    <w:rsid w:val="00915932"/>
    <w:rsid w:val="00915F91"/>
    <w:rsid w:val="009165A7"/>
    <w:rsid w:val="009165E7"/>
    <w:rsid w:val="0091660F"/>
    <w:rsid w:val="00916DA7"/>
    <w:rsid w:val="009173C8"/>
    <w:rsid w:val="00917805"/>
    <w:rsid w:val="009178A6"/>
    <w:rsid w:val="0091795B"/>
    <w:rsid w:val="00917DF4"/>
    <w:rsid w:val="0092006A"/>
    <w:rsid w:val="00920135"/>
    <w:rsid w:val="0092016F"/>
    <w:rsid w:val="009203E1"/>
    <w:rsid w:val="0092079C"/>
    <w:rsid w:val="00920938"/>
    <w:rsid w:val="00920FE7"/>
    <w:rsid w:val="009213E7"/>
    <w:rsid w:val="00921617"/>
    <w:rsid w:val="00921FF7"/>
    <w:rsid w:val="00922DD1"/>
    <w:rsid w:val="00923133"/>
    <w:rsid w:val="009231DE"/>
    <w:rsid w:val="0092369E"/>
    <w:rsid w:val="00923BFC"/>
    <w:rsid w:val="00923CBF"/>
    <w:rsid w:val="00924018"/>
    <w:rsid w:val="00924032"/>
    <w:rsid w:val="0092421C"/>
    <w:rsid w:val="00924843"/>
    <w:rsid w:val="00925072"/>
    <w:rsid w:val="0092578E"/>
    <w:rsid w:val="009259F2"/>
    <w:rsid w:val="00925FE5"/>
    <w:rsid w:val="00926770"/>
    <w:rsid w:val="00927765"/>
    <w:rsid w:val="00930773"/>
    <w:rsid w:val="00930E35"/>
    <w:rsid w:val="00931089"/>
    <w:rsid w:val="009312E2"/>
    <w:rsid w:val="0093139B"/>
    <w:rsid w:val="00931D2B"/>
    <w:rsid w:val="009320A4"/>
    <w:rsid w:val="00932738"/>
    <w:rsid w:val="00932D3D"/>
    <w:rsid w:val="009339F9"/>
    <w:rsid w:val="00933A0A"/>
    <w:rsid w:val="00933EA3"/>
    <w:rsid w:val="00934694"/>
    <w:rsid w:val="00934785"/>
    <w:rsid w:val="00935004"/>
    <w:rsid w:val="0093508B"/>
    <w:rsid w:val="00935151"/>
    <w:rsid w:val="009359FF"/>
    <w:rsid w:val="00935FCE"/>
    <w:rsid w:val="009371E9"/>
    <w:rsid w:val="0093738A"/>
    <w:rsid w:val="00937417"/>
    <w:rsid w:val="00937DF0"/>
    <w:rsid w:val="00940089"/>
    <w:rsid w:val="0094042E"/>
    <w:rsid w:val="009408C8"/>
    <w:rsid w:val="00941697"/>
    <w:rsid w:val="00941B26"/>
    <w:rsid w:val="009422A3"/>
    <w:rsid w:val="009428C1"/>
    <w:rsid w:val="00942DEC"/>
    <w:rsid w:val="009441A0"/>
    <w:rsid w:val="0094557E"/>
    <w:rsid w:val="00945B0D"/>
    <w:rsid w:val="00945F76"/>
    <w:rsid w:val="00946150"/>
    <w:rsid w:val="009461AA"/>
    <w:rsid w:val="00946357"/>
    <w:rsid w:val="0094669C"/>
    <w:rsid w:val="00946A1A"/>
    <w:rsid w:val="00946C05"/>
    <w:rsid w:val="00947234"/>
    <w:rsid w:val="00947361"/>
    <w:rsid w:val="00947843"/>
    <w:rsid w:val="0095052D"/>
    <w:rsid w:val="00950979"/>
    <w:rsid w:val="00950D4B"/>
    <w:rsid w:val="00950F62"/>
    <w:rsid w:val="009519B5"/>
    <w:rsid w:val="00951F36"/>
    <w:rsid w:val="00952E75"/>
    <w:rsid w:val="00953F6E"/>
    <w:rsid w:val="00953FFB"/>
    <w:rsid w:val="009548AB"/>
    <w:rsid w:val="00954B01"/>
    <w:rsid w:val="00954BB1"/>
    <w:rsid w:val="00955464"/>
    <w:rsid w:val="00955D40"/>
    <w:rsid w:val="0095653A"/>
    <w:rsid w:val="00956ECB"/>
    <w:rsid w:val="009577FF"/>
    <w:rsid w:val="00957D88"/>
    <w:rsid w:val="009608C1"/>
    <w:rsid w:val="00960DD3"/>
    <w:rsid w:val="009612FB"/>
    <w:rsid w:val="00962880"/>
    <w:rsid w:val="00963324"/>
    <w:rsid w:val="00964948"/>
    <w:rsid w:val="009649D4"/>
    <w:rsid w:val="0096534C"/>
    <w:rsid w:val="00965536"/>
    <w:rsid w:val="009657A4"/>
    <w:rsid w:val="0096657F"/>
    <w:rsid w:val="00966A2E"/>
    <w:rsid w:val="00966A74"/>
    <w:rsid w:val="00966A8E"/>
    <w:rsid w:val="00966BA2"/>
    <w:rsid w:val="00966E02"/>
    <w:rsid w:val="00966E2E"/>
    <w:rsid w:val="009670D9"/>
    <w:rsid w:val="009673AB"/>
    <w:rsid w:val="0096795E"/>
    <w:rsid w:val="00967E56"/>
    <w:rsid w:val="009701AD"/>
    <w:rsid w:val="00970449"/>
    <w:rsid w:val="0097078E"/>
    <w:rsid w:val="009717D2"/>
    <w:rsid w:val="00971D1B"/>
    <w:rsid w:val="009720D9"/>
    <w:rsid w:val="0097262B"/>
    <w:rsid w:val="00973042"/>
    <w:rsid w:val="00973217"/>
    <w:rsid w:val="00973675"/>
    <w:rsid w:val="00973AFA"/>
    <w:rsid w:val="009740C6"/>
    <w:rsid w:val="00974466"/>
    <w:rsid w:val="0097473B"/>
    <w:rsid w:val="0097496C"/>
    <w:rsid w:val="009752FD"/>
    <w:rsid w:val="00975C06"/>
    <w:rsid w:val="00975F85"/>
    <w:rsid w:val="0097613B"/>
    <w:rsid w:val="00976B82"/>
    <w:rsid w:val="0097793E"/>
    <w:rsid w:val="00977ED9"/>
    <w:rsid w:val="0098020A"/>
    <w:rsid w:val="0098054F"/>
    <w:rsid w:val="00980607"/>
    <w:rsid w:val="00980C87"/>
    <w:rsid w:val="00981393"/>
    <w:rsid w:val="00981D7D"/>
    <w:rsid w:val="00981FF4"/>
    <w:rsid w:val="00982354"/>
    <w:rsid w:val="00982617"/>
    <w:rsid w:val="009826E1"/>
    <w:rsid w:val="0098334D"/>
    <w:rsid w:val="0098387D"/>
    <w:rsid w:val="009838C4"/>
    <w:rsid w:val="00984C94"/>
    <w:rsid w:val="00984EA7"/>
    <w:rsid w:val="009851FD"/>
    <w:rsid w:val="0098587A"/>
    <w:rsid w:val="00985A76"/>
    <w:rsid w:val="00985A9E"/>
    <w:rsid w:val="00985BBA"/>
    <w:rsid w:val="00985FA2"/>
    <w:rsid w:val="00986FD7"/>
    <w:rsid w:val="0098740D"/>
    <w:rsid w:val="0098776B"/>
    <w:rsid w:val="00987D9E"/>
    <w:rsid w:val="00990608"/>
    <w:rsid w:val="00990619"/>
    <w:rsid w:val="00990C2C"/>
    <w:rsid w:val="00990D98"/>
    <w:rsid w:val="009910FD"/>
    <w:rsid w:val="009916F9"/>
    <w:rsid w:val="00991BA1"/>
    <w:rsid w:val="00991D55"/>
    <w:rsid w:val="00992456"/>
    <w:rsid w:val="009928CC"/>
    <w:rsid w:val="0099293D"/>
    <w:rsid w:val="00993424"/>
    <w:rsid w:val="00993CFF"/>
    <w:rsid w:val="0099424E"/>
    <w:rsid w:val="009943F4"/>
    <w:rsid w:val="009944F7"/>
    <w:rsid w:val="00994A5E"/>
    <w:rsid w:val="00994C11"/>
    <w:rsid w:val="00994F47"/>
    <w:rsid w:val="009951C3"/>
    <w:rsid w:val="0099544D"/>
    <w:rsid w:val="0099573A"/>
    <w:rsid w:val="0099586B"/>
    <w:rsid w:val="009959CE"/>
    <w:rsid w:val="00995B75"/>
    <w:rsid w:val="00995C96"/>
    <w:rsid w:val="0099673B"/>
    <w:rsid w:val="00996F88"/>
    <w:rsid w:val="00997959"/>
    <w:rsid w:val="00997BFB"/>
    <w:rsid w:val="009A011A"/>
    <w:rsid w:val="009A04FB"/>
    <w:rsid w:val="009A1275"/>
    <w:rsid w:val="009A2569"/>
    <w:rsid w:val="009A2700"/>
    <w:rsid w:val="009A2CEA"/>
    <w:rsid w:val="009A2D01"/>
    <w:rsid w:val="009A3184"/>
    <w:rsid w:val="009A31C9"/>
    <w:rsid w:val="009A3480"/>
    <w:rsid w:val="009A34CB"/>
    <w:rsid w:val="009A3B67"/>
    <w:rsid w:val="009A4A36"/>
    <w:rsid w:val="009A4AA7"/>
    <w:rsid w:val="009A5414"/>
    <w:rsid w:val="009A6206"/>
    <w:rsid w:val="009A6FE6"/>
    <w:rsid w:val="009A74C4"/>
    <w:rsid w:val="009A7889"/>
    <w:rsid w:val="009A7EBE"/>
    <w:rsid w:val="009B0131"/>
    <w:rsid w:val="009B04CA"/>
    <w:rsid w:val="009B0680"/>
    <w:rsid w:val="009B07B1"/>
    <w:rsid w:val="009B0BF8"/>
    <w:rsid w:val="009B12FD"/>
    <w:rsid w:val="009B1798"/>
    <w:rsid w:val="009B1C01"/>
    <w:rsid w:val="009B21AB"/>
    <w:rsid w:val="009B2300"/>
    <w:rsid w:val="009B2626"/>
    <w:rsid w:val="009B2980"/>
    <w:rsid w:val="009B31EF"/>
    <w:rsid w:val="009B3447"/>
    <w:rsid w:val="009B34B8"/>
    <w:rsid w:val="009B3800"/>
    <w:rsid w:val="009B3EC2"/>
    <w:rsid w:val="009B4223"/>
    <w:rsid w:val="009B57E5"/>
    <w:rsid w:val="009B6B76"/>
    <w:rsid w:val="009B6FD1"/>
    <w:rsid w:val="009B70FC"/>
    <w:rsid w:val="009B7415"/>
    <w:rsid w:val="009B77C4"/>
    <w:rsid w:val="009B7A0B"/>
    <w:rsid w:val="009B7DD0"/>
    <w:rsid w:val="009C00EB"/>
    <w:rsid w:val="009C058F"/>
    <w:rsid w:val="009C0B5C"/>
    <w:rsid w:val="009C0F1F"/>
    <w:rsid w:val="009C18D0"/>
    <w:rsid w:val="009C237D"/>
    <w:rsid w:val="009C2518"/>
    <w:rsid w:val="009C275A"/>
    <w:rsid w:val="009C2933"/>
    <w:rsid w:val="009C296A"/>
    <w:rsid w:val="009C2EA9"/>
    <w:rsid w:val="009C30A9"/>
    <w:rsid w:val="009C38C9"/>
    <w:rsid w:val="009C3C3B"/>
    <w:rsid w:val="009C3C8E"/>
    <w:rsid w:val="009C40F1"/>
    <w:rsid w:val="009C4386"/>
    <w:rsid w:val="009C46FF"/>
    <w:rsid w:val="009C473A"/>
    <w:rsid w:val="009C4BDF"/>
    <w:rsid w:val="009C530A"/>
    <w:rsid w:val="009C561D"/>
    <w:rsid w:val="009C59BA"/>
    <w:rsid w:val="009C5B32"/>
    <w:rsid w:val="009C6302"/>
    <w:rsid w:val="009C6DD0"/>
    <w:rsid w:val="009C752F"/>
    <w:rsid w:val="009C7E16"/>
    <w:rsid w:val="009D049F"/>
    <w:rsid w:val="009D0798"/>
    <w:rsid w:val="009D0CA0"/>
    <w:rsid w:val="009D0F79"/>
    <w:rsid w:val="009D1231"/>
    <w:rsid w:val="009D15C0"/>
    <w:rsid w:val="009D1902"/>
    <w:rsid w:val="009D1A2D"/>
    <w:rsid w:val="009D252A"/>
    <w:rsid w:val="009D2B1D"/>
    <w:rsid w:val="009D2DA3"/>
    <w:rsid w:val="009D35A1"/>
    <w:rsid w:val="009D3610"/>
    <w:rsid w:val="009D37CE"/>
    <w:rsid w:val="009D3B2D"/>
    <w:rsid w:val="009D3B50"/>
    <w:rsid w:val="009D3C6F"/>
    <w:rsid w:val="009D4EAC"/>
    <w:rsid w:val="009D61DA"/>
    <w:rsid w:val="009D6570"/>
    <w:rsid w:val="009D696D"/>
    <w:rsid w:val="009D7257"/>
    <w:rsid w:val="009D75A3"/>
    <w:rsid w:val="009D7E4B"/>
    <w:rsid w:val="009E071D"/>
    <w:rsid w:val="009E167E"/>
    <w:rsid w:val="009E2364"/>
    <w:rsid w:val="009E2952"/>
    <w:rsid w:val="009E2A50"/>
    <w:rsid w:val="009E2D5C"/>
    <w:rsid w:val="009E2E92"/>
    <w:rsid w:val="009E38E2"/>
    <w:rsid w:val="009E3A58"/>
    <w:rsid w:val="009E417D"/>
    <w:rsid w:val="009E47F3"/>
    <w:rsid w:val="009E480F"/>
    <w:rsid w:val="009E4C10"/>
    <w:rsid w:val="009E4DC7"/>
    <w:rsid w:val="009E5261"/>
    <w:rsid w:val="009E5A1B"/>
    <w:rsid w:val="009E5A82"/>
    <w:rsid w:val="009E6890"/>
    <w:rsid w:val="009E6F92"/>
    <w:rsid w:val="009E7771"/>
    <w:rsid w:val="009E7860"/>
    <w:rsid w:val="009E7D0F"/>
    <w:rsid w:val="009F0B38"/>
    <w:rsid w:val="009F1244"/>
    <w:rsid w:val="009F1585"/>
    <w:rsid w:val="009F1850"/>
    <w:rsid w:val="009F194B"/>
    <w:rsid w:val="009F1E19"/>
    <w:rsid w:val="009F22D1"/>
    <w:rsid w:val="009F2C51"/>
    <w:rsid w:val="009F2E2A"/>
    <w:rsid w:val="009F2F4A"/>
    <w:rsid w:val="009F32E5"/>
    <w:rsid w:val="009F337F"/>
    <w:rsid w:val="009F4753"/>
    <w:rsid w:val="009F4941"/>
    <w:rsid w:val="009F4F58"/>
    <w:rsid w:val="009F50C6"/>
    <w:rsid w:val="009F5DD6"/>
    <w:rsid w:val="009F7502"/>
    <w:rsid w:val="009F7E62"/>
    <w:rsid w:val="00A006DA"/>
    <w:rsid w:val="00A01DA1"/>
    <w:rsid w:val="00A01DA8"/>
    <w:rsid w:val="00A0231D"/>
    <w:rsid w:val="00A02785"/>
    <w:rsid w:val="00A02DCC"/>
    <w:rsid w:val="00A032BB"/>
    <w:rsid w:val="00A033AC"/>
    <w:rsid w:val="00A03A2D"/>
    <w:rsid w:val="00A03C06"/>
    <w:rsid w:val="00A0422A"/>
    <w:rsid w:val="00A04256"/>
    <w:rsid w:val="00A0450B"/>
    <w:rsid w:val="00A04820"/>
    <w:rsid w:val="00A0500A"/>
    <w:rsid w:val="00A0666B"/>
    <w:rsid w:val="00A072C0"/>
    <w:rsid w:val="00A07713"/>
    <w:rsid w:val="00A07875"/>
    <w:rsid w:val="00A10386"/>
    <w:rsid w:val="00A10522"/>
    <w:rsid w:val="00A1062C"/>
    <w:rsid w:val="00A10D0F"/>
    <w:rsid w:val="00A11320"/>
    <w:rsid w:val="00A116FF"/>
    <w:rsid w:val="00A11929"/>
    <w:rsid w:val="00A1230A"/>
    <w:rsid w:val="00A126BB"/>
    <w:rsid w:val="00A127AC"/>
    <w:rsid w:val="00A12875"/>
    <w:rsid w:val="00A12950"/>
    <w:rsid w:val="00A129F7"/>
    <w:rsid w:val="00A1386E"/>
    <w:rsid w:val="00A13D34"/>
    <w:rsid w:val="00A1443A"/>
    <w:rsid w:val="00A14865"/>
    <w:rsid w:val="00A14B47"/>
    <w:rsid w:val="00A14F79"/>
    <w:rsid w:val="00A15366"/>
    <w:rsid w:val="00A15538"/>
    <w:rsid w:val="00A15717"/>
    <w:rsid w:val="00A15718"/>
    <w:rsid w:val="00A157E6"/>
    <w:rsid w:val="00A1631D"/>
    <w:rsid w:val="00A1637B"/>
    <w:rsid w:val="00A169F5"/>
    <w:rsid w:val="00A16A84"/>
    <w:rsid w:val="00A16C6B"/>
    <w:rsid w:val="00A17504"/>
    <w:rsid w:val="00A17E6A"/>
    <w:rsid w:val="00A202C2"/>
    <w:rsid w:val="00A20375"/>
    <w:rsid w:val="00A2059F"/>
    <w:rsid w:val="00A20731"/>
    <w:rsid w:val="00A21CD5"/>
    <w:rsid w:val="00A23081"/>
    <w:rsid w:val="00A235B9"/>
    <w:rsid w:val="00A23D10"/>
    <w:rsid w:val="00A24561"/>
    <w:rsid w:val="00A24B92"/>
    <w:rsid w:val="00A2558F"/>
    <w:rsid w:val="00A25D59"/>
    <w:rsid w:val="00A25EEB"/>
    <w:rsid w:val="00A25F0B"/>
    <w:rsid w:val="00A260F6"/>
    <w:rsid w:val="00A263B3"/>
    <w:rsid w:val="00A26736"/>
    <w:rsid w:val="00A267C2"/>
    <w:rsid w:val="00A269B9"/>
    <w:rsid w:val="00A26AF8"/>
    <w:rsid w:val="00A274AC"/>
    <w:rsid w:val="00A277B7"/>
    <w:rsid w:val="00A27B71"/>
    <w:rsid w:val="00A27BDE"/>
    <w:rsid w:val="00A3089C"/>
    <w:rsid w:val="00A31030"/>
    <w:rsid w:val="00A31057"/>
    <w:rsid w:val="00A31438"/>
    <w:rsid w:val="00A31626"/>
    <w:rsid w:val="00A31A33"/>
    <w:rsid w:val="00A31C82"/>
    <w:rsid w:val="00A32014"/>
    <w:rsid w:val="00A32621"/>
    <w:rsid w:val="00A328FF"/>
    <w:rsid w:val="00A32B3D"/>
    <w:rsid w:val="00A33686"/>
    <w:rsid w:val="00A3386A"/>
    <w:rsid w:val="00A33B98"/>
    <w:rsid w:val="00A340A4"/>
    <w:rsid w:val="00A341CB"/>
    <w:rsid w:val="00A34FE3"/>
    <w:rsid w:val="00A35D5F"/>
    <w:rsid w:val="00A36A45"/>
    <w:rsid w:val="00A36A4C"/>
    <w:rsid w:val="00A36CAA"/>
    <w:rsid w:val="00A37785"/>
    <w:rsid w:val="00A37B1A"/>
    <w:rsid w:val="00A4026E"/>
    <w:rsid w:val="00A4113B"/>
    <w:rsid w:val="00A4189F"/>
    <w:rsid w:val="00A41A6D"/>
    <w:rsid w:val="00A41DAD"/>
    <w:rsid w:val="00A41E47"/>
    <w:rsid w:val="00A4234B"/>
    <w:rsid w:val="00A424C3"/>
    <w:rsid w:val="00A428E9"/>
    <w:rsid w:val="00A42EB5"/>
    <w:rsid w:val="00A42FE2"/>
    <w:rsid w:val="00A43306"/>
    <w:rsid w:val="00A43D7D"/>
    <w:rsid w:val="00A443D3"/>
    <w:rsid w:val="00A446DB"/>
    <w:rsid w:val="00A44C23"/>
    <w:rsid w:val="00A44EAC"/>
    <w:rsid w:val="00A45DD1"/>
    <w:rsid w:val="00A466D8"/>
    <w:rsid w:val="00A46936"/>
    <w:rsid w:val="00A46BFE"/>
    <w:rsid w:val="00A46CB5"/>
    <w:rsid w:val="00A47727"/>
    <w:rsid w:val="00A47DDA"/>
    <w:rsid w:val="00A47F69"/>
    <w:rsid w:val="00A5026F"/>
    <w:rsid w:val="00A5042D"/>
    <w:rsid w:val="00A50445"/>
    <w:rsid w:val="00A504F9"/>
    <w:rsid w:val="00A50753"/>
    <w:rsid w:val="00A5078A"/>
    <w:rsid w:val="00A50CC1"/>
    <w:rsid w:val="00A50EF3"/>
    <w:rsid w:val="00A50F82"/>
    <w:rsid w:val="00A512C8"/>
    <w:rsid w:val="00A52521"/>
    <w:rsid w:val="00A5275F"/>
    <w:rsid w:val="00A52981"/>
    <w:rsid w:val="00A52F10"/>
    <w:rsid w:val="00A53125"/>
    <w:rsid w:val="00A53FB3"/>
    <w:rsid w:val="00A53FC4"/>
    <w:rsid w:val="00A544CB"/>
    <w:rsid w:val="00A55015"/>
    <w:rsid w:val="00A55165"/>
    <w:rsid w:val="00A55401"/>
    <w:rsid w:val="00A55B3E"/>
    <w:rsid w:val="00A56443"/>
    <w:rsid w:val="00A56A67"/>
    <w:rsid w:val="00A57640"/>
    <w:rsid w:val="00A57DFA"/>
    <w:rsid w:val="00A60815"/>
    <w:rsid w:val="00A60AB5"/>
    <w:rsid w:val="00A61099"/>
    <w:rsid w:val="00A6129C"/>
    <w:rsid w:val="00A612C4"/>
    <w:rsid w:val="00A615C1"/>
    <w:rsid w:val="00A61BBA"/>
    <w:rsid w:val="00A61F35"/>
    <w:rsid w:val="00A61F66"/>
    <w:rsid w:val="00A61FA7"/>
    <w:rsid w:val="00A6247C"/>
    <w:rsid w:val="00A62C70"/>
    <w:rsid w:val="00A62D38"/>
    <w:rsid w:val="00A62F5D"/>
    <w:rsid w:val="00A63144"/>
    <w:rsid w:val="00A63286"/>
    <w:rsid w:val="00A635B8"/>
    <w:rsid w:val="00A63638"/>
    <w:rsid w:val="00A64CAF"/>
    <w:rsid w:val="00A64E65"/>
    <w:rsid w:val="00A6510D"/>
    <w:rsid w:val="00A65248"/>
    <w:rsid w:val="00A6609C"/>
    <w:rsid w:val="00A66283"/>
    <w:rsid w:val="00A662A4"/>
    <w:rsid w:val="00A667E2"/>
    <w:rsid w:val="00A66DBD"/>
    <w:rsid w:val="00A66F4B"/>
    <w:rsid w:val="00A66FD2"/>
    <w:rsid w:val="00A672A1"/>
    <w:rsid w:val="00A67E67"/>
    <w:rsid w:val="00A706C1"/>
    <w:rsid w:val="00A70F01"/>
    <w:rsid w:val="00A71205"/>
    <w:rsid w:val="00A71547"/>
    <w:rsid w:val="00A71A16"/>
    <w:rsid w:val="00A71AA9"/>
    <w:rsid w:val="00A71D3E"/>
    <w:rsid w:val="00A72817"/>
    <w:rsid w:val="00A74434"/>
    <w:rsid w:val="00A7444C"/>
    <w:rsid w:val="00A745CF"/>
    <w:rsid w:val="00A75139"/>
    <w:rsid w:val="00A75AD2"/>
    <w:rsid w:val="00A760D1"/>
    <w:rsid w:val="00A763E3"/>
    <w:rsid w:val="00A76A0F"/>
    <w:rsid w:val="00A76A73"/>
    <w:rsid w:val="00A76ABA"/>
    <w:rsid w:val="00A76C05"/>
    <w:rsid w:val="00A76DF0"/>
    <w:rsid w:val="00A7734E"/>
    <w:rsid w:val="00A773F9"/>
    <w:rsid w:val="00A77559"/>
    <w:rsid w:val="00A77838"/>
    <w:rsid w:val="00A77B8A"/>
    <w:rsid w:val="00A80391"/>
    <w:rsid w:val="00A81208"/>
    <w:rsid w:val="00A81241"/>
    <w:rsid w:val="00A816FC"/>
    <w:rsid w:val="00A81D4F"/>
    <w:rsid w:val="00A8264B"/>
    <w:rsid w:val="00A82E39"/>
    <w:rsid w:val="00A82E6C"/>
    <w:rsid w:val="00A836E2"/>
    <w:rsid w:val="00A8392D"/>
    <w:rsid w:val="00A83D99"/>
    <w:rsid w:val="00A84376"/>
    <w:rsid w:val="00A85100"/>
    <w:rsid w:val="00A85438"/>
    <w:rsid w:val="00A85C57"/>
    <w:rsid w:val="00A85D0E"/>
    <w:rsid w:val="00A85F58"/>
    <w:rsid w:val="00A861E1"/>
    <w:rsid w:val="00A86B0D"/>
    <w:rsid w:val="00A86EDB"/>
    <w:rsid w:val="00A87977"/>
    <w:rsid w:val="00A87F84"/>
    <w:rsid w:val="00A90016"/>
    <w:rsid w:val="00A9069A"/>
    <w:rsid w:val="00A907AB"/>
    <w:rsid w:val="00A920B3"/>
    <w:rsid w:val="00A92179"/>
    <w:rsid w:val="00A9218A"/>
    <w:rsid w:val="00A923A7"/>
    <w:rsid w:val="00A927B9"/>
    <w:rsid w:val="00A92E78"/>
    <w:rsid w:val="00A938CA"/>
    <w:rsid w:val="00A950F6"/>
    <w:rsid w:val="00A9519A"/>
    <w:rsid w:val="00A955E0"/>
    <w:rsid w:val="00A957B4"/>
    <w:rsid w:val="00A95996"/>
    <w:rsid w:val="00A97B92"/>
    <w:rsid w:val="00A97EC0"/>
    <w:rsid w:val="00AA01DE"/>
    <w:rsid w:val="00AA0477"/>
    <w:rsid w:val="00AA10D4"/>
    <w:rsid w:val="00AA1128"/>
    <w:rsid w:val="00AA13C1"/>
    <w:rsid w:val="00AA1B71"/>
    <w:rsid w:val="00AA22B5"/>
    <w:rsid w:val="00AA2BED"/>
    <w:rsid w:val="00AA3073"/>
    <w:rsid w:val="00AA3607"/>
    <w:rsid w:val="00AA3D8D"/>
    <w:rsid w:val="00AA451C"/>
    <w:rsid w:val="00AA5317"/>
    <w:rsid w:val="00AA62AC"/>
    <w:rsid w:val="00AA6808"/>
    <w:rsid w:val="00AA69DE"/>
    <w:rsid w:val="00AA70BB"/>
    <w:rsid w:val="00AA7643"/>
    <w:rsid w:val="00AA777A"/>
    <w:rsid w:val="00AA77CF"/>
    <w:rsid w:val="00AA790D"/>
    <w:rsid w:val="00AB03A0"/>
    <w:rsid w:val="00AB065C"/>
    <w:rsid w:val="00AB08E6"/>
    <w:rsid w:val="00AB0A5C"/>
    <w:rsid w:val="00AB10E5"/>
    <w:rsid w:val="00AB131A"/>
    <w:rsid w:val="00AB13E8"/>
    <w:rsid w:val="00AB16AF"/>
    <w:rsid w:val="00AB17E1"/>
    <w:rsid w:val="00AB2235"/>
    <w:rsid w:val="00AB24F3"/>
    <w:rsid w:val="00AB2BBC"/>
    <w:rsid w:val="00AB3500"/>
    <w:rsid w:val="00AB39A9"/>
    <w:rsid w:val="00AB39C2"/>
    <w:rsid w:val="00AB419B"/>
    <w:rsid w:val="00AB452E"/>
    <w:rsid w:val="00AB47E6"/>
    <w:rsid w:val="00AB508D"/>
    <w:rsid w:val="00AB519F"/>
    <w:rsid w:val="00AB5B97"/>
    <w:rsid w:val="00AB5C06"/>
    <w:rsid w:val="00AB5CE4"/>
    <w:rsid w:val="00AB5E7C"/>
    <w:rsid w:val="00AB5F9D"/>
    <w:rsid w:val="00AB64AB"/>
    <w:rsid w:val="00AB6556"/>
    <w:rsid w:val="00AB6908"/>
    <w:rsid w:val="00AB6B89"/>
    <w:rsid w:val="00AB7447"/>
    <w:rsid w:val="00AB78DB"/>
    <w:rsid w:val="00AC03EA"/>
    <w:rsid w:val="00AC07B0"/>
    <w:rsid w:val="00AC07FD"/>
    <w:rsid w:val="00AC0999"/>
    <w:rsid w:val="00AC0A43"/>
    <w:rsid w:val="00AC0F4C"/>
    <w:rsid w:val="00AC1BCA"/>
    <w:rsid w:val="00AC2383"/>
    <w:rsid w:val="00AC2565"/>
    <w:rsid w:val="00AC2A54"/>
    <w:rsid w:val="00AC2C52"/>
    <w:rsid w:val="00AC3737"/>
    <w:rsid w:val="00AC37AF"/>
    <w:rsid w:val="00AC3DD1"/>
    <w:rsid w:val="00AC40F0"/>
    <w:rsid w:val="00AC4839"/>
    <w:rsid w:val="00AC48B9"/>
    <w:rsid w:val="00AC6403"/>
    <w:rsid w:val="00AC65C0"/>
    <w:rsid w:val="00AC678A"/>
    <w:rsid w:val="00AC6F7A"/>
    <w:rsid w:val="00AC7257"/>
    <w:rsid w:val="00AC7320"/>
    <w:rsid w:val="00AC76B2"/>
    <w:rsid w:val="00AD0778"/>
    <w:rsid w:val="00AD07C3"/>
    <w:rsid w:val="00AD14FB"/>
    <w:rsid w:val="00AD17E8"/>
    <w:rsid w:val="00AD1872"/>
    <w:rsid w:val="00AD2021"/>
    <w:rsid w:val="00AD26A2"/>
    <w:rsid w:val="00AD2C4E"/>
    <w:rsid w:val="00AD324A"/>
    <w:rsid w:val="00AD3544"/>
    <w:rsid w:val="00AD373D"/>
    <w:rsid w:val="00AD47D2"/>
    <w:rsid w:val="00AD4F80"/>
    <w:rsid w:val="00AD5452"/>
    <w:rsid w:val="00AD5CC6"/>
    <w:rsid w:val="00AD5E07"/>
    <w:rsid w:val="00AD62F5"/>
    <w:rsid w:val="00AD63E9"/>
    <w:rsid w:val="00AD6544"/>
    <w:rsid w:val="00AD6607"/>
    <w:rsid w:val="00AD6AB3"/>
    <w:rsid w:val="00AD6B3A"/>
    <w:rsid w:val="00AD7029"/>
    <w:rsid w:val="00AD7196"/>
    <w:rsid w:val="00AD74C4"/>
    <w:rsid w:val="00AD7B90"/>
    <w:rsid w:val="00AD7BAB"/>
    <w:rsid w:val="00AE0069"/>
    <w:rsid w:val="00AE045D"/>
    <w:rsid w:val="00AE0D4E"/>
    <w:rsid w:val="00AE1284"/>
    <w:rsid w:val="00AE1C77"/>
    <w:rsid w:val="00AE25DC"/>
    <w:rsid w:val="00AE29A8"/>
    <w:rsid w:val="00AE2CCA"/>
    <w:rsid w:val="00AE30CA"/>
    <w:rsid w:val="00AE3459"/>
    <w:rsid w:val="00AE3C9C"/>
    <w:rsid w:val="00AE3CB3"/>
    <w:rsid w:val="00AE3F7C"/>
    <w:rsid w:val="00AE3FD4"/>
    <w:rsid w:val="00AE441A"/>
    <w:rsid w:val="00AE44E0"/>
    <w:rsid w:val="00AE483B"/>
    <w:rsid w:val="00AE4F31"/>
    <w:rsid w:val="00AE5323"/>
    <w:rsid w:val="00AE5532"/>
    <w:rsid w:val="00AE58AB"/>
    <w:rsid w:val="00AE5BDE"/>
    <w:rsid w:val="00AE668F"/>
    <w:rsid w:val="00AE6835"/>
    <w:rsid w:val="00AE6B3A"/>
    <w:rsid w:val="00AE700D"/>
    <w:rsid w:val="00AE746D"/>
    <w:rsid w:val="00AE74DD"/>
    <w:rsid w:val="00AE7C6E"/>
    <w:rsid w:val="00AF04DB"/>
    <w:rsid w:val="00AF0985"/>
    <w:rsid w:val="00AF1AB8"/>
    <w:rsid w:val="00AF1AC1"/>
    <w:rsid w:val="00AF1AF0"/>
    <w:rsid w:val="00AF1CB6"/>
    <w:rsid w:val="00AF1F57"/>
    <w:rsid w:val="00AF247A"/>
    <w:rsid w:val="00AF32C4"/>
    <w:rsid w:val="00AF37A9"/>
    <w:rsid w:val="00AF3CB4"/>
    <w:rsid w:val="00AF4568"/>
    <w:rsid w:val="00AF4666"/>
    <w:rsid w:val="00AF4B96"/>
    <w:rsid w:val="00AF4D72"/>
    <w:rsid w:val="00AF5177"/>
    <w:rsid w:val="00AF5B41"/>
    <w:rsid w:val="00AF5B44"/>
    <w:rsid w:val="00AF641E"/>
    <w:rsid w:val="00AF6799"/>
    <w:rsid w:val="00AF6AAB"/>
    <w:rsid w:val="00AF6DBC"/>
    <w:rsid w:val="00B0209F"/>
    <w:rsid w:val="00B02198"/>
    <w:rsid w:val="00B021BB"/>
    <w:rsid w:val="00B02769"/>
    <w:rsid w:val="00B02AFC"/>
    <w:rsid w:val="00B02E0C"/>
    <w:rsid w:val="00B04B44"/>
    <w:rsid w:val="00B04DD2"/>
    <w:rsid w:val="00B052D1"/>
    <w:rsid w:val="00B057CE"/>
    <w:rsid w:val="00B05ABB"/>
    <w:rsid w:val="00B05ECF"/>
    <w:rsid w:val="00B062E9"/>
    <w:rsid w:val="00B0654B"/>
    <w:rsid w:val="00B06584"/>
    <w:rsid w:val="00B07267"/>
    <w:rsid w:val="00B073E3"/>
    <w:rsid w:val="00B073F9"/>
    <w:rsid w:val="00B074CC"/>
    <w:rsid w:val="00B10094"/>
    <w:rsid w:val="00B10EA5"/>
    <w:rsid w:val="00B1139E"/>
    <w:rsid w:val="00B12193"/>
    <w:rsid w:val="00B121A6"/>
    <w:rsid w:val="00B12835"/>
    <w:rsid w:val="00B12D13"/>
    <w:rsid w:val="00B12D2A"/>
    <w:rsid w:val="00B12F8A"/>
    <w:rsid w:val="00B13F3B"/>
    <w:rsid w:val="00B142AC"/>
    <w:rsid w:val="00B14779"/>
    <w:rsid w:val="00B14841"/>
    <w:rsid w:val="00B14922"/>
    <w:rsid w:val="00B14D19"/>
    <w:rsid w:val="00B14E76"/>
    <w:rsid w:val="00B1548C"/>
    <w:rsid w:val="00B155B5"/>
    <w:rsid w:val="00B15BF9"/>
    <w:rsid w:val="00B164AA"/>
    <w:rsid w:val="00B16D83"/>
    <w:rsid w:val="00B17588"/>
    <w:rsid w:val="00B17739"/>
    <w:rsid w:val="00B2033E"/>
    <w:rsid w:val="00B2088B"/>
    <w:rsid w:val="00B2161C"/>
    <w:rsid w:val="00B21732"/>
    <w:rsid w:val="00B21C51"/>
    <w:rsid w:val="00B226DC"/>
    <w:rsid w:val="00B228CD"/>
    <w:rsid w:val="00B22D31"/>
    <w:rsid w:val="00B23698"/>
    <w:rsid w:val="00B23C3B"/>
    <w:rsid w:val="00B23C5C"/>
    <w:rsid w:val="00B24239"/>
    <w:rsid w:val="00B24E57"/>
    <w:rsid w:val="00B25757"/>
    <w:rsid w:val="00B257E3"/>
    <w:rsid w:val="00B25C93"/>
    <w:rsid w:val="00B26067"/>
    <w:rsid w:val="00B26199"/>
    <w:rsid w:val="00B2634E"/>
    <w:rsid w:val="00B269D2"/>
    <w:rsid w:val="00B27196"/>
    <w:rsid w:val="00B279C5"/>
    <w:rsid w:val="00B30C04"/>
    <w:rsid w:val="00B30D53"/>
    <w:rsid w:val="00B30F4B"/>
    <w:rsid w:val="00B3172C"/>
    <w:rsid w:val="00B31B8D"/>
    <w:rsid w:val="00B31FBF"/>
    <w:rsid w:val="00B32359"/>
    <w:rsid w:val="00B33508"/>
    <w:rsid w:val="00B3351F"/>
    <w:rsid w:val="00B337CF"/>
    <w:rsid w:val="00B34A0D"/>
    <w:rsid w:val="00B34B6C"/>
    <w:rsid w:val="00B34EAE"/>
    <w:rsid w:val="00B34FB1"/>
    <w:rsid w:val="00B356DD"/>
    <w:rsid w:val="00B35787"/>
    <w:rsid w:val="00B360F2"/>
    <w:rsid w:val="00B36960"/>
    <w:rsid w:val="00B36A61"/>
    <w:rsid w:val="00B3713F"/>
    <w:rsid w:val="00B37956"/>
    <w:rsid w:val="00B37F71"/>
    <w:rsid w:val="00B40338"/>
    <w:rsid w:val="00B40520"/>
    <w:rsid w:val="00B41295"/>
    <w:rsid w:val="00B41FBD"/>
    <w:rsid w:val="00B428A1"/>
    <w:rsid w:val="00B42DCE"/>
    <w:rsid w:val="00B432E7"/>
    <w:rsid w:val="00B43401"/>
    <w:rsid w:val="00B437DF"/>
    <w:rsid w:val="00B437EC"/>
    <w:rsid w:val="00B43808"/>
    <w:rsid w:val="00B439C5"/>
    <w:rsid w:val="00B44207"/>
    <w:rsid w:val="00B445B6"/>
    <w:rsid w:val="00B44CCB"/>
    <w:rsid w:val="00B45269"/>
    <w:rsid w:val="00B4536A"/>
    <w:rsid w:val="00B4557D"/>
    <w:rsid w:val="00B45936"/>
    <w:rsid w:val="00B459FF"/>
    <w:rsid w:val="00B468B0"/>
    <w:rsid w:val="00B4750D"/>
    <w:rsid w:val="00B475F8"/>
    <w:rsid w:val="00B478C8"/>
    <w:rsid w:val="00B47925"/>
    <w:rsid w:val="00B47C23"/>
    <w:rsid w:val="00B47D0B"/>
    <w:rsid w:val="00B5020E"/>
    <w:rsid w:val="00B50216"/>
    <w:rsid w:val="00B50358"/>
    <w:rsid w:val="00B504CA"/>
    <w:rsid w:val="00B50775"/>
    <w:rsid w:val="00B5097F"/>
    <w:rsid w:val="00B50B65"/>
    <w:rsid w:val="00B50C22"/>
    <w:rsid w:val="00B5112C"/>
    <w:rsid w:val="00B511E3"/>
    <w:rsid w:val="00B513C7"/>
    <w:rsid w:val="00B51615"/>
    <w:rsid w:val="00B51918"/>
    <w:rsid w:val="00B52367"/>
    <w:rsid w:val="00B52652"/>
    <w:rsid w:val="00B52D09"/>
    <w:rsid w:val="00B53D00"/>
    <w:rsid w:val="00B53E37"/>
    <w:rsid w:val="00B53EF7"/>
    <w:rsid w:val="00B54748"/>
    <w:rsid w:val="00B54E10"/>
    <w:rsid w:val="00B55794"/>
    <w:rsid w:val="00B558F4"/>
    <w:rsid w:val="00B55933"/>
    <w:rsid w:val="00B559E9"/>
    <w:rsid w:val="00B56130"/>
    <w:rsid w:val="00B5653D"/>
    <w:rsid w:val="00B567D3"/>
    <w:rsid w:val="00B56B08"/>
    <w:rsid w:val="00B57322"/>
    <w:rsid w:val="00B573F8"/>
    <w:rsid w:val="00B576EE"/>
    <w:rsid w:val="00B57962"/>
    <w:rsid w:val="00B57BED"/>
    <w:rsid w:val="00B60537"/>
    <w:rsid w:val="00B6090D"/>
    <w:rsid w:val="00B60930"/>
    <w:rsid w:val="00B60ADA"/>
    <w:rsid w:val="00B60CCE"/>
    <w:rsid w:val="00B6102D"/>
    <w:rsid w:val="00B6129B"/>
    <w:rsid w:val="00B616A5"/>
    <w:rsid w:val="00B61EE4"/>
    <w:rsid w:val="00B628CB"/>
    <w:rsid w:val="00B6337C"/>
    <w:rsid w:val="00B635E4"/>
    <w:rsid w:val="00B63B1D"/>
    <w:rsid w:val="00B63F4F"/>
    <w:rsid w:val="00B64F20"/>
    <w:rsid w:val="00B656CF"/>
    <w:rsid w:val="00B65BD6"/>
    <w:rsid w:val="00B65BD9"/>
    <w:rsid w:val="00B6617B"/>
    <w:rsid w:val="00B66255"/>
    <w:rsid w:val="00B66F21"/>
    <w:rsid w:val="00B672BB"/>
    <w:rsid w:val="00B70205"/>
    <w:rsid w:val="00B7096D"/>
    <w:rsid w:val="00B715CD"/>
    <w:rsid w:val="00B716F1"/>
    <w:rsid w:val="00B71AB4"/>
    <w:rsid w:val="00B71FD6"/>
    <w:rsid w:val="00B7200F"/>
    <w:rsid w:val="00B737E0"/>
    <w:rsid w:val="00B742CB"/>
    <w:rsid w:val="00B74A05"/>
    <w:rsid w:val="00B74DB7"/>
    <w:rsid w:val="00B7529A"/>
    <w:rsid w:val="00B75BCE"/>
    <w:rsid w:val="00B75BE4"/>
    <w:rsid w:val="00B75F0E"/>
    <w:rsid w:val="00B76256"/>
    <w:rsid w:val="00B767BB"/>
    <w:rsid w:val="00B769DC"/>
    <w:rsid w:val="00B77942"/>
    <w:rsid w:val="00B77B01"/>
    <w:rsid w:val="00B77BC5"/>
    <w:rsid w:val="00B8007E"/>
    <w:rsid w:val="00B803B9"/>
    <w:rsid w:val="00B805BC"/>
    <w:rsid w:val="00B80FB7"/>
    <w:rsid w:val="00B81240"/>
    <w:rsid w:val="00B817CE"/>
    <w:rsid w:val="00B81CF1"/>
    <w:rsid w:val="00B81DAB"/>
    <w:rsid w:val="00B81FFF"/>
    <w:rsid w:val="00B82F42"/>
    <w:rsid w:val="00B83280"/>
    <w:rsid w:val="00B8337F"/>
    <w:rsid w:val="00B83755"/>
    <w:rsid w:val="00B83DD6"/>
    <w:rsid w:val="00B8405D"/>
    <w:rsid w:val="00B84755"/>
    <w:rsid w:val="00B8490C"/>
    <w:rsid w:val="00B85935"/>
    <w:rsid w:val="00B85EC9"/>
    <w:rsid w:val="00B86813"/>
    <w:rsid w:val="00B87056"/>
    <w:rsid w:val="00B87167"/>
    <w:rsid w:val="00B87276"/>
    <w:rsid w:val="00B872CA"/>
    <w:rsid w:val="00B872F5"/>
    <w:rsid w:val="00B873A6"/>
    <w:rsid w:val="00B876A2"/>
    <w:rsid w:val="00B878D5"/>
    <w:rsid w:val="00B87AF2"/>
    <w:rsid w:val="00B87E30"/>
    <w:rsid w:val="00B87F1C"/>
    <w:rsid w:val="00B9006B"/>
    <w:rsid w:val="00B9142C"/>
    <w:rsid w:val="00B917EA"/>
    <w:rsid w:val="00B91BDC"/>
    <w:rsid w:val="00B925AB"/>
    <w:rsid w:val="00B92627"/>
    <w:rsid w:val="00B92800"/>
    <w:rsid w:val="00B92F62"/>
    <w:rsid w:val="00B935CA"/>
    <w:rsid w:val="00B935E7"/>
    <w:rsid w:val="00B93F4A"/>
    <w:rsid w:val="00B948F7"/>
    <w:rsid w:val="00B949AC"/>
    <w:rsid w:val="00B94A4B"/>
    <w:rsid w:val="00B94D6F"/>
    <w:rsid w:val="00B95053"/>
    <w:rsid w:val="00B9556C"/>
    <w:rsid w:val="00B95761"/>
    <w:rsid w:val="00B9633C"/>
    <w:rsid w:val="00B963A1"/>
    <w:rsid w:val="00B96484"/>
    <w:rsid w:val="00B96DAB"/>
    <w:rsid w:val="00B979F2"/>
    <w:rsid w:val="00B97ADA"/>
    <w:rsid w:val="00B97B96"/>
    <w:rsid w:val="00BA0779"/>
    <w:rsid w:val="00BA09D9"/>
    <w:rsid w:val="00BA16E3"/>
    <w:rsid w:val="00BA1CE0"/>
    <w:rsid w:val="00BA22CD"/>
    <w:rsid w:val="00BA2374"/>
    <w:rsid w:val="00BA420D"/>
    <w:rsid w:val="00BA4C03"/>
    <w:rsid w:val="00BA4EFB"/>
    <w:rsid w:val="00BA5131"/>
    <w:rsid w:val="00BA5663"/>
    <w:rsid w:val="00BA567B"/>
    <w:rsid w:val="00BA5BC6"/>
    <w:rsid w:val="00BA5BD2"/>
    <w:rsid w:val="00BA6FC4"/>
    <w:rsid w:val="00BA7CD8"/>
    <w:rsid w:val="00BB036C"/>
    <w:rsid w:val="00BB0377"/>
    <w:rsid w:val="00BB0EE5"/>
    <w:rsid w:val="00BB1E69"/>
    <w:rsid w:val="00BB1F2E"/>
    <w:rsid w:val="00BB24CB"/>
    <w:rsid w:val="00BB2D34"/>
    <w:rsid w:val="00BB3145"/>
    <w:rsid w:val="00BB32A0"/>
    <w:rsid w:val="00BB3BA6"/>
    <w:rsid w:val="00BB3C6E"/>
    <w:rsid w:val="00BB3DD0"/>
    <w:rsid w:val="00BB406D"/>
    <w:rsid w:val="00BB4A34"/>
    <w:rsid w:val="00BB4CF9"/>
    <w:rsid w:val="00BB4DBE"/>
    <w:rsid w:val="00BB4DE7"/>
    <w:rsid w:val="00BB4F2D"/>
    <w:rsid w:val="00BB7051"/>
    <w:rsid w:val="00BB714C"/>
    <w:rsid w:val="00BB78CA"/>
    <w:rsid w:val="00BB7C6D"/>
    <w:rsid w:val="00BC0AA3"/>
    <w:rsid w:val="00BC0C0C"/>
    <w:rsid w:val="00BC0F29"/>
    <w:rsid w:val="00BC1434"/>
    <w:rsid w:val="00BC1A25"/>
    <w:rsid w:val="00BC2309"/>
    <w:rsid w:val="00BC2813"/>
    <w:rsid w:val="00BC2C77"/>
    <w:rsid w:val="00BC2C8A"/>
    <w:rsid w:val="00BC2F45"/>
    <w:rsid w:val="00BC3A87"/>
    <w:rsid w:val="00BC3F7A"/>
    <w:rsid w:val="00BC415A"/>
    <w:rsid w:val="00BC4982"/>
    <w:rsid w:val="00BC4A46"/>
    <w:rsid w:val="00BC4BDA"/>
    <w:rsid w:val="00BC50E5"/>
    <w:rsid w:val="00BC514B"/>
    <w:rsid w:val="00BC5352"/>
    <w:rsid w:val="00BC563C"/>
    <w:rsid w:val="00BC59F8"/>
    <w:rsid w:val="00BC6174"/>
    <w:rsid w:val="00BC6B00"/>
    <w:rsid w:val="00BC6D08"/>
    <w:rsid w:val="00BC783B"/>
    <w:rsid w:val="00BC7BB5"/>
    <w:rsid w:val="00BC7EA0"/>
    <w:rsid w:val="00BD084E"/>
    <w:rsid w:val="00BD1295"/>
    <w:rsid w:val="00BD13DE"/>
    <w:rsid w:val="00BD165A"/>
    <w:rsid w:val="00BD17C2"/>
    <w:rsid w:val="00BD18B7"/>
    <w:rsid w:val="00BD1B2E"/>
    <w:rsid w:val="00BD1E16"/>
    <w:rsid w:val="00BD1FD4"/>
    <w:rsid w:val="00BD206B"/>
    <w:rsid w:val="00BD2426"/>
    <w:rsid w:val="00BD274F"/>
    <w:rsid w:val="00BD2E48"/>
    <w:rsid w:val="00BD2EA9"/>
    <w:rsid w:val="00BD3414"/>
    <w:rsid w:val="00BD437E"/>
    <w:rsid w:val="00BD467C"/>
    <w:rsid w:val="00BD4D67"/>
    <w:rsid w:val="00BD565B"/>
    <w:rsid w:val="00BD59DF"/>
    <w:rsid w:val="00BD5D8A"/>
    <w:rsid w:val="00BD5DC4"/>
    <w:rsid w:val="00BD7007"/>
    <w:rsid w:val="00BD7A08"/>
    <w:rsid w:val="00BE042B"/>
    <w:rsid w:val="00BE045F"/>
    <w:rsid w:val="00BE047F"/>
    <w:rsid w:val="00BE07F8"/>
    <w:rsid w:val="00BE0848"/>
    <w:rsid w:val="00BE1541"/>
    <w:rsid w:val="00BE168B"/>
    <w:rsid w:val="00BE18FE"/>
    <w:rsid w:val="00BE19D6"/>
    <w:rsid w:val="00BE1DFD"/>
    <w:rsid w:val="00BE2311"/>
    <w:rsid w:val="00BE238F"/>
    <w:rsid w:val="00BE26D8"/>
    <w:rsid w:val="00BE2711"/>
    <w:rsid w:val="00BE367D"/>
    <w:rsid w:val="00BE37F9"/>
    <w:rsid w:val="00BE3DD0"/>
    <w:rsid w:val="00BE3E11"/>
    <w:rsid w:val="00BE4D6E"/>
    <w:rsid w:val="00BE5A5C"/>
    <w:rsid w:val="00BE60CC"/>
    <w:rsid w:val="00BE621B"/>
    <w:rsid w:val="00BE69DF"/>
    <w:rsid w:val="00BE6BF1"/>
    <w:rsid w:val="00BE6DC6"/>
    <w:rsid w:val="00BE71B2"/>
    <w:rsid w:val="00BE7696"/>
    <w:rsid w:val="00BE7DFC"/>
    <w:rsid w:val="00BF0323"/>
    <w:rsid w:val="00BF090E"/>
    <w:rsid w:val="00BF18C2"/>
    <w:rsid w:val="00BF192D"/>
    <w:rsid w:val="00BF1932"/>
    <w:rsid w:val="00BF25AE"/>
    <w:rsid w:val="00BF26CC"/>
    <w:rsid w:val="00BF29BC"/>
    <w:rsid w:val="00BF35C7"/>
    <w:rsid w:val="00BF3746"/>
    <w:rsid w:val="00BF3C5F"/>
    <w:rsid w:val="00BF4377"/>
    <w:rsid w:val="00BF45EA"/>
    <w:rsid w:val="00BF46EB"/>
    <w:rsid w:val="00BF48E6"/>
    <w:rsid w:val="00BF4B13"/>
    <w:rsid w:val="00BF4F74"/>
    <w:rsid w:val="00BF5178"/>
    <w:rsid w:val="00BF571C"/>
    <w:rsid w:val="00BF5A89"/>
    <w:rsid w:val="00BF5D00"/>
    <w:rsid w:val="00BF5F59"/>
    <w:rsid w:val="00BF6190"/>
    <w:rsid w:val="00BF6F01"/>
    <w:rsid w:val="00BF6F19"/>
    <w:rsid w:val="00BF709F"/>
    <w:rsid w:val="00C00567"/>
    <w:rsid w:val="00C00595"/>
    <w:rsid w:val="00C00696"/>
    <w:rsid w:val="00C00F9A"/>
    <w:rsid w:val="00C01101"/>
    <w:rsid w:val="00C016F6"/>
    <w:rsid w:val="00C0199B"/>
    <w:rsid w:val="00C021BA"/>
    <w:rsid w:val="00C023C4"/>
    <w:rsid w:val="00C025D9"/>
    <w:rsid w:val="00C02A13"/>
    <w:rsid w:val="00C02D0C"/>
    <w:rsid w:val="00C02F3D"/>
    <w:rsid w:val="00C03019"/>
    <w:rsid w:val="00C032C2"/>
    <w:rsid w:val="00C0352E"/>
    <w:rsid w:val="00C038FD"/>
    <w:rsid w:val="00C04370"/>
    <w:rsid w:val="00C046F7"/>
    <w:rsid w:val="00C05001"/>
    <w:rsid w:val="00C050EC"/>
    <w:rsid w:val="00C0540F"/>
    <w:rsid w:val="00C05F9C"/>
    <w:rsid w:val="00C06D77"/>
    <w:rsid w:val="00C07222"/>
    <w:rsid w:val="00C074F1"/>
    <w:rsid w:val="00C076F5"/>
    <w:rsid w:val="00C077A1"/>
    <w:rsid w:val="00C07BA4"/>
    <w:rsid w:val="00C10D39"/>
    <w:rsid w:val="00C10D67"/>
    <w:rsid w:val="00C10D95"/>
    <w:rsid w:val="00C10FC6"/>
    <w:rsid w:val="00C11088"/>
    <w:rsid w:val="00C113BD"/>
    <w:rsid w:val="00C11836"/>
    <w:rsid w:val="00C12085"/>
    <w:rsid w:val="00C1229D"/>
    <w:rsid w:val="00C12383"/>
    <w:rsid w:val="00C12633"/>
    <w:rsid w:val="00C128E2"/>
    <w:rsid w:val="00C12E0B"/>
    <w:rsid w:val="00C12F13"/>
    <w:rsid w:val="00C12FAB"/>
    <w:rsid w:val="00C13853"/>
    <w:rsid w:val="00C13955"/>
    <w:rsid w:val="00C14113"/>
    <w:rsid w:val="00C14925"/>
    <w:rsid w:val="00C14EB3"/>
    <w:rsid w:val="00C15D49"/>
    <w:rsid w:val="00C15EA5"/>
    <w:rsid w:val="00C16A77"/>
    <w:rsid w:val="00C17747"/>
    <w:rsid w:val="00C20489"/>
    <w:rsid w:val="00C20505"/>
    <w:rsid w:val="00C2058B"/>
    <w:rsid w:val="00C20675"/>
    <w:rsid w:val="00C207F1"/>
    <w:rsid w:val="00C209A9"/>
    <w:rsid w:val="00C20BE1"/>
    <w:rsid w:val="00C21133"/>
    <w:rsid w:val="00C21AB8"/>
    <w:rsid w:val="00C21D23"/>
    <w:rsid w:val="00C22053"/>
    <w:rsid w:val="00C223D6"/>
    <w:rsid w:val="00C22989"/>
    <w:rsid w:val="00C22CDF"/>
    <w:rsid w:val="00C232EB"/>
    <w:rsid w:val="00C2336A"/>
    <w:rsid w:val="00C235BF"/>
    <w:rsid w:val="00C239FB"/>
    <w:rsid w:val="00C24113"/>
    <w:rsid w:val="00C2413F"/>
    <w:rsid w:val="00C24294"/>
    <w:rsid w:val="00C2487C"/>
    <w:rsid w:val="00C24F3E"/>
    <w:rsid w:val="00C25157"/>
    <w:rsid w:val="00C25536"/>
    <w:rsid w:val="00C27080"/>
    <w:rsid w:val="00C2716B"/>
    <w:rsid w:val="00C27517"/>
    <w:rsid w:val="00C276D7"/>
    <w:rsid w:val="00C27D4F"/>
    <w:rsid w:val="00C27FFE"/>
    <w:rsid w:val="00C300AA"/>
    <w:rsid w:val="00C302A4"/>
    <w:rsid w:val="00C30827"/>
    <w:rsid w:val="00C3094F"/>
    <w:rsid w:val="00C30D03"/>
    <w:rsid w:val="00C3169C"/>
    <w:rsid w:val="00C31885"/>
    <w:rsid w:val="00C31AA0"/>
    <w:rsid w:val="00C32985"/>
    <w:rsid w:val="00C3381F"/>
    <w:rsid w:val="00C33BC2"/>
    <w:rsid w:val="00C33FB5"/>
    <w:rsid w:val="00C340B4"/>
    <w:rsid w:val="00C345F5"/>
    <w:rsid w:val="00C3498A"/>
    <w:rsid w:val="00C34B26"/>
    <w:rsid w:val="00C3509E"/>
    <w:rsid w:val="00C35665"/>
    <w:rsid w:val="00C35AD7"/>
    <w:rsid w:val="00C361F6"/>
    <w:rsid w:val="00C362B2"/>
    <w:rsid w:val="00C3634C"/>
    <w:rsid w:val="00C3795F"/>
    <w:rsid w:val="00C37AD3"/>
    <w:rsid w:val="00C37B41"/>
    <w:rsid w:val="00C37CBB"/>
    <w:rsid w:val="00C4005F"/>
    <w:rsid w:val="00C4008D"/>
    <w:rsid w:val="00C40AE9"/>
    <w:rsid w:val="00C40CD8"/>
    <w:rsid w:val="00C40D12"/>
    <w:rsid w:val="00C41372"/>
    <w:rsid w:val="00C41777"/>
    <w:rsid w:val="00C41B84"/>
    <w:rsid w:val="00C4216D"/>
    <w:rsid w:val="00C427C0"/>
    <w:rsid w:val="00C429AA"/>
    <w:rsid w:val="00C429E9"/>
    <w:rsid w:val="00C42EBD"/>
    <w:rsid w:val="00C430D1"/>
    <w:rsid w:val="00C43788"/>
    <w:rsid w:val="00C437E5"/>
    <w:rsid w:val="00C439F0"/>
    <w:rsid w:val="00C43AAB"/>
    <w:rsid w:val="00C44CE3"/>
    <w:rsid w:val="00C467DF"/>
    <w:rsid w:val="00C46C79"/>
    <w:rsid w:val="00C4799D"/>
    <w:rsid w:val="00C47FB5"/>
    <w:rsid w:val="00C50259"/>
    <w:rsid w:val="00C5043C"/>
    <w:rsid w:val="00C50ECF"/>
    <w:rsid w:val="00C50F6C"/>
    <w:rsid w:val="00C5108C"/>
    <w:rsid w:val="00C51679"/>
    <w:rsid w:val="00C51B73"/>
    <w:rsid w:val="00C51FEE"/>
    <w:rsid w:val="00C5226E"/>
    <w:rsid w:val="00C5260D"/>
    <w:rsid w:val="00C52E15"/>
    <w:rsid w:val="00C5337F"/>
    <w:rsid w:val="00C53BC2"/>
    <w:rsid w:val="00C53E4A"/>
    <w:rsid w:val="00C540F4"/>
    <w:rsid w:val="00C542C5"/>
    <w:rsid w:val="00C54398"/>
    <w:rsid w:val="00C545C9"/>
    <w:rsid w:val="00C54CC7"/>
    <w:rsid w:val="00C54D66"/>
    <w:rsid w:val="00C552B3"/>
    <w:rsid w:val="00C56AA8"/>
    <w:rsid w:val="00C56EFB"/>
    <w:rsid w:val="00C57091"/>
    <w:rsid w:val="00C576B0"/>
    <w:rsid w:val="00C577EF"/>
    <w:rsid w:val="00C60095"/>
    <w:rsid w:val="00C60C6E"/>
    <w:rsid w:val="00C60FA2"/>
    <w:rsid w:val="00C615F7"/>
    <w:rsid w:val="00C61810"/>
    <w:rsid w:val="00C61DC6"/>
    <w:rsid w:val="00C61F0E"/>
    <w:rsid w:val="00C62141"/>
    <w:rsid w:val="00C62CC0"/>
    <w:rsid w:val="00C62CCD"/>
    <w:rsid w:val="00C62EAF"/>
    <w:rsid w:val="00C62FD2"/>
    <w:rsid w:val="00C632F2"/>
    <w:rsid w:val="00C6399A"/>
    <w:rsid w:val="00C63C14"/>
    <w:rsid w:val="00C63D6A"/>
    <w:rsid w:val="00C63DB1"/>
    <w:rsid w:val="00C64148"/>
    <w:rsid w:val="00C64220"/>
    <w:rsid w:val="00C6440F"/>
    <w:rsid w:val="00C646F7"/>
    <w:rsid w:val="00C64A5E"/>
    <w:rsid w:val="00C65C80"/>
    <w:rsid w:val="00C65FA0"/>
    <w:rsid w:val="00C6614C"/>
    <w:rsid w:val="00C66361"/>
    <w:rsid w:val="00C66718"/>
    <w:rsid w:val="00C66E1A"/>
    <w:rsid w:val="00C66F72"/>
    <w:rsid w:val="00C67536"/>
    <w:rsid w:val="00C676ED"/>
    <w:rsid w:val="00C67767"/>
    <w:rsid w:val="00C67B39"/>
    <w:rsid w:val="00C70199"/>
    <w:rsid w:val="00C70436"/>
    <w:rsid w:val="00C7139A"/>
    <w:rsid w:val="00C71461"/>
    <w:rsid w:val="00C71726"/>
    <w:rsid w:val="00C71976"/>
    <w:rsid w:val="00C7252A"/>
    <w:rsid w:val="00C72816"/>
    <w:rsid w:val="00C72D79"/>
    <w:rsid w:val="00C72EF0"/>
    <w:rsid w:val="00C73732"/>
    <w:rsid w:val="00C73748"/>
    <w:rsid w:val="00C73A7B"/>
    <w:rsid w:val="00C73F8E"/>
    <w:rsid w:val="00C74590"/>
    <w:rsid w:val="00C74E65"/>
    <w:rsid w:val="00C759A1"/>
    <w:rsid w:val="00C76046"/>
    <w:rsid w:val="00C766E6"/>
    <w:rsid w:val="00C77156"/>
    <w:rsid w:val="00C77883"/>
    <w:rsid w:val="00C779C9"/>
    <w:rsid w:val="00C77D09"/>
    <w:rsid w:val="00C804C0"/>
    <w:rsid w:val="00C81096"/>
    <w:rsid w:val="00C810AF"/>
    <w:rsid w:val="00C81B29"/>
    <w:rsid w:val="00C81DEC"/>
    <w:rsid w:val="00C82280"/>
    <w:rsid w:val="00C82691"/>
    <w:rsid w:val="00C82AF6"/>
    <w:rsid w:val="00C82D41"/>
    <w:rsid w:val="00C82E3B"/>
    <w:rsid w:val="00C8316B"/>
    <w:rsid w:val="00C846A0"/>
    <w:rsid w:val="00C846B4"/>
    <w:rsid w:val="00C848E4"/>
    <w:rsid w:val="00C850B5"/>
    <w:rsid w:val="00C85120"/>
    <w:rsid w:val="00C8535B"/>
    <w:rsid w:val="00C85634"/>
    <w:rsid w:val="00C859D8"/>
    <w:rsid w:val="00C85B12"/>
    <w:rsid w:val="00C8604A"/>
    <w:rsid w:val="00C86FCE"/>
    <w:rsid w:val="00C87D85"/>
    <w:rsid w:val="00C87E32"/>
    <w:rsid w:val="00C90036"/>
    <w:rsid w:val="00C902FE"/>
    <w:rsid w:val="00C90659"/>
    <w:rsid w:val="00C9166E"/>
    <w:rsid w:val="00C91682"/>
    <w:rsid w:val="00C925F1"/>
    <w:rsid w:val="00C92843"/>
    <w:rsid w:val="00C936B1"/>
    <w:rsid w:val="00C93992"/>
    <w:rsid w:val="00C93EA2"/>
    <w:rsid w:val="00C93F4D"/>
    <w:rsid w:val="00C943F5"/>
    <w:rsid w:val="00C94D07"/>
    <w:rsid w:val="00C94EE7"/>
    <w:rsid w:val="00C95C79"/>
    <w:rsid w:val="00C95C88"/>
    <w:rsid w:val="00C95CDD"/>
    <w:rsid w:val="00C96083"/>
    <w:rsid w:val="00C96114"/>
    <w:rsid w:val="00C96A81"/>
    <w:rsid w:val="00C96C8F"/>
    <w:rsid w:val="00C97779"/>
    <w:rsid w:val="00C978CF"/>
    <w:rsid w:val="00C97B25"/>
    <w:rsid w:val="00C97C1A"/>
    <w:rsid w:val="00C97EAA"/>
    <w:rsid w:val="00CA0897"/>
    <w:rsid w:val="00CA09CE"/>
    <w:rsid w:val="00CA0BD9"/>
    <w:rsid w:val="00CA18C7"/>
    <w:rsid w:val="00CA1B14"/>
    <w:rsid w:val="00CA1DAC"/>
    <w:rsid w:val="00CA1F8E"/>
    <w:rsid w:val="00CA20F5"/>
    <w:rsid w:val="00CA253A"/>
    <w:rsid w:val="00CA2617"/>
    <w:rsid w:val="00CA27F1"/>
    <w:rsid w:val="00CA2AC0"/>
    <w:rsid w:val="00CA2BE5"/>
    <w:rsid w:val="00CA312F"/>
    <w:rsid w:val="00CA43D8"/>
    <w:rsid w:val="00CA4598"/>
    <w:rsid w:val="00CA5E29"/>
    <w:rsid w:val="00CA5ED5"/>
    <w:rsid w:val="00CA6A1A"/>
    <w:rsid w:val="00CA7402"/>
    <w:rsid w:val="00CA798A"/>
    <w:rsid w:val="00CA7C27"/>
    <w:rsid w:val="00CA7EA1"/>
    <w:rsid w:val="00CB0327"/>
    <w:rsid w:val="00CB04CA"/>
    <w:rsid w:val="00CB0716"/>
    <w:rsid w:val="00CB0A3D"/>
    <w:rsid w:val="00CB13A1"/>
    <w:rsid w:val="00CB1858"/>
    <w:rsid w:val="00CB1BBF"/>
    <w:rsid w:val="00CB1E37"/>
    <w:rsid w:val="00CB1EE1"/>
    <w:rsid w:val="00CB21F9"/>
    <w:rsid w:val="00CB27D3"/>
    <w:rsid w:val="00CB29B2"/>
    <w:rsid w:val="00CB2D37"/>
    <w:rsid w:val="00CB2DE4"/>
    <w:rsid w:val="00CB32A9"/>
    <w:rsid w:val="00CB4030"/>
    <w:rsid w:val="00CB4098"/>
    <w:rsid w:val="00CB4158"/>
    <w:rsid w:val="00CB432A"/>
    <w:rsid w:val="00CB463D"/>
    <w:rsid w:val="00CB4724"/>
    <w:rsid w:val="00CB54F1"/>
    <w:rsid w:val="00CB6C86"/>
    <w:rsid w:val="00CB6D18"/>
    <w:rsid w:val="00CB6F93"/>
    <w:rsid w:val="00CB7424"/>
    <w:rsid w:val="00CB769F"/>
    <w:rsid w:val="00CB787E"/>
    <w:rsid w:val="00CB78B7"/>
    <w:rsid w:val="00CC05E9"/>
    <w:rsid w:val="00CC07E8"/>
    <w:rsid w:val="00CC2AE9"/>
    <w:rsid w:val="00CC2DBF"/>
    <w:rsid w:val="00CC311B"/>
    <w:rsid w:val="00CC3135"/>
    <w:rsid w:val="00CC32E6"/>
    <w:rsid w:val="00CC3BD8"/>
    <w:rsid w:val="00CC47BD"/>
    <w:rsid w:val="00CC54B7"/>
    <w:rsid w:val="00CC56C5"/>
    <w:rsid w:val="00CC5754"/>
    <w:rsid w:val="00CC5E54"/>
    <w:rsid w:val="00CC5EB6"/>
    <w:rsid w:val="00CC5F57"/>
    <w:rsid w:val="00CC6614"/>
    <w:rsid w:val="00CC697E"/>
    <w:rsid w:val="00CC6A8C"/>
    <w:rsid w:val="00CC6E1F"/>
    <w:rsid w:val="00CC750E"/>
    <w:rsid w:val="00CD0550"/>
    <w:rsid w:val="00CD0D51"/>
    <w:rsid w:val="00CD1818"/>
    <w:rsid w:val="00CD1B05"/>
    <w:rsid w:val="00CD1D12"/>
    <w:rsid w:val="00CD28CF"/>
    <w:rsid w:val="00CD2BF0"/>
    <w:rsid w:val="00CD37E9"/>
    <w:rsid w:val="00CD389A"/>
    <w:rsid w:val="00CD3ED9"/>
    <w:rsid w:val="00CD441A"/>
    <w:rsid w:val="00CD45C9"/>
    <w:rsid w:val="00CD4FA2"/>
    <w:rsid w:val="00CD517A"/>
    <w:rsid w:val="00CD55A1"/>
    <w:rsid w:val="00CD55B5"/>
    <w:rsid w:val="00CD5A68"/>
    <w:rsid w:val="00CD6572"/>
    <w:rsid w:val="00CD65F5"/>
    <w:rsid w:val="00CD69A2"/>
    <w:rsid w:val="00CD7992"/>
    <w:rsid w:val="00CE09F0"/>
    <w:rsid w:val="00CE0AA1"/>
    <w:rsid w:val="00CE0B7A"/>
    <w:rsid w:val="00CE140E"/>
    <w:rsid w:val="00CE2283"/>
    <w:rsid w:val="00CE2461"/>
    <w:rsid w:val="00CE2583"/>
    <w:rsid w:val="00CE2DD7"/>
    <w:rsid w:val="00CE32CF"/>
    <w:rsid w:val="00CE3347"/>
    <w:rsid w:val="00CE3909"/>
    <w:rsid w:val="00CE397A"/>
    <w:rsid w:val="00CE3ED3"/>
    <w:rsid w:val="00CE4128"/>
    <w:rsid w:val="00CE5159"/>
    <w:rsid w:val="00CE5373"/>
    <w:rsid w:val="00CE55D0"/>
    <w:rsid w:val="00CE5727"/>
    <w:rsid w:val="00CE5916"/>
    <w:rsid w:val="00CE5D90"/>
    <w:rsid w:val="00CE5EC0"/>
    <w:rsid w:val="00CE61F1"/>
    <w:rsid w:val="00CE62D9"/>
    <w:rsid w:val="00CE63D6"/>
    <w:rsid w:val="00CE656A"/>
    <w:rsid w:val="00CE769C"/>
    <w:rsid w:val="00CF00CD"/>
    <w:rsid w:val="00CF04D8"/>
    <w:rsid w:val="00CF0607"/>
    <w:rsid w:val="00CF0A94"/>
    <w:rsid w:val="00CF0D18"/>
    <w:rsid w:val="00CF1697"/>
    <w:rsid w:val="00CF1BDA"/>
    <w:rsid w:val="00CF1DA0"/>
    <w:rsid w:val="00CF206C"/>
    <w:rsid w:val="00CF274C"/>
    <w:rsid w:val="00CF3A16"/>
    <w:rsid w:val="00CF3D86"/>
    <w:rsid w:val="00CF40F7"/>
    <w:rsid w:val="00CF441A"/>
    <w:rsid w:val="00CF45F3"/>
    <w:rsid w:val="00CF4BCD"/>
    <w:rsid w:val="00CF57D5"/>
    <w:rsid w:val="00CF5D47"/>
    <w:rsid w:val="00CF5F1E"/>
    <w:rsid w:val="00CF603B"/>
    <w:rsid w:val="00CF6868"/>
    <w:rsid w:val="00CF69F8"/>
    <w:rsid w:val="00CF7A5B"/>
    <w:rsid w:val="00CF7A92"/>
    <w:rsid w:val="00CF7DE3"/>
    <w:rsid w:val="00D00237"/>
    <w:rsid w:val="00D0091B"/>
    <w:rsid w:val="00D00F47"/>
    <w:rsid w:val="00D0187C"/>
    <w:rsid w:val="00D01BBC"/>
    <w:rsid w:val="00D02222"/>
    <w:rsid w:val="00D02536"/>
    <w:rsid w:val="00D02BB4"/>
    <w:rsid w:val="00D02E45"/>
    <w:rsid w:val="00D03F0C"/>
    <w:rsid w:val="00D047BB"/>
    <w:rsid w:val="00D04EA5"/>
    <w:rsid w:val="00D071F1"/>
    <w:rsid w:val="00D0744C"/>
    <w:rsid w:val="00D07973"/>
    <w:rsid w:val="00D102D7"/>
    <w:rsid w:val="00D10DD6"/>
    <w:rsid w:val="00D10E7A"/>
    <w:rsid w:val="00D110BC"/>
    <w:rsid w:val="00D11F1E"/>
    <w:rsid w:val="00D12B9D"/>
    <w:rsid w:val="00D12C66"/>
    <w:rsid w:val="00D12D37"/>
    <w:rsid w:val="00D13063"/>
    <w:rsid w:val="00D13E7C"/>
    <w:rsid w:val="00D14592"/>
    <w:rsid w:val="00D14800"/>
    <w:rsid w:val="00D1493C"/>
    <w:rsid w:val="00D14ABB"/>
    <w:rsid w:val="00D15256"/>
    <w:rsid w:val="00D15413"/>
    <w:rsid w:val="00D162A5"/>
    <w:rsid w:val="00D16689"/>
    <w:rsid w:val="00D16888"/>
    <w:rsid w:val="00D16D88"/>
    <w:rsid w:val="00D173C6"/>
    <w:rsid w:val="00D174BB"/>
    <w:rsid w:val="00D1771A"/>
    <w:rsid w:val="00D17DF5"/>
    <w:rsid w:val="00D17E87"/>
    <w:rsid w:val="00D17F3B"/>
    <w:rsid w:val="00D17F46"/>
    <w:rsid w:val="00D20943"/>
    <w:rsid w:val="00D20DF1"/>
    <w:rsid w:val="00D20E74"/>
    <w:rsid w:val="00D2125B"/>
    <w:rsid w:val="00D2132A"/>
    <w:rsid w:val="00D217B4"/>
    <w:rsid w:val="00D22FAA"/>
    <w:rsid w:val="00D23345"/>
    <w:rsid w:val="00D2373B"/>
    <w:rsid w:val="00D23BE4"/>
    <w:rsid w:val="00D23D91"/>
    <w:rsid w:val="00D24388"/>
    <w:rsid w:val="00D24994"/>
    <w:rsid w:val="00D24FDD"/>
    <w:rsid w:val="00D25359"/>
    <w:rsid w:val="00D255DE"/>
    <w:rsid w:val="00D25B6F"/>
    <w:rsid w:val="00D25CE4"/>
    <w:rsid w:val="00D264CA"/>
    <w:rsid w:val="00D2670C"/>
    <w:rsid w:val="00D26941"/>
    <w:rsid w:val="00D26C70"/>
    <w:rsid w:val="00D27680"/>
    <w:rsid w:val="00D279C3"/>
    <w:rsid w:val="00D27A40"/>
    <w:rsid w:val="00D27C0C"/>
    <w:rsid w:val="00D300F2"/>
    <w:rsid w:val="00D30BE0"/>
    <w:rsid w:val="00D318E6"/>
    <w:rsid w:val="00D31FA8"/>
    <w:rsid w:val="00D323AC"/>
    <w:rsid w:val="00D326DB"/>
    <w:rsid w:val="00D329A9"/>
    <w:rsid w:val="00D329BC"/>
    <w:rsid w:val="00D32FE1"/>
    <w:rsid w:val="00D3320F"/>
    <w:rsid w:val="00D3326E"/>
    <w:rsid w:val="00D33621"/>
    <w:rsid w:val="00D3373A"/>
    <w:rsid w:val="00D33923"/>
    <w:rsid w:val="00D33EF7"/>
    <w:rsid w:val="00D344AC"/>
    <w:rsid w:val="00D3482A"/>
    <w:rsid w:val="00D35275"/>
    <w:rsid w:val="00D3535A"/>
    <w:rsid w:val="00D354FE"/>
    <w:rsid w:val="00D35DE1"/>
    <w:rsid w:val="00D361B6"/>
    <w:rsid w:val="00D36752"/>
    <w:rsid w:val="00D369D9"/>
    <w:rsid w:val="00D36ACD"/>
    <w:rsid w:val="00D36F6F"/>
    <w:rsid w:val="00D370CF"/>
    <w:rsid w:val="00D37224"/>
    <w:rsid w:val="00D400C6"/>
    <w:rsid w:val="00D4018B"/>
    <w:rsid w:val="00D417D6"/>
    <w:rsid w:val="00D419A6"/>
    <w:rsid w:val="00D419E8"/>
    <w:rsid w:val="00D41FAE"/>
    <w:rsid w:val="00D42457"/>
    <w:rsid w:val="00D4399A"/>
    <w:rsid w:val="00D44144"/>
    <w:rsid w:val="00D44364"/>
    <w:rsid w:val="00D44378"/>
    <w:rsid w:val="00D44A0D"/>
    <w:rsid w:val="00D44CCD"/>
    <w:rsid w:val="00D44DC2"/>
    <w:rsid w:val="00D44DDE"/>
    <w:rsid w:val="00D44ECC"/>
    <w:rsid w:val="00D45AAF"/>
    <w:rsid w:val="00D46268"/>
    <w:rsid w:val="00D46B0B"/>
    <w:rsid w:val="00D4790E"/>
    <w:rsid w:val="00D47CCF"/>
    <w:rsid w:val="00D509F7"/>
    <w:rsid w:val="00D51235"/>
    <w:rsid w:val="00D517B4"/>
    <w:rsid w:val="00D518A5"/>
    <w:rsid w:val="00D51BB8"/>
    <w:rsid w:val="00D51E53"/>
    <w:rsid w:val="00D51F1A"/>
    <w:rsid w:val="00D51F8B"/>
    <w:rsid w:val="00D51FF0"/>
    <w:rsid w:val="00D52A22"/>
    <w:rsid w:val="00D533EE"/>
    <w:rsid w:val="00D533F6"/>
    <w:rsid w:val="00D5385F"/>
    <w:rsid w:val="00D559EB"/>
    <w:rsid w:val="00D5637B"/>
    <w:rsid w:val="00D56CB8"/>
    <w:rsid w:val="00D56CD8"/>
    <w:rsid w:val="00D574B9"/>
    <w:rsid w:val="00D576D9"/>
    <w:rsid w:val="00D57883"/>
    <w:rsid w:val="00D60321"/>
    <w:rsid w:val="00D60AC2"/>
    <w:rsid w:val="00D61298"/>
    <w:rsid w:val="00D6179B"/>
    <w:rsid w:val="00D61DE7"/>
    <w:rsid w:val="00D6233D"/>
    <w:rsid w:val="00D62ADF"/>
    <w:rsid w:val="00D62DD8"/>
    <w:rsid w:val="00D63013"/>
    <w:rsid w:val="00D634BF"/>
    <w:rsid w:val="00D636BC"/>
    <w:rsid w:val="00D63822"/>
    <w:rsid w:val="00D64338"/>
    <w:rsid w:val="00D64656"/>
    <w:rsid w:val="00D64691"/>
    <w:rsid w:val="00D64792"/>
    <w:rsid w:val="00D648EA"/>
    <w:rsid w:val="00D64B91"/>
    <w:rsid w:val="00D64C23"/>
    <w:rsid w:val="00D64E38"/>
    <w:rsid w:val="00D6536C"/>
    <w:rsid w:val="00D6580A"/>
    <w:rsid w:val="00D658E3"/>
    <w:rsid w:val="00D659D7"/>
    <w:rsid w:val="00D65A52"/>
    <w:rsid w:val="00D65C5E"/>
    <w:rsid w:val="00D66E92"/>
    <w:rsid w:val="00D67491"/>
    <w:rsid w:val="00D676D1"/>
    <w:rsid w:val="00D67CF4"/>
    <w:rsid w:val="00D67DE9"/>
    <w:rsid w:val="00D7084C"/>
    <w:rsid w:val="00D70EA5"/>
    <w:rsid w:val="00D7131A"/>
    <w:rsid w:val="00D72032"/>
    <w:rsid w:val="00D725A2"/>
    <w:rsid w:val="00D72A1D"/>
    <w:rsid w:val="00D72AD8"/>
    <w:rsid w:val="00D72B43"/>
    <w:rsid w:val="00D730E8"/>
    <w:rsid w:val="00D74DD1"/>
    <w:rsid w:val="00D753D7"/>
    <w:rsid w:val="00D754C2"/>
    <w:rsid w:val="00D75725"/>
    <w:rsid w:val="00D7618A"/>
    <w:rsid w:val="00D767EF"/>
    <w:rsid w:val="00D768C6"/>
    <w:rsid w:val="00D7698C"/>
    <w:rsid w:val="00D76B8B"/>
    <w:rsid w:val="00D774C4"/>
    <w:rsid w:val="00D77629"/>
    <w:rsid w:val="00D777A6"/>
    <w:rsid w:val="00D77F5F"/>
    <w:rsid w:val="00D81B95"/>
    <w:rsid w:val="00D81E7F"/>
    <w:rsid w:val="00D822BC"/>
    <w:rsid w:val="00D82439"/>
    <w:rsid w:val="00D827A2"/>
    <w:rsid w:val="00D82BEE"/>
    <w:rsid w:val="00D8360B"/>
    <w:rsid w:val="00D8389D"/>
    <w:rsid w:val="00D8432C"/>
    <w:rsid w:val="00D8433C"/>
    <w:rsid w:val="00D844B2"/>
    <w:rsid w:val="00D8490C"/>
    <w:rsid w:val="00D8495B"/>
    <w:rsid w:val="00D859A4"/>
    <w:rsid w:val="00D85A15"/>
    <w:rsid w:val="00D85B67"/>
    <w:rsid w:val="00D85BB1"/>
    <w:rsid w:val="00D85F19"/>
    <w:rsid w:val="00D878A6"/>
    <w:rsid w:val="00D904B5"/>
    <w:rsid w:val="00D90EF2"/>
    <w:rsid w:val="00D913CD"/>
    <w:rsid w:val="00D91468"/>
    <w:rsid w:val="00D91DA6"/>
    <w:rsid w:val="00D93586"/>
    <w:rsid w:val="00D93B3F"/>
    <w:rsid w:val="00D93D31"/>
    <w:rsid w:val="00D94D42"/>
    <w:rsid w:val="00D94F0A"/>
    <w:rsid w:val="00D95281"/>
    <w:rsid w:val="00D953AF"/>
    <w:rsid w:val="00D956CB"/>
    <w:rsid w:val="00D95766"/>
    <w:rsid w:val="00D95A57"/>
    <w:rsid w:val="00D96891"/>
    <w:rsid w:val="00D9694F"/>
    <w:rsid w:val="00D969A5"/>
    <w:rsid w:val="00D96C3C"/>
    <w:rsid w:val="00D96CDF"/>
    <w:rsid w:val="00D96D83"/>
    <w:rsid w:val="00D97C0F"/>
    <w:rsid w:val="00DA047B"/>
    <w:rsid w:val="00DA04B5"/>
    <w:rsid w:val="00DA0D78"/>
    <w:rsid w:val="00DA11D7"/>
    <w:rsid w:val="00DA197C"/>
    <w:rsid w:val="00DA1D45"/>
    <w:rsid w:val="00DA25BE"/>
    <w:rsid w:val="00DA28A4"/>
    <w:rsid w:val="00DA2D96"/>
    <w:rsid w:val="00DA3214"/>
    <w:rsid w:val="00DA353A"/>
    <w:rsid w:val="00DA3B2A"/>
    <w:rsid w:val="00DA3BDB"/>
    <w:rsid w:val="00DA40D6"/>
    <w:rsid w:val="00DA44B4"/>
    <w:rsid w:val="00DA609E"/>
    <w:rsid w:val="00DA628A"/>
    <w:rsid w:val="00DA6748"/>
    <w:rsid w:val="00DA67C6"/>
    <w:rsid w:val="00DA6E4E"/>
    <w:rsid w:val="00DA7B7B"/>
    <w:rsid w:val="00DA7DAB"/>
    <w:rsid w:val="00DA7EDD"/>
    <w:rsid w:val="00DB0053"/>
    <w:rsid w:val="00DB0459"/>
    <w:rsid w:val="00DB0BA8"/>
    <w:rsid w:val="00DB0BE0"/>
    <w:rsid w:val="00DB0E57"/>
    <w:rsid w:val="00DB0E7A"/>
    <w:rsid w:val="00DB115A"/>
    <w:rsid w:val="00DB12DC"/>
    <w:rsid w:val="00DB1413"/>
    <w:rsid w:val="00DB1640"/>
    <w:rsid w:val="00DB16C7"/>
    <w:rsid w:val="00DB1A93"/>
    <w:rsid w:val="00DB1CC9"/>
    <w:rsid w:val="00DB21DF"/>
    <w:rsid w:val="00DB249C"/>
    <w:rsid w:val="00DB2CD4"/>
    <w:rsid w:val="00DB2F00"/>
    <w:rsid w:val="00DB3037"/>
    <w:rsid w:val="00DB3E87"/>
    <w:rsid w:val="00DB48BF"/>
    <w:rsid w:val="00DB48D7"/>
    <w:rsid w:val="00DB53AE"/>
    <w:rsid w:val="00DB5607"/>
    <w:rsid w:val="00DB56E1"/>
    <w:rsid w:val="00DB5822"/>
    <w:rsid w:val="00DB582A"/>
    <w:rsid w:val="00DB5BFE"/>
    <w:rsid w:val="00DB5D53"/>
    <w:rsid w:val="00DB6256"/>
    <w:rsid w:val="00DB65DA"/>
    <w:rsid w:val="00DB7E06"/>
    <w:rsid w:val="00DB7F14"/>
    <w:rsid w:val="00DB7F56"/>
    <w:rsid w:val="00DC01C3"/>
    <w:rsid w:val="00DC0C03"/>
    <w:rsid w:val="00DC0D87"/>
    <w:rsid w:val="00DC0EF5"/>
    <w:rsid w:val="00DC10C2"/>
    <w:rsid w:val="00DC1113"/>
    <w:rsid w:val="00DC12F6"/>
    <w:rsid w:val="00DC14F1"/>
    <w:rsid w:val="00DC16F3"/>
    <w:rsid w:val="00DC184E"/>
    <w:rsid w:val="00DC1A0E"/>
    <w:rsid w:val="00DC2487"/>
    <w:rsid w:val="00DC26D2"/>
    <w:rsid w:val="00DC2987"/>
    <w:rsid w:val="00DC2D5C"/>
    <w:rsid w:val="00DC33BB"/>
    <w:rsid w:val="00DC4639"/>
    <w:rsid w:val="00DC4C3A"/>
    <w:rsid w:val="00DC4C68"/>
    <w:rsid w:val="00DC5306"/>
    <w:rsid w:val="00DC53BE"/>
    <w:rsid w:val="00DC5705"/>
    <w:rsid w:val="00DC57AF"/>
    <w:rsid w:val="00DC5A5A"/>
    <w:rsid w:val="00DC5DC5"/>
    <w:rsid w:val="00DC60C6"/>
    <w:rsid w:val="00DC6F27"/>
    <w:rsid w:val="00DC772A"/>
    <w:rsid w:val="00DC7DB2"/>
    <w:rsid w:val="00DD07D3"/>
    <w:rsid w:val="00DD13C3"/>
    <w:rsid w:val="00DD1E3E"/>
    <w:rsid w:val="00DD1E9F"/>
    <w:rsid w:val="00DD26A2"/>
    <w:rsid w:val="00DD2C00"/>
    <w:rsid w:val="00DD2C99"/>
    <w:rsid w:val="00DD3009"/>
    <w:rsid w:val="00DD31C8"/>
    <w:rsid w:val="00DD3A8E"/>
    <w:rsid w:val="00DD3FFF"/>
    <w:rsid w:val="00DD4139"/>
    <w:rsid w:val="00DD4195"/>
    <w:rsid w:val="00DD4297"/>
    <w:rsid w:val="00DD57BF"/>
    <w:rsid w:val="00DD580D"/>
    <w:rsid w:val="00DD60F3"/>
    <w:rsid w:val="00DD6702"/>
    <w:rsid w:val="00DD6B81"/>
    <w:rsid w:val="00DD6C25"/>
    <w:rsid w:val="00DD6F2A"/>
    <w:rsid w:val="00DD7462"/>
    <w:rsid w:val="00DD76C8"/>
    <w:rsid w:val="00DE00C7"/>
    <w:rsid w:val="00DE0E05"/>
    <w:rsid w:val="00DE1635"/>
    <w:rsid w:val="00DE1BDB"/>
    <w:rsid w:val="00DE2058"/>
    <w:rsid w:val="00DE2383"/>
    <w:rsid w:val="00DE2E66"/>
    <w:rsid w:val="00DE3588"/>
    <w:rsid w:val="00DE3CCA"/>
    <w:rsid w:val="00DE40E4"/>
    <w:rsid w:val="00DE47B5"/>
    <w:rsid w:val="00DE4A0E"/>
    <w:rsid w:val="00DE4A5F"/>
    <w:rsid w:val="00DE5CEC"/>
    <w:rsid w:val="00DE635F"/>
    <w:rsid w:val="00DE637F"/>
    <w:rsid w:val="00DE6850"/>
    <w:rsid w:val="00DE6924"/>
    <w:rsid w:val="00DE739D"/>
    <w:rsid w:val="00DE790A"/>
    <w:rsid w:val="00DE7B9C"/>
    <w:rsid w:val="00DF02F1"/>
    <w:rsid w:val="00DF0D46"/>
    <w:rsid w:val="00DF1367"/>
    <w:rsid w:val="00DF136E"/>
    <w:rsid w:val="00DF18D0"/>
    <w:rsid w:val="00DF1F7D"/>
    <w:rsid w:val="00DF28A5"/>
    <w:rsid w:val="00DF2978"/>
    <w:rsid w:val="00DF2E7C"/>
    <w:rsid w:val="00DF2F94"/>
    <w:rsid w:val="00DF3A58"/>
    <w:rsid w:val="00DF3ABF"/>
    <w:rsid w:val="00DF3B41"/>
    <w:rsid w:val="00DF3F92"/>
    <w:rsid w:val="00DF420B"/>
    <w:rsid w:val="00DF4523"/>
    <w:rsid w:val="00DF4B9D"/>
    <w:rsid w:val="00DF4BBD"/>
    <w:rsid w:val="00DF4D6F"/>
    <w:rsid w:val="00DF50B7"/>
    <w:rsid w:val="00DF52F3"/>
    <w:rsid w:val="00DF533D"/>
    <w:rsid w:val="00DF552A"/>
    <w:rsid w:val="00DF560B"/>
    <w:rsid w:val="00DF5FC5"/>
    <w:rsid w:val="00DF5FCD"/>
    <w:rsid w:val="00DF62C9"/>
    <w:rsid w:val="00DF6810"/>
    <w:rsid w:val="00DF6962"/>
    <w:rsid w:val="00DF753D"/>
    <w:rsid w:val="00DF7772"/>
    <w:rsid w:val="00DF7981"/>
    <w:rsid w:val="00E008CC"/>
    <w:rsid w:val="00E00B2A"/>
    <w:rsid w:val="00E0105A"/>
    <w:rsid w:val="00E0149E"/>
    <w:rsid w:val="00E014E8"/>
    <w:rsid w:val="00E0193B"/>
    <w:rsid w:val="00E019DE"/>
    <w:rsid w:val="00E01C38"/>
    <w:rsid w:val="00E0203D"/>
    <w:rsid w:val="00E0245C"/>
    <w:rsid w:val="00E02EB2"/>
    <w:rsid w:val="00E03727"/>
    <w:rsid w:val="00E0388F"/>
    <w:rsid w:val="00E03D05"/>
    <w:rsid w:val="00E03EE7"/>
    <w:rsid w:val="00E04336"/>
    <w:rsid w:val="00E0549A"/>
    <w:rsid w:val="00E06237"/>
    <w:rsid w:val="00E068BB"/>
    <w:rsid w:val="00E06B4D"/>
    <w:rsid w:val="00E06CBB"/>
    <w:rsid w:val="00E06D02"/>
    <w:rsid w:val="00E06D05"/>
    <w:rsid w:val="00E06E98"/>
    <w:rsid w:val="00E07657"/>
    <w:rsid w:val="00E07AB2"/>
    <w:rsid w:val="00E10007"/>
    <w:rsid w:val="00E10685"/>
    <w:rsid w:val="00E10B0A"/>
    <w:rsid w:val="00E10B4A"/>
    <w:rsid w:val="00E11419"/>
    <w:rsid w:val="00E1181E"/>
    <w:rsid w:val="00E11B05"/>
    <w:rsid w:val="00E1231B"/>
    <w:rsid w:val="00E1289A"/>
    <w:rsid w:val="00E129DB"/>
    <w:rsid w:val="00E12C5E"/>
    <w:rsid w:val="00E12D25"/>
    <w:rsid w:val="00E131CA"/>
    <w:rsid w:val="00E134FB"/>
    <w:rsid w:val="00E14C18"/>
    <w:rsid w:val="00E14D3F"/>
    <w:rsid w:val="00E14D41"/>
    <w:rsid w:val="00E154FC"/>
    <w:rsid w:val="00E15F6A"/>
    <w:rsid w:val="00E1640D"/>
    <w:rsid w:val="00E16DBA"/>
    <w:rsid w:val="00E17E78"/>
    <w:rsid w:val="00E20462"/>
    <w:rsid w:val="00E2048F"/>
    <w:rsid w:val="00E2066D"/>
    <w:rsid w:val="00E20DB3"/>
    <w:rsid w:val="00E214B1"/>
    <w:rsid w:val="00E214F4"/>
    <w:rsid w:val="00E2231B"/>
    <w:rsid w:val="00E224B9"/>
    <w:rsid w:val="00E224D0"/>
    <w:rsid w:val="00E22C97"/>
    <w:rsid w:val="00E22D69"/>
    <w:rsid w:val="00E22F1F"/>
    <w:rsid w:val="00E235D8"/>
    <w:rsid w:val="00E2392F"/>
    <w:rsid w:val="00E23993"/>
    <w:rsid w:val="00E240AE"/>
    <w:rsid w:val="00E24312"/>
    <w:rsid w:val="00E2451C"/>
    <w:rsid w:val="00E24831"/>
    <w:rsid w:val="00E24DE4"/>
    <w:rsid w:val="00E25283"/>
    <w:rsid w:val="00E25F43"/>
    <w:rsid w:val="00E26021"/>
    <w:rsid w:val="00E26450"/>
    <w:rsid w:val="00E26899"/>
    <w:rsid w:val="00E26981"/>
    <w:rsid w:val="00E26BEF"/>
    <w:rsid w:val="00E26E9F"/>
    <w:rsid w:val="00E27130"/>
    <w:rsid w:val="00E27F06"/>
    <w:rsid w:val="00E30226"/>
    <w:rsid w:val="00E303AE"/>
    <w:rsid w:val="00E304BA"/>
    <w:rsid w:val="00E3050D"/>
    <w:rsid w:val="00E30889"/>
    <w:rsid w:val="00E30AAB"/>
    <w:rsid w:val="00E30B58"/>
    <w:rsid w:val="00E30E02"/>
    <w:rsid w:val="00E30EED"/>
    <w:rsid w:val="00E31376"/>
    <w:rsid w:val="00E31A68"/>
    <w:rsid w:val="00E31D31"/>
    <w:rsid w:val="00E31E22"/>
    <w:rsid w:val="00E32453"/>
    <w:rsid w:val="00E3254C"/>
    <w:rsid w:val="00E328F9"/>
    <w:rsid w:val="00E32FED"/>
    <w:rsid w:val="00E3301B"/>
    <w:rsid w:val="00E34074"/>
    <w:rsid w:val="00E3436C"/>
    <w:rsid w:val="00E350A3"/>
    <w:rsid w:val="00E351A3"/>
    <w:rsid w:val="00E351D6"/>
    <w:rsid w:val="00E35575"/>
    <w:rsid w:val="00E35B56"/>
    <w:rsid w:val="00E367D7"/>
    <w:rsid w:val="00E37389"/>
    <w:rsid w:val="00E403C6"/>
    <w:rsid w:val="00E40F6C"/>
    <w:rsid w:val="00E412B7"/>
    <w:rsid w:val="00E41319"/>
    <w:rsid w:val="00E41657"/>
    <w:rsid w:val="00E416A7"/>
    <w:rsid w:val="00E4246E"/>
    <w:rsid w:val="00E424AC"/>
    <w:rsid w:val="00E434CB"/>
    <w:rsid w:val="00E43BCC"/>
    <w:rsid w:val="00E43D25"/>
    <w:rsid w:val="00E441C1"/>
    <w:rsid w:val="00E45968"/>
    <w:rsid w:val="00E45D59"/>
    <w:rsid w:val="00E45FC0"/>
    <w:rsid w:val="00E46168"/>
    <w:rsid w:val="00E461F6"/>
    <w:rsid w:val="00E46494"/>
    <w:rsid w:val="00E46B33"/>
    <w:rsid w:val="00E46F9E"/>
    <w:rsid w:val="00E47140"/>
    <w:rsid w:val="00E47809"/>
    <w:rsid w:val="00E47B98"/>
    <w:rsid w:val="00E50474"/>
    <w:rsid w:val="00E5124D"/>
    <w:rsid w:val="00E5253E"/>
    <w:rsid w:val="00E52F06"/>
    <w:rsid w:val="00E5303B"/>
    <w:rsid w:val="00E53152"/>
    <w:rsid w:val="00E531BF"/>
    <w:rsid w:val="00E5396F"/>
    <w:rsid w:val="00E53EF8"/>
    <w:rsid w:val="00E53FBC"/>
    <w:rsid w:val="00E54ADE"/>
    <w:rsid w:val="00E55045"/>
    <w:rsid w:val="00E55080"/>
    <w:rsid w:val="00E553B4"/>
    <w:rsid w:val="00E5600D"/>
    <w:rsid w:val="00E56146"/>
    <w:rsid w:val="00E56D4C"/>
    <w:rsid w:val="00E56F05"/>
    <w:rsid w:val="00E57734"/>
    <w:rsid w:val="00E57760"/>
    <w:rsid w:val="00E57E2C"/>
    <w:rsid w:val="00E601FB"/>
    <w:rsid w:val="00E60FD9"/>
    <w:rsid w:val="00E631DB"/>
    <w:rsid w:val="00E636C8"/>
    <w:rsid w:val="00E63AE2"/>
    <w:rsid w:val="00E63CD3"/>
    <w:rsid w:val="00E64A7A"/>
    <w:rsid w:val="00E64AEC"/>
    <w:rsid w:val="00E65185"/>
    <w:rsid w:val="00E65271"/>
    <w:rsid w:val="00E65815"/>
    <w:rsid w:val="00E65EBE"/>
    <w:rsid w:val="00E663FD"/>
    <w:rsid w:val="00E66A10"/>
    <w:rsid w:val="00E66D38"/>
    <w:rsid w:val="00E66E1B"/>
    <w:rsid w:val="00E66E36"/>
    <w:rsid w:val="00E67BC6"/>
    <w:rsid w:val="00E67E6F"/>
    <w:rsid w:val="00E701A0"/>
    <w:rsid w:val="00E7095A"/>
    <w:rsid w:val="00E709B0"/>
    <w:rsid w:val="00E71745"/>
    <w:rsid w:val="00E718A6"/>
    <w:rsid w:val="00E720B7"/>
    <w:rsid w:val="00E7286C"/>
    <w:rsid w:val="00E73513"/>
    <w:rsid w:val="00E737AF"/>
    <w:rsid w:val="00E73FE5"/>
    <w:rsid w:val="00E740EB"/>
    <w:rsid w:val="00E74899"/>
    <w:rsid w:val="00E752BF"/>
    <w:rsid w:val="00E753E3"/>
    <w:rsid w:val="00E754AC"/>
    <w:rsid w:val="00E75752"/>
    <w:rsid w:val="00E76161"/>
    <w:rsid w:val="00E76377"/>
    <w:rsid w:val="00E765F9"/>
    <w:rsid w:val="00E76A8A"/>
    <w:rsid w:val="00E76D47"/>
    <w:rsid w:val="00E77BFA"/>
    <w:rsid w:val="00E8035B"/>
    <w:rsid w:val="00E807CC"/>
    <w:rsid w:val="00E8080C"/>
    <w:rsid w:val="00E812CD"/>
    <w:rsid w:val="00E812EF"/>
    <w:rsid w:val="00E8178E"/>
    <w:rsid w:val="00E81F75"/>
    <w:rsid w:val="00E829E9"/>
    <w:rsid w:val="00E82B4A"/>
    <w:rsid w:val="00E82B60"/>
    <w:rsid w:val="00E82DAF"/>
    <w:rsid w:val="00E82E5D"/>
    <w:rsid w:val="00E83ADC"/>
    <w:rsid w:val="00E83EFB"/>
    <w:rsid w:val="00E8476A"/>
    <w:rsid w:val="00E84CBF"/>
    <w:rsid w:val="00E850E2"/>
    <w:rsid w:val="00E861FE"/>
    <w:rsid w:val="00E86B59"/>
    <w:rsid w:val="00E86DB1"/>
    <w:rsid w:val="00E87C50"/>
    <w:rsid w:val="00E87C81"/>
    <w:rsid w:val="00E87CA9"/>
    <w:rsid w:val="00E9111E"/>
    <w:rsid w:val="00E913FE"/>
    <w:rsid w:val="00E919DC"/>
    <w:rsid w:val="00E91DCC"/>
    <w:rsid w:val="00E91E5B"/>
    <w:rsid w:val="00E9222D"/>
    <w:rsid w:val="00E92398"/>
    <w:rsid w:val="00E92A42"/>
    <w:rsid w:val="00E92C68"/>
    <w:rsid w:val="00E92E45"/>
    <w:rsid w:val="00E93385"/>
    <w:rsid w:val="00E93926"/>
    <w:rsid w:val="00E951E5"/>
    <w:rsid w:val="00E95D0C"/>
    <w:rsid w:val="00E96765"/>
    <w:rsid w:val="00E97103"/>
    <w:rsid w:val="00E9730B"/>
    <w:rsid w:val="00E9742B"/>
    <w:rsid w:val="00E97824"/>
    <w:rsid w:val="00E97FF3"/>
    <w:rsid w:val="00EA0CC8"/>
    <w:rsid w:val="00EA1136"/>
    <w:rsid w:val="00EA1356"/>
    <w:rsid w:val="00EA13DE"/>
    <w:rsid w:val="00EA15AA"/>
    <w:rsid w:val="00EA1F59"/>
    <w:rsid w:val="00EA2679"/>
    <w:rsid w:val="00EA2AEE"/>
    <w:rsid w:val="00EA31F9"/>
    <w:rsid w:val="00EA330B"/>
    <w:rsid w:val="00EA44B8"/>
    <w:rsid w:val="00EA4BD8"/>
    <w:rsid w:val="00EA4C58"/>
    <w:rsid w:val="00EA4CE7"/>
    <w:rsid w:val="00EA4EA4"/>
    <w:rsid w:val="00EA5748"/>
    <w:rsid w:val="00EA5C99"/>
    <w:rsid w:val="00EA612A"/>
    <w:rsid w:val="00EA61DA"/>
    <w:rsid w:val="00EA6638"/>
    <w:rsid w:val="00EA6646"/>
    <w:rsid w:val="00EA6EC2"/>
    <w:rsid w:val="00EA6F6B"/>
    <w:rsid w:val="00EA76BE"/>
    <w:rsid w:val="00EA7794"/>
    <w:rsid w:val="00EA7C09"/>
    <w:rsid w:val="00EA7E69"/>
    <w:rsid w:val="00EB0863"/>
    <w:rsid w:val="00EB0C43"/>
    <w:rsid w:val="00EB0F36"/>
    <w:rsid w:val="00EB131C"/>
    <w:rsid w:val="00EB14BA"/>
    <w:rsid w:val="00EB219A"/>
    <w:rsid w:val="00EB2452"/>
    <w:rsid w:val="00EB2682"/>
    <w:rsid w:val="00EB2772"/>
    <w:rsid w:val="00EB2AA5"/>
    <w:rsid w:val="00EB2E93"/>
    <w:rsid w:val="00EB416B"/>
    <w:rsid w:val="00EB4B9C"/>
    <w:rsid w:val="00EB4C42"/>
    <w:rsid w:val="00EB4D90"/>
    <w:rsid w:val="00EB52F0"/>
    <w:rsid w:val="00EB5EB0"/>
    <w:rsid w:val="00EB659E"/>
    <w:rsid w:val="00EB68C6"/>
    <w:rsid w:val="00EB6ADB"/>
    <w:rsid w:val="00EB6AF4"/>
    <w:rsid w:val="00EB6B25"/>
    <w:rsid w:val="00EB7062"/>
    <w:rsid w:val="00EB7250"/>
    <w:rsid w:val="00EB73E3"/>
    <w:rsid w:val="00EB74CA"/>
    <w:rsid w:val="00EB7E11"/>
    <w:rsid w:val="00EC0207"/>
    <w:rsid w:val="00EC0860"/>
    <w:rsid w:val="00EC0930"/>
    <w:rsid w:val="00EC0A4D"/>
    <w:rsid w:val="00EC1AC9"/>
    <w:rsid w:val="00EC1C35"/>
    <w:rsid w:val="00EC2013"/>
    <w:rsid w:val="00EC2052"/>
    <w:rsid w:val="00EC2A92"/>
    <w:rsid w:val="00EC3BD1"/>
    <w:rsid w:val="00EC3CE1"/>
    <w:rsid w:val="00EC3D3A"/>
    <w:rsid w:val="00EC4017"/>
    <w:rsid w:val="00EC476F"/>
    <w:rsid w:val="00EC505D"/>
    <w:rsid w:val="00EC5552"/>
    <w:rsid w:val="00EC5B5B"/>
    <w:rsid w:val="00EC6264"/>
    <w:rsid w:val="00EC6321"/>
    <w:rsid w:val="00EC6452"/>
    <w:rsid w:val="00EC6C48"/>
    <w:rsid w:val="00EC78AF"/>
    <w:rsid w:val="00EC78C7"/>
    <w:rsid w:val="00EC7B44"/>
    <w:rsid w:val="00EC7D67"/>
    <w:rsid w:val="00ED0443"/>
    <w:rsid w:val="00ED04CC"/>
    <w:rsid w:val="00ED097D"/>
    <w:rsid w:val="00ED09EB"/>
    <w:rsid w:val="00ED0F92"/>
    <w:rsid w:val="00ED11B9"/>
    <w:rsid w:val="00ED13EF"/>
    <w:rsid w:val="00ED1623"/>
    <w:rsid w:val="00ED1CF6"/>
    <w:rsid w:val="00ED203D"/>
    <w:rsid w:val="00ED2133"/>
    <w:rsid w:val="00ED221A"/>
    <w:rsid w:val="00ED271B"/>
    <w:rsid w:val="00ED2B6E"/>
    <w:rsid w:val="00ED2C2B"/>
    <w:rsid w:val="00ED37A8"/>
    <w:rsid w:val="00ED3EDA"/>
    <w:rsid w:val="00ED5305"/>
    <w:rsid w:val="00ED59A2"/>
    <w:rsid w:val="00ED5D8C"/>
    <w:rsid w:val="00ED5F25"/>
    <w:rsid w:val="00ED68B9"/>
    <w:rsid w:val="00ED68F1"/>
    <w:rsid w:val="00ED7067"/>
    <w:rsid w:val="00ED7314"/>
    <w:rsid w:val="00ED7952"/>
    <w:rsid w:val="00EE01E7"/>
    <w:rsid w:val="00EE0EFF"/>
    <w:rsid w:val="00EE10FD"/>
    <w:rsid w:val="00EE1140"/>
    <w:rsid w:val="00EE119B"/>
    <w:rsid w:val="00EE13D2"/>
    <w:rsid w:val="00EE2156"/>
    <w:rsid w:val="00EE2314"/>
    <w:rsid w:val="00EE264B"/>
    <w:rsid w:val="00EE28AE"/>
    <w:rsid w:val="00EE33B5"/>
    <w:rsid w:val="00EE44A7"/>
    <w:rsid w:val="00EE45B3"/>
    <w:rsid w:val="00EE531C"/>
    <w:rsid w:val="00EE575F"/>
    <w:rsid w:val="00EE5B01"/>
    <w:rsid w:val="00EE649F"/>
    <w:rsid w:val="00EE690D"/>
    <w:rsid w:val="00EE6D21"/>
    <w:rsid w:val="00EE7208"/>
    <w:rsid w:val="00EE79DC"/>
    <w:rsid w:val="00EE7D6A"/>
    <w:rsid w:val="00EF032D"/>
    <w:rsid w:val="00EF0504"/>
    <w:rsid w:val="00EF1475"/>
    <w:rsid w:val="00EF156E"/>
    <w:rsid w:val="00EF24B4"/>
    <w:rsid w:val="00EF3E7B"/>
    <w:rsid w:val="00EF40ED"/>
    <w:rsid w:val="00EF417D"/>
    <w:rsid w:val="00EF4653"/>
    <w:rsid w:val="00EF4BDD"/>
    <w:rsid w:val="00EF55BA"/>
    <w:rsid w:val="00EF57D0"/>
    <w:rsid w:val="00EF589E"/>
    <w:rsid w:val="00EF5908"/>
    <w:rsid w:val="00EF67EC"/>
    <w:rsid w:val="00EF6922"/>
    <w:rsid w:val="00EF723C"/>
    <w:rsid w:val="00F007F7"/>
    <w:rsid w:val="00F016BB"/>
    <w:rsid w:val="00F02311"/>
    <w:rsid w:val="00F02540"/>
    <w:rsid w:val="00F0384A"/>
    <w:rsid w:val="00F03AB7"/>
    <w:rsid w:val="00F03CC5"/>
    <w:rsid w:val="00F040F5"/>
    <w:rsid w:val="00F04158"/>
    <w:rsid w:val="00F04FD5"/>
    <w:rsid w:val="00F05024"/>
    <w:rsid w:val="00F055C7"/>
    <w:rsid w:val="00F0595B"/>
    <w:rsid w:val="00F05FCC"/>
    <w:rsid w:val="00F065E0"/>
    <w:rsid w:val="00F06F0F"/>
    <w:rsid w:val="00F0707B"/>
    <w:rsid w:val="00F10AB1"/>
    <w:rsid w:val="00F10C89"/>
    <w:rsid w:val="00F10CB9"/>
    <w:rsid w:val="00F10D5E"/>
    <w:rsid w:val="00F10FCC"/>
    <w:rsid w:val="00F11B0E"/>
    <w:rsid w:val="00F11CDE"/>
    <w:rsid w:val="00F12564"/>
    <w:rsid w:val="00F12948"/>
    <w:rsid w:val="00F12C2C"/>
    <w:rsid w:val="00F13250"/>
    <w:rsid w:val="00F1371C"/>
    <w:rsid w:val="00F13D24"/>
    <w:rsid w:val="00F145D7"/>
    <w:rsid w:val="00F1469B"/>
    <w:rsid w:val="00F147E4"/>
    <w:rsid w:val="00F14803"/>
    <w:rsid w:val="00F14F96"/>
    <w:rsid w:val="00F150E5"/>
    <w:rsid w:val="00F1524D"/>
    <w:rsid w:val="00F15FAE"/>
    <w:rsid w:val="00F17383"/>
    <w:rsid w:val="00F17393"/>
    <w:rsid w:val="00F17533"/>
    <w:rsid w:val="00F17763"/>
    <w:rsid w:val="00F179B2"/>
    <w:rsid w:val="00F17A2B"/>
    <w:rsid w:val="00F17B07"/>
    <w:rsid w:val="00F17B54"/>
    <w:rsid w:val="00F2070D"/>
    <w:rsid w:val="00F22485"/>
    <w:rsid w:val="00F230C1"/>
    <w:rsid w:val="00F23672"/>
    <w:rsid w:val="00F23C89"/>
    <w:rsid w:val="00F23E4B"/>
    <w:rsid w:val="00F2466D"/>
    <w:rsid w:val="00F2467C"/>
    <w:rsid w:val="00F249C4"/>
    <w:rsid w:val="00F24A78"/>
    <w:rsid w:val="00F24DC0"/>
    <w:rsid w:val="00F25137"/>
    <w:rsid w:val="00F253B9"/>
    <w:rsid w:val="00F25628"/>
    <w:rsid w:val="00F25C6E"/>
    <w:rsid w:val="00F25D3E"/>
    <w:rsid w:val="00F26A3E"/>
    <w:rsid w:val="00F26B41"/>
    <w:rsid w:val="00F26B7C"/>
    <w:rsid w:val="00F270E2"/>
    <w:rsid w:val="00F277A8"/>
    <w:rsid w:val="00F27870"/>
    <w:rsid w:val="00F27B02"/>
    <w:rsid w:val="00F27B35"/>
    <w:rsid w:val="00F30230"/>
    <w:rsid w:val="00F30316"/>
    <w:rsid w:val="00F303D6"/>
    <w:rsid w:val="00F30AA7"/>
    <w:rsid w:val="00F30FA0"/>
    <w:rsid w:val="00F310D6"/>
    <w:rsid w:val="00F314D7"/>
    <w:rsid w:val="00F31790"/>
    <w:rsid w:val="00F31A26"/>
    <w:rsid w:val="00F31B9C"/>
    <w:rsid w:val="00F32376"/>
    <w:rsid w:val="00F3250A"/>
    <w:rsid w:val="00F3280A"/>
    <w:rsid w:val="00F33074"/>
    <w:rsid w:val="00F330CD"/>
    <w:rsid w:val="00F33492"/>
    <w:rsid w:val="00F349FE"/>
    <w:rsid w:val="00F34E18"/>
    <w:rsid w:val="00F34F90"/>
    <w:rsid w:val="00F3655C"/>
    <w:rsid w:val="00F365A2"/>
    <w:rsid w:val="00F366BA"/>
    <w:rsid w:val="00F366F6"/>
    <w:rsid w:val="00F36765"/>
    <w:rsid w:val="00F36C1B"/>
    <w:rsid w:val="00F36EAF"/>
    <w:rsid w:val="00F3702D"/>
    <w:rsid w:val="00F3786C"/>
    <w:rsid w:val="00F37913"/>
    <w:rsid w:val="00F37FF2"/>
    <w:rsid w:val="00F400C9"/>
    <w:rsid w:val="00F410C9"/>
    <w:rsid w:val="00F41BEC"/>
    <w:rsid w:val="00F41C1C"/>
    <w:rsid w:val="00F41F24"/>
    <w:rsid w:val="00F42BA9"/>
    <w:rsid w:val="00F4301F"/>
    <w:rsid w:val="00F431CD"/>
    <w:rsid w:val="00F4332F"/>
    <w:rsid w:val="00F43AC8"/>
    <w:rsid w:val="00F44B3C"/>
    <w:rsid w:val="00F4503C"/>
    <w:rsid w:val="00F45395"/>
    <w:rsid w:val="00F45575"/>
    <w:rsid w:val="00F464B6"/>
    <w:rsid w:val="00F466F7"/>
    <w:rsid w:val="00F468C6"/>
    <w:rsid w:val="00F46A87"/>
    <w:rsid w:val="00F475A3"/>
    <w:rsid w:val="00F47B64"/>
    <w:rsid w:val="00F47E29"/>
    <w:rsid w:val="00F503FF"/>
    <w:rsid w:val="00F505AA"/>
    <w:rsid w:val="00F50B54"/>
    <w:rsid w:val="00F50D8A"/>
    <w:rsid w:val="00F50F47"/>
    <w:rsid w:val="00F51841"/>
    <w:rsid w:val="00F519A3"/>
    <w:rsid w:val="00F51A47"/>
    <w:rsid w:val="00F51D44"/>
    <w:rsid w:val="00F51F22"/>
    <w:rsid w:val="00F52098"/>
    <w:rsid w:val="00F52A46"/>
    <w:rsid w:val="00F52FBE"/>
    <w:rsid w:val="00F53392"/>
    <w:rsid w:val="00F534C1"/>
    <w:rsid w:val="00F535D1"/>
    <w:rsid w:val="00F53680"/>
    <w:rsid w:val="00F53972"/>
    <w:rsid w:val="00F53C8E"/>
    <w:rsid w:val="00F53E34"/>
    <w:rsid w:val="00F53FDC"/>
    <w:rsid w:val="00F54294"/>
    <w:rsid w:val="00F544FE"/>
    <w:rsid w:val="00F54581"/>
    <w:rsid w:val="00F54F2C"/>
    <w:rsid w:val="00F5586D"/>
    <w:rsid w:val="00F55AEA"/>
    <w:rsid w:val="00F56144"/>
    <w:rsid w:val="00F56C7A"/>
    <w:rsid w:val="00F56CE3"/>
    <w:rsid w:val="00F57111"/>
    <w:rsid w:val="00F57BF1"/>
    <w:rsid w:val="00F60734"/>
    <w:rsid w:val="00F60BA8"/>
    <w:rsid w:val="00F60CDD"/>
    <w:rsid w:val="00F60D31"/>
    <w:rsid w:val="00F6145A"/>
    <w:rsid w:val="00F615F4"/>
    <w:rsid w:val="00F62001"/>
    <w:rsid w:val="00F629D1"/>
    <w:rsid w:val="00F635F2"/>
    <w:rsid w:val="00F639C2"/>
    <w:rsid w:val="00F63CBE"/>
    <w:rsid w:val="00F63D8E"/>
    <w:rsid w:val="00F64D60"/>
    <w:rsid w:val="00F650B6"/>
    <w:rsid w:val="00F654F3"/>
    <w:rsid w:val="00F6608B"/>
    <w:rsid w:val="00F66B20"/>
    <w:rsid w:val="00F66C86"/>
    <w:rsid w:val="00F67171"/>
    <w:rsid w:val="00F67397"/>
    <w:rsid w:val="00F67870"/>
    <w:rsid w:val="00F67B20"/>
    <w:rsid w:val="00F67B68"/>
    <w:rsid w:val="00F67D82"/>
    <w:rsid w:val="00F70CAB"/>
    <w:rsid w:val="00F70E10"/>
    <w:rsid w:val="00F714A6"/>
    <w:rsid w:val="00F7235D"/>
    <w:rsid w:val="00F72733"/>
    <w:rsid w:val="00F72FF3"/>
    <w:rsid w:val="00F732FE"/>
    <w:rsid w:val="00F73FDB"/>
    <w:rsid w:val="00F74ECB"/>
    <w:rsid w:val="00F74EE0"/>
    <w:rsid w:val="00F752D5"/>
    <w:rsid w:val="00F7599A"/>
    <w:rsid w:val="00F75D3C"/>
    <w:rsid w:val="00F75D6D"/>
    <w:rsid w:val="00F75ECA"/>
    <w:rsid w:val="00F763D7"/>
    <w:rsid w:val="00F7686B"/>
    <w:rsid w:val="00F76A1F"/>
    <w:rsid w:val="00F7748E"/>
    <w:rsid w:val="00F802A4"/>
    <w:rsid w:val="00F802B7"/>
    <w:rsid w:val="00F80500"/>
    <w:rsid w:val="00F808D5"/>
    <w:rsid w:val="00F80BB0"/>
    <w:rsid w:val="00F81341"/>
    <w:rsid w:val="00F81422"/>
    <w:rsid w:val="00F8154D"/>
    <w:rsid w:val="00F81648"/>
    <w:rsid w:val="00F81D0A"/>
    <w:rsid w:val="00F824C1"/>
    <w:rsid w:val="00F82541"/>
    <w:rsid w:val="00F82CDF"/>
    <w:rsid w:val="00F82D0C"/>
    <w:rsid w:val="00F82EED"/>
    <w:rsid w:val="00F836E8"/>
    <w:rsid w:val="00F837ED"/>
    <w:rsid w:val="00F839DE"/>
    <w:rsid w:val="00F83D7B"/>
    <w:rsid w:val="00F83DA9"/>
    <w:rsid w:val="00F84072"/>
    <w:rsid w:val="00F846AD"/>
    <w:rsid w:val="00F84D87"/>
    <w:rsid w:val="00F84E98"/>
    <w:rsid w:val="00F850E8"/>
    <w:rsid w:val="00F85368"/>
    <w:rsid w:val="00F8618A"/>
    <w:rsid w:val="00F86539"/>
    <w:rsid w:val="00F86611"/>
    <w:rsid w:val="00F8670F"/>
    <w:rsid w:val="00F868D1"/>
    <w:rsid w:val="00F86AED"/>
    <w:rsid w:val="00F86BE3"/>
    <w:rsid w:val="00F87311"/>
    <w:rsid w:val="00F8771D"/>
    <w:rsid w:val="00F878DE"/>
    <w:rsid w:val="00F87B8D"/>
    <w:rsid w:val="00F900C2"/>
    <w:rsid w:val="00F9043A"/>
    <w:rsid w:val="00F90970"/>
    <w:rsid w:val="00F90B83"/>
    <w:rsid w:val="00F91772"/>
    <w:rsid w:val="00F91A42"/>
    <w:rsid w:val="00F91E16"/>
    <w:rsid w:val="00F9236C"/>
    <w:rsid w:val="00F92825"/>
    <w:rsid w:val="00F92850"/>
    <w:rsid w:val="00F92AEE"/>
    <w:rsid w:val="00F92E72"/>
    <w:rsid w:val="00F946D5"/>
    <w:rsid w:val="00F94A6B"/>
    <w:rsid w:val="00F950EC"/>
    <w:rsid w:val="00F95456"/>
    <w:rsid w:val="00F955A7"/>
    <w:rsid w:val="00F95CCE"/>
    <w:rsid w:val="00F95F16"/>
    <w:rsid w:val="00F96AE7"/>
    <w:rsid w:val="00F96B71"/>
    <w:rsid w:val="00F9743C"/>
    <w:rsid w:val="00F978F4"/>
    <w:rsid w:val="00F97B44"/>
    <w:rsid w:val="00FA011D"/>
    <w:rsid w:val="00FA0C83"/>
    <w:rsid w:val="00FA0CB1"/>
    <w:rsid w:val="00FA0E9F"/>
    <w:rsid w:val="00FA1067"/>
    <w:rsid w:val="00FA1084"/>
    <w:rsid w:val="00FA13C7"/>
    <w:rsid w:val="00FA13E0"/>
    <w:rsid w:val="00FA21DE"/>
    <w:rsid w:val="00FA2816"/>
    <w:rsid w:val="00FA342A"/>
    <w:rsid w:val="00FA3A1B"/>
    <w:rsid w:val="00FA4252"/>
    <w:rsid w:val="00FA4352"/>
    <w:rsid w:val="00FA546F"/>
    <w:rsid w:val="00FA59B7"/>
    <w:rsid w:val="00FA65A5"/>
    <w:rsid w:val="00FA680C"/>
    <w:rsid w:val="00FA6EF0"/>
    <w:rsid w:val="00FA723F"/>
    <w:rsid w:val="00FA7738"/>
    <w:rsid w:val="00FB0242"/>
    <w:rsid w:val="00FB0782"/>
    <w:rsid w:val="00FB0DFC"/>
    <w:rsid w:val="00FB1CE3"/>
    <w:rsid w:val="00FB2041"/>
    <w:rsid w:val="00FB2111"/>
    <w:rsid w:val="00FB2C8C"/>
    <w:rsid w:val="00FB2CE1"/>
    <w:rsid w:val="00FB3535"/>
    <w:rsid w:val="00FB35D0"/>
    <w:rsid w:val="00FB3E3B"/>
    <w:rsid w:val="00FB44AE"/>
    <w:rsid w:val="00FB474B"/>
    <w:rsid w:val="00FB4891"/>
    <w:rsid w:val="00FB48B0"/>
    <w:rsid w:val="00FB526D"/>
    <w:rsid w:val="00FB5755"/>
    <w:rsid w:val="00FB5AFE"/>
    <w:rsid w:val="00FB5EAA"/>
    <w:rsid w:val="00FB66AD"/>
    <w:rsid w:val="00FB67D0"/>
    <w:rsid w:val="00FB67D7"/>
    <w:rsid w:val="00FB6E95"/>
    <w:rsid w:val="00FB77AD"/>
    <w:rsid w:val="00FB7BDA"/>
    <w:rsid w:val="00FB7C14"/>
    <w:rsid w:val="00FC045E"/>
    <w:rsid w:val="00FC0507"/>
    <w:rsid w:val="00FC10C5"/>
    <w:rsid w:val="00FC1667"/>
    <w:rsid w:val="00FC184F"/>
    <w:rsid w:val="00FC1850"/>
    <w:rsid w:val="00FC1852"/>
    <w:rsid w:val="00FC1892"/>
    <w:rsid w:val="00FC18B2"/>
    <w:rsid w:val="00FC1D5F"/>
    <w:rsid w:val="00FC27BB"/>
    <w:rsid w:val="00FC298D"/>
    <w:rsid w:val="00FC36A1"/>
    <w:rsid w:val="00FC37F5"/>
    <w:rsid w:val="00FC38FF"/>
    <w:rsid w:val="00FC4D13"/>
    <w:rsid w:val="00FC4DFB"/>
    <w:rsid w:val="00FC538C"/>
    <w:rsid w:val="00FC5400"/>
    <w:rsid w:val="00FC562D"/>
    <w:rsid w:val="00FC5CA0"/>
    <w:rsid w:val="00FC61D9"/>
    <w:rsid w:val="00FC6478"/>
    <w:rsid w:val="00FC6C72"/>
    <w:rsid w:val="00FC6D84"/>
    <w:rsid w:val="00FC6E8B"/>
    <w:rsid w:val="00FC726D"/>
    <w:rsid w:val="00FC7AF3"/>
    <w:rsid w:val="00FC7D49"/>
    <w:rsid w:val="00FC7E0B"/>
    <w:rsid w:val="00FC7E8D"/>
    <w:rsid w:val="00FC7E93"/>
    <w:rsid w:val="00FD008C"/>
    <w:rsid w:val="00FD0615"/>
    <w:rsid w:val="00FD09AE"/>
    <w:rsid w:val="00FD19CF"/>
    <w:rsid w:val="00FD20D3"/>
    <w:rsid w:val="00FD256D"/>
    <w:rsid w:val="00FD280D"/>
    <w:rsid w:val="00FD35AD"/>
    <w:rsid w:val="00FD4060"/>
    <w:rsid w:val="00FD5408"/>
    <w:rsid w:val="00FD5AC8"/>
    <w:rsid w:val="00FD5E93"/>
    <w:rsid w:val="00FD5F9A"/>
    <w:rsid w:val="00FD62CF"/>
    <w:rsid w:val="00FD6557"/>
    <w:rsid w:val="00FD6703"/>
    <w:rsid w:val="00FD6D37"/>
    <w:rsid w:val="00FD7724"/>
    <w:rsid w:val="00FD7D64"/>
    <w:rsid w:val="00FE0949"/>
    <w:rsid w:val="00FE115A"/>
    <w:rsid w:val="00FE1428"/>
    <w:rsid w:val="00FE1803"/>
    <w:rsid w:val="00FE1C0C"/>
    <w:rsid w:val="00FE1FBB"/>
    <w:rsid w:val="00FE2149"/>
    <w:rsid w:val="00FE24D5"/>
    <w:rsid w:val="00FE257A"/>
    <w:rsid w:val="00FE26CF"/>
    <w:rsid w:val="00FE27CB"/>
    <w:rsid w:val="00FE308D"/>
    <w:rsid w:val="00FE3646"/>
    <w:rsid w:val="00FE38F7"/>
    <w:rsid w:val="00FE3FB4"/>
    <w:rsid w:val="00FE408D"/>
    <w:rsid w:val="00FE4CD2"/>
    <w:rsid w:val="00FE4EF8"/>
    <w:rsid w:val="00FE5EA8"/>
    <w:rsid w:val="00FE6896"/>
    <w:rsid w:val="00FE6BAC"/>
    <w:rsid w:val="00FE6E9F"/>
    <w:rsid w:val="00FE72E3"/>
    <w:rsid w:val="00FE750F"/>
    <w:rsid w:val="00FE773F"/>
    <w:rsid w:val="00FE7746"/>
    <w:rsid w:val="00FE7D08"/>
    <w:rsid w:val="00FE7E52"/>
    <w:rsid w:val="00FF03BF"/>
    <w:rsid w:val="00FF043F"/>
    <w:rsid w:val="00FF07AF"/>
    <w:rsid w:val="00FF1202"/>
    <w:rsid w:val="00FF1B78"/>
    <w:rsid w:val="00FF1C0E"/>
    <w:rsid w:val="00FF2028"/>
    <w:rsid w:val="00FF2FC1"/>
    <w:rsid w:val="00FF50A5"/>
    <w:rsid w:val="00FF5817"/>
    <w:rsid w:val="00FF5B6B"/>
    <w:rsid w:val="00FF5CD8"/>
    <w:rsid w:val="00FF5CEF"/>
    <w:rsid w:val="00FF6724"/>
    <w:rsid w:val="00FF68A6"/>
    <w:rsid w:val="00FF6939"/>
    <w:rsid w:val="00FF732C"/>
    <w:rsid w:val="00FF7431"/>
    <w:rsid w:val="00FF7758"/>
    <w:rsid w:val="00FF7925"/>
    <w:rsid w:val="00FF79DB"/>
    <w:rsid w:val="0121CDF6"/>
    <w:rsid w:val="04DC3F4B"/>
    <w:rsid w:val="0859D943"/>
    <w:rsid w:val="08E06F43"/>
    <w:rsid w:val="0DAA85EB"/>
    <w:rsid w:val="1345F427"/>
    <w:rsid w:val="15DA6509"/>
    <w:rsid w:val="1D3D637A"/>
    <w:rsid w:val="1E6F3B22"/>
    <w:rsid w:val="355DE5F9"/>
    <w:rsid w:val="40B46E66"/>
    <w:rsid w:val="41BB2998"/>
    <w:rsid w:val="52B863C9"/>
    <w:rsid w:val="530E330F"/>
    <w:rsid w:val="65B86B54"/>
    <w:rsid w:val="6B524B2B"/>
    <w:rsid w:val="6F1A123B"/>
    <w:rsid w:val="6F5917DA"/>
    <w:rsid w:val="78E9AF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2"/>
    </o:shapelayout>
  </w:shapeDefaults>
  <w:decimalSymbol w:val="."/>
  <w:listSeparator w:val=","/>
  <w14:docId w14:val="069E1723"/>
  <w15:docId w15:val="{CC99EEED-83D2-4426-B1CF-337D31B03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lsdException w:name="heading 8" w:semiHidden="1" w:uiPriority="9" w:unhideWhenUsed="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iPriority="88"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0" w:unhideWhenUsed="1"/>
    <w:lsdException w:name="List 2" w:semiHidden="1" w:unhideWhenUsed="1"/>
    <w:lsdException w:name="List 3" w:semiHidden="1" w:unhideWhenUsed="1"/>
    <w:lsdException w:name="List Bullet 2" w:semiHidden="1" w:uiPriority="2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3516"/>
    <w:pPr>
      <w:spacing w:before="60" w:after="60"/>
    </w:pPr>
    <w:rPr>
      <w:rFonts w:ascii="Arial" w:hAnsi="Arial"/>
      <w:kern w:val="14"/>
      <w:sz w:val="22"/>
      <w:lang w:eastAsia="en-US"/>
    </w:rPr>
  </w:style>
  <w:style w:type="paragraph" w:styleId="Heading1">
    <w:name w:val="heading 1"/>
    <w:aliases w:val="Heading level 1,Centre,h1,A MAJOR/BOLD,Schedheading,Heading 1(Report Only),h1 chapter heading,Section Heading,H1,Attribute Heading 1,Roman 14 B Heading,Roman 14 B Heading1,Roman 14 B Heading2,Roman 14 B Heading11,new page/chapter,1st level"/>
    <w:link w:val="Heading1Char"/>
    <w:qFormat/>
    <w:rsid w:val="00316DB6"/>
    <w:pPr>
      <w:keepNext/>
      <w:pageBreakBefore/>
      <w:spacing w:before="120" w:after="240"/>
      <w:outlineLvl w:val="0"/>
    </w:pPr>
    <w:rPr>
      <w:rFonts w:ascii="Arial" w:hAnsi="Arial"/>
      <w:sz w:val="36"/>
      <w:lang w:eastAsia="en-US"/>
    </w:rPr>
  </w:style>
  <w:style w:type="paragraph" w:styleId="Heading2">
    <w:name w:val="heading 2"/>
    <w:aliases w:val="Left,KJL:1st Level,Heading Two,h2,(1.1,1.2,1.3 etc),Prophead 2,2,RFP Heading 2,Activity,l2,H2,PARA2,h 3,Numbered - 2,Reset numbering,S Heading,S Heading 2,Major,Section,m,Body Text (Reset numbering),TF-Overskrit 2,h2 main heading,2m,h 2"/>
    <w:next w:val="Text"/>
    <w:link w:val="Heading2Char"/>
    <w:qFormat/>
    <w:rsid w:val="004A535B"/>
    <w:pPr>
      <w:keepNext/>
      <w:spacing w:before="360" w:after="240"/>
      <w:outlineLvl w:val="1"/>
    </w:pPr>
    <w:rPr>
      <w:rFonts w:ascii="Arial" w:hAnsi="Arial"/>
      <w:b/>
      <w:sz w:val="24"/>
      <w:lang w:eastAsia="en-US"/>
    </w:rPr>
  </w:style>
  <w:style w:type="paragraph" w:styleId="Heading3">
    <w:name w:val="heading 3"/>
    <w:aliases w:val="GSR L3 subhead"/>
    <w:basedOn w:val="Normal"/>
    <w:next w:val="GSRL4numberedclause"/>
    <w:link w:val="Heading3Char"/>
    <w:qFormat/>
    <w:rsid w:val="002C28EC"/>
    <w:pPr>
      <w:keepNext/>
      <w:spacing w:before="240" w:after="120"/>
      <w:outlineLvl w:val="2"/>
    </w:pPr>
    <w:rPr>
      <w:b/>
      <w:i/>
    </w:rPr>
  </w:style>
  <w:style w:type="paragraph" w:styleId="Heading4">
    <w:name w:val="heading 4"/>
    <w:aliases w:val="GSR L4 subhead"/>
    <w:basedOn w:val="Normal"/>
    <w:next w:val="Normal"/>
    <w:link w:val="Heading4Char"/>
    <w:qFormat/>
    <w:rsid w:val="009E7860"/>
    <w:pPr>
      <w:keepNext/>
      <w:keepLines/>
      <w:spacing w:before="240" w:after="120"/>
      <w:outlineLvl w:val="3"/>
    </w:pPr>
    <w:rPr>
      <w:i/>
      <w:shd w:val="clear" w:color="FFFFFF" w:fill="auto"/>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Normal"/>
    <w:next w:val="Normal"/>
    <w:link w:val="Heading5Char"/>
    <w:qFormat/>
    <w:rsid w:val="00483516"/>
    <w:pPr>
      <w:keepNext/>
      <w:shd w:val="clear" w:color="auto" w:fill="FFCC99"/>
      <w:spacing w:before="120" w:after="120"/>
      <w:outlineLvl w:val="4"/>
    </w:pPr>
    <w:rPr>
      <w:i/>
    </w:rPr>
  </w:style>
  <w:style w:type="paragraph" w:styleId="Heading6">
    <w:name w:val="heading 6"/>
    <w:basedOn w:val="Normal"/>
    <w:next w:val="Normal"/>
    <w:link w:val="Heading6Char"/>
    <w:qFormat/>
    <w:rsid w:val="00FE1C0C"/>
    <w:pPr>
      <w:numPr>
        <w:ilvl w:val="5"/>
        <w:numId w:val="1"/>
      </w:numPr>
      <w:spacing w:before="240"/>
      <w:outlineLvl w:val="5"/>
    </w:pPr>
    <w:rPr>
      <w:i/>
    </w:rPr>
  </w:style>
  <w:style w:type="paragraph" w:styleId="Heading7">
    <w:name w:val="heading 7"/>
    <w:aliases w:val="Appendix Heading,Appendix Heading1,letter list,lettered list,Heading 7 do not use,LOA3 H7,PA Appendix Major"/>
    <w:basedOn w:val="Normal"/>
    <w:next w:val="Normal"/>
    <w:link w:val="Heading7Char"/>
    <w:rsid w:val="00FE1C0C"/>
    <w:pPr>
      <w:numPr>
        <w:ilvl w:val="6"/>
        <w:numId w:val="2"/>
      </w:numPr>
      <w:tabs>
        <w:tab w:val="clear" w:pos="2880"/>
        <w:tab w:val="num" w:pos="3960"/>
      </w:tabs>
      <w:spacing w:before="240"/>
      <w:ind w:left="3240" w:hanging="1080"/>
      <w:outlineLvl w:val="6"/>
    </w:pPr>
    <w:rPr>
      <w:sz w:val="20"/>
    </w:rPr>
  </w:style>
  <w:style w:type="paragraph" w:styleId="Heading8">
    <w:name w:val="heading 8"/>
    <w:aliases w:val="Appendix Subheading,Heading 8 do not use,LOA3 H8,PA Appendix Minor,Legal Level 1.1.1."/>
    <w:basedOn w:val="Normal"/>
    <w:next w:val="Normal"/>
    <w:link w:val="Heading8Char"/>
    <w:uiPriority w:val="9"/>
    <w:rsid w:val="00FE1C0C"/>
    <w:pPr>
      <w:keepNext/>
      <w:numPr>
        <w:ilvl w:val="7"/>
        <w:numId w:val="3"/>
      </w:numPr>
      <w:tabs>
        <w:tab w:val="clear" w:pos="3240"/>
        <w:tab w:val="num" w:pos="5760"/>
      </w:tabs>
      <w:ind w:left="5760"/>
      <w:outlineLvl w:val="7"/>
    </w:pPr>
    <w:rPr>
      <w:b/>
      <w:i/>
      <w:u w:val="single"/>
    </w:rPr>
  </w:style>
  <w:style w:type="paragraph" w:styleId="Heading9">
    <w:name w:val="heading 9"/>
    <w:aliases w:val="Appendix Subheading 2,App Heading,Heading 9 do not use,LOA3 H9,App Heading1,App Heading2,App Heading3,App Heading4,App Heading5,App Heading6,App Heading7,App Heading8,App Heading9,App Heading10,App Heading11,App Heading21,App Heading31,Lev 9"/>
    <w:basedOn w:val="Normal"/>
    <w:next w:val="Normal"/>
    <w:link w:val="Heading9Char"/>
    <w:rsid w:val="00FE1C0C"/>
    <w:pPr>
      <w:numPr>
        <w:ilvl w:val="8"/>
        <w:numId w:val="4"/>
      </w:numPr>
      <w:tabs>
        <w:tab w:val="clear" w:pos="3600"/>
        <w:tab w:val="num" w:pos="3240"/>
      </w:tabs>
      <w:spacing w:before="240"/>
      <w:ind w:left="324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rsid w:val="00FE1C0C"/>
    <w:pPr>
      <w:spacing w:before="480" w:after="480"/>
      <w:jc w:val="center"/>
      <w:outlineLvl w:val="3"/>
    </w:pPr>
    <w:rPr>
      <w:rFonts w:ascii="Arial Black" w:hAnsi="Arial Black"/>
      <w:noProof/>
      <w:sz w:val="28"/>
      <w:szCs w:val="28"/>
      <w:lang w:val="en-US" w:eastAsia="en-US"/>
    </w:rPr>
  </w:style>
  <w:style w:type="paragraph" w:styleId="ListBullet">
    <w:name w:val="List Bullet"/>
    <w:basedOn w:val="Normal"/>
    <w:autoRedefine/>
    <w:uiPriority w:val="20"/>
    <w:rsid w:val="00810C20"/>
    <w:pPr>
      <w:ind w:left="720"/>
    </w:pPr>
    <w:rPr>
      <w:rFonts w:cs="Arial"/>
      <w:lang w:eastAsia="en-GB"/>
    </w:rPr>
  </w:style>
  <w:style w:type="paragraph" w:styleId="BodyText">
    <w:name w:val="Body Text"/>
    <w:basedOn w:val="Normal"/>
    <w:link w:val="BodyTextChar"/>
    <w:qFormat/>
    <w:rsid w:val="00FE1C0C"/>
    <w:pPr>
      <w:spacing w:after="0"/>
    </w:pPr>
  </w:style>
  <w:style w:type="paragraph" w:customStyle="1" w:styleId="TitleClient">
    <w:name w:val="Title Client"/>
    <w:rsid w:val="00FE1C0C"/>
    <w:pPr>
      <w:tabs>
        <w:tab w:val="right" w:pos="9000"/>
      </w:tabs>
      <w:outlineLvl w:val="3"/>
    </w:pPr>
    <w:rPr>
      <w:rFonts w:ascii="Arial Black" w:hAnsi="Arial Black"/>
      <w:noProof/>
      <w:sz w:val="22"/>
      <w:lang w:val="en-US" w:eastAsia="en-US"/>
    </w:rPr>
  </w:style>
  <w:style w:type="paragraph" w:customStyle="1" w:styleId="Appendix1">
    <w:name w:val="Appendix 1"/>
    <w:basedOn w:val="Normal"/>
    <w:next w:val="Normal"/>
    <w:rsid w:val="00FE1C0C"/>
    <w:pPr>
      <w:keepNext/>
      <w:keepLines/>
      <w:pageBreakBefore/>
      <w:numPr>
        <w:numId w:val="8"/>
      </w:numPr>
      <w:tabs>
        <w:tab w:val="num" w:pos="720"/>
      </w:tabs>
      <w:ind w:left="0" w:firstLine="0"/>
      <w:outlineLvl w:val="0"/>
    </w:pPr>
    <w:rPr>
      <w:rFonts w:ascii="Arial Black" w:hAnsi="Arial Black"/>
      <w:caps/>
      <w:sz w:val="26"/>
    </w:rPr>
  </w:style>
  <w:style w:type="paragraph" w:customStyle="1" w:styleId="BodyText12">
    <w:name w:val="Body Text 12"/>
    <w:basedOn w:val="BodyText"/>
    <w:rsid w:val="00FE1C0C"/>
    <w:pPr>
      <w:spacing w:after="240"/>
    </w:pPr>
  </w:style>
  <w:style w:type="paragraph" w:customStyle="1" w:styleId="DocumentControl">
    <w:name w:val="Document Control"/>
    <w:basedOn w:val="Normal"/>
    <w:rsid w:val="00FE1C0C"/>
    <w:pPr>
      <w:spacing w:after="0" w:line="240" w:lineRule="exact"/>
    </w:pPr>
    <w:rPr>
      <w:rFonts w:ascii="Verdana" w:hAnsi="Verdana"/>
      <w:b/>
      <w:color w:val="0066CC"/>
      <w:kern w:val="20"/>
      <w:sz w:val="18"/>
    </w:rPr>
  </w:style>
  <w:style w:type="paragraph" w:customStyle="1" w:styleId="DraftingNote">
    <w:name w:val="Drafting Note"/>
    <w:basedOn w:val="Normal"/>
    <w:link w:val="DraftingNoteChar2"/>
    <w:rsid w:val="00FE1C0C"/>
    <w:rPr>
      <w:b/>
      <w:i/>
      <w:color w:val="FF0000"/>
      <w:shd w:val="clear" w:color="FFFFFF" w:fill="FFFF99"/>
    </w:rPr>
  </w:style>
  <w:style w:type="paragraph" w:customStyle="1" w:styleId="Equation">
    <w:name w:val="Equation"/>
    <w:basedOn w:val="BodyText"/>
    <w:rsid w:val="00FE1C0C"/>
    <w:pPr>
      <w:tabs>
        <w:tab w:val="right" w:pos="8640"/>
      </w:tabs>
      <w:ind w:left="1080"/>
    </w:pPr>
  </w:style>
  <w:style w:type="paragraph" w:styleId="Caption">
    <w:name w:val="caption"/>
    <w:basedOn w:val="Normal"/>
    <w:next w:val="Table"/>
    <w:uiPriority w:val="88"/>
    <w:rsid w:val="00FE1C0C"/>
    <w:pPr>
      <w:keepNext/>
      <w:keepLines/>
      <w:tabs>
        <w:tab w:val="num" w:pos="720"/>
      </w:tabs>
      <w:ind w:left="720" w:hanging="720"/>
      <w:jc w:val="center"/>
      <w:outlineLvl w:val="3"/>
    </w:pPr>
    <w:rPr>
      <w:b/>
      <w:sz w:val="20"/>
    </w:rPr>
  </w:style>
  <w:style w:type="paragraph" w:customStyle="1" w:styleId="Code">
    <w:name w:val="Code"/>
    <w:basedOn w:val="BodyText"/>
    <w:rsid w:val="00FE1C0C"/>
    <w:rPr>
      <w:rFonts w:ascii="Courier" w:hAnsi="Courier"/>
      <w:sz w:val="16"/>
    </w:rPr>
  </w:style>
  <w:style w:type="character" w:customStyle="1" w:styleId="DraftingNoteChar">
    <w:name w:val="Drafting Note Char"/>
    <w:basedOn w:val="DefaultParagraphFont"/>
    <w:rsid w:val="00FE1C0C"/>
    <w:rPr>
      <w:b/>
      <w:i/>
      <w:noProof w:val="0"/>
      <w:color w:val="FF0000"/>
      <w:kern w:val="14"/>
      <w:sz w:val="24"/>
      <w:shd w:val="clear" w:color="FFFFFF" w:fill="FFFF99"/>
      <w:lang w:val="en-GB" w:eastAsia="en-US" w:bidi="ar-SA"/>
    </w:rPr>
  </w:style>
  <w:style w:type="paragraph" w:customStyle="1" w:styleId="CV2">
    <w:name w:val="CV 2"/>
    <w:basedOn w:val="Heading2"/>
    <w:next w:val="Normal"/>
    <w:rsid w:val="00FE1C0C"/>
    <w:pPr>
      <w:pageBreakBefore/>
      <w:jc w:val="center"/>
    </w:pPr>
    <w:rPr>
      <w:caps/>
      <w:sz w:val="26"/>
    </w:rPr>
  </w:style>
  <w:style w:type="character" w:styleId="FootnoteReference">
    <w:name w:val="footnote reference"/>
    <w:basedOn w:val="DefaultParagraphFont"/>
    <w:uiPriority w:val="99"/>
    <w:semiHidden/>
    <w:rsid w:val="00FE1C0C"/>
    <w:rPr>
      <w:vertAlign w:val="superscript"/>
    </w:rPr>
  </w:style>
  <w:style w:type="paragraph" w:styleId="FootnoteText">
    <w:name w:val="footnote text"/>
    <w:basedOn w:val="Normal"/>
    <w:link w:val="FootnoteTextChar"/>
    <w:uiPriority w:val="99"/>
    <w:semiHidden/>
    <w:rsid w:val="00FE1C0C"/>
    <w:pPr>
      <w:tabs>
        <w:tab w:val="left" w:pos="360"/>
        <w:tab w:val="num" w:pos="720"/>
      </w:tabs>
      <w:spacing w:after="0"/>
      <w:ind w:left="360" w:hanging="360"/>
    </w:pPr>
    <w:rPr>
      <w:sz w:val="16"/>
    </w:rPr>
  </w:style>
  <w:style w:type="paragraph" w:customStyle="1" w:styleId="Hidden">
    <w:name w:val="Hidden"/>
    <w:basedOn w:val="DocumentControl"/>
    <w:rsid w:val="00FE1C0C"/>
    <w:rPr>
      <w:vanish/>
      <w:color w:val="FF6633"/>
    </w:rPr>
  </w:style>
  <w:style w:type="character" w:styleId="Hyperlink">
    <w:name w:val="Hyperlink"/>
    <w:basedOn w:val="DefaultParagraphFont"/>
    <w:uiPriority w:val="99"/>
    <w:rsid w:val="00FE1C0C"/>
    <w:rPr>
      <w:color w:val="auto"/>
    </w:rPr>
  </w:style>
  <w:style w:type="paragraph" w:styleId="ListBullet2">
    <w:name w:val="List Bullet 2"/>
    <w:aliases w:val="List Bullet Normal"/>
    <w:basedOn w:val="Normal"/>
    <w:autoRedefine/>
    <w:uiPriority w:val="20"/>
    <w:rsid w:val="00FE1C0C"/>
    <w:pPr>
      <w:numPr>
        <w:ilvl w:val="3"/>
        <w:numId w:val="7"/>
      </w:numPr>
      <w:tabs>
        <w:tab w:val="clear" w:pos="1685"/>
        <w:tab w:val="num" w:pos="2592"/>
      </w:tabs>
      <w:ind w:left="2592" w:hanging="360"/>
    </w:pPr>
  </w:style>
  <w:style w:type="character" w:customStyle="1" w:styleId="DraftingNoteChar1">
    <w:name w:val="Drafting Note Char1"/>
    <w:basedOn w:val="DefaultParagraphFont"/>
    <w:rsid w:val="00FE1C0C"/>
    <w:rPr>
      <w:b/>
      <w:i/>
      <w:noProof w:val="0"/>
      <w:color w:val="FF0000"/>
      <w:kern w:val="14"/>
      <w:sz w:val="24"/>
      <w:shd w:val="clear" w:color="FFFFFF" w:fill="FFFF99"/>
      <w:lang w:val="en-GB" w:eastAsia="en-US" w:bidi="ar-SA"/>
    </w:rPr>
  </w:style>
  <w:style w:type="character" w:styleId="PageNumber">
    <w:name w:val="page number"/>
    <w:basedOn w:val="DefaultParagraphFont"/>
    <w:rsid w:val="00FE1C0C"/>
  </w:style>
  <w:style w:type="paragraph" w:customStyle="1" w:styleId="Quotation">
    <w:name w:val="Quotation"/>
    <w:basedOn w:val="BodyText"/>
    <w:rsid w:val="00FE1C0C"/>
    <w:pPr>
      <w:keepNext/>
      <w:keepLines/>
      <w:ind w:left="1080" w:right="360"/>
      <w:jc w:val="both"/>
    </w:pPr>
    <w:rPr>
      <w:spacing w:val="-4"/>
      <w:kern w:val="20"/>
      <w:sz w:val="20"/>
    </w:rPr>
  </w:style>
  <w:style w:type="paragraph" w:customStyle="1" w:styleId="Table">
    <w:name w:val="Table"/>
    <w:basedOn w:val="Normal"/>
    <w:rsid w:val="00FE1C0C"/>
    <w:pPr>
      <w:keepNext/>
      <w:keepLines/>
      <w:tabs>
        <w:tab w:val="num" w:pos="720"/>
      </w:tabs>
      <w:spacing w:before="40" w:after="40"/>
    </w:pPr>
    <w:rPr>
      <w:sz w:val="20"/>
    </w:rPr>
  </w:style>
  <w:style w:type="paragraph" w:customStyle="1" w:styleId="TableAutonumber">
    <w:name w:val="Table Autonumber"/>
    <w:basedOn w:val="Normal"/>
    <w:rsid w:val="00FE1C0C"/>
    <w:pPr>
      <w:numPr>
        <w:numId w:val="5"/>
      </w:numPr>
      <w:spacing w:after="0"/>
      <w:ind w:left="720" w:hanging="720"/>
    </w:pPr>
    <w:rPr>
      <w:rFonts w:ascii="Times" w:hAnsi="Times"/>
      <w:noProof/>
      <w:color w:val="0066CC"/>
      <w:kern w:val="0"/>
      <w:sz w:val="20"/>
    </w:rPr>
  </w:style>
  <w:style w:type="paragraph" w:customStyle="1" w:styleId="TableBullet">
    <w:name w:val="Table Bullet"/>
    <w:basedOn w:val="Table"/>
    <w:rsid w:val="00FE1C0C"/>
    <w:pPr>
      <w:numPr>
        <w:numId w:val="6"/>
      </w:numPr>
      <w:tabs>
        <w:tab w:val="clear" w:pos="360"/>
        <w:tab w:val="left" w:pos="231"/>
        <w:tab w:val="num" w:pos="510"/>
      </w:tabs>
      <w:ind w:left="0" w:firstLine="0"/>
    </w:pPr>
  </w:style>
  <w:style w:type="paragraph" w:customStyle="1" w:styleId="TableLastNote">
    <w:name w:val="Table Last Note"/>
    <w:basedOn w:val="Normal"/>
    <w:rsid w:val="00FE1C0C"/>
    <w:pPr>
      <w:keepLines/>
      <w:tabs>
        <w:tab w:val="num" w:pos="720"/>
      </w:tabs>
      <w:spacing w:before="40"/>
      <w:ind w:left="720" w:hanging="720"/>
    </w:pPr>
    <w:rPr>
      <w:i/>
      <w:sz w:val="16"/>
    </w:rPr>
  </w:style>
  <w:style w:type="paragraph" w:customStyle="1" w:styleId="TableNotes">
    <w:name w:val="Table Notes"/>
    <w:basedOn w:val="Normal"/>
    <w:rsid w:val="00FE1C0C"/>
    <w:pPr>
      <w:keepNext/>
      <w:keepLines/>
      <w:tabs>
        <w:tab w:val="num" w:pos="720"/>
      </w:tabs>
      <w:spacing w:before="40" w:after="40"/>
      <w:ind w:left="720" w:hanging="720"/>
    </w:pPr>
    <w:rPr>
      <w:i/>
      <w:sz w:val="16"/>
    </w:rPr>
  </w:style>
  <w:style w:type="paragraph" w:styleId="TOC1">
    <w:name w:val="toc 1"/>
    <w:basedOn w:val="Normal"/>
    <w:next w:val="Normal"/>
    <w:autoRedefine/>
    <w:uiPriority w:val="39"/>
    <w:rsid w:val="00CE5916"/>
    <w:pPr>
      <w:tabs>
        <w:tab w:val="right" w:leader="dot" w:pos="9010"/>
      </w:tabs>
      <w:spacing w:before="240" w:after="120"/>
    </w:pPr>
    <w:rPr>
      <w:rFonts w:cstheme="minorHAnsi"/>
      <w:b/>
      <w:bCs/>
    </w:rPr>
  </w:style>
  <w:style w:type="paragraph" w:styleId="TOC2">
    <w:name w:val="toc 2"/>
    <w:basedOn w:val="Normal"/>
    <w:next w:val="Normal"/>
    <w:autoRedefine/>
    <w:uiPriority w:val="39"/>
    <w:rsid w:val="00C54CC7"/>
    <w:pPr>
      <w:tabs>
        <w:tab w:val="left" w:pos="660"/>
        <w:tab w:val="right" w:leader="dot" w:pos="9010"/>
      </w:tabs>
      <w:spacing w:before="180"/>
    </w:pPr>
    <w:rPr>
      <w:rFonts w:cstheme="minorHAnsi"/>
      <w:iCs/>
    </w:rPr>
  </w:style>
  <w:style w:type="paragraph" w:styleId="TOC3">
    <w:name w:val="toc 3"/>
    <w:basedOn w:val="Normal"/>
    <w:next w:val="Normal"/>
    <w:autoRedefine/>
    <w:uiPriority w:val="39"/>
    <w:rsid w:val="001F3A00"/>
    <w:pPr>
      <w:tabs>
        <w:tab w:val="left" w:pos="1134"/>
        <w:tab w:val="right" w:leader="dot" w:pos="9010"/>
      </w:tabs>
      <w:ind w:left="1134" w:hanging="567"/>
    </w:pPr>
    <w:rPr>
      <w:rFonts w:cstheme="minorHAnsi"/>
    </w:rPr>
  </w:style>
  <w:style w:type="paragraph" w:styleId="TOCHeading">
    <w:name w:val="TOC Heading"/>
    <w:basedOn w:val="TOC1"/>
    <w:uiPriority w:val="39"/>
    <w:qFormat/>
    <w:rsid w:val="000B0768"/>
    <w:pPr>
      <w:pageBreakBefore/>
      <w:spacing w:before="0"/>
      <w:jc w:val="center"/>
    </w:pPr>
    <w:rPr>
      <w:caps/>
    </w:rPr>
  </w:style>
  <w:style w:type="paragraph" w:styleId="BalloonText">
    <w:name w:val="Balloon Text"/>
    <w:basedOn w:val="Normal"/>
    <w:link w:val="BalloonTextChar"/>
    <w:rsid w:val="00605D86"/>
    <w:rPr>
      <w:rFonts w:ascii="Tahoma" w:hAnsi="Tahoma" w:cs="Tahoma"/>
      <w:sz w:val="16"/>
      <w:szCs w:val="16"/>
    </w:rPr>
  </w:style>
  <w:style w:type="paragraph" w:styleId="DocumentMap">
    <w:name w:val="Document Map"/>
    <w:basedOn w:val="Normal"/>
    <w:link w:val="DocumentMapChar"/>
    <w:semiHidden/>
    <w:rsid w:val="00FE1C0C"/>
    <w:pPr>
      <w:shd w:val="clear" w:color="auto" w:fill="000080"/>
      <w:tabs>
        <w:tab w:val="num" w:pos="720"/>
      </w:tabs>
      <w:ind w:left="720" w:hanging="720"/>
    </w:pPr>
    <w:rPr>
      <w:rFonts w:ascii="Tahoma" w:eastAsia="MS Gothic" w:hAnsi="Tahoma"/>
      <w:sz w:val="18"/>
    </w:rPr>
  </w:style>
  <w:style w:type="character" w:styleId="FollowedHyperlink">
    <w:name w:val="FollowedHyperlink"/>
    <w:basedOn w:val="DefaultParagraphFont"/>
    <w:rsid w:val="00FE1C0C"/>
    <w:rPr>
      <w:color w:val="auto"/>
      <w:u w:val="none"/>
    </w:rPr>
  </w:style>
  <w:style w:type="paragraph" w:styleId="Header">
    <w:name w:val="header"/>
    <w:aliases w:val="B&amp;B Header,h"/>
    <w:basedOn w:val="Normal"/>
    <w:link w:val="HeaderChar"/>
    <w:rsid w:val="00FE1C0C"/>
    <w:pPr>
      <w:tabs>
        <w:tab w:val="right" w:pos="9000"/>
      </w:tabs>
      <w:spacing w:after="0" w:line="240" w:lineRule="exact"/>
    </w:pPr>
    <w:rPr>
      <w:color w:val="0066CC"/>
      <w:kern w:val="18"/>
      <w:sz w:val="18"/>
    </w:rPr>
  </w:style>
  <w:style w:type="paragraph" w:styleId="Footer">
    <w:name w:val="footer"/>
    <w:basedOn w:val="Header"/>
    <w:link w:val="FooterChar"/>
    <w:uiPriority w:val="99"/>
    <w:rsid w:val="00FE1C0C"/>
  </w:style>
  <w:style w:type="paragraph" w:customStyle="1" w:styleId="Text">
    <w:name w:val="Text"/>
    <w:basedOn w:val="Normal"/>
    <w:rsid w:val="00FE1C0C"/>
    <w:pPr>
      <w:numPr>
        <w:ilvl w:val="1"/>
        <w:numId w:val="7"/>
      </w:numPr>
    </w:pPr>
  </w:style>
  <w:style w:type="character" w:customStyle="1" w:styleId="DraftingNoteChar2">
    <w:name w:val="Drafting Note Char2"/>
    <w:basedOn w:val="DefaultParagraphFont"/>
    <w:link w:val="DraftingNote"/>
    <w:rsid w:val="00AB10E5"/>
    <w:rPr>
      <w:b/>
      <w:i/>
      <w:color w:val="FF0000"/>
      <w:kern w:val="14"/>
      <w:sz w:val="24"/>
      <w:shd w:val="clear" w:color="FFFFFF" w:fill="FFFF99"/>
      <w:lang w:val="en-GB" w:eastAsia="en-US" w:bidi="ar-SA"/>
    </w:rPr>
  </w:style>
  <w:style w:type="paragraph" w:styleId="NormalWeb">
    <w:name w:val="Normal (Web)"/>
    <w:basedOn w:val="Normal"/>
    <w:uiPriority w:val="99"/>
    <w:rsid w:val="004C1A83"/>
    <w:pPr>
      <w:spacing w:before="100" w:beforeAutospacing="1" w:after="100" w:afterAutospacing="1"/>
    </w:pPr>
    <w:rPr>
      <w:kern w:val="0"/>
      <w:szCs w:val="24"/>
      <w:lang w:eastAsia="en-GB"/>
    </w:rPr>
  </w:style>
  <w:style w:type="table" w:styleId="TableGrid">
    <w:name w:val="Table Grid"/>
    <w:basedOn w:val="TableNormal"/>
    <w:uiPriority w:val="39"/>
    <w:rsid w:val="004E3B1E"/>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basedOn w:val="Normal"/>
    <w:rsid w:val="00DE4A5F"/>
    <w:pPr>
      <w:spacing w:after="40"/>
    </w:pPr>
    <w:rPr>
      <w:kern w:val="0"/>
    </w:rPr>
  </w:style>
  <w:style w:type="paragraph" w:customStyle="1" w:styleId="HRTBulletList">
    <w:name w:val="HRT_Bullet_List"/>
    <w:basedOn w:val="Normal"/>
    <w:rsid w:val="00707279"/>
    <w:pPr>
      <w:numPr>
        <w:numId w:val="9"/>
      </w:numPr>
      <w:tabs>
        <w:tab w:val="clear" w:pos="510"/>
      </w:tabs>
      <w:spacing w:after="0"/>
      <w:ind w:left="357" w:hanging="357"/>
    </w:pPr>
    <w:rPr>
      <w:kern w:val="0"/>
      <w:szCs w:val="24"/>
      <w:lang w:eastAsia="en-GB"/>
    </w:rPr>
  </w:style>
  <w:style w:type="character" w:styleId="CommentReference">
    <w:name w:val="annotation reference"/>
    <w:basedOn w:val="DefaultParagraphFont"/>
    <w:rsid w:val="00A4234B"/>
    <w:rPr>
      <w:sz w:val="16"/>
      <w:szCs w:val="16"/>
    </w:rPr>
  </w:style>
  <w:style w:type="paragraph" w:styleId="CommentText">
    <w:name w:val="annotation text"/>
    <w:basedOn w:val="Normal"/>
    <w:link w:val="CommentTextChar"/>
    <w:rsid w:val="00A4234B"/>
    <w:rPr>
      <w:sz w:val="20"/>
    </w:rPr>
  </w:style>
  <w:style w:type="character" w:customStyle="1" w:styleId="CommentTextChar">
    <w:name w:val="Comment Text Char"/>
    <w:basedOn w:val="DefaultParagraphFont"/>
    <w:link w:val="CommentText"/>
    <w:rsid w:val="00A4234B"/>
    <w:rPr>
      <w:kern w:val="14"/>
      <w:lang w:eastAsia="en-US"/>
    </w:rPr>
  </w:style>
  <w:style w:type="paragraph" w:styleId="CommentSubject">
    <w:name w:val="annotation subject"/>
    <w:basedOn w:val="CommentText"/>
    <w:next w:val="CommentText"/>
    <w:link w:val="CommentSubjectChar"/>
    <w:rsid w:val="00A4234B"/>
    <w:rPr>
      <w:b/>
      <w:bCs/>
    </w:rPr>
  </w:style>
  <w:style w:type="character" w:customStyle="1" w:styleId="CommentSubjectChar">
    <w:name w:val="Comment Subject Char"/>
    <w:basedOn w:val="CommentTextChar"/>
    <w:link w:val="CommentSubject"/>
    <w:rsid w:val="00A4234B"/>
    <w:rPr>
      <w:b/>
      <w:bCs/>
      <w:kern w:val="14"/>
      <w:lang w:eastAsia="en-US"/>
    </w:rPr>
  </w:style>
  <w:style w:type="paragraph" w:customStyle="1" w:styleId="Number">
    <w:name w:val="Number"/>
    <w:basedOn w:val="Normal"/>
    <w:rsid w:val="00C577EF"/>
    <w:pPr>
      <w:spacing w:after="220"/>
      <w:ind w:left="720" w:hanging="720"/>
    </w:pPr>
    <w:rPr>
      <w:kern w:val="0"/>
      <w:szCs w:val="22"/>
      <w:lang w:eastAsia="en-GB"/>
    </w:rPr>
  </w:style>
  <w:style w:type="paragraph" w:customStyle="1" w:styleId="Numbera">
    <w:name w:val="Number a)"/>
    <w:basedOn w:val="Normal"/>
    <w:rsid w:val="000E6697"/>
    <w:pPr>
      <w:numPr>
        <w:numId w:val="10"/>
      </w:numPr>
      <w:tabs>
        <w:tab w:val="clear" w:pos="-31680"/>
      </w:tabs>
      <w:spacing w:after="220"/>
      <w:ind w:left="432" w:hanging="432"/>
    </w:pPr>
    <w:rPr>
      <w:kern w:val="0"/>
      <w:szCs w:val="22"/>
      <w:lang w:eastAsia="en-GB"/>
    </w:rPr>
  </w:style>
  <w:style w:type="table" w:customStyle="1" w:styleId="TableGrid1">
    <w:name w:val="Table Grid1"/>
    <w:basedOn w:val="TableNormal"/>
    <w:next w:val="TableGrid"/>
    <w:rsid w:val="00B62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81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0731"/>
    <w:pPr>
      <w:spacing w:after="0"/>
      <w:ind w:left="720"/>
    </w:pPr>
    <w:rPr>
      <w:rFonts w:eastAsiaTheme="minorHAnsi"/>
      <w:kern w:val="0"/>
      <w:szCs w:val="22"/>
    </w:rPr>
  </w:style>
  <w:style w:type="table" w:customStyle="1" w:styleId="TableGrid3">
    <w:name w:val="Table Grid3"/>
    <w:basedOn w:val="TableNormal"/>
    <w:next w:val="TableGrid"/>
    <w:rsid w:val="00950F62"/>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table" w:customStyle="1" w:styleId="TableGrid4">
    <w:name w:val="Table Grid4"/>
    <w:basedOn w:val="TableNormal"/>
    <w:next w:val="TableGrid"/>
    <w:rsid w:val="00CB1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CB1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810C20"/>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table" w:customStyle="1" w:styleId="TableGrid7">
    <w:name w:val="Table Grid7"/>
    <w:basedOn w:val="TableNormal"/>
    <w:next w:val="TableGrid"/>
    <w:rsid w:val="001334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6">
    <w:name w:val="Level 2+6"/>
    <w:basedOn w:val="Normal"/>
    <w:next w:val="Normal"/>
    <w:uiPriority w:val="99"/>
    <w:rsid w:val="00D956CB"/>
    <w:pPr>
      <w:widowControl w:val="0"/>
      <w:autoSpaceDE w:val="0"/>
      <w:autoSpaceDN w:val="0"/>
      <w:adjustRightInd w:val="0"/>
      <w:spacing w:after="0"/>
    </w:pPr>
    <w:rPr>
      <w:rFonts w:eastAsiaTheme="minorEastAsia" w:cs="Arial"/>
      <w:kern w:val="0"/>
      <w:szCs w:val="24"/>
      <w:lang w:eastAsia="en-GB"/>
    </w:rPr>
  </w:style>
  <w:style w:type="paragraph" w:customStyle="1" w:styleId="Level35">
    <w:name w:val="Level 3+5"/>
    <w:basedOn w:val="Normal"/>
    <w:next w:val="Normal"/>
    <w:uiPriority w:val="99"/>
    <w:rsid w:val="00D956CB"/>
    <w:pPr>
      <w:widowControl w:val="0"/>
      <w:autoSpaceDE w:val="0"/>
      <w:autoSpaceDN w:val="0"/>
      <w:adjustRightInd w:val="0"/>
      <w:spacing w:after="0"/>
    </w:pPr>
    <w:rPr>
      <w:rFonts w:eastAsiaTheme="minorEastAsia" w:cs="Arial"/>
      <w:kern w:val="0"/>
      <w:szCs w:val="24"/>
      <w:lang w:eastAsia="en-GB"/>
    </w:rPr>
  </w:style>
  <w:style w:type="paragraph" w:customStyle="1" w:styleId="Default">
    <w:name w:val="Default"/>
    <w:rsid w:val="000E01FB"/>
    <w:pPr>
      <w:autoSpaceDE w:val="0"/>
      <w:autoSpaceDN w:val="0"/>
      <w:adjustRightInd w:val="0"/>
    </w:pPr>
    <w:rPr>
      <w:rFonts w:ascii="Arial" w:hAnsi="Arial" w:cs="Arial"/>
      <w:color w:val="000000"/>
      <w:sz w:val="24"/>
      <w:szCs w:val="24"/>
    </w:rPr>
  </w:style>
  <w:style w:type="paragraph" w:customStyle="1" w:styleId="Level2Char">
    <w:name w:val="Level 2 Char"/>
    <w:basedOn w:val="Default"/>
    <w:next w:val="Default"/>
    <w:uiPriority w:val="99"/>
    <w:rsid w:val="000E01FB"/>
    <w:rPr>
      <w:color w:val="auto"/>
    </w:rPr>
  </w:style>
  <w:style w:type="paragraph" w:customStyle="1" w:styleId="Level31">
    <w:name w:val="Level 3+1"/>
    <w:basedOn w:val="Default"/>
    <w:next w:val="Default"/>
    <w:uiPriority w:val="99"/>
    <w:rsid w:val="000E01FB"/>
    <w:rPr>
      <w:color w:val="auto"/>
    </w:rPr>
  </w:style>
  <w:style w:type="paragraph" w:styleId="BodyTextIndent">
    <w:name w:val="Body Text Indent"/>
    <w:basedOn w:val="Normal"/>
    <w:link w:val="BodyTextIndentChar"/>
    <w:rsid w:val="006A3542"/>
    <w:pPr>
      <w:spacing w:after="120"/>
      <w:ind w:left="283"/>
    </w:pPr>
  </w:style>
  <w:style w:type="character" w:customStyle="1" w:styleId="BodyTextIndentChar">
    <w:name w:val="Body Text Indent Char"/>
    <w:basedOn w:val="DefaultParagraphFont"/>
    <w:link w:val="BodyTextIndent"/>
    <w:rsid w:val="006A3542"/>
    <w:rPr>
      <w:kern w:val="14"/>
      <w:sz w:val="24"/>
      <w:lang w:eastAsia="en-US"/>
    </w:rPr>
  </w:style>
  <w:style w:type="table" w:customStyle="1" w:styleId="TableGrid71">
    <w:name w:val="Table Grid71"/>
    <w:basedOn w:val="TableNormal"/>
    <w:next w:val="TableGrid"/>
    <w:rsid w:val="00E06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F59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7C6C85"/>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character" w:customStyle="1" w:styleId="Heading1Char">
    <w:name w:val="Heading 1 Char"/>
    <w:aliases w:val="Heading level 1 Char,Centre Char,h1 Char,A MAJOR/BOLD Char,Schedheading Char,Heading 1(Report Only) Char,h1 chapter heading Char,Section Heading Char,H1 Char,Attribute Heading 1 Char,Roman 14 B Heading Char,Roman 14 B Heading1 Char"/>
    <w:basedOn w:val="DefaultParagraphFont"/>
    <w:link w:val="Heading1"/>
    <w:uiPriority w:val="9"/>
    <w:rsid w:val="00316DB6"/>
    <w:rPr>
      <w:rFonts w:ascii="Arial" w:hAnsi="Arial"/>
      <w:sz w:val="36"/>
      <w:lang w:eastAsia="en-US"/>
    </w:rPr>
  </w:style>
  <w:style w:type="character" w:customStyle="1" w:styleId="Heading2Char">
    <w:name w:val="Heading 2 Char"/>
    <w:aliases w:val="Left Char,KJL:1st Level Char,Heading Two Char,h2 Char,(1.1 Char,1.2 Char,1.3 etc) Char,Prophead 2 Char,2 Char,RFP Heading 2 Char,Activity Char,l2 Char,H2 Char,PARA2 Char,h 3 Char,Numbered - 2 Char,Reset numbering Char,S Heading Char"/>
    <w:basedOn w:val="DefaultParagraphFont"/>
    <w:link w:val="Heading2"/>
    <w:rsid w:val="004A535B"/>
    <w:rPr>
      <w:rFonts w:ascii="Arial" w:hAnsi="Arial"/>
      <w:b/>
      <w:sz w:val="24"/>
      <w:lang w:eastAsia="en-US"/>
    </w:rPr>
  </w:style>
  <w:style w:type="character" w:customStyle="1" w:styleId="Heading3Char">
    <w:name w:val="Heading 3 Char"/>
    <w:aliases w:val="GSR L3 subhead Char"/>
    <w:basedOn w:val="DefaultParagraphFont"/>
    <w:link w:val="Heading3"/>
    <w:rsid w:val="00A20731"/>
    <w:rPr>
      <w:rFonts w:ascii="Arial" w:hAnsi="Arial"/>
      <w:b/>
      <w:i/>
      <w:kern w:val="14"/>
      <w:sz w:val="22"/>
      <w:lang w:eastAsia="en-US"/>
    </w:rPr>
  </w:style>
  <w:style w:type="character" w:customStyle="1" w:styleId="Heading4Char">
    <w:name w:val="Heading 4 Char"/>
    <w:aliases w:val="GSR L4 subhead Char"/>
    <w:basedOn w:val="DefaultParagraphFont"/>
    <w:link w:val="Heading4"/>
    <w:rsid w:val="009E7860"/>
    <w:rPr>
      <w:rFonts w:ascii="Arial" w:hAnsi="Arial"/>
      <w:i/>
      <w:kern w:val="14"/>
      <w:sz w:val="22"/>
      <w:lang w:eastAsia="en-US"/>
    </w:rPr>
  </w:style>
  <w:style w:type="paragraph" w:styleId="ListNumber">
    <w:name w:val="List Number"/>
    <w:basedOn w:val="Normal"/>
    <w:rsid w:val="00D13E7C"/>
    <w:pPr>
      <w:numPr>
        <w:numId w:val="11"/>
      </w:numPr>
      <w:spacing w:after="0"/>
    </w:pPr>
    <w:rPr>
      <w:kern w:val="0"/>
      <w:sz w:val="20"/>
      <w:szCs w:val="24"/>
      <w:lang w:eastAsia="en-GB"/>
    </w:rPr>
  </w:style>
  <w:style w:type="paragraph" w:customStyle="1" w:styleId="StyleHeading1BoldNounderline">
    <w:name w:val="Style Heading 1 + Bold No underline"/>
    <w:basedOn w:val="Heading1"/>
    <w:rsid w:val="00D13E7C"/>
    <w:pPr>
      <w:spacing w:after="0"/>
    </w:pPr>
    <w:rPr>
      <w:rFonts w:ascii="Times New Roman" w:eastAsiaTheme="majorEastAsia" w:hAnsi="Times New Roman"/>
      <w:b/>
      <w:bCs/>
      <w:caps/>
      <w:sz w:val="28"/>
      <w:szCs w:val="24"/>
    </w:rPr>
  </w:style>
  <w:style w:type="character" w:styleId="Strong">
    <w:name w:val="Strong"/>
    <w:uiPriority w:val="22"/>
    <w:qFormat/>
    <w:rsid w:val="00D13E7C"/>
    <w:rPr>
      <w:b/>
      <w:bCs/>
    </w:rPr>
  </w:style>
  <w:style w:type="character" w:styleId="Emphasis">
    <w:name w:val="Emphasis"/>
    <w:rsid w:val="00D13E7C"/>
    <w:rPr>
      <w:i/>
      <w:iCs/>
    </w:rPr>
  </w:style>
  <w:style w:type="table" w:customStyle="1" w:styleId="TableGrid10">
    <w:name w:val="Table Grid10"/>
    <w:basedOn w:val="TableNormal"/>
    <w:next w:val="TableGrid"/>
    <w:uiPriority w:val="59"/>
    <w:rsid w:val="00D13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rsid w:val="00D13E7C"/>
    <w:rPr>
      <w:rFonts w:ascii="Tahoma" w:hAnsi="Tahoma" w:cs="Tahoma"/>
      <w:kern w:val="14"/>
      <w:sz w:val="16"/>
      <w:szCs w:val="16"/>
      <w:lang w:eastAsia="en-US"/>
    </w:rPr>
  </w:style>
  <w:style w:type="character" w:customStyle="1" w:styleId="HeaderChar">
    <w:name w:val="Header Char"/>
    <w:aliases w:val="B&amp;B Header Char,h Char"/>
    <w:basedOn w:val="DefaultParagraphFont"/>
    <w:link w:val="Header"/>
    <w:rsid w:val="00D13E7C"/>
    <w:rPr>
      <w:rFonts w:ascii="Arial" w:hAnsi="Arial"/>
      <w:color w:val="0066CC"/>
      <w:kern w:val="18"/>
      <w:sz w:val="18"/>
      <w:lang w:eastAsia="en-US"/>
    </w:rPr>
  </w:style>
  <w:style w:type="character" w:customStyle="1" w:styleId="FooterChar">
    <w:name w:val="Footer Char"/>
    <w:basedOn w:val="DefaultParagraphFont"/>
    <w:link w:val="Footer"/>
    <w:uiPriority w:val="99"/>
    <w:rsid w:val="00D13E7C"/>
    <w:rPr>
      <w:rFonts w:ascii="Arial" w:hAnsi="Arial"/>
      <w:color w:val="0066CC"/>
      <w:kern w:val="18"/>
      <w:sz w:val="18"/>
      <w:lang w:eastAsia="en-US"/>
    </w:rPr>
  </w:style>
  <w:style w:type="paragraph" w:customStyle="1" w:styleId="xl63">
    <w:name w:val="xl63"/>
    <w:basedOn w:val="Normal"/>
    <w:rsid w:val="00E24DE4"/>
    <w:pPr>
      <w:spacing w:before="100" w:beforeAutospacing="1" w:after="100" w:afterAutospacing="1"/>
    </w:pPr>
    <w:rPr>
      <w:kern w:val="0"/>
      <w:szCs w:val="24"/>
      <w:lang w:eastAsia="en-GB"/>
    </w:rPr>
  </w:style>
  <w:style w:type="paragraph" w:customStyle="1" w:styleId="xl64">
    <w:name w:val="xl64"/>
    <w:basedOn w:val="Normal"/>
    <w:rsid w:val="00E24DE4"/>
    <w:pPr>
      <w:pBdr>
        <w:bottom w:val="single" w:sz="8" w:space="0" w:color="auto"/>
      </w:pBdr>
      <w:spacing w:before="100" w:beforeAutospacing="1" w:after="100" w:afterAutospacing="1"/>
    </w:pPr>
    <w:rPr>
      <w:b/>
      <w:bCs/>
      <w:kern w:val="0"/>
      <w:szCs w:val="24"/>
      <w:lang w:eastAsia="en-GB"/>
    </w:rPr>
  </w:style>
  <w:style w:type="paragraph" w:customStyle="1" w:styleId="xl65">
    <w:name w:val="xl65"/>
    <w:basedOn w:val="Normal"/>
    <w:rsid w:val="00E24DE4"/>
    <w:pPr>
      <w:spacing w:before="100" w:beforeAutospacing="1" w:after="100" w:afterAutospacing="1"/>
      <w:textAlignment w:val="top"/>
    </w:pPr>
    <w:rPr>
      <w:kern w:val="0"/>
      <w:szCs w:val="24"/>
      <w:lang w:eastAsia="en-GB"/>
    </w:rPr>
  </w:style>
  <w:style w:type="paragraph" w:customStyle="1" w:styleId="xl66">
    <w:name w:val="xl66"/>
    <w:basedOn w:val="Normal"/>
    <w:rsid w:val="00E24DE4"/>
    <w:pPr>
      <w:spacing w:before="100" w:beforeAutospacing="1" w:after="100" w:afterAutospacing="1"/>
      <w:textAlignment w:val="top"/>
    </w:pPr>
    <w:rPr>
      <w:b/>
      <w:bCs/>
      <w:kern w:val="0"/>
      <w:szCs w:val="24"/>
      <w:lang w:eastAsia="en-GB"/>
    </w:rPr>
  </w:style>
  <w:style w:type="paragraph" w:customStyle="1" w:styleId="xl67">
    <w:name w:val="xl67"/>
    <w:basedOn w:val="Normal"/>
    <w:rsid w:val="00E24DE4"/>
    <w:pPr>
      <w:spacing w:before="100" w:beforeAutospacing="1" w:after="100" w:afterAutospacing="1"/>
      <w:textAlignment w:val="top"/>
    </w:pPr>
    <w:rPr>
      <w:kern w:val="0"/>
      <w:szCs w:val="24"/>
      <w:lang w:eastAsia="en-GB"/>
    </w:rPr>
  </w:style>
  <w:style w:type="paragraph" w:customStyle="1" w:styleId="xl68">
    <w:name w:val="xl68"/>
    <w:basedOn w:val="Normal"/>
    <w:rsid w:val="00E24DE4"/>
    <w:pPr>
      <w:spacing w:before="100" w:beforeAutospacing="1" w:after="100" w:afterAutospacing="1"/>
      <w:textAlignment w:val="top"/>
    </w:pPr>
    <w:rPr>
      <w:color w:val="FF0000"/>
      <w:kern w:val="0"/>
      <w:szCs w:val="24"/>
      <w:lang w:eastAsia="en-GB"/>
    </w:rPr>
  </w:style>
  <w:style w:type="paragraph" w:customStyle="1" w:styleId="xl69">
    <w:name w:val="xl69"/>
    <w:basedOn w:val="Normal"/>
    <w:rsid w:val="00E24DE4"/>
    <w:pPr>
      <w:shd w:val="clear" w:color="000000" w:fill="EBF1DE"/>
      <w:spacing w:before="100" w:beforeAutospacing="1" w:after="100" w:afterAutospacing="1"/>
      <w:textAlignment w:val="top"/>
    </w:pPr>
    <w:rPr>
      <w:kern w:val="0"/>
      <w:sz w:val="28"/>
      <w:szCs w:val="28"/>
      <w:lang w:eastAsia="en-GB"/>
    </w:rPr>
  </w:style>
  <w:style w:type="paragraph" w:customStyle="1" w:styleId="xl70">
    <w:name w:val="xl70"/>
    <w:basedOn w:val="Normal"/>
    <w:rsid w:val="00E24DE4"/>
    <w:pPr>
      <w:shd w:val="clear" w:color="000000" w:fill="EBF1DE"/>
      <w:spacing w:before="100" w:beforeAutospacing="1" w:after="100" w:afterAutospacing="1"/>
      <w:textAlignment w:val="top"/>
    </w:pPr>
    <w:rPr>
      <w:kern w:val="0"/>
      <w:sz w:val="28"/>
      <w:szCs w:val="28"/>
      <w:lang w:eastAsia="en-GB"/>
    </w:rPr>
  </w:style>
  <w:style w:type="paragraph" w:customStyle="1" w:styleId="xl71">
    <w:name w:val="xl71"/>
    <w:basedOn w:val="Normal"/>
    <w:rsid w:val="00E24DE4"/>
    <w:pPr>
      <w:spacing w:before="100" w:beforeAutospacing="1" w:after="100" w:afterAutospacing="1"/>
      <w:textAlignment w:val="top"/>
    </w:pPr>
    <w:rPr>
      <w:kern w:val="0"/>
      <w:szCs w:val="24"/>
      <w:lang w:eastAsia="en-GB"/>
    </w:rPr>
  </w:style>
  <w:style w:type="paragraph" w:customStyle="1" w:styleId="xl72">
    <w:name w:val="xl72"/>
    <w:basedOn w:val="Normal"/>
    <w:rsid w:val="00E24DE4"/>
    <w:pPr>
      <w:spacing w:before="100" w:beforeAutospacing="1" w:after="100" w:afterAutospacing="1"/>
      <w:textAlignment w:val="top"/>
    </w:pPr>
    <w:rPr>
      <w:kern w:val="0"/>
      <w:szCs w:val="24"/>
      <w:lang w:eastAsia="en-GB"/>
    </w:rPr>
  </w:style>
  <w:style w:type="paragraph" w:customStyle="1" w:styleId="xl73">
    <w:name w:val="xl73"/>
    <w:basedOn w:val="Normal"/>
    <w:rsid w:val="00E24DE4"/>
    <w:pPr>
      <w:pBdr>
        <w:bottom w:val="single" w:sz="8" w:space="0" w:color="auto"/>
      </w:pBdr>
      <w:spacing w:before="100" w:beforeAutospacing="1" w:after="100" w:afterAutospacing="1"/>
    </w:pPr>
    <w:rPr>
      <w:b/>
      <w:bCs/>
      <w:kern w:val="0"/>
      <w:szCs w:val="24"/>
      <w:lang w:eastAsia="en-GB"/>
    </w:rPr>
  </w:style>
  <w:style w:type="paragraph" w:customStyle="1" w:styleId="xl74">
    <w:name w:val="xl74"/>
    <w:basedOn w:val="Normal"/>
    <w:rsid w:val="00E24DE4"/>
    <w:pPr>
      <w:spacing w:before="100" w:beforeAutospacing="1" w:after="100" w:afterAutospacing="1"/>
      <w:textAlignment w:val="top"/>
    </w:pPr>
    <w:rPr>
      <w:kern w:val="0"/>
      <w:szCs w:val="24"/>
      <w:lang w:eastAsia="en-GB"/>
    </w:rPr>
  </w:style>
  <w:style w:type="paragraph" w:customStyle="1" w:styleId="xl75">
    <w:name w:val="xl75"/>
    <w:basedOn w:val="Normal"/>
    <w:rsid w:val="00E24DE4"/>
    <w:pPr>
      <w:shd w:val="clear" w:color="000000" w:fill="EBF1DE"/>
      <w:spacing w:before="100" w:beforeAutospacing="1" w:after="100" w:afterAutospacing="1"/>
      <w:textAlignment w:val="top"/>
    </w:pPr>
    <w:rPr>
      <w:kern w:val="0"/>
      <w:sz w:val="28"/>
      <w:szCs w:val="28"/>
      <w:lang w:eastAsia="en-GB"/>
    </w:rPr>
  </w:style>
  <w:style w:type="paragraph" w:customStyle="1" w:styleId="xl76">
    <w:name w:val="xl76"/>
    <w:basedOn w:val="Normal"/>
    <w:rsid w:val="00E24DE4"/>
    <w:pPr>
      <w:spacing w:before="100" w:beforeAutospacing="1" w:after="100" w:afterAutospacing="1"/>
      <w:textAlignment w:val="top"/>
    </w:pPr>
    <w:rPr>
      <w:kern w:val="0"/>
      <w:sz w:val="28"/>
      <w:szCs w:val="28"/>
      <w:lang w:eastAsia="en-GB"/>
    </w:rPr>
  </w:style>
  <w:style w:type="paragraph" w:customStyle="1" w:styleId="xl77">
    <w:name w:val="xl77"/>
    <w:basedOn w:val="Normal"/>
    <w:rsid w:val="00E24DE4"/>
    <w:pPr>
      <w:spacing w:before="100" w:beforeAutospacing="1" w:after="100" w:afterAutospacing="1"/>
      <w:textAlignment w:val="top"/>
    </w:pPr>
    <w:rPr>
      <w:kern w:val="0"/>
      <w:szCs w:val="24"/>
      <w:lang w:eastAsia="en-GB"/>
    </w:rPr>
  </w:style>
  <w:style w:type="paragraph" w:customStyle="1" w:styleId="xl78">
    <w:name w:val="xl78"/>
    <w:basedOn w:val="Normal"/>
    <w:rsid w:val="00E24DE4"/>
    <w:pPr>
      <w:spacing w:before="100" w:beforeAutospacing="1" w:after="100" w:afterAutospacing="1"/>
      <w:textAlignment w:val="top"/>
    </w:pPr>
    <w:rPr>
      <w:kern w:val="0"/>
      <w:szCs w:val="24"/>
      <w:lang w:eastAsia="en-GB"/>
    </w:rPr>
  </w:style>
  <w:style w:type="paragraph" w:customStyle="1" w:styleId="xl79">
    <w:name w:val="xl79"/>
    <w:basedOn w:val="Normal"/>
    <w:rsid w:val="00E24DE4"/>
    <w:pPr>
      <w:spacing w:before="100" w:beforeAutospacing="1" w:after="100" w:afterAutospacing="1"/>
      <w:ind w:firstLineChars="100" w:firstLine="100"/>
      <w:textAlignment w:val="top"/>
    </w:pPr>
    <w:rPr>
      <w:kern w:val="0"/>
      <w:szCs w:val="24"/>
      <w:lang w:eastAsia="en-GB"/>
    </w:rPr>
  </w:style>
  <w:style w:type="paragraph" w:customStyle="1" w:styleId="xl80">
    <w:name w:val="xl80"/>
    <w:basedOn w:val="Normal"/>
    <w:rsid w:val="00E24DE4"/>
    <w:pPr>
      <w:pBdr>
        <w:bottom w:val="single" w:sz="8" w:space="0" w:color="auto"/>
      </w:pBdr>
      <w:spacing w:before="100" w:beforeAutospacing="1" w:after="100" w:afterAutospacing="1"/>
    </w:pPr>
    <w:rPr>
      <w:b/>
      <w:bCs/>
      <w:kern w:val="0"/>
      <w:szCs w:val="24"/>
      <w:lang w:eastAsia="en-GB"/>
    </w:rPr>
  </w:style>
  <w:style w:type="paragraph" w:customStyle="1" w:styleId="xl81">
    <w:name w:val="xl81"/>
    <w:basedOn w:val="Normal"/>
    <w:rsid w:val="00E24DE4"/>
    <w:pPr>
      <w:shd w:val="clear" w:color="000000" w:fill="EBF1DE"/>
      <w:spacing w:before="100" w:beforeAutospacing="1" w:after="100" w:afterAutospacing="1"/>
      <w:textAlignment w:val="top"/>
    </w:pPr>
    <w:rPr>
      <w:kern w:val="0"/>
      <w:sz w:val="28"/>
      <w:szCs w:val="28"/>
      <w:lang w:eastAsia="en-GB"/>
    </w:rPr>
  </w:style>
  <w:style w:type="paragraph" w:customStyle="1" w:styleId="xl82">
    <w:name w:val="xl82"/>
    <w:basedOn w:val="Normal"/>
    <w:rsid w:val="00E24DE4"/>
    <w:pPr>
      <w:spacing w:before="100" w:beforeAutospacing="1" w:after="100" w:afterAutospacing="1"/>
      <w:textAlignment w:val="top"/>
    </w:pPr>
    <w:rPr>
      <w:kern w:val="0"/>
      <w:szCs w:val="24"/>
      <w:lang w:eastAsia="en-GB"/>
    </w:rPr>
  </w:style>
  <w:style w:type="paragraph" w:customStyle="1" w:styleId="xl83">
    <w:name w:val="xl83"/>
    <w:basedOn w:val="Normal"/>
    <w:rsid w:val="00E24DE4"/>
    <w:pPr>
      <w:spacing w:before="100" w:beforeAutospacing="1" w:after="100" w:afterAutospacing="1"/>
      <w:textAlignment w:val="top"/>
    </w:pPr>
    <w:rPr>
      <w:b/>
      <w:bCs/>
      <w:kern w:val="0"/>
      <w:szCs w:val="24"/>
      <w:lang w:eastAsia="en-GB"/>
    </w:rPr>
  </w:style>
  <w:style w:type="paragraph" w:customStyle="1" w:styleId="xl84">
    <w:name w:val="xl84"/>
    <w:basedOn w:val="Normal"/>
    <w:rsid w:val="00E24DE4"/>
    <w:pPr>
      <w:spacing w:before="100" w:beforeAutospacing="1" w:after="100" w:afterAutospacing="1"/>
      <w:textAlignment w:val="top"/>
    </w:pPr>
    <w:rPr>
      <w:i/>
      <w:iCs/>
      <w:kern w:val="0"/>
      <w:szCs w:val="24"/>
      <w:lang w:eastAsia="en-GB"/>
    </w:rPr>
  </w:style>
  <w:style w:type="table" w:customStyle="1" w:styleId="TableGrid11">
    <w:name w:val="Table Grid11"/>
    <w:basedOn w:val="TableNormal"/>
    <w:next w:val="TableGrid"/>
    <w:uiPriority w:val="59"/>
    <w:rsid w:val="006A2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rsid w:val="00483516"/>
    <w:rPr>
      <w:rFonts w:ascii="Arial" w:hAnsi="Arial"/>
      <w:i/>
      <w:kern w:val="14"/>
      <w:sz w:val="22"/>
      <w:shd w:val="clear" w:color="auto" w:fill="FFCC99"/>
      <w:lang w:eastAsia="en-US"/>
    </w:rPr>
  </w:style>
  <w:style w:type="character" w:customStyle="1" w:styleId="Heading6Char">
    <w:name w:val="Heading 6 Char"/>
    <w:basedOn w:val="DefaultParagraphFont"/>
    <w:link w:val="Heading6"/>
    <w:rsid w:val="00127CC8"/>
    <w:rPr>
      <w:rFonts w:ascii="Arial" w:hAnsi="Arial"/>
      <w:i/>
      <w:kern w:val="14"/>
      <w:sz w:val="22"/>
      <w:lang w:eastAsia="en-US"/>
    </w:rPr>
  </w:style>
  <w:style w:type="character" w:customStyle="1" w:styleId="Heading7Char">
    <w:name w:val="Heading 7 Char"/>
    <w:aliases w:val="Appendix Heading Char,Appendix Heading1 Char,letter list Char,lettered list Char,Heading 7 do not use Char,LOA3 H7 Char,PA Appendix Major Char"/>
    <w:basedOn w:val="DefaultParagraphFont"/>
    <w:link w:val="Heading7"/>
    <w:rsid w:val="00127CC8"/>
    <w:rPr>
      <w:rFonts w:ascii="Arial" w:hAnsi="Arial"/>
      <w:kern w:val="14"/>
      <w:lang w:eastAsia="en-US"/>
    </w:rPr>
  </w:style>
  <w:style w:type="character" w:customStyle="1" w:styleId="Heading8Char">
    <w:name w:val="Heading 8 Char"/>
    <w:aliases w:val="Appendix Subheading Char,Heading 8 do not use Char,LOA3 H8 Char,PA Appendix Minor Char,Legal Level 1.1.1. Char"/>
    <w:basedOn w:val="DefaultParagraphFont"/>
    <w:link w:val="Heading8"/>
    <w:uiPriority w:val="9"/>
    <w:rsid w:val="00127CC8"/>
    <w:rPr>
      <w:rFonts w:ascii="Arial" w:hAnsi="Arial"/>
      <w:b/>
      <w:i/>
      <w:kern w:val="14"/>
      <w:sz w:val="22"/>
      <w:u w:val="single"/>
      <w:lang w:eastAsia="en-US"/>
    </w:rPr>
  </w:style>
  <w:style w:type="character" w:customStyle="1" w:styleId="Heading9Char">
    <w:name w:val="Heading 9 Char"/>
    <w:aliases w:val="Appendix Subheading 2 Char,App Heading Char,Heading 9 do not use Char,LOA3 H9 Char,App Heading1 Char,App Heading2 Char,App Heading3 Char,App Heading4 Char,App Heading5 Char,App Heading6 Char,App Heading7 Char,App Heading8 Char,Lev 9 Char"/>
    <w:basedOn w:val="DefaultParagraphFont"/>
    <w:link w:val="Heading9"/>
    <w:rsid w:val="00127CC8"/>
    <w:rPr>
      <w:rFonts w:ascii="Arial" w:hAnsi="Arial"/>
      <w:b/>
      <w:i/>
      <w:kern w:val="14"/>
      <w:sz w:val="18"/>
      <w:lang w:eastAsia="en-US"/>
    </w:rPr>
  </w:style>
  <w:style w:type="table" w:customStyle="1" w:styleId="TableGrid21">
    <w:name w:val="Table Grid21"/>
    <w:basedOn w:val="TableNormal"/>
    <w:next w:val="TableGrid"/>
    <w:uiPriority w:val="59"/>
    <w:rsid w:val="00127C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27CC8"/>
    <w:rPr>
      <w:rFonts w:ascii="Arial" w:eastAsia="Calibri"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sid w:val="00127CC8"/>
    <w:rPr>
      <w:rFonts w:ascii="Arial Black" w:hAnsi="Arial Black"/>
      <w:noProof/>
      <w:sz w:val="28"/>
      <w:szCs w:val="28"/>
      <w:lang w:val="en-US" w:eastAsia="en-US"/>
    </w:rPr>
  </w:style>
  <w:style w:type="table" w:customStyle="1" w:styleId="TableGrid13">
    <w:name w:val="Table Grid13"/>
    <w:basedOn w:val="TableNormal"/>
    <w:next w:val="TableGrid"/>
    <w:uiPriority w:val="59"/>
    <w:rsid w:val="00127CC8"/>
    <w:rPr>
      <w:rFonts w:ascii="Arial" w:eastAsia="Calibri"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127CC8"/>
    <w:rPr>
      <w:rFonts w:ascii="Arial" w:eastAsia="Calibri"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127CC8"/>
    <w:rPr>
      <w:rFonts w:ascii="Arial" w:eastAsia="Calibri"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127CC8"/>
    <w:rPr>
      <w:kern w:val="14"/>
      <w:sz w:val="16"/>
      <w:lang w:eastAsia="en-US"/>
    </w:rPr>
  </w:style>
  <w:style w:type="table" w:customStyle="1" w:styleId="TableGrid0">
    <w:name w:val="TableGrid"/>
    <w:rsid w:val="00127CC8"/>
    <w:rPr>
      <w:rFonts w:ascii="Calibri" w:hAnsi="Calibri"/>
      <w:sz w:val="22"/>
      <w:szCs w:val="22"/>
    </w:rPr>
    <w:tblPr>
      <w:tblCellMar>
        <w:top w:w="0" w:type="dxa"/>
        <w:left w:w="0" w:type="dxa"/>
        <w:bottom w:w="0" w:type="dxa"/>
        <w:right w:w="0" w:type="dxa"/>
      </w:tblCellMar>
    </w:tblPr>
  </w:style>
  <w:style w:type="character" w:customStyle="1" w:styleId="BodyTextChar">
    <w:name w:val="Body Text Char"/>
    <w:basedOn w:val="DefaultParagraphFont"/>
    <w:link w:val="BodyText"/>
    <w:rsid w:val="00127CC8"/>
    <w:rPr>
      <w:kern w:val="14"/>
      <w:sz w:val="24"/>
      <w:lang w:eastAsia="en-US"/>
    </w:rPr>
  </w:style>
  <w:style w:type="paragraph" w:customStyle="1" w:styleId="numberedpara">
    <w:name w:val="numbered para"/>
    <w:next w:val="Normal"/>
    <w:uiPriority w:val="12"/>
    <w:qFormat/>
    <w:rsid w:val="008A4520"/>
    <w:pPr>
      <w:numPr>
        <w:numId w:val="17"/>
      </w:numPr>
      <w:spacing w:before="120" w:after="120"/>
    </w:pPr>
    <w:rPr>
      <w:rFonts w:ascii="Arial" w:eastAsia="Calibri" w:hAnsi="Arial"/>
      <w:kern w:val="27"/>
      <w:sz w:val="22"/>
      <w:lang w:eastAsia="en-US"/>
    </w:rPr>
  </w:style>
  <w:style w:type="paragraph" w:customStyle="1" w:styleId="ListBulletIndented1">
    <w:name w:val="List Bullet Indented1"/>
    <w:basedOn w:val="ListBullet2"/>
    <w:next w:val="ListBullet3"/>
    <w:uiPriority w:val="21"/>
    <w:rsid w:val="00127CC8"/>
    <w:pPr>
      <w:numPr>
        <w:ilvl w:val="0"/>
        <w:numId w:val="0"/>
      </w:numPr>
      <w:tabs>
        <w:tab w:val="num" w:pos="1195"/>
      </w:tabs>
      <w:spacing w:line="265" w:lineRule="atLeast"/>
      <w:ind w:left="1195" w:hanging="475"/>
    </w:pPr>
    <w:rPr>
      <w:rFonts w:ascii="Calibri" w:eastAsia="Calibri" w:hAnsi="Calibri"/>
      <w:spacing w:val="-4"/>
      <w:kern w:val="0"/>
      <w:sz w:val="19"/>
      <w:szCs w:val="22"/>
    </w:rPr>
  </w:style>
  <w:style w:type="paragraph" w:customStyle="1" w:styleId="ListBullet41">
    <w:name w:val="List Bullet 41"/>
    <w:basedOn w:val="ListBullet3"/>
    <w:next w:val="ListBullet4"/>
    <w:uiPriority w:val="22"/>
    <w:semiHidden/>
    <w:rsid w:val="00127CC8"/>
    <w:pPr>
      <w:numPr>
        <w:numId w:val="0"/>
      </w:numPr>
      <w:tabs>
        <w:tab w:val="num" w:pos="1800"/>
      </w:tabs>
      <w:spacing w:line="265" w:lineRule="atLeast"/>
      <w:ind w:left="1800" w:hanging="605"/>
      <w:contextualSpacing w:val="0"/>
    </w:pPr>
    <w:rPr>
      <w:rFonts w:ascii="Calibri" w:eastAsia="Calibri" w:hAnsi="Calibri"/>
      <w:spacing w:val="-4"/>
      <w:kern w:val="0"/>
      <w:sz w:val="19"/>
      <w:szCs w:val="22"/>
    </w:rPr>
  </w:style>
  <w:style w:type="paragraph" w:customStyle="1" w:styleId="ListBullet51">
    <w:name w:val="List Bullet 51"/>
    <w:basedOn w:val="ListBullet4"/>
    <w:next w:val="ListBullet5"/>
    <w:uiPriority w:val="22"/>
    <w:semiHidden/>
    <w:rsid w:val="00127CC8"/>
    <w:pPr>
      <w:tabs>
        <w:tab w:val="num" w:pos="2160"/>
      </w:tabs>
      <w:spacing w:line="265" w:lineRule="atLeast"/>
      <w:ind w:left="2160" w:hanging="360"/>
      <w:contextualSpacing w:val="0"/>
    </w:pPr>
    <w:rPr>
      <w:rFonts w:ascii="Calibri" w:eastAsia="Calibri" w:hAnsi="Calibri"/>
      <w:spacing w:val="-4"/>
      <w:kern w:val="0"/>
      <w:sz w:val="19"/>
      <w:szCs w:val="22"/>
    </w:rPr>
  </w:style>
  <w:style w:type="numbering" w:customStyle="1" w:styleId="ListBulletStyle">
    <w:name w:val="List Bullet Style"/>
    <w:uiPriority w:val="99"/>
    <w:rsid w:val="00127CC8"/>
    <w:pPr>
      <w:numPr>
        <w:numId w:val="12"/>
      </w:numPr>
    </w:pPr>
  </w:style>
  <w:style w:type="numbering" w:customStyle="1" w:styleId="MPDTHeadingStyleList">
    <w:name w:val="MPDT Heading Style List"/>
    <w:uiPriority w:val="99"/>
    <w:rsid w:val="00127CC8"/>
    <w:pPr>
      <w:numPr>
        <w:numId w:val="13"/>
      </w:numPr>
    </w:pPr>
  </w:style>
  <w:style w:type="paragraph" w:customStyle="1" w:styleId="SubsectionHeading">
    <w:name w:val="Subsection Heading"/>
    <w:basedOn w:val="numberedpara"/>
    <w:next w:val="BodyText"/>
    <w:uiPriority w:val="12"/>
    <w:rsid w:val="00F57111"/>
    <w:pPr>
      <w:numPr>
        <w:numId w:val="15"/>
      </w:numPr>
      <w:tabs>
        <w:tab w:val="num" w:pos="720"/>
      </w:tabs>
      <w:ind w:left="924" w:hanging="357"/>
      <w:outlineLvl w:val="1"/>
    </w:pPr>
    <w:rPr>
      <w:kern w:val="23"/>
    </w:rPr>
  </w:style>
  <w:style w:type="paragraph" w:customStyle="1" w:styleId="Sub-SubsectionHeading">
    <w:name w:val="Sub-Subsection Heading"/>
    <w:basedOn w:val="SubsectionHeading"/>
    <w:next w:val="BodyText"/>
    <w:uiPriority w:val="12"/>
    <w:rsid w:val="0092016F"/>
    <w:pPr>
      <w:numPr>
        <w:numId w:val="16"/>
      </w:numPr>
      <w:spacing w:before="60" w:after="60"/>
      <w:ind w:left="720" w:firstLine="0"/>
      <w:outlineLvl w:val="2"/>
    </w:pPr>
    <w:rPr>
      <w:kern w:val="21"/>
    </w:rPr>
  </w:style>
  <w:style w:type="paragraph" w:customStyle="1" w:styleId="SectionHeadingLevel4">
    <w:name w:val="Section Heading Level 4"/>
    <w:basedOn w:val="Sub-SubsectionHeading"/>
    <w:uiPriority w:val="13"/>
    <w:semiHidden/>
    <w:qFormat/>
    <w:rsid w:val="00127CC8"/>
    <w:pPr>
      <w:numPr>
        <w:ilvl w:val="3"/>
      </w:numPr>
      <w:tabs>
        <w:tab w:val="num" w:pos="2304"/>
      </w:tabs>
      <w:ind w:left="2304" w:hanging="864"/>
    </w:pPr>
  </w:style>
  <w:style w:type="paragraph" w:customStyle="1" w:styleId="SectionHeadingLevel5">
    <w:name w:val="Section Heading Level 5"/>
    <w:basedOn w:val="SectionHeadingLevel4"/>
    <w:uiPriority w:val="13"/>
    <w:semiHidden/>
    <w:qFormat/>
    <w:rsid w:val="00127CC8"/>
    <w:pPr>
      <w:numPr>
        <w:ilvl w:val="4"/>
      </w:numPr>
      <w:tabs>
        <w:tab w:val="num" w:pos="3384"/>
      </w:tabs>
      <w:ind w:left="3384" w:hanging="1080"/>
    </w:pPr>
  </w:style>
  <w:style w:type="paragraph" w:customStyle="1" w:styleId="SectionHeadingLevel6">
    <w:name w:val="Section Heading Level 6"/>
    <w:basedOn w:val="SectionHeadingLevel5"/>
    <w:uiPriority w:val="13"/>
    <w:semiHidden/>
    <w:qFormat/>
    <w:rsid w:val="00127CC8"/>
    <w:pPr>
      <w:numPr>
        <w:ilvl w:val="5"/>
      </w:numPr>
      <w:ind w:left="4680" w:hanging="1296"/>
    </w:pPr>
  </w:style>
  <w:style w:type="paragraph" w:customStyle="1" w:styleId="SectionHeadingLevel7">
    <w:name w:val="Section Heading Level 7"/>
    <w:basedOn w:val="SectionHeadingLevel6"/>
    <w:uiPriority w:val="13"/>
    <w:semiHidden/>
    <w:qFormat/>
    <w:rsid w:val="00127CC8"/>
    <w:pPr>
      <w:numPr>
        <w:ilvl w:val="6"/>
      </w:numPr>
      <w:tabs>
        <w:tab w:val="num" w:pos="1800"/>
      </w:tabs>
      <w:ind w:left="1800" w:hanging="720"/>
    </w:pPr>
  </w:style>
  <w:style w:type="paragraph" w:customStyle="1" w:styleId="SectionHeadingLevel8">
    <w:name w:val="Section Heading Level 8"/>
    <w:basedOn w:val="SectionHeadingLevel7"/>
    <w:uiPriority w:val="13"/>
    <w:semiHidden/>
    <w:qFormat/>
    <w:rsid w:val="00127CC8"/>
    <w:pPr>
      <w:numPr>
        <w:ilvl w:val="7"/>
      </w:numPr>
      <w:tabs>
        <w:tab w:val="num" w:pos="2520"/>
      </w:tabs>
      <w:ind w:left="2520" w:hanging="720"/>
    </w:pPr>
  </w:style>
  <w:style w:type="paragraph" w:customStyle="1" w:styleId="SectionHeadingLevel9">
    <w:name w:val="Section Heading Level 9"/>
    <w:basedOn w:val="SectionHeadingLevel8"/>
    <w:uiPriority w:val="13"/>
    <w:semiHidden/>
    <w:qFormat/>
    <w:rsid w:val="00127CC8"/>
    <w:pPr>
      <w:numPr>
        <w:ilvl w:val="8"/>
      </w:numPr>
      <w:tabs>
        <w:tab w:val="num" w:pos="3121"/>
        <w:tab w:val="num" w:pos="3600"/>
      </w:tabs>
      <w:ind w:left="3600" w:hanging="360"/>
    </w:pPr>
  </w:style>
  <w:style w:type="table" w:customStyle="1" w:styleId="TableColourHeader">
    <w:name w:val="Table Colour Header"/>
    <w:basedOn w:val="TableNormal"/>
    <w:uiPriority w:val="99"/>
    <w:rsid w:val="00127CC8"/>
    <w:pPr>
      <w:spacing w:after="60" w:line="265" w:lineRule="atLeast"/>
    </w:pPr>
    <w:rPr>
      <w:rFonts w:ascii="Calibri" w:eastAsia="Calibri" w:hAnsi="Calibri"/>
      <w:sz w:val="19"/>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jc w:val="center"/>
      </w:pPr>
      <w:rPr>
        <w:rFonts w:ascii="Calibri Light" w:hAnsi="Calibri Light"/>
        <w:color w:val="FFFFFF"/>
      </w:rPr>
      <w:tblPr/>
      <w:trPr>
        <w:tblHeader/>
      </w:trPr>
      <w:tcPr>
        <w:shd w:val="clear" w:color="auto" w:fill="5B9BD5"/>
      </w:tcPr>
    </w:tblStylePr>
  </w:style>
  <w:style w:type="paragraph" w:customStyle="1" w:styleId="ApndxHeading">
    <w:name w:val="Apndx Heading"/>
    <w:next w:val="BodyText"/>
    <w:uiPriority w:val="28"/>
    <w:rsid w:val="00127CC8"/>
    <w:pPr>
      <w:pageBreakBefore/>
      <w:numPr>
        <w:numId w:val="14"/>
      </w:numPr>
      <w:spacing w:after="120" w:line="320" w:lineRule="exact"/>
      <w:ind w:left="360" w:hanging="360"/>
      <w:outlineLvl w:val="0"/>
    </w:pPr>
    <w:rPr>
      <w:rFonts w:ascii="Calibri Light" w:eastAsia="Calibri" w:hAnsi="Calibri Light"/>
      <w:kern w:val="27"/>
      <w:sz w:val="27"/>
      <w:lang w:eastAsia="en-US"/>
    </w:rPr>
  </w:style>
  <w:style w:type="paragraph" w:customStyle="1" w:styleId="ApndxSubHeading">
    <w:name w:val="Apndx Sub Heading"/>
    <w:basedOn w:val="ApndxHeading"/>
    <w:next w:val="BodyText"/>
    <w:uiPriority w:val="28"/>
    <w:rsid w:val="00127CC8"/>
    <w:pPr>
      <w:keepNext/>
      <w:keepLines/>
      <w:pageBreakBefore w:val="0"/>
      <w:numPr>
        <w:ilvl w:val="1"/>
      </w:numPr>
      <w:spacing w:before="240" w:line="280" w:lineRule="exact"/>
      <w:ind w:left="1080" w:hanging="360"/>
      <w:outlineLvl w:val="1"/>
    </w:pPr>
    <w:rPr>
      <w:kern w:val="23"/>
      <w:sz w:val="23"/>
    </w:rPr>
  </w:style>
  <w:style w:type="paragraph" w:customStyle="1" w:styleId="ApndxSub-SubHeading">
    <w:name w:val="Apndx Sub-Sub Heading"/>
    <w:basedOn w:val="ApndxSubHeading"/>
    <w:next w:val="BodyText"/>
    <w:uiPriority w:val="28"/>
    <w:rsid w:val="00127CC8"/>
    <w:pPr>
      <w:numPr>
        <w:ilvl w:val="2"/>
      </w:numPr>
      <w:spacing w:before="220" w:line="260" w:lineRule="exact"/>
      <w:ind w:left="1800" w:hanging="180"/>
      <w:outlineLvl w:val="2"/>
    </w:pPr>
    <w:rPr>
      <w:kern w:val="21"/>
      <w:sz w:val="21"/>
    </w:rPr>
  </w:style>
  <w:style w:type="paragraph" w:customStyle="1" w:styleId="ApndxHeadingLevel4">
    <w:name w:val="Apndx Heading Level 4"/>
    <w:basedOn w:val="ApndxSub-SubHeading"/>
    <w:uiPriority w:val="29"/>
    <w:semiHidden/>
    <w:qFormat/>
    <w:rsid w:val="00127CC8"/>
    <w:pPr>
      <w:numPr>
        <w:ilvl w:val="3"/>
      </w:numPr>
      <w:ind w:left="2520" w:hanging="360"/>
    </w:pPr>
  </w:style>
  <w:style w:type="paragraph" w:customStyle="1" w:styleId="ApndxHeadingLevel5">
    <w:name w:val="Apndx Heading Level 5"/>
    <w:basedOn w:val="ApndxHeadingLevel4"/>
    <w:uiPriority w:val="29"/>
    <w:semiHidden/>
    <w:qFormat/>
    <w:rsid w:val="00127CC8"/>
    <w:pPr>
      <w:numPr>
        <w:ilvl w:val="4"/>
      </w:numPr>
      <w:ind w:left="3240" w:hanging="360"/>
    </w:pPr>
  </w:style>
  <w:style w:type="paragraph" w:customStyle="1" w:styleId="ApndxHeadingLevel6">
    <w:name w:val="Apndx Heading Level 6"/>
    <w:basedOn w:val="ApndxHeadingLevel5"/>
    <w:uiPriority w:val="29"/>
    <w:semiHidden/>
    <w:qFormat/>
    <w:rsid w:val="00127CC8"/>
    <w:pPr>
      <w:numPr>
        <w:ilvl w:val="5"/>
      </w:numPr>
      <w:ind w:left="3960" w:hanging="180"/>
    </w:pPr>
  </w:style>
  <w:style w:type="paragraph" w:customStyle="1" w:styleId="ApndxHeadingLevel7">
    <w:name w:val="Apndx Heading Level 7"/>
    <w:basedOn w:val="ApndxHeadingLevel6"/>
    <w:uiPriority w:val="29"/>
    <w:semiHidden/>
    <w:qFormat/>
    <w:rsid w:val="00127CC8"/>
    <w:pPr>
      <w:numPr>
        <w:ilvl w:val="6"/>
      </w:numPr>
      <w:ind w:left="4680" w:hanging="360"/>
    </w:pPr>
  </w:style>
  <w:style w:type="paragraph" w:customStyle="1" w:styleId="ApndxHeadingLevel8">
    <w:name w:val="Apndx Heading Level 8"/>
    <w:basedOn w:val="ApndxHeadingLevel7"/>
    <w:uiPriority w:val="29"/>
    <w:semiHidden/>
    <w:qFormat/>
    <w:rsid w:val="00127CC8"/>
    <w:pPr>
      <w:numPr>
        <w:ilvl w:val="7"/>
      </w:numPr>
      <w:ind w:left="5400" w:hanging="360"/>
    </w:pPr>
  </w:style>
  <w:style w:type="paragraph" w:customStyle="1" w:styleId="ApndxHeadingLevel9">
    <w:name w:val="Apndx Heading Level 9"/>
    <w:basedOn w:val="ApndxHeadingLevel8"/>
    <w:uiPriority w:val="29"/>
    <w:semiHidden/>
    <w:qFormat/>
    <w:rsid w:val="00127CC8"/>
    <w:pPr>
      <w:numPr>
        <w:ilvl w:val="8"/>
      </w:numPr>
      <w:tabs>
        <w:tab w:val="num" w:pos="3600"/>
      </w:tabs>
      <w:ind w:left="3600" w:hanging="180"/>
    </w:pPr>
  </w:style>
  <w:style w:type="numbering" w:customStyle="1" w:styleId="MPDTAppendixHeadingStyle">
    <w:name w:val="MPDT Appendix Heading Style"/>
    <w:uiPriority w:val="99"/>
    <w:rsid w:val="00127CC8"/>
    <w:pPr>
      <w:numPr>
        <w:numId w:val="14"/>
      </w:numPr>
    </w:pPr>
  </w:style>
  <w:style w:type="paragraph" w:customStyle="1" w:styleId="PlainText1">
    <w:name w:val="Plain Text1"/>
    <w:basedOn w:val="Normal"/>
    <w:next w:val="PlainText"/>
    <w:link w:val="PlainTextChar"/>
    <w:uiPriority w:val="99"/>
    <w:semiHidden/>
    <w:unhideWhenUsed/>
    <w:rsid w:val="00127CC8"/>
    <w:pPr>
      <w:spacing w:after="0"/>
    </w:pPr>
    <w:rPr>
      <w:rFonts w:ascii="Calibri" w:hAnsi="Calibri"/>
      <w:kern w:val="0"/>
      <w:sz w:val="20"/>
      <w:szCs w:val="21"/>
      <w:lang w:eastAsia="en-GB"/>
    </w:rPr>
  </w:style>
  <w:style w:type="character" w:customStyle="1" w:styleId="PlainTextChar">
    <w:name w:val="Plain Text Char"/>
    <w:basedOn w:val="DefaultParagraphFont"/>
    <w:link w:val="PlainText1"/>
    <w:uiPriority w:val="99"/>
    <w:semiHidden/>
    <w:rsid w:val="00127CC8"/>
    <w:rPr>
      <w:rFonts w:ascii="Calibri" w:hAnsi="Calibri"/>
      <w:szCs w:val="21"/>
    </w:rPr>
  </w:style>
  <w:style w:type="paragraph" w:customStyle="1" w:styleId="Revision1">
    <w:name w:val="Revision1"/>
    <w:next w:val="Revision"/>
    <w:hidden/>
    <w:uiPriority w:val="99"/>
    <w:semiHidden/>
    <w:rsid w:val="00127CC8"/>
    <w:rPr>
      <w:rFonts w:ascii="Arial" w:eastAsia="Calibri" w:hAnsi="Arial"/>
      <w:sz w:val="22"/>
      <w:szCs w:val="22"/>
      <w:lang w:eastAsia="en-US"/>
    </w:rPr>
  </w:style>
  <w:style w:type="table" w:customStyle="1" w:styleId="TableGrid51">
    <w:name w:val="Table Grid51"/>
    <w:basedOn w:val="TableNormal"/>
    <w:next w:val="TableGrid"/>
    <w:rsid w:val="00127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127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127CC8"/>
    <w:pPr>
      <w:numPr>
        <w:numId w:val="12"/>
      </w:numPr>
      <w:ind w:left="1440" w:hanging="360"/>
      <w:contextualSpacing/>
    </w:pPr>
  </w:style>
  <w:style w:type="paragraph" w:styleId="ListBullet4">
    <w:name w:val="List Bullet 4"/>
    <w:basedOn w:val="Normal"/>
    <w:rsid w:val="00127CC8"/>
    <w:pPr>
      <w:ind w:left="432" w:hanging="432"/>
      <w:contextualSpacing/>
    </w:pPr>
  </w:style>
  <w:style w:type="paragraph" w:styleId="ListBullet5">
    <w:name w:val="List Bullet 5"/>
    <w:basedOn w:val="Normal"/>
    <w:rsid w:val="00127CC8"/>
    <w:pPr>
      <w:ind w:left="432" w:hanging="432"/>
      <w:contextualSpacing/>
    </w:pPr>
  </w:style>
  <w:style w:type="paragraph" w:styleId="PlainText">
    <w:name w:val="Plain Text"/>
    <w:basedOn w:val="Normal"/>
    <w:link w:val="PlainTextChar1"/>
    <w:uiPriority w:val="99"/>
    <w:rsid w:val="00127CC8"/>
    <w:pPr>
      <w:spacing w:after="0"/>
    </w:pPr>
    <w:rPr>
      <w:rFonts w:ascii="Consolas" w:hAnsi="Consolas"/>
      <w:sz w:val="21"/>
      <w:szCs w:val="21"/>
    </w:rPr>
  </w:style>
  <w:style w:type="character" w:customStyle="1" w:styleId="PlainTextChar1">
    <w:name w:val="Plain Text Char1"/>
    <w:basedOn w:val="DefaultParagraphFont"/>
    <w:link w:val="PlainText"/>
    <w:uiPriority w:val="99"/>
    <w:rsid w:val="00127CC8"/>
    <w:rPr>
      <w:rFonts w:ascii="Consolas" w:hAnsi="Consolas"/>
      <w:kern w:val="14"/>
      <w:sz w:val="21"/>
      <w:szCs w:val="21"/>
      <w:lang w:eastAsia="en-US"/>
    </w:rPr>
  </w:style>
  <w:style w:type="paragraph" w:styleId="Revision">
    <w:name w:val="Revision"/>
    <w:hidden/>
    <w:uiPriority w:val="99"/>
    <w:semiHidden/>
    <w:rsid w:val="00127CC8"/>
    <w:rPr>
      <w:kern w:val="14"/>
      <w:sz w:val="24"/>
      <w:lang w:eastAsia="en-US"/>
    </w:rPr>
  </w:style>
  <w:style w:type="paragraph" w:styleId="TOC4">
    <w:name w:val="toc 4"/>
    <w:basedOn w:val="Normal"/>
    <w:next w:val="Normal"/>
    <w:autoRedefine/>
    <w:uiPriority w:val="39"/>
    <w:unhideWhenUsed/>
    <w:rsid w:val="006975C6"/>
    <w:pPr>
      <w:spacing w:before="0" w:after="0"/>
      <w:ind w:left="720"/>
    </w:pPr>
    <w:rPr>
      <w:rFonts w:cstheme="minorHAnsi"/>
      <w:sz w:val="20"/>
    </w:rPr>
  </w:style>
  <w:style w:type="paragraph" w:styleId="TOC5">
    <w:name w:val="toc 5"/>
    <w:basedOn w:val="Normal"/>
    <w:next w:val="Normal"/>
    <w:autoRedefine/>
    <w:uiPriority w:val="39"/>
    <w:unhideWhenUsed/>
    <w:rsid w:val="005A05F2"/>
    <w:pPr>
      <w:spacing w:before="0" w:after="0"/>
      <w:ind w:left="880"/>
    </w:pPr>
    <w:rPr>
      <w:rFonts w:asciiTheme="minorHAnsi" w:hAnsiTheme="minorHAnsi" w:cstheme="minorHAnsi"/>
      <w:sz w:val="20"/>
    </w:rPr>
  </w:style>
  <w:style w:type="paragraph" w:styleId="TOC6">
    <w:name w:val="toc 6"/>
    <w:basedOn w:val="Normal"/>
    <w:next w:val="Normal"/>
    <w:autoRedefine/>
    <w:uiPriority w:val="39"/>
    <w:unhideWhenUsed/>
    <w:rsid w:val="005A05F2"/>
    <w:pPr>
      <w:spacing w:before="0" w:after="0"/>
      <w:ind w:left="1100"/>
    </w:pPr>
    <w:rPr>
      <w:rFonts w:asciiTheme="minorHAnsi" w:hAnsiTheme="minorHAnsi" w:cstheme="minorHAnsi"/>
      <w:sz w:val="20"/>
    </w:rPr>
  </w:style>
  <w:style w:type="paragraph" w:styleId="TOC7">
    <w:name w:val="toc 7"/>
    <w:basedOn w:val="Normal"/>
    <w:next w:val="Normal"/>
    <w:autoRedefine/>
    <w:uiPriority w:val="39"/>
    <w:unhideWhenUsed/>
    <w:rsid w:val="005A05F2"/>
    <w:pPr>
      <w:spacing w:before="0" w:after="0"/>
      <w:ind w:left="1320"/>
    </w:pPr>
    <w:rPr>
      <w:rFonts w:asciiTheme="minorHAnsi" w:hAnsiTheme="minorHAnsi" w:cstheme="minorHAnsi"/>
      <w:sz w:val="20"/>
    </w:rPr>
  </w:style>
  <w:style w:type="paragraph" w:styleId="TOC8">
    <w:name w:val="toc 8"/>
    <w:basedOn w:val="Normal"/>
    <w:next w:val="Normal"/>
    <w:autoRedefine/>
    <w:uiPriority w:val="39"/>
    <w:unhideWhenUsed/>
    <w:rsid w:val="005A05F2"/>
    <w:pPr>
      <w:spacing w:before="0" w:after="0"/>
      <w:ind w:left="1540"/>
    </w:pPr>
    <w:rPr>
      <w:rFonts w:asciiTheme="minorHAnsi" w:hAnsiTheme="minorHAnsi" w:cstheme="minorHAnsi"/>
      <w:sz w:val="20"/>
    </w:rPr>
  </w:style>
  <w:style w:type="paragraph" w:styleId="TOC9">
    <w:name w:val="toc 9"/>
    <w:basedOn w:val="Normal"/>
    <w:next w:val="Normal"/>
    <w:autoRedefine/>
    <w:uiPriority w:val="39"/>
    <w:unhideWhenUsed/>
    <w:rsid w:val="005A05F2"/>
    <w:pPr>
      <w:spacing w:before="0" w:after="0"/>
      <w:ind w:left="1760"/>
    </w:pPr>
    <w:rPr>
      <w:rFonts w:asciiTheme="minorHAnsi" w:hAnsiTheme="minorHAnsi" w:cstheme="minorHAnsi"/>
      <w:sz w:val="20"/>
    </w:rPr>
  </w:style>
  <w:style w:type="paragraph" w:styleId="BodyText3">
    <w:name w:val="Body Text 3"/>
    <w:basedOn w:val="Normal"/>
    <w:link w:val="BodyText3Char"/>
    <w:rsid w:val="0034060A"/>
    <w:pPr>
      <w:spacing w:after="120"/>
    </w:pPr>
    <w:rPr>
      <w:sz w:val="16"/>
      <w:szCs w:val="16"/>
    </w:rPr>
  </w:style>
  <w:style w:type="character" w:customStyle="1" w:styleId="BodyText3Char">
    <w:name w:val="Body Text 3 Char"/>
    <w:basedOn w:val="DefaultParagraphFont"/>
    <w:link w:val="BodyText3"/>
    <w:rsid w:val="0034060A"/>
    <w:rPr>
      <w:rFonts w:ascii="Arial" w:hAnsi="Arial"/>
      <w:kern w:val="14"/>
      <w:sz w:val="16"/>
      <w:szCs w:val="16"/>
      <w:lang w:eastAsia="en-US"/>
    </w:rPr>
  </w:style>
  <w:style w:type="paragraph" w:customStyle="1" w:styleId="GSRL3heading">
    <w:name w:val="GSR L3 heading"/>
    <w:basedOn w:val="Normal"/>
    <w:next w:val="Normal"/>
    <w:qFormat/>
    <w:rsid w:val="00790D6A"/>
    <w:pPr>
      <w:numPr>
        <w:numId w:val="96"/>
      </w:numPr>
      <w:tabs>
        <w:tab w:val="left" w:pos="0"/>
      </w:tabs>
      <w:adjustRightInd w:val="0"/>
      <w:spacing w:before="360" w:after="240"/>
      <w:jc w:val="both"/>
      <w:outlineLvl w:val="2"/>
    </w:pPr>
    <w:rPr>
      <w:rFonts w:eastAsia="STZhongsong" w:cs="Arial"/>
      <w:b/>
      <w:kern w:val="0"/>
      <w:sz w:val="24"/>
      <w:szCs w:val="22"/>
      <w:lang w:eastAsia="zh-CN"/>
    </w:rPr>
  </w:style>
  <w:style w:type="paragraph" w:customStyle="1" w:styleId="GSRL4numberedclause">
    <w:name w:val="GSR L4 numbered clause"/>
    <w:basedOn w:val="Normal"/>
    <w:link w:val="GSRL4numberedclauseChar"/>
    <w:qFormat/>
    <w:rsid w:val="00790D6A"/>
    <w:pPr>
      <w:numPr>
        <w:ilvl w:val="1"/>
        <w:numId w:val="96"/>
      </w:numPr>
      <w:tabs>
        <w:tab w:val="left" w:pos="1134"/>
      </w:tabs>
      <w:adjustRightInd w:val="0"/>
      <w:spacing w:before="120" w:after="120"/>
      <w:jc w:val="both"/>
    </w:pPr>
    <w:rPr>
      <w:rFonts w:cs="Arial"/>
      <w:kern w:val="0"/>
      <w:szCs w:val="22"/>
      <w:lang w:eastAsia="zh-CN"/>
    </w:rPr>
  </w:style>
  <w:style w:type="paragraph" w:customStyle="1" w:styleId="GSRL5numberedclause">
    <w:name w:val="GSR L5 numbered clause"/>
    <w:basedOn w:val="GSRL4numberedclause"/>
    <w:link w:val="GSRL5numberedclauseChar"/>
    <w:qFormat/>
    <w:rsid w:val="00790D6A"/>
    <w:pPr>
      <w:numPr>
        <w:ilvl w:val="2"/>
      </w:numPr>
      <w:tabs>
        <w:tab w:val="left" w:pos="2127"/>
      </w:tabs>
    </w:pPr>
  </w:style>
  <w:style w:type="paragraph" w:customStyle="1" w:styleId="GSRL6numberedclause">
    <w:name w:val="GSR L6 numbered clause"/>
    <w:basedOn w:val="GSRL5numberedclause"/>
    <w:link w:val="GSRL6numberedclauseChar"/>
    <w:qFormat/>
    <w:rsid w:val="00790D6A"/>
    <w:pPr>
      <w:numPr>
        <w:ilvl w:val="3"/>
      </w:numPr>
      <w:tabs>
        <w:tab w:val="clear" w:pos="2127"/>
      </w:tabs>
    </w:pPr>
    <w:rPr>
      <w:szCs w:val="20"/>
    </w:rPr>
  </w:style>
  <w:style w:type="paragraph" w:customStyle="1" w:styleId="GSRL7numberedclause">
    <w:name w:val="GSR L7 numbered clause"/>
    <w:basedOn w:val="GSRL6numberedclause"/>
    <w:link w:val="GSRL7numberedclauseChar"/>
    <w:qFormat/>
    <w:rsid w:val="00790D6A"/>
    <w:pPr>
      <w:numPr>
        <w:ilvl w:val="4"/>
      </w:numPr>
      <w:tabs>
        <w:tab w:val="left" w:pos="3402"/>
      </w:tabs>
    </w:pPr>
  </w:style>
  <w:style w:type="paragraph" w:customStyle="1" w:styleId="GSRL8numbered">
    <w:name w:val="GSR L8 numbered"/>
    <w:basedOn w:val="GSRL7numberedclause"/>
    <w:qFormat/>
    <w:rsid w:val="00790D6A"/>
    <w:pPr>
      <w:numPr>
        <w:ilvl w:val="5"/>
      </w:numPr>
      <w:tabs>
        <w:tab w:val="left" w:pos="4253"/>
      </w:tabs>
    </w:pPr>
  </w:style>
  <w:style w:type="character" w:customStyle="1" w:styleId="GSRL2SectionheadingChar">
    <w:name w:val="GSR L2 Section heading Char"/>
    <w:link w:val="GSRL2Sectionheading"/>
    <w:locked/>
    <w:rsid w:val="00BE69DF"/>
    <w:rPr>
      <w:rFonts w:ascii="Arial" w:eastAsia="STZhongsong" w:hAnsi="Arial" w:cs="Arial"/>
      <w:b/>
      <w:caps/>
      <w:sz w:val="24"/>
      <w:szCs w:val="22"/>
      <w:lang w:eastAsia="zh-CN"/>
    </w:rPr>
  </w:style>
  <w:style w:type="paragraph" w:customStyle="1" w:styleId="GSRL2Sectionheading">
    <w:name w:val="GSR L2 Section heading"/>
    <w:basedOn w:val="GSRL3heading"/>
    <w:next w:val="GSRL3heading"/>
    <w:link w:val="GSRL2SectionheadingChar"/>
    <w:qFormat/>
    <w:rsid w:val="00BE69DF"/>
    <w:pPr>
      <w:numPr>
        <w:numId w:val="0"/>
      </w:numPr>
      <w:tabs>
        <w:tab w:val="num" w:pos="1656"/>
      </w:tabs>
      <w:jc w:val="center"/>
    </w:pPr>
    <w:rPr>
      <w:caps/>
    </w:rPr>
  </w:style>
  <w:style w:type="character" w:customStyle="1" w:styleId="GSRL4numberedclauseChar">
    <w:name w:val="GSR L4 numbered clause Char"/>
    <w:link w:val="GSRL4numberedclause"/>
    <w:locked/>
    <w:rsid w:val="00790D6A"/>
    <w:rPr>
      <w:rFonts w:ascii="Arial" w:hAnsi="Arial" w:cs="Arial"/>
      <w:sz w:val="22"/>
      <w:szCs w:val="22"/>
      <w:lang w:eastAsia="zh-CN"/>
    </w:rPr>
  </w:style>
  <w:style w:type="character" w:customStyle="1" w:styleId="DocumentMapChar">
    <w:name w:val="Document Map Char"/>
    <w:link w:val="DocumentMap"/>
    <w:semiHidden/>
    <w:rsid w:val="00B074CC"/>
    <w:rPr>
      <w:rFonts w:ascii="Tahoma" w:eastAsia="MS Gothic" w:hAnsi="Tahoma"/>
      <w:kern w:val="14"/>
      <w:sz w:val="18"/>
      <w:shd w:val="clear" w:color="auto" w:fill="000080"/>
      <w:lang w:eastAsia="en-US"/>
    </w:rPr>
  </w:style>
  <w:style w:type="paragraph" w:customStyle="1" w:styleId="Normal8">
    <w:name w:val="Normal+8"/>
    <w:basedOn w:val="Normal"/>
    <w:next w:val="Normal"/>
    <w:uiPriority w:val="99"/>
    <w:rsid w:val="00B074CC"/>
    <w:pPr>
      <w:autoSpaceDE w:val="0"/>
      <w:autoSpaceDN w:val="0"/>
      <w:adjustRightInd w:val="0"/>
      <w:spacing w:before="0" w:after="0"/>
    </w:pPr>
    <w:rPr>
      <w:rFonts w:cs="Arial"/>
      <w:kern w:val="0"/>
      <w:sz w:val="24"/>
      <w:szCs w:val="24"/>
      <w:lang w:eastAsia="en-GB"/>
    </w:rPr>
  </w:style>
  <w:style w:type="character" w:customStyle="1" w:styleId="GSRL5numberedclauseChar">
    <w:name w:val="GSR L5 numbered clause Char"/>
    <w:link w:val="GSRL5numberedclause"/>
    <w:rsid w:val="00790D6A"/>
    <w:rPr>
      <w:rFonts w:ascii="Arial" w:hAnsi="Arial" w:cs="Arial"/>
      <w:sz w:val="22"/>
      <w:szCs w:val="22"/>
      <w:lang w:eastAsia="zh-CN"/>
    </w:rPr>
  </w:style>
  <w:style w:type="paragraph" w:customStyle="1" w:styleId="GPSDefinitionTerm">
    <w:name w:val="GPS Definition Term"/>
    <w:basedOn w:val="Normal"/>
    <w:rsid w:val="00B074CC"/>
    <w:pPr>
      <w:overflowPunct w:val="0"/>
      <w:autoSpaceDE w:val="0"/>
      <w:autoSpaceDN w:val="0"/>
      <w:adjustRightInd w:val="0"/>
      <w:spacing w:before="0" w:after="120"/>
      <w:ind w:left="-108"/>
      <w:textAlignment w:val="baseline"/>
    </w:pPr>
    <w:rPr>
      <w:rFonts w:cs="Arial"/>
      <w:b/>
      <w:kern w:val="0"/>
      <w:szCs w:val="22"/>
    </w:rPr>
  </w:style>
  <w:style w:type="paragraph" w:customStyle="1" w:styleId="GPsDefinition">
    <w:name w:val="GPs Definition"/>
    <w:basedOn w:val="Normal"/>
    <w:rsid w:val="00B074CC"/>
    <w:pPr>
      <w:numPr>
        <w:numId w:val="36"/>
      </w:numPr>
      <w:tabs>
        <w:tab w:val="left" w:pos="-9"/>
        <w:tab w:val="num" w:pos="1587"/>
      </w:tabs>
      <w:overflowPunct w:val="0"/>
      <w:autoSpaceDE w:val="0"/>
      <w:autoSpaceDN w:val="0"/>
      <w:adjustRightInd w:val="0"/>
      <w:spacing w:before="0" w:after="120"/>
      <w:ind w:left="1587" w:hanging="793"/>
      <w:jc w:val="both"/>
      <w:textAlignment w:val="baseline"/>
    </w:pPr>
    <w:rPr>
      <w:rFonts w:cs="Arial"/>
      <w:kern w:val="0"/>
      <w:szCs w:val="22"/>
    </w:rPr>
  </w:style>
  <w:style w:type="paragraph" w:customStyle="1" w:styleId="GPSDefinitionL2">
    <w:name w:val="GPS Definition L2"/>
    <w:basedOn w:val="GPsDefinition"/>
    <w:link w:val="GPSDefinitionL2Char"/>
    <w:rsid w:val="00B074CC"/>
    <w:pPr>
      <w:numPr>
        <w:ilvl w:val="1"/>
      </w:numPr>
      <w:tabs>
        <w:tab w:val="clear" w:pos="-9"/>
        <w:tab w:val="left" w:pos="144"/>
        <w:tab w:val="num" w:pos="2381"/>
      </w:tabs>
      <w:ind w:left="2381" w:hanging="794"/>
    </w:pPr>
  </w:style>
  <w:style w:type="paragraph" w:customStyle="1" w:styleId="GPSDefinitionL3">
    <w:name w:val="GPS Definition L3"/>
    <w:basedOn w:val="GPSDefinitionL2"/>
    <w:rsid w:val="00B074CC"/>
    <w:pPr>
      <w:numPr>
        <w:ilvl w:val="2"/>
      </w:numPr>
      <w:tabs>
        <w:tab w:val="num" w:pos="2381"/>
      </w:tabs>
      <w:ind w:left="2381" w:hanging="794"/>
    </w:pPr>
  </w:style>
  <w:style w:type="paragraph" w:customStyle="1" w:styleId="GPSDefinitionL4">
    <w:name w:val="GPS Definition L4"/>
    <w:basedOn w:val="GPSDefinitionL3"/>
    <w:rsid w:val="00B074CC"/>
    <w:pPr>
      <w:numPr>
        <w:ilvl w:val="3"/>
      </w:numPr>
      <w:tabs>
        <w:tab w:val="num" w:pos="360"/>
        <w:tab w:val="num" w:pos="2381"/>
      </w:tabs>
      <w:ind w:left="2381" w:hanging="794"/>
    </w:pPr>
  </w:style>
  <w:style w:type="paragraph" w:customStyle="1" w:styleId="GPSmacrorestart">
    <w:name w:val="GPS macro restart"/>
    <w:basedOn w:val="Normal"/>
    <w:rsid w:val="00B074CC"/>
    <w:pPr>
      <w:overflowPunct w:val="0"/>
      <w:autoSpaceDE w:val="0"/>
      <w:autoSpaceDN w:val="0"/>
      <w:adjustRightInd w:val="0"/>
      <w:spacing w:before="0" w:after="0"/>
      <w:jc w:val="both"/>
      <w:textAlignment w:val="baseline"/>
    </w:pPr>
    <w:rPr>
      <w:rFonts w:cs="Arial"/>
      <w:color w:val="FFFFFF"/>
      <w:kern w:val="0"/>
      <w:sz w:val="16"/>
      <w:szCs w:val="16"/>
    </w:rPr>
  </w:style>
  <w:style w:type="paragraph" w:customStyle="1" w:styleId="Bullet2">
    <w:name w:val="Bullet 2"/>
    <w:basedOn w:val="Normal"/>
    <w:rsid w:val="00B074CC"/>
    <w:pPr>
      <w:numPr>
        <w:numId w:val="37"/>
      </w:numPr>
      <w:tabs>
        <w:tab w:val="clear" w:pos="1191"/>
      </w:tabs>
      <w:spacing w:before="0" w:after="220"/>
      <w:ind w:left="1440" w:hanging="720"/>
      <w:jc w:val="both"/>
    </w:pPr>
    <w:rPr>
      <w:kern w:val="0"/>
      <w:szCs w:val="22"/>
      <w:lang w:eastAsia="en-GB"/>
    </w:rPr>
  </w:style>
  <w:style w:type="character" w:customStyle="1" w:styleId="GSRL6numberedclauseChar">
    <w:name w:val="GSR L6 numbered clause Char"/>
    <w:link w:val="GSRL6numberedclause"/>
    <w:rsid w:val="00790D6A"/>
    <w:rPr>
      <w:rFonts w:ascii="Arial" w:hAnsi="Arial" w:cs="Arial"/>
      <w:sz w:val="22"/>
      <w:lang w:eastAsia="zh-CN"/>
    </w:rPr>
  </w:style>
  <w:style w:type="character" w:customStyle="1" w:styleId="GSRL7numberedclauseChar">
    <w:name w:val="GSR L7 numbered clause Char"/>
    <w:link w:val="GSRL7numberedclause"/>
    <w:rsid w:val="00790D6A"/>
    <w:rPr>
      <w:rFonts w:ascii="Arial" w:hAnsi="Arial" w:cs="Arial"/>
      <w:sz w:val="22"/>
      <w:lang w:eastAsia="zh-CN"/>
    </w:rPr>
  </w:style>
  <w:style w:type="paragraph" w:customStyle="1" w:styleId="GPSL3Indent">
    <w:name w:val="GPS L3 Indent"/>
    <w:basedOn w:val="Normal"/>
    <w:rsid w:val="00B074CC"/>
    <w:pPr>
      <w:tabs>
        <w:tab w:val="left" w:pos="2127"/>
      </w:tabs>
      <w:adjustRightInd w:val="0"/>
      <w:spacing w:before="120" w:after="120"/>
      <w:ind w:left="2127"/>
      <w:jc w:val="both"/>
    </w:pPr>
    <w:rPr>
      <w:rFonts w:cs="Arial"/>
      <w:kern w:val="0"/>
      <w:szCs w:val="22"/>
      <w:lang w:val="en-US" w:eastAsia="zh-CN"/>
    </w:rPr>
  </w:style>
  <w:style w:type="paragraph" w:customStyle="1" w:styleId="GPSL2Indent">
    <w:name w:val="GPS L2 Indent"/>
    <w:basedOn w:val="GSRL4numberedclause"/>
    <w:link w:val="GPSL2IndentChar"/>
    <w:rsid w:val="00B074CC"/>
    <w:pPr>
      <w:numPr>
        <w:ilvl w:val="0"/>
        <w:numId w:val="0"/>
      </w:numPr>
      <w:tabs>
        <w:tab w:val="clear" w:pos="1134"/>
        <w:tab w:val="left" w:pos="709"/>
        <w:tab w:val="left" w:pos="2127"/>
      </w:tabs>
      <w:ind w:left="709"/>
    </w:pPr>
    <w:rPr>
      <w:rFonts w:ascii="Calibri" w:hAnsi="Calibri"/>
    </w:rPr>
  </w:style>
  <w:style w:type="character" w:customStyle="1" w:styleId="GPSL2IndentChar">
    <w:name w:val="GPS L2 Indent Char"/>
    <w:link w:val="GPSL2Indent"/>
    <w:rsid w:val="00B074CC"/>
    <w:rPr>
      <w:rFonts w:ascii="Calibri" w:hAnsi="Calibri" w:cs="Arial"/>
      <w:sz w:val="22"/>
      <w:szCs w:val="22"/>
      <w:lang w:eastAsia="zh-CN"/>
    </w:rPr>
  </w:style>
  <w:style w:type="paragraph" w:customStyle="1" w:styleId="Numberi">
    <w:name w:val="Number i)"/>
    <w:basedOn w:val="Normal"/>
    <w:rsid w:val="00B074CC"/>
    <w:pPr>
      <w:numPr>
        <w:numId w:val="38"/>
      </w:numPr>
      <w:tabs>
        <w:tab w:val="clear" w:pos="1656"/>
      </w:tabs>
      <w:spacing w:before="0" w:after="220"/>
      <w:ind w:left="720"/>
      <w:jc w:val="both"/>
    </w:pPr>
    <w:rPr>
      <w:kern w:val="0"/>
      <w:szCs w:val="22"/>
      <w:lang w:eastAsia="en-GB"/>
    </w:rPr>
  </w:style>
  <w:style w:type="paragraph" w:customStyle="1" w:styleId="MarginText">
    <w:name w:val="Margin Text"/>
    <w:basedOn w:val="Normal"/>
    <w:next w:val="Normal"/>
    <w:link w:val="MarginTextChar"/>
    <w:rsid w:val="00B074CC"/>
    <w:pPr>
      <w:autoSpaceDE w:val="0"/>
      <w:autoSpaceDN w:val="0"/>
      <w:adjustRightInd w:val="0"/>
      <w:spacing w:before="0" w:after="0"/>
    </w:pPr>
    <w:rPr>
      <w:rFonts w:cs="Arial"/>
      <w:kern w:val="0"/>
      <w:sz w:val="24"/>
      <w:szCs w:val="24"/>
      <w:lang w:eastAsia="en-GB"/>
    </w:rPr>
  </w:style>
  <w:style w:type="character" w:customStyle="1" w:styleId="MarginTextChar">
    <w:name w:val="Margin Text Char"/>
    <w:link w:val="MarginText"/>
    <w:rsid w:val="00B074CC"/>
    <w:rPr>
      <w:rFonts w:ascii="Arial" w:hAnsi="Arial" w:cs="Arial"/>
      <w:sz w:val="24"/>
      <w:szCs w:val="24"/>
    </w:rPr>
  </w:style>
  <w:style w:type="paragraph" w:customStyle="1" w:styleId="Guidancenoteparagraphtext">
    <w:name w:val="Guidance note paragraph text"/>
    <w:basedOn w:val="MarginText"/>
    <w:link w:val="GuidancenoteparagraphtextChar"/>
    <w:rsid w:val="00B074CC"/>
    <w:pPr>
      <w:autoSpaceDE/>
      <w:autoSpaceDN/>
      <w:adjustRightInd/>
      <w:spacing w:after="240"/>
      <w:ind w:left="709"/>
      <w:jc w:val="both"/>
    </w:pPr>
    <w:rPr>
      <w:rFonts w:eastAsia="STZhongsong" w:cs="Times New Roman"/>
      <w:b/>
      <w:i/>
      <w:color w:val="000000"/>
      <w:sz w:val="20"/>
      <w:lang w:eastAsia="zh-CN"/>
    </w:rPr>
  </w:style>
  <w:style w:type="character" w:customStyle="1" w:styleId="GuidancenoteparagraphtextChar">
    <w:name w:val="Guidance note paragraph text Char"/>
    <w:link w:val="Guidancenoteparagraphtext"/>
    <w:rsid w:val="00B074CC"/>
    <w:rPr>
      <w:rFonts w:ascii="Arial" w:eastAsia="STZhongsong" w:hAnsi="Arial"/>
      <w:b/>
      <w:i/>
      <w:color w:val="000000"/>
      <w:szCs w:val="24"/>
      <w:lang w:eastAsia="zh-CN"/>
    </w:rPr>
  </w:style>
  <w:style w:type="paragraph" w:customStyle="1" w:styleId="PartDes">
    <w:name w:val="PartDes"/>
    <w:basedOn w:val="Normal"/>
    <w:rsid w:val="00B074CC"/>
    <w:pPr>
      <w:spacing w:before="120" w:after="120"/>
      <w:jc w:val="center"/>
    </w:pPr>
    <w:rPr>
      <w:rFonts w:ascii="Trebuchet MS" w:eastAsia="Trebuchet MS" w:hAnsi="Trebuchet MS"/>
      <w:b/>
      <w:bCs/>
      <w:kern w:val="0"/>
      <w:szCs w:val="22"/>
    </w:rPr>
  </w:style>
  <w:style w:type="paragraph" w:customStyle="1" w:styleId="GPSL2NumberedBoldHeading">
    <w:name w:val="GPS L2 Numbered Bold Heading"/>
    <w:basedOn w:val="Normal"/>
    <w:rsid w:val="00B074CC"/>
    <w:pPr>
      <w:tabs>
        <w:tab w:val="left" w:pos="1134"/>
      </w:tabs>
      <w:adjustRightInd w:val="0"/>
      <w:spacing w:before="120" w:after="120"/>
      <w:ind w:left="644" w:hanging="218"/>
      <w:jc w:val="both"/>
    </w:pPr>
    <w:rPr>
      <w:rFonts w:ascii="Calibri" w:hAnsi="Calibri" w:cs="Arial"/>
      <w:b/>
      <w:kern w:val="0"/>
      <w:szCs w:val="22"/>
      <w:lang w:eastAsia="zh-CN"/>
    </w:rPr>
  </w:style>
  <w:style w:type="paragraph" w:customStyle="1" w:styleId="GPSL2Numbered">
    <w:name w:val="GPS L2 Numbered"/>
    <w:basedOn w:val="GPSL2NumberedBoldHeading"/>
    <w:link w:val="GPSL2NumberedChar"/>
    <w:rsid w:val="00B074CC"/>
    <w:pPr>
      <w:tabs>
        <w:tab w:val="left" w:pos="709"/>
      </w:tabs>
      <w:ind w:hanging="360"/>
    </w:pPr>
    <w:rPr>
      <w:b w:val="0"/>
    </w:rPr>
  </w:style>
  <w:style w:type="character" w:customStyle="1" w:styleId="GPSL2NumberedChar">
    <w:name w:val="GPS L2 Numbered Char"/>
    <w:link w:val="GPSL2Numbered"/>
    <w:locked/>
    <w:rsid w:val="00B074CC"/>
    <w:rPr>
      <w:rFonts w:ascii="Calibri" w:hAnsi="Calibri" w:cs="Arial"/>
      <w:sz w:val="22"/>
      <w:szCs w:val="22"/>
      <w:lang w:eastAsia="zh-CN"/>
    </w:rPr>
  </w:style>
  <w:style w:type="paragraph" w:customStyle="1" w:styleId="GPSL1ClauseHeading">
    <w:name w:val="GPS L1 Clause Heading"/>
    <w:basedOn w:val="Normal"/>
    <w:next w:val="Normal"/>
    <w:rsid w:val="00626054"/>
    <w:pPr>
      <w:tabs>
        <w:tab w:val="left" w:pos="0"/>
      </w:tabs>
      <w:adjustRightInd w:val="0"/>
      <w:spacing w:before="240" w:after="240"/>
      <w:jc w:val="both"/>
      <w:outlineLvl w:val="1"/>
    </w:pPr>
    <w:rPr>
      <w:rFonts w:ascii="Arial Bold" w:eastAsia="STZhongsong" w:hAnsi="Arial Bold" w:cs="Arial"/>
      <w:b/>
      <w:kern w:val="0"/>
      <w:szCs w:val="22"/>
      <w:lang w:eastAsia="zh-CN"/>
    </w:rPr>
  </w:style>
  <w:style w:type="paragraph" w:customStyle="1" w:styleId="Normal14">
    <w:name w:val="Normal+14"/>
    <w:basedOn w:val="Normal"/>
    <w:next w:val="Normal"/>
    <w:uiPriority w:val="99"/>
    <w:rsid w:val="00626054"/>
    <w:pPr>
      <w:autoSpaceDE w:val="0"/>
      <w:autoSpaceDN w:val="0"/>
      <w:adjustRightInd w:val="0"/>
      <w:spacing w:before="0" w:after="0"/>
    </w:pPr>
    <w:rPr>
      <w:rFonts w:eastAsia="Calibri" w:cs="Arial"/>
      <w:kern w:val="0"/>
      <w:sz w:val="24"/>
      <w:szCs w:val="24"/>
    </w:rPr>
  </w:style>
  <w:style w:type="paragraph" w:customStyle="1" w:styleId="GPSL4indent">
    <w:name w:val="GPS L4 indent"/>
    <w:basedOn w:val="GSRL6numberedclause"/>
    <w:link w:val="GPSL4indentChar"/>
    <w:rsid w:val="008E344E"/>
    <w:pPr>
      <w:numPr>
        <w:ilvl w:val="0"/>
        <w:numId w:val="0"/>
      </w:numPr>
      <w:tabs>
        <w:tab w:val="clear" w:pos="1134"/>
        <w:tab w:val="left" w:pos="1985"/>
        <w:tab w:val="left" w:pos="2552"/>
      </w:tabs>
      <w:ind w:left="3119"/>
    </w:pPr>
    <w:rPr>
      <w:szCs w:val="22"/>
    </w:rPr>
  </w:style>
  <w:style w:type="paragraph" w:customStyle="1" w:styleId="GPSL1indent">
    <w:name w:val="GPS L1 indent"/>
    <w:basedOn w:val="Normal"/>
    <w:link w:val="GPSL1indentChar"/>
    <w:rsid w:val="008E344E"/>
    <w:pPr>
      <w:tabs>
        <w:tab w:val="left" w:pos="851"/>
      </w:tabs>
      <w:overflowPunct w:val="0"/>
      <w:autoSpaceDE w:val="0"/>
      <w:autoSpaceDN w:val="0"/>
      <w:adjustRightInd w:val="0"/>
      <w:spacing w:before="0" w:after="240"/>
      <w:ind w:left="709"/>
      <w:jc w:val="both"/>
      <w:textAlignment w:val="baseline"/>
    </w:pPr>
    <w:rPr>
      <w:rFonts w:ascii="Calibri" w:hAnsi="Calibri" w:cs="Arial"/>
      <w:kern w:val="0"/>
      <w:szCs w:val="22"/>
    </w:rPr>
  </w:style>
  <w:style w:type="character" w:customStyle="1" w:styleId="GPSL1indentChar">
    <w:name w:val="GPS L1 indent Char"/>
    <w:link w:val="GPSL1indent"/>
    <w:locked/>
    <w:rsid w:val="008E344E"/>
    <w:rPr>
      <w:rFonts w:ascii="Calibri" w:hAnsi="Calibri" w:cs="Arial"/>
      <w:sz w:val="22"/>
      <w:szCs w:val="22"/>
      <w:lang w:eastAsia="en-US"/>
    </w:rPr>
  </w:style>
  <w:style w:type="character" w:customStyle="1" w:styleId="GPSL4indentChar">
    <w:name w:val="GPS L4 indent Char"/>
    <w:link w:val="GPSL4indent"/>
    <w:rsid w:val="008E344E"/>
    <w:rPr>
      <w:rFonts w:ascii="Arial" w:hAnsi="Arial" w:cs="Arial"/>
      <w:sz w:val="22"/>
      <w:szCs w:val="22"/>
      <w:lang w:eastAsia="zh-CN"/>
    </w:rPr>
  </w:style>
  <w:style w:type="paragraph" w:customStyle="1" w:styleId="Bullet1">
    <w:name w:val="Bullet 1"/>
    <w:basedOn w:val="Normal"/>
    <w:rsid w:val="008E344E"/>
    <w:pPr>
      <w:numPr>
        <w:numId w:val="46"/>
      </w:numPr>
      <w:tabs>
        <w:tab w:val="clear" w:pos="-31680"/>
      </w:tabs>
      <w:spacing w:before="0" w:after="220"/>
      <w:ind w:left="360" w:hanging="360"/>
      <w:jc w:val="both"/>
    </w:pPr>
    <w:rPr>
      <w:kern w:val="0"/>
      <w:szCs w:val="22"/>
      <w:lang w:eastAsia="en-GB"/>
    </w:rPr>
  </w:style>
  <w:style w:type="paragraph" w:customStyle="1" w:styleId="Style">
    <w:name w:val="Style"/>
    <w:rsid w:val="008E344E"/>
    <w:pPr>
      <w:widowControl w:val="0"/>
      <w:autoSpaceDE w:val="0"/>
      <w:autoSpaceDN w:val="0"/>
      <w:adjustRightInd w:val="0"/>
    </w:pPr>
    <w:rPr>
      <w:rFonts w:ascii="Arial" w:hAnsi="Arial" w:cs="Arial"/>
      <w:sz w:val="24"/>
      <w:szCs w:val="24"/>
    </w:rPr>
  </w:style>
  <w:style w:type="paragraph" w:customStyle="1" w:styleId="Normal3">
    <w:name w:val="Normal+3"/>
    <w:basedOn w:val="Normal"/>
    <w:next w:val="Normal"/>
    <w:uiPriority w:val="99"/>
    <w:rsid w:val="008E344E"/>
    <w:pPr>
      <w:autoSpaceDE w:val="0"/>
      <w:autoSpaceDN w:val="0"/>
      <w:adjustRightInd w:val="0"/>
      <w:spacing w:before="0" w:after="0"/>
    </w:pPr>
    <w:rPr>
      <w:rFonts w:cs="Arial"/>
      <w:kern w:val="0"/>
      <w:sz w:val="24"/>
      <w:szCs w:val="24"/>
      <w:lang w:eastAsia="en-GB"/>
    </w:rPr>
  </w:style>
  <w:style w:type="paragraph" w:customStyle="1" w:styleId="Normal5">
    <w:name w:val="Normal+5"/>
    <w:basedOn w:val="Normal"/>
    <w:next w:val="Normal"/>
    <w:uiPriority w:val="99"/>
    <w:rsid w:val="008E344E"/>
    <w:pPr>
      <w:autoSpaceDE w:val="0"/>
      <w:autoSpaceDN w:val="0"/>
      <w:adjustRightInd w:val="0"/>
      <w:spacing w:before="0" w:after="0"/>
    </w:pPr>
    <w:rPr>
      <w:rFonts w:cs="Arial"/>
      <w:kern w:val="0"/>
      <w:sz w:val="24"/>
      <w:szCs w:val="24"/>
      <w:lang w:eastAsia="en-GB"/>
    </w:rPr>
  </w:style>
  <w:style w:type="character" w:customStyle="1" w:styleId="Level2Char4">
    <w:name w:val="Level 2 Char+4"/>
    <w:uiPriority w:val="99"/>
    <w:rsid w:val="008E344E"/>
    <w:rPr>
      <w:color w:val="000000"/>
      <w:sz w:val="22"/>
      <w:szCs w:val="22"/>
    </w:rPr>
  </w:style>
  <w:style w:type="paragraph" w:customStyle="1" w:styleId="Normal12">
    <w:name w:val="Normal+12"/>
    <w:basedOn w:val="Default"/>
    <w:next w:val="Default"/>
    <w:uiPriority w:val="99"/>
    <w:rsid w:val="008E344E"/>
    <w:rPr>
      <w:rFonts w:eastAsia="Calibri"/>
      <w:color w:val="auto"/>
      <w:lang w:eastAsia="en-US"/>
    </w:rPr>
  </w:style>
  <w:style w:type="paragraph" w:customStyle="1" w:styleId="Normal15">
    <w:name w:val="Normal+15"/>
    <w:basedOn w:val="Default"/>
    <w:next w:val="Default"/>
    <w:uiPriority w:val="99"/>
    <w:rsid w:val="008E344E"/>
    <w:rPr>
      <w:rFonts w:eastAsia="Calibri"/>
      <w:color w:val="auto"/>
      <w:lang w:eastAsia="en-US"/>
    </w:rPr>
  </w:style>
  <w:style w:type="paragraph" w:customStyle="1" w:styleId="Paragraph2BodyChar">
    <w:name w:val="Paragraph 2 Body Char"/>
    <w:basedOn w:val="Default"/>
    <w:next w:val="Default"/>
    <w:uiPriority w:val="99"/>
    <w:rsid w:val="008E344E"/>
    <w:rPr>
      <w:rFonts w:eastAsia="Calibri"/>
      <w:color w:val="auto"/>
      <w:lang w:eastAsia="en-US"/>
    </w:rPr>
  </w:style>
  <w:style w:type="paragraph" w:styleId="Index1">
    <w:name w:val="index 1"/>
    <w:basedOn w:val="Normal"/>
    <w:next w:val="Normal"/>
    <w:autoRedefine/>
    <w:uiPriority w:val="99"/>
    <w:semiHidden/>
    <w:unhideWhenUsed/>
    <w:rsid w:val="008E344E"/>
    <w:pPr>
      <w:spacing w:before="0" w:after="220"/>
      <w:ind w:left="220" w:hanging="220"/>
      <w:jc w:val="both"/>
    </w:pPr>
    <w:rPr>
      <w:kern w:val="0"/>
      <w:szCs w:val="22"/>
      <w:lang w:eastAsia="en-GB"/>
    </w:rPr>
  </w:style>
  <w:style w:type="paragraph" w:styleId="IndexHeading">
    <w:name w:val="index heading"/>
    <w:basedOn w:val="Default"/>
    <w:next w:val="Default"/>
    <w:uiPriority w:val="99"/>
    <w:rsid w:val="008E344E"/>
    <w:rPr>
      <w:rFonts w:eastAsia="Calibri"/>
      <w:color w:val="auto"/>
      <w:lang w:eastAsia="en-US"/>
    </w:rPr>
  </w:style>
  <w:style w:type="paragraph" w:customStyle="1" w:styleId="TOC113">
    <w:name w:val="TOC 1+13"/>
    <w:basedOn w:val="Default"/>
    <w:next w:val="Default"/>
    <w:uiPriority w:val="99"/>
    <w:rsid w:val="008E344E"/>
    <w:rPr>
      <w:rFonts w:eastAsia="Calibri"/>
      <w:color w:val="auto"/>
      <w:lang w:eastAsia="en-US"/>
    </w:rPr>
  </w:style>
  <w:style w:type="paragraph" w:customStyle="1" w:styleId="Normal23">
    <w:name w:val="Normal+23"/>
    <w:basedOn w:val="Default"/>
    <w:next w:val="Default"/>
    <w:uiPriority w:val="99"/>
    <w:rsid w:val="008E344E"/>
    <w:rPr>
      <w:rFonts w:eastAsia="Calibri"/>
      <w:color w:val="auto"/>
      <w:lang w:eastAsia="en-US"/>
    </w:rPr>
  </w:style>
  <w:style w:type="character" w:customStyle="1" w:styleId="GPSL2numberedclauseChar">
    <w:name w:val="GPS L2 numbered clause Char"/>
    <w:rsid w:val="008E344E"/>
    <w:rPr>
      <w:rFonts w:ascii="Calibri" w:hAnsi="Calibri" w:cs="Arial"/>
      <w:sz w:val="22"/>
      <w:szCs w:val="22"/>
      <w:lang w:eastAsia="zh-CN"/>
    </w:rPr>
  </w:style>
  <w:style w:type="paragraph" w:customStyle="1" w:styleId="MOJStyle0">
    <w:name w:val="MOJ Style0"/>
    <w:basedOn w:val="Normal"/>
    <w:autoRedefine/>
    <w:uiPriority w:val="99"/>
    <w:rsid w:val="008E344E"/>
    <w:pPr>
      <w:numPr>
        <w:numId w:val="47"/>
      </w:numPr>
      <w:tabs>
        <w:tab w:val="clear" w:pos="360"/>
      </w:tabs>
      <w:suppressAutoHyphens/>
      <w:spacing w:before="0" w:after="0" w:line="360" w:lineRule="auto"/>
      <w:ind w:left="720"/>
      <w:jc w:val="both"/>
    </w:pPr>
    <w:rPr>
      <w:rFonts w:eastAsia="MS Mincho" w:cs="Arial"/>
      <w:b/>
      <w:kern w:val="0"/>
      <w:szCs w:val="22"/>
      <w:lang w:eastAsia="ja-JP"/>
    </w:rPr>
  </w:style>
  <w:style w:type="paragraph" w:customStyle="1" w:styleId="MOJLevel1">
    <w:name w:val="MOJ Level 1"/>
    <w:basedOn w:val="Normal"/>
    <w:next w:val="MOJLevel2"/>
    <w:autoRedefine/>
    <w:uiPriority w:val="99"/>
    <w:rsid w:val="008E344E"/>
    <w:pPr>
      <w:numPr>
        <w:ilvl w:val="1"/>
        <w:numId w:val="47"/>
      </w:numPr>
      <w:tabs>
        <w:tab w:val="clear" w:pos="720"/>
      </w:tabs>
      <w:suppressAutoHyphens/>
      <w:spacing w:before="240" w:after="0" w:line="360" w:lineRule="auto"/>
      <w:ind w:left="1440" w:hanging="360"/>
      <w:jc w:val="both"/>
    </w:pPr>
    <w:rPr>
      <w:rFonts w:eastAsia="MS Mincho" w:cs="Arial"/>
      <w:b/>
      <w:kern w:val="0"/>
      <w:szCs w:val="22"/>
      <w:lang w:eastAsia="ja-JP"/>
    </w:rPr>
  </w:style>
  <w:style w:type="paragraph" w:customStyle="1" w:styleId="MOJLevel2">
    <w:name w:val="MOJ Level 2"/>
    <w:basedOn w:val="Normal"/>
    <w:autoRedefine/>
    <w:uiPriority w:val="99"/>
    <w:rsid w:val="008E344E"/>
    <w:pPr>
      <w:numPr>
        <w:ilvl w:val="2"/>
        <w:numId w:val="47"/>
      </w:numPr>
      <w:tabs>
        <w:tab w:val="clear" w:pos="720"/>
      </w:tabs>
      <w:spacing w:before="0" w:after="0" w:line="360" w:lineRule="auto"/>
      <w:ind w:left="2160" w:hanging="360"/>
      <w:jc w:val="both"/>
    </w:pPr>
    <w:rPr>
      <w:rFonts w:eastAsia="MS Mincho" w:cs="Arial"/>
      <w:bCs/>
      <w:kern w:val="0"/>
      <w:szCs w:val="22"/>
      <w:lang w:eastAsia="ja-JP"/>
    </w:rPr>
  </w:style>
  <w:style w:type="paragraph" w:customStyle="1" w:styleId="MOJLevel3">
    <w:name w:val="MOJ Level 3"/>
    <w:basedOn w:val="Normal"/>
    <w:autoRedefine/>
    <w:uiPriority w:val="99"/>
    <w:rsid w:val="008E344E"/>
    <w:pPr>
      <w:numPr>
        <w:ilvl w:val="3"/>
        <w:numId w:val="47"/>
      </w:numPr>
      <w:tabs>
        <w:tab w:val="clear" w:pos="902"/>
        <w:tab w:val="num" w:pos="1620"/>
      </w:tabs>
      <w:spacing w:before="0" w:after="0" w:line="360" w:lineRule="auto"/>
      <w:ind w:left="2880" w:hanging="360"/>
      <w:jc w:val="both"/>
    </w:pPr>
    <w:rPr>
      <w:rFonts w:eastAsia="MS Mincho" w:cs="Arial"/>
      <w:bCs/>
      <w:kern w:val="0"/>
      <w:szCs w:val="22"/>
      <w:lang w:eastAsia="ja-JP"/>
    </w:rPr>
  </w:style>
  <w:style w:type="paragraph" w:customStyle="1" w:styleId="MOJLevel4">
    <w:name w:val="MOJ Level 4"/>
    <w:basedOn w:val="Normal"/>
    <w:autoRedefine/>
    <w:uiPriority w:val="99"/>
    <w:rsid w:val="008E344E"/>
    <w:pPr>
      <w:numPr>
        <w:ilvl w:val="4"/>
        <w:numId w:val="47"/>
      </w:numPr>
      <w:tabs>
        <w:tab w:val="clear" w:pos="1259"/>
      </w:tabs>
      <w:spacing w:before="0" w:after="0" w:line="360" w:lineRule="auto"/>
      <w:ind w:left="3600" w:hanging="360"/>
      <w:jc w:val="both"/>
    </w:pPr>
    <w:rPr>
      <w:rFonts w:eastAsia="MS Mincho" w:cs="Arial"/>
      <w:kern w:val="0"/>
      <w:szCs w:val="22"/>
      <w:lang w:eastAsia="ja-JP"/>
    </w:rPr>
  </w:style>
  <w:style w:type="paragraph" w:customStyle="1" w:styleId="StyleHeading5ServiceConformance4HeadingHeading5unusedLev">
    <w:name w:val="Style Heading 5Service Conformance 4HeadingHeading 5(unused)Lev..."/>
    <w:basedOn w:val="Heading5"/>
    <w:rsid w:val="008E344E"/>
    <w:pPr>
      <w:keepNext w:val="0"/>
      <w:numPr>
        <w:numId w:val="113"/>
      </w:numPr>
      <w:shd w:val="clear" w:color="auto" w:fill="auto"/>
      <w:overflowPunct w:val="0"/>
      <w:autoSpaceDE w:val="0"/>
      <w:autoSpaceDN w:val="0"/>
      <w:adjustRightInd w:val="0"/>
      <w:spacing w:before="0" w:after="240" w:line="360" w:lineRule="auto"/>
      <w:ind w:hanging="360"/>
      <w:textAlignment w:val="baseline"/>
    </w:pPr>
    <w:rPr>
      <w:rFonts w:ascii="Times New Roman" w:hAnsi="Times New Roman"/>
      <w:i w:val="0"/>
      <w:kern w:val="0"/>
    </w:rPr>
  </w:style>
  <w:style w:type="paragraph" w:customStyle="1" w:styleId="11table">
    <w:name w:val="1.1 table"/>
    <w:basedOn w:val="Normal"/>
    <w:rsid w:val="008E344E"/>
    <w:pPr>
      <w:numPr>
        <w:ilvl w:val="1"/>
        <w:numId w:val="48"/>
      </w:numPr>
      <w:adjustRightInd w:val="0"/>
      <w:spacing w:before="0" w:after="0"/>
      <w:ind w:left="1440"/>
    </w:pPr>
    <w:rPr>
      <w:rFonts w:ascii="Calibri" w:eastAsia="STZhongsong" w:hAnsi="Calibri"/>
      <w:b/>
      <w:kern w:val="0"/>
      <w:szCs w:val="22"/>
      <w:lang w:eastAsia="zh-CN"/>
    </w:rPr>
  </w:style>
  <w:style w:type="character" w:customStyle="1" w:styleId="GPSDefinitionL2Char">
    <w:name w:val="GPS Definition L2 Char"/>
    <w:link w:val="GPSDefinitionL2"/>
    <w:rsid w:val="008E344E"/>
    <w:rPr>
      <w:rFonts w:ascii="Arial" w:hAnsi="Arial" w:cs="Arial"/>
      <w:sz w:val="22"/>
      <w:szCs w:val="22"/>
      <w:lang w:eastAsia="en-US"/>
    </w:rPr>
  </w:style>
  <w:style w:type="paragraph" w:customStyle="1" w:styleId="GPSL1Guidance">
    <w:name w:val="GPS L1 Guidance"/>
    <w:basedOn w:val="Normal"/>
    <w:link w:val="GPSL1GuidanceChar"/>
    <w:rsid w:val="008E344E"/>
    <w:pPr>
      <w:overflowPunct w:val="0"/>
      <w:autoSpaceDE w:val="0"/>
      <w:autoSpaceDN w:val="0"/>
      <w:adjustRightInd w:val="0"/>
      <w:spacing w:before="240" w:after="120"/>
      <w:ind w:left="567"/>
      <w:jc w:val="both"/>
      <w:textAlignment w:val="baseline"/>
    </w:pPr>
    <w:rPr>
      <w:rFonts w:cs="Arial"/>
      <w:b/>
      <w:i/>
      <w:kern w:val="0"/>
      <w:szCs w:val="22"/>
    </w:rPr>
  </w:style>
  <w:style w:type="character" w:customStyle="1" w:styleId="GPSL1GuidanceChar">
    <w:name w:val="GPS L1 Guidance Char"/>
    <w:link w:val="GPSL1Guidance"/>
    <w:rsid w:val="008E344E"/>
    <w:rPr>
      <w:rFonts w:ascii="Arial" w:hAnsi="Arial" w:cs="Arial"/>
      <w:b/>
      <w:i/>
      <w:sz w:val="22"/>
      <w:szCs w:val="22"/>
      <w:lang w:eastAsia="en-US"/>
    </w:rPr>
  </w:style>
  <w:style w:type="character" w:customStyle="1" w:styleId="legds2">
    <w:name w:val="legds2"/>
    <w:rsid w:val="008E344E"/>
    <w:rPr>
      <w:vanish w:val="0"/>
      <w:webHidden w:val="0"/>
      <w:specVanish w:val="0"/>
    </w:rPr>
  </w:style>
  <w:style w:type="paragraph" w:customStyle="1" w:styleId="1Indent">
    <w:name w:val="1&quot; Indent"/>
    <w:basedOn w:val="Normal"/>
    <w:rsid w:val="008E344E"/>
    <w:pPr>
      <w:overflowPunct w:val="0"/>
      <w:autoSpaceDE w:val="0"/>
      <w:autoSpaceDN w:val="0"/>
      <w:adjustRightInd w:val="0"/>
      <w:spacing w:before="0" w:after="288"/>
      <w:ind w:left="1440" w:right="576"/>
      <w:jc w:val="both"/>
      <w:textAlignment w:val="baseline"/>
    </w:pPr>
    <w:rPr>
      <w:rFonts w:ascii="Times New Roman" w:hAnsi="Times New Roman"/>
      <w:kern w:val="0"/>
      <w:sz w:val="24"/>
    </w:rPr>
  </w:style>
  <w:style w:type="paragraph" w:customStyle="1" w:styleId="SubNumber">
    <w:name w:val="Sub Number"/>
    <w:basedOn w:val="Normal"/>
    <w:rsid w:val="008E344E"/>
    <w:pPr>
      <w:overflowPunct w:val="0"/>
      <w:autoSpaceDE w:val="0"/>
      <w:autoSpaceDN w:val="0"/>
      <w:adjustRightInd w:val="0"/>
      <w:spacing w:before="0" w:after="288"/>
      <w:ind w:right="576"/>
      <w:jc w:val="both"/>
      <w:textAlignment w:val="baseline"/>
    </w:pPr>
    <w:rPr>
      <w:rFonts w:ascii="Times New Roman" w:hAnsi="Times New Roman"/>
      <w:kern w:val="0"/>
      <w:sz w:val="24"/>
    </w:rPr>
  </w:style>
  <w:style w:type="character" w:customStyle="1" w:styleId="tgc">
    <w:name w:val="_tgc"/>
    <w:rsid w:val="008E344E"/>
  </w:style>
  <w:style w:type="paragraph" w:customStyle="1" w:styleId="Indent">
    <w:name w:val="½&quot; Indent"/>
    <w:basedOn w:val="Normal"/>
    <w:rsid w:val="008E344E"/>
    <w:pPr>
      <w:overflowPunct w:val="0"/>
      <w:autoSpaceDE w:val="0"/>
      <w:autoSpaceDN w:val="0"/>
      <w:adjustRightInd w:val="0"/>
      <w:spacing w:before="0" w:after="288"/>
      <w:ind w:left="720" w:right="576"/>
      <w:jc w:val="both"/>
    </w:pPr>
    <w:rPr>
      <w:rFonts w:ascii="Times New Roman" w:hAnsi="Times New Roman"/>
      <w:kern w:val="0"/>
      <w:sz w:val="24"/>
    </w:rPr>
  </w:style>
  <w:style w:type="character" w:customStyle="1" w:styleId="UnresolvedMention1">
    <w:name w:val="Unresolved Mention1"/>
    <w:uiPriority w:val="99"/>
    <w:semiHidden/>
    <w:unhideWhenUsed/>
    <w:rsid w:val="008E344E"/>
    <w:rPr>
      <w:color w:val="808080"/>
      <w:shd w:val="clear" w:color="auto" w:fill="E6E6E6"/>
    </w:rPr>
  </w:style>
  <w:style w:type="character" w:customStyle="1" w:styleId="UnresolvedMention2">
    <w:name w:val="Unresolved Mention2"/>
    <w:basedOn w:val="DefaultParagraphFont"/>
    <w:uiPriority w:val="99"/>
    <w:semiHidden/>
    <w:unhideWhenUsed/>
    <w:rsid w:val="002D6458"/>
    <w:rPr>
      <w:color w:val="808080"/>
      <w:shd w:val="clear" w:color="auto" w:fill="E6E6E6"/>
    </w:rPr>
  </w:style>
  <w:style w:type="paragraph" w:customStyle="1" w:styleId="GSRL1Scheduleheader">
    <w:name w:val="GSR L1 Schedule header"/>
    <w:basedOn w:val="Normal"/>
    <w:qFormat/>
    <w:rsid w:val="00CF1BDA"/>
    <w:pPr>
      <w:pageBreakBefore/>
      <w:pBdr>
        <w:top w:val="single" w:sz="4" w:space="4" w:color="auto"/>
        <w:bottom w:val="single" w:sz="4" w:space="4" w:color="auto"/>
      </w:pBdr>
      <w:spacing w:before="1280" w:after="480" w:line="276" w:lineRule="auto"/>
      <w:ind w:left="1797" w:right="1797"/>
      <w:jc w:val="center"/>
      <w:outlineLvl w:val="0"/>
    </w:pPr>
    <w:rPr>
      <w:rFonts w:ascii="Arial Bold" w:hAnsi="Arial Bold" w:cs="Arial"/>
      <w:b/>
      <w:caps/>
      <w:sz w:val="24"/>
    </w:rPr>
  </w:style>
  <w:style w:type="paragraph" w:customStyle="1" w:styleId="TableDesc">
    <w:name w:val="Table Desc"/>
    <w:basedOn w:val="Normal"/>
    <w:rsid w:val="00F54581"/>
    <w:pPr>
      <w:numPr>
        <w:numId w:val="79"/>
      </w:numPr>
      <w:spacing w:before="120" w:after="120"/>
      <w:ind w:left="720" w:hanging="360"/>
      <w:jc w:val="center"/>
    </w:pPr>
    <w:rPr>
      <w:color w:val="00A1C1"/>
      <w:kern w:val="0"/>
      <w:sz w:val="18"/>
      <w:szCs w:val="24"/>
    </w:rPr>
  </w:style>
  <w:style w:type="paragraph" w:customStyle="1" w:styleId="TableText-Left">
    <w:name w:val="Table Text - Left"/>
    <w:basedOn w:val="Normal"/>
    <w:link w:val="TableText-LeftChar"/>
    <w:qFormat/>
    <w:rsid w:val="00B767BB"/>
    <w:rPr>
      <w:color w:val="505253"/>
      <w:kern w:val="0"/>
      <w:sz w:val="20"/>
      <w:szCs w:val="24"/>
    </w:rPr>
  </w:style>
  <w:style w:type="character" w:customStyle="1" w:styleId="TableText-LeftChar">
    <w:name w:val="Table Text - Left Char"/>
    <w:link w:val="TableText-Left"/>
    <w:rsid w:val="00B767BB"/>
    <w:rPr>
      <w:rFonts w:ascii="Arial" w:hAnsi="Arial"/>
      <w:color w:val="505253"/>
      <w:szCs w:val="24"/>
      <w:lang w:eastAsia="en-US"/>
    </w:rPr>
  </w:style>
  <w:style w:type="paragraph" w:customStyle="1" w:styleId="TableText-Centre">
    <w:name w:val="Table Text - Centre"/>
    <w:basedOn w:val="TableText-Left"/>
    <w:link w:val="TableText-CentreChar"/>
    <w:qFormat/>
    <w:rsid w:val="00B767BB"/>
    <w:pPr>
      <w:jc w:val="center"/>
    </w:pPr>
  </w:style>
  <w:style w:type="character" w:customStyle="1" w:styleId="TableText-CentreChar">
    <w:name w:val="Table Text - Centre Char"/>
    <w:link w:val="TableText-Centre"/>
    <w:rsid w:val="00B767BB"/>
    <w:rPr>
      <w:rFonts w:ascii="Arial" w:hAnsi="Arial"/>
      <w:color w:val="505253"/>
      <w:szCs w:val="24"/>
      <w:lang w:eastAsia="en-US"/>
    </w:rPr>
  </w:style>
  <w:style w:type="paragraph" w:customStyle="1" w:styleId="TableHeading">
    <w:name w:val="Table Heading"/>
    <w:basedOn w:val="Normal"/>
    <w:qFormat/>
    <w:rsid w:val="00B767BB"/>
    <w:pPr>
      <w:spacing w:before="120" w:after="240"/>
    </w:pPr>
    <w:rPr>
      <w:color w:val="00A1C1"/>
      <w:kern w:val="0"/>
      <w:szCs w:val="24"/>
    </w:rPr>
  </w:style>
  <w:style w:type="character" w:customStyle="1" w:styleId="Bold">
    <w:name w:val="Bold"/>
    <w:qFormat/>
    <w:rsid w:val="00341BC1"/>
    <w:rPr>
      <w:rFonts w:ascii="Arial" w:hAnsi="Arial"/>
      <w:b/>
      <w:sz w:val="22"/>
    </w:rPr>
  </w:style>
  <w:style w:type="paragraph" w:customStyle="1" w:styleId="StdBodyText2">
    <w:name w:val="Std Body Text 2"/>
    <w:basedOn w:val="Normal"/>
    <w:rsid w:val="007152A4"/>
    <w:pPr>
      <w:spacing w:before="100" w:after="200"/>
      <w:ind w:left="720"/>
    </w:pPr>
    <w:rPr>
      <w:kern w:val="0"/>
      <w:sz w:val="24"/>
      <w:szCs w:val="24"/>
      <w:lang w:eastAsia="en-GB"/>
    </w:rPr>
  </w:style>
  <w:style w:type="paragraph" w:customStyle="1" w:styleId="StdBodyText5">
    <w:name w:val="Std Body Text 5"/>
    <w:basedOn w:val="Normal"/>
    <w:rsid w:val="007152A4"/>
    <w:pPr>
      <w:spacing w:before="100" w:after="200"/>
      <w:ind w:left="2523"/>
    </w:pPr>
    <w:rPr>
      <w:kern w:val="0"/>
      <w:sz w:val="24"/>
      <w:szCs w:val="24"/>
      <w:lang w:eastAsia="en-GB"/>
    </w:rPr>
  </w:style>
  <w:style w:type="paragraph" w:customStyle="1" w:styleId="BulletsBody">
    <w:name w:val="Bullets Body"/>
    <w:basedOn w:val="Normal"/>
    <w:rsid w:val="007152A4"/>
    <w:pPr>
      <w:numPr>
        <w:numId w:val="81"/>
      </w:numPr>
      <w:spacing w:before="100" w:after="200"/>
    </w:pPr>
    <w:rPr>
      <w:kern w:val="0"/>
      <w:sz w:val="24"/>
      <w:szCs w:val="24"/>
      <w:lang w:eastAsia="en-GB"/>
    </w:rPr>
  </w:style>
  <w:style w:type="paragraph" w:customStyle="1" w:styleId="BulletsLevel1">
    <w:name w:val="Bullets Level 1"/>
    <w:basedOn w:val="Normal"/>
    <w:rsid w:val="007152A4"/>
    <w:pPr>
      <w:numPr>
        <w:ilvl w:val="1"/>
        <w:numId w:val="81"/>
      </w:numPr>
      <w:tabs>
        <w:tab w:val="left" w:pos="1797"/>
      </w:tabs>
      <w:spacing w:before="100" w:after="200"/>
    </w:pPr>
    <w:rPr>
      <w:kern w:val="0"/>
      <w:sz w:val="24"/>
      <w:szCs w:val="24"/>
      <w:lang w:eastAsia="en-GB"/>
    </w:rPr>
  </w:style>
  <w:style w:type="paragraph" w:customStyle="1" w:styleId="ScheduleText1">
    <w:name w:val="Schedule Text 1"/>
    <w:basedOn w:val="Normal"/>
    <w:next w:val="Normal"/>
    <w:rsid w:val="007152A4"/>
    <w:pPr>
      <w:numPr>
        <w:numId w:val="82"/>
      </w:numPr>
      <w:spacing w:before="100" w:after="200"/>
    </w:pPr>
    <w:rPr>
      <w:b/>
      <w:kern w:val="0"/>
      <w:sz w:val="24"/>
      <w:szCs w:val="24"/>
      <w:lang w:eastAsia="en-GB"/>
    </w:rPr>
  </w:style>
  <w:style w:type="paragraph" w:customStyle="1" w:styleId="ScheduleText2">
    <w:name w:val="Schedule Text 2"/>
    <w:basedOn w:val="ScheduleText1"/>
    <w:next w:val="StdBodyText2"/>
    <w:rsid w:val="007152A4"/>
    <w:pPr>
      <w:numPr>
        <w:ilvl w:val="1"/>
      </w:numPr>
    </w:pPr>
    <w:rPr>
      <w:b w:val="0"/>
    </w:rPr>
  </w:style>
  <w:style w:type="paragraph" w:customStyle="1" w:styleId="ScheduleText3">
    <w:name w:val="Schedule Text 3"/>
    <w:basedOn w:val="Normal"/>
    <w:next w:val="Normal"/>
    <w:rsid w:val="007152A4"/>
    <w:pPr>
      <w:numPr>
        <w:ilvl w:val="2"/>
        <w:numId w:val="82"/>
      </w:numPr>
      <w:tabs>
        <w:tab w:val="left" w:pos="720"/>
        <w:tab w:val="left" w:pos="1803"/>
      </w:tabs>
      <w:spacing w:before="100" w:after="200"/>
    </w:pPr>
    <w:rPr>
      <w:kern w:val="0"/>
      <w:sz w:val="24"/>
      <w:szCs w:val="24"/>
      <w:lang w:eastAsia="en-GB"/>
    </w:rPr>
  </w:style>
  <w:style w:type="paragraph" w:customStyle="1" w:styleId="ScheduleText4">
    <w:name w:val="Schedule Text 4"/>
    <w:basedOn w:val="Normal"/>
    <w:next w:val="Normal"/>
    <w:rsid w:val="007152A4"/>
    <w:pPr>
      <w:numPr>
        <w:ilvl w:val="3"/>
        <w:numId w:val="82"/>
      </w:numPr>
      <w:tabs>
        <w:tab w:val="left" w:pos="720"/>
        <w:tab w:val="left" w:pos="1803"/>
      </w:tabs>
      <w:spacing w:before="100" w:after="200"/>
    </w:pPr>
    <w:rPr>
      <w:kern w:val="0"/>
      <w:sz w:val="24"/>
      <w:szCs w:val="24"/>
      <w:lang w:eastAsia="en-GB"/>
    </w:rPr>
  </w:style>
  <w:style w:type="paragraph" w:customStyle="1" w:styleId="ScheduleText5">
    <w:name w:val="Schedule Text 5"/>
    <w:basedOn w:val="Normal"/>
    <w:next w:val="StdBodyText5"/>
    <w:rsid w:val="007152A4"/>
    <w:pPr>
      <w:numPr>
        <w:ilvl w:val="4"/>
        <w:numId w:val="82"/>
      </w:numPr>
      <w:tabs>
        <w:tab w:val="left" w:pos="720"/>
        <w:tab w:val="left" w:pos="2523"/>
      </w:tabs>
      <w:spacing w:before="100" w:after="200"/>
    </w:pPr>
    <w:rPr>
      <w:kern w:val="0"/>
      <w:sz w:val="24"/>
      <w:szCs w:val="24"/>
      <w:lang w:eastAsia="en-GB"/>
    </w:rPr>
  </w:style>
  <w:style w:type="paragraph" w:customStyle="1" w:styleId="BulletsLevel2">
    <w:name w:val="Bullets Level 2"/>
    <w:basedOn w:val="BulletsLevel1"/>
    <w:rsid w:val="007152A4"/>
    <w:pPr>
      <w:numPr>
        <w:ilvl w:val="2"/>
      </w:numPr>
      <w:tabs>
        <w:tab w:val="clear" w:pos="1797"/>
      </w:tabs>
    </w:pPr>
  </w:style>
  <w:style w:type="paragraph" w:customStyle="1" w:styleId="ScheduleText6">
    <w:name w:val="Schedule Text 6"/>
    <w:basedOn w:val="ScheduleText5"/>
    <w:rsid w:val="007152A4"/>
    <w:pPr>
      <w:numPr>
        <w:ilvl w:val="5"/>
      </w:numPr>
    </w:pPr>
  </w:style>
  <w:style w:type="paragraph" w:customStyle="1" w:styleId="ScheduleText7">
    <w:name w:val="Schedule Text 7"/>
    <w:basedOn w:val="ScheduleText6"/>
    <w:rsid w:val="007152A4"/>
    <w:pPr>
      <w:numPr>
        <w:ilvl w:val="6"/>
      </w:numPr>
    </w:pPr>
  </w:style>
  <w:style w:type="paragraph" w:customStyle="1" w:styleId="AppendixText1">
    <w:name w:val="Appendix Text 1"/>
    <w:basedOn w:val="Normal"/>
    <w:next w:val="Normal"/>
    <w:rsid w:val="009D3B50"/>
    <w:pPr>
      <w:numPr>
        <w:numId w:val="86"/>
      </w:numPr>
      <w:spacing w:before="100" w:after="200"/>
    </w:pPr>
    <w:rPr>
      <w:b/>
      <w:kern w:val="0"/>
      <w:sz w:val="24"/>
      <w:szCs w:val="24"/>
      <w:lang w:eastAsia="en-GB"/>
    </w:rPr>
  </w:style>
  <w:style w:type="paragraph" w:customStyle="1" w:styleId="AppendixText2">
    <w:name w:val="Appendix Text 2"/>
    <w:basedOn w:val="AppendixText1"/>
    <w:next w:val="StdBodyText2"/>
    <w:rsid w:val="009D3B50"/>
    <w:pPr>
      <w:numPr>
        <w:ilvl w:val="1"/>
      </w:numPr>
    </w:pPr>
    <w:rPr>
      <w:b w:val="0"/>
    </w:rPr>
  </w:style>
  <w:style w:type="paragraph" w:customStyle="1" w:styleId="AppendixText3">
    <w:name w:val="Appendix Text 3"/>
    <w:basedOn w:val="Normal"/>
    <w:next w:val="Normal"/>
    <w:rsid w:val="009D3B50"/>
    <w:pPr>
      <w:numPr>
        <w:ilvl w:val="2"/>
        <w:numId w:val="86"/>
      </w:numPr>
      <w:tabs>
        <w:tab w:val="left" w:pos="720"/>
        <w:tab w:val="left" w:pos="1803"/>
      </w:tabs>
      <w:spacing w:before="100" w:after="200"/>
    </w:pPr>
    <w:rPr>
      <w:kern w:val="0"/>
      <w:sz w:val="24"/>
      <w:szCs w:val="24"/>
      <w:lang w:eastAsia="en-GB"/>
    </w:rPr>
  </w:style>
  <w:style w:type="paragraph" w:customStyle="1" w:styleId="AppendixText4">
    <w:name w:val="Appendix Text 4"/>
    <w:basedOn w:val="Normal"/>
    <w:next w:val="Normal"/>
    <w:rsid w:val="009D3B50"/>
    <w:pPr>
      <w:numPr>
        <w:ilvl w:val="3"/>
        <w:numId w:val="86"/>
      </w:numPr>
      <w:tabs>
        <w:tab w:val="left" w:pos="720"/>
        <w:tab w:val="left" w:pos="1803"/>
      </w:tabs>
      <w:spacing w:before="100" w:after="200"/>
    </w:pPr>
    <w:rPr>
      <w:kern w:val="0"/>
      <w:sz w:val="24"/>
      <w:szCs w:val="24"/>
      <w:lang w:eastAsia="en-GB"/>
    </w:rPr>
  </w:style>
  <w:style w:type="paragraph" w:customStyle="1" w:styleId="AppendixText5">
    <w:name w:val="Appendix Text 5"/>
    <w:basedOn w:val="Normal"/>
    <w:next w:val="StdBodyText5"/>
    <w:rsid w:val="009D3B50"/>
    <w:pPr>
      <w:numPr>
        <w:ilvl w:val="4"/>
        <w:numId w:val="86"/>
      </w:numPr>
      <w:tabs>
        <w:tab w:val="left" w:pos="720"/>
        <w:tab w:val="left" w:pos="2523"/>
      </w:tabs>
      <w:spacing w:before="100" w:after="200"/>
    </w:pPr>
    <w:rPr>
      <w:kern w:val="0"/>
      <w:sz w:val="24"/>
      <w:szCs w:val="24"/>
      <w:lang w:eastAsia="en-GB"/>
    </w:rPr>
  </w:style>
  <w:style w:type="paragraph" w:customStyle="1" w:styleId="StdBodyText">
    <w:name w:val="Std Body Text"/>
    <w:basedOn w:val="Normal"/>
    <w:qFormat/>
    <w:rsid w:val="009D3B50"/>
    <w:pPr>
      <w:spacing w:before="100" w:after="200"/>
    </w:pPr>
    <w:rPr>
      <w:kern w:val="0"/>
      <w:sz w:val="24"/>
      <w:szCs w:val="24"/>
      <w:lang w:eastAsia="en-GB"/>
    </w:rPr>
  </w:style>
  <w:style w:type="paragraph" w:customStyle="1" w:styleId="StdBodyTextBold">
    <w:name w:val="Std Body Text Bold"/>
    <w:basedOn w:val="Normal"/>
    <w:next w:val="StdBodyText"/>
    <w:link w:val="StdBodyTextBoldChar"/>
    <w:qFormat/>
    <w:rsid w:val="009D3B50"/>
    <w:pPr>
      <w:spacing w:before="100" w:after="200"/>
    </w:pPr>
    <w:rPr>
      <w:b/>
      <w:kern w:val="0"/>
      <w:sz w:val="24"/>
      <w:szCs w:val="24"/>
      <w:lang w:eastAsia="en-GB"/>
    </w:rPr>
  </w:style>
  <w:style w:type="character" w:customStyle="1" w:styleId="StdBodyTextBoldChar">
    <w:name w:val="Std Body Text Bold Char"/>
    <w:basedOn w:val="DefaultParagraphFont"/>
    <w:link w:val="StdBodyTextBold"/>
    <w:rsid w:val="009D3B50"/>
    <w:rPr>
      <w:rFonts w:ascii="Arial" w:hAnsi="Arial"/>
      <w:b/>
      <w:sz w:val="24"/>
      <w:szCs w:val="24"/>
    </w:rPr>
  </w:style>
  <w:style w:type="paragraph" w:customStyle="1" w:styleId="AppendixText6">
    <w:name w:val="Appendix Text 6"/>
    <w:basedOn w:val="AppendixText5"/>
    <w:rsid w:val="009D3B50"/>
    <w:pPr>
      <w:numPr>
        <w:ilvl w:val="5"/>
      </w:numPr>
    </w:pPr>
  </w:style>
  <w:style w:type="paragraph" w:customStyle="1" w:styleId="StdBodyText1">
    <w:name w:val="Std Body Text 1"/>
    <w:basedOn w:val="StdBodyText"/>
    <w:rsid w:val="0072090A"/>
    <w:pPr>
      <w:ind w:left="720"/>
    </w:pPr>
  </w:style>
  <w:style w:type="paragraph" w:customStyle="1" w:styleId="StdBodyText4">
    <w:name w:val="Std Body Text 4"/>
    <w:basedOn w:val="Normal"/>
    <w:rsid w:val="0072090A"/>
    <w:pPr>
      <w:spacing w:before="100" w:after="200"/>
      <w:ind w:left="1803"/>
    </w:pPr>
    <w:rPr>
      <w:kern w:val="0"/>
      <w:sz w:val="24"/>
      <w:szCs w:val="24"/>
      <w:lang w:eastAsia="en-GB"/>
    </w:rPr>
  </w:style>
  <w:style w:type="paragraph" w:customStyle="1" w:styleId="AnnexHeading">
    <w:name w:val="Annex Heading"/>
    <w:basedOn w:val="Normal"/>
    <w:next w:val="Normal"/>
    <w:rsid w:val="006047D5"/>
    <w:pPr>
      <w:numPr>
        <w:numId w:val="88"/>
      </w:numPr>
      <w:spacing w:before="100" w:after="300"/>
      <w:jc w:val="center"/>
    </w:pPr>
    <w:rPr>
      <w:rFonts w:ascii="Arial Bold" w:hAnsi="Arial Bold"/>
      <w:b/>
      <w:caps/>
      <w:kern w:val="0"/>
      <w:sz w:val="24"/>
      <w:szCs w:val="24"/>
      <w:lang w:eastAsia="en-GB"/>
    </w:rPr>
  </w:style>
  <w:style w:type="paragraph" w:customStyle="1" w:styleId="BlankDocumentTitle">
    <w:name w:val="Blank Document Title"/>
    <w:basedOn w:val="Normal"/>
    <w:next w:val="StdBodyText"/>
    <w:rsid w:val="006047D5"/>
    <w:pPr>
      <w:spacing w:before="0" w:after="200"/>
      <w:jc w:val="center"/>
    </w:pPr>
    <w:rPr>
      <w:b/>
      <w:kern w:val="0"/>
      <w:sz w:val="24"/>
      <w:szCs w:val="24"/>
      <w:lang w:eastAsia="en-GB"/>
    </w:rPr>
  </w:style>
  <w:style w:type="paragraph" w:customStyle="1" w:styleId="Centered">
    <w:name w:val="Centered"/>
    <w:basedOn w:val="Normal"/>
    <w:next w:val="StdBodyText"/>
    <w:rsid w:val="006047D5"/>
    <w:pPr>
      <w:spacing w:before="100" w:after="200"/>
      <w:jc w:val="center"/>
    </w:pPr>
    <w:rPr>
      <w:kern w:val="0"/>
      <w:sz w:val="24"/>
      <w:szCs w:val="24"/>
      <w:lang w:eastAsia="en-GB"/>
    </w:rPr>
  </w:style>
  <w:style w:type="paragraph" w:customStyle="1" w:styleId="DefinitionList">
    <w:name w:val="Definition List"/>
    <w:basedOn w:val="Normal"/>
    <w:rsid w:val="006047D5"/>
    <w:pPr>
      <w:numPr>
        <w:numId w:val="89"/>
      </w:numPr>
      <w:spacing w:before="100" w:after="200"/>
    </w:pPr>
    <w:rPr>
      <w:kern w:val="0"/>
      <w:sz w:val="24"/>
      <w:szCs w:val="24"/>
      <w:lang w:eastAsia="en-GB"/>
    </w:rPr>
  </w:style>
  <w:style w:type="paragraph" w:customStyle="1" w:styleId="PartiesBodyText">
    <w:name w:val="Parties Body Text"/>
    <w:basedOn w:val="Normal"/>
    <w:rsid w:val="006047D5"/>
    <w:pPr>
      <w:numPr>
        <w:numId w:val="91"/>
      </w:numPr>
      <w:spacing w:before="100" w:after="200"/>
    </w:pPr>
    <w:rPr>
      <w:kern w:val="0"/>
      <w:sz w:val="24"/>
      <w:szCs w:val="24"/>
      <w:lang w:eastAsia="en-GB"/>
    </w:rPr>
  </w:style>
  <w:style w:type="paragraph" w:customStyle="1" w:styleId="Recitals">
    <w:name w:val="Recitals"/>
    <w:basedOn w:val="Normal"/>
    <w:rsid w:val="006047D5"/>
    <w:pPr>
      <w:numPr>
        <w:numId w:val="92"/>
      </w:numPr>
      <w:spacing w:before="100" w:after="200"/>
    </w:pPr>
    <w:rPr>
      <w:kern w:val="0"/>
      <w:sz w:val="24"/>
      <w:szCs w:val="24"/>
      <w:lang w:eastAsia="en-GB"/>
    </w:rPr>
  </w:style>
  <w:style w:type="paragraph" w:customStyle="1" w:styleId="DefinitionListLevel1">
    <w:name w:val="Definition List Level 1"/>
    <w:basedOn w:val="DefinitionList"/>
    <w:rsid w:val="006047D5"/>
    <w:pPr>
      <w:numPr>
        <w:ilvl w:val="1"/>
      </w:numPr>
    </w:pPr>
  </w:style>
  <w:style w:type="paragraph" w:customStyle="1" w:styleId="DefinitionListLevel2">
    <w:name w:val="Definition List Level 2"/>
    <w:basedOn w:val="DefinitionListLevel1"/>
    <w:rsid w:val="006047D5"/>
    <w:pPr>
      <w:numPr>
        <w:ilvl w:val="2"/>
      </w:numPr>
    </w:pPr>
  </w:style>
  <w:style w:type="paragraph" w:styleId="IntenseQuote">
    <w:name w:val="Intense Quote"/>
    <w:basedOn w:val="Normal"/>
    <w:next w:val="Normal"/>
    <w:link w:val="IntenseQuoteChar"/>
    <w:uiPriority w:val="30"/>
    <w:qFormat/>
    <w:rsid w:val="00BB406D"/>
    <w:pPr>
      <w:pBdr>
        <w:bottom w:val="single" w:sz="4" w:space="4" w:color="4F81BD"/>
      </w:pBdr>
      <w:overflowPunct w:val="0"/>
      <w:autoSpaceDE w:val="0"/>
      <w:autoSpaceDN w:val="0"/>
      <w:adjustRightInd w:val="0"/>
      <w:spacing w:before="200" w:after="280" w:line="360" w:lineRule="auto"/>
      <w:ind w:left="936" w:right="936"/>
      <w:jc w:val="both"/>
      <w:textAlignment w:val="baseline"/>
    </w:pPr>
    <w:rPr>
      <w:rFonts w:ascii="Times New Roman" w:hAnsi="Times New Roman"/>
      <w:b/>
      <w:bCs/>
      <w:i/>
      <w:iCs/>
      <w:color w:val="4F81BD"/>
      <w:kern w:val="0"/>
    </w:rPr>
  </w:style>
  <w:style w:type="character" w:customStyle="1" w:styleId="IntenseQuoteChar">
    <w:name w:val="Intense Quote Char"/>
    <w:basedOn w:val="DefaultParagraphFont"/>
    <w:link w:val="IntenseQuote"/>
    <w:uiPriority w:val="30"/>
    <w:rsid w:val="00BB406D"/>
    <w:rPr>
      <w:b/>
      <w:bCs/>
      <w:i/>
      <w:iCs/>
      <w:color w:val="4F81BD"/>
      <w:sz w:val="22"/>
      <w:lang w:eastAsia="en-US"/>
    </w:rPr>
  </w:style>
  <w:style w:type="character" w:customStyle="1" w:styleId="Mention1">
    <w:name w:val="Mention1"/>
    <w:basedOn w:val="DefaultParagraphFont"/>
    <w:uiPriority w:val="99"/>
    <w:unhideWhenUsed/>
    <w:rsid w:val="00AA69DE"/>
    <w:rPr>
      <w:color w:val="2B579A"/>
      <w:shd w:val="clear" w:color="auto" w:fill="E1DFDD"/>
    </w:rPr>
  </w:style>
  <w:style w:type="paragraph" w:customStyle="1" w:styleId="Heading2Title">
    <w:name w:val="Heading 2 (Title)"/>
    <w:basedOn w:val="Heading2"/>
    <w:next w:val="Heading2"/>
    <w:rsid w:val="00580582"/>
    <w:pPr>
      <w:numPr>
        <w:ilvl w:val="1"/>
      </w:numPr>
      <w:tabs>
        <w:tab w:val="num" w:pos="1288"/>
      </w:tabs>
      <w:spacing w:before="0" w:after="180" w:line="300" w:lineRule="atLeast"/>
      <w:ind w:left="1288" w:hanging="720"/>
      <w:jc w:val="both"/>
    </w:pPr>
    <w:rPr>
      <w:bCs/>
      <w:sz w:val="20"/>
      <w:lang w:eastAsia="en-GB"/>
    </w:rPr>
  </w:style>
  <w:style w:type="character" w:customStyle="1" w:styleId="Mention2">
    <w:name w:val="Mention2"/>
    <w:basedOn w:val="DefaultParagraphFont"/>
    <w:uiPriority w:val="99"/>
    <w:unhideWhenUsed/>
    <w:rsid w:val="00E47809"/>
    <w:rPr>
      <w:color w:val="2B579A"/>
      <w:shd w:val="clear" w:color="auto" w:fill="E1DFDD"/>
    </w:rPr>
  </w:style>
  <w:style w:type="character" w:customStyle="1" w:styleId="UnresolvedMention3">
    <w:name w:val="Unresolved Mention3"/>
    <w:basedOn w:val="DefaultParagraphFont"/>
    <w:uiPriority w:val="99"/>
    <w:semiHidden/>
    <w:unhideWhenUsed/>
    <w:rsid w:val="00C1229D"/>
    <w:rPr>
      <w:color w:val="605E5C"/>
      <w:shd w:val="clear" w:color="auto" w:fill="E1DFDD"/>
    </w:rPr>
  </w:style>
  <w:style w:type="paragraph" w:customStyle="1" w:styleId="TitleClause">
    <w:name w:val="Title Clause"/>
    <w:basedOn w:val="Normal"/>
    <w:rsid w:val="00800FB2"/>
    <w:pPr>
      <w:keepNext/>
      <w:numPr>
        <w:numId w:val="116"/>
      </w:numPr>
      <w:spacing w:before="240" w:after="240" w:line="300" w:lineRule="atLeast"/>
      <w:jc w:val="both"/>
      <w:outlineLvl w:val="0"/>
    </w:pPr>
    <w:rPr>
      <w:rFonts w:eastAsia="Arial Unicode MS" w:cs="Arial"/>
      <w:b/>
      <w:color w:val="000000"/>
      <w:kern w:val="28"/>
      <w:lang w:val="en-US"/>
      <w14:ligatures w14:val="standardContextual"/>
    </w:rPr>
  </w:style>
  <w:style w:type="paragraph" w:customStyle="1" w:styleId="Untitledsubclause1">
    <w:name w:val="Untitled subclause 1"/>
    <w:basedOn w:val="Normal"/>
    <w:rsid w:val="00800FB2"/>
    <w:pPr>
      <w:numPr>
        <w:ilvl w:val="1"/>
        <w:numId w:val="116"/>
      </w:numPr>
      <w:spacing w:before="280" w:after="120" w:line="300" w:lineRule="atLeast"/>
      <w:jc w:val="both"/>
      <w:outlineLvl w:val="1"/>
    </w:pPr>
    <w:rPr>
      <w:rFonts w:eastAsia="Arial Unicode MS" w:cs="Arial"/>
      <w:color w:val="000000"/>
      <w:kern w:val="2"/>
      <w:lang w:val="en-US"/>
      <w14:ligatures w14:val="standardContextual"/>
    </w:rPr>
  </w:style>
  <w:style w:type="paragraph" w:customStyle="1" w:styleId="Untitledsubclause2">
    <w:name w:val="Untitled subclause 2"/>
    <w:basedOn w:val="Normal"/>
    <w:rsid w:val="00800FB2"/>
    <w:pPr>
      <w:numPr>
        <w:ilvl w:val="2"/>
        <w:numId w:val="116"/>
      </w:numPr>
      <w:spacing w:before="0" w:after="120" w:line="300" w:lineRule="atLeast"/>
      <w:jc w:val="both"/>
      <w:outlineLvl w:val="2"/>
    </w:pPr>
    <w:rPr>
      <w:rFonts w:eastAsia="Arial Unicode MS" w:cs="Arial"/>
      <w:color w:val="000000"/>
      <w:kern w:val="2"/>
      <w:lang w:val="en-US"/>
      <w14:ligatures w14:val="standardContextual"/>
    </w:rPr>
  </w:style>
  <w:style w:type="paragraph" w:customStyle="1" w:styleId="Untitledsubclause3">
    <w:name w:val="Untitled subclause 3"/>
    <w:basedOn w:val="Normal"/>
    <w:rsid w:val="00800FB2"/>
    <w:pPr>
      <w:numPr>
        <w:ilvl w:val="3"/>
        <w:numId w:val="116"/>
      </w:numPr>
      <w:tabs>
        <w:tab w:val="left" w:pos="2261"/>
      </w:tabs>
      <w:spacing w:before="0" w:after="120" w:line="300" w:lineRule="atLeast"/>
      <w:jc w:val="both"/>
      <w:outlineLvl w:val="3"/>
    </w:pPr>
    <w:rPr>
      <w:rFonts w:eastAsia="Arial Unicode MS" w:cs="Arial"/>
      <w:color w:val="000000"/>
      <w:kern w:val="2"/>
      <w:lang w:val="en-US"/>
      <w14:ligatures w14:val="standardContextual"/>
    </w:rPr>
  </w:style>
  <w:style w:type="paragraph" w:customStyle="1" w:styleId="Untitledsubclause4">
    <w:name w:val="Untitled subclause 4"/>
    <w:basedOn w:val="Normal"/>
    <w:rsid w:val="00800FB2"/>
    <w:pPr>
      <w:numPr>
        <w:ilvl w:val="4"/>
        <w:numId w:val="116"/>
      </w:numPr>
      <w:spacing w:before="0" w:after="120" w:line="300" w:lineRule="atLeast"/>
      <w:jc w:val="both"/>
      <w:outlineLvl w:val="4"/>
    </w:pPr>
    <w:rPr>
      <w:rFonts w:eastAsia="Arial Unicode MS" w:cs="Arial"/>
      <w:color w:val="000000"/>
      <w:kern w:val="2"/>
      <w:lang w:val="en-US"/>
      <w14:ligatures w14:val="standardContextual"/>
    </w:rPr>
  </w:style>
  <w:style w:type="character" w:customStyle="1" w:styleId="Mention3">
    <w:name w:val="Mention3"/>
    <w:basedOn w:val="DefaultParagraphFont"/>
    <w:uiPriority w:val="99"/>
    <w:unhideWhenUsed/>
    <w:rsid w:val="00D3482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7916">
      <w:bodyDiv w:val="1"/>
      <w:marLeft w:val="0"/>
      <w:marRight w:val="0"/>
      <w:marTop w:val="0"/>
      <w:marBottom w:val="0"/>
      <w:divBdr>
        <w:top w:val="none" w:sz="0" w:space="0" w:color="auto"/>
        <w:left w:val="none" w:sz="0" w:space="0" w:color="auto"/>
        <w:bottom w:val="none" w:sz="0" w:space="0" w:color="auto"/>
        <w:right w:val="none" w:sz="0" w:space="0" w:color="auto"/>
      </w:divBdr>
    </w:div>
    <w:div w:id="150294375">
      <w:bodyDiv w:val="1"/>
      <w:marLeft w:val="0"/>
      <w:marRight w:val="0"/>
      <w:marTop w:val="0"/>
      <w:marBottom w:val="0"/>
      <w:divBdr>
        <w:top w:val="none" w:sz="0" w:space="0" w:color="auto"/>
        <w:left w:val="none" w:sz="0" w:space="0" w:color="auto"/>
        <w:bottom w:val="none" w:sz="0" w:space="0" w:color="auto"/>
        <w:right w:val="none" w:sz="0" w:space="0" w:color="auto"/>
      </w:divBdr>
    </w:div>
    <w:div w:id="262539289">
      <w:bodyDiv w:val="1"/>
      <w:marLeft w:val="0"/>
      <w:marRight w:val="0"/>
      <w:marTop w:val="0"/>
      <w:marBottom w:val="0"/>
      <w:divBdr>
        <w:top w:val="none" w:sz="0" w:space="0" w:color="auto"/>
        <w:left w:val="none" w:sz="0" w:space="0" w:color="auto"/>
        <w:bottom w:val="none" w:sz="0" w:space="0" w:color="auto"/>
        <w:right w:val="none" w:sz="0" w:space="0" w:color="auto"/>
      </w:divBdr>
    </w:div>
    <w:div w:id="298996591">
      <w:bodyDiv w:val="1"/>
      <w:marLeft w:val="0"/>
      <w:marRight w:val="0"/>
      <w:marTop w:val="0"/>
      <w:marBottom w:val="0"/>
      <w:divBdr>
        <w:top w:val="none" w:sz="0" w:space="0" w:color="auto"/>
        <w:left w:val="none" w:sz="0" w:space="0" w:color="auto"/>
        <w:bottom w:val="none" w:sz="0" w:space="0" w:color="auto"/>
        <w:right w:val="none" w:sz="0" w:space="0" w:color="auto"/>
      </w:divBdr>
    </w:div>
    <w:div w:id="413818081">
      <w:bodyDiv w:val="1"/>
      <w:marLeft w:val="0"/>
      <w:marRight w:val="0"/>
      <w:marTop w:val="0"/>
      <w:marBottom w:val="0"/>
      <w:divBdr>
        <w:top w:val="none" w:sz="0" w:space="0" w:color="auto"/>
        <w:left w:val="none" w:sz="0" w:space="0" w:color="auto"/>
        <w:bottom w:val="none" w:sz="0" w:space="0" w:color="auto"/>
        <w:right w:val="none" w:sz="0" w:space="0" w:color="auto"/>
      </w:divBdr>
    </w:div>
    <w:div w:id="589241529">
      <w:bodyDiv w:val="1"/>
      <w:marLeft w:val="0"/>
      <w:marRight w:val="0"/>
      <w:marTop w:val="0"/>
      <w:marBottom w:val="0"/>
      <w:divBdr>
        <w:top w:val="none" w:sz="0" w:space="0" w:color="auto"/>
        <w:left w:val="none" w:sz="0" w:space="0" w:color="auto"/>
        <w:bottom w:val="none" w:sz="0" w:space="0" w:color="auto"/>
        <w:right w:val="none" w:sz="0" w:space="0" w:color="auto"/>
      </w:divBdr>
    </w:div>
    <w:div w:id="636760880">
      <w:bodyDiv w:val="1"/>
      <w:marLeft w:val="0"/>
      <w:marRight w:val="0"/>
      <w:marTop w:val="0"/>
      <w:marBottom w:val="0"/>
      <w:divBdr>
        <w:top w:val="none" w:sz="0" w:space="0" w:color="auto"/>
        <w:left w:val="none" w:sz="0" w:space="0" w:color="auto"/>
        <w:bottom w:val="none" w:sz="0" w:space="0" w:color="auto"/>
        <w:right w:val="none" w:sz="0" w:space="0" w:color="auto"/>
      </w:divBdr>
    </w:div>
    <w:div w:id="711073820">
      <w:bodyDiv w:val="1"/>
      <w:marLeft w:val="0"/>
      <w:marRight w:val="0"/>
      <w:marTop w:val="0"/>
      <w:marBottom w:val="0"/>
      <w:divBdr>
        <w:top w:val="none" w:sz="0" w:space="0" w:color="auto"/>
        <w:left w:val="none" w:sz="0" w:space="0" w:color="auto"/>
        <w:bottom w:val="none" w:sz="0" w:space="0" w:color="auto"/>
        <w:right w:val="none" w:sz="0" w:space="0" w:color="auto"/>
      </w:divBdr>
    </w:div>
    <w:div w:id="727918860">
      <w:bodyDiv w:val="1"/>
      <w:marLeft w:val="0"/>
      <w:marRight w:val="0"/>
      <w:marTop w:val="0"/>
      <w:marBottom w:val="0"/>
      <w:divBdr>
        <w:top w:val="none" w:sz="0" w:space="0" w:color="auto"/>
        <w:left w:val="none" w:sz="0" w:space="0" w:color="auto"/>
        <w:bottom w:val="none" w:sz="0" w:space="0" w:color="auto"/>
        <w:right w:val="none" w:sz="0" w:space="0" w:color="auto"/>
      </w:divBdr>
    </w:div>
    <w:div w:id="924993608">
      <w:bodyDiv w:val="1"/>
      <w:marLeft w:val="0"/>
      <w:marRight w:val="0"/>
      <w:marTop w:val="0"/>
      <w:marBottom w:val="0"/>
      <w:divBdr>
        <w:top w:val="none" w:sz="0" w:space="0" w:color="auto"/>
        <w:left w:val="none" w:sz="0" w:space="0" w:color="auto"/>
        <w:bottom w:val="none" w:sz="0" w:space="0" w:color="auto"/>
        <w:right w:val="none" w:sz="0" w:space="0" w:color="auto"/>
      </w:divBdr>
    </w:div>
    <w:div w:id="931474012">
      <w:bodyDiv w:val="1"/>
      <w:marLeft w:val="0"/>
      <w:marRight w:val="0"/>
      <w:marTop w:val="0"/>
      <w:marBottom w:val="0"/>
      <w:divBdr>
        <w:top w:val="none" w:sz="0" w:space="0" w:color="auto"/>
        <w:left w:val="none" w:sz="0" w:space="0" w:color="auto"/>
        <w:bottom w:val="none" w:sz="0" w:space="0" w:color="auto"/>
        <w:right w:val="none" w:sz="0" w:space="0" w:color="auto"/>
      </w:divBdr>
    </w:div>
    <w:div w:id="1152790854">
      <w:bodyDiv w:val="1"/>
      <w:marLeft w:val="0"/>
      <w:marRight w:val="0"/>
      <w:marTop w:val="0"/>
      <w:marBottom w:val="0"/>
      <w:divBdr>
        <w:top w:val="none" w:sz="0" w:space="0" w:color="auto"/>
        <w:left w:val="none" w:sz="0" w:space="0" w:color="auto"/>
        <w:bottom w:val="none" w:sz="0" w:space="0" w:color="auto"/>
        <w:right w:val="none" w:sz="0" w:space="0" w:color="auto"/>
      </w:divBdr>
    </w:div>
    <w:div w:id="1155488256">
      <w:bodyDiv w:val="1"/>
      <w:marLeft w:val="0"/>
      <w:marRight w:val="0"/>
      <w:marTop w:val="0"/>
      <w:marBottom w:val="0"/>
      <w:divBdr>
        <w:top w:val="none" w:sz="0" w:space="0" w:color="auto"/>
        <w:left w:val="none" w:sz="0" w:space="0" w:color="auto"/>
        <w:bottom w:val="none" w:sz="0" w:space="0" w:color="auto"/>
        <w:right w:val="none" w:sz="0" w:space="0" w:color="auto"/>
      </w:divBdr>
    </w:div>
    <w:div w:id="1189946214">
      <w:bodyDiv w:val="1"/>
      <w:marLeft w:val="0"/>
      <w:marRight w:val="0"/>
      <w:marTop w:val="0"/>
      <w:marBottom w:val="0"/>
      <w:divBdr>
        <w:top w:val="none" w:sz="0" w:space="0" w:color="auto"/>
        <w:left w:val="none" w:sz="0" w:space="0" w:color="auto"/>
        <w:bottom w:val="none" w:sz="0" w:space="0" w:color="auto"/>
        <w:right w:val="none" w:sz="0" w:space="0" w:color="auto"/>
      </w:divBdr>
    </w:div>
    <w:div w:id="1261181650">
      <w:bodyDiv w:val="1"/>
      <w:marLeft w:val="0"/>
      <w:marRight w:val="0"/>
      <w:marTop w:val="0"/>
      <w:marBottom w:val="0"/>
      <w:divBdr>
        <w:top w:val="none" w:sz="0" w:space="0" w:color="auto"/>
        <w:left w:val="none" w:sz="0" w:space="0" w:color="auto"/>
        <w:bottom w:val="none" w:sz="0" w:space="0" w:color="auto"/>
        <w:right w:val="none" w:sz="0" w:space="0" w:color="auto"/>
      </w:divBdr>
    </w:div>
    <w:div w:id="1301955637">
      <w:bodyDiv w:val="1"/>
      <w:marLeft w:val="0"/>
      <w:marRight w:val="0"/>
      <w:marTop w:val="0"/>
      <w:marBottom w:val="0"/>
      <w:divBdr>
        <w:top w:val="none" w:sz="0" w:space="0" w:color="auto"/>
        <w:left w:val="none" w:sz="0" w:space="0" w:color="auto"/>
        <w:bottom w:val="none" w:sz="0" w:space="0" w:color="auto"/>
        <w:right w:val="none" w:sz="0" w:space="0" w:color="auto"/>
      </w:divBdr>
      <w:divsChild>
        <w:div w:id="434598792">
          <w:marLeft w:val="0"/>
          <w:marRight w:val="0"/>
          <w:marTop w:val="0"/>
          <w:marBottom w:val="0"/>
          <w:divBdr>
            <w:top w:val="none" w:sz="0" w:space="0" w:color="auto"/>
            <w:left w:val="none" w:sz="0" w:space="0" w:color="auto"/>
            <w:bottom w:val="none" w:sz="0" w:space="0" w:color="auto"/>
            <w:right w:val="none" w:sz="0" w:space="0" w:color="auto"/>
          </w:divBdr>
        </w:div>
      </w:divsChild>
    </w:div>
    <w:div w:id="1307736948">
      <w:bodyDiv w:val="1"/>
      <w:marLeft w:val="0"/>
      <w:marRight w:val="0"/>
      <w:marTop w:val="0"/>
      <w:marBottom w:val="0"/>
      <w:divBdr>
        <w:top w:val="none" w:sz="0" w:space="0" w:color="auto"/>
        <w:left w:val="none" w:sz="0" w:space="0" w:color="auto"/>
        <w:bottom w:val="none" w:sz="0" w:space="0" w:color="auto"/>
        <w:right w:val="none" w:sz="0" w:space="0" w:color="auto"/>
      </w:divBdr>
    </w:div>
    <w:div w:id="1588998862">
      <w:bodyDiv w:val="1"/>
      <w:marLeft w:val="0"/>
      <w:marRight w:val="0"/>
      <w:marTop w:val="0"/>
      <w:marBottom w:val="0"/>
      <w:divBdr>
        <w:top w:val="none" w:sz="0" w:space="0" w:color="auto"/>
        <w:left w:val="none" w:sz="0" w:space="0" w:color="auto"/>
        <w:bottom w:val="none" w:sz="0" w:space="0" w:color="auto"/>
        <w:right w:val="none" w:sz="0" w:space="0" w:color="auto"/>
      </w:divBdr>
    </w:div>
    <w:div w:id="1916159411">
      <w:bodyDiv w:val="1"/>
      <w:marLeft w:val="0"/>
      <w:marRight w:val="0"/>
      <w:marTop w:val="0"/>
      <w:marBottom w:val="0"/>
      <w:divBdr>
        <w:top w:val="none" w:sz="0" w:space="0" w:color="auto"/>
        <w:left w:val="none" w:sz="0" w:space="0" w:color="auto"/>
        <w:bottom w:val="none" w:sz="0" w:space="0" w:color="auto"/>
        <w:right w:val="none" w:sz="0" w:space="0" w:color="auto"/>
      </w:divBdr>
    </w:div>
    <w:div w:id="2035883948">
      <w:bodyDiv w:val="1"/>
      <w:marLeft w:val="0"/>
      <w:marRight w:val="0"/>
      <w:marTop w:val="0"/>
      <w:marBottom w:val="0"/>
      <w:divBdr>
        <w:top w:val="none" w:sz="0" w:space="0" w:color="auto"/>
        <w:left w:val="none" w:sz="0" w:space="0" w:color="auto"/>
        <w:bottom w:val="none" w:sz="0" w:space="0" w:color="auto"/>
        <w:right w:val="none" w:sz="0" w:space="0" w:color="auto"/>
      </w:divBdr>
    </w:div>
    <w:div w:id="21134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assaferegister.co.uk/media/1600/rules-of-registration.pdf" TargetMode="External"/><Relationship Id="rId18" Type="http://schemas.openxmlformats.org/officeDocument/2006/relationships/footer" Target="footer5.xml"/><Relationship Id="rId26" Type="http://schemas.openxmlformats.org/officeDocument/2006/relationships/diagramData" Target="diagrams/data1.xml"/><Relationship Id="rId39" Type="http://schemas.openxmlformats.org/officeDocument/2006/relationships/footer" Target="footer18.xml"/><Relationship Id="rId21" Type="http://schemas.openxmlformats.org/officeDocument/2006/relationships/hyperlink" Target="https://www.gov.uk/government/publications/consultation-principles-guidance" TargetMode="External"/><Relationship Id="rId34" Type="http://schemas.openxmlformats.org/officeDocument/2006/relationships/footer" Target="footer15.xml"/><Relationship Id="rId42" Type="http://schemas.openxmlformats.org/officeDocument/2006/relationships/hyperlink" Target="http://www.twitter.com/gassaferegister" TargetMode="External"/><Relationship Id="rId47" Type="http://schemas.openxmlformats.org/officeDocument/2006/relationships/footer" Target="footer21.xml"/><Relationship Id="rId50" Type="http://schemas.openxmlformats.org/officeDocument/2006/relationships/hyperlink" Target="https://www.ncsc.gov.uk/guidance/multi-factor-authentication-online-services" TargetMode="External"/><Relationship Id="rId55" Type="http://schemas.openxmlformats.org/officeDocument/2006/relationships/hyperlink" Target="https://www.ncsc.gov.uk/guidance/cloud-security-standards-and-definitions" TargetMode="External"/><Relationship Id="rId63" Type="http://schemas.openxmlformats.org/officeDocument/2006/relationships/footer" Target="footer23.xml"/><Relationship Id="rId68" Type="http://schemas.openxmlformats.org/officeDocument/2006/relationships/oleObject" Target="embeddings/oleObject1.bin"/><Relationship Id="rId76" Type="http://schemas.openxmlformats.org/officeDocument/2006/relationships/header" Target="header2.xml"/><Relationship Id="rId8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footer" Target="footer26.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diagramColors" Target="diagrams/colors1.xml"/><Relationship Id="rId11" Type="http://schemas.openxmlformats.org/officeDocument/2006/relationships/header" Target="header1.xml"/><Relationship Id="rId24" Type="http://schemas.openxmlformats.org/officeDocument/2006/relationships/footer" Target="footer10.xml"/><Relationship Id="rId32" Type="http://schemas.openxmlformats.org/officeDocument/2006/relationships/footer" Target="footer13.xml"/><Relationship Id="rId37" Type="http://schemas.openxmlformats.org/officeDocument/2006/relationships/hyperlink" Target="http://uk.practicallaw.com/0-202-4551?q=outsourcing" TargetMode="External"/><Relationship Id="rId40" Type="http://schemas.openxmlformats.org/officeDocument/2006/relationships/footer" Target="footer19.xml"/><Relationship Id="rId45" Type="http://schemas.openxmlformats.org/officeDocument/2006/relationships/hyperlink" Target="http://www.twitter.com/gassafetechteam" TargetMode="External"/><Relationship Id="rId53" Type="http://schemas.openxmlformats.org/officeDocument/2006/relationships/hyperlink" Target="https://www.gov.uk/government/publications/security-policy-framework" TargetMode="External"/><Relationship Id="rId58" Type="http://schemas.openxmlformats.org/officeDocument/2006/relationships/hyperlink" Target="https://www.ncsc.gov.uk/guidance/cloud-security-standards-and-definitions" TargetMode="External"/><Relationship Id="rId66" Type="http://schemas.openxmlformats.org/officeDocument/2006/relationships/package" Target="embeddings/Microsoft_Word_Document.docx"/><Relationship Id="rId74" Type="http://schemas.openxmlformats.org/officeDocument/2006/relationships/footer" Target="footer27.xml"/><Relationship Id="rId79" Type="http://schemas.openxmlformats.org/officeDocument/2006/relationships/footer" Target="footer30.xml"/><Relationship Id="rId5" Type="http://schemas.openxmlformats.org/officeDocument/2006/relationships/numbering" Target="numbering.xml"/><Relationship Id="rId61" Type="http://schemas.openxmlformats.org/officeDocument/2006/relationships/hyperlink" Target="https://www.ncsc.gov.uk/articles/secure-default" TargetMode="External"/><Relationship Id="rId82" Type="http://schemas.openxmlformats.org/officeDocument/2006/relationships/fontTable" Target="fontTable.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uskills.co.uk/standards-training-gas-work" TargetMode="External"/><Relationship Id="rId22" Type="http://schemas.openxmlformats.org/officeDocument/2006/relationships/footer" Target="footer8.xml"/><Relationship Id="rId27" Type="http://schemas.openxmlformats.org/officeDocument/2006/relationships/diagramLayout" Target="diagrams/layout1.xml"/><Relationship Id="rId30" Type="http://schemas.microsoft.com/office/2007/relationships/diagramDrawing" Target="diagrams/drawing1.xml"/><Relationship Id="rId35" Type="http://schemas.openxmlformats.org/officeDocument/2006/relationships/footer" Target="footer16.xml"/><Relationship Id="rId43" Type="http://schemas.openxmlformats.org/officeDocument/2006/relationships/hyperlink" Target="http://www.linkedin.com/company/gassaferegister" TargetMode="External"/><Relationship Id="rId48" Type="http://schemas.openxmlformats.org/officeDocument/2006/relationships/footer" Target="footer22.xml"/><Relationship Id="rId56" Type="http://schemas.openxmlformats.org/officeDocument/2006/relationships/hyperlink" Target="https://www.ncsc.gov.uk/guidance/cloud-security-standards-and-definitions" TargetMode="External"/><Relationship Id="rId64" Type="http://schemas.openxmlformats.org/officeDocument/2006/relationships/footer" Target="footer24.xml"/><Relationship Id="rId69" Type="http://schemas.openxmlformats.org/officeDocument/2006/relationships/hyperlink" Target="https://www.ncsc.gov.uk/collection/cloud-security?curPage=/collection/cloud-security/implementing-the-cloud-security-principles" TargetMode="External"/><Relationship Id="rId77" Type="http://schemas.openxmlformats.org/officeDocument/2006/relationships/footer" Target="footer28.xml"/><Relationship Id="rId8" Type="http://schemas.openxmlformats.org/officeDocument/2006/relationships/webSettings" Target="webSettings.xml"/><Relationship Id="rId51" Type="http://schemas.openxmlformats.org/officeDocument/2006/relationships/hyperlink" Target="https://www.gov.uk/government/collections/functional-standards" TargetMode="External"/><Relationship Id="rId72" Type="http://schemas.openxmlformats.org/officeDocument/2006/relationships/image" Target="media/image3.jpeg"/><Relationship Id="rId80" Type="http://schemas.openxmlformats.org/officeDocument/2006/relationships/footer" Target="footer31.xml"/><Relationship Id="rId85" Type="http://schemas.microsoft.com/office/2019/05/relationships/documenttasks" Target="documenttasks/documenttasks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11.xml"/><Relationship Id="rId33" Type="http://schemas.openxmlformats.org/officeDocument/2006/relationships/footer" Target="footer14.xml"/><Relationship Id="rId38" Type="http://schemas.openxmlformats.org/officeDocument/2006/relationships/hyperlink" Target="http://uk.practicallaw.com/0-202-4551?q=outsourcing" TargetMode="External"/><Relationship Id="rId46" Type="http://schemas.openxmlformats.org/officeDocument/2006/relationships/hyperlink" Target="http://www.youtube.com/gassaferegister" TargetMode="External"/><Relationship Id="rId59" Type="http://schemas.openxmlformats.org/officeDocument/2006/relationships/hyperlink" Target="https://www.owasp.org/index.php/Category:OWASP_Application_Security_Verification_Standard_Project" TargetMode="External"/><Relationship Id="rId67" Type="http://schemas.openxmlformats.org/officeDocument/2006/relationships/image" Target="media/image2.emf"/><Relationship Id="rId20" Type="http://schemas.openxmlformats.org/officeDocument/2006/relationships/footer" Target="footer7.xml"/><Relationship Id="rId41" Type="http://schemas.openxmlformats.org/officeDocument/2006/relationships/footer" Target="footer20.xml"/><Relationship Id="rId54" Type="http://schemas.openxmlformats.org/officeDocument/2006/relationships/hyperlink" Target="https://www.ncsc.gov.uk/guidance/cloud-security-standards-and-definitions" TargetMode="External"/><Relationship Id="rId62" Type="http://schemas.openxmlformats.org/officeDocument/2006/relationships/hyperlink" Target="http://www.cyberessentials.org/index.html" TargetMode="External"/><Relationship Id="rId70" Type="http://schemas.openxmlformats.org/officeDocument/2006/relationships/footer" Target="footer25.xml"/><Relationship Id="rId75" Type="http://schemas.openxmlformats.org/officeDocument/2006/relationships/hyperlink" Target="http://www.hse.gov.uk/foi/busclasschem.pdf" TargetMode="External"/><Relationship Id="rId83"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9.xml"/><Relationship Id="rId28" Type="http://schemas.openxmlformats.org/officeDocument/2006/relationships/diagramQuickStyle" Target="diagrams/quickStyle1.xml"/><Relationship Id="rId36" Type="http://schemas.openxmlformats.org/officeDocument/2006/relationships/footer" Target="footer17.xml"/><Relationship Id="rId49" Type="http://schemas.openxmlformats.org/officeDocument/2006/relationships/hyperlink" Target="https://www.gov.uk/government/publications/government-security-classifications" TargetMode="External"/><Relationship Id="rId57" Type="http://schemas.openxmlformats.org/officeDocument/2006/relationships/hyperlink" Target="https://www.ncsc.gov.uk/guidance/cloud-security-standards-and-definitions" TargetMode="External"/><Relationship Id="rId10" Type="http://schemas.openxmlformats.org/officeDocument/2006/relationships/endnotes" Target="endnotes.xml"/><Relationship Id="rId31" Type="http://schemas.openxmlformats.org/officeDocument/2006/relationships/footer" Target="footer12.xml"/><Relationship Id="rId44" Type="http://schemas.openxmlformats.org/officeDocument/2006/relationships/hyperlink" Target="http://www.instagram.com/gassaferegister" TargetMode="External"/><Relationship Id="rId52" Type="http://schemas.openxmlformats.org/officeDocument/2006/relationships/hyperlink" Target="https://www.gov.uk/government/publications/government-functional-standard-govs-007-security" TargetMode="External"/><Relationship Id="rId60" Type="http://schemas.openxmlformats.org/officeDocument/2006/relationships/hyperlink" Target="https://www.ncsc.gov.uk/guidance/security-design-principles-digital-services-main" TargetMode="External"/><Relationship Id="rId65" Type="http://schemas.openxmlformats.org/officeDocument/2006/relationships/image" Target="media/image1.emf"/><Relationship Id="rId73" Type="http://schemas.openxmlformats.org/officeDocument/2006/relationships/image" Target="media/image4.jpeg"/><Relationship Id="rId78" Type="http://schemas.openxmlformats.org/officeDocument/2006/relationships/footer" Target="footer29.xml"/><Relationship Id="rId81" Type="http://schemas.openxmlformats.org/officeDocument/2006/relationships/footer" Target="footer3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61A366A-0A72-477C-86F5-2B9396F03E4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FA4C1C34-F85F-4493-A852-4F2664EB823A}">
      <dgm:prSet phldrT="[Text]"/>
      <dgm:spPr/>
      <dgm:t>
        <a:bodyPr/>
        <a:lstStyle/>
        <a:p>
          <a:r>
            <a:rPr lang="en-GB"/>
            <a:t>Tier 4</a:t>
          </a:r>
        </a:p>
        <a:p>
          <a:r>
            <a:rPr lang="en-GB"/>
            <a:t>Executive Review</a:t>
          </a:r>
        </a:p>
      </dgm:t>
    </dgm:pt>
    <dgm:pt modelId="{8F7025B8-D8BC-4762-AC9C-3B9387E09285}" type="parTrans" cxnId="{A6D6D9FB-93C2-4C40-8361-57A45256B13D}">
      <dgm:prSet/>
      <dgm:spPr/>
      <dgm:t>
        <a:bodyPr/>
        <a:lstStyle/>
        <a:p>
          <a:endParaRPr lang="en-GB"/>
        </a:p>
      </dgm:t>
    </dgm:pt>
    <dgm:pt modelId="{86869899-62AB-44A4-96C9-1CE50F64467A}" type="sibTrans" cxnId="{A6D6D9FB-93C2-4C40-8361-57A45256B13D}">
      <dgm:prSet/>
      <dgm:spPr/>
      <dgm:t>
        <a:bodyPr/>
        <a:lstStyle/>
        <a:p>
          <a:endParaRPr lang="en-GB"/>
        </a:p>
      </dgm:t>
    </dgm:pt>
    <dgm:pt modelId="{4E512693-74B8-4241-95ED-E0BE75C76145}">
      <dgm:prSet phldrT="[Text]"/>
      <dgm:spPr/>
      <dgm:t>
        <a:bodyPr/>
        <a:lstStyle/>
        <a:p>
          <a:r>
            <a:rPr lang="en-GB"/>
            <a:t>Tier 3</a:t>
          </a:r>
        </a:p>
        <a:p>
          <a:r>
            <a:rPr lang="en-GB"/>
            <a:t>Transition Governance</a:t>
          </a:r>
        </a:p>
      </dgm:t>
    </dgm:pt>
    <dgm:pt modelId="{140DE938-0C4C-4554-9587-C594E641D5EC}" type="parTrans" cxnId="{12110A3D-E730-4420-BCE0-3CBD8C19A1E8}">
      <dgm:prSet/>
      <dgm:spPr/>
      <dgm:t>
        <a:bodyPr/>
        <a:lstStyle/>
        <a:p>
          <a:endParaRPr lang="en-GB"/>
        </a:p>
      </dgm:t>
    </dgm:pt>
    <dgm:pt modelId="{869CF45C-8283-46D1-B6E0-DEC56BC40856}" type="sibTrans" cxnId="{12110A3D-E730-4420-BCE0-3CBD8C19A1E8}">
      <dgm:prSet/>
      <dgm:spPr/>
      <dgm:t>
        <a:bodyPr/>
        <a:lstStyle/>
        <a:p>
          <a:endParaRPr lang="en-GB"/>
        </a:p>
      </dgm:t>
    </dgm:pt>
    <dgm:pt modelId="{43A84344-C882-49D3-95A1-AC4DA8502695}">
      <dgm:prSet phldrT="[Text]"/>
      <dgm:spPr/>
      <dgm:t>
        <a:bodyPr/>
        <a:lstStyle/>
        <a:p>
          <a:r>
            <a:rPr lang="en-GB"/>
            <a:t>Tier 2</a:t>
          </a:r>
        </a:p>
        <a:p>
          <a:r>
            <a:rPr lang="en-GB"/>
            <a:t>Service &amp; Performance Monitoring</a:t>
          </a:r>
        </a:p>
      </dgm:t>
    </dgm:pt>
    <dgm:pt modelId="{594CC78B-0325-4573-BD3A-F451FB9BA99B}" type="parTrans" cxnId="{62D68B19-5B2F-4B8F-A1D0-8B32D2E3C27F}">
      <dgm:prSet/>
      <dgm:spPr/>
      <dgm:t>
        <a:bodyPr/>
        <a:lstStyle/>
        <a:p>
          <a:endParaRPr lang="en-GB"/>
        </a:p>
      </dgm:t>
    </dgm:pt>
    <dgm:pt modelId="{9C942692-671F-4A3F-AA6C-25EF4BD3A655}" type="sibTrans" cxnId="{62D68B19-5B2F-4B8F-A1D0-8B32D2E3C27F}">
      <dgm:prSet/>
      <dgm:spPr/>
      <dgm:t>
        <a:bodyPr/>
        <a:lstStyle/>
        <a:p>
          <a:endParaRPr lang="en-GB"/>
        </a:p>
      </dgm:t>
    </dgm:pt>
    <dgm:pt modelId="{3E138DF9-4545-45A8-A3F7-86071708B0FF}">
      <dgm:prSet phldrT="[Text]"/>
      <dgm:spPr/>
      <dgm:t>
        <a:bodyPr/>
        <a:lstStyle/>
        <a:p>
          <a:r>
            <a:rPr lang="en-GB"/>
            <a:t>Tier 2 </a:t>
          </a:r>
        </a:p>
        <a:p>
          <a:r>
            <a:rPr lang="en-GB"/>
            <a:t>Senior Management Review</a:t>
          </a:r>
        </a:p>
      </dgm:t>
    </dgm:pt>
    <dgm:pt modelId="{22B6B389-96E5-4590-856A-6B504DFDF303}" type="parTrans" cxnId="{C5069997-78AF-45A7-8D5E-6B4E622F9318}">
      <dgm:prSet/>
      <dgm:spPr/>
      <dgm:t>
        <a:bodyPr/>
        <a:lstStyle/>
        <a:p>
          <a:endParaRPr lang="en-GB"/>
        </a:p>
      </dgm:t>
    </dgm:pt>
    <dgm:pt modelId="{E6D89179-D686-4F84-B2E0-6CA85F1AC6E5}" type="sibTrans" cxnId="{C5069997-78AF-45A7-8D5E-6B4E622F9318}">
      <dgm:prSet/>
      <dgm:spPr/>
      <dgm:t>
        <a:bodyPr/>
        <a:lstStyle/>
        <a:p>
          <a:endParaRPr lang="en-GB"/>
        </a:p>
      </dgm:t>
    </dgm:pt>
    <dgm:pt modelId="{CF08BB1D-4372-4B5A-BBF2-FF2C9024255D}">
      <dgm:prSet phldrT="[Text]"/>
      <dgm:spPr/>
      <dgm:t>
        <a:bodyPr/>
        <a:lstStyle/>
        <a:p>
          <a:r>
            <a:rPr lang="en-GB"/>
            <a:t>Tier 3</a:t>
          </a:r>
        </a:p>
        <a:p>
          <a:r>
            <a:rPr lang="en-GB"/>
            <a:t>Contract Review</a:t>
          </a:r>
        </a:p>
      </dgm:t>
    </dgm:pt>
    <dgm:pt modelId="{68161C8C-418F-4A02-8970-A49C5CB78EDE}" type="parTrans" cxnId="{6FB1DCE9-1A7F-4ED5-9B17-3AB8B1EB9A9F}">
      <dgm:prSet/>
      <dgm:spPr/>
      <dgm:t>
        <a:bodyPr/>
        <a:lstStyle/>
        <a:p>
          <a:endParaRPr lang="en-GB"/>
        </a:p>
      </dgm:t>
    </dgm:pt>
    <dgm:pt modelId="{477178C5-A7DC-4B36-9F38-666BB1328368}" type="sibTrans" cxnId="{6FB1DCE9-1A7F-4ED5-9B17-3AB8B1EB9A9F}">
      <dgm:prSet/>
      <dgm:spPr/>
      <dgm:t>
        <a:bodyPr/>
        <a:lstStyle/>
        <a:p>
          <a:endParaRPr lang="en-GB"/>
        </a:p>
      </dgm:t>
    </dgm:pt>
    <dgm:pt modelId="{9CA92ED4-CCCC-4409-877E-35C4E9660019}">
      <dgm:prSet phldrT="[Text]"/>
      <dgm:spPr/>
      <dgm:t>
        <a:bodyPr/>
        <a:lstStyle/>
        <a:p>
          <a:r>
            <a:rPr lang="en-GB"/>
            <a:t>Tier 1</a:t>
          </a:r>
        </a:p>
        <a:p>
          <a:r>
            <a:rPr lang="en-GB"/>
            <a:t>Field Operations Liaison</a:t>
          </a:r>
        </a:p>
      </dgm:t>
    </dgm:pt>
    <dgm:pt modelId="{71D5F595-3E83-43DC-8799-93D12CDF3AAB}" type="parTrans" cxnId="{E990634B-69BE-4997-A893-17BBC0D52AF7}">
      <dgm:prSet/>
      <dgm:spPr/>
      <dgm:t>
        <a:bodyPr/>
        <a:lstStyle/>
        <a:p>
          <a:endParaRPr lang="en-GB"/>
        </a:p>
      </dgm:t>
    </dgm:pt>
    <dgm:pt modelId="{58DB37E2-178A-4ABA-827B-1F8E07C8A68C}" type="sibTrans" cxnId="{E990634B-69BE-4997-A893-17BBC0D52AF7}">
      <dgm:prSet/>
      <dgm:spPr/>
      <dgm:t>
        <a:bodyPr/>
        <a:lstStyle/>
        <a:p>
          <a:endParaRPr lang="en-GB"/>
        </a:p>
      </dgm:t>
    </dgm:pt>
    <dgm:pt modelId="{0228EE7D-A8D3-44BB-9E7A-9ACDEA2E3AE6}">
      <dgm:prSet phldrT="[Text]"/>
      <dgm:spPr/>
      <dgm:t>
        <a:bodyPr/>
        <a:lstStyle/>
        <a:p>
          <a:r>
            <a:rPr lang="en-GB"/>
            <a:t>Tier 1 Marketing Review</a:t>
          </a:r>
        </a:p>
      </dgm:t>
    </dgm:pt>
    <dgm:pt modelId="{FDFD609A-5728-45BE-A0A5-061F91EB86A1}" type="parTrans" cxnId="{1726E844-6A4B-45C0-821E-C08A064FD9A3}">
      <dgm:prSet/>
      <dgm:spPr/>
      <dgm:t>
        <a:bodyPr/>
        <a:lstStyle/>
        <a:p>
          <a:endParaRPr lang="en-US"/>
        </a:p>
      </dgm:t>
    </dgm:pt>
    <dgm:pt modelId="{B279FB61-28BF-4E7B-AACF-C8E034C5CBDD}" type="sibTrans" cxnId="{1726E844-6A4B-45C0-821E-C08A064FD9A3}">
      <dgm:prSet/>
      <dgm:spPr/>
      <dgm:t>
        <a:bodyPr/>
        <a:lstStyle/>
        <a:p>
          <a:endParaRPr lang="en-US"/>
        </a:p>
      </dgm:t>
    </dgm:pt>
    <dgm:pt modelId="{650D1188-AAAF-44D5-A671-C31E548635FE}" type="pres">
      <dgm:prSet presAssocID="{F61A366A-0A72-477C-86F5-2B9396F03E4D}" presName="hierChild1" presStyleCnt="0">
        <dgm:presLayoutVars>
          <dgm:orgChart val="1"/>
          <dgm:chPref val="1"/>
          <dgm:dir/>
          <dgm:animOne val="branch"/>
          <dgm:animLvl val="lvl"/>
          <dgm:resizeHandles/>
        </dgm:presLayoutVars>
      </dgm:prSet>
      <dgm:spPr/>
    </dgm:pt>
    <dgm:pt modelId="{AAD49DBC-53EA-4C23-A420-608F759B68EC}" type="pres">
      <dgm:prSet presAssocID="{FA4C1C34-F85F-4493-A852-4F2664EB823A}" presName="hierRoot1" presStyleCnt="0">
        <dgm:presLayoutVars>
          <dgm:hierBranch val="init"/>
        </dgm:presLayoutVars>
      </dgm:prSet>
      <dgm:spPr/>
    </dgm:pt>
    <dgm:pt modelId="{1FE871C5-6686-4BB3-B04C-D67CCD7D2719}" type="pres">
      <dgm:prSet presAssocID="{FA4C1C34-F85F-4493-A852-4F2664EB823A}" presName="rootComposite1" presStyleCnt="0"/>
      <dgm:spPr/>
    </dgm:pt>
    <dgm:pt modelId="{A54823F6-9B01-4203-8E63-B2406CAF0BB1}" type="pres">
      <dgm:prSet presAssocID="{FA4C1C34-F85F-4493-A852-4F2664EB823A}" presName="rootText1" presStyleLbl="node0" presStyleIdx="0" presStyleCnt="1">
        <dgm:presLayoutVars>
          <dgm:chPref val="3"/>
        </dgm:presLayoutVars>
      </dgm:prSet>
      <dgm:spPr/>
    </dgm:pt>
    <dgm:pt modelId="{A8313711-A6D2-4832-9488-2A3DFD694AEE}" type="pres">
      <dgm:prSet presAssocID="{FA4C1C34-F85F-4493-A852-4F2664EB823A}" presName="rootConnector1" presStyleLbl="node1" presStyleIdx="0" presStyleCnt="0"/>
      <dgm:spPr/>
    </dgm:pt>
    <dgm:pt modelId="{A97D9C72-2439-49D1-AD28-B3EBFE80CF0B}" type="pres">
      <dgm:prSet presAssocID="{FA4C1C34-F85F-4493-A852-4F2664EB823A}" presName="hierChild2" presStyleCnt="0"/>
      <dgm:spPr/>
    </dgm:pt>
    <dgm:pt modelId="{CFD7C0A6-8C34-4566-8635-FCC7DAD6F63E}" type="pres">
      <dgm:prSet presAssocID="{140DE938-0C4C-4554-9587-C594E641D5EC}" presName="Name37" presStyleLbl="parChTrans1D2" presStyleIdx="0" presStyleCnt="2"/>
      <dgm:spPr/>
    </dgm:pt>
    <dgm:pt modelId="{87F17E62-7FD9-40D1-9C31-F8A72F89B7C9}" type="pres">
      <dgm:prSet presAssocID="{4E512693-74B8-4241-95ED-E0BE75C76145}" presName="hierRoot2" presStyleCnt="0">
        <dgm:presLayoutVars>
          <dgm:hierBranch val="init"/>
        </dgm:presLayoutVars>
      </dgm:prSet>
      <dgm:spPr/>
    </dgm:pt>
    <dgm:pt modelId="{DD55FAF7-25DA-451E-A9D7-2E5FBF9B11C5}" type="pres">
      <dgm:prSet presAssocID="{4E512693-74B8-4241-95ED-E0BE75C76145}" presName="rootComposite" presStyleCnt="0"/>
      <dgm:spPr/>
    </dgm:pt>
    <dgm:pt modelId="{AC5F5268-F885-4E07-A1DE-463C557D74ED}" type="pres">
      <dgm:prSet presAssocID="{4E512693-74B8-4241-95ED-E0BE75C76145}" presName="rootText" presStyleLbl="node2" presStyleIdx="0" presStyleCnt="2">
        <dgm:presLayoutVars>
          <dgm:chPref val="3"/>
        </dgm:presLayoutVars>
      </dgm:prSet>
      <dgm:spPr/>
    </dgm:pt>
    <dgm:pt modelId="{056F257C-9C3E-4AB2-A9D3-A00BBABBF3E7}" type="pres">
      <dgm:prSet presAssocID="{4E512693-74B8-4241-95ED-E0BE75C76145}" presName="rootConnector" presStyleLbl="node2" presStyleIdx="0" presStyleCnt="2"/>
      <dgm:spPr/>
    </dgm:pt>
    <dgm:pt modelId="{246E562D-63B7-4EFA-BF48-A71A8051561E}" type="pres">
      <dgm:prSet presAssocID="{4E512693-74B8-4241-95ED-E0BE75C76145}" presName="hierChild4" presStyleCnt="0"/>
      <dgm:spPr/>
    </dgm:pt>
    <dgm:pt modelId="{C58B0455-E059-4AE8-B4DA-549909F02152}" type="pres">
      <dgm:prSet presAssocID="{4E512693-74B8-4241-95ED-E0BE75C76145}" presName="hierChild5" presStyleCnt="0"/>
      <dgm:spPr/>
    </dgm:pt>
    <dgm:pt modelId="{F03BA6C6-8D94-404F-A436-A76DA148E34D}" type="pres">
      <dgm:prSet presAssocID="{68161C8C-418F-4A02-8970-A49C5CB78EDE}" presName="Name37" presStyleLbl="parChTrans1D2" presStyleIdx="1" presStyleCnt="2"/>
      <dgm:spPr/>
    </dgm:pt>
    <dgm:pt modelId="{E45636D5-169B-4531-94BB-68A44B6C4CDF}" type="pres">
      <dgm:prSet presAssocID="{CF08BB1D-4372-4B5A-BBF2-FF2C9024255D}" presName="hierRoot2" presStyleCnt="0">
        <dgm:presLayoutVars>
          <dgm:hierBranch val="init"/>
        </dgm:presLayoutVars>
      </dgm:prSet>
      <dgm:spPr/>
    </dgm:pt>
    <dgm:pt modelId="{B14BFE22-DA7A-4DCF-A9E1-7A984FBB2EB5}" type="pres">
      <dgm:prSet presAssocID="{CF08BB1D-4372-4B5A-BBF2-FF2C9024255D}" presName="rootComposite" presStyleCnt="0"/>
      <dgm:spPr/>
    </dgm:pt>
    <dgm:pt modelId="{7C4C7E34-1C9E-4E64-9214-CFF07F4ED72D}" type="pres">
      <dgm:prSet presAssocID="{CF08BB1D-4372-4B5A-BBF2-FF2C9024255D}" presName="rootText" presStyleLbl="node2" presStyleIdx="1" presStyleCnt="2">
        <dgm:presLayoutVars>
          <dgm:chPref val="3"/>
        </dgm:presLayoutVars>
      </dgm:prSet>
      <dgm:spPr/>
    </dgm:pt>
    <dgm:pt modelId="{0079FAD5-D045-4DC7-BB55-6A5B4A0D1F99}" type="pres">
      <dgm:prSet presAssocID="{CF08BB1D-4372-4B5A-BBF2-FF2C9024255D}" presName="rootConnector" presStyleLbl="node2" presStyleIdx="1" presStyleCnt="2"/>
      <dgm:spPr/>
    </dgm:pt>
    <dgm:pt modelId="{7DCF265B-F6A2-4FC0-864D-4A84687EFA80}" type="pres">
      <dgm:prSet presAssocID="{CF08BB1D-4372-4B5A-BBF2-FF2C9024255D}" presName="hierChild4" presStyleCnt="0"/>
      <dgm:spPr/>
    </dgm:pt>
    <dgm:pt modelId="{0205419A-A258-4D42-8A44-AB5475F71B71}" type="pres">
      <dgm:prSet presAssocID="{594CC78B-0325-4573-BD3A-F451FB9BA99B}" presName="Name37" presStyleLbl="parChTrans1D3" presStyleIdx="0" presStyleCnt="2"/>
      <dgm:spPr/>
    </dgm:pt>
    <dgm:pt modelId="{DC762BF4-AFC6-4184-A5DB-D5FD4E1B176C}" type="pres">
      <dgm:prSet presAssocID="{43A84344-C882-49D3-95A1-AC4DA8502695}" presName="hierRoot2" presStyleCnt="0">
        <dgm:presLayoutVars>
          <dgm:hierBranch val="init"/>
        </dgm:presLayoutVars>
      </dgm:prSet>
      <dgm:spPr/>
    </dgm:pt>
    <dgm:pt modelId="{62DB044C-E0CC-4CC3-9BFF-86D2A52F3444}" type="pres">
      <dgm:prSet presAssocID="{43A84344-C882-49D3-95A1-AC4DA8502695}" presName="rootComposite" presStyleCnt="0"/>
      <dgm:spPr/>
    </dgm:pt>
    <dgm:pt modelId="{4CA615E5-0EEA-4DCB-9E4A-B9BB039D9B1D}" type="pres">
      <dgm:prSet presAssocID="{43A84344-C882-49D3-95A1-AC4DA8502695}" presName="rootText" presStyleLbl="node3" presStyleIdx="0" presStyleCnt="2">
        <dgm:presLayoutVars>
          <dgm:chPref val="3"/>
        </dgm:presLayoutVars>
      </dgm:prSet>
      <dgm:spPr/>
    </dgm:pt>
    <dgm:pt modelId="{80ECA9C9-643F-43E4-8BC4-A7163D80AE6E}" type="pres">
      <dgm:prSet presAssocID="{43A84344-C882-49D3-95A1-AC4DA8502695}" presName="rootConnector" presStyleLbl="node3" presStyleIdx="0" presStyleCnt="2"/>
      <dgm:spPr/>
    </dgm:pt>
    <dgm:pt modelId="{2F4BF5DF-2E0E-4096-99F8-87F2A09AF656}" type="pres">
      <dgm:prSet presAssocID="{43A84344-C882-49D3-95A1-AC4DA8502695}" presName="hierChild4" presStyleCnt="0"/>
      <dgm:spPr/>
    </dgm:pt>
    <dgm:pt modelId="{8930843E-1398-4460-B3F8-E70988F01783}" type="pres">
      <dgm:prSet presAssocID="{71D5F595-3E83-43DC-8799-93D12CDF3AAB}" presName="Name37" presStyleLbl="parChTrans1D4" presStyleIdx="0" presStyleCnt="2"/>
      <dgm:spPr/>
    </dgm:pt>
    <dgm:pt modelId="{C929870A-32D8-43B8-AC2B-3470C0F4094B}" type="pres">
      <dgm:prSet presAssocID="{9CA92ED4-CCCC-4409-877E-35C4E9660019}" presName="hierRoot2" presStyleCnt="0">
        <dgm:presLayoutVars>
          <dgm:hierBranch val="init"/>
        </dgm:presLayoutVars>
      </dgm:prSet>
      <dgm:spPr/>
    </dgm:pt>
    <dgm:pt modelId="{C588A5FB-103F-4EC2-A4F4-F85EDCD5AB43}" type="pres">
      <dgm:prSet presAssocID="{9CA92ED4-CCCC-4409-877E-35C4E9660019}" presName="rootComposite" presStyleCnt="0"/>
      <dgm:spPr/>
    </dgm:pt>
    <dgm:pt modelId="{42A21DA7-52C2-4A93-BFF2-BC9C2E0A63DF}" type="pres">
      <dgm:prSet presAssocID="{9CA92ED4-CCCC-4409-877E-35C4E9660019}" presName="rootText" presStyleLbl="node4" presStyleIdx="0" presStyleCnt="2">
        <dgm:presLayoutVars>
          <dgm:chPref val="3"/>
        </dgm:presLayoutVars>
      </dgm:prSet>
      <dgm:spPr/>
    </dgm:pt>
    <dgm:pt modelId="{F1A087B8-869F-41B8-8949-2B23BD059B02}" type="pres">
      <dgm:prSet presAssocID="{9CA92ED4-CCCC-4409-877E-35C4E9660019}" presName="rootConnector" presStyleLbl="node4" presStyleIdx="0" presStyleCnt="2"/>
      <dgm:spPr/>
    </dgm:pt>
    <dgm:pt modelId="{56B10517-9A94-4ABD-80B3-3665DE47E140}" type="pres">
      <dgm:prSet presAssocID="{9CA92ED4-CCCC-4409-877E-35C4E9660019}" presName="hierChild4" presStyleCnt="0"/>
      <dgm:spPr/>
    </dgm:pt>
    <dgm:pt modelId="{C2798859-EAE1-43F0-ACE5-AD8F6F836518}" type="pres">
      <dgm:prSet presAssocID="{9CA92ED4-CCCC-4409-877E-35C4E9660019}" presName="hierChild5" presStyleCnt="0"/>
      <dgm:spPr/>
    </dgm:pt>
    <dgm:pt modelId="{BC11477E-2A1E-4F32-9845-7CCA9D19A16F}" type="pres">
      <dgm:prSet presAssocID="{FDFD609A-5728-45BE-A0A5-061F91EB86A1}" presName="Name37" presStyleLbl="parChTrans1D4" presStyleIdx="1" presStyleCnt="2"/>
      <dgm:spPr/>
    </dgm:pt>
    <dgm:pt modelId="{AA4278A9-94C8-411D-852F-3F1AA1441E56}" type="pres">
      <dgm:prSet presAssocID="{0228EE7D-A8D3-44BB-9E7A-9ACDEA2E3AE6}" presName="hierRoot2" presStyleCnt="0">
        <dgm:presLayoutVars>
          <dgm:hierBranch val="init"/>
        </dgm:presLayoutVars>
      </dgm:prSet>
      <dgm:spPr/>
    </dgm:pt>
    <dgm:pt modelId="{486DE837-6DC4-4D6F-BD7B-44BA92B02752}" type="pres">
      <dgm:prSet presAssocID="{0228EE7D-A8D3-44BB-9E7A-9ACDEA2E3AE6}" presName="rootComposite" presStyleCnt="0"/>
      <dgm:spPr/>
    </dgm:pt>
    <dgm:pt modelId="{4D1324ED-D498-45FA-BAAE-C9D7F7936459}" type="pres">
      <dgm:prSet presAssocID="{0228EE7D-A8D3-44BB-9E7A-9ACDEA2E3AE6}" presName="rootText" presStyleLbl="node4" presStyleIdx="1" presStyleCnt="2">
        <dgm:presLayoutVars>
          <dgm:chPref val="3"/>
        </dgm:presLayoutVars>
      </dgm:prSet>
      <dgm:spPr/>
    </dgm:pt>
    <dgm:pt modelId="{CB00E55E-A01F-4261-9363-8335FEBCB5BA}" type="pres">
      <dgm:prSet presAssocID="{0228EE7D-A8D3-44BB-9E7A-9ACDEA2E3AE6}" presName="rootConnector" presStyleLbl="node4" presStyleIdx="1" presStyleCnt="2"/>
      <dgm:spPr/>
    </dgm:pt>
    <dgm:pt modelId="{C092996B-4CD7-483B-9AC7-453B134DB12D}" type="pres">
      <dgm:prSet presAssocID="{0228EE7D-A8D3-44BB-9E7A-9ACDEA2E3AE6}" presName="hierChild4" presStyleCnt="0"/>
      <dgm:spPr/>
    </dgm:pt>
    <dgm:pt modelId="{D73DEE91-2AFE-43F6-AB42-0BA0905B8A6B}" type="pres">
      <dgm:prSet presAssocID="{0228EE7D-A8D3-44BB-9E7A-9ACDEA2E3AE6}" presName="hierChild5" presStyleCnt="0"/>
      <dgm:spPr/>
    </dgm:pt>
    <dgm:pt modelId="{9E88AEBF-FB2B-49BE-8849-9DDCAF85CED6}" type="pres">
      <dgm:prSet presAssocID="{43A84344-C882-49D3-95A1-AC4DA8502695}" presName="hierChild5" presStyleCnt="0"/>
      <dgm:spPr/>
    </dgm:pt>
    <dgm:pt modelId="{508F1E59-BCA2-4DB2-87E3-D6C048DD9EC5}" type="pres">
      <dgm:prSet presAssocID="{22B6B389-96E5-4590-856A-6B504DFDF303}" presName="Name37" presStyleLbl="parChTrans1D3" presStyleIdx="1" presStyleCnt="2"/>
      <dgm:spPr/>
    </dgm:pt>
    <dgm:pt modelId="{C5CFF4C6-2BF4-4AB0-A6E2-540FA865A125}" type="pres">
      <dgm:prSet presAssocID="{3E138DF9-4545-45A8-A3F7-86071708B0FF}" presName="hierRoot2" presStyleCnt="0">
        <dgm:presLayoutVars>
          <dgm:hierBranch val="init"/>
        </dgm:presLayoutVars>
      </dgm:prSet>
      <dgm:spPr/>
    </dgm:pt>
    <dgm:pt modelId="{63D0DD2D-13DE-4174-8469-E478C5A0051E}" type="pres">
      <dgm:prSet presAssocID="{3E138DF9-4545-45A8-A3F7-86071708B0FF}" presName="rootComposite" presStyleCnt="0"/>
      <dgm:spPr/>
    </dgm:pt>
    <dgm:pt modelId="{50D3C938-F280-4C30-A6BB-D94CA9A705D6}" type="pres">
      <dgm:prSet presAssocID="{3E138DF9-4545-45A8-A3F7-86071708B0FF}" presName="rootText" presStyleLbl="node3" presStyleIdx="1" presStyleCnt="2">
        <dgm:presLayoutVars>
          <dgm:chPref val="3"/>
        </dgm:presLayoutVars>
      </dgm:prSet>
      <dgm:spPr/>
    </dgm:pt>
    <dgm:pt modelId="{349DCA52-1992-4E79-B105-D2CEF243E881}" type="pres">
      <dgm:prSet presAssocID="{3E138DF9-4545-45A8-A3F7-86071708B0FF}" presName="rootConnector" presStyleLbl="node3" presStyleIdx="1" presStyleCnt="2"/>
      <dgm:spPr/>
    </dgm:pt>
    <dgm:pt modelId="{02B8826B-E1CC-45F2-98D0-D58970631119}" type="pres">
      <dgm:prSet presAssocID="{3E138DF9-4545-45A8-A3F7-86071708B0FF}" presName="hierChild4" presStyleCnt="0"/>
      <dgm:spPr/>
    </dgm:pt>
    <dgm:pt modelId="{F700522D-ECBA-4236-A337-45DEC253E839}" type="pres">
      <dgm:prSet presAssocID="{3E138DF9-4545-45A8-A3F7-86071708B0FF}" presName="hierChild5" presStyleCnt="0"/>
      <dgm:spPr/>
    </dgm:pt>
    <dgm:pt modelId="{369492AC-CE9D-427A-95C5-A6849A6A370C}" type="pres">
      <dgm:prSet presAssocID="{CF08BB1D-4372-4B5A-BBF2-FF2C9024255D}" presName="hierChild5" presStyleCnt="0"/>
      <dgm:spPr/>
    </dgm:pt>
    <dgm:pt modelId="{A1C98560-E748-42F7-86B8-2102F909E03D}" type="pres">
      <dgm:prSet presAssocID="{FA4C1C34-F85F-4493-A852-4F2664EB823A}" presName="hierChild3" presStyleCnt="0"/>
      <dgm:spPr/>
    </dgm:pt>
  </dgm:ptLst>
  <dgm:cxnLst>
    <dgm:cxn modelId="{CA6CE305-D521-4861-A7A4-AB2AB3460646}" type="presOf" srcId="{CF08BB1D-4372-4B5A-BBF2-FF2C9024255D}" destId="{0079FAD5-D045-4DC7-BB55-6A5B4A0D1F99}" srcOrd="1" destOrd="0" presId="urn:microsoft.com/office/officeart/2005/8/layout/orgChart1"/>
    <dgm:cxn modelId="{62D68B19-5B2F-4B8F-A1D0-8B32D2E3C27F}" srcId="{CF08BB1D-4372-4B5A-BBF2-FF2C9024255D}" destId="{43A84344-C882-49D3-95A1-AC4DA8502695}" srcOrd="0" destOrd="0" parTransId="{594CC78B-0325-4573-BD3A-F451FB9BA99B}" sibTransId="{9C942692-671F-4A3F-AA6C-25EF4BD3A655}"/>
    <dgm:cxn modelId="{54324629-AFE3-4E79-98F7-3C97DBDEB321}" type="presOf" srcId="{0228EE7D-A8D3-44BB-9E7A-9ACDEA2E3AE6}" destId="{4D1324ED-D498-45FA-BAAE-C9D7F7936459}" srcOrd="0" destOrd="0" presId="urn:microsoft.com/office/officeart/2005/8/layout/orgChart1"/>
    <dgm:cxn modelId="{783C262C-1E54-43B4-A61D-6DAD6B26BBB8}" type="presOf" srcId="{F61A366A-0A72-477C-86F5-2B9396F03E4D}" destId="{650D1188-AAAF-44D5-A671-C31E548635FE}" srcOrd="0" destOrd="0" presId="urn:microsoft.com/office/officeart/2005/8/layout/orgChart1"/>
    <dgm:cxn modelId="{C98B5B35-35BA-4B3C-9E6B-E816FD19219C}" type="presOf" srcId="{4E512693-74B8-4241-95ED-E0BE75C76145}" destId="{AC5F5268-F885-4E07-A1DE-463C557D74ED}" srcOrd="0" destOrd="0" presId="urn:microsoft.com/office/officeart/2005/8/layout/orgChart1"/>
    <dgm:cxn modelId="{12110A3D-E730-4420-BCE0-3CBD8C19A1E8}" srcId="{FA4C1C34-F85F-4493-A852-4F2664EB823A}" destId="{4E512693-74B8-4241-95ED-E0BE75C76145}" srcOrd="0" destOrd="0" parTransId="{140DE938-0C4C-4554-9587-C594E641D5EC}" sibTransId="{869CF45C-8283-46D1-B6E0-DEC56BC40856}"/>
    <dgm:cxn modelId="{92E9DC5B-4803-4305-8AEB-F64AB8C0D703}" type="presOf" srcId="{4E512693-74B8-4241-95ED-E0BE75C76145}" destId="{056F257C-9C3E-4AB2-A9D3-A00BBABBF3E7}" srcOrd="1" destOrd="0" presId="urn:microsoft.com/office/officeart/2005/8/layout/orgChart1"/>
    <dgm:cxn modelId="{1726E844-6A4B-45C0-821E-C08A064FD9A3}" srcId="{43A84344-C882-49D3-95A1-AC4DA8502695}" destId="{0228EE7D-A8D3-44BB-9E7A-9ACDEA2E3AE6}" srcOrd="1" destOrd="0" parTransId="{FDFD609A-5728-45BE-A0A5-061F91EB86A1}" sibTransId="{B279FB61-28BF-4E7B-AACF-C8E034C5CBDD}"/>
    <dgm:cxn modelId="{909AEF65-2FFF-4DBD-85B2-449BDF8E862C}" type="presOf" srcId="{9CA92ED4-CCCC-4409-877E-35C4E9660019}" destId="{42A21DA7-52C2-4A93-BFF2-BC9C2E0A63DF}" srcOrd="0" destOrd="0" presId="urn:microsoft.com/office/officeart/2005/8/layout/orgChart1"/>
    <dgm:cxn modelId="{EFA1B848-AC68-4F80-9068-C31AC14BFBCE}" type="presOf" srcId="{43A84344-C882-49D3-95A1-AC4DA8502695}" destId="{80ECA9C9-643F-43E4-8BC4-A7163D80AE6E}" srcOrd="1" destOrd="0" presId="urn:microsoft.com/office/officeart/2005/8/layout/orgChart1"/>
    <dgm:cxn modelId="{E990634B-69BE-4997-A893-17BBC0D52AF7}" srcId="{43A84344-C882-49D3-95A1-AC4DA8502695}" destId="{9CA92ED4-CCCC-4409-877E-35C4E9660019}" srcOrd="0" destOrd="0" parTransId="{71D5F595-3E83-43DC-8799-93D12CDF3AAB}" sibTransId="{58DB37E2-178A-4ABA-827B-1F8E07C8A68C}"/>
    <dgm:cxn modelId="{D6608455-44CF-4FF2-B504-B4A2005E6023}" type="presOf" srcId="{43A84344-C882-49D3-95A1-AC4DA8502695}" destId="{4CA615E5-0EEA-4DCB-9E4A-B9BB039D9B1D}" srcOrd="0" destOrd="0" presId="urn:microsoft.com/office/officeart/2005/8/layout/orgChart1"/>
    <dgm:cxn modelId="{440BC97D-65DE-493B-98FD-4B348041C3F6}" type="presOf" srcId="{9CA92ED4-CCCC-4409-877E-35C4E9660019}" destId="{F1A087B8-869F-41B8-8949-2B23BD059B02}" srcOrd="1" destOrd="0" presId="urn:microsoft.com/office/officeart/2005/8/layout/orgChart1"/>
    <dgm:cxn modelId="{D834D77D-67A9-4520-A789-F5A62DF2F3C1}" type="presOf" srcId="{3E138DF9-4545-45A8-A3F7-86071708B0FF}" destId="{50D3C938-F280-4C30-A6BB-D94CA9A705D6}" srcOrd="0" destOrd="0" presId="urn:microsoft.com/office/officeart/2005/8/layout/orgChart1"/>
    <dgm:cxn modelId="{3CF73680-A3C3-4B82-AD5B-5476353BB887}" type="presOf" srcId="{FDFD609A-5728-45BE-A0A5-061F91EB86A1}" destId="{BC11477E-2A1E-4F32-9845-7CCA9D19A16F}" srcOrd="0" destOrd="0" presId="urn:microsoft.com/office/officeart/2005/8/layout/orgChart1"/>
    <dgm:cxn modelId="{2CBE568D-31A0-4D75-AC0D-EEF804C596B2}" type="presOf" srcId="{71D5F595-3E83-43DC-8799-93D12CDF3AAB}" destId="{8930843E-1398-4460-B3F8-E70988F01783}" srcOrd="0" destOrd="0" presId="urn:microsoft.com/office/officeart/2005/8/layout/orgChart1"/>
    <dgm:cxn modelId="{A1526B94-351D-4F59-B393-01D74FCEC3CB}" type="presOf" srcId="{FA4C1C34-F85F-4493-A852-4F2664EB823A}" destId="{A8313711-A6D2-4832-9488-2A3DFD694AEE}" srcOrd="1" destOrd="0" presId="urn:microsoft.com/office/officeart/2005/8/layout/orgChart1"/>
    <dgm:cxn modelId="{AD906A95-7D03-4A93-8146-B89C641D6FAD}" type="presOf" srcId="{FA4C1C34-F85F-4493-A852-4F2664EB823A}" destId="{A54823F6-9B01-4203-8E63-B2406CAF0BB1}" srcOrd="0" destOrd="0" presId="urn:microsoft.com/office/officeart/2005/8/layout/orgChart1"/>
    <dgm:cxn modelId="{C5069997-78AF-45A7-8D5E-6B4E622F9318}" srcId="{CF08BB1D-4372-4B5A-BBF2-FF2C9024255D}" destId="{3E138DF9-4545-45A8-A3F7-86071708B0FF}" srcOrd="1" destOrd="0" parTransId="{22B6B389-96E5-4590-856A-6B504DFDF303}" sibTransId="{E6D89179-D686-4F84-B2E0-6CA85F1AC6E5}"/>
    <dgm:cxn modelId="{F91816AC-8567-442F-8A28-45CA19D7F855}" type="presOf" srcId="{3E138DF9-4545-45A8-A3F7-86071708B0FF}" destId="{349DCA52-1992-4E79-B105-D2CEF243E881}" srcOrd="1" destOrd="0" presId="urn:microsoft.com/office/officeart/2005/8/layout/orgChart1"/>
    <dgm:cxn modelId="{869EEAC0-63F3-4D57-AC49-67B314289676}" type="presOf" srcId="{594CC78B-0325-4573-BD3A-F451FB9BA99B}" destId="{0205419A-A258-4D42-8A44-AB5475F71B71}" srcOrd="0" destOrd="0" presId="urn:microsoft.com/office/officeart/2005/8/layout/orgChart1"/>
    <dgm:cxn modelId="{C76191DF-2ACE-4615-8BE9-F189D5EB3102}" type="presOf" srcId="{CF08BB1D-4372-4B5A-BBF2-FF2C9024255D}" destId="{7C4C7E34-1C9E-4E64-9214-CFF07F4ED72D}" srcOrd="0" destOrd="0" presId="urn:microsoft.com/office/officeart/2005/8/layout/orgChart1"/>
    <dgm:cxn modelId="{6FB1DCE9-1A7F-4ED5-9B17-3AB8B1EB9A9F}" srcId="{FA4C1C34-F85F-4493-A852-4F2664EB823A}" destId="{CF08BB1D-4372-4B5A-BBF2-FF2C9024255D}" srcOrd="1" destOrd="0" parTransId="{68161C8C-418F-4A02-8970-A49C5CB78EDE}" sibTransId="{477178C5-A7DC-4B36-9F38-666BB1328368}"/>
    <dgm:cxn modelId="{FE81F1EC-1F2A-4A83-856D-189F75F9A92A}" type="presOf" srcId="{140DE938-0C4C-4554-9587-C594E641D5EC}" destId="{CFD7C0A6-8C34-4566-8635-FCC7DAD6F63E}" srcOrd="0" destOrd="0" presId="urn:microsoft.com/office/officeart/2005/8/layout/orgChart1"/>
    <dgm:cxn modelId="{3F96EAF1-A42B-4715-8ADA-2FBAE3D3343F}" type="presOf" srcId="{0228EE7D-A8D3-44BB-9E7A-9ACDEA2E3AE6}" destId="{CB00E55E-A01F-4261-9363-8335FEBCB5BA}" srcOrd="1" destOrd="0" presId="urn:microsoft.com/office/officeart/2005/8/layout/orgChart1"/>
    <dgm:cxn modelId="{318F79F7-882E-41F9-8121-A589B360B0B1}" type="presOf" srcId="{68161C8C-418F-4A02-8970-A49C5CB78EDE}" destId="{F03BA6C6-8D94-404F-A436-A76DA148E34D}" srcOrd="0" destOrd="0" presId="urn:microsoft.com/office/officeart/2005/8/layout/orgChart1"/>
    <dgm:cxn modelId="{DAB191FA-A7F7-49A1-BE91-21D37263B472}" type="presOf" srcId="{22B6B389-96E5-4590-856A-6B504DFDF303}" destId="{508F1E59-BCA2-4DB2-87E3-D6C048DD9EC5}" srcOrd="0" destOrd="0" presId="urn:microsoft.com/office/officeart/2005/8/layout/orgChart1"/>
    <dgm:cxn modelId="{A6D6D9FB-93C2-4C40-8361-57A45256B13D}" srcId="{F61A366A-0A72-477C-86F5-2B9396F03E4D}" destId="{FA4C1C34-F85F-4493-A852-4F2664EB823A}" srcOrd="0" destOrd="0" parTransId="{8F7025B8-D8BC-4762-AC9C-3B9387E09285}" sibTransId="{86869899-62AB-44A4-96C9-1CE50F64467A}"/>
    <dgm:cxn modelId="{BEE317EA-4995-4341-BB8D-5B4C87B9FBF9}" type="presParOf" srcId="{650D1188-AAAF-44D5-A671-C31E548635FE}" destId="{AAD49DBC-53EA-4C23-A420-608F759B68EC}" srcOrd="0" destOrd="0" presId="urn:microsoft.com/office/officeart/2005/8/layout/orgChart1"/>
    <dgm:cxn modelId="{06064115-1E09-4956-87A6-8CBD4A673811}" type="presParOf" srcId="{AAD49DBC-53EA-4C23-A420-608F759B68EC}" destId="{1FE871C5-6686-4BB3-B04C-D67CCD7D2719}" srcOrd="0" destOrd="0" presId="urn:microsoft.com/office/officeart/2005/8/layout/orgChart1"/>
    <dgm:cxn modelId="{8B061813-E9CA-4C5D-8205-66404262738D}" type="presParOf" srcId="{1FE871C5-6686-4BB3-B04C-D67CCD7D2719}" destId="{A54823F6-9B01-4203-8E63-B2406CAF0BB1}" srcOrd="0" destOrd="0" presId="urn:microsoft.com/office/officeart/2005/8/layout/orgChart1"/>
    <dgm:cxn modelId="{95C104FF-7794-4CCC-915E-1F5B5A4B66E0}" type="presParOf" srcId="{1FE871C5-6686-4BB3-B04C-D67CCD7D2719}" destId="{A8313711-A6D2-4832-9488-2A3DFD694AEE}" srcOrd="1" destOrd="0" presId="urn:microsoft.com/office/officeart/2005/8/layout/orgChart1"/>
    <dgm:cxn modelId="{54A86951-93A2-4845-86C7-046077508768}" type="presParOf" srcId="{AAD49DBC-53EA-4C23-A420-608F759B68EC}" destId="{A97D9C72-2439-49D1-AD28-B3EBFE80CF0B}" srcOrd="1" destOrd="0" presId="urn:microsoft.com/office/officeart/2005/8/layout/orgChart1"/>
    <dgm:cxn modelId="{AF5E1AB1-0FEE-406A-A644-7E9128CC88D0}" type="presParOf" srcId="{A97D9C72-2439-49D1-AD28-B3EBFE80CF0B}" destId="{CFD7C0A6-8C34-4566-8635-FCC7DAD6F63E}" srcOrd="0" destOrd="0" presId="urn:microsoft.com/office/officeart/2005/8/layout/orgChart1"/>
    <dgm:cxn modelId="{7404E5D8-F3B3-442D-97E7-D24F81724BD2}" type="presParOf" srcId="{A97D9C72-2439-49D1-AD28-B3EBFE80CF0B}" destId="{87F17E62-7FD9-40D1-9C31-F8A72F89B7C9}" srcOrd="1" destOrd="0" presId="urn:microsoft.com/office/officeart/2005/8/layout/orgChart1"/>
    <dgm:cxn modelId="{19942A0B-4B87-4F69-80A0-1483BC16A89E}" type="presParOf" srcId="{87F17E62-7FD9-40D1-9C31-F8A72F89B7C9}" destId="{DD55FAF7-25DA-451E-A9D7-2E5FBF9B11C5}" srcOrd="0" destOrd="0" presId="urn:microsoft.com/office/officeart/2005/8/layout/orgChart1"/>
    <dgm:cxn modelId="{AB93D8DB-560E-4F87-943C-B885ABA87390}" type="presParOf" srcId="{DD55FAF7-25DA-451E-A9D7-2E5FBF9B11C5}" destId="{AC5F5268-F885-4E07-A1DE-463C557D74ED}" srcOrd="0" destOrd="0" presId="urn:microsoft.com/office/officeart/2005/8/layout/orgChart1"/>
    <dgm:cxn modelId="{BDD4FC15-4075-4C13-AE85-33C79CDD532F}" type="presParOf" srcId="{DD55FAF7-25DA-451E-A9D7-2E5FBF9B11C5}" destId="{056F257C-9C3E-4AB2-A9D3-A00BBABBF3E7}" srcOrd="1" destOrd="0" presId="urn:microsoft.com/office/officeart/2005/8/layout/orgChart1"/>
    <dgm:cxn modelId="{75426D86-60B8-44C3-B8BA-5912172D3A86}" type="presParOf" srcId="{87F17E62-7FD9-40D1-9C31-F8A72F89B7C9}" destId="{246E562D-63B7-4EFA-BF48-A71A8051561E}" srcOrd="1" destOrd="0" presId="urn:microsoft.com/office/officeart/2005/8/layout/orgChart1"/>
    <dgm:cxn modelId="{D5EE8B60-1644-4949-8DA3-D91D8E09B13C}" type="presParOf" srcId="{87F17E62-7FD9-40D1-9C31-F8A72F89B7C9}" destId="{C58B0455-E059-4AE8-B4DA-549909F02152}" srcOrd="2" destOrd="0" presId="urn:microsoft.com/office/officeart/2005/8/layout/orgChart1"/>
    <dgm:cxn modelId="{C5022AB3-42AF-42F5-83C4-776B9433A493}" type="presParOf" srcId="{A97D9C72-2439-49D1-AD28-B3EBFE80CF0B}" destId="{F03BA6C6-8D94-404F-A436-A76DA148E34D}" srcOrd="2" destOrd="0" presId="urn:microsoft.com/office/officeart/2005/8/layout/orgChart1"/>
    <dgm:cxn modelId="{CD4D059B-E37C-4F5C-9309-DEF94B40D54F}" type="presParOf" srcId="{A97D9C72-2439-49D1-AD28-B3EBFE80CF0B}" destId="{E45636D5-169B-4531-94BB-68A44B6C4CDF}" srcOrd="3" destOrd="0" presId="urn:microsoft.com/office/officeart/2005/8/layout/orgChart1"/>
    <dgm:cxn modelId="{B2286E76-8D7B-4991-856F-7071064EBC1A}" type="presParOf" srcId="{E45636D5-169B-4531-94BB-68A44B6C4CDF}" destId="{B14BFE22-DA7A-4DCF-A9E1-7A984FBB2EB5}" srcOrd="0" destOrd="0" presId="urn:microsoft.com/office/officeart/2005/8/layout/orgChart1"/>
    <dgm:cxn modelId="{FD6E400D-9B1A-4DF7-8258-DF958CFEEA38}" type="presParOf" srcId="{B14BFE22-DA7A-4DCF-A9E1-7A984FBB2EB5}" destId="{7C4C7E34-1C9E-4E64-9214-CFF07F4ED72D}" srcOrd="0" destOrd="0" presId="urn:microsoft.com/office/officeart/2005/8/layout/orgChart1"/>
    <dgm:cxn modelId="{3B6AB35D-A808-4490-9392-A6944F264FA3}" type="presParOf" srcId="{B14BFE22-DA7A-4DCF-A9E1-7A984FBB2EB5}" destId="{0079FAD5-D045-4DC7-BB55-6A5B4A0D1F99}" srcOrd="1" destOrd="0" presId="urn:microsoft.com/office/officeart/2005/8/layout/orgChart1"/>
    <dgm:cxn modelId="{12B44DE2-7BEE-42E2-99E5-6937CC5E4185}" type="presParOf" srcId="{E45636D5-169B-4531-94BB-68A44B6C4CDF}" destId="{7DCF265B-F6A2-4FC0-864D-4A84687EFA80}" srcOrd="1" destOrd="0" presId="urn:microsoft.com/office/officeart/2005/8/layout/orgChart1"/>
    <dgm:cxn modelId="{7887660A-5374-4690-B28C-96A69E7437B8}" type="presParOf" srcId="{7DCF265B-F6A2-4FC0-864D-4A84687EFA80}" destId="{0205419A-A258-4D42-8A44-AB5475F71B71}" srcOrd="0" destOrd="0" presId="urn:microsoft.com/office/officeart/2005/8/layout/orgChart1"/>
    <dgm:cxn modelId="{85E6350E-577D-4D02-943C-79615A057569}" type="presParOf" srcId="{7DCF265B-F6A2-4FC0-864D-4A84687EFA80}" destId="{DC762BF4-AFC6-4184-A5DB-D5FD4E1B176C}" srcOrd="1" destOrd="0" presId="urn:microsoft.com/office/officeart/2005/8/layout/orgChart1"/>
    <dgm:cxn modelId="{83B1430B-5084-45E6-8406-3CAC1EC2AD94}" type="presParOf" srcId="{DC762BF4-AFC6-4184-A5DB-D5FD4E1B176C}" destId="{62DB044C-E0CC-4CC3-9BFF-86D2A52F3444}" srcOrd="0" destOrd="0" presId="urn:microsoft.com/office/officeart/2005/8/layout/orgChart1"/>
    <dgm:cxn modelId="{FA1F1313-22E0-4BAD-B04E-E0FB9E1FB6AC}" type="presParOf" srcId="{62DB044C-E0CC-4CC3-9BFF-86D2A52F3444}" destId="{4CA615E5-0EEA-4DCB-9E4A-B9BB039D9B1D}" srcOrd="0" destOrd="0" presId="urn:microsoft.com/office/officeart/2005/8/layout/orgChart1"/>
    <dgm:cxn modelId="{017DA78A-134C-47DA-9134-2D472AB03345}" type="presParOf" srcId="{62DB044C-E0CC-4CC3-9BFF-86D2A52F3444}" destId="{80ECA9C9-643F-43E4-8BC4-A7163D80AE6E}" srcOrd="1" destOrd="0" presId="urn:microsoft.com/office/officeart/2005/8/layout/orgChart1"/>
    <dgm:cxn modelId="{2445F613-5CF7-47F5-A36C-D650A3565057}" type="presParOf" srcId="{DC762BF4-AFC6-4184-A5DB-D5FD4E1B176C}" destId="{2F4BF5DF-2E0E-4096-99F8-87F2A09AF656}" srcOrd="1" destOrd="0" presId="urn:microsoft.com/office/officeart/2005/8/layout/orgChart1"/>
    <dgm:cxn modelId="{7D58FA03-AD73-481C-BEC3-C02B64A77493}" type="presParOf" srcId="{2F4BF5DF-2E0E-4096-99F8-87F2A09AF656}" destId="{8930843E-1398-4460-B3F8-E70988F01783}" srcOrd="0" destOrd="0" presId="urn:microsoft.com/office/officeart/2005/8/layout/orgChart1"/>
    <dgm:cxn modelId="{57F54829-DBD7-4458-883E-878B79FF7B87}" type="presParOf" srcId="{2F4BF5DF-2E0E-4096-99F8-87F2A09AF656}" destId="{C929870A-32D8-43B8-AC2B-3470C0F4094B}" srcOrd="1" destOrd="0" presId="urn:microsoft.com/office/officeart/2005/8/layout/orgChart1"/>
    <dgm:cxn modelId="{7C627574-4FB1-4278-8957-FEF4393D81DC}" type="presParOf" srcId="{C929870A-32D8-43B8-AC2B-3470C0F4094B}" destId="{C588A5FB-103F-4EC2-A4F4-F85EDCD5AB43}" srcOrd="0" destOrd="0" presId="urn:microsoft.com/office/officeart/2005/8/layout/orgChart1"/>
    <dgm:cxn modelId="{C0F3E1C2-F481-40DE-A642-434671B7FA6A}" type="presParOf" srcId="{C588A5FB-103F-4EC2-A4F4-F85EDCD5AB43}" destId="{42A21DA7-52C2-4A93-BFF2-BC9C2E0A63DF}" srcOrd="0" destOrd="0" presId="urn:microsoft.com/office/officeart/2005/8/layout/orgChart1"/>
    <dgm:cxn modelId="{0FD8C669-4366-40B5-B83D-62B51817D7D0}" type="presParOf" srcId="{C588A5FB-103F-4EC2-A4F4-F85EDCD5AB43}" destId="{F1A087B8-869F-41B8-8949-2B23BD059B02}" srcOrd="1" destOrd="0" presId="urn:microsoft.com/office/officeart/2005/8/layout/orgChart1"/>
    <dgm:cxn modelId="{D144ECAD-8DE8-47B4-9CE6-0F3004A6047C}" type="presParOf" srcId="{C929870A-32D8-43B8-AC2B-3470C0F4094B}" destId="{56B10517-9A94-4ABD-80B3-3665DE47E140}" srcOrd="1" destOrd="0" presId="urn:microsoft.com/office/officeart/2005/8/layout/orgChart1"/>
    <dgm:cxn modelId="{4F1BDE12-FC52-4D30-B082-DE48A8FA40A4}" type="presParOf" srcId="{C929870A-32D8-43B8-AC2B-3470C0F4094B}" destId="{C2798859-EAE1-43F0-ACE5-AD8F6F836518}" srcOrd="2" destOrd="0" presId="urn:microsoft.com/office/officeart/2005/8/layout/orgChart1"/>
    <dgm:cxn modelId="{B2012B06-EE27-4489-B3D1-0510D21E90E3}" type="presParOf" srcId="{2F4BF5DF-2E0E-4096-99F8-87F2A09AF656}" destId="{BC11477E-2A1E-4F32-9845-7CCA9D19A16F}" srcOrd="2" destOrd="0" presId="urn:microsoft.com/office/officeart/2005/8/layout/orgChart1"/>
    <dgm:cxn modelId="{DE1953B4-C5FE-48BD-BA81-47F301E5EE9B}" type="presParOf" srcId="{2F4BF5DF-2E0E-4096-99F8-87F2A09AF656}" destId="{AA4278A9-94C8-411D-852F-3F1AA1441E56}" srcOrd="3" destOrd="0" presId="urn:microsoft.com/office/officeart/2005/8/layout/orgChart1"/>
    <dgm:cxn modelId="{2E4F7CD7-FEFE-42F3-BF5D-7A8F146406EA}" type="presParOf" srcId="{AA4278A9-94C8-411D-852F-3F1AA1441E56}" destId="{486DE837-6DC4-4D6F-BD7B-44BA92B02752}" srcOrd="0" destOrd="0" presId="urn:microsoft.com/office/officeart/2005/8/layout/orgChart1"/>
    <dgm:cxn modelId="{6194C9A9-F937-46E2-B093-CC40D7639F0B}" type="presParOf" srcId="{486DE837-6DC4-4D6F-BD7B-44BA92B02752}" destId="{4D1324ED-D498-45FA-BAAE-C9D7F7936459}" srcOrd="0" destOrd="0" presId="urn:microsoft.com/office/officeart/2005/8/layout/orgChart1"/>
    <dgm:cxn modelId="{97946578-5BB7-49D5-98F3-111F584A2621}" type="presParOf" srcId="{486DE837-6DC4-4D6F-BD7B-44BA92B02752}" destId="{CB00E55E-A01F-4261-9363-8335FEBCB5BA}" srcOrd="1" destOrd="0" presId="urn:microsoft.com/office/officeart/2005/8/layout/orgChart1"/>
    <dgm:cxn modelId="{367594D2-603C-4A94-9233-94B40146F16C}" type="presParOf" srcId="{AA4278A9-94C8-411D-852F-3F1AA1441E56}" destId="{C092996B-4CD7-483B-9AC7-453B134DB12D}" srcOrd="1" destOrd="0" presId="urn:microsoft.com/office/officeart/2005/8/layout/orgChart1"/>
    <dgm:cxn modelId="{330BC7A6-5D90-46E7-BC68-2FEDDF9067B8}" type="presParOf" srcId="{AA4278A9-94C8-411D-852F-3F1AA1441E56}" destId="{D73DEE91-2AFE-43F6-AB42-0BA0905B8A6B}" srcOrd="2" destOrd="0" presId="urn:microsoft.com/office/officeart/2005/8/layout/orgChart1"/>
    <dgm:cxn modelId="{34EAB847-26BF-4B45-B8FC-559EE7C93D39}" type="presParOf" srcId="{DC762BF4-AFC6-4184-A5DB-D5FD4E1B176C}" destId="{9E88AEBF-FB2B-49BE-8849-9DDCAF85CED6}" srcOrd="2" destOrd="0" presId="urn:microsoft.com/office/officeart/2005/8/layout/orgChart1"/>
    <dgm:cxn modelId="{26B9323A-BB68-4825-AA13-10904E6019E5}" type="presParOf" srcId="{7DCF265B-F6A2-4FC0-864D-4A84687EFA80}" destId="{508F1E59-BCA2-4DB2-87E3-D6C048DD9EC5}" srcOrd="2" destOrd="0" presId="urn:microsoft.com/office/officeart/2005/8/layout/orgChart1"/>
    <dgm:cxn modelId="{3E96C745-FBC6-4A25-A1FB-7F2DFEFFF6B3}" type="presParOf" srcId="{7DCF265B-F6A2-4FC0-864D-4A84687EFA80}" destId="{C5CFF4C6-2BF4-4AB0-A6E2-540FA865A125}" srcOrd="3" destOrd="0" presId="urn:microsoft.com/office/officeart/2005/8/layout/orgChart1"/>
    <dgm:cxn modelId="{7B11160A-8F0D-4F66-A570-0735954F7004}" type="presParOf" srcId="{C5CFF4C6-2BF4-4AB0-A6E2-540FA865A125}" destId="{63D0DD2D-13DE-4174-8469-E478C5A0051E}" srcOrd="0" destOrd="0" presId="urn:microsoft.com/office/officeart/2005/8/layout/orgChart1"/>
    <dgm:cxn modelId="{8E5EFAA2-B405-4218-8806-DB0FE8D0BDC6}" type="presParOf" srcId="{63D0DD2D-13DE-4174-8469-E478C5A0051E}" destId="{50D3C938-F280-4C30-A6BB-D94CA9A705D6}" srcOrd="0" destOrd="0" presId="urn:microsoft.com/office/officeart/2005/8/layout/orgChart1"/>
    <dgm:cxn modelId="{75405CEE-5B78-493C-B309-5B96165FF0F0}" type="presParOf" srcId="{63D0DD2D-13DE-4174-8469-E478C5A0051E}" destId="{349DCA52-1992-4E79-B105-D2CEF243E881}" srcOrd="1" destOrd="0" presId="urn:microsoft.com/office/officeart/2005/8/layout/orgChart1"/>
    <dgm:cxn modelId="{F537618D-4837-4335-9A8A-B53E92E1CDEB}" type="presParOf" srcId="{C5CFF4C6-2BF4-4AB0-A6E2-540FA865A125}" destId="{02B8826B-E1CC-45F2-98D0-D58970631119}" srcOrd="1" destOrd="0" presId="urn:microsoft.com/office/officeart/2005/8/layout/orgChart1"/>
    <dgm:cxn modelId="{0957FFDF-1BF0-4202-9E82-9AC2F1EC356B}" type="presParOf" srcId="{C5CFF4C6-2BF4-4AB0-A6E2-540FA865A125}" destId="{F700522D-ECBA-4236-A337-45DEC253E839}" srcOrd="2" destOrd="0" presId="urn:microsoft.com/office/officeart/2005/8/layout/orgChart1"/>
    <dgm:cxn modelId="{D21492B2-9E65-4FBB-BADA-D3707F50F8D4}" type="presParOf" srcId="{E45636D5-169B-4531-94BB-68A44B6C4CDF}" destId="{369492AC-CE9D-427A-95C5-A6849A6A370C}" srcOrd="2" destOrd="0" presId="urn:microsoft.com/office/officeart/2005/8/layout/orgChart1"/>
    <dgm:cxn modelId="{EA1D05F8-75E3-4F72-8956-ADE81933E619}" type="presParOf" srcId="{AAD49DBC-53EA-4C23-A420-608F759B68EC}" destId="{A1C98560-E748-42F7-86B8-2102F909E03D}" srcOrd="2" destOrd="0" presId="urn:microsoft.com/office/officeart/2005/8/layout/orgChart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8F1E59-BCA2-4DB2-87E3-D6C048DD9EC5}">
      <dsp:nvSpPr>
        <dsp:cNvPr id="0" name=""/>
        <dsp:cNvSpPr/>
      </dsp:nvSpPr>
      <dsp:spPr>
        <a:xfrm>
          <a:off x="2967468" y="1315114"/>
          <a:ext cx="656817" cy="227986"/>
        </a:xfrm>
        <a:custGeom>
          <a:avLst/>
          <a:gdLst/>
          <a:ahLst/>
          <a:cxnLst/>
          <a:rect l="0" t="0" r="0" b="0"/>
          <a:pathLst>
            <a:path>
              <a:moveTo>
                <a:pt x="0" y="0"/>
              </a:moveTo>
              <a:lnTo>
                <a:pt x="0" y="113993"/>
              </a:lnTo>
              <a:lnTo>
                <a:pt x="656817" y="113993"/>
              </a:lnTo>
              <a:lnTo>
                <a:pt x="656817" y="2279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C11477E-2A1E-4F32-9845-7CCA9D19A16F}">
      <dsp:nvSpPr>
        <dsp:cNvPr id="0" name=""/>
        <dsp:cNvSpPr/>
      </dsp:nvSpPr>
      <dsp:spPr>
        <a:xfrm>
          <a:off x="1876391" y="2085924"/>
          <a:ext cx="162847" cy="1270208"/>
        </a:xfrm>
        <a:custGeom>
          <a:avLst/>
          <a:gdLst/>
          <a:ahLst/>
          <a:cxnLst/>
          <a:rect l="0" t="0" r="0" b="0"/>
          <a:pathLst>
            <a:path>
              <a:moveTo>
                <a:pt x="0" y="0"/>
              </a:moveTo>
              <a:lnTo>
                <a:pt x="0" y="1270208"/>
              </a:lnTo>
              <a:lnTo>
                <a:pt x="162847" y="12702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30843E-1398-4460-B3F8-E70988F01783}">
      <dsp:nvSpPr>
        <dsp:cNvPr id="0" name=""/>
        <dsp:cNvSpPr/>
      </dsp:nvSpPr>
      <dsp:spPr>
        <a:xfrm>
          <a:off x="1876391" y="2085924"/>
          <a:ext cx="162847" cy="499398"/>
        </a:xfrm>
        <a:custGeom>
          <a:avLst/>
          <a:gdLst/>
          <a:ahLst/>
          <a:cxnLst/>
          <a:rect l="0" t="0" r="0" b="0"/>
          <a:pathLst>
            <a:path>
              <a:moveTo>
                <a:pt x="0" y="0"/>
              </a:moveTo>
              <a:lnTo>
                <a:pt x="0" y="499398"/>
              </a:lnTo>
              <a:lnTo>
                <a:pt x="162847" y="4993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05419A-A258-4D42-8A44-AB5475F71B71}">
      <dsp:nvSpPr>
        <dsp:cNvPr id="0" name=""/>
        <dsp:cNvSpPr/>
      </dsp:nvSpPr>
      <dsp:spPr>
        <a:xfrm>
          <a:off x="2310651" y="1315114"/>
          <a:ext cx="656817" cy="227986"/>
        </a:xfrm>
        <a:custGeom>
          <a:avLst/>
          <a:gdLst/>
          <a:ahLst/>
          <a:cxnLst/>
          <a:rect l="0" t="0" r="0" b="0"/>
          <a:pathLst>
            <a:path>
              <a:moveTo>
                <a:pt x="656817" y="0"/>
              </a:moveTo>
              <a:lnTo>
                <a:pt x="656817" y="113993"/>
              </a:lnTo>
              <a:lnTo>
                <a:pt x="0" y="113993"/>
              </a:lnTo>
              <a:lnTo>
                <a:pt x="0" y="2279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3BA6C6-8D94-404F-A436-A76DA148E34D}">
      <dsp:nvSpPr>
        <dsp:cNvPr id="0" name=""/>
        <dsp:cNvSpPr/>
      </dsp:nvSpPr>
      <dsp:spPr>
        <a:xfrm>
          <a:off x="2310651" y="544303"/>
          <a:ext cx="656817" cy="227986"/>
        </a:xfrm>
        <a:custGeom>
          <a:avLst/>
          <a:gdLst/>
          <a:ahLst/>
          <a:cxnLst/>
          <a:rect l="0" t="0" r="0" b="0"/>
          <a:pathLst>
            <a:path>
              <a:moveTo>
                <a:pt x="0" y="0"/>
              </a:moveTo>
              <a:lnTo>
                <a:pt x="0" y="113993"/>
              </a:lnTo>
              <a:lnTo>
                <a:pt x="656817" y="113993"/>
              </a:lnTo>
              <a:lnTo>
                <a:pt x="656817" y="2279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FD7C0A6-8C34-4566-8635-FCC7DAD6F63E}">
      <dsp:nvSpPr>
        <dsp:cNvPr id="0" name=""/>
        <dsp:cNvSpPr/>
      </dsp:nvSpPr>
      <dsp:spPr>
        <a:xfrm>
          <a:off x="1653834" y="544303"/>
          <a:ext cx="656817" cy="227986"/>
        </a:xfrm>
        <a:custGeom>
          <a:avLst/>
          <a:gdLst/>
          <a:ahLst/>
          <a:cxnLst/>
          <a:rect l="0" t="0" r="0" b="0"/>
          <a:pathLst>
            <a:path>
              <a:moveTo>
                <a:pt x="656817" y="0"/>
              </a:moveTo>
              <a:lnTo>
                <a:pt x="656817" y="113993"/>
              </a:lnTo>
              <a:lnTo>
                <a:pt x="0" y="113993"/>
              </a:lnTo>
              <a:lnTo>
                <a:pt x="0" y="2279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4823F6-9B01-4203-8E63-B2406CAF0BB1}">
      <dsp:nvSpPr>
        <dsp:cNvPr id="0" name=""/>
        <dsp:cNvSpPr/>
      </dsp:nvSpPr>
      <dsp:spPr>
        <a:xfrm>
          <a:off x="1767827" y="1479"/>
          <a:ext cx="1085648" cy="5428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Tier 4</a:t>
          </a:r>
        </a:p>
        <a:p>
          <a:pPr marL="0" lvl="0" indent="0" algn="ctr" defTabSz="400050">
            <a:lnSpc>
              <a:spcPct val="90000"/>
            </a:lnSpc>
            <a:spcBef>
              <a:spcPct val="0"/>
            </a:spcBef>
            <a:spcAft>
              <a:spcPct val="35000"/>
            </a:spcAft>
            <a:buNone/>
          </a:pPr>
          <a:r>
            <a:rPr lang="en-GB" sz="900" kern="1200"/>
            <a:t>Executive Review</a:t>
          </a:r>
        </a:p>
      </dsp:txBody>
      <dsp:txXfrm>
        <a:off x="1767827" y="1479"/>
        <a:ext cx="1085648" cy="542824"/>
      </dsp:txXfrm>
    </dsp:sp>
    <dsp:sp modelId="{AC5F5268-F885-4E07-A1DE-463C557D74ED}">
      <dsp:nvSpPr>
        <dsp:cNvPr id="0" name=""/>
        <dsp:cNvSpPr/>
      </dsp:nvSpPr>
      <dsp:spPr>
        <a:xfrm>
          <a:off x="1111009" y="772289"/>
          <a:ext cx="1085648" cy="5428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Tier 3</a:t>
          </a:r>
        </a:p>
        <a:p>
          <a:pPr marL="0" lvl="0" indent="0" algn="ctr" defTabSz="400050">
            <a:lnSpc>
              <a:spcPct val="90000"/>
            </a:lnSpc>
            <a:spcBef>
              <a:spcPct val="0"/>
            </a:spcBef>
            <a:spcAft>
              <a:spcPct val="35000"/>
            </a:spcAft>
            <a:buNone/>
          </a:pPr>
          <a:r>
            <a:rPr lang="en-GB" sz="900" kern="1200"/>
            <a:t>Transition Governance</a:t>
          </a:r>
        </a:p>
      </dsp:txBody>
      <dsp:txXfrm>
        <a:off x="1111009" y="772289"/>
        <a:ext cx="1085648" cy="542824"/>
      </dsp:txXfrm>
    </dsp:sp>
    <dsp:sp modelId="{7C4C7E34-1C9E-4E64-9214-CFF07F4ED72D}">
      <dsp:nvSpPr>
        <dsp:cNvPr id="0" name=""/>
        <dsp:cNvSpPr/>
      </dsp:nvSpPr>
      <dsp:spPr>
        <a:xfrm>
          <a:off x="2424644" y="772289"/>
          <a:ext cx="1085648" cy="5428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Tier 3</a:t>
          </a:r>
        </a:p>
        <a:p>
          <a:pPr marL="0" lvl="0" indent="0" algn="ctr" defTabSz="400050">
            <a:lnSpc>
              <a:spcPct val="90000"/>
            </a:lnSpc>
            <a:spcBef>
              <a:spcPct val="0"/>
            </a:spcBef>
            <a:spcAft>
              <a:spcPct val="35000"/>
            </a:spcAft>
            <a:buNone/>
          </a:pPr>
          <a:r>
            <a:rPr lang="en-GB" sz="900" kern="1200"/>
            <a:t>Contract Review</a:t>
          </a:r>
        </a:p>
      </dsp:txBody>
      <dsp:txXfrm>
        <a:off x="2424644" y="772289"/>
        <a:ext cx="1085648" cy="542824"/>
      </dsp:txXfrm>
    </dsp:sp>
    <dsp:sp modelId="{4CA615E5-0EEA-4DCB-9E4A-B9BB039D9B1D}">
      <dsp:nvSpPr>
        <dsp:cNvPr id="0" name=""/>
        <dsp:cNvSpPr/>
      </dsp:nvSpPr>
      <dsp:spPr>
        <a:xfrm>
          <a:off x="1767827" y="1543100"/>
          <a:ext cx="1085648" cy="5428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Tier 2</a:t>
          </a:r>
        </a:p>
        <a:p>
          <a:pPr marL="0" lvl="0" indent="0" algn="ctr" defTabSz="400050">
            <a:lnSpc>
              <a:spcPct val="90000"/>
            </a:lnSpc>
            <a:spcBef>
              <a:spcPct val="0"/>
            </a:spcBef>
            <a:spcAft>
              <a:spcPct val="35000"/>
            </a:spcAft>
            <a:buNone/>
          </a:pPr>
          <a:r>
            <a:rPr lang="en-GB" sz="900" kern="1200"/>
            <a:t>Service &amp; Performance Monitoring</a:t>
          </a:r>
        </a:p>
      </dsp:txBody>
      <dsp:txXfrm>
        <a:off x="1767827" y="1543100"/>
        <a:ext cx="1085648" cy="542824"/>
      </dsp:txXfrm>
    </dsp:sp>
    <dsp:sp modelId="{42A21DA7-52C2-4A93-BFF2-BC9C2E0A63DF}">
      <dsp:nvSpPr>
        <dsp:cNvPr id="0" name=""/>
        <dsp:cNvSpPr/>
      </dsp:nvSpPr>
      <dsp:spPr>
        <a:xfrm>
          <a:off x="2039239" y="2313910"/>
          <a:ext cx="1085648" cy="5428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Tier 1</a:t>
          </a:r>
        </a:p>
        <a:p>
          <a:pPr marL="0" lvl="0" indent="0" algn="ctr" defTabSz="400050">
            <a:lnSpc>
              <a:spcPct val="90000"/>
            </a:lnSpc>
            <a:spcBef>
              <a:spcPct val="0"/>
            </a:spcBef>
            <a:spcAft>
              <a:spcPct val="35000"/>
            </a:spcAft>
            <a:buNone/>
          </a:pPr>
          <a:r>
            <a:rPr lang="en-GB" sz="900" kern="1200"/>
            <a:t>Field Operations Liaison</a:t>
          </a:r>
        </a:p>
      </dsp:txBody>
      <dsp:txXfrm>
        <a:off x="2039239" y="2313910"/>
        <a:ext cx="1085648" cy="542824"/>
      </dsp:txXfrm>
    </dsp:sp>
    <dsp:sp modelId="{4D1324ED-D498-45FA-BAAE-C9D7F7936459}">
      <dsp:nvSpPr>
        <dsp:cNvPr id="0" name=""/>
        <dsp:cNvSpPr/>
      </dsp:nvSpPr>
      <dsp:spPr>
        <a:xfrm>
          <a:off x="2039239" y="3084721"/>
          <a:ext cx="1085648" cy="5428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Tier 1 Marketing Review</a:t>
          </a:r>
        </a:p>
      </dsp:txBody>
      <dsp:txXfrm>
        <a:off x="2039239" y="3084721"/>
        <a:ext cx="1085648" cy="542824"/>
      </dsp:txXfrm>
    </dsp:sp>
    <dsp:sp modelId="{50D3C938-F280-4C30-A6BB-D94CA9A705D6}">
      <dsp:nvSpPr>
        <dsp:cNvPr id="0" name=""/>
        <dsp:cNvSpPr/>
      </dsp:nvSpPr>
      <dsp:spPr>
        <a:xfrm>
          <a:off x="3081461" y="1543100"/>
          <a:ext cx="1085648" cy="5428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Tier 2 </a:t>
          </a:r>
        </a:p>
        <a:p>
          <a:pPr marL="0" lvl="0" indent="0" algn="ctr" defTabSz="400050">
            <a:lnSpc>
              <a:spcPct val="90000"/>
            </a:lnSpc>
            <a:spcBef>
              <a:spcPct val="0"/>
            </a:spcBef>
            <a:spcAft>
              <a:spcPct val="35000"/>
            </a:spcAft>
            <a:buNone/>
          </a:pPr>
          <a:r>
            <a:rPr lang="en-GB" sz="900" kern="1200"/>
            <a:t>Senior Management Review</a:t>
          </a:r>
        </a:p>
      </dsp:txBody>
      <dsp:txXfrm>
        <a:off x="3081461" y="1543100"/>
        <a:ext cx="1085648" cy="54282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992C6AB9-C871-4EAC-A1F3-F03985AD8FDB}">
    <t:Anchor>
      <t:Comment id="745514416"/>
    </t:Anchor>
    <t:History>
      <t:Event id="{C5F946DD-62E6-441F-AC00-3ADA96D9DBF4}" time="2025-01-22T16:08:52.552Z">
        <t:Attribution userId="S::P10318504@capita.co.uk::c0fa3320-f25d-46db-91c1-a66b45355ada" userProvider="AD" userName="Dexter, Samantha (Capita Public Service)"/>
        <t:Anchor>
          <t:Comment id="1941736895"/>
        </t:Anchor>
        <t:Create/>
      </t:Event>
      <t:Event id="{78A53B46-40C2-4968-BDAF-80D4DE892952}" time="2025-01-22T16:08:52.552Z">
        <t:Attribution userId="S::P10318504@capita.co.uk::c0fa3320-f25d-46db-91c1-a66b45355ada" userProvider="AD" userName="Dexter, Samantha (Capita Public Service)"/>
        <t:Anchor>
          <t:Comment id="1941736895"/>
        </t:Anchor>
        <t:Assign userId="S::P10352728@capita.co.uk::d1700c65-e9cc-4355-8b39-bc8a14cb155b" userProvider="AD" userName="Fitzsimons, Kate (Capita Public Service)"/>
      </t:Event>
      <t:Event id="{2D6B98CB-9591-4A3C-B550-E39A7903CFE2}" time="2025-01-22T16:08:52.552Z">
        <t:Attribution userId="S::P10318504@capita.co.uk::c0fa3320-f25d-46db-91c1-a66b45355ada" userProvider="AD" userName="Dexter, Samantha (Capita Public Service)"/>
        <t:Anchor>
          <t:Comment id="1941736895"/>
        </t:Anchor>
        <t:SetTitle title="@Fitzsimons, Kate (Capita Public Service) - this is a new uplift which is cheeky. Risk is we accept and they then go onto all items below in the list too. View? "/>
      </t:Event>
    </t:History>
  </t:Task>
  <t:Task id="{30ED7090-25D2-4A54-BBE0-CC7B44784EB6}">
    <t:Anchor>
      <t:Comment id="1744799577"/>
    </t:Anchor>
    <t:History>
      <t:Event id="{251E8DA2-F919-46B4-ADFB-DE00778FB6DB}" time="2025-01-22T16:11:36.299Z">
        <t:Attribution userId="S::P10318504@capita.co.uk::c0fa3320-f25d-46db-91c1-a66b45355ada" userProvider="AD" userName="Dexter, Samantha (Capita Public Service)"/>
        <t:Anchor>
          <t:Comment id="2119687713"/>
        </t:Anchor>
        <t:Create/>
      </t:Event>
      <t:Event id="{D5833981-EB49-45B9-BE3E-BAA52DA39300}" time="2025-01-22T16:11:36.299Z">
        <t:Attribution userId="S::P10318504@capita.co.uk::c0fa3320-f25d-46db-91c1-a66b45355ada" userProvider="AD" userName="Dexter, Samantha (Capita Public Service)"/>
        <t:Anchor>
          <t:Comment id="2119687713"/>
        </t:Anchor>
        <t:Assign userId="S::P10313931@capita.co.uk::a9479ba4-1b93-4a29-bf8d-c788f5dedbe7" userProvider="AD" userName="Carr-Smith, James (Capita Public Service)"/>
      </t:Event>
      <t:Event id="{3B4B404B-0675-4022-A997-4FCB6A16F2BA}" time="2025-01-22T16:11:36.299Z">
        <t:Attribution userId="S::P10318504@capita.co.uk::c0fa3320-f25d-46db-91c1-a66b45355ada" userProvider="AD" userName="Dexter, Samantha (Capita Public Service)"/>
        <t:Anchor>
          <t:Comment id="2119687713"/>
        </t:Anchor>
        <t:SetTitle title="@Carr-Smith, James (Capita Public Service) and team - our changes have been put through here. Column A cross references inserted by HSE and need checking"/>
      </t:Event>
      <t:Event id="{555CEF6A-A2A2-4E65-BC48-BA171AF3B606}" time="2025-01-23T11:14:00.397Z">
        <t:Attribution userId="S::P10318504@capita.co.uk::c0fa3320-f25d-46db-91c1-a66b45355ada" userProvider="AD" userName="Dexter, Samantha (Capita Public Service)"/>
        <t:Progress percentComplete="100"/>
      </t:Event>
      <t:Event id="{C83BFDAB-5D00-44EA-B95E-BFF9A62C3DEE}" time="2025-01-23T11:14:18.275Z">
        <t:Attribution userId="S::P10318504@capita.co.uk::c0fa3320-f25d-46db-91c1-a66b45355ada" userProvider="AD" userName="Dexter, Samantha (Capita Public Service)"/>
        <t:Progress percentComplete="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4997E1BA725643B9795AC35E77C646" ma:contentTypeVersion="4" ma:contentTypeDescription="Create a new document." ma:contentTypeScope="" ma:versionID="8664c272e2d3c4ae93c47f016e3f6c54">
  <xsd:schema xmlns:xsd="http://www.w3.org/2001/XMLSchema" xmlns:xs="http://www.w3.org/2001/XMLSchema" xmlns:p="http://schemas.microsoft.com/office/2006/metadata/properties" xmlns:ns2="ef4e3d63-9438-4ef7-96ad-1e9b2960ca3d" targetNamespace="http://schemas.microsoft.com/office/2006/metadata/properties" ma:root="true" ma:fieldsID="6d8d5e679c4ea9ca5b4abe34a7928fe1" ns2:_="">
    <xsd:import namespace="ef4e3d63-9438-4ef7-96ad-1e9b2960ca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e3d63-9438-4ef7-96ad-1e9b2960c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660E04-F105-4B51-A362-A313E6AB6113}">
  <ds:schemaRefs>
    <ds:schemaRef ds:uri="http://schemas.openxmlformats.org/officeDocument/2006/bibliography"/>
  </ds:schemaRefs>
</ds:datastoreItem>
</file>

<file path=customXml/itemProps2.xml><?xml version="1.0" encoding="utf-8"?>
<ds:datastoreItem xmlns:ds="http://schemas.openxmlformats.org/officeDocument/2006/customXml" ds:itemID="{2EEF1AC0-A8A5-45AF-81E1-BA13155CC328}">
  <ds:schemaRefs>
    <ds:schemaRef ds:uri="http://schemas.microsoft.com/sharepoint/v3/contenttype/forms"/>
  </ds:schemaRefs>
</ds:datastoreItem>
</file>

<file path=customXml/itemProps3.xml><?xml version="1.0" encoding="utf-8"?>
<ds:datastoreItem xmlns:ds="http://schemas.openxmlformats.org/officeDocument/2006/customXml" ds:itemID="{C58BA202-DA17-4988-9FD1-B7D550353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e3d63-9438-4ef7-96ad-1e9b2960c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1AB7E6-45B2-4EF2-BE73-D97FD3BA7C6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258b76e-4e36-4e98-9811-b3761d44bb20}" enabled="0" method="" siteId="{c258b76e-4e36-4e98-9811-b3761d44bb20}" removed="1"/>
</clbl:labelList>
</file>

<file path=docProps/app.xml><?xml version="1.0" encoding="utf-8"?>
<Properties xmlns="http://schemas.openxmlformats.org/officeDocument/2006/extended-properties" xmlns:vt="http://schemas.openxmlformats.org/officeDocument/2006/docPropsVTypes">
  <Template>Normal</Template>
  <TotalTime>0</TotalTime>
  <Pages>353</Pages>
  <Words>86852</Words>
  <Characters>495061</Characters>
  <Application>Microsoft Office Word</Application>
  <DocSecurity>4</DocSecurity>
  <PresentationFormat/>
  <Lines>4125</Lines>
  <Paragraphs>1161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580752</CharactersWithSpaces>
  <SharedDoc>false</SharedDoc>
  <HyperlinkBase/>
  <HLinks>
    <vt:vector size="318" baseType="variant">
      <vt:variant>
        <vt:i4>3801194</vt:i4>
      </vt:variant>
      <vt:variant>
        <vt:i4>567</vt:i4>
      </vt:variant>
      <vt:variant>
        <vt:i4>0</vt:i4>
      </vt:variant>
      <vt:variant>
        <vt:i4>5</vt:i4>
      </vt:variant>
      <vt:variant>
        <vt:lpwstr>http://www.hse.gov.uk/foi/busclasschem.pdf</vt:lpwstr>
      </vt:variant>
      <vt:variant>
        <vt:lpwstr/>
      </vt:variant>
      <vt:variant>
        <vt:i4>8060939</vt:i4>
      </vt:variant>
      <vt:variant>
        <vt:i4>564</vt:i4>
      </vt:variant>
      <vt:variant>
        <vt:i4>0</vt:i4>
      </vt:variant>
      <vt:variant>
        <vt:i4>5</vt:i4>
      </vt:variant>
      <vt:variant>
        <vt:lpwstr>mailto:elvira.english@capita.com</vt:lpwstr>
      </vt:variant>
      <vt:variant>
        <vt:lpwstr/>
      </vt:variant>
      <vt:variant>
        <vt:i4>2097256</vt:i4>
      </vt:variant>
      <vt:variant>
        <vt:i4>558</vt:i4>
      </vt:variant>
      <vt:variant>
        <vt:i4>0</vt:i4>
      </vt:variant>
      <vt:variant>
        <vt:i4>5</vt:i4>
      </vt:variant>
      <vt:variant>
        <vt:lpwstr>https://www.ncsc.gov.uk/collection/cloud-security?curPage=/collection/cloud-security/implementing-the-cloud-security-principles</vt:lpwstr>
      </vt:variant>
      <vt:variant>
        <vt:lpwstr/>
      </vt:variant>
      <vt:variant>
        <vt:i4>5242899</vt:i4>
      </vt:variant>
      <vt:variant>
        <vt:i4>456</vt:i4>
      </vt:variant>
      <vt:variant>
        <vt:i4>0</vt:i4>
      </vt:variant>
      <vt:variant>
        <vt:i4>5</vt:i4>
      </vt:variant>
      <vt:variant>
        <vt:lpwstr>http://www.cyberessentials.org/index.html</vt:lpwstr>
      </vt:variant>
      <vt:variant>
        <vt:lpwstr/>
      </vt:variant>
      <vt:variant>
        <vt:i4>2097255</vt:i4>
      </vt:variant>
      <vt:variant>
        <vt:i4>453</vt:i4>
      </vt:variant>
      <vt:variant>
        <vt:i4>0</vt:i4>
      </vt:variant>
      <vt:variant>
        <vt:i4>5</vt:i4>
      </vt:variant>
      <vt:variant>
        <vt:lpwstr>https://www.ncsc.gov.uk/articles/secure-default</vt:lpwstr>
      </vt:variant>
      <vt:variant>
        <vt:lpwstr/>
      </vt:variant>
      <vt:variant>
        <vt:i4>4784151</vt:i4>
      </vt:variant>
      <vt:variant>
        <vt:i4>450</vt:i4>
      </vt:variant>
      <vt:variant>
        <vt:i4>0</vt:i4>
      </vt:variant>
      <vt:variant>
        <vt:i4>5</vt:i4>
      </vt:variant>
      <vt:variant>
        <vt:lpwstr>https://www.ncsc.gov.uk/guidance/security-design-principles-digital-services-main</vt:lpwstr>
      </vt:variant>
      <vt:variant>
        <vt:lpwstr/>
      </vt:variant>
      <vt:variant>
        <vt:i4>4522043</vt:i4>
      </vt:variant>
      <vt:variant>
        <vt:i4>447</vt:i4>
      </vt:variant>
      <vt:variant>
        <vt:i4>0</vt:i4>
      </vt:variant>
      <vt:variant>
        <vt:i4>5</vt:i4>
      </vt:variant>
      <vt:variant>
        <vt:lpwstr>https://www.owasp.org/index.php/Category:OWASP_Application_Security_Verification_Standard_Project</vt:lpwstr>
      </vt:variant>
      <vt:variant>
        <vt:lpwstr/>
      </vt:variant>
      <vt:variant>
        <vt:i4>5832779</vt:i4>
      </vt:variant>
      <vt:variant>
        <vt:i4>444</vt:i4>
      </vt:variant>
      <vt:variant>
        <vt:i4>0</vt:i4>
      </vt:variant>
      <vt:variant>
        <vt:i4>5</vt:i4>
      </vt:variant>
      <vt:variant>
        <vt:lpwstr>https://www.ncsc.gov.uk/guidance/cloud-security-standards-and-definitions</vt:lpwstr>
      </vt:variant>
      <vt:variant>
        <vt:lpwstr/>
      </vt:variant>
      <vt:variant>
        <vt:i4>5832779</vt:i4>
      </vt:variant>
      <vt:variant>
        <vt:i4>441</vt:i4>
      </vt:variant>
      <vt:variant>
        <vt:i4>0</vt:i4>
      </vt:variant>
      <vt:variant>
        <vt:i4>5</vt:i4>
      </vt:variant>
      <vt:variant>
        <vt:lpwstr>https://www.ncsc.gov.uk/guidance/cloud-security-standards-and-definitions</vt:lpwstr>
      </vt:variant>
      <vt:variant>
        <vt:lpwstr/>
      </vt:variant>
      <vt:variant>
        <vt:i4>5832779</vt:i4>
      </vt:variant>
      <vt:variant>
        <vt:i4>438</vt:i4>
      </vt:variant>
      <vt:variant>
        <vt:i4>0</vt:i4>
      </vt:variant>
      <vt:variant>
        <vt:i4>5</vt:i4>
      </vt:variant>
      <vt:variant>
        <vt:lpwstr>https://www.ncsc.gov.uk/guidance/cloud-security-standards-and-definitions</vt:lpwstr>
      </vt:variant>
      <vt:variant>
        <vt:lpwstr/>
      </vt:variant>
      <vt:variant>
        <vt:i4>5832779</vt:i4>
      </vt:variant>
      <vt:variant>
        <vt:i4>435</vt:i4>
      </vt:variant>
      <vt:variant>
        <vt:i4>0</vt:i4>
      </vt:variant>
      <vt:variant>
        <vt:i4>5</vt:i4>
      </vt:variant>
      <vt:variant>
        <vt:lpwstr>https://www.ncsc.gov.uk/guidance/cloud-security-standards-and-definitions</vt:lpwstr>
      </vt:variant>
      <vt:variant>
        <vt:lpwstr/>
      </vt:variant>
      <vt:variant>
        <vt:i4>5832779</vt:i4>
      </vt:variant>
      <vt:variant>
        <vt:i4>432</vt:i4>
      </vt:variant>
      <vt:variant>
        <vt:i4>0</vt:i4>
      </vt:variant>
      <vt:variant>
        <vt:i4>5</vt:i4>
      </vt:variant>
      <vt:variant>
        <vt:lpwstr>https://www.ncsc.gov.uk/guidance/cloud-security-standards-and-definitions</vt:lpwstr>
      </vt:variant>
      <vt:variant>
        <vt:lpwstr/>
      </vt:variant>
      <vt:variant>
        <vt:i4>1900548</vt:i4>
      </vt:variant>
      <vt:variant>
        <vt:i4>429</vt:i4>
      </vt:variant>
      <vt:variant>
        <vt:i4>0</vt:i4>
      </vt:variant>
      <vt:variant>
        <vt:i4>5</vt:i4>
      </vt:variant>
      <vt:variant>
        <vt:lpwstr>https://www.gov.uk/government/publications/security-policy-framework</vt:lpwstr>
      </vt:variant>
      <vt:variant>
        <vt:lpwstr/>
      </vt:variant>
      <vt:variant>
        <vt:i4>2818081</vt:i4>
      </vt:variant>
      <vt:variant>
        <vt:i4>426</vt:i4>
      </vt:variant>
      <vt:variant>
        <vt:i4>0</vt:i4>
      </vt:variant>
      <vt:variant>
        <vt:i4>5</vt:i4>
      </vt:variant>
      <vt:variant>
        <vt:lpwstr>https://www.gov.uk/government/publications/government-functional-standard-govs-007-security</vt:lpwstr>
      </vt:variant>
      <vt:variant>
        <vt:lpwstr/>
      </vt:variant>
      <vt:variant>
        <vt:i4>7274556</vt:i4>
      </vt:variant>
      <vt:variant>
        <vt:i4>423</vt:i4>
      </vt:variant>
      <vt:variant>
        <vt:i4>0</vt:i4>
      </vt:variant>
      <vt:variant>
        <vt:i4>5</vt:i4>
      </vt:variant>
      <vt:variant>
        <vt:lpwstr>https://www.gov.uk/government/collections/functional-standards</vt:lpwstr>
      </vt:variant>
      <vt:variant>
        <vt:lpwstr/>
      </vt:variant>
      <vt:variant>
        <vt:i4>589839</vt:i4>
      </vt:variant>
      <vt:variant>
        <vt:i4>420</vt:i4>
      </vt:variant>
      <vt:variant>
        <vt:i4>0</vt:i4>
      </vt:variant>
      <vt:variant>
        <vt:i4>5</vt:i4>
      </vt:variant>
      <vt:variant>
        <vt:lpwstr>https://www.ncsc.gov.uk/guidance/multi-factor-authentication-online-services</vt:lpwstr>
      </vt:variant>
      <vt:variant>
        <vt:lpwstr/>
      </vt:variant>
      <vt:variant>
        <vt:i4>7209083</vt:i4>
      </vt:variant>
      <vt:variant>
        <vt:i4>417</vt:i4>
      </vt:variant>
      <vt:variant>
        <vt:i4>0</vt:i4>
      </vt:variant>
      <vt:variant>
        <vt:i4>5</vt:i4>
      </vt:variant>
      <vt:variant>
        <vt:lpwstr>https://www.gov.uk/government/publications/government-security-classifications</vt:lpwstr>
      </vt:variant>
      <vt:variant>
        <vt:lpwstr/>
      </vt:variant>
      <vt:variant>
        <vt:i4>2293808</vt:i4>
      </vt:variant>
      <vt:variant>
        <vt:i4>396</vt:i4>
      </vt:variant>
      <vt:variant>
        <vt:i4>0</vt:i4>
      </vt:variant>
      <vt:variant>
        <vt:i4>5</vt:i4>
      </vt:variant>
      <vt:variant>
        <vt:lpwstr>http://www.youtube.com/gassaferegister</vt:lpwstr>
      </vt:variant>
      <vt:variant>
        <vt:lpwstr/>
      </vt:variant>
      <vt:variant>
        <vt:i4>2818094</vt:i4>
      </vt:variant>
      <vt:variant>
        <vt:i4>393</vt:i4>
      </vt:variant>
      <vt:variant>
        <vt:i4>0</vt:i4>
      </vt:variant>
      <vt:variant>
        <vt:i4>5</vt:i4>
      </vt:variant>
      <vt:variant>
        <vt:lpwstr>http://www.twitter.com/gassafetechteam</vt:lpwstr>
      </vt:variant>
      <vt:variant>
        <vt:lpwstr/>
      </vt:variant>
      <vt:variant>
        <vt:i4>5963861</vt:i4>
      </vt:variant>
      <vt:variant>
        <vt:i4>390</vt:i4>
      </vt:variant>
      <vt:variant>
        <vt:i4>0</vt:i4>
      </vt:variant>
      <vt:variant>
        <vt:i4>5</vt:i4>
      </vt:variant>
      <vt:variant>
        <vt:lpwstr>http://www.instagram.com/gassaferegister</vt:lpwstr>
      </vt:variant>
      <vt:variant>
        <vt:lpwstr/>
      </vt:variant>
      <vt:variant>
        <vt:i4>6422568</vt:i4>
      </vt:variant>
      <vt:variant>
        <vt:i4>387</vt:i4>
      </vt:variant>
      <vt:variant>
        <vt:i4>0</vt:i4>
      </vt:variant>
      <vt:variant>
        <vt:i4>5</vt:i4>
      </vt:variant>
      <vt:variant>
        <vt:lpwstr>http://www.linkedin.com/company/gassaferegister</vt:lpwstr>
      </vt:variant>
      <vt:variant>
        <vt:lpwstr/>
      </vt:variant>
      <vt:variant>
        <vt:i4>2359343</vt:i4>
      </vt:variant>
      <vt:variant>
        <vt:i4>384</vt:i4>
      </vt:variant>
      <vt:variant>
        <vt:i4>0</vt:i4>
      </vt:variant>
      <vt:variant>
        <vt:i4>5</vt:i4>
      </vt:variant>
      <vt:variant>
        <vt:lpwstr>http://www.twitter.com/gassaferegister</vt:lpwstr>
      </vt:variant>
      <vt:variant>
        <vt:lpwstr/>
      </vt:variant>
      <vt:variant>
        <vt:i4>327754</vt:i4>
      </vt:variant>
      <vt:variant>
        <vt:i4>339</vt:i4>
      </vt:variant>
      <vt:variant>
        <vt:i4>0</vt:i4>
      </vt:variant>
      <vt:variant>
        <vt:i4>5</vt:i4>
      </vt:variant>
      <vt:variant>
        <vt:lpwstr>http://uk.practicallaw.com/0-202-4551?q=outsourcing</vt:lpwstr>
      </vt:variant>
      <vt:variant>
        <vt:lpwstr>a372155</vt:lpwstr>
      </vt:variant>
      <vt:variant>
        <vt:i4>327754</vt:i4>
      </vt:variant>
      <vt:variant>
        <vt:i4>321</vt:i4>
      </vt:variant>
      <vt:variant>
        <vt:i4>0</vt:i4>
      </vt:variant>
      <vt:variant>
        <vt:i4>5</vt:i4>
      </vt:variant>
      <vt:variant>
        <vt:lpwstr>http://uk.practicallaw.com/0-202-4551?q=outsourcing</vt:lpwstr>
      </vt:variant>
      <vt:variant>
        <vt:lpwstr>a372155</vt:lpwstr>
      </vt:variant>
      <vt:variant>
        <vt:i4>6488167</vt:i4>
      </vt:variant>
      <vt:variant>
        <vt:i4>234</vt:i4>
      </vt:variant>
      <vt:variant>
        <vt:i4>0</vt:i4>
      </vt:variant>
      <vt:variant>
        <vt:i4>5</vt:i4>
      </vt:variant>
      <vt:variant>
        <vt:lpwstr>https://www.gov.uk/government/publications/consultation-principles-guidance</vt:lpwstr>
      </vt:variant>
      <vt:variant>
        <vt:lpwstr/>
      </vt:variant>
      <vt:variant>
        <vt:i4>1376283</vt:i4>
      </vt:variant>
      <vt:variant>
        <vt:i4>162</vt:i4>
      </vt:variant>
      <vt:variant>
        <vt:i4>0</vt:i4>
      </vt:variant>
      <vt:variant>
        <vt:i4>5</vt:i4>
      </vt:variant>
      <vt:variant>
        <vt:lpwstr>http://www.euskills.co.uk/standards-training-gas-work</vt:lpwstr>
      </vt:variant>
      <vt:variant>
        <vt:lpwstr/>
      </vt:variant>
      <vt:variant>
        <vt:i4>2490404</vt:i4>
      </vt:variant>
      <vt:variant>
        <vt:i4>159</vt:i4>
      </vt:variant>
      <vt:variant>
        <vt:i4>0</vt:i4>
      </vt:variant>
      <vt:variant>
        <vt:i4>5</vt:i4>
      </vt:variant>
      <vt:variant>
        <vt:lpwstr>https://www.gassaferegister.co.uk/media/1600/rules-of-registration.pdf</vt:lpwstr>
      </vt:variant>
      <vt:variant>
        <vt:lpwstr/>
      </vt:variant>
      <vt:variant>
        <vt:i4>1638448</vt:i4>
      </vt:variant>
      <vt:variant>
        <vt:i4>152</vt:i4>
      </vt:variant>
      <vt:variant>
        <vt:i4>0</vt:i4>
      </vt:variant>
      <vt:variant>
        <vt:i4>5</vt:i4>
      </vt:variant>
      <vt:variant>
        <vt:lpwstr/>
      </vt:variant>
      <vt:variant>
        <vt:lpwstr>_Toc163748677</vt:lpwstr>
      </vt:variant>
      <vt:variant>
        <vt:i4>1638448</vt:i4>
      </vt:variant>
      <vt:variant>
        <vt:i4>146</vt:i4>
      </vt:variant>
      <vt:variant>
        <vt:i4>0</vt:i4>
      </vt:variant>
      <vt:variant>
        <vt:i4>5</vt:i4>
      </vt:variant>
      <vt:variant>
        <vt:lpwstr/>
      </vt:variant>
      <vt:variant>
        <vt:lpwstr>_Toc163748676</vt:lpwstr>
      </vt:variant>
      <vt:variant>
        <vt:i4>1638448</vt:i4>
      </vt:variant>
      <vt:variant>
        <vt:i4>140</vt:i4>
      </vt:variant>
      <vt:variant>
        <vt:i4>0</vt:i4>
      </vt:variant>
      <vt:variant>
        <vt:i4>5</vt:i4>
      </vt:variant>
      <vt:variant>
        <vt:lpwstr/>
      </vt:variant>
      <vt:variant>
        <vt:lpwstr>_Toc163748675</vt:lpwstr>
      </vt:variant>
      <vt:variant>
        <vt:i4>1638448</vt:i4>
      </vt:variant>
      <vt:variant>
        <vt:i4>134</vt:i4>
      </vt:variant>
      <vt:variant>
        <vt:i4>0</vt:i4>
      </vt:variant>
      <vt:variant>
        <vt:i4>5</vt:i4>
      </vt:variant>
      <vt:variant>
        <vt:lpwstr/>
      </vt:variant>
      <vt:variant>
        <vt:lpwstr>_Toc163748674</vt:lpwstr>
      </vt:variant>
      <vt:variant>
        <vt:i4>1638448</vt:i4>
      </vt:variant>
      <vt:variant>
        <vt:i4>128</vt:i4>
      </vt:variant>
      <vt:variant>
        <vt:i4>0</vt:i4>
      </vt:variant>
      <vt:variant>
        <vt:i4>5</vt:i4>
      </vt:variant>
      <vt:variant>
        <vt:lpwstr/>
      </vt:variant>
      <vt:variant>
        <vt:lpwstr>_Toc163748673</vt:lpwstr>
      </vt:variant>
      <vt:variant>
        <vt:i4>1638448</vt:i4>
      </vt:variant>
      <vt:variant>
        <vt:i4>122</vt:i4>
      </vt:variant>
      <vt:variant>
        <vt:i4>0</vt:i4>
      </vt:variant>
      <vt:variant>
        <vt:i4>5</vt:i4>
      </vt:variant>
      <vt:variant>
        <vt:lpwstr/>
      </vt:variant>
      <vt:variant>
        <vt:lpwstr>_Toc163748672</vt:lpwstr>
      </vt:variant>
      <vt:variant>
        <vt:i4>1638448</vt:i4>
      </vt:variant>
      <vt:variant>
        <vt:i4>116</vt:i4>
      </vt:variant>
      <vt:variant>
        <vt:i4>0</vt:i4>
      </vt:variant>
      <vt:variant>
        <vt:i4>5</vt:i4>
      </vt:variant>
      <vt:variant>
        <vt:lpwstr/>
      </vt:variant>
      <vt:variant>
        <vt:lpwstr>_Toc163748671</vt:lpwstr>
      </vt:variant>
      <vt:variant>
        <vt:i4>1638448</vt:i4>
      </vt:variant>
      <vt:variant>
        <vt:i4>110</vt:i4>
      </vt:variant>
      <vt:variant>
        <vt:i4>0</vt:i4>
      </vt:variant>
      <vt:variant>
        <vt:i4>5</vt:i4>
      </vt:variant>
      <vt:variant>
        <vt:lpwstr/>
      </vt:variant>
      <vt:variant>
        <vt:lpwstr>_Toc163748670</vt:lpwstr>
      </vt:variant>
      <vt:variant>
        <vt:i4>1572912</vt:i4>
      </vt:variant>
      <vt:variant>
        <vt:i4>104</vt:i4>
      </vt:variant>
      <vt:variant>
        <vt:i4>0</vt:i4>
      </vt:variant>
      <vt:variant>
        <vt:i4>5</vt:i4>
      </vt:variant>
      <vt:variant>
        <vt:lpwstr/>
      </vt:variant>
      <vt:variant>
        <vt:lpwstr>_Toc163748669</vt:lpwstr>
      </vt:variant>
      <vt:variant>
        <vt:i4>1572912</vt:i4>
      </vt:variant>
      <vt:variant>
        <vt:i4>98</vt:i4>
      </vt:variant>
      <vt:variant>
        <vt:i4>0</vt:i4>
      </vt:variant>
      <vt:variant>
        <vt:i4>5</vt:i4>
      </vt:variant>
      <vt:variant>
        <vt:lpwstr/>
      </vt:variant>
      <vt:variant>
        <vt:lpwstr>_Toc163748668</vt:lpwstr>
      </vt:variant>
      <vt:variant>
        <vt:i4>1572912</vt:i4>
      </vt:variant>
      <vt:variant>
        <vt:i4>92</vt:i4>
      </vt:variant>
      <vt:variant>
        <vt:i4>0</vt:i4>
      </vt:variant>
      <vt:variant>
        <vt:i4>5</vt:i4>
      </vt:variant>
      <vt:variant>
        <vt:lpwstr/>
      </vt:variant>
      <vt:variant>
        <vt:lpwstr>_Toc163748667</vt:lpwstr>
      </vt:variant>
      <vt:variant>
        <vt:i4>1572912</vt:i4>
      </vt:variant>
      <vt:variant>
        <vt:i4>86</vt:i4>
      </vt:variant>
      <vt:variant>
        <vt:i4>0</vt:i4>
      </vt:variant>
      <vt:variant>
        <vt:i4>5</vt:i4>
      </vt:variant>
      <vt:variant>
        <vt:lpwstr/>
      </vt:variant>
      <vt:variant>
        <vt:lpwstr>_Toc163748666</vt:lpwstr>
      </vt:variant>
      <vt:variant>
        <vt:i4>1572912</vt:i4>
      </vt:variant>
      <vt:variant>
        <vt:i4>80</vt:i4>
      </vt:variant>
      <vt:variant>
        <vt:i4>0</vt:i4>
      </vt:variant>
      <vt:variant>
        <vt:i4>5</vt:i4>
      </vt:variant>
      <vt:variant>
        <vt:lpwstr/>
      </vt:variant>
      <vt:variant>
        <vt:lpwstr>_Toc163748665</vt:lpwstr>
      </vt:variant>
      <vt:variant>
        <vt:i4>1572912</vt:i4>
      </vt:variant>
      <vt:variant>
        <vt:i4>74</vt:i4>
      </vt:variant>
      <vt:variant>
        <vt:i4>0</vt:i4>
      </vt:variant>
      <vt:variant>
        <vt:i4>5</vt:i4>
      </vt:variant>
      <vt:variant>
        <vt:lpwstr/>
      </vt:variant>
      <vt:variant>
        <vt:lpwstr>_Toc163748664</vt:lpwstr>
      </vt:variant>
      <vt:variant>
        <vt:i4>1572912</vt:i4>
      </vt:variant>
      <vt:variant>
        <vt:i4>68</vt:i4>
      </vt:variant>
      <vt:variant>
        <vt:i4>0</vt:i4>
      </vt:variant>
      <vt:variant>
        <vt:i4>5</vt:i4>
      </vt:variant>
      <vt:variant>
        <vt:lpwstr/>
      </vt:variant>
      <vt:variant>
        <vt:lpwstr>_Toc163748663</vt:lpwstr>
      </vt:variant>
      <vt:variant>
        <vt:i4>1572912</vt:i4>
      </vt:variant>
      <vt:variant>
        <vt:i4>62</vt:i4>
      </vt:variant>
      <vt:variant>
        <vt:i4>0</vt:i4>
      </vt:variant>
      <vt:variant>
        <vt:i4>5</vt:i4>
      </vt:variant>
      <vt:variant>
        <vt:lpwstr/>
      </vt:variant>
      <vt:variant>
        <vt:lpwstr>_Toc163748662</vt:lpwstr>
      </vt:variant>
      <vt:variant>
        <vt:i4>1572912</vt:i4>
      </vt:variant>
      <vt:variant>
        <vt:i4>56</vt:i4>
      </vt:variant>
      <vt:variant>
        <vt:i4>0</vt:i4>
      </vt:variant>
      <vt:variant>
        <vt:i4>5</vt:i4>
      </vt:variant>
      <vt:variant>
        <vt:lpwstr/>
      </vt:variant>
      <vt:variant>
        <vt:lpwstr>_Toc163748661</vt:lpwstr>
      </vt:variant>
      <vt:variant>
        <vt:i4>1572912</vt:i4>
      </vt:variant>
      <vt:variant>
        <vt:i4>50</vt:i4>
      </vt:variant>
      <vt:variant>
        <vt:i4>0</vt:i4>
      </vt:variant>
      <vt:variant>
        <vt:i4>5</vt:i4>
      </vt:variant>
      <vt:variant>
        <vt:lpwstr/>
      </vt:variant>
      <vt:variant>
        <vt:lpwstr>_Toc163748660</vt:lpwstr>
      </vt:variant>
      <vt:variant>
        <vt:i4>1769520</vt:i4>
      </vt:variant>
      <vt:variant>
        <vt:i4>44</vt:i4>
      </vt:variant>
      <vt:variant>
        <vt:i4>0</vt:i4>
      </vt:variant>
      <vt:variant>
        <vt:i4>5</vt:i4>
      </vt:variant>
      <vt:variant>
        <vt:lpwstr/>
      </vt:variant>
      <vt:variant>
        <vt:lpwstr>_Toc163748659</vt:lpwstr>
      </vt:variant>
      <vt:variant>
        <vt:i4>1769520</vt:i4>
      </vt:variant>
      <vt:variant>
        <vt:i4>38</vt:i4>
      </vt:variant>
      <vt:variant>
        <vt:i4>0</vt:i4>
      </vt:variant>
      <vt:variant>
        <vt:i4>5</vt:i4>
      </vt:variant>
      <vt:variant>
        <vt:lpwstr/>
      </vt:variant>
      <vt:variant>
        <vt:lpwstr>_Toc163748658</vt:lpwstr>
      </vt:variant>
      <vt:variant>
        <vt:i4>1769520</vt:i4>
      </vt:variant>
      <vt:variant>
        <vt:i4>32</vt:i4>
      </vt:variant>
      <vt:variant>
        <vt:i4>0</vt:i4>
      </vt:variant>
      <vt:variant>
        <vt:i4>5</vt:i4>
      </vt:variant>
      <vt:variant>
        <vt:lpwstr/>
      </vt:variant>
      <vt:variant>
        <vt:lpwstr>_Toc163748657</vt:lpwstr>
      </vt:variant>
      <vt:variant>
        <vt:i4>1769520</vt:i4>
      </vt:variant>
      <vt:variant>
        <vt:i4>26</vt:i4>
      </vt:variant>
      <vt:variant>
        <vt:i4>0</vt:i4>
      </vt:variant>
      <vt:variant>
        <vt:i4>5</vt:i4>
      </vt:variant>
      <vt:variant>
        <vt:lpwstr/>
      </vt:variant>
      <vt:variant>
        <vt:lpwstr>_Toc163748656</vt:lpwstr>
      </vt:variant>
      <vt:variant>
        <vt:i4>1769520</vt:i4>
      </vt:variant>
      <vt:variant>
        <vt:i4>20</vt:i4>
      </vt:variant>
      <vt:variant>
        <vt:i4>0</vt:i4>
      </vt:variant>
      <vt:variant>
        <vt:i4>5</vt:i4>
      </vt:variant>
      <vt:variant>
        <vt:lpwstr/>
      </vt:variant>
      <vt:variant>
        <vt:lpwstr>_Toc163748655</vt:lpwstr>
      </vt:variant>
      <vt:variant>
        <vt:i4>1769520</vt:i4>
      </vt:variant>
      <vt:variant>
        <vt:i4>14</vt:i4>
      </vt:variant>
      <vt:variant>
        <vt:i4>0</vt:i4>
      </vt:variant>
      <vt:variant>
        <vt:i4>5</vt:i4>
      </vt:variant>
      <vt:variant>
        <vt:lpwstr/>
      </vt:variant>
      <vt:variant>
        <vt:lpwstr>_Toc163748654</vt:lpwstr>
      </vt:variant>
      <vt:variant>
        <vt:i4>1769520</vt:i4>
      </vt:variant>
      <vt:variant>
        <vt:i4>8</vt:i4>
      </vt:variant>
      <vt:variant>
        <vt:i4>0</vt:i4>
      </vt:variant>
      <vt:variant>
        <vt:i4>5</vt:i4>
      </vt:variant>
      <vt:variant>
        <vt:lpwstr/>
      </vt:variant>
      <vt:variant>
        <vt:lpwstr>_Toc163748653</vt:lpwstr>
      </vt:variant>
      <vt:variant>
        <vt:i4>1769520</vt:i4>
      </vt:variant>
      <vt:variant>
        <vt:i4>2</vt:i4>
      </vt:variant>
      <vt:variant>
        <vt:i4>0</vt:i4>
      </vt:variant>
      <vt:variant>
        <vt:i4>5</vt:i4>
      </vt:variant>
      <vt:variant>
        <vt:lpwstr/>
      </vt:variant>
      <vt:variant>
        <vt:lpwstr>_Toc163748652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Dexter, Samantha (Capita Public Service)</dc:creator>
  <cp:keywords/>
  <dc:description/>
  <cp:lastModifiedBy>Fran Davies</cp:lastModifiedBy>
  <cp:revision>2</cp:revision>
  <cp:lastPrinted>2025-01-24T16:35:00Z</cp:lastPrinted>
  <dcterms:created xsi:type="dcterms:W3CDTF">2025-03-03T11:48:00Z</dcterms:created>
  <dcterms:modified xsi:type="dcterms:W3CDTF">2025-03-03T11:48:00Z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92902325-1</vt:lpwstr>
  </property>
  <property fmtid="{D5CDD505-2E9C-101B-9397-08002B2CF9AE}" pid="3" name="ContentTypeId">
    <vt:lpwstr>0x0101004E4997E1BA725643B9795AC35E77C646</vt:lpwstr>
  </property>
</Properties>
</file>