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C464B2">
        <w:rPr>
          <w:rFonts w:ascii="Arial" w:hAnsi="Arial" w:cs="Arial"/>
          <w:szCs w:val="22"/>
        </w:rPr>
        <w:t xml:space="preserve"> FRS17190</w:t>
      </w:r>
      <w:r w:rsidRPr="0093723A">
        <w:rPr>
          <w:rFonts w:ascii="Arial" w:hAnsi="Arial" w:cs="Arial"/>
          <w:szCs w:val="22"/>
        </w:rPr>
        <w:tab/>
      </w:r>
    </w:p>
    <w:p w:rsidR="00031189" w:rsidRPr="0093723A" w:rsidRDefault="00031189" w:rsidP="00E65F5D">
      <w:pPr>
        <w:jc w:val="both"/>
        <w:rPr>
          <w:rFonts w:ascii="Arial" w:hAnsi="Arial" w:cs="Arial"/>
          <w:szCs w:val="22"/>
        </w:rPr>
      </w:pPr>
      <w:proofErr w:type="gramStart"/>
      <w:r w:rsidRPr="0093723A">
        <w:rPr>
          <w:rFonts w:ascii="Arial" w:hAnsi="Arial" w:cs="Arial"/>
          <w:szCs w:val="22"/>
        </w:rPr>
        <w:t>Your</w:t>
      </w:r>
      <w:proofErr w:type="gramEnd"/>
      <w:r w:rsidRPr="0093723A">
        <w:rPr>
          <w:rFonts w:ascii="Arial" w:hAnsi="Arial" w:cs="Arial"/>
          <w:szCs w:val="22"/>
        </w:rPr>
        <w:t xml:space="preserve"> Ref:</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C464B2">
        <w:rPr>
          <w:rFonts w:ascii="Arial" w:hAnsi="Arial" w:cs="Arial"/>
          <w:szCs w:val="22"/>
        </w:rPr>
        <w:t>6</w:t>
      </w:r>
      <w:r w:rsidR="00C464B2" w:rsidRPr="00C464B2">
        <w:rPr>
          <w:rFonts w:ascii="Arial" w:hAnsi="Arial" w:cs="Arial"/>
          <w:szCs w:val="22"/>
          <w:vertAlign w:val="superscript"/>
        </w:rPr>
        <w:t>th</w:t>
      </w:r>
      <w:r w:rsidR="00C464B2">
        <w:rPr>
          <w:rFonts w:ascii="Arial" w:hAnsi="Arial" w:cs="Arial"/>
          <w:szCs w:val="22"/>
        </w:rPr>
        <w:t xml:space="preserve"> August, 2018</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126DB0">
        <w:rPr>
          <w:rFonts w:ascii="Arial" w:hAnsi="Arial" w:cs="Arial"/>
          <w:szCs w:val="22"/>
        </w:rPr>
        <w:t>All,</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C92A62">
        <w:rPr>
          <w:rFonts w:ascii="Arial" w:hAnsi="Arial" w:cs="Arial"/>
          <w:b/>
          <w:szCs w:val="22"/>
        </w:rPr>
        <w:t>FRS17190</w:t>
      </w: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5D21AC">
        <w:rPr>
          <w:rFonts w:ascii="Arial" w:hAnsi="Arial" w:cs="Arial"/>
          <w:b/>
          <w:szCs w:val="22"/>
        </w:rPr>
        <w:t xml:space="preserve">Rapid </w:t>
      </w:r>
      <w:bookmarkStart w:id="0" w:name="_GoBack"/>
      <w:bookmarkEnd w:id="0"/>
      <w:r w:rsidR="005D21AC">
        <w:rPr>
          <w:rFonts w:ascii="Arial" w:hAnsi="Arial" w:cs="Arial"/>
          <w:b/>
          <w:szCs w:val="22"/>
        </w:rPr>
        <w:t>Evidence Assessment on Non-</w:t>
      </w:r>
      <w:proofErr w:type="spellStart"/>
      <w:r w:rsidR="005D21AC">
        <w:rPr>
          <w:rFonts w:ascii="Arial" w:hAnsi="Arial" w:cs="Arial"/>
          <w:b/>
          <w:szCs w:val="22"/>
        </w:rPr>
        <w:t>Stationarity</w:t>
      </w:r>
      <w:proofErr w:type="spellEnd"/>
      <w:r w:rsidR="005D21AC">
        <w:rPr>
          <w:rFonts w:ascii="Arial" w:hAnsi="Arial" w:cs="Arial"/>
          <w:b/>
          <w:szCs w:val="22"/>
        </w:rPr>
        <w:t xml:space="preserve"> in Flood Risk</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5D21AC" w:rsidRPr="00851796">
        <w:rPr>
          <w:rFonts w:ascii="Arial" w:hAnsi="Arial" w:cs="Arial"/>
          <w:color w:val="000000" w:themeColor="text1"/>
          <w:szCs w:val="22"/>
        </w:rPr>
        <w:t xml:space="preserve">16:00 on </w:t>
      </w:r>
      <w:r w:rsidR="002D3F66" w:rsidRPr="002D3F66">
        <w:rPr>
          <w:rFonts w:ascii="Arial" w:hAnsi="Arial" w:cs="Arial"/>
          <w:color w:val="000000" w:themeColor="text1"/>
          <w:szCs w:val="22"/>
        </w:rPr>
        <w:t>4</w:t>
      </w:r>
      <w:r w:rsidR="002D3F66" w:rsidRPr="002D3F66">
        <w:rPr>
          <w:rFonts w:ascii="Arial" w:hAnsi="Arial" w:cs="Arial"/>
          <w:color w:val="000000" w:themeColor="text1"/>
          <w:szCs w:val="22"/>
          <w:vertAlign w:val="superscript"/>
        </w:rPr>
        <w:t>th</w:t>
      </w:r>
      <w:r w:rsidR="002D3F66" w:rsidRPr="002D3F66">
        <w:rPr>
          <w:rFonts w:ascii="Arial" w:hAnsi="Arial" w:cs="Arial"/>
          <w:color w:val="000000" w:themeColor="text1"/>
          <w:szCs w:val="22"/>
        </w:rPr>
        <w:t xml:space="preserve"> </w:t>
      </w:r>
      <w:r w:rsidR="00C464B2" w:rsidRPr="002D3F66">
        <w:rPr>
          <w:rFonts w:ascii="Arial" w:hAnsi="Arial" w:cs="Arial"/>
          <w:color w:val="000000" w:themeColor="text1"/>
          <w:szCs w:val="22"/>
        </w:rPr>
        <w:t>September, 2018</w:t>
      </w:r>
      <w:r w:rsidR="00C464B2">
        <w:rPr>
          <w:rFonts w:ascii="Arial" w:hAnsi="Arial" w:cs="Arial"/>
          <w:color w:val="000000" w:themeColor="text1"/>
          <w:szCs w:val="22"/>
        </w:rPr>
        <w:t>.</w:t>
      </w:r>
      <w:r w:rsidR="00AB6556" w:rsidRPr="00851796">
        <w:rPr>
          <w:rFonts w:ascii="Arial" w:hAnsi="Arial" w:cs="Arial"/>
          <w:color w:val="000000" w:themeColor="text1"/>
          <w:szCs w:val="22"/>
        </w:rPr>
        <w:t xml:space="preserve"> </w:t>
      </w:r>
    </w:p>
    <w:p w:rsidR="007D26D8" w:rsidRPr="0093723A" w:rsidRDefault="007D26D8" w:rsidP="00E65F5D">
      <w:pPr>
        <w:rPr>
          <w:rFonts w:ascii="Arial" w:hAnsi="Arial" w:cs="Arial"/>
          <w:szCs w:val="22"/>
        </w:rPr>
      </w:pPr>
    </w:p>
    <w:p w:rsidR="007D26D8" w:rsidRPr="001C31F6" w:rsidRDefault="00126DB0" w:rsidP="00E65F5D">
      <w:pPr>
        <w:rPr>
          <w:rFonts w:ascii="Arial" w:hAnsi="Arial" w:cs="Arial"/>
          <w:color w:val="FF0000"/>
          <w:szCs w:val="22"/>
        </w:rPr>
      </w:pPr>
      <w:hyperlink r:id="rId7" w:history="1">
        <w:r w:rsidR="005D21AC" w:rsidRPr="002409E8">
          <w:rPr>
            <w:rStyle w:val="Hyperlink"/>
            <w:rFonts w:ascii="Arial" w:hAnsi="Arial" w:cs="Arial"/>
            <w:szCs w:val="22"/>
          </w:rPr>
          <w:t>sue.manson@environment-agency.gov.uk</w:t>
        </w:r>
      </w:hyperlink>
      <w:r w:rsidR="005D21AC">
        <w:rPr>
          <w:rFonts w:ascii="Arial" w:hAnsi="Arial" w:cs="Arial"/>
          <w:color w:val="FF0000"/>
          <w:szCs w:val="22"/>
        </w:rPr>
        <w:t xml:space="preserv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2D3F66" w:rsidRDefault="00C464B2" w:rsidP="00E65F5D">
      <w:pPr>
        <w:ind w:left="720" w:hanging="720"/>
        <w:jc w:val="both"/>
        <w:rPr>
          <w:rFonts w:ascii="Arial" w:hAnsi="Arial" w:cs="Arial"/>
          <w:color w:val="000000" w:themeColor="text1"/>
          <w:szCs w:val="22"/>
        </w:rPr>
      </w:pPr>
      <w:r w:rsidRPr="002D3F66">
        <w:rPr>
          <w:rFonts w:ascii="Arial" w:hAnsi="Arial" w:cs="Arial"/>
          <w:color w:val="000000" w:themeColor="text1"/>
          <w:szCs w:val="22"/>
        </w:rPr>
        <w:t xml:space="preserve">Sue Manson </w:t>
      </w:r>
    </w:p>
    <w:p w:rsidR="00031189" w:rsidRPr="00C464B2" w:rsidRDefault="00C464B2" w:rsidP="00E65F5D">
      <w:pPr>
        <w:ind w:left="720" w:hanging="720"/>
        <w:jc w:val="both"/>
        <w:rPr>
          <w:rFonts w:ascii="Arial" w:hAnsi="Arial" w:cs="Arial"/>
          <w:color w:val="000000" w:themeColor="text1"/>
          <w:szCs w:val="22"/>
        </w:rPr>
      </w:pPr>
      <w:r w:rsidRPr="002D3F66">
        <w:rPr>
          <w:rFonts w:ascii="Arial" w:hAnsi="Arial" w:cs="Arial"/>
          <w:color w:val="000000" w:themeColor="text1"/>
          <w:szCs w:val="22"/>
        </w:rPr>
        <w:t>Incident Management and Modelling Theme Manager</w:t>
      </w:r>
    </w:p>
    <w:p w:rsidR="00031189" w:rsidRPr="0093723A" w:rsidRDefault="00031189" w:rsidP="00E65F5D">
      <w:pPr>
        <w:ind w:left="720" w:hanging="720"/>
        <w:jc w:val="both"/>
        <w:rPr>
          <w:rFonts w:ascii="Arial" w:hAnsi="Arial" w:cs="Arial"/>
          <w:color w:val="0000FF"/>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8" w:history="1">
        <w:r w:rsidR="00C92A62" w:rsidRPr="002409E8">
          <w:rPr>
            <w:rStyle w:val="Hyperlink"/>
            <w:rFonts w:ascii="Arial" w:hAnsi="Arial" w:cs="Arial"/>
            <w:szCs w:val="22"/>
          </w:rPr>
          <w:t>sue.manson@environment-agency.gov.uk</w:t>
        </w:r>
      </w:hyperlink>
      <w:r w:rsidR="00C92A62">
        <w:rPr>
          <w:rFonts w:ascii="Arial" w:hAnsi="Arial" w:cs="Arial"/>
          <w:szCs w:val="22"/>
        </w:rPr>
        <w:t xml:space="preserve"> </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5D21AC" w:rsidRPr="00C92A62">
        <w:rPr>
          <w:rFonts w:ascii="Arial" w:hAnsi="Arial" w:cs="Arial"/>
          <w:color w:val="000000" w:themeColor="text1"/>
          <w:szCs w:val="22"/>
        </w:rPr>
        <w:t>02030255114</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proofErr w:type="spellStart"/>
      <w:r w:rsidR="00C464B2" w:rsidRPr="00EF7BDC">
        <w:rPr>
          <w:rFonts w:ascii="Arial" w:hAnsi="Arial" w:cs="Arial"/>
          <w:b/>
          <w:color w:val="000000" w:themeColor="text1"/>
          <w:szCs w:val="22"/>
        </w:rPr>
        <w:t>Crosskill</w:t>
      </w:r>
      <w:proofErr w:type="spellEnd"/>
      <w:r w:rsidR="00C464B2" w:rsidRPr="00EF7BDC">
        <w:rPr>
          <w:rFonts w:ascii="Arial" w:hAnsi="Arial" w:cs="Arial"/>
          <w:b/>
          <w:color w:val="000000" w:themeColor="text1"/>
          <w:szCs w:val="22"/>
        </w:rPr>
        <w:t xml:space="preserve"> House, Mill Lane, Beverley, East Yorkshire, HU17 9JB </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2D3F66" w:rsidRPr="00851796" w:rsidRDefault="00FE42D1" w:rsidP="002D3F66">
      <w:pPr>
        <w:jc w:val="center"/>
        <w:rPr>
          <w:rFonts w:ascii="Arial" w:hAnsi="Arial" w:cs="Arial"/>
          <w:b/>
          <w:color w:val="000000" w:themeColor="text1"/>
          <w:sz w:val="28"/>
          <w:szCs w:val="28"/>
          <w:u w:val="single"/>
        </w:rPr>
      </w:pPr>
      <w:r w:rsidRPr="0093723A">
        <w:rPr>
          <w:rFonts w:ascii="Arial" w:hAnsi="Arial" w:cs="Arial"/>
          <w:b/>
          <w:szCs w:val="22"/>
        </w:rPr>
        <w:br w:type="page"/>
      </w:r>
    </w:p>
    <w:p w:rsidR="00050B8F" w:rsidRPr="000878DD" w:rsidRDefault="000878DD" w:rsidP="00E65F5D">
      <w:pPr>
        <w:spacing w:before="240"/>
        <w:rPr>
          <w:rFonts w:ascii="Arial" w:hAnsi="Arial" w:cs="Arial"/>
          <w:b/>
          <w:color w:val="FF0000"/>
          <w:sz w:val="28"/>
          <w:szCs w:val="28"/>
        </w:rPr>
      </w:pPr>
      <w:r w:rsidRPr="00851796">
        <w:rPr>
          <w:rFonts w:ascii="Arial" w:hAnsi="Arial" w:cs="Arial"/>
          <w:b/>
          <w:color w:val="000000" w:themeColor="text1"/>
          <w:sz w:val="28"/>
          <w:szCs w:val="28"/>
          <w:u w:val="single"/>
        </w:rPr>
        <w:lastRenderedPageBreak/>
        <w:t>Request for Quot</w:t>
      </w:r>
      <w:r w:rsidR="00B94CDD" w:rsidRPr="00851796">
        <w:rPr>
          <w:rFonts w:ascii="Arial" w:hAnsi="Arial" w:cs="Arial"/>
          <w:b/>
          <w:color w:val="000000" w:themeColor="text1"/>
          <w:sz w:val="28"/>
          <w:szCs w:val="28"/>
          <w:u w:val="single"/>
        </w:rPr>
        <w:t>ation</w:t>
      </w:r>
    </w:p>
    <w:p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5D21AC">
        <w:rPr>
          <w:rFonts w:ascii="Arial" w:hAnsi="Arial" w:cs="Arial"/>
          <w:b/>
          <w:szCs w:val="22"/>
        </w:rPr>
        <w:t>FRS17190</w:t>
      </w:r>
    </w:p>
    <w:p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5D21AC">
        <w:rPr>
          <w:rFonts w:ascii="Arial" w:hAnsi="Arial" w:cs="Arial"/>
          <w:b/>
          <w:szCs w:val="22"/>
        </w:rPr>
        <w:t>Rapid Evidence Assessment on Non-</w:t>
      </w:r>
      <w:proofErr w:type="spellStart"/>
      <w:r w:rsidR="005D21AC">
        <w:rPr>
          <w:rFonts w:ascii="Arial" w:hAnsi="Arial" w:cs="Arial"/>
          <w:b/>
          <w:szCs w:val="22"/>
        </w:rPr>
        <w:t>Stationarity</w:t>
      </w:r>
      <w:proofErr w:type="spellEnd"/>
      <w:r w:rsidR="005D21AC">
        <w:rPr>
          <w:rFonts w:ascii="Arial" w:hAnsi="Arial" w:cs="Arial"/>
          <w:b/>
          <w:szCs w:val="22"/>
        </w:rPr>
        <w:t xml:space="preserve">  </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126DB0" w:rsidP="00E65F5D">
      <w:pPr>
        <w:widowControl w:val="0"/>
        <w:rPr>
          <w:rFonts w:ascii="Arial" w:hAnsi="Arial" w:cs="Arial"/>
          <w:szCs w:val="22"/>
        </w:rPr>
      </w:pPr>
      <w:hyperlink r:id="rId9"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126DB0" w:rsidP="00E65F5D">
      <w:pPr>
        <w:widowControl w:val="0"/>
        <w:rPr>
          <w:rFonts w:ascii="Arial" w:hAnsi="Arial" w:cs="Arial"/>
          <w:szCs w:val="22"/>
        </w:rPr>
      </w:pPr>
      <w:hyperlink r:id="rId10"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126DB0" w:rsidP="00E65F5D">
      <w:pPr>
        <w:widowControl w:val="0"/>
        <w:rPr>
          <w:rFonts w:ascii="Arial" w:hAnsi="Arial" w:cs="Arial"/>
          <w:szCs w:val="22"/>
        </w:rPr>
      </w:pPr>
      <w:hyperlink r:id="rId11"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126DB0" w:rsidP="00E65F5D">
      <w:pPr>
        <w:shd w:val="clear" w:color="auto" w:fill="FFFFFF"/>
        <w:rPr>
          <w:rFonts w:ascii="Arial" w:hAnsi="Arial" w:cs="Arial"/>
          <w:szCs w:val="22"/>
          <w:u w:val="single"/>
        </w:rPr>
      </w:pPr>
      <w:hyperlink r:id="rId12"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3"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4"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5D21AC" w:rsidRDefault="005D21AC" w:rsidP="005D21AC">
      <w:pPr>
        <w:rPr>
          <w:rFonts w:ascii="Arial" w:hAnsi="Arial" w:cs="Arial"/>
          <w:i/>
        </w:rPr>
      </w:pPr>
      <w:r>
        <w:rPr>
          <w:rFonts w:ascii="Arial" w:hAnsi="Arial" w:cs="Arial"/>
        </w:rPr>
        <w:t>This commission is part of a project to develop a flood hydrology roadmap for the UK. The project is being managed and funded by the Joint Environment Agency/Defra Flood and Coastal Risk Management R&amp;D Programme. The objective of this commission is to undertake a Rapid Evidence Assessment on the role of non-</w:t>
      </w:r>
      <w:proofErr w:type="spellStart"/>
      <w:r>
        <w:rPr>
          <w:rFonts w:ascii="Arial" w:hAnsi="Arial" w:cs="Arial"/>
        </w:rPr>
        <w:t>stationarity</w:t>
      </w:r>
      <w:proofErr w:type="spellEnd"/>
      <w:r>
        <w:rPr>
          <w:rFonts w:ascii="Arial" w:hAnsi="Arial" w:cs="Arial"/>
        </w:rPr>
        <w:t xml:space="preserve"> in flood risk management in England. </w:t>
      </w:r>
      <w:r>
        <w:rPr>
          <w:rFonts w:ascii="Arial" w:hAnsi="Arial" w:cs="Arial"/>
          <w:i/>
        </w:rPr>
        <w:t>Note the flood hydrology roadmap is still under development and no contract for this work has yet be let.</w:t>
      </w:r>
    </w:p>
    <w:p w:rsidR="005D21AC" w:rsidRDefault="005D21AC" w:rsidP="005D21AC">
      <w:pPr>
        <w:rPr>
          <w:rFonts w:ascii="Arial" w:hAnsi="Arial" w:cs="Arial"/>
          <w:i/>
          <w:szCs w:val="22"/>
        </w:rPr>
      </w:pP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5D21AC">
        <w:rPr>
          <w:rFonts w:ascii="Arial" w:hAnsi="Arial" w:cs="Arial"/>
          <w:szCs w:val="22"/>
        </w:rPr>
        <w:t>6</w:t>
      </w:r>
      <w:r w:rsidRPr="0093723A">
        <w:rPr>
          <w:rFonts w:ascii="Arial" w:hAnsi="Arial" w:cs="Arial"/>
          <w:szCs w:val="22"/>
        </w:rPr>
        <w:t xml:space="preserve"> months </w:t>
      </w:r>
      <w:r w:rsidR="00EF7BDC">
        <w:rPr>
          <w:rFonts w:ascii="Arial" w:hAnsi="Arial" w:cs="Arial"/>
          <w:szCs w:val="22"/>
        </w:rPr>
        <w:t xml:space="preserve">and </w:t>
      </w:r>
      <w:r w:rsidRPr="0093723A">
        <w:rPr>
          <w:rFonts w:ascii="Arial" w:hAnsi="Arial" w:cs="Arial"/>
          <w:szCs w:val="22"/>
        </w:rPr>
        <w:t xml:space="preserve">to end no later than </w:t>
      </w:r>
      <w:r w:rsidR="00EF7BDC" w:rsidRPr="00A21727">
        <w:rPr>
          <w:rFonts w:ascii="Arial" w:hAnsi="Arial" w:cs="Arial"/>
          <w:color w:val="000000" w:themeColor="text1"/>
          <w:szCs w:val="22"/>
        </w:rPr>
        <w:t>31</w:t>
      </w:r>
      <w:r w:rsidR="00A323E2" w:rsidRPr="00A21727">
        <w:rPr>
          <w:rFonts w:ascii="Arial" w:hAnsi="Arial" w:cs="Arial"/>
          <w:color w:val="000000" w:themeColor="text1"/>
          <w:szCs w:val="22"/>
        </w:rPr>
        <w:t>/</w:t>
      </w:r>
      <w:r w:rsidR="005D21AC" w:rsidRPr="00A21727">
        <w:rPr>
          <w:rFonts w:ascii="Arial" w:hAnsi="Arial" w:cs="Arial"/>
          <w:color w:val="000000" w:themeColor="text1"/>
          <w:szCs w:val="22"/>
        </w:rPr>
        <w:t>0</w:t>
      </w:r>
      <w:r w:rsidR="00F0562E" w:rsidRPr="00A21727">
        <w:rPr>
          <w:rFonts w:ascii="Arial" w:hAnsi="Arial" w:cs="Arial"/>
          <w:color w:val="000000" w:themeColor="text1"/>
          <w:szCs w:val="22"/>
        </w:rPr>
        <w:t>3</w:t>
      </w:r>
      <w:r w:rsidR="00A323E2" w:rsidRPr="00A21727">
        <w:rPr>
          <w:rFonts w:ascii="Arial" w:hAnsi="Arial" w:cs="Arial"/>
          <w:color w:val="000000" w:themeColor="text1"/>
          <w:szCs w:val="22"/>
        </w:rPr>
        <w:t>/</w:t>
      </w:r>
      <w:r w:rsidR="005D21AC" w:rsidRPr="00A21727">
        <w:rPr>
          <w:rFonts w:ascii="Arial" w:hAnsi="Arial" w:cs="Arial"/>
          <w:color w:val="000000" w:themeColor="text1"/>
          <w:szCs w:val="22"/>
        </w:rPr>
        <w:t>19</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851796">
        <w:rPr>
          <w:rFonts w:ascii="Arial" w:hAnsi="Arial" w:cs="Arial"/>
          <w:color w:val="000000" w:themeColor="text1"/>
          <w:szCs w:val="22"/>
        </w:rPr>
        <w:t>Research</w:t>
      </w:r>
      <w:r w:rsidR="002F4C87" w:rsidRPr="00851796">
        <w:rPr>
          <w:rFonts w:ascii="Arial" w:hAnsi="Arial" w:cs="Arial"/>
          <w:color w:val="000000" w:themeColor="text1"/>
          <w:szCs w:val="22"/>
        </w:rPr>
        <w:t xml:space="preserve"> (Appendix C</w:t>
      </w:r>
      <w:r w:rsidR="00296D92" w:rsidRPr="00851796">
        <w:rPr>
          <w:rFonts w:ascii="Arial" w:hAnsi="Arial" w:cs="Arial"/>
          <w:color w:val="000000" w:themeColor="text1"/>
          <w:szCs w:val="22"/>
        </w:rPr>
        <w:t>)</w:t>
      </w:r>
      <w:r w:rsidRPr="0093723A">
        <w:rPr>
          <w:rFonts w:ascii="Arial" w:hAnsi="Arial" w:cs="Arial"/>
          <w:szCs w:val="22"/>
        </w:rPr>
        <w:t xml:space="preserve"> shall apply to this contract. </w:t>
      </w:r>
    </w:p>
    <w:p w:rsidR="00296D92" w:rsidRDefault="00296D92" w:rsidP="00E65F5D">
      <w:pPr>
        <w:rPr>
          <w:rFonts w:ascii="Arial" w:hAnsi="Arial" w:cs="Arial"/>
          <w:szCs w:val="22"/>
        </w:rPr>
      </w:pPr>
    </w:p>
    <w:p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5D21AC">
        <w:rPr>
          <w:rFonts w:cs="Arial"/>
          <w:b/>
          <w:sz w:val="20"/>
          <w:szCs w:val="22"/>
        </w:rPr>
        <w:t xml:space="preserve">Sue Manson </w:t>
      </w:r>
      <w:r w:rsidR="005D21AC" w:rsidRPr="00A21727">
        <w:rPr>
          <w:rFonts w:cs="Arial"/>
          <w:b/>
          <w:sz w:val="20"/>
        </w:rPr>
        <w:t xml:space="preserve">(Senior Specialist – Research) </w:t>
      </w:r>
      <w:hyperlink r:id="rId15" w:history="1">
        <w:r w:rsidR="005D21AC" w:rsidRPr="00A21727">
          <w:rPr>
            <w:rStyle w:val="Hyperlink"/>
            <w:rFonts w:cs="Arial"/>
            <w:b/>
            <w:sz w:val="20"/>
          </w:rPr>
          <w:t>sue.manson@environment-agency.gov.uk</w:t>
        </w:r>
      </w:hyperlink>
      <w:r w:rsidR="005D21AC">
        <w:rPr>
          <w:rFonts w:cs="Arial"/>
          <w:b/>
          <w:szCs w:val="22"/>
        </w:rPr>
        <w:t xml:space="preserve"> </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5D21AC" w:rsidP="00296D92">
      <w:pPr>
        <w:ind w:right="-21"/>
        <w:rPr>
          <w:rFonts w:ascii="Arial" w:hAnsi="Arial" w:cs="Arial"/>
          <w:szCs w:val="22"/>
        </w:rPr>
      </w:pPr>
      <w:r w:rsidRPr="00851796">
        <w:rPr>
          <w:rFonts w:ascii="Arial" w:hAnsi="Arial" w:cs="Arial"/>
          <w:color w:val="000000" w:themeColor="text1"/>
          <w:szCs w:val="22"/>
        </w:rPr>
        <w:t>Sue Manson</w:t>
      </w:r>
      <w:r w:rsidR="00296D92" w:rsidRPr="00851796">
        <w:rPr>
          <w:rFonts w:ascii="Arial" w:hAnsi="Arial" w:cs="Arial"/>
          <w:color w:val="000000" w:themeColor="text1"/>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296D92" w:rsidRPr="0093723A" w:rsidRDefault="00296D92" w:rsidP="00296D92">
      <w:pPr>
        <w:ind w:right="-21"/>
        <w:rPr>
          <w:rFonts w:ascii="Arial" w:hAnsi="Arial" w:cs="Arial"/>
          <w:szCs w:val="22"/>
        </w:rPr>
      </w:pPr>
    </w:p>
    <w:p w:rsidR="005D21AC" w:rsidRDefault="005D21AC" w:rsidP="005D21AC">
      <w:pPr>
        <w:ind w:right="-21"/>
        <w:rPr>
          <w:rFonts w:ascii="Arial" w:hAnsi="Arial" w:cs="Arial"/>
          <w:szCs w:val="22"/>
        </w:rPr>
      </w:pPr>
      <w:r>
        <w:rPr>
          <w:rFonts w:ascii="Arial" w:hAnsi="Arial" w:cs="Arial"/>
          <w:szCs w:val="22"/>
        </w:rPr>
        <w:t>Questions should be submitted by email to: sue.manson@environment-agency.gov.uk</w:t>
      </w:r>
    </w:p>
    <w:p w:rsidR="00296D92" w:rsidRDefault="00296D92" w:rsidP="00296D92"/>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5"/>
        <w:gridCol w:w="2411"/>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0D1CA8" w:rsidRDefault="00EF7BDC" w:rsidP="00A21727">
            <w:pPr>
              <w:rPr>
                <w:rFonts w:ascii="Arial" w:hAnsi="Arial" w:cs="Arial"/>
                <w:color w:val="FF0000"/>
                <w:szCs w:val="22"/>
              </w:rPr>
            </w:pPr>
            <w:r w:rsidRPr="00A21727">
              <w:rPr>
                <w:rFonts w:ascii="Arial" w:hAnsi="Arial" w:cs="Arial"/>
                <w:color w:val="000000" w:themeColor="text1"/>
                <w:szCs w:val="22"/>
              </w:rPr>
              <w:t xml:space="preserve">16:00 </w:t>
            </w:r>
            <w:r w:rsidR="00A21727" w:rsidRPr="00A21727">
              <w:rPr>
                <w:rFonts w:ascii="Arial" w:hAnsi="Arial" w:cs="Arial"/>
                <w:color w:val="000000" w:themeColor="text1"/>
                <w:szCs w:val="22"/>
              </w:rPr>
              <w:t>4</w:t>
            </w:r>
            <w:r w:rsidR="00A21727" w:rsidRPr="00A21727">
              <w:rPr>
                <w:rFonts w:ascii="Arial" w:hAnsi="Arial" w:cs="Arial"/>
                <w:color w:val="000000" w:themeColor="text1"/>
                <w:szCs w:val="22"/>
                <w:vertAlign w:val="superscript"/>
              </w:rPr>
              <w:t>th</w:t>
            </w:r>
            <w:r w:rsidR="00A21727" w:rsidRPr="00A21727">
              <w:rPr>
                <w:rFonts w:ascii="Arial" w:hAnsi="Arial" w:cs="Arial"/>
                <w:color w:val="000000" w:themeColor="text1"/>
                <w:szCs w:val="22"/>
              </w:rPr>
              <w:t xml:space="preserve"> </w:t>
            </w:r>
            <w:r w:rsidRPr="00A21727">
              <w:rPr>
                <w:rFonts w:ascii="Arial" w:hAnsi="Arial" w:cs="Arial"/>
                <w:color w:val="000000" w:themeColor="text1"/>
                <w:szCs w:val="22"/>
              </w:rPr>
              <w:t>September, 2018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A21727" w:rsidRDefault="00EF7BDC" w:rsidP="00296D92">
            <w:pPr>
              <w:rPr>
                <w:rFonts w:ascii="Arial" w:hAnsi="Arial" w:cs="Arial"/>
                <w:color w:val="000000" w:themeColor="text1"/>
                <w:szCs w:val="22"/>
              </w:rPr>
            </w:pPr>
            <w:r w:rsidRPr="00A21727">
              <w:rPr>
                <w:rFonts w:ascii="Arial" w:hAnsi="Arial" w:cs="Arial"/>
                <w:color w:val="000000" w:themeColor="text1"/>
                <w:szCs w:val="22"/>
              </w:rPr>
              <w:t>12</w:t>
            </w:r>
            <w:r w:rsidRPr="00A21727">
              <w:rPr>
                <w:rFonts w:ascii="Arial" w:hAnsi="Arial" w:cs="Arial"/>
                <w:color w:val="000000" w:themeColor="text1"/>
                <w:szCs w:val="22"/>
                <w:vertAlign w:val="superscript"/>
              </w:rPr>
              <w:t>th</w:t>
            </w:r>
            <w:r w:rsidRPr="00A21727">
              <w:rPr>
                <w:rFonts w:ascii="Arial" w:hAnsi="Arial" w:cs="Arial"/>
                <w:color w:val="000000" w:themeColor="text1"/>
                <w:szCs w:val="22"/>
              </w:rPr>
              <w:t xml:space="preserve"> September, 2018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A21727" w:rsidRDefault="00EF7BDC" w:rsidP="00296D92">
            <w:pPr>
              <w:rPr>
                <w:rFonts w:ascii="Arial" w:hAnsi="Arial" w:cs="Arial"/>
                <w:color w:val="000000" w:themeColor="text1"/>
                <w:szCs w:val="22"/>
              </w:rPr>
            </w:pPr>
            <w:r w:rsidRPr="00A21727">
              <w:rPr>
                <w:rFonts w:ascii="Arial" w:hAnsi="Arial" w:cs="Arial"/>
                <w:color w:val="000000" w:themeColor="text1"/>
                <w:szCs w:val="22"/>
              </w:rPr>
              <w:t>1</w:t>
            </w:r>
            <w:r w:rsidRPr="00A21727">
              <w:rPr>
                <w:rFonts w:ascii="Arial" w:hAnsi="Arial" w:cs="Arial"/>
                <w:color w:val="000000" w:themeColor="text1"/>
                <w:szCs w:val="22"/>
                <w:vertAlign w:val="superscript"/>
              </w:rPr>
              <w:t>st</w:t>
            </w:r>
            <w:r w:rsidRPr="00A21727">
              <w:rPr>
                <w:rFonts w:ascii="Arial" w:hAnsi="Arial" w:cs="Arial"/>
                <w:color w:val="000000" w:themeColor="text1"/>
                <w:szCs w:val="22"/>
              </w:rPr>
              <w:t xml:space="preserve"> October, 2018</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A21727" w:rsidRDefault="00EF7BDC" w:rsidP="00EF7BDC">
            <w:pPr>
              <w:rPr>
                <w:rFonts w:ascii="Arial" w:hAnsi="Arial" w:cs="Arial"/>
                <w:color w:val="000000" w:themeColor="text1"/>
                <w:szCs w:val="22"/>
              </w:rPr>
            </w:pPr>
            <w:r w:rsidRPr="00A21727">
              <w:rPr>
                <w:rFonts w:ascii="Arial" w:hAnsi="Arial" w:cs="Arial"/>
                <w:color w:val="000000" w:themeColor="text1"/>
                <w:szCs w:val="22"/>
              </w:rPr>
              <w:t>31</w:t>
            </w:r>
            <w:r w:rsidRPr="00A21727">
              <w:rPr>
                <w:rFonts w:ascii="Arial" w:hAnsi="Arial" w:cs="Arial"/>
                <w:color w:val="000000" w:themeColor="text1"/>
                <w:szCs w:val="22"/>
                <w:vertAlign w:val="superscript"/>
              </w:rPr>
              <w:t>st</w:t>
            </w:r>
            <w:r w:rsidRPr="00A21727">
              <w:rPr>
                <w:rFonts w:ascii="Arial" w:hAnsi="Arial" w:cs="Arial"/>
                <w:color w:val="000000" w:themeColor="text1"/>
                <w:szCs w:val="22"/>
              </w:rPr>
              <w:t xml:space="preserve"> March, 2019</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Pr="00A21727" w:rsidRDefault="00296D92" w:rsidP="00E65F5D">
      <w:pPr>
        <w:pStyle w:val="Heading2"/>
        <w:numPr>
          <w:ilvl w:val="0"/>
          <w:numId w:val="0"/>
        </w:numPr>
        <w:rPr>
          <w:rFonts w:cs="Arial"/>
          <w:sz w:val="12"/>
          <w:szCs w:val="1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A21727" w:rsidRDefault="00BD6C51" w:rsidP="00E65F5D">
      <w:pPr>
        <w:ind w:right="-21"/>
        <w:rPr>
          <w:rFonts w:ascii="Arial" w:hAnsi="Arial" w:cs="Arial"/>
          <w:sz w:val="16"/>
          <w:szCs w:val="16"/>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7F2B2A">
        <w:rPr>
          <w:rFonts w:ascii="Arial" w:hAnsi="Arial" w:cs="Arial"/>
          <w:color w:val="000000" w:themeColor="text1"/>
          <w:szCs w:val="22"/>
        </w:rPr>
        <w:t>60%</w:t>
      </w:r>
    </w:p>
    <w:p w:rsidR="00E71837" w:rsidRPr="0093723A"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7F2B2A">
        <w:rPr>
          <w:rFonts w:ascii="Arial" w:hAnsi="Arial" w:cs="Arial"/>
          <w:color w:val="000000" w:themeColor="text1"/>
          <w:szCs w:val="22"/>
        </w:rPr>
        <w:t>40%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Pr="00A21727" w:rsidRDefault="009F257C" w:rsidP="00E65F5D">
      <w:pPr>
        <w:rPr>
          <w:rFonts w:ascii="Arial" w:hAnsi="Arial" w:cs="Arial"/>
          <w:sz w:val="16"/>
          <w:szCs w:val="16"/>
        </w:rPr>
      </w:pPr>
    </w:p>
    <w:p w:rsidR="005D21AC" w:rsidRDefault="005D21AC" w:rsidP="005D21AC">
      <w:pPr>
        <w:rPr>
          <w:rFonts w:ascii="Arial" w:hAnsi="Arial" w:cs="Arial"/>
          <w:b/>
          <w:szCs w:val="22"/>
        </w:rPr>
      </w:pPr>
      <w:r>
        <w:rPr>
          <w:rFonts w:ascii="Arial" w:hAnsi="Arial" w:cs="Arial"/>
          <w:b/>
          <w:szCs w:val="22"/>
        </w:rPr>
        <w:t>Method – 60 including:</w:t>
      </w:r>
    </w:p>
    <w:p w:rsidR="008141A1" w:rsidRDefault="008141A1" w:rsidP="005D21AC">
      <w:pPr>
        <w:pStyle w:val="ListParagraph"/>
        <w:numPr>
          <w:ilvl w:val="0"/>
          <w:numId w:val="41"/>
        </w:numPr>
        <w:rPr>
          <w:rFonts w:cs="Arial"/>
          <w:sz w:val="20"/>
          <w:szCs w:val="20"/>
        </w:rPr>
      </w:pPr>
      <w:r>
        <w:rPr>
          <w:rFonts w:cs="Arial"/>
          <w:sz w:val="20"/>
          <w:szCs w:val="20"/>
        </w:rPr>
        <w:t>Proposed methodology</w:t>
      </w:r>
    </w:p>
    <w:p w:rsidR="005D21AC" w:rsidRDefault="005D21AC" w:rsidP="005D21AC">
      <w:pPr>
        <w:pStyle w:val="ListParagraph"/>
        <w:numPr>
          <w:ilvl w:val="0"/>
          <w:numId w:val="41"/>
        </w:numPr>
        <w:rPr>
          <w:rFonts w:cs="Arial"/>
          <w:sz w:val="20"/>
          <w:szCs w:val="20"/>
        </w:rPr>
      </w:pPr>
      <w:r>
        <w:rPr>
          <w:rFonts w:cs="Arial"/>
          <w:sz w:val="20"/>
          <w:szCs w:val="20"/>
        </w:rPr>
        <w:t xml:space="preserve">Technical appreciation </w:t>
      </w:r>
    </w:p>
    <w:p w:rsidR="005D21AC" w:rsidRDefault="005D21AC" w:rsidP="005D21AC">
      <w:pPr>
        <w:pStyle w:val="ListParagraph"/>
        <w:numPr>
          <w:ilvl w:val="0"/>
          <w:numId w:val="41"/>
        </w:numPr>
        <w:rPr>
          <w:rFonts w:cs="Arial"/>
          <w:sz w:val="20"/>
          <w:szCs w:val="20"/>
        </w:rPr>
      </w:pPr>
      <w:r>
        <w:rPr>
          <w:rFonts w:cs="Arial"/>
          <w:sz w:val="20"/>
          <w:szCs w:val="20"/>
        </w:rPr>
        <w:t xml:space="preserve">Programme showing key milestone and project outputs </w:t>
      </w:r>
    </w:p>
    <w:p w:rsidR="005D21AC" w:rsidRDefault="005D21AC" w:rsidP="005D21AC">
      <w:pPr>
        <w:pStyle w:val="ListParagraph"/>
        <w:numPr>
          <w:ilvl w:val="0"/>
          <w:numId w:val="41"/>
        </w:numPr>
        <w:rPr>
          <w:rFonts w:cs="Arial"/>
          <w:sz w:val="20"/>
          <w:szCs w:val="20"/>
        </w:rPr>
      </w:pPr>
      <w:r>
        <w:rPr>
          <w:rFonts w:cs="Arial"/>
          <w:sz w:val="20"/>
          <w:szCs w:val="20"/>
        </w:rPr>
        <w:t xml:space="preserve">Approach to innovation </w:t>
      </w:r>
    </w:p>
    <w:p w:rsidR="005D21AC" w:rsidRDefault="005D21AC" w:rsidP="005D21AC">
      <w:pPr>
        <w:pStyle w:val="ListParagraph"/>
        <w:numPr>
          <w:ilvl w:val="0"/>
          <w:numId w:val="41"/>
        </w:numPr>
        <w:rPr>
          <w:rFonts w:cs="Arial"/>
          <w:sz w:val="20"/>
          <w:szCs w:val="20"/>
        </w:rPr>
      </w:pPr>
      <w:r>
        <w:rPr>
          <w:rFonts w:cs="Arial"/>
          <w:sz w:val="20"/>
          <w:szCs w:val="20"/>
        </w:rPr>
        <w:t>Risk and issue management</w:t>
      </w:r>
    </w:p>
    <w:p w:rsidR="005D21AC" w:rsidRDefault="005D21AC" w:rsidP="005D21AC">
      <w:pPr>
        <w:rPr>
          <w:rFonts w:ascii="Arial" w:hAnsi="Arial" w:cs="Arial"/>
          <w:b/>
          <w:szCs w:val="22"/>
        </w:rPr>
      </w:pPr>
      <w:r>
        <w:rPr>
          <w:rFonts w:ascii="Arial" w:hAnsi="Arial" w:cs="Arial"/>
          <w:b/>
          <w:szCs w:val="22"/>
        </w:rPr>
        <w:t>Staff and experience – 40 including:</w:t>
      </w:r>
    </w:p>
    <w:p w:rsidR="008141A1" w:rsidRDefault="005D21AC" w:rsidP="008141A1">
      <w:pPr>
        <w:pStyle w:val="ListParagraph"/>
        <w:numPr>
          <w:ilvl w:val="0"/>
          <w:numId w:val="41"/>
        </w:numPr>
        <w:rPr>
          <w:rFonts w:cs="Arial"/>
          <w:sz w:val="20"/>
          <w:szCs w:val="20"/>
        </w:rPr>
      </w:pPr>
      <w:r w:rsidRPr="008141A1">
        <w:rPr>
          <w:rFonts w:cs="Arial"/>
          <w:sz w:val="20"/>
          <w:szCs w:val="20"/>
        </w:rPr>
        <w:t xml:space="preserve">Team with relevant </w:t>
      </w:r>
      <w:r w:rsidR="008141A1" w:rsidRPr="008141A1">
        <w:rPr>
          <w:rFonts w:cs="Arial"/>
          <w:sz w:val="20"/>
          <w:szCs w:val="20"/>
        </w:rPr>
        <w:t xml:space="preserve">rapid evidence assessment </w:t>
      </w:r>
      <w:r w:rsidRPr="008141A1">
        <w:rPr>
          <w:rFonts w:cs="Arial"/>
          <w:sz w:val="20"/>
          <w:szCs w:val="20"/>
        </w:rPr>
        <w:t xml:space="preserve">experience </w:t>
      </w:r>
    </w:p>
    <w:p w:rsidR="005D21AC" w:rsidRPr="008141A1" w:rsidRDefault="007F2B2A" w:rsidP="008141A1">
      <w:pPr>
        <w:pStyle w:val="ListParagraph"/>
        <w:numPr>
          <w:ilvl w:val="0"/>
          <w:numId w:val="41"/>
        </w:numPr>
        <w:rPr>
          <w:rFonts w:cs="Arial"/>
          <w:sz w:val="20"/>
          <w:szCs w:val="20"/>
        </w:rPr>
      </w:pPr>
      <w:r w:rsidRPr="007F2B2A">
        <w:rPr>
          <w:rFonts w:cs="Arial"/>
          <w:color w:val="000000" w:themeColor="text1"/>
          <w:spacing w:val="-3"/>
          <w:sz w:val="20"/>
        </w:rPr>
        <w:t>Your key personnel who will be directly involved with this contract</w:t>
      </w:r>
      <w:r w:rsidRPr="007F2B2A">
        <w:rPr>
          <w:rFonts w:cs="Arial"/>
          <w:color w:val="000000" w:themeColor="text1"/>
          <w:sz w:val="20"/>
          <w:szCs w:val="20"/>
        </w:rPr>
        <w:t xml:space="preserve">  </w:t>
      </w:r>
      <w:r>
        <w:rPr>
          <w:rFonts w:cs="Arial"/>
          <w:sz w:val="20"/>
          <w:szCs w:val="20"/>
        </w:rPr>
        <w:t>including a s</w:t>
      </w:r>
      <w:r w:rsidR="005D21AC" w:rsidRPr="008141A1">
        <w:rPr>
          <w:rFonts w:cs="Arial"/>
          <w:sz w:val="20"/>
          <w:szCs w:val="20"/>
        </w:rPr>
        <w:t>enior project manager with authority to manage and commit resources to successfully deliver the outcomes in the scope/works</w:t>
      </w:r>
    </w:p>
    <w:p w:rsidR="005D21AC" w:rsidRDefault="005D21AC" w:rsidP="005D21AC">
      <w:pPr>
        <w:pStyle w:val="ListParagraph"/>
        <w:numPr>
          <w:ilvl w:val="0"/>
          <w:numId w:val="41"/>
        </w:numPr>
        <w:rPr>
          <w:rFonts w:cs="Arial"/>
          <w:sz w:val="20"/>
          <w:szCs w:val="20"/>
        </w:rPr>
      </w:pPr>
      <w:r>
        <w:rPr>
          <w:rFonts w:cs="Arial"/>
          <w:sz w:val="20"/>
          <w:szCs w:val="20"/>
        </w:rPr>
        <w:t>Team structure has appropriately experienced and qualified staff to undertake the work, with sufficient supervision and review.</w:t>
      </w:r>
    </w:p>
    <w:p w:rsidR="004C13AC" w:rsidRPr="00A21727" w:rsidRDefault="004C13AC" w:rsidP="00E65F5D">
      <w:pPr>
        <w:rPr>
          <w:rFonts w:ascii="Arial" w:hAnsi="Arial" w:cs="Arial"/>
          <w:b/>
          <w:i/>
          <w:color w:val="FF0000"/>
          <w:sz w:val="12"/>
          <w:szCs w:val="1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A21727" w:rsidRDefault="008113C3" w:rsidP="00E65F5D">
      <w:pPr>
        <w:shd w:val="clear" w:color="auto" w:fill="FFFFFF"/>
        <w:spacing w:line="264" w:lineRule="auto"/>
        <w:rPr>
          <w:rFonts w:ascii="Arial" w:hAnsi="Arial" w:cs="Arial"/>
          <w:color w:val="0000FF"/>
          <w:sz w:val="16"/>
          <w:szCs w:val="16"/>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3A6912" w:rsidRDefault="003A6912" w:rsidP="00E65F5D">
      <w:pPr>
        <w:pStyle w:val="BodyText"/>
        <w:spacing w:after="0"/>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7F2B2A" w:rsidRDefault="007F2B2A" w:rsidP="007F2B2A">
      <w:pPr>
        <w:pStyle w:val="BodyText"/>
        <w:numPr>
          <w:ilvl w:val="0"/>
          <w:numId w:val="7"/>
        </w:numPr>
        <w:spacing w:after="0"/>
        <w:rPr>
          <w:rFonts w:ascii="Arial" w:hAnsi="Arial" w:cs="Arial"/>
          <w:szCs w:val="22"/>
        </w:rPr>
      </w:pPr>
      <w:r>
        <w:rPr>
          <w:rFonts w:ascii="Arial" w:hAnsi="Arial" w:cs="Arial"/>
          <w:szCs w:val="22"/>
        </w:rPr>
        <w:t xml:space="preserve">details of the personnel you are proposing to carry out the service, including CV’s of your key personnel; </w:t>
      </w:r>
    </w:p>
    <w:p w:rsidR="007F2B2A" w:rsidRDefault="007F2B2A" w:rsidP="007F2B2A">
      <w:pPr>
        <w:pStyle w:val="BodyText"/>
        <w:numPr>
          <w:ilvl w:val="0"/>
          <w:numId w:val="7"/>
        </w:numPr>
        <w:spacing w:after="0"/>
        <w:rPr>
          <w:rFonts w:ascii="Arial" w:hAnsi="Arial" w:cs="Arial"/>
          <w:szCs w:val="22"/>
        </w:rPr>
      </w:pPr>
      <w:r>
        <w:rPr>
          <w:rFonts w:ascii="Arial" w:hAnsi="Arial" w:cs="Arial"/>
          <w:szCs w:val="22"/>
        </w:rPr>
        <w:t>details of proposed methodology, including Gantt chart of programme</w:t>
      </w:r>
    </w:p>
    <w:p w:rsidR="007F2B2A" w:rsidRDefault="007F2B2A" w:rsidP="007F2B2A">
      <w:pPr>
        <w:pStyle w:val="BodyText"/>
        <w:numPr>
          <w:ilvl w:val="0"/>
          <w:numId w:val="7"/>
        </w:numPr>
        <w:spacing w:after="0"/>
        <w:rPr>
          <w:rFonts w:ascii="Arial" w:hAnsi="Arial" w:cs="Arial"/>
          <w:szCs w:val="22"/>
        </w:rPr>
      </w:pPr>
      <w:r>
        <w:rPr>
          <w:rFonts w:ascii="Arial" w:hAnsi="Arial" w:cs="Arial"/>
          <w:szCs w:val="22"/>
        </w:rPr>
        <w:t>detail your recent experience of carrying out similar contracts</w:t>
      </w:r>
    </w:p>
    <w:p w:rsidR="007F2B2A" w:rsidRDefault="007F2B2A" w:rsidP="007F2B2A">
      <w:pPr>
        <w:pStyle w:val="BodyText"/>
        <w:numPr>
          <w:ilvl w:val="0"/>
          <w:numId w:val="7"/>
        </w:numPr>
        <w:spacing w:after="0"/>
        <w:rPr>
          <w:rFonts w:ascii="Arial" w:hAnsi="Arial" w:cs="Arial"/>
          <w:szCs w:val="22"/>
        </w:rPr>
      </w:pPr>
      <w:r>
        <w:rPr>
          <w:rFonts w:ascii="Arial" w:hAnsi="Arial" w:cs="Arial"/>
          <w:szCs w:val="22"/>
        </w:rPr>
        <w:t>programme</w:t>
      </w:r>
    </w:p>
    <w:p w:rsidR="007F2B2A" w:rsidRDefault="007F2B2A" w:rsidP="007F2B2A">
      <w:pPr>
        <w:pStyle w:val="BodyText"/>
        <w:numPr>
          <w:ilvl w:val="0"/>
          <w:numId w:val="7"/>
        </w:numPr>
        <w:spacing w:after="0"/>
        <w:rPr>
          <w:rFonts w:ascii="Arial" w:hAnsi="Arial" w:cs="Arial"/>
          <w:szCs w:val="22"/>
        </w:rPr>
      </w:pPr>
      <w:r>
        <w:rPr>
          <w:rFonts w:ascii="Arial" w:hAnsi="Arial" w:cs="Arial"/>
          <w:szCs w:val="22"/>
        </w:rPr>
        <w:t>consideration of key project risks and issue and their mitigation</w:t>
      </w:r>
    </w:p>
    <w:p w:rsidR="000D2F4D" w:rsidRPr="0093723A" w:rsidRDefault="000D2F4D" w:rsidP="000D2F4D">
      <w:pPr>
        <w:pStyle w:val="BodyText"/>
        <w:spacing w:after="0"/>
        <w:ind w:left="720"/>
        <w:rPr>
          <w:rFonts w:ascii="Arial" w:hAnsi="Arial" w:cs="Arial"/>
          <w:szCs w:val="22"/>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D53F44" w:rsidRDefault="00D53F44" w:rsidP="00E65F5D">
      <w:pPr>
        <w:rPr>
          <w:rFonts w:ascii="Arial" w:hAnsi="Arial" w:cs="Arial"/>
          <w:color w:val="FF0000"/>
          <w:szCs w:val="22"/>
        </w:rPr>
      </w:pPr>
    </w:p>
    <w:p w:rsidR="00D53F44" w:rsidRDefault="00D53F44" w:rsidP="00D53F44">
      <w:pPr>
        <w:rPr>
          <w:rFonts w:ascii="Arial" w:hAnsi="Arial" w:cs="Arial"/>
          <w:color w:val="0B0C0C"/>
        </w:rPr>
      </w:pPr>
      <w:r>
        <w:rPr>
          <w:rFonts w:ascii="Arial" w:hAnsi="Arial" w:cs="Arial"/>
          <w:color w:val="0B0C0C"/>
        </w:rPr>
        <w:t xml:space="preserve">Rapid Evidence Assessments (REA) provide a </w:t>
      </w:r>
      <w:r w:rsidR="00905858">
        <w:rPr>
          <w:rFonts w:ascii="Arial" w:hAnsi="Arial" w:cs="Arial"/>
          <w:color w:val="0B0C0C"/>
        </w:rPr>
        <w:t xml:space="preserve">more </w:t>
      </w:r>
      <w:r>
        <w:rPr>
          <w:rFonts w:ascii="Arial" w:hAnsi="Arial" w:cs="Arial"/>
          <w:color w:val="0B0C0C"/>
        </w:rPr>
        <w:t>structured and rigorous search and quality assessment of the evidence than a literature review but are not as exhaustive as a systematic review. They can be used to:</w:t>
      </w:r>
    </w:p>
    <w:p w:rsidR="00D53F44" w:rsidRDefault="00D53F44" w:rsidP="00D53F44">
      <w:pPr>
        <w:pStyle w:val="ListParagraph"/>
        <w:numPr>
          <w:ilvl w:val="0"/>
          <w:numId w:val="43"/>
        </w:numPr>
        <w:spacing w:after="0" w:line="240" w:lineRule="auto"/>
        <w:contextualSpacing/>
        <w:rPr>
          <w:rFonts w:cs="Arial"/>
          <w:color w:val="0B0C0C"/>
          <w:sz w:val="20"/>
          <w:szCs w:val="20"/>
        </w:rPr>
      </w:pPr>
      <w:r>
        <w:rPr>
          <w:rFonts w:cs="Arial"/>
          <w:color w:val="0B0C0C"/>
          <w:sz w:val="20"/>
          <w:szCs w:val="20"/>
        </w:rPr>
        <w:t>gain an overview of the density and quality of evidence on a particular issue</w:t>
      </w:r>
    </w:p>
    <w:p w:rsidR="00D53F44" w:rsidRDefault="00D53F44" w:rsidP="00D53F44">
      <w:pPr>
        <w:pStyle w:val="ListParagraph"/>
        <w:numPr>
          <w:ilvl w:val="0"/>
          <w:numId w:val="43"/>
        </w:numPr>
        <w:spacing w:after="0" w:line="240" w:lineRule="auto"/>
        <w:contextualSpacing/>
        <w:rPr>
          <w:rFonts w:cs="Arial"/>
          <w:color w:val="0B0C0C"/>
          <w:sz w:val="20"/>
          <w:szCs w:val="20"/>
        </w:rPr>
      </w:pPr>
      <w:r>
        <w:rPr>
          <w:rFonts w:cs="Arial"/>
          <w:color w:val="0B0C0C"/>
          <w:sz w:val="20"/>
          <w:szCs w:val="20"/>
        </w:rPr>
        <w:t>support programming decisions by providing evidence on key topics</w:t>
      </w:r>
    </w:p>
    <w:p w:rsidR="00D53F44" w:rsidRDefault="00D53F44" w:rsidP="00D53F44">
      <w:pPr>
        <w:pStyle w:val="ListParagraph"/>
        <w:numPr>
          <w:ilvl w:val="0"/>
          <w:numId w:val="43"/>
        </w:numPr>
        <w:spacing w:after="0" w:line="240" w:lineRule="auto"/>
        <w:contextualSpacing/>
        <w:rPr>
          <w:rFonts w:cs="Arial"/>
          <w:color w:val="0B0C0C"/>
          <w:sz w:val="20"/>
          <w:szCs w:val="20"/>
        </w:rPr>
      </w:pPr>
      <w:proofErr w:type="gramStart"/>
      <w:r>
        <w:rPr>
          <w:rFonts w:cs="Arial"/>
          <w:color w:val="0B0C0C"/>
          <w:sz w:val="20"/>
          <w:szCs w:val="20"/>
        </w:rPr>
        <w:t>support</w:t>
      </w:r>
      <w:proofErr w:type="gramEnd"/>
      <w:r>
        <w:rPr>
          <w:rFonts w:cs="Arial"/>
          <w:color w:val="0B0C0C"/>
          <w:sz w:val="20"/>
          <w:szCs w:val="20"/>
        </w:rPr>
        <w:t xml:space="preserve"> the commissioning of further research by identifying evidence gaps.</w:t>
      </w:r>
    </w:p>
    <w:p w:rsidR="00D53F44" w:rsidRDefault="00D53F44" w:rsidP="00D53F44">
      <w:pPr>
        <w:rPr>
          <w:rFonts w:ascii="Arial" w:hAnsi="Arial" w:cs="Arial"/>
        </w:rPr>
      </w:pPr>
    </w:p>
    <w:p w:rsidR="00D53F44" w:rsidRDefault="00D53F44" w:rsidP="00D53F44">
      <w:pPr>
        <w:rPr>
          <w:rFonts w:ascii="Arial" w:hAnsi="Arial" w:cs="Arial"/>
          <w:color w:val="000000" w:themeColor="text1"/>
        </w:rPr>
      </w:pPr>
      <w:r>
        <w:rPr>
          <w:rFonts w:ascii="Arial" w:hAnsi="Arial" w:cs="Arial"/>
          <w:color w:val="000000" w:themeColor="text1"/>
        </w:rPr>
        <w:t>REAs provide a balanced assessment of what is already known about a policy or practice issue, by using systematic review methods to search and critically appraise existing research. They aim to be rigorous and explicit in method and thus systematic but make concessions to the breadth or depth of the process by limiting particular aspects of the systematic review process. The speed at which this is undertaken will depend on how quickly the evidence is needed, the available resource to carry out the REA and the extent to which reviewers are prepared to limit the systematic review process.</w:t>
      </w:r>
    </w:p>
    <w:p w:rsidR="00D53F44" w:rsidRDefault="00D53F44" w:rsidP="00D53F44">
      <w:pPr>
        <w:rPr>
          <w:rFonts w:ascii="Arial" w:hAnsi="Arial" w:cs="Arial"/>
        </w:rPr>
      </w:pPr>
    </w:p>
    <w:p w:rsidR="00C92A62" w:rsidRPr="00905858" w:rsidRDefault="00C92A62" w:rsidP="00C92A62">
      <w:pPr>
        <w:jc w:val="both"/>
        <w:rPr>
          <w:rFonts w:ascii="Arial" w:hAnsi="Arial" w:cs="Arial"/>
        </w:rPr>
      </w:pPr>
      <w:r w:rsidRPr="00905858">
        <w:rPr>
          <w:rFonts w:ascii="Arial" w:hAnsi="Arial" w:cs="Arial"/>
        </w:rPr>
        <w:t xml:space="preserve">When we talk about </w:t>
      </w:r>
      <w:proofErr w:type="spellStart"/>
      <w:r w:rsidRPr="00905858">
        <w:rPr>
          <w:rFonts w:ascii="Arial" w:hAnsi="Arial" w:cs="Arial"/>
        </w:rPr>
        <w:t>stationarity</w:t>
      </w:r>
      <w:proofErr w:type="spellEnd"/>
      <w:r w:rsidRPr="00905858">
        <w:rPr>
          <w:rFonts w:ascii="Arial" w:hAnsi="Arial" w:cs="Arial"/>
        </w:rPr>
        <w:t xml:space="preserve"> and non-</w:t>
      </w:r>
      <w:proofErr w:type="spellStart"/>
      <w:r w:rsidRPr="00905858">
        <w:rPr>
          <w:rFonts w:ascii="Arial" w:hAnsi="Arial" w:cs="Arial"/>
        </w:rPr>
        <w:t>stationarity</w:t>
      </w:r>
      <w:proofErr w:type="spellEnd"/>
      <w:r w:rsidRPr="00905858">
        <w:rPr>
          <w:rFonts w:ascii="Arial" w:hAnsi="Arial" w:cs="Arial"/>
        </w:rPr>
        <w:t xml:space="preserve"> we are usually referring to the statistical properties of environmental variables over time, such as extreme rainfall or flood records.  A stationary time series is one whose underlying probability distribution is the same over time. In contrast a data series is non-stationary if some of the underlying properties of the data change over time. Non-</w:t>
      </w:r>
      <w:proofErr w:type="spellStart"/>
      <w:r w:rsidRPr="00905858">
        <w:rPr>
          <w:rFonts w:ascii="Arial" w:hAnsi="Arial" w:cs="Arial"/>
        </w:rPr>
        <w:t>stationarity</w:t>
      </w:r>
      <w:proofErr w:type="spellEnd"/>
      <w:r w:rsidRPr="00905858">
        <w:rPr>
          <w:rFonts w:ascii="Arial" w:hAnsi="Arial" w:cs="Arial"/>
        </w:rPr>
        <w:t xml:space="preserve"> in flood time series can occur due to climatic change or climate variability. Changes within the catchment (often labelled as land-use change), such as urbanisation, deforestation, or the construction of reservoirs or flood alleviation schemes can also result in non-stationary flood series. Whereas in the coastal </w:t>
      </w:r>
      <w:r w:rsidR="00905858">
        <w:rPr>
          <w:rFonts w:ascii="Arial" w:hAnsi="Arial" w:cs="Arial"/>
        </w:rPr>
        <w:t xml:space="preserve">environment </w:t>
      </w:r>
      <w:r w:rsidRPr="00905858">
        <w:rPr>
          <w:rFonts w:ascii="Arial" w:hAnsi="Arial" w:cs="Arial"/>
        </w:rPr>
        <w:t>data changes in datum, sea level rise, surges and seasonalit</w:t>
      </w:r>
      <w:r w:rsidR="00905858">
        <w:rPr>
          <w:rFonts w:ascii="Arial" w:hAnsi="Arial" w:cs="Arial"/>
        </w:rPr>
        <w:t>y results in non-stationary data</w:t>
      </w:r>
      <w:r w:rsidRPr="00905858">
        <w:rPr>
          <w:rFonts w:ascii="Arial" w:hAnsi="Arial" w:cs="Arial"/>
        </w:rPr>
        <w:t xml:space="preserve">. </w:t>
      </w:r>
    </w:p>
    <w:p w:rsidR="00C92A62" w:rsidRPr="00905858" w:rsidRDefault="00C92A62" w:rsidP="00C92A62">
      <w:pPr>
        <w:autoSpaceDE w:val="0"/>
        <w:autoSpaceDN w:val="0"/>
        <w:adjustRightInd w:val="0"/>
        <w:jc w:val="both"/>
        <w:rPr>
          <w:rFonts w:ascii="Arial" w:eastAsiaTheme="minorHAnsi" w:hAnsi="Arial" w:cs="Arial"/>
          <w:color w:val="000000"/>
          <w:lang w:eastAsia="en-US"/>
        </w:rPr>
      </w:pPr>
    </w:p>
    <w:p w:rsidR="00C92A62" w:rsidRPr="00905858" w:rsidRDefault="00C92A62" w:rsidP="00C92A62">
      <w:pPr>
        <w:rPr>
          <w:rFonts w:ascii="Arial" w:hAnsi="Arial" w:cs="Arial"/>
        </w:rPr>
      </w:pPr>
      <w:r w:rsidRPr="00905858">
        <w:rPr>
          <w:rFonts w:ascii="Arial" w:hAnsi="Arial" w:cs="Arial"/>
        </w:rPr>
        <w:t xml:space="preserve">Flood frequency estimates are an essential part of flood risk management. They tell us what flood flows are expected to occur for a given rarity (e.g. the 100-year return period flood, or a 1% annual </w:t>
      </w:r>
      <w:proofErr w:type="spellStart"/>
      <w:r w:rsidRPr="00905858">
        <w:rPr>
          <w:rFonts w:ascii="Arial" w:hAnsi="Arial" w:cs="Arial"/>
        </w:rPr>
        <w:t>exceedance</w:t>
      </w:r>
      <w:proofErr w:type="spellEnd"/>
      <w:r w:rsidRPr="00905858">
        <w:rPr>
          <w:rFonts w:ascii="Arial" w:hAnsi="Arial" w:cs="Arial"/>
        </w:rPr>
        <w:t xml:space="preserve"> probability). They underpin many important decisions, such as the design and operation of flood defences, flood mapping, informing planning decisions in flood </w:t>
      </w:r>
      <w:r w:rsidRPr="00905858">
        <w:rPr>
          <w:rFonts w:ascii="Arial" w:hAnsi="Arial" w:cs="Arial"/>
        </w:rPr>
        <w:lastRenderedPageBreak/>
        <w:t xml:space="preserve">risk areas and reservoir safety. They also inform the National Flood Risk Assessment, the setting of insurance premiums and long term investment planning.  </w:t>
      </w:r>
    </w:p>
    <w:p w:rsidR="00C92A62" w:rsidRDefault="00C92A62" w:rsidP="00E65F5D">
      <w:pPr>
        <w:rPr>
          <w:rFonts w:ascii="Arial" w:hAnsi="Arial" w:cs="Arial"/>
          <w:color w:val="FF0000"/>
          <w:szCs w:val="22"/>
        </w:rPr>
      </w:pPr>
    </w:p>
    <w:p w:rsidR="00905858" w:rsidRPr="00905858" w:rsidRDefault="00905858" w:rsidP="00905858">
      <w:pPr>
        <w:rPr>
          <w:rFonts w:ascii="Arial" w:hAnsi="Arial" w:cs="Arial"/>
          <w:color w:val="FF0000"/>
          <w:szCs w:val="22"/>
        </w:rPr>
      </w:pPr>
      <w:r w:rsidRPr="00905858">
        <w:rPr>
          <w:rFonts w:ascii="Arial" w:eastAsiaTheme="minorHAnsi" w:hAnsi="Arial" w:cs="Arial"/>
          <w:color w:val="000000"/>
          <w:lang w:eastAsia="en-US"/>
        </w:rPr>
        <w:t>We require a rapid evidence assessment using the methodology developed by Defra/ NERC Joint Water Evidence Group (Collins et al., 2015)</w:t>
      </w:r>
      <w:r>
        <w:rPr>
          <w:rFonts w:ascii="Arial" w:eastAsiaTheme="minorHAnsi" w:hAnsi="Arial" w:cs="Arial"/>
          <w:color w:val="000000"/>
          <w:lang w:eastAsia="en-US"/>
        </w:rPr>
        <w:t xml:space="preserve"> to </w:t>
      </w:r>
      <w:r w:rsidRPr="004F467C">
        <w:rPr>
          <w:rFonts w:ascii="Arial" w:hAnsi="Arial" w:cs="Arial"/>
        </w:rPr>
        <w:t xml:space="preserve">identify evidence available on </w:t>
      </w:r>
      <w:r>
        <w:rPr>
          <w:rFonts w:ascii="Arial" w:hAnsi="Arial" w:cs="Arial"/>
        </w:rPr>
        <w:t xml:space="preserve">the </w:t>
      </w:r>
      <w:r w:rsidRPr="004F467C">
        <w:rPr>
          <w:rFonts w:ascii="Arial" w:hAnsi="Arial" w:cs="Arial"/>
        </w:rPr>
        <w:t>topic</w:t>
      </w:r>
      <w:r>
        <w:rPr>
          <w:rFonts w:ascii="Arial" w:hAnsi="Arial" w:cs="Arial"/>
        </w:rPr>
        <w:t xml:space="preserve"> of non-</w:t>
      </w:r>
      <w:proofErr w:type="spellStart"/>
      <w:r>
        <w:rPr>
          <w:rFonts w:ascii="Arial" w:hAnsi="Arial" w:cs="Arial"/>
        </w:rPr>
        <w:t>stationarity</w:t>
      </w:r>
      <w:proofErr w:type="spellEnd"/>
      <w:r w:rsidRPr="004F467C">
        <w:rPr>
          <w:rFonts w:ascii="Arial" w:hAnsi="Arial" w:cs="Arial"/>
        </w:rPr>
        <w:t>, summarise and provide a critical assessment of the evidence over a reasonable timescale (</w:t>
      </w:r>
      <w:r>
        <w:rPr>
          <w:rFonts w:ascii="Arial" w:hAnsi="Arial" w:cs="Arial"/>
        </w:rPr>
        <w:t xml:space="preserve">within </w:t>
      </w:r>
      <w:r w:rsidRPr="004F467C">
        <w:rPr>
          <w:rFonts w:ascii="Arial" w:hAnsi="Arial" w:cs="Arial"/>
        </w:rPr>
        <w:t>6 months)</w:t>
      </w:r>
      <w:r w:rsidRPr="00905858">
        <w:rPr>
          <w:rFonts w:ascii="Arial" w:eastAsiaTheme="minorHAnsi" w:hAnsi="Arial" w:cs="Arial"/>
          <w:color w:val="000000"/>
          <w:lang w:eastAsia="en-US"/>
        </w:rPr>
        <w:t>. This agreed methodology will be used to understand the landscape both within the UK and internationally and identify the importance of this to our flood risk management activities.</w:t>
      </w:r>
    </w:p>
    <w:p w:rsidR="00905858" w:rsidRDefault="00905858" w:rsidP="00E65F5D">
      <w:pPr>
        <w:rPr>
          <w:rFonts w:ascii="Arial" w:hAnsi="Arial" w:cs="Arial"/>
          <w:color w:val="FF0000"/>
          <w:szCs w:val="22"/>
        </w:rPr>
      </w:pPr>
    </w:p>
    <w:p w:rsidR="00C92A62" w:rsidRPr="0093723A" w:rsidRDefault="00C92A62" w:rsidP="00E65F5D">
      <w:pPr>
        <w:rPr>
          <w:rFonts w:ascii="Arial" w:hAnsi="Arial" w:cs="Arial"/>
          <w:color w:val="FF0000"/>
          <w:szCs w:val="22"/>
        </w:rPr>
      </w:pPr>
    </w:p>
    <w:p w:rsidR="00C24614" w:rsidRPr="0093723A" w:rsidRDefault="00C24614" w:rsidP="00E65F5D">
      <w:pPr>
        <w:rPr>
          <w:rFonts w:ascii="Arial" w:hAnsi="Arial" w:cs="Arial"/>
          <w:sz w:val="18"/>
        </w:rPr>
      </w:pPr>
    </w:p>
    <w:p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6739AF" w:rsidRDefault="006739AF" w:rsidP="00E65F5D">
      <w:pPr>
        <w:pStyle w:val="Heading3"/>
        <w:numPr>
          <w:ilvl w:val="0"/>
          <w:numId w:val="0"/>
        </w:numPr>
        <w:rPr>
          <w:rFonts w:ascii="Arial" w:hAnsi="Arial" w:cs="Arial"/>
          <w:sz w:val="20"/>
          <w:szCs w:val="22"/>
        </w:rPr>
      </w:pPr>
    </w:p>
    <w:p w:rsidR="00C92A62" w:rsidRDefault="00C92A62" w:rsidP="00C92A62">
      <w:pPr>
        <w:rPr>
          <w:rFonts w:ascii="Arial" w:hAnsi="Arial" w:cs="Arial"/>
        </w:rPr>
      </w:pPr>
      <w:r>
        <w:rPr>
          <w:rFonts w:ascii="Arial" w:hAnsi="Arial" w:cs="Arial"/>
        </w:rPr>
        <w:t>This project aims to synthesise current knowledge on non-</w:t>
      </w:r>
      <w:proofErr w:type="spellStart"/>
      <w:r>
        <w:rPr>
          <w:rFonts w:ascii="Arial" w:hAnsi="Arial" w:cs="Arial"/>
        </w:rPr>
        <w:t>stationarity</w:t>
      </w:r>
      <w:proofErr w:type="spellEnd"/>
      <w:r>
        <w:rPr>
          <w:rFonts w:ascii="Arial" w:hAnsi="Arial" w:cs="Arial"/>
        </w:rPr>
        <w:t xml:space="preserve"> in flood (fluvial and coastal) and rainfall extremes in the UK using a systematic approach. The project should follow the guidance presented in Collins et al. (2015) which outlines the governance required, how to define key questions and how to carry out, synthesise and communicate the evidence review findings. </w:t>
      </w:r>
    </w:p>
    <w:p w:rsidR="00C92A62" w:rsidRDefault="00C92A62" w:rsidP="00C92A62">
      <w:pPr>
        <w:rPr>
          <w:rFonts w:ascii="Arial" w:hAnsi="Arial" w:cs="Arial"/>
        </w:rPr>
      </w:pPr>
    </w:p>
    <w:p w:rsidR="00C92A62" w:rsidRDefault="00C92A62" w:rsidP="00C92A62">
      <w:pPr>
        <w:rPr>
          <w:rFonts w:ascii="Arial" w:hAnsi="Arial" w:cs="Arial"/>
        </w:rPr>
      </w:pPr>
      <w:r>
        <w:rPr>
          <w:rFonts w:ascii="Arial" w:hAnsi="Arial" w:cs="Arial"/>
        </w:rPr>
        <w:t xml:space="preserve">A key part of an evidence review is to define primary and secondary questions.  Whilst these should be considered and refined by the Project Steering Group, some initial thoughts on key questions to be answered are outlined below. </w:t>
      </w:r>
    </w:p>
    <w:p w:rsidR="00C92A62" w:rsidRDefault="00C92A62" w:rsidP="00C92A62">
      <w:pPr>
        <w:autoSpaceDE w:val="0"/>
        <w:autoSpaceDN w:val="0"/>
        <w:adjustRightInd w:val="0"/>
        <w:rPr>
          <w:rFonts w:ascii="Arial" w:hAnsi="Arial" w:cs="Arial"/>
        </w:rPr>
      </w:pPr>
      <w:r>
        <w:rPr>
          <w:rFonts w:ascii="Arial" w:hAnsi="Arial" w:cs="Arial"/>
        </w:rPr>
        <w:t xml:space="preserve"> </w:t>
      </w:r>
    </w:p>
    <w:p w:rsidR="00C92A62" w:rsidRDefault="00C92A62" w:rsidP="00C92A62">
      <w:pPr>
        <w:pStyle w:val="NoSpacing"/>
        <w:jc w:val="both"/>
        <w:rPr>
          <w:rFonts w:ascii="Arial" w:hAnsi="Arial" w:cs="Arial"/>
          <w:sz w:val="20"/>
          <w:szCs w:val="20"/>
        </w:rPr>
      </w:pPr>
      <w:r>
        <w:rPr>
          <w:rFonts w:ascii="Arial" w:hAnsi="Arial" w:cs="Arial"/>
          <w:sz w:val="20"/>
          <w:szCs w:val="20"/>
          <w:lang w:val="en-GB"/>
        </w:rPr>
        <w:t>The primary objective for this project is to answer the question “</w:t>
      </w:r>
      <w:r>
        <w:rPr>
          <w:rFonts w:ascii="Arial" w:hAnsi="Arial" w:cs="Arial"/>
          <w:sz w:val="20"/>
          <w:szCs w:val="20"/>
        </w:rPr>
        <w:t>Is there evidence of non-</w:t>
      </w:r>
      <w:proofErr w:type="spellStart"/>
      <w:r>
        <w:rPr>
          <w:rFonts w:ascii="Arial" w:hAnsi="Arial" w:cs="Arial"/>
          <w:sz w:val="20"/>
          <w:szCs w:val="20"/>
        </w:rPr>
        <w:t>stationarity</w:t>
      </w:r>
      <w:proofErr w:type="spellEnd"/>
      <w:r>
        <w:rPr>
          <w:rFonts w:ascii="Arial" w:hAnsi="Arial" w:cs="Arial"/>
          <w:sz w:val="20"/>
          <w:szCs w:val="20"/>
        </w:rPr>
        <w:t xml:space="preserve"> in flood (fluvial and coastal) and rainfall extremes in the UK</w:t>
      </w:r>
      <w:r w:rsidR="00106685">
        <w:rPr>
          <w:rFonts w:ascii="Arial" w:hAnsi="Arial" w:cs="Arial"/>
          <w:sz w:val="20"/>
          <w:szCs w:val="20"/>
        </w:rPr>
        <w:t>”</w:t>
      </w:r>
      <w:r>
        <w:rPr>
          <w:rFonts w:ascii="Arial" w:hAnsi="Arial" w:cs="Arial"/>
          <w:sz w:val="20"/>
          <w:szCs w:val="20"/>
        </w:rPr>
        <w:t>?</w:t>
      </w:r>
    </w:p>
    <w:p w:rsidR="00C92A62" w:rsidRDefault="00C92A62" w:rsidP="00C92A62">
      <w:pPr>
        <w:rPr>
          <w:rFonts w:ascii="Arial" w:hAnsi="Arial" w:cs="Arial"/>
        </w:rPr>
      </w:pPr>
      <w:r>
        <w:rPr>
          <w:rFonts w:ascii="Arial" w:hAnsi="Arial" w:cs="Arial"/>
        </w:rPr>
        <w:t>Secondary Questions:</w:t>
      </w:r>
    </w:p>
    <w:p w:rsidR="00C92A62" w:rsidRDefault="00C92A62" w:rsidP="00C92A62">
      <w:pPr>
        <w:pStyle w:val="ListParagraph"/>
        <w:numPr>
          <w:ilvl w:val="0"/>
          <w:numId w:val="44"/>
        </w:numPr>
        <w:spacing w:after="160" w:line="254" w:lineRule="auto"/>
        <w:contextualSpacing/>
        <w:rPr>
          <w:rFonts w:cs="Arial"/>
          <w:sz w:val="20"/>
          <w:szCs w:val="20"/>
        </w:rPr>
      </w:pPr>
      <w:r>
        <w:rPr>
          <w:rFonts w:cs="Arial"/>
          <w:sz w:val="20"/>
          <w:szCs w:val="20"/>
        </w:rPr>
        <w:t>What can cause non-</w:t>
      </w:r>
      <w:proofErr w:type="spellStart"/>
      <w:r>
        <w:rPr>
          <w:rFonts w:cs="Arial"/>
          <w:sz w:val="20"/>
          <w:szCs w:val="20"/>
        </w:rPr>
        <w:t>stationarity</w:t>
      </w:r>
      <w:proofErr w:type="spellEnd"/>
      <w:r>
        <w:rPr>
          <w:rFonts w:cs="Arial"/>
          <w:sz w:val="20"/>
          <w:szCs w:val="20"/>
        </w:rPr>
        <w:t xml:space="preserve"> in flood and rainfall extremes?</w:t>
      </w:r>
    </w:p>
    <w:p w:rsidR="00C92A62" w:rsidRDefault="00C92A62" w:rsidP="00C92A62">
      <w:pPr>
        <w:pStyle w:val="ListParagraph"/>
        <w:numPr>
          <w:ilvl w:val="0"/>
          <w:numId w:val="44"/>
        </w:numPr>
        <w:spacing w:after="160" w:line="254" w:lineRule="auto"/>
        <w:contextualSpacing/>
        <w:rPr>
          <w:rFonts w:cs="Arial"/>
          <w:sz w:val="20"/>
          <w:szCs w:val="20"/>
        </w:rPr>
      </w:pPr>
      <w:r>
        <w:rPr>
          <w:rFonts w:cs="Arial"/>
          <w:sz w:val="20"/>
          <w:szCs w:val="20"/>
        </w:rPr>
        <w:t>What techniques are most effective to detect non-</w:t>
      </w:r>
      <w:proofErr w:type="spellStart"/>
      <w:r>
        <w:rPr>
          <w:rFonts w:cs="Arial"/>
          <w:sz w:val="20"/>
          <w:szCs w:val="20"/>
        </w:rPr>
        <w:t>stationarity</w:t>
      </w:r>
      <w:proofErr w:type="spellEnd"/>
      <w:r>
        <w:rPr>
          <w:rFonts w:cs="Arial"/>
          <w:sz w:val="20"/>
          <w:szCs w:val="20"/>
        </w:rPr>
        <w:t xml:space="preserve"> in flood and rainfall extremes?</w:t>
      </w:r>
    </w:p>
    <w:p w:rsidR="00C92A62" w:rsidRDefault="00C92A62" w:rsidP="00C92A62">
      <w:pPr>
        <w:pStyle w:val="ListParagraph"/>
        <w:numPr>
          <w:ilvl w:val="0"/>
          <w:numId w:val="44"/>
        </w:numPr>
        <w:spacing w:after="160" w:line="254" w:lineRule="auto"/>
        <w:contextualSpacing/>
        <w:rPr>
          <w:rFonts w:cs="Arial"/>
          <w:sz w:val="20"/>
          <w:szCs w:val="20"/>
        </w:rPr>
      </w:pPr>
      <w:r>
        <w:rPr>
          <w:rFonts w:cs="Arial"/>
          <w:sz w:val="20"/>
          <w:szCs w:val="20"/>
        </w:rPr>
        <w:t>How can we best take account of non-</w:t>
      </w:r>
      <w:proofErr w:type="spellStart"/>
      <w:r>
        <w:rPr>
          <w:rFonts w:cs="Arial"/>
          <w:sz w:val="20"/>
          <w:szCs w:val="20"/>
        </w:rPr>
        <w:t>stationarity</w:t>
      </w:r>
      <w:proofErr w:type="spellEnd"/>
      <w:r>
        <w:rPr>
          <w:rFonts w:cs="Arial"/>
          <w:sz w:val="20"/>
          <w:szCs w:val="20"/>
        </w:rPr>
        <w:t xml:space="preserve"> in flood and rainfall extremes?</w:t>
      </w:r>
    </w:p>
    <w:p w:rsidR="00C92A62" w:rsidRDefault="00C92A62" w:rsidP="00C92A62">
      <w:pPr>
        <w:pStyle w:val="ListParagraph"/>
        <w:numPr>
          <w:ilvl w:val="0"/>
          <w:numId w:val="44"/>
        </w:numPr>
        <w:spacing w:after="160" w:line="254" w:lineRule="auto"/>
        <w:contextualSpacing/>
        <w:rPr>
          <w:rFonts w:cs="Arial"/>
          <w:sz w:val="20"/>
          <w:szCs w:val="20"/>
        </w:rPr>
      </w:pPr>
      <w:r>
        <w:rPr>
          <w:rFonts w:cs="Arial"/>
          <w:sz w:val="20"/>
          <w:szCs w:val="20"/>
        </w:rPr>
        <w:t>What are key evidence gaps in the evidence base on non-</w:t>
      </w:r>
      <w:proofErr w:type="spellStart"/>
      <w:r>
        <w:rPr>
          <w:rFonts w:cs="Arial"/>
          <w:sz w:val="20"/>
          <w:szCs w:val="20"/>
        </w:rPr>
        <w:t>stationarity</w:t>
      </w:r>
      <w:proofErr w:type="spellEnd"/>
      <w:r>
        <w:rPr>
          <w:rFonts w:cs="Arial"/>
          <w:sz w:val="20"/>
          <w:szCs w:val="20"/>
        </w:rPr>
        <w:t xml:space="preserve"> in flood and rainfall extremes?</w:t>
      </w:r>
    </w:p>
    <w:p w:rsidR="00C92A62" w:rsidRDefault="00C92A62" w:rsidP="00C92A62">
      <w:pPr>
        <w:pStyle w:val="ListParagraph"/>
        <w:numPr>
          <w:ilvl w:val="0"/>
          <w:numId w:val="44"/>
        </w:numPr>
        <w:spacing w:after="160" w:line="254" w:lineRule="auto"/>
        <w:contextualSpacing/>
        <w:rPr>
          <w:rFonts w:cs="Arial"/>
          <w:sz w:val="20"/>
          <w:szCs w:val="20"/>
        </w:rPr>
      </w:pPr>
      <w:r>
        <w:rPr>
          <w:rFonts w:cs="Arial"/>
          <w:sz w:val="20"/>
          <w:szCs w:val="20"/>
        </w:rPr>
        <w:t>What can cause non-</w:t>
      </w:r>
      <w:proofErr w:type="spellStart"/>
      <w:r>
        <w:rPr>
          <w:rFonts w:cs="Arial"/>
          <w:sz w:val="20"/>
          <w:szCs w:val="20"/>
        </w:rPr>
        <w:t>stationarity</w:t>
      </w:r>
      <w:proofErr w:type="spellEnd"/>
      <w:r>
        <w:rPr>
          <w:rFonts w:cs="Arial"/>
          <w:sz w:val="20"/>
          <w:szCs w:val="20"/>
        </w:rPr>
        <w:t xml:space="preserve"> in wind, waves, surges, storm patterns and duration?</w:t>
      </w:r>
    </w:p>
    <w:p w:rsidR="00C92A62" w:rsidRDefault="00C92A62" w:rsidP="00C92A62">
      <w:pPr>
        <w:pStyle w:val="ListParagraph"/>
        <w:numPr>
          <w:ilvl w:val="0"/>
          <w:numId w:val="44"/>
        </w:numPr>
        <w:spacing w:after="160" w:line="254" w:lineRule="auto"/>
        <w:contextualSpacing/>
        <w:rPr>
          <w:rFonts w:cs="Arial"/>
          <w:sz w:val="20"/>
          <w:szCs w:val="20"/>
        </w:rPr>
      </w:pPr>
      <w:r>
        <w:rPr>
          <w:rFonts w:cs="Arial"/>
          <w:sz w:val="20"/>
          <w:szCs w:val="20"/>
        </w:rPr>
        <w:t>Do the techniques currently exist to be able to detect non-</w:t>
      </w:r>
      <w:proofErr w:type="spellStart"/>
      <w:r>
        <w:rPr>
          <w:rFonts w:cs="Arial"/>
          <w:sz w:val="20"/>
          <w:szCs w:val="20"/>
        </w:rPr>
        <w:t>stationarity</w:t>
      </w:r>
      <w:proofErr w:type="spellEnd"/>
      <w:r>
        <w:rPr>
          <w:rFonts w:cs="Arial"/>
          <w:sz w:val="20"/>
          <w:szCs w:val="20"/>
        </w:rPr>
        <w:t xml:space="preserve"> in coastal data, and if so which are most effective, and do they take account of interaction between each other?</w:t>
      </w:r>
    </w:p>
    <w:p w:rsidR="00C92A62" w:rsidRDefault="00C92A62" w:rsidP="00C92A62">
      <w:pPr>
        <w:pStyle w:val="ListParagraph"/>
        <w:numPr>
          <w:ilvl w:val="0"/>
          <w:numId w:val="44"/>
        </w:numPr>
        <w:spacing w:after="160" w:line="254" w:lineRule="auto"/>
        <w:contextualSpacing/>
        <w:rPr>
          <w:rFonts w:asciiTheme="minorHAnsi" w:hAnsiTheme="minorHAnsi" w:cstheme="minorHAnsi"/>
        </w:rPr>
      </w:pPr>
      <w:r>
        <w:rPr>
          <w:rFonts w:cs="Arial"/>
          <w:sz w:val="20"/>
          <w:szCs w:val="20"/>
        </w:rPr>
        <w:t>What are the key evidence gaps in the evidence base on non-stationary around the parameters which contribute to non-</w:t>
      </w:r>
      <w:proofErr w:type="spellStart"/>
      <w:r>
        <w:rPr>
          <w:rFonts w:cs="Arial"/>
          <w:sz w:val="20"/>
          <w:szCs w:val="20"/>
        </w:rPr>
        <w:t>st</w:t>
      </w:r>
      <w:r>
        <w:rPr>
          <w:rFonts w:asciiTheme="minorHAnsi" w:hAnsiTheme="minorHAnsi" w:cstheme="minorHAnsi"/>
        </w:rPr>
        <w:t>ationarity</w:t>
      </w:r>
      <w:proofErr w:type="spellEnd"/>
      <w:r>
        <w:rPr>
          <w:rFonts w:asciiTheme="minorHAnsi" w:hAnsiTheme="minorHAnsi" w:cstheme="minorHAnsi"/>
        </w:rPr>
        <w:t xml:space="preserve"> in the coastal environment?</w:t>
      </w:r>
    </w:p>
    <w:p w:rsidR="00C92A62" w:rsidRDefault="00C92A62" w:rsidP="00C92A62">
      <w:pPr>
        <w:autoSpaceDE w:val="0"/>
        <w:autoSpaceDN w:val="0"/>
        <w:adjustRightInd w:val="0"/>
        <w:rPr>
          <w:rFonts w:asciiTheme="minorHAnsi" w:hAnsiTheme="minorHAnsi" w:cstheme="minorHAnsi"/>
        </w:rPr>
      </w:pPr>
    </w:p>
    <w:p w:rsidR="00C92A62" w:rsidRDefault="00C92A62" w:rsidP="00C92A62">
      <w:pPr>
        <w:autoSpaceDE w:val="0"/>
        <w:autoSpaceDN w:val="0"/>
        <w:adjustRightInd w:val="0"/>
        <w:rPr>
          <w:rFonts w:ascii="Arial" w:hAnsi="Arial" w:cs="Arial"/>
        </w:rPr>
      </w:pPr>
      <w:r>
        <w:rPr>
          <w:rFonts w:ascii="Arial" w:hAnsi="Arial" w:cs="Arial"/>
        </w:rPr>
        <w:t xml:space="preserve">With this commission the </w:t>
      </w:r>
      <w:r>
        <w:rPr>
          <w:rFonts w:ascii="Arial" w:hAnsi="Arial" w:cs="Arial"/>
          <w:i/>
        </w:rPr>
        <w:t xml:space="preserve">Consultant </w:t>
      </w:r>
      <w:r>
        <w:rPr>
          <w:rFonts w:ascii="Arial" w:hAnsi="Arial" w:cs="Arial"/>
        </w:rPr>
        <w:t>shall:</w:t>
      </w:r>
    </w:p>
    <w:p w:rsidR="00C92A62" w:rsidRDefault="00C92A62" w:rsidP="00C92A62">
      <w:pPr>
        <w:pStyle w:val="BodyText"/>
        <w:numPr>
          <w:ilvl w:val="0"/>
          <w:numId w:val="42"/>
        </w:numPr>
        <w:spacing w:after="0"/>
        <w:rPr>
          <w:rFonts w:ascii="Arial" w:hAnsi="Arial" w:cs="Arial"/>
          <w:szCs w:val="22"/>
        </w:rPr>
      </w:pPr>
      <w:r>
        <w:rPr>
          <w:rFonts w:ascii="Arial" w:hAnsi="Arial" w:cs="Arial"/>
          <w:szCs w:val="22"/>
        </w:rPr>
        <w:t xml:space="preserve">Develop an appropriate </w:t>
      </w:r>
      <w:proofErr w:type="spellStart"/>
      <w:r>
        <w:rPr>
          <w:rFonts w:ascii="Arial" w:hAnsi="Arial" w:cs="Arial"/>
          <w:szCs w:val="22"/>
        </w:rPr>
        <w:t>proforma</w:t>
      </w:r>
      <w:proofErr w:type="spellEnd"/>
      <w:r>
        <w:rPr>
          <w:rFonts w:ascii="Arial" w:hAnsi="Arial" w:cs="Arial"/>
          <w:szCs w:val="22"/>
        </w:rPr>
        <w:t xml:space="preserve"> in consultation with the Employer for undertaking the rapid evidence assessment.</w:t>
      </w:r>
    </w:p>
    <w:p w:rsidR="00C92A62" w:rsidRDefault="00905858" w:rsidP="00C92A62">
      <w:pPr>
        <w:pStyle w:val="BodyText"/>
        <w:numPr>
          <w:ilvl w:val="0"/>
          <w:numId w:val="42"/>
        </w:numPr>
        <w:spacing w:after="0"/>
        <w:rPr>
          <w:rFonts w:ascii="Arial" w:hAnsi="Arial" w:cs="Arial"/>
          <w:szCs w:val="22"/>
        </w:rPr>
      </w:pPr>
      <w:r>
        <w:rPr>
          <w:rFonts w:ascii="Arial" w:hAnsi="Arial" w:cs="Arial"/>
          <w:szCs w:val="22"/>
        </w:rPr>
        <w:t>Set up a workshop with the Project Steering Group and a</w:t>
      </w:r>
      <w:r w:rsidR="00C92A62">
        <w:rPr>
          <w:rFonts w:ascii="Arial" w:hAnsi="Arial" w:cs="Arial"/>
          <w:szCs w:val="22"/>
        </w:rPr>
        <w:t xml:space="preserve">gree the specific questions the REA is to answer </w:t>
      </w:r>
    </w:p>
    <w:p w:rsidR="00C92A62" w:rsidRDefault="00C92A62" w:rsidP="00C92A62">
      <w:pPr>
        <w:pStyle w:val="BodyText"/>
        <w:numPr>
          <w:ilvl w:val="0"/>
          <w:numId w:val="42"/>
        </w:numPr>
        <w:spacing w:after="0"/>
        <w:rPr>
          <w:rFonts w:ascii="Arial" w:hAnsi="Arial" w:cs="Arial"/>
          <w:szCs w:val="22"/>
        </w:rPr>
      </w:pPr>
      <w:r>
        <w:rPr>
          <w:rFonts w:ascii="Arial" w:hAnsi="Arial" w:cs="Arial"/>
          <w:szCs w:val="22"/>
        </w:rPr>
        <w:t>Review all available evidence (regional, national and international) on non-</w:t>
      </w:r>
      <w:proofErr w:type="spellStart"/>
      <w:r>
        <w:rPr>
          <w:rFonts w:ascii="Arial" w:hAnsi="Arial" w:cs="Arial"/>
          <w:szCs w:val="22"/>
        </w:rPr>
        <w:t>stationarity</w:t>
      </w:r>
      <w:proofErr w:type="spellEnd"/>
      <w:r>
        <w:rPr>
          <w:rFonts w:ascii="Arial" w:hAnsi="Arial" w:cs="Arial"/>
          <w:szCs w:val="22"/>
        </w:rPr>
        <w:t xml:space="preserve"> in flood risk for both factors affecting fluvial, pluvial and coastal risk. </w:t>
      </w:r>
    </w:p>
    <w:p w:rsidR="00C92A62" w:rsidRDefault="00C92A62" w:rsidP="00C92A62">
      <w:pPr>
        <w:pStyle w:val="BodyText"/>
        <w:numPr>
          <w:ilvl w:val="0"/>
          <w:numId w:val="42"/>
        </w:numPr>
        <w:spacing w:after="0"/>
        <w:rPr>
          <w:rFonts w:ascii="Arial" w:hAnsi="Arial" w:cs="Arial"/>
          <w:szCs w:val="22"/>
        </w:rPr>
      </w:pPr>
      <w:r>
        <w:rPr>
          <w:rFonts w:ascii="Arial" w:hAnsi="Arial" w:cs="Arial"/>
          <w:szCs w:val="22"/>
        </w:rPr>
        <w:t>Expect the work to be subject to peer review which will be organised separately by the Employer, but an expectation to amend the draft outputs following peer review</w:t>
      </w:r>
    </w:p>
    <w:p w:rsidR="00C92A62" w:rsidRDefault="00C92A62" w:rsidP="00C92A62">
      <w:pPr>
        <w:pStyle w:val="BodyText"/>
        <w:numPr>
          <w:ilvl w:val="0"/>
          <w:numId w:val="42"/>
        </w:numPr>
        <w:spacing w:after="0"/>
        <w:rPr>
          <w:rFonts w:ascii="Arial" w:hAnsi="Arial" w:cs="Arial"/>
          <w:szCs w:val="22"/>
        </w:rPr>
      </w:pPr>
      <w:r>
        <w:rPr>
          <w:rFonts w:ascii="Arial" w:hAnsi="Arial" w:cs="Arial"/>
          <w:szCs w:val="22"/>
        </w:rPr>
        <w:t xml:space="preserve">Report findings in a technical report and allow for one revision following review by the PSG and additional revision following peer review (see above) </w:t>
      </w:r>
    </w:p>
    <w:p w:rsidR="00C92A62" w:rsidRDefault="00C92A62" w:rsidP="00C92A62">
      <w:pPr>
        <w:pStyle w:val="BodyText"/>
        <w:numPr>
          <w:ilvl w:val="0"/>
          <w:numId w:val="42"/>
        </w:numPr>
        <w:spacing w:after="0"/>
        <w:rPr>
          <w:rFonts w:ascii="Arial" w:hAnsi="Arial" w:cs="Arial"/>
          <w:szCs w:val="22"/>
        </w:rPr>
      </w:pPr>
      <w:r>
        <w:rPr>
          <w:rFonts w:ascii="Arial" w:hAnsi="Arial" w:cs="Arial"/>
          <w:szCs w:val="22"/>
        </w:rPr>
        <w:t>Participate in PSG meetings during the contract (please assume that this will require two face to face meetings, and two teleconference calls of 2 hours). The Consultant to provide the minutes and actions of these meetings.</w:t>
      </w:r>
    </w:p>
    <w:p w:rsidR="00C92A62" w:rsidRDefault="00C92A62" w:rsidP="00C92A62">
      <w:pPr>
        <w:pStyle w:val="BodyText"/>
        <w:numPr>
          <w:ilvl w:val="0"/>
          <w:numId w:val="42"/>
        </w:numPr>
        <w:spacing w:after="0"/>
        <w:rPr>
          <w:rFonts w:ascii="Arial" w:hAnsi="Arial" w:cs="Arial"/>
          <w:szCs w:val="22"/>
        </w:rPr>
      </w:pPr>
      <w:r>
        <w:rPr>
          <w:rFonts w:ascii="Arial" w:hAnsi="Arial" w:cs="Arial"/>
          <w:szCs w:val="22"/>
        </w:rPr>
        <w:lastRenderedPageBreak/>
        <w:t>Participate in monthly progress meeting for the duration of the contract (please assume this will require monthly teleconference calls of 1 hour). The Consultant to provide the minutes and actions of these meetings.</w:t>
      </w:r>
    </w:p>
    <w:p w:rsidR="00C92A62" w:rsidRDefault="00C92A62" w:rsidP="00C92A62">
      <w:pPr>
        <w:pStyle w:val="BodyText"/>
        <w:numPr>
          <w:ilvl w:val="0"/>
          <w:numId w:val="42"/>
        </w:numPr>
        <w:spacing w:after="0"/>
        <w:rPr>
          <w:rFonts w:ascii="Arial" w:hAnsi="Arial" w:cs="Arial"/>
          <w:szCs w:val="22"/>
        </w:rPr>
      </w:pPr>
      <w:r>
        <w:rPr>
          <w:rFonts w:ascii="Arial" w:hAnsi="Arial" w:cs="Arial"/>
          <w:szCs w:val="22"/>
        </w:rPr>
        <w:t>Participate in an initial project start up meeting (please assume this will be via teleconference for the duration of 2 hours)</w:t>
      </w:r>
    </w:p>
    <w:p w:rsidR="00C92A62" w:rsidRDefault="00C92A62" w:rsidP="00905858"/>
    <w:p w:rsidR="00C92A62" w:rsidRPr="00905858" w:rsidRDefault="00C92A62" w:rsidP="00905858"/>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D53F44" w:rsidRDefault="00D53F44" w:rsidP="00D53F44">
      <w:pPr>
        <w:rPr>
          <w:rFonts w:ascii="Arial" w:hAnsi="Arial" w:cs="Arial"/>
          <w:i/>
          <w:color w:val="FF0000"/>
          <w:szCs w:val="22"/>
        </w:rPr>
      </w:pPr>
    </w:p>
    <w:tbl>
      <w:tblPr>
        <w:tblpPr w:leftFromText="180" w:rightFromText="180" w:vertAnchor="text" w:horzAnchor="margin" w:tblpY="269"/>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857"/>
        <w:gridCol w:w="1421"/>
        <w:gridCol w:w="1932"/>
        <w:gridCol w:w="2251"/>
      </w:tblGrid>
      <w:tr w:rsidR="00D53F44" w:rsidTr="00D53F44">
        <w:trPr>
          <w:trHeight w:val="834"/>
        </w:trPr>
        <w:tc>
          <w:tcPr>
            <w:tcW w:w="795"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Task No.</w:t>
            </w:r>
          </w:p>
        </w:tc>
        <w:tc>
          <w:tcPr>
            <w:tcW w:w="2857"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Deliverable</w:t>
            </w:r>
          </w:p>
        </w:tc>
        <w:tc>
          <w:tcPr>
            <w:tcW w:w="1421"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Responsible party</w:t>
            </w:r>
          </w:p>
        </w:tc>
        <w:tc>
          <w:tcPr>
            <w:tcW w:w="1932"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Format / Compatibility Requirements</w:t>
            </w:r>
          </w:p>
        </w:tc>
        <w:tc>
          <w:tcPr>
            <w:tcW w:w="2251"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Date of completion, end:</w:t>
            </w:r>
          </w:p>
        </w:tc>
      </w:tr>
      <w:tr w:rsidR="00D53F44" w:rsidTr="00D53F44">
        <w:trPr>
          <w:trHeight w:val="347"/>
        </w:trPr>
        <w:tc>
          <w:tcPr>
            <w:tcW w:w="795"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1</w:t>
            </w:r>
          </w:p>
        </w:tc>
        <w:tc>
          <w:tcPr>
            <w:tcW w:w="2857"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 xml:space="preserve">Project inception report – detailing, scope, programme of work, how they will work with the project steering group to agree the questions to answer, risk &amp; issue register and H&amp;S management plan. </w:t>
            </w:r>
          </w:p>
        </w:tc>
        <w:tc>
          <w:tcPr>
            <w:tcW w:w="1421"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Consultant</w:t>
            </w:r>
          </w:p>
        </w:tc>
        <w:tc>
          <w:tcPr>
            <w:tcW w:w="1932"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Word</w:t>
            </w:r>
          </w:p>
        </w:tc>
        <w:tc>
          <w:tcPr>
            <w:tcW w:w="2251"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Within one month of contract award</w:t>
            </w:r>
          </w:p>
        </w:tc>
      </w:tr>
      <w:tr w:rsidR="00D53F44" w:rsidTr="00D53F44">
        <w:trPr>
          <w:trHeight w:val="347"/>
        </w:trPr>
        <w:tc>
          <w:tcPr>
            <w:tcW w:w="795"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3</w:t>
            </w:r>
          </w:p>
        </w:tc>
        <w:tc>
          <w:tcPr>
            <w:tcW w:w="2857"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Technical report – detailing review of international, and UK evidence on non-</w:t>
            </w:r>
            <w:proofErr w:type="spellStart"/>
            <w:r>
              <w:rPr>
                <w:rFonts w:ascii="Arial" w:hAnsi="Arial" w:cs="Arial"/>
              </w:rPr>
              <w:t>stationarity</w:t>
            </w:r>
            <w:proofErr w:type="spellEnd"/>
            <w:r>
              <w:rPr>
                <w:rFonts w:ascii="Arial" w:hAnsi="Arial" w:cs="Arial"/>
              </w:rPr>
              <w:t>, outlining evidence gaps, recommendations of key priority areas for flood risk management</w:t>
            </w:r>
          </w:p>
        </w:tc>
        <w:tc>
          <w:tcPr>
            <w:tcW w:w="1421"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Consultant</w:t>
            </w:r>
          </w:p>
        </w:tc>
        <w:tc>
          <w:tcPr>
            <w:tcW w:w="1932"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Word and PowerPoint presentation</w:t>
            </w:r>
          </w:p>
        </w:tc>
        <w:tc>
          <w:tcPr>
            <w:tcW w:w="2251" w:type="dxa"/>
            <w:tcBorders>
              <w:top w:val="single" w:sz="4" w:space="0" w:color="auto"/>
              <w:left w:val="single" w:sz="4" w:space="0" w:color="auto"/>
              <w:bottom w:val="single" w:sz="4" w:space="0" w:color="auto"/>
              <w:right w:val="single" w:sz="4" w:space="0" w:color="auto"/>
            </w:tcBorders>
            <w:hideMark/>
          </w:tcPr>
          <w:p w:rsidR="00D53F44" w:rsidRDefault="00F0562E">
            <w:pPr>
              <w:pStyle w:val="BodyText"/>
              <w:rPr>
                <w:rFonts w:ascii="Arial" w:hAnsi="Arial" w:cs="Arial"/>
              </w:rPr>
            </w:pPr>
            <w:r>
              <w:rPr>
                <w:rFonts w:ascii="Arial" w:hAnsi="Arial" w:cs="Arial"/>
              </w:rPr>
              <w:t xml:space="preserve">March </w:t>
            </w:r>
            <w:r w:rsidR="00D53F44">
              <w:rPr>
                <w:rFonts w:ascii="Arial" w:hAnsi="Arial" w:cs="Arial"/>
              </w:rPr>
              <w:t>2019</w:t>
            </w:r>
          </w:p>
        </w:tc>
      </w:tr>
      <w:tr w:rsidR="00D53F44" w:rsidTr="00D53F44">
        <w:trPr>
          <w:trHeight w:val="365"/>
        </w:trPr>
        <w:tc>
          <w:tcPr>
            <w:tcW w:w="795"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4</w:t>
            </w:r>
          </w:p>
        </w:tc>
        <w:tc>
          <w:tcPr>
            <w:tcW w:w="2857"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Additional materials created as part of the work</w:t>
            </w:r>
          </w:p>
        </w:tc>
        <w:tc>
          <w:tcPr>
            <w:tcW w:w="1421"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Consultant</w:t>
            </w:r>
          </w:p>
        </w:tc>
        <w:tc>
          <w:tcPr>
            <w:tcW w:w="1932"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proofErr w:type="spellStart"/>
            <w:r>
              <w:rPr>
                <w:rFonts w:ascii="Arial" w:hAnsi="Arial" w:cs="Arial"/>
              </w:rPr>
              <w:t>tbc</w:t>
            </w:r>
            <w:proofErr w:type="spellEnd"/>
          </w:p>
        </w:tc>
        <w:tc>
          <w:tcPr>
            <w:tcW w:w="2251" w:type="dxa"/>
            <w:tcBorders>
              <w:top w:val="single" w:sz="4" w:space="0" w:color="auto"/>
              <w:left w:val="single" w:sz="4" w:space="0" w:color="auto"/>
              <w:bottom w:val="single" w:sz="4" w:space="0" w:color="auto"/>
              <w:right w:val="single" w:sz="4" w:space="0" w:color="auto"/>
            </w:tcBorders>
            <w:hideMark/>
          </w:tcPr>
          <w:p w:rsidR="00D53F44" w:rsidRDefault="00F0562E">
            <w:pPr>
              <w:pStyle w:val="BodyText"/>
              <w:rPr>
                <w:rFonts w:ascii="Arial" w:hAnsi="Arial" w:cs="Arial"/>
              </w:rPr>
            </w:pPr>
            <w:r>
              <w:rPr>
                <w:rFonts w:ascii="Arial" w:hAnsi="Arial" w:cs="Arial"/>
              </w:rPr>
              <w:t xml:space="preserve">March </w:t>
            </w:r>
            <w:r w:rsidR="00D53F44">
              <w:rPr>
                <w:rFonts w:ascii="Arial" w:hAnsi="Arial" w:cs="Arial"/>
              </w:rPr>
              <w:t>2019</w:t>
            </w:r>
          </w:p>
        </w:tc>
      </w:tr>
      <w:tr w:rsidR="00D53F44" w:rsidTr="00D53F44">
        <w:trPr>
          <w:trHeight w:val="365"/>
        </w:trPr>
        <w:tc>
          <w:tcPr>
            <w:tcW w:w="795"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5</w:t>
            </w:r>
          </w:p>
        </w:tc>
        <w:tc>
          <w:tcPr>
            <w:tcW w:w="2857"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 xml:space="preserve">Monthly progress reports </w:t>
            </w:r>
          </w:p>
        </w:tc>
        <w:tc>
          <w:tcPr>
            <w:tcW w:w="1421"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Consultant</w:t>
            </w:r>
          </w:p>
        </w:tc>
        <w:tc>
          <w:tcPr>
            <w:tcW w:w="1932"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Template to be provided</w:t>
            </w:r>
          </w:p>
        </w:tc>
        <w:tc>
          <w:tcPr>
            <w:tcW w:w="2251" w:type="dxa"/>
            <w:tcBorders>
              <w:top w:val="single" w:sz="4" w:space="0" w:color="auto"/>
              <w:left w:val="single" w:sz="4" w:space="0" w:color="auto"/>
              <w:bottom w:val="single" w:sz="4" w:space="0" w:color="auto"/>
              <w:right w:val="single" w:sz="4" w:space="0" w:color="auto"/>
            </w:tcBorders>
            <w:hideMark/>
          </w:tcPr>
          <w:p w:rsidR="00D53F44" w:rsidRDefault="00D53F44">
            <w:pPr>
              <w:pStyle w:val="BodyText"/>
              <w:rPr>
                <w:rFonts w:ascii="Arial" w:hAnsi="Arial" w:cs="Arial"/>
              </w:rPr>
            </w:pPr>
            <w:r>
              <w:rPr>
                <w:rFonts w:ascii="Arial" w:hAnsi="Arial" w:cs="Arial"/>
              </w:rPr>
              <w:t>Monthly throughout programme</w:t>
            </w:r>
          </w:p>
        </w:tc>
      </w:tr>
    </w:tbl>
    <w:p w:rsidR="00D53F44" w:rsidRDefault="00D53F44" w:rsidP="00D53F44">
      <w:pPr>
        <w:rPr>
          <w:rFonts w:ascii="Arial" w:hAnsi="Arial" w:cs="Arial"/>
          <w:b/>
          <w:u w:val="single"/>
        </w:rPr>
      </w:pPr>
    </w:p>
    <w:p w:rsidR="00D53F44" w:rsidRPr="002F4C87" w:rsidRDefault="00D53F44" w:rsidP="00E65F5D">
      <w:pPr>
        <w:rPr>
          <w:rFonts w:ascii="Arial" w:hAnsi="Arial" w:cs="Arial"/>
          <w:szCs w:val="22"/>
        </w:rPr>
      </w:pPr>
    </w:p>
    <w:p w:rsidR="006739AF" w:rsidRPr="0093723A" w:rsidRDefault="006739AF" w:rsidP="00E65F5D">
      <w:pPr>
        <w:rPr>
          <w:rFonts w:ascii="Arial" w:hAnsi="Arial" w:cs="Arial"/>
          <w:szCs w:val="22"/>
        </w:rPr>
      </w:pPr>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rsidR="006739AF" w:rsidRPr="0093723A" w:rsidRDefault="006739AF" w:rsidP="00E65F5D">
      <w:pPr>
        <w:rPr>
          <w:rFonts w:ascii="Arial" w:hAnsi="Arial" w:cs="Arial"/>
          <w:szCs w:val="22"/>
        </w:rPr>
      </w:pPr>
    </w:p>
    <w:p w:rsidR="00D53F44" w:rsidRDefault="00D53F44" w:rsidP="00D53F44">
      <w:pPr>
        <w:pStyle w:val="BodyText"/>
        <w:numPr>
          <w:ilvl w:val="0"/>
          <w:numId w:val="42"/>
        </w:numPr>
        <w:spacing w:after="0"/>
        <w:rPr>
          <w:rFonts w:ascii="Arial" w:hAnsi="Arial" w:cs="Arial"/>
          <w:szCs w:val="22"/>
        </w:rPr>
      </w:pPr>
      <w:r>
        <w:rPr>
          <w:rFonts w:ascii="Arial" w:hAnsi="Arial" w:cs="Arial"/>
          <w:szCs w:val="22"/>
        </w:rPr>
        <w:t>The consult will demonstrate a sound understanding of non-</w:t>
      </w:r>
      <w:proofErr w:type="spellStart"/>
      <w:r>
        <w:rPr>
          <w:rFonts w:ascii="Arial" w:hAnsi="Arial" w:cs="Arial"/>
          <w:szCs w:val="22"/>
        </w:rPr>
        <w:t>stationarity</w:t>
      </w:r>
      <w:proofErr w:type="spellEnd"/>
      <w:r>
        <w:rPr>
          <w:rFonts w:ascii="Arial" w:hAnsi="Arial" w:cs="Arial"/>
          <w:szCs w:val="22"/>
        </w:rPr>
        <w:t xml:space="preserve"> in flood risk </w:t>
      </w:r>
    </w:p>
    <w:p w:rsidR="00D53F44" w:rsidRDefault="00D53F44" w:rsidP="00D53F44">
      <w:pPr>
        <w:pStyle w:val="BodyText"/>
        <w:numPr>
          <w:ilvl w:val="0"/>
          <w:numId w:val="42"/>
        </w:numPr>
        <w:spacing w:after="0"/>
        <w:rPr>
          <w:rFonts w:ascii="Arial" w:hAnsi="Arial" w:cs="Arial"/>
          <w:szCs w:val="22"/>
        </w:rPr>
      </w:pPr>
      <w:r>
        <w:rPr>
          <w:rFonts w:ascii="Arial" w:hAnsi="Arial" w:cs="Arial"/>
          <w:szCs w:val="22"/>
        </w:rPr>
        <w:t xml:space="preserve">Strong track record of undertaking rapid evidence reviews </w:t>
      </w:r>
    </w:p>
    <w:p w:rsidR="00D53F44" w:rsidRDefault="00D53F44" w:rsidP="00D53F44">
      <w:pPr>
        <w:pStyle w:val="BodyText"/>
        <w:numPr>
          <w:ilvl w:val="0"/>
          <w:numId w:val="42"/>
        </w:numPr>
        <w:spacing w:after="0"/>
        <w:rPr>
          <w:rFonts w:ascii="Arial" w:hAnsi="Arial" w:cs="Arial"/>
          <w:szCs w:val="22"/>
        </w:rPr>
      </w:pPr>
      <w:r>
        <w:rPr>
          <w:rFonts w:ascii="Arial" w:hAnsi="Arial" w:cs="Arial"/>
          <w:szCs w:val="22"/>
        </w:rPr>
        <w:t>Excellent Communication skills (written and verbal)</w:t>
      </w:r>
    </w:p>
    <w:p w:rsidR="00D53F44" w:rsidRDefault="00D53F44" w:rsidP="00D53F44">
      <w:pPr>
        <w:pStyle w:val="BodyText"/>
        <w:numPr>
          <w:ilvl w:val="0"/>
          <w:numId w:val="42"/>
        </w:numPr>
        <w:spacing w:after="0"/>
        <w:rPr>
          <w:rFonts w:ascii="Arial" w:hAnsi="Arial" w:cs="Arial"/>
          <w:szCs w:val="22"/>
        </w:rPr>
      </w:pPr>
      <w:r>
        <w:rPr>
          <w:rFonts w:ascii="Arial" w:hAnsi="Arial" w:cs="Arial"/>
          <w:szCs w:val="22"/>
        </w:rPr>
        <w:t xml:space="preserve">Ability to work collaboratively and share knowledge quickly and effectively </w:t>
      </w:r>
    </w:p>
    <w:p w:rsidR="00D53F44" w:rsidRPr="0093723A" w:rsidRDefault="00D53F44" w:rsidP="00E65F5D">
      <w:pPr>
        <w:rPr>
          <w:rFonts w:ascii="Arial" w:hAnsi="Arial" w:cs="Arial"/>
          <w:color w:val="FF0000"/>
          <w:szCs w:val="22"/>
        </w:rPr>
      </w:pPr>
    </w:p>
    <w:p w:rsidR="003014F2" w:rsidRPr="0093723A" w:rsidRDefault="003014F2"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Pr="0093723A" w:rsidRDefault="006739AF" w:rsidP="00851796">
      <w:pPr>
        <w:pStyle w:val="CcList"/>
        <w:rPr>
          <w:rFonts w:cs="Arial"/>
          <w:color w:val="FF0000"/>
          <w:szCs w:val="22"/>
        </w:rPr>
      </w:pPr>
      <w:r w:rsidRPr="0093723A">
        <w:rPr>
          <w:rFonts w:cs="Arial"/>
          <w:sz w:val="20"/>
          <w:szCs w:val="22"/>
        </w:rPr>
        <w:t>This contract shall be managed on behalf of the Agency by</w:t>
      </w:r>
      <w:r w:rsidRPr="0093723A">
        <w:rPr>
          <w:rFonts w:cs="Arial"/>
          <w:b/>
          <w:sz w:val="20"/>
          <w:szCs w:val="22"/>
        </w:rPr>
        <w:t xml:space="preserve"> </w:t>
      </w:r>
      <w:r w:rsidR="00D53F44">
        <w:rPr>
          <w:rFonts w:cs="Arial"/>
          <w:b/>
          <w:sz w:val="20"/>
          <w:szCs w:val="22"/>
        </w:rPr>
        <w:t>Sue Manson (</w:t>
      </w:r>
      <w:hyperlink r:id="rId16" w:history="1">
        <w:r w:rsidR="00851796" w:rsidRPr="002409E8">
          <w:rPr>
            <w:rStyle w:val="Hyperlink"/>
            <w:rFonts w:cs="Arial"/>
            <w:b/>
            <w:sz w:val="20"/>
            <w:szCs w:val="22"/>
          </w:rPr>
          <w:t>sue.manson@environment-agency.gov.uk</w:t>
        </w:r>
      </w:hyperlink>
      <w:r w:rsidR="00851796">
        <w:rPr>
          <w:rFonts w:cs="Arial"/>
          <w:b/>
          <w:sz w:val="20"/>
          <w:szCs w:val="22"/>
        </w:rPr>
        <w:t xml:space="preserve">) </w:t>
      </w:r>
    </w:p>
    <w:p w:rsidR="00EA6FE1" w:rsidRDefault="00EA6FE1" w:rsidP="00E65F5D">
      <w:pPr>
        <w:rPr>
          <w:rFonts w:ascii="Arial" w:hAnsi="Arial" w:cs="Arial"/>
          <w:color w:val="FF0000"/>
          <w:szCs w:val="22"/>
        </w:rPr>
      </w:pPr>
    </w:p>
    <w:p w:rsidR="00D53F44" w:rsidRDefault="00D53F44" w:rsidP="00D53F44">
      <w:pPr>
        <w:rPr>
          <w:rFonts w:ascii="Arial" w:hAnsi="Arial" w:cs="Arial"/>
        </w:rPr>
      </w:pPr>
      <w:r>
        <w:rPr>
          <w:rFonts w:ascii="Arial" w:hAnsi="Arial" w:cs="Arial"/>
        </w:rPr>
        <w:t xml:space="preserve">All communications will be directed through the Environment Agency project manager. Fortnight planning/progress teleconference will be held. Progress and project finances will be reported on the 15th of every month. </w:t>
      </w:r>
    </w:p>
    <w:p w:rsidR="00D53F44" w:rsidRDefault="00D53F44" w:rsidP="00E65F5D">
      <w:pPr>
        <w:rPr>
          <w:rFonts w:ascii="Arial" w:hAnsi="Arial" w:cs="Arial"/>
          <w:color w:val="FF0000"/>
          <w:szCs w:val="22"/>
        </w:rPr>
      </w:pPr>
    </w:p>
    <w:p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A946D1" w:rsidRDefault="00A946D1" w:rsidP="00E65F5D">
      <w:pPr>
        <w:rPr>
          <w:rFonts w:ascii="Arial" w:hAnsi="Arial" w:cs="Arial"/>
          <w:szCs w:val="22"/>
        </w:rPr>
      </w:pPr>
    </w:p>
    <w:p w:rsidR="00D53F44" w:rsidRDefault="00D53F44" w:rsidP="00E65F5D">
      <w:pPr>
        <w:rPr>
          <w:rFonts w:ascii="Arial" w:hAnsi="Arial" w:cs="Arial"/>
          <w:szCs w:val="22"/>
        </w:rPr>
      </w:pPr>
      <w:r>
        <w:rPr>
          <w:rFonts w:ascii="Arial" w:hAnsi="Arial" w:cs="Arial"/>
        </w:rPr>
        <w:t>An invoice schedule will be developed and agreed linked to the project deliverable/milestones outlined above.</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126DB0" w:rsidP="006D6FE0">
      <w:pPr>
        <w:rPr>
          <w:rFonts w:ascii="Arial" w:hAnsi="Arial" w:cs="Arial"/>
        </w:rPr>
      </w:pPr>
      <w:hyperlink r:id="rId17"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1" w:name="_Toc439969824"/>
      <w:r>
        <w:rPr>
          <w:sz w:val="20"/>
        </w:rPr>
        <w:t>Sustainability Objectives</w:t>
      </w:r>
      <w:bookmarkEnd w:id="1"/>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environmental impacts that occur through our everyday operations. This included a 40% </w:t>
      </w:r>
      <w:r>
        <w:rPr>
          <w:rFonts w:ascii="Arial" w:hAnsi="Arial" w:cs="Arial"/>
        </w:rPr>
        <w:lastRenderedPageBreak/>
        <w:t>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w:t>
      </w:r>
      <w:r w:rsidR="00C92A62">
        <w:rPr>
          <w:rFonts w:ascii="Arial" w:hAnsi="Arial" w:cs="Arial"/>
          <w:szCs w:val="22"/>
        </w:rPr>
        <w:t xml:space="preserve"> </w:t>
      </w:r>
      <w:r w:rsidR="00C92A62" w:rsidRPr="00C92A62">
        <w:rPr>
          <w:rFonts w:ascii="Arial" w:hAnsi="Arial" w:cs="Arial"/>
          <w:color w:val="000000" w:themeColor="text1"/>
        </w:rPr>
        <w:t>General Data Protections Regulations 2018</w:t>
      </w:r>
      <w:r w:rsidR="00C92A62" w:rsidRPr="00C92A62">
        <w:rPr>
          <w:rFonts w:ascii="Arial" w:hAnsi="Arial" w:cs="Arial"/>
          <w:color w:val="000000" w:themeColor="text1"/>
          <w:szCs w:val="22"/>
        </w:rPr>
        <w:t xml:space="preserve"> </w:t>
      </w:r>
      <w:r w:rsidRPr="0093723A">
        <w:rPr>
          <w:rFonts w:ascii="Arial" w:hAnsi="Arial" w:cs="Arial"/>
          <w:szCs w:val="22"/>
        </w:rPr>
        <w:t>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rsidR="002F4C87" w:rsidRDefault="002F4C87" w:rsidP="002F4C87">
      <w:pPr>
        <w:pStyle w:val="BodyText"/>
        <w:spacing w:after="0"/>
        <w:rPr>
          <w:rFonts w:ascii="Arial" w:hAnsi="Arial" w:cs="Arial"/>
          <w:b/>
          <w:spacing w:val="-3"/>
          <w:szCs w:val="22"/>
        </w:rPr>
      </w:pPr>
    </w:p>
    <w:p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rsidTr="002F4C87">
        <w:trPr>
          <w:trHeight w:val="561"/>
        </w:trPr>
        <w:tc>
          <w:tcPr>
            <w:tcW w:w="2268"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rsidR="002F4C87" w:rsidRPr="0093723A" w:rsidRDefault="002F4C87" w:rsidP="002F4C87">
            <w:pPr>
              <w:tabs>
                <w:tab w:val="left" w:pos="0"/>
              </w:tabs>
              <w:suppressAutoHyphens/>
              <w:jc w:val="center"/>
              <w:rPr>
                <w:rFonts w:ascii="Arial" w:hAnsi="Arial" w:cs="Arial"/>
                <w:b/>
                <w:color w:val="FFFFFF"/>
                <w:spacing w:val="-3"/>
                <w:szCs w:val="22"/>
              </w:rPr>
            </w:pPr>
          </w:p>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rsidTr="002F4C87">
        <w:trPr>
          <w:trHeight w:val="444"/>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23"/>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15"/>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544F4A">
        <w:trPr>
          <w:trHeight w:val="420"/>
        </w:trPr>
        <w:tc>
          <w:tcPr>
            <w:tcW w:w="2268" w:type="dxa"/>
            <w:vAlign w:val="center"/>
          </w:tcPr>
          <w:p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rsidR="002F4C87" w:rsidRPr="0093723A" w:rsidRDefault="002F4C87" w:rsidP="00544F4A">
            <w:pPr>
              <w:tabs>
                <w:tab w:val="left" w:pos="0"/>
              </w:tabs>
              <w:suppressAutoHyphens/>
              <w:rPr>
                <w:rFonts w:ascii="Arial" w:hAnsi="Arial" w:cs="Arial"/>
                <w:spacing w:val="-3"/>
                <w:szCs w:val="22"/>
              </w:rPr>
            </w:pPr>
          </w:p>
        </w:tc>
      </w:tr>
    </w:tbl>
    <w:p w:rsidR="002F4C87" w:rsidRPr="0093723A" w:rsidRDefault="002F4C87" w:rsidP="002F4C87">
      <w:pPr>
        <w:pStyle w:val="BodyText"/>
        <w:spacing w:after="0"/>
        <w:rPr>
          <w:rFonts w:ascii="Arial" w:hAnsi="Arial" w:cs="Arial"/>
          <w:spacing w:val="-3"/>
          <w:szCs w:val="22"/>
        </w:rPr>
      </w:pP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i.e. travel </w:t>
            </w:r>
            <w:proofErr w:type="spellStart"/>
            <w:r w:rsidRPr="0093723A">
              <w:rPr>
                <w:rFonts w:ascii="Arial" w:hAnsi="Arial" w:cs="Arial"/>
                <w:b/>
                <w:snapToGrid w:val="0"/>
                <w:color w:val="000000"/>
                <w:sz w:val="18"/>
                <w:lang w:eastAsia="en-US"/>
              </w:rPr>
              <w:t>etc</w:t>
            </w:r>
            <w:proofErr w:type="spellEnd"/>
            <w:r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lastRenderedPageBreak/>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lastRenderedPageBreak/>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Pr="00C11EBA" w:rsidRDefault="00C11EBA" w:rsidP="00E65F5D">
      <w:pPr>
        <w:rPr>
          <w:rFonts w:ascii="Arial" w:hAnsi="Arial" w:cs="Arial"/>
          <w:b/>
          <w:color w:val="FF0000"/>
          <w:szCs w:val="22"/>
        </w:rPr>
      </w:pPr>
      <w:r>
        <w:rPr>
          <w:rFonts w:ascii="Arial" w:hAnsi="Arial" w:cs="Arial"/>
          <w:b/>
          <w:color w:val="FF0000"/>
          <w:szCs w:val="22"/>
        </w:rPr>
        <w:t>Please ensure you attach the terms and conditions before issuing to suppliers.</w:t>
      </w: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A1ACB"/>
    <w:multiLevelType w:val="hybridMultilevel"/>
    <w:tmpl w:val="30662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BF67371"/>
    <w:multiLevelType w:val="hybridMultilevel"/>
    <w:tmpl w:val="0B341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4C3D77"/>
    <w:multiLevelType w:val="hybridMultilevel"/>
    <w:tmpl w:val="72F81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2"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3"/>
  </w:num>
  <w:num w:numId="5">
    <w:abstractNumId w:val="8"/>
  </w:num>
  <w:num w:numId="6">
    <w:abstractNumId w:val="3"/>
  </w:num>
  <w:num w:numId="7">
    <w:abstractNumId w:val="13"/>
  </w:num>
  <w:num w:numId="8">
    <w:abstractNumId w:val="30"/>
  </w:num>
  <w:num w:numId="9">
    <w:abstractNumId w:val="27"/>
  </w:num>
  <w:num w:numId="10">
    <w:abstractNumId w:val="15"/>
  </w:num>
  <w:num w:numId="11">
    <w:abstractNumId w:val="29"/>
  </w:num>
  <w:num w:numId="12">
    <w:abstractNumId w:val="40"/>
  </w:num>
  <w:num w:numId="13">
    <w:abstractNumId w:val="10"/>
  </w:num>
  <w:num w:numId="14">
    <w:abstractNumId w:val="34"/>
  </w:num>
  <w:num w:numId="15">
    <w:abstractNumId w:val="22"/>
  </w:num>
  <w:num w:numId="16">
    <w:abstractNumId w:val="36"/>
  </w:num>
  <w:num w:numId="17">
    <w:abstractNumId w:val="6"/>
  </w:num>
  <w:num w:numId="18">
    <w:abstractNumId w:val="39"/>
  </w:num>
  <w:num w:numId="19">
    <w:abstractNumId w:val="35"/>
  </w:num>
  <w:num w:numId="20">
    <w:abstractNumId w:val="19"/>
  </w:num>
  <w:num w:numId="21">
    <w:abstractNumId w:val="5"/>
  </w:num>
  <w:num w:numId="22">
    <w:abstractNumId w:val="12"/>
  </w:num>
  <w:num w:numId="23">
    <w:abstractNumId w:val="16"/>
  </w:num>
  <w:num w:numId="24">
    <w:abstractNumId w:val="14"/>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18"/>
  </w:num>
  <w:num w:numId="29">
    <w:abstractNumId w:val="26"/>
  </w:num>
  <w:num w:numId="30">
    <w:abstractNumId w:val="4"/>
  </w:num>
  <w:num w:numId="31">
    <w:abstractNumId w:val="28"/>
  </w:num>
  <w:num w:numId="32">
    <w:abstractNumId w:val="21"/>
  </w:num>
  <w:num w:numId="33">
    <w:abstractNumId w:val="17"/>
  </w:num>
  <w:num w:numId="34">
    <w:abstractNumId w:val="20"/>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31"/>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8"/>
  </w:num>
  <w:num w:numId="43">
    <w:abstractNumId w:val="24"/>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14466"/>
    <w:rsid w:val="0002389D"/>
    <w:rsid w:val="00031189"/>
    <w:rsid w:val="00044F35"/>
    <w:rsid w:val="00050B8F"/>
    <w:rsid w:val="00050E06"/>
    <w:rsid w:val="00065A58"/>
    <w:rsid w:val="000878DD"/>
    <w:rsid w:val="00097CC0"/>
    <w:rsid w:val="000A352F"/>
    <w:rsid w:val="000B5C91"/>
    <w:rsid w:val="000D1CA8"/>
    <w:rsid w:val="000D2F4D"/>
    <w:rsid w:val="000E2DE0"/>
    <w:rsid w:val="000E6B62"/>
    <w:rsid w:val="00103932"/>
    <w:rsid w:val="00106685"/>
    <w:rsid w:val="00110822"/>
    <w:rsid w:val="00122B02"/>
    <w:rsid w:val="00126DB0"/>
    <w:rsid w:val="00137C20"/>
    <w:rsid w:val="00137E82"/>
    <w:rsid w:val="00180764"/>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4CC9"/>
    <w:rsid w:val="002D3F66"/>
    <w:rsid w:val="002E5FCC"/>
    <w:rsid w:val="002F4C87"/>
    <w:rsid w:val="002F5AC6"/>
    <w:rsid w:val="002F7873"/>
    <w:rsid w:val="003014F2"/>
    <w:rsid w:val="003318A9"/>
    <w:rsid w:val="00334A8C"/>
    <w:rsid w:val="0034416E"/>
    <w:rsid w:val="00375CE2"/>
    <w:rsid w:val="0038289B"/>
    <w:rsid w:val="0038340B"/>
    <w:rsid w:val="00395856"/>
    <w:rsid w:val="003A6912"/>
    <w:rsid w:val="003B2D83"/>
    <w:rsid w:val="003B578A"/>
    <w:rsid w:val="003B7515"/>
    <w:rsid w:val="003C1C3E"/>
    <w:rsid w:val="003C74EF"/>
    <w:rsid w:val="00411E0E"/>
    <w:rsid w:val="00426B85"/>
    <w:rsid w:val="00467724"/>
    <w:rsid w:val="00491B79"/>
    <w:rsid w:val="004979D1"/>
    <w:rsid w:val="004C13AC"/>
    <w:rsid w:val="004C7FC4"/>
    <w:rsid w:val="004F2DDC"/>
    <w:rsid w:val="004F51A0"/>
    <w:rsid w:val="004F5E11"/>
    <w:rsid w:val="00502E9B"/>
    <w:rsid w:val="005141BA"/>
    <w:rsid w:val="005250C5"/>
    <w:rsid w:val="00536906"/>
    <w:rsid w:val="00544F4A"/>
    <w:rsid w:val="005628EA"/>
    <w:rsid w:val="00567108"/>
    <w:rsid w:val="005700D8"/>
    <w:rsid w:val="00575D5D"/>
    <w:rsid w:val="00582130"/>
    <w:rsid w:val="005D21AC"/>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D26AD"/>
    <w:rsid w:val="007D26D8"/>
    <w:rsid w:val="007E3780"/>
    <w:rsid w:val="007F2B2A"/>
    <w:rsid w:val="00801D1C"/>
    <w:rsid w:val="00810644"/>
    <w:rsid w:val="008113C3"/>
    <w:rsid w:val="008141A1"/>
    <w:rsid w:val="00825B21"/>
    <w:rsid w:val="00837491"/>
    <w:rsid w:val="00841632"/>
    <w:rsid w:val="00851796"/>
    <w:rsid w:val="008811D3"/>
    <w:rsid w:val="00895C87"/>
    <w:rsid w:val="008C4BA6"/>
    <w:rsid w:val="008D7A7D"/>
    <w:rsid w:val="00905858"/>
    <w:rsid w:val="00921556"/>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21727"/>
    <w:rsid w:val="00A323E2"/>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6D78"/>
    <w:rsid w:val="00B94CDD"/>
    <w:rsid w:val="00BC26AA"/>
    <w:rsid w:val="00BC2742"/>
    <w:rsid w:val="00BD6C51"/>
    <w:rsid w:val="00BE3CF5"/>
    <w:rsid w:val="00BF3654"/>
    <w:rsid w:val="00C11EBA"/>
    <w:rsid w:val="00C24614"/>
    <w:rsid w:val="00C2768F"/>
    <w:rsid w:val="00C33F87"/>
    <w:rsid w:val="00C401D9"/>
    <w:rsid w:val="00C40F42"/>
    <w:rsid w:val="00C464B2"/>
    <w:rsid w:val="00C56BE7"/>
    <w:rsid w:val="00C82830"/>
    <w:rsid w:val="00C87218"/>
    <w:rsid w:val="00C92A62"/>
    <w:rsid w:val="00C94506"/>
    <w:rsid w:val="00CA7693"/>
    <w:rsid w:val="00CE58EF"/>
    <w:rsid w:val="00CE79BB"/>
    <w:rsid w:val="00D2044C"/>
    <w:rsid w:val="00D333F1"/>
    <w:rsid w:val="00D53F44"/>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EF7BDC"/>
    <w:rsid w:val="00F0562E"/>
    <w:rsid w:val="00F1537C"/>
    <w:rsid w:val="00F175BF"/>
    <w:rsid w:val="00F35228"/>
    <w:rsid w:val="00F60126"/>
    <w:rsid w:val="00F603F8"/>
    <w:rsid w:val="00F7147C"/>
    <w:rsid w:val="00F91F7C"/>
    <w:rsid w:val="00FA1F8B"/>
    <w:rsid w:val="00FB55C7"/>
    <w:rsid w:val="00FC7345"/>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34"/>
    <w:locked/>
    <w:rsid w:val="006D6FE0"/>
    <w:rPr>
      <w:rFonts w:ascii="Arial" w:eastAsia="Calibri" w:hAnsi="Arial"/>
      <w:sz w:val="24"/>
      <w:szCs w:val="22"/>
      <w:lang w:eastAsia="en-US"/>
    </w:rPr>
  </w:style>
  <w:style w:type="character" w:customStyle="1" w:styleId="BodyTextChar">
    <w:name w:val="Body Text Char"/>
    <w:basedOn w:val="DefaultParagraphFont"/>
    <w:link w:val="BodyText"/>
    <w:rsid w:val="00D53F44"/>
  </w:style>
  <w:style w:type="paragraph" w:styleId="NoSpacing">
    <w:name w:val="No Spacing"/>
    <w:basedOn w:val="Normal"/>
    <w:uiPriority w:val="1"/>
    <w:qFormat/>
    <w:rsid w:val="00C92A62"/>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302934286">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478302472">
      <w:bodyDiv w:val="1"/>
      <w:marLeft w:val="0"/>
      <w:marRight w:val="0"/>
      <w:marTop w:val="0"/>
      <w:marBottom w:val="0"/>
      <w:divBdr>
        <w:top w:val="none" w:sz="0" w:space="0" w:color="auto"/>
        <w:left w:val="none" w:sz="0" w:space="0" w:color="auto"/>
        <w:bottom w:val="none" w:sz="0" w:space="0" w:color="auto"/>
        <w:right w:val="none" w:sz="0" w:space="0" w:color="auto"/>
      </w:divBdr>
    </w:div>
    <w:div w:id="504826496">
      <w:bodyDiv w:val="1"/>
      <w:marLeft w:val="0"/>
      <w:marRight w:val="0"/>
      <w:marTop w:val="0"/>
      <w:marBottom w:val="0"/>
      <w:divBdr>
        <w:top w:val="none" w:sz="0" w:space="0" w:color="auto"/>
        <w:left w:val="none" w:sz="0" w:space="0" w:color="auto"/>
        <w:bottom w:val="none" w:sz="0" w:space="0" w:color="auto"/>
        <w:right w:val="none" w:sz="0" w:space="0" w:color="auto"/>
      </w:divBdr>
    </w:div>
    <w:div w:id="585381628">
      <w:bodyDiv w:val="1"/>
      <w:marLeft w:val="0"/>
      <w:marRight w:val="0"/>
      <w:marTop w:val="0"/>
      <w:marBottom w:val="0"/>
      <w:divBdr>
        <w:top w:val="none" w:sz="0" w:space="0" w:color="auto"/>
        <w:left w:val="none" w:sz="0" w:space="0" w:color="auto"/>
        <w:bottom w:val="none" w:sz="0" w:space="0" w:color="auto"/>
        <w:right w:val="none" w:sz="0" w:space="0" w:color="auto"/>
      </w:divBdr>
    </w:div>
    <w:div w:id="708454369">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179005254">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834838079">
      <w:bodyDiv w:val="1"/>
      <w:marLeft w:val="0"/>
      <w:marRight w:val="0"/>
      <w:marTop w:val="0"/>
      <w:marBottom w:val="0"/>
      <w:divBdr>
        <w:top w:val="none" w:sz="0" w:space="0" w:color="auto"/>
        <w:left w:val="none" w:sz="0" w:space="0" w:color="auto"/>
        <w:bottom w:val="none" w:sz="0" w:space="0" w:color="auto"/>
        <w:right w:val="none" w:sz="0" w:space="0" w:color="auto"/>
      </w:divBdr>
    </w:div>
    <w:div w:id="1867064061">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01155620">
      <w:bodyDiv w:val="1"/>
      <w:marLeft w:val="0"/>
      <w:marRight w:val="0"/>
      <w:marTop w:val="0"/>
      <w:marBottom w:val="0"/>
      <w:divBdr>
        <w:top w:val="none" w:sz="0" w:space="0" w:color="auto"/>
        <w:left w:val="none" w:sz="0" w:space="0" w:color="auto"/>
        <w:bottom w:val="none" w:sz="0" w:space="0" w:color="auto"/>
        <w:right w:val="none" w:sz="0" w:space="0" w:color="auto"/>
      </w:divBdr>
    </w:div>
    <w:div w:id="21284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manson@environment-agency.gov.uk" TargetMode="External"/><Relationship Id="rId13" Type="http://schemas.openxmlformats.org/officeDocument/2006/relationships/hyperlink" Target="https://www.gov.uk/browse/business/waste-environ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e.manson@environment-agency.gov.uk" TargetMode="Externa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sue.manson@environment-agency.gov.u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naturalresources.wales/splash?orig=/" TargetMode="External"/><Relationship Id="rId5" Type="http://schemas.openxmlformats.org/officeDocument/2006/relationships/webSettings" Target="webSettings.xml"/><Relationship Id="rId15" Type="http://schemas.openxmlformats.org/officeDocument/2006/relationships/hyperlink" Target="mailto:sue.manson@environment-agency.gov.uk" TargetMode="External"/><Relationship Id="rId10" Type="http://schemas.openxmlformats.org/officeDocument/2006/relationships/hyperlink" Target="https://www.gov.uk/government/organisations/environment-agency/about/procure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organisations/environment-agency/about" TargetMode="External"/><Relationship Id="rId14" Type="http://schemas.openxmlformats.org/officeDocument/2006/relationships/hyperlink" Target="https://www.gov.uk/browse/business/waste-environment/environmental-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6C38C-0818-48CF-8355-210A4D9A3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4471</Words>
  <Characters>25485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29897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Manson, Susan</cp:lastModifiedBy>
  <cp:revision>2</cp:revision>
  <cp:lastPrinted>2016-03-18T08:32:00Z</cp:lastPrinted>
  <dcterms:created xsi:type="dcterms:W3CDTF">2018-08-10T13:04:00Z</dcterms:created>
  <dcterms:modified xsi:type="dcterms:W3CDTF">2018-08-10T13:04:00Z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