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A4" w:rsidRPr="00763FA4" w:rsidRDefault="00763FA4" w:rsidP="00763FA4">
      <w:pPr>
        <w:spacing w:after="0" w:line="240" w:lineRule="auto"/>
        <w:ind w:left="709" w:hanging="709"/>
        <w:jc w:val="center"/>
        <w:rPr>
          <w:rFonts w:ascii="Arial" w:eastAsia="Times New Roman" w:hAnsi="Arial" w:cs="Arial"/>
          <w:b/>
          <w:sz w:val="24"/>
          <w:szCs w:val="24"/>
          <w:lang w:eastAsia="en-GB"/>
        </w:rPr>
      </w:pPr>
      <w:r w:rsidRPr="00763FA4">
        <w:rPr>
          <w:rFonts w:ascii="Arial" w:eastAsia="Times New Roman" w:hAnsi="Arial" w:cs="Arial"/>
          <w:b/>
          <w:sz w:val="24"/>
          <w:szCs w:val="24"/>
          <w:lang w:eastAsia="en-GB"/>
        </w:rPr>
        <w:t>International Best Practice Guide to Equality on Sexual Orientation and Gender Identity</w:t>
      </w:r>
    </w:p>
    <w:p w:rsidR="00763FA4" w:rsidRDefault="00763FA4" w:rsidP="00763FA4">
      <w:p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p>
    <w:p w:rsidR="00763FA4" w:rsidRPr="00763FA4" w:rsidRDefault="00763FA4" w:rsidP="00763FA4">
      <w:p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 xml:space="preserve">The Government Equalities Office are seeking the development of a guide which aims to share international best practice on equality with regard to protecting against discrimination on the grounds of sexual orientation, gender identity or expression and sex characteristics. Although 36 out of 52 Commonwealth member states criminalise homosexuality, there has been progress in some parts of the Commonwealth, such as Nauru, Seychelles and Mozambique decriminalising same sex acts in the last couple of years. </w:t>
      </w:r>
      <w:proofErr w:type="gramStart"/>
      <w:r w:rsidRPr="00763FA4">
        <w:rPr>
          <w:rFonts w:ascii="Arial" w:eastAsia="Times New Roman" w:hAnsi="Arial" w:cs="Arial"/>
          <w:color w:val="000000"/>
          <w:sz w:val="24"/>
          <w:szCs w:val="24"/>
          <w:lang w:eastAsia="en-GB"/>
        </w:rPr>
        <w:t>But</w:t>
      </w:r>
      <w:proofErr w:type="gramEnd"/>
      <w:r w:rsidRPr="00763FA4">
        <w:rPr>
          <w:rFonts w:ascii="Arial" w:eastAsia="Times New Roman" w:hAnsi="Arial" w:cs="Arial"/>
          <w:color w:val="000000"/>
          <w:sz w:val="24"/>
          <w:szCs w:val="24"/>
          <w:lang w:eastAsia="en-GB"/>
        </w:rPr>
        <w:t xml:space="preserve"> positive achievements go beyond decriminalisation of same sex acts and a number of countries have laws protecting against discrimination in employment, allow organisations working on these issues to register, and/or have other inclusive policies. Celebrating and sharing these positive steps is vital in order to ensure this progress continues. The upcoming Commonwealth Summit presents an opportunity to engage with Commonwealth member states and continue the UK’s special responsibility to advance equality across the Commonwealth for people with minority sexual orientations and gender identities.</w:t>
      </w:r>
    </w:p>
    <w:p w:rsidR="00763FA4" w:rsidRPr="00763FA4" w:rsidRDefault="00763FA4" w:rsidP="00763FA4">
      <w:p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There is currently a gap in the literature when it comes to sharing diverse and up-to-date best practice examples of how Commonwealth member states are protecting and supporting citizens with a minority sexual orientation, gender identity or expression, or sex characteristics. For instance, examples of how some governments successfully decriminalised same-sex conducts, reformed their penal code, developed policy to address sexuality- and gender-related bullying and hate crime, or supported civil society to work in this area. This means there is limited information to support elected and policy officials who are pursuing different options to protect people with a minority sexual orientation, or gender identity or expression, or sex characteristic. This literature gap is not due to a lack of real-life examples; an increasing number of Commonwealth countries are taking steps to advance equality in this area. However, most products focus on reviewing existing discriminatory laws or equipping activists to create change. As a result, we are seeking the development of a guide sharing best practice, targeted towards an officials-level audience instead, and representing the diversity of options available to policy makers and government officials to improve the lives of people with a minority a sexual orientation, gender identity or expression, or sex characteristics.</w:t>
      </w:r>
    </w:p>
    <w:p w:rsidR="00763FA4" w:rsidRPr="00763FA4" w:rsidRDefault="00763FA4" w:rsidP="00763FA4">
      <w:p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The Government Equalities Office is seeking to award a short contract (during March 2018) for delivery of the guide. We expect the guide to achieve the following outcomes:</w:t>
      </w:r>
    </w:p>
    <w:p w:rsidR="00763FA4" w:rsidRPr="00763FA4" w:rsidRDefault="00763FA4" w:rsidP="00763FA4">
      <w:pPr>
        <w:numPr>
          <w:ilvl w:val="0"/>
          <w:numId w:val="1"/>
        </w:numPr>
        <w:spacing w:before="100" w:after="200" w:line="276" w:lineRule="auto"/>
        <w:contextualSpacing/>
        <w:rPr>
          <w:rFonts w:ascii="Arial" w:eastAsia="Times New Roman" w:hAnsi="Arial" w:cs="Arial"/>
          <w:sz w:val="24"/>
          <w:szCs w:val="24"/>
        </w:rPr>
      </w:pPr>
      <w:r w:rsidRPr="00763FA4">
        <w:rPr>
          <w:rFonts w:ascii="Arial" w:eastAsia="Times New Roman" w:hAnsi="Arial" w:cs="Arial"/>
          <w:sz w:val="24"/>
          <w:szCs w:val="24"/>
        </w:rPr>
        <w:t>Support elected and policy officials in the Commonwealth to understand the need to promote equality from a policy perspective for citizens with a minority sexual orientation, gender identity or expression, or sex characteristics;</w:t>
      </w:r>
    </w:p>
    <w:p w:rsidR="00763FA4" w:rsidRPr="00763FA4" w:rsidRDefault="00763FA4" w:rsidP="00763FA4">
      <w:pPr>
        <w:numPr>
          <w:ilvl w:val="0"/>
          <w:numId w:val="1"/>
        </w:numPr>
        <w:spacing w:before="100" w:after="200" w:line="276" w:lineRule="auto"/>
        <w:contextualSpacing/>
        <w:rPr>
          <w:rFonts w:ascii="Arial" w:eastAsia="Times New Roman" w:hAnsi="Arial" w:cs="Arial"/>
          <w:sz w:val="24"/>
          <w:szCs w:val="24"/>
        </w:rPr>
      </w:pPr>
      <w:r w:rsidRPr="00763FA4">
        <w:rPr>
          <w:rFonts w:ascii="Arial" w:eastAsia="Times New Roman" w:hAnsi="Arial" w:cs="Arial"/>
          <w:sz w:val="24"/>
          <w:szCs w:val="24"/>
        </w:rPr>
        <w:t>Increase this audience’s awareness of the number of countries in all regions of the Commonwealth and beyond that have made steps towards equality for this group;</w:t>
      </w:r>
    </w:p>
    <w:p w:rsidR="00763FA4" w:rsidRPr="00763FA4" w:rsidRDefault="00763FA4" w:rsidP="00763FA4">
      <w:pPr>
        <w:numPr>
          <w:ilvl w:val="0"/>
          <w:numId w:val="1"/>
        </w:numPr>
        <w:spacing w:before="100" w:after="200" w:line="276" w:lineRule="auto"/>
        <w:contextualSpacing/>
        <w:rPr>
          <w:rFonts w:ascii="Arial" w:eastAsia="Times New Roman" w:hAnsi="Arial" w:cs="Arial"/>
          <w:sz w:val="24"/>
          <w:szCs w:val="24"/>
        </w:rPr>
      </w:pPr>
      <w:r w:rsidRPr="00763FA4">
        <w:rPr>
          <w:rFonts w:ascii="Arial" w:eastAsia="Times New Roman" w:hAnsi="Arial" w:cs="Arial"/>
          <w:sz w:val="24"/>
          <w:szCs w:val="24"/>
        </w:rPr>
        <w:lastRenderedPageBreak/>
        <w:t>Demonstrate that there are a number of different ways of effectively promoting equality for people with a minority sexual orientation, gender identity or expression, or sex characteristic.</w:t>
      </w:r>
    </w:p>
    <w:p w:rsidR="00763FA4" w:rsidRPr="00763FA4" w:rsidRDefault="00763FA4" w:rsidP="00763FA4">
      <w:pPr>
        <w:spacing w:before="100" w:after="200" w:line="276" w:lineRule="auto"/>
        <w:contextualSpacing/>
        <w:rPr>
          <w:rFonts w:ascii="Arial" w:eastAsia="Times New Roman" w:hAnsi="Arial" w:cs="Arial"/>
          <w:sz w:val="24"/>
          <w:szCs w:val="24"/>
          <w:lang w:eastAsia="en-GB"/>
        </w:rPr>
      </w:pPr>
      <w:r w:rsidRPr="00763FA4">
        <w:rPr>
          <w:rFonts w:ascii="Arial" w:eastAsia="Times New Roman" w:hAnsi="Arial" w:cs="Arial"/>
          <w:sz w:val="24"/>
          <w:szCs w:val="24"/>
          <w:lang w:eastAsia="en-GB"/>
        </w:rPr>
        <w:t>There are a variety of ways to achieve these aims and we are open to creative proposals in the bids. However, some expectations include:</w:t>
      </w:r>
    </w:p>
    <w:p w:rsidR="00763FA4" w:rsidRPr="00763FA4" w:rsidRDefault="00763FA4" w:rsidP="00763FA4">
      <w:pPr>
        <w:widowControl w:val="0"/>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63FA4">
        <w:rPr>
          <w:rFonts w:ascii="Arial" w:eastAsia="Times New Roman" w:hAnsi="Arial" w:cs="Arial"/>
          <w:sz w:val="24"/>
          <w:szCs w:val="24"/>
          <w:lang w:eastAsia="en-GB"/>
        </w:rPr>
        <w:t>Cultural sensitivity when it comes to the approach, tone and language used in the guide;</w:t>
      </w:r>
    </w:p>
    <w:p w:rsidR="00763FA4" w:rsidRPr="00763FA4" w:rsidRDefault="00763FA4" w:rsidP="00763FA4">
      <w:pPr>
        <w:widowControl w:val="0"/>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63FA4">
        <w:rPr>
          <w:rFonts w:ascii="Arial" w:eastAsia="Times New Roman" w:hAnsi="Arial" w:cs="Arial"/>
          <w:sz w:val="24"/>
          <w:szCs w:val="24"/>
          <w:lang w:eastAsia="en-GB"/>
        </w:rPr>
        <w:t>A guide that is accessible and engaging to read. For example, an appropriate length with engaging content;</w:t>
      </w:r>
    </w:p>
    <w:p w:rsidR="00763FA4" w:rsidRPr="00763FA4" w:rsidRDefault="00763FA4" w:rsidP="00763FA4">
      <w:pPr>
        <w:widowControl w:val="0"/>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63FA4">
        <w:rPr>
          <w:rFonts w:ascii="Arial" w:eastAsia="Times New Roman" w:hAnsi="Arial" w:cs="Arial"/>
          <w:sz w:val="24"/>
          <w:szCs w:val="24"/>
          <w:lang w:eastAsia="en-GB"/>
        </w:rPr>
        <w:t>A guide that is targeted to policy and elected officials working in different governments;</w:t>
      </w:r>
    </w:p>
    <w:p w:rsidR="00763FA4" w:rsidRPr="00763FA4" w:rsidRDefault="00763FA4" w:rsidP="00763FA4">
      <w:pPr>
        <w:widowControl w:val="0"/>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63FA4">
        <w:rPr>
          <w:rFonts w:ascii="Arial" w:eastAsia="Times New Roman" w:hAnsi="Arial" w:cs="Arial"/>
          <w:sz w:val="24"/>
          <w:szCs w:val="24"/>
          <w:lang w:eastAsia="en-GB"/>
        </w:rPr>
        <w:t>The use of diverse examples from across the Commonwealth (and some examples outside the Commonwealth where this is useful for particular regions or to share best practice in a particular subject-area);</w:t>
      </w:r>
    </w:p>
    <w:p w:rsidR="00763FA4" w:rsidRPr="00763FA4" w:rsidRDefault="00763FA4" w:rsidP="00763FA4">
      <w:pPr>
        <w:widowControl w:val="0"/>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63FA4">
        <w:rPr>
          <w:rFonts w:ascii="Arial" w:eastAsia="Times New Roman" w:hAnsi="Arial" w:cs="Arial"/>
          <w:sz w:val="24"/>
          <w:szCs w:val="24"/>
          <w:lang w:eastAsia="en-GB"/>
        </w:rPr>
        <w:t>The inclusion of examples from not only legislation but also policy-making and practice.</w:t>
      </w:r>
    </w:p>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rsidR="00763FA4" w:rsidRPr="00763FA4" w:rsidRDefault="00763FA4" w:rsidP="00763FA4">
      <w:p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 xml:space="preserve">We will consider </w:t>
      </w:r>
      <w:proofErr w:type="gramStart"/>
      <w:r w:rsidRPr="00763FA4">
        <w:rPr>
          <w:rFonts w:ascii="Arial" w:eastAsia="Times New Roman" w:hAnsi="Arial" w:cs="Arial"/>
          <w:color w:val="000000"/>
          <w:sz w:val="24"/>
          <w:szCs w:val="24"/>
          <w:lang w:eastAsia="en-GB"/>
        </w:rPr>
        <w:t>proposals which</w:t>
      </w:r>
      <w:proofErr w:type="gramEnd"/>
      <w:r w:rsidRPr="00763FA4">
        <w:rPr>
          <w:rFonts w:ascii="Arial" w:eastAsia="Times New Roman" w:hAnsi="Arial" w:cs="Arial"/>
          <w:color w:val="000000"/>
          <w:sz w:val="24"/>
          <w:szCs w:val="24"/>
          <w:lang w:eastAsia="en-GB"/>
        </w:rPr>
        <w:t xml:space="preserve"> present value for money.</w:t>
      </w:r>
    </w:p>
    <w:p w:rsidR="00763FA4" w:rsidRPr="00763FA4" w:rsidRDefault="00763FA4" w:rsidP="00763FA4">
      <w:pPr>
        <w:overflowPunct w:val="0"/>
        <w:autoSpaceDE w:val="0"/>
        <w:autoSpaceDN w:val="0"/>
        <w:adjustRightInd w:val="0"/>
        <w:spacing w:after="240" w:line="240" w:lineRule="auto"/>
        <w:textAlignment w:val="baseline"/>
        <w:rPr>
          <w:rFonts w:ascii="Arial" w:eastAsia="Times New Roman" w:hAnsi="Arial" w:cs="Arial"/>
          <w:b/>
          <w:color w:val="000000"/>
          <w:sz w:val="24"/>
          <w:szCs w:val="24"/>
          <w:lang w:eastAsia="en-GB"/>
        </w:rPr>
      </w:pPr>
      <w:r w:rsidRPr="00763FA4">
        <w:rPr>
          <w:rFonts w:ascii="Arial" w:eastAsia="Times New Roman" w:hAnsi="Arial" w:cs="Arial"/>
          <w:b/>
          <w:color w:val="000000"/>
          <w:sz w:val="24"/>
          <w:szCs w:val="24"/>
          <w:lang w:eastAsia="en-GB"/>
        </w:rPr>
        <w:t>Indicative timetable</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0"/>
        <w:gridCol w:w="7268"/>
      </w:tblGrid>
      <w:tr w:rsidR="00763FA4" w:rsidRPr="00763FA4" w:rsidTr="007476CE">
        <w:trPr>
          <w:trHeight w:val="153"/>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b/>
                <w:bCs/>
                <w:color w:val="000000"/>
                <w:sz w:val="24"/>
                <w:szCs w:val="24"/>
                <w:lang w:eastAsia="en-GB"/>
              </w:rPr>
              <w:t xml:space="preserve">Date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b/>
                <w:bCs/>
                <w:color w:val="000000"/>
                <w:sz w:val="24"/>
                <w:szCs w:val="24"/>
                <w:lang w:eastAsia="en-GB"/>
              </w:rPr>
              <w:t xml:space="preserve">Activity </w:t>
            </w:r>
          </w:p>
        </w:tc>
      </w:tr>
      <w:tr w:rsidR="00763FA4" w:rsidRPr="00763FA4" w:rsidTr="007476CE">
        <w:trPr>
          <w:trHeight w:val="154"/>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w/c 12/02/2018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 xml:space="preserve">Tender competition opens </w:t>
            </w:r>
          </w:p>
        </w:tc>
      </w:tr>
      <w:tr w:rsidR="00763FA4" w:rsidRPr="00763FA4" w:rsidTr="007476CE">
        <w:trPr>
          <w:trHeight w:val="342"/>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02/03/2018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 xml:space="preserve">Deadline for applications from bidders </w:t>
            </w:r>
          </w:p>
        </w:tc>
      </w:tr>
      <w:tr w:rsidR="00763FA4" w:rsidRPr="00763FA4" w:rsidTr="007476CE">
        <w:trPr>
          <w:trHeight w:val="373"/>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06/03/2018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Department announces preferred bidder</w:t>
            </w:r>
          </w:p>
        </w:tc>
      </w:tr>
      <w:tr w:rsidR="00763FA4" w:rsidRPr="00763FA4" w:rsidTr="007476CE">
        <w:trPr>
          <w:trHeight w:val="160"/>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16/03/2018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 xml:space="preserve">Contract commencement </w:t>
            </w:r>
          </w:p>
        </w:tc>
      </w:tr>
      <w:tr w:rsidR="00763FA4" w:rsidRPr="00763FA4" w:rsidTr="007476CE">
        <w:trPr>
          <w:trHeight w:val="160"/>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30/03/2018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Completion of the guide content</w:t>
            </w:r>
          </w:p>
        </w:tc>
      </w:tr>
      <w:tr w:rsidR="00763FA4" w:rsidRPr="00763FA4" w:rsidTr="007476CE">
        <w:trPr>
          <w:trHeight w:val="411"/>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13/04/2018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Completion of the printing, publishing and dissemination of the guide</w:t>
            </w:r>
          </w:p>
        </w:tc>
      </w:tr>
      <w:tr w:rsidR="00763FA4" w:rsidRPr="00763FA4" w:rsidTr="007476CE">
        <w:trPr>
          <w:trHeight w:val="160"/>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 xml:space="preserve">w/c 16/04/2018 </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 xml:space="preserve">Launch of the guide </w:t>
            </w:r>
          </w:p>
        </w:tc>
      </w:tr>
      <w:tr w:rsidR="00763FA4" w:rsidRPr="00763FA4" w:rsidTr="007476CE">
        <w:trPr>
          <w:trHeight w:val="160"/>
        </w:trPr>
        <w:tc>
          <w:tcPr>
            <w:tcW w:w="2030"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en-GB"/>
              </w:rPr>
            </w:pPr>
            <w:r w:rsidRPr="00763FA4">
              <w:rPr>
                <w:rFonts w:ascii="Arial" w:eastAsia="Times New Roman" w:hAnsi="Arial" w:cs="Arial"/>
                <w:b/>
                <w:bCs/>
                <w:color w:val="000000"/>
                <w:sz w:val="24"/>
                <w:szCs w:val="24"/>
                <w:lang w:eastAsia="en-GB"/>
              </w:rPr>
              <w:t>w/c 16/04/2018</w:t>
            </w:r>
          </w:p>
        </w:tc>
        <w:tc>
          <w:tcPr>
            <w:tcW w:w="7268" w:type="dxa"/>
            <w:shd w:val="clear" w:color="auto" w:fill="auto"/>
          </w:tcPr>
          <w:p w:rsidR="00763FA4" w:rsidRPr="00763FA4" w:rsidRDefault="00763FA4" w:rsidP="00763FA4">
            <w:pPr>
              <w:widowControl w:val="0"/>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763FA4">
              <w:rPr>
                <w:rFonts w:ascii="Arial" w:eastAsia="Times New Roman" w:hAnsi="Arial" w:cs="Arial"/>
                <w:color w:val="000000"/>
                <w:sz w:val="24"/>
                <w:szCs w:val="24"/>
                <w:lang w:eastAsia="en-GB"/>
              </w:rPr>
              <w:t>Payment on fulfilment of the contract</w:t>
            </w:r>
          </w:p>
        </w:tc>
      </w:tr>
    </w:tbl>
    <w:p w:rsidR="00763FA4" w:rsidRPr="00763FA4" w:rsidRDefault="00763FA4" w:rsidP="00763FA4">
      <w:pPr>
        <w:spacing w:after="0" w:line="240" w:lineRule="auto"/>
        <w:rPr>
          <w:rFonts w:ascii="Arial" w:eastAsia="Times New Roman" w:hAnsi="Arial" w:cs="Arial"/>
          <w:sz w:val="24"/>
          <w:szCs w:val="24"/>
          <w:lang w:eastAsia="en-GB"/>
        </w:rPr>
      </w:pPr>
    </w:p>
    <w:p w:rsidR="00763FA4" w:rsidRPr="00763FA4" w:rsidRDefault="00763FA4" w:rsidP="00763FA4">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Estimated value</w:t>
      </w:r>
      <w:bookmarkStart w:id="0" w:name="_GoBack"/>
      <w:bookmarkEnd w:id="0"/>
      <w:r w:rsidRPr="00763FA4">
        <w:rPr>
          <w:rFonts w:ascii="Arial" w:eastAsia="Times New Roman" w:hAnsi="Arial" w:cs="Arial"/>
          <w:sz w:val="24"/>
          <w:szCs w:val="24"/>
          <w:lang w:eastAsia="en-GB"/>
        </w:rPr>
        <w:t>: we will consider proposals that deliver value for money.</w:t>
      </w:r>
    </w:p>
    <w:p w:rsidR="00E44D66" w:rsidRDefault="00E44D66"/>
    <w:sectPr w:rsidR="00E44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6D14"/>
    <w:multiLevelType w:val="hybridMultilevel"/>
    <w:tmpl w:val="220A2DC6"/>
    <w:lvl w:ilvl="0" w:tplc="68DE7CA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D87BFD"/>
    <w:multiLevelType w:val="hybridMultilevel"/>
    <w:tmpl w:val="D138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A4"/>
    <w:rsid w:val="00763FA4"/>
    <w:rsid w:val="00E44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660B"/>
  <w15:chartTrackingRefBased/>
  <w15:docId w15:val="{793116E0-332A-4768-8138-D74E9CC4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2018-02-13T17:00:00Z</dcterms:created>
  <dcterms:modified xsi:type="dcterms:W3CDTF">2018-02-13T17:01:00Z</dcterms:modified>
</cp:coreProperties>
</file>