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39DB4F37" w:rsidR="00C30D6E" w:rsidRDefault="006A3405" w:rsidP="009D6BFB">
      <w:pPr>
        <w:rPr>
          <w:noProof/>
        </w:rPr>
      </w:pPr>
      <w:r>
        <w:rPr>
          <w:noProof/>
        </w:rPr>
        <w:drawing>
          <wp:anchor distT="0" distB="0" distL="114300" distR="114300" simplePos="0" relativeHeight="251659264" behindDoc="0" locked="0" layoutInCell="1" allowOverlap="1" wp14:anchorId="2D7AB744" wp14:editId="57D56DB7">
            <wp:simplePos x="0" y="0"/>
            <wp:positionH relativeFrom="column">
              <wp:posOffset>0</wp:posOffset>
            </wp:positionH>
            <wp:positionV relativeFrom="paragraph">
              <wp:posOffset>-635</wp:posOffset>
            </wp:positionV>
            <wp:extent cx="4152900" cy="1696085"/>
            <wp:effectExtent l="0" t="0" r="0" b="0"/>
            <wp:wrapNone/>
            <wp:docPr id="57197951" name="Picture 1" descr="Environment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ironment Agenc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0" cy="1696085"/>
                    </a:xfrm>
                    <a:prstGeom prst="rect">
                      <a:avLst/>
                    </a:prstGeom>
                    <a:noFill/>
                    <a:ln>
                      <a:noFill/>
                    </a:ln>
                  </pic:spPr>
                </pic:pic>
              </a:graphicData>
            </a:graphic>
            <wp14:sizeRelH relativeFrom="page">
              <wp14:pctWidth>0</wp14:pctWidth>
            </wp14:sizeRelH>
            <wp14:sizeRelV relativeFrom="page">
              <wp14:pctHeight>0</wp14:pctHeight>
            </wp14:sizeRelV>
          </wp:anchor>
        </w:drawing>
      </w:r>
      <w:r w:rsidR="000B50E0">
        <w:rPr>
          <w:noProof/>
        </w:rPr>
        <w:t>Add EA Logo</w:t>
      </w:r>
    </w:p>
    <w:p w14:paraId="21B5446B" w14:textId="77777777" w:rsidR="006A3405" w:rsidRDefault="006A3405" w:rsidP="009D6BFB">
      <w:pPr>
        <w:rPr>
          <w:noProof/>
        </w:rPr>
      </w:pPr>
    </w:p>
    <w:p w14:paraId="4271270C" w14:textId="77777777" w:rsidR="006A3405" w:rsidRDefault="006A3405" w:rsidP="009D6BFB">
      <w:pPr>
        <w:rPr>
          <w:noProof/>
        </w:rPr>
      </w:pPr>
    </w:p>
    <w:p w14:paraId="6723C06D" w14:textId="77777777" w:rsidR="006A3405" w:rsidRDefault="006A3405" w:rsidP="009D6BFB">
      <w:pPr>
        <w:rPr>
          <w:noProof/>
        </w:rPr>
      </w:pPr>
    </w:p>
    <w:p w14:paraId="6B0A5BC5" w14:textId="77777777" w:rsidR="006A3405" w:rsidRDefault="006A3405" w:rsidP="009D6BFB">
      <w:pPr>
        <w:rPr>
          <w:noProof/>
        </w:rPr>
      </w:pPr>
    </w:p>
    <w:p w14:paraId="5B190470" w14:textId="77777777" w:rsidR="006A3405" w:rsidRDefault="006A3405" w:rsidP="009D6BFB">
      <w:pPr>
        <w:rPr>
          <w:noProof/>
        </w:rPr>
      </w:pPr>
    </w:p>
    <w:p w14:paraId="576ED4DC" w14:textId="77777777" w:rsidR="006A3405" w:rsidRDefault="006A3405" w:rsidP="009D6BFB">
      <w:pPr>
        <w:rPr>
          <w:noProof/>
        </w:rPr>
      </w:pPr>
    </w:p>
    <w:p w14:paraId="5E386619" w14:textId="77777777" w:rsidR="003561B6" w:rsidRDefault="003561B6" w:rsidP="149F6701">
      <w:pPr>
        <w:rPr>
          <w:rFonts w:ascii="Arial" w:hAnsi="Arial" w:cs="Arial"/>
          <w:b/>
          <w:bCs/>
        </w:rPr>
      </w:pPr>
    </w:p>
    <w:p w14:paraId="30A6C6CA" w14:textId="1DB87C80" w:rsidR="149F6701" w:rsidRDefault="149F6701" w:rsidP="149F6701">
      <w:pPr>
        <w:rPr>
          <w:rFonts w:ascii="Arial" w:hAnsi="Arial" w:cs="Arial"/>
          <w:b/>
          <w:bCs/>
        </w:rPr>
      </w:pPr>
    </w:p>
    <w:p w14:paraId="3F7AAC7C" w14:textId="2068E5A8" w:rsidR="00CA4BA2" w:rsidRPr="0096507B" w:rsidRDefault="00E31A41" w:rsidP="009D6BFB">
      <w:pPr>
        <w:rPr>
          <w:rFonts w:ascii="Arial" w:hAnsi="Arial" w:cs="Arial"/>
          <w:b/>
          <w:bCs/>
          <w:sz w:val="32"/>
          <w:szCs w:val="32"/>
        </w:rPr>
      </w:pPr>
      <w:r w:rsidRPr="0096507B">
        <w:rPr>
          <w:rFonts w:ascii="Arial" w:hAnsi="Arial" w:cs="Arial"/>
          <w:b/>
          <w:bCs/>
          <w:color w:val="00B050"/>
          <w:sz w:val="32"/>
          <w:szCs w:val="32"/>
        </w:rPr>
        <w:t>Standard Contract for Goods and</w:t>
      </w:r>
      <w:r w:rsidR="001E3F05" w:rsidRPr="0096507B">
        <w:rPr>
          <w:rFonts w:ascii="Arial" w:hAnsi="Arial" w:cs="Arial"/>
          <w:b/>
          <w:bCs/>
          <w:color w:val="00B050"/>
          <w:sz w:val="32"/>
          <w:szCs w:val="32"/>
        </w:rPr>
        <w:t>/or</w:t>
      </w:r>
      <w:r w:rsidRPr="0096507B">
        <w:rPr>
          <w:rFonts w:ascii="Arial" w:hAnsi="Arial" w:cs="Arial"/>
          <w:b/>
          <w:bCs/>
          <w:color w:val="00B050"/>
          <w:sz w:val="32"/>
          <w:szCs w:val="32"/>
        </w:rPr>
        <w:t xml:space="preserve"> Services - </w:t>
      </w:r>
      <w:r w:rsidR="00CA4BA2" w:rsidRPr="0096507B">
        <w:rPr>
          <w:rFonts w:ascii="Arial" w:hAnsi="Arial" w:cs="Arial"/>
          <w:b/>
          <w:bCs/>
          <w:color w:val="00B050"/>
          <w:sz w:val="32"/>
          <w:szCs w:val="32"/>
        </w:rPr>
        <w:t>Order Form</w:t>
      </w:r>
    </w:p>
    <w:p w14:paraId="0FC05F7E" w14:textId="77777777" w:rsidR="00CA4BA2" w:rsidRPr="00CA4BA2" w:rsidRDefault="00CA4BA2" w:rsidP="009D6BFB">
      <w:pPr>
        <w:rPr>
          <w:rFonts w:ascii="Arial" w:hAnsi="Arial" w:cs="Arial"/>
          <w:b/>
          <w:bCs/>
        </w:rPr>
      </w:pPr>
    </w:p>
    <w:tbl>
      <w:tblPr>
        <w:tblW w:w="8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3190"/>
        <w:gridCol w:w="2972"/>
      </w:tblGrid>
      <w:tr w:rsidR="00CA4BA2" w:rsidRPr="00961A47" w14:paraId="73D24E97" w14:textId="77777777" w:rsidTr="3FA59B5B">
        <w:trPr>
          <w:trHeight w:val="341"/>
        </w:trPr>
        <w:tc>
          <w:tcPr>
            <w:tcW w:w="1067" w:type="dxa"/>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7276" w:type="dxa"/>
            <w:gridSpan w:val="2"/>
            <w:shd w:val="clear" w:color="auto" w:fill="auto"/>
          </w:tcPr>
          <w:p w14:paraId="7C4B6799" w14:textId="432EE64C" w:rsidR="00CA4BA2" w:rsidRPr="00EA529F" w:rsidRDefault="0B42B09A" w:rsidP="149F6701">
            <w:pPr>
              <w:tabs>
                <w:tab w:val="left" w:pos="709"/>
              </w:tabs>
              <w:rPr>
                <w:rFonts w:ascii="Arial" w:hAnsi="Arial" w:cs="Arial"/>
                <w:sz w:val="18"/>
                <w:szCs w:val="18"/>
              </w:rPr>
            </w:pPr>
            <w:r w:rsidRPr="017FEE01">
              <w:rPr>
                <w:rFonts w:ascii="Arial" w:hAnsi="Arial" w:cs="Arial"/>
                <w:sz w:val="18"/>
                <w:szCs w:val="18"/>
              </w:rPr>
              <w:t>TBC post contract award</w:t>
            </w:r>
          </w:p>
        </w:tc>
      </w:tr>
      <w:tr w:rsidR="00CA4BA2" w:rsidRPr="00961A47" w14:paraId="360FADB6" w14:textId="77777777" w:rsidTr="3FA59B5B">
        <w:trPr>
          <w:trHeight w:val="611"/>
        </w:trPr>
        <w:tc>
          <w:tcPr>
            <w:tcW w:w="1067" w:type="dxa"/>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7276" w:type="dxa"/>
            <w:gridSpan w:val="2"/>
            <w:shd w:val="clear" w:color="auto" w:fill="auto"/>
          </w:tcPr>
          <w:p w14:paraId="271A4682" w14:textId="73306EA6" w:rsidR="00CA4BA2" w:rsidRPr="00EA529F" w:rsidRDefault="0C8910A4" w:rsidP="61694EB0">
            <w:pPr>
              <w:tabs>
                <w:tab w:val="left" w:pos="709"/>
              </w:tabs>
              <w:rPr>
                <w:rFonts w:ascii="Arial" w:hAnsi="Arial" w:cs="Arial"/>
                <w:sz w:val="18"/>
                <w:szCs w:val="18"/>
              </w:rPr>
            </w:pPr>
            <w:r w:rsidRPr="017FEE01">
              <w:rPr>
                <w:rFonts w:ascii="Arial" w:hAnsi="Arial" w:cs="Arial"/>
                <w:sz w:val="18"/>
                <w:szCs w:val="18"/>
              </w:rPr>
              <w:t>Environment Agency</w:t>
            </w:r>
          </w:p>
        </w:tc>
      </w:tr>
      <w:tr w:rsidR="00CA4BA2" w:rsidRPr="00961A47" w14:paraId="3C3EA26A" w14:textId="77777777" w:rsidTr="3FA59B5B">
        <w:trPr>
          <w:trHeight w:val="197"/>
        </w:trPr>
        <w:tc>
          <w:tcPr>
            <w:tcW w:w="1067" w:type="dxa"/>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7276" w:type="dxa"/>
            <w:gridSpan w:val="2"/>
            <w:shd w:val="clear" w:color="auto" w:fill="auto"/>
          </w:tcPr>
          <w:p w14:paraId="1BEF0925" w14:textId="5914F5FB" w:rsidR="00CA4BA2" w:rsidRPr="00B46D37" w:rsidRDefault="00CA4BA2" w:rsidP="001A36AA">
            <w:pPr>
              <w:tabs>
                <w:tab w:val="left" w:pos="709"/>
              </w:tabs>
              <w:rPr>
                <w:rFonts w:ascii="Arial" w:hAnsi="Arial" w:cs="Arial"/>
                <w:sz w:val="18"/>
                <w:szCs w:val="18"/>
                <w:highlight w:val="yellow"/>
              </w:rPr>
            </w:pPr>
          </w:p>
        </w:tc>
      </w:tr>
      <w:tr w:rsidR="007E7D58" w:rsidRPr="00961A47" w14:paraId="0A6E5285" w14:textId="77777777" w:rsidTr="3FA59B5B">
        <w:trPr>
          <w:trHeight w:val="197"/>
        </w:trPr>
        <w:tc>
          <w:tcPr>
            <w:tcW w:w="1067" w:type="dxa"/>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7276" w:type="dxa"/>
            <w:gridSpan w:val="2"/>
            <w:shd w:val="clear" w:color="auto" w:fill="auto"/>
          </w:tcPr>
          <w:p w14:paraId="1710C878" w14:textId="7B31FEFC" w:rsidR="00A14AE1" w:rsidRPr="00A14AE1" w:rsidRDefault="00A14AE1" w:rsidP="61694EB0">
            <w:pPr>
              <w:tabs>
                <w:tab w:val="left" w:pos="709"/>
              </w:tabs>
              <w:rPr>
                <w:rFonts w:ascii="Arial" w:hAnsi="Arial" w:cs="Arial"/>
                <w:sz w:val="18"/>
                <w:szCs w:val="18"/>
              </w:rPr>
            </w:pPr>
            <w:r w:rsidRPr="61694EB0">
              <w:rPr>
                <w:rFonts w:ascii="Arial" w:hAnsi="Arial" w:cs="Arial"/>
                <w:sz w:val="18"/>
                <w:szCs w:val="18"/>
              </w:rPr>
              <w:t>The following Defra Group members will receive the benefit of the Deliverables:</w:t>
            </w:r>
          </w:p>
          <w:p w14:paraId="4FC00E45" w14:textId="615346F2" w:rsidR="61694EB0" w:rsidRDefault="61694EB0" w:rsidP="61694EB0">
            <w:pPr>
              <w:tabs>
                <w:tab w:val="left" w:pos="709"/>
              </w:tabs>
              <w:rPr>
                <w:rFonts w:ascii="Arial" w:hAnsi="Arial" w:cs="Arial"/>
                <w:sz w:val="18"/>
                <w:szCs w:val="18"/>
              </w:rPr>
            </w:pPr>
          </w:p>
          <w:p w14:paraId="56BDDB1F" w14:textId="58BC4241" w:rsidR="622B7ABF" w:rsidRDefault="622B7ABF" w:rsidP="61694EB0">
            <w:pPr>
              <w:tabs>
                <w:tab w:val="left" w:pos="709"/>
              </w:tabs>
              <w:rPr>
                <w:rFonts w:ascii="Arial" w:hAnsi="Arial" w:cs="Arial"/>
                <w:sz w:val="18"/>
                <w:szCs w:val="18"/>
              </w:rPr>
            </w:pPr>
            <w:r w:rsidRPr="6B6E4539">
              <w:rPr>
                <w:rFonts w:ascii="Arial" w:hAnsi="Arial" w:cs="Arial"/>
                <w:sz w:val="18"/>
                <w:szCs w:val="18"/>
              </w:rPr>
              <w:t>Environment Agency</w:t>
            </w:r>
          </w:p>
          <w:p w14:paraId="121755C7" w14:textId="778553E2" w:rsidR="00A14AE1" w:rsidRDefault="00A14AE1" w:rsidP="44527868">
            <w:pPr>
              <w:tabs>
                <w:tab w:val="left" w:pos="709"/>
              </w:tabs>
              <w:rPr>
                <w:rFonts w:ascii="Arial" w:hAnsi="Arial" w:cs="Arial"/>
                <w:sz w:val="18"/>
                <w:szCs w:val="18"/>
                <w:highlight w:val="yellow"/>
              </w:rPr>
            </w:pP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rsidTr="3FA59B5B">
        <w:trPr>
          <w:trHeight w:val="197"/>
        </w:trPr>
        <w:tc>
          <w:tcPr>
            <w:tcW w:w="1067" w:type="dxa"/>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7276" w:type="dxa"/>
            <w:gridSpan w:val="2"/>
            <w:shd w:val="clear" w:color="auto" w:fill="auto"/>
          </w:tcPr>
          <w:p w14:paraId="1F95F8E3" w14:textId="6114E957"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FB05DC">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4355056" w14:textId="168E051B" w:rsidR="007E7D58" w:rsidRDefault="007E7D58" w:rsidP="6B6E4539">
            <w:pPr>
              <w:tabs>
                <w:tab w:val="left" w:pos="709"/>
              </w:tabs>
              <w:rPr>
                <w:rFonts w:ascii="Arial" w:hAnsi="Arial" w:cs="Arial"/>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3FA59B5B">
        <w:trPr>
          <w:trHeight w:val="966"/>
        </w:trPr>
        <w:tc>
          <w:tcPr>
            <w:tcW w:w="1067" w:type="dxa"/>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3638" w:type="dxa"/>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3638" w:type="dxa"/>
            <w:shd w:val="clear" w:color="auto" w:fill="auto"/>
          </w:tcPr>
          <w:p w14:paraId="5AF8089A" w14:textId="52B097B0" w:rsidR="00A14AE1" w:rsidRDefault="00A14AE1" w:rsidP="44527868">
            <w:pPr>
              <w:tabs>
                <w:tab w:val="left" w:pos="709"/>
              </w:tabs>
              <w:rPr>
                <w:rFonts w:ascii="Arial" w:hAnsi="Arial" w:cs="Arial"/>
                <w:b/>
                <w:bCs/>
                <w:i/>
                <w:iCs/>
                <w:sz w:val="18"/>
                <w:szCs w:val="18"/>
                <w:highlight w:val="cyan"/>
              </w:rPr>
            </w:pPr>
          </w:p>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p w14:paraId="713E3DCD" w14:textId="03BC3611" w:rsidR="007E7D58" w:rsidRPr="000E43D4" w:rsidRDefault="007E7D58" w:rsidP="0985BA65">
            <w:pPr>
              <w:tabs>
                <w:tab w:val="left" w:pos="709"/>
              </w:tabs>
              <w:rPr>
                <w:rFonts w:ascii="Arial" w:eastAsia="Arial" w:hAnsi="Arial" w:cs="Arial"/>
                <w:i/>
                <w:iCs/>
                <w:sz w:val="18"/>
                <w:szCs w:val="18"/>
              </w:rPr>
            </w:pPr>
            <w:r w:rsidRPr="0985BA65">
              <w:rPr>
                <w:rFonts w:ascii="Arial" w:eastAsia="Arial" w:hAnsi="Arial" w:cs="Arial"/>
                <w:b/>
                <w:bCs/>
                <w:sz w:val="18"/>
                <w:szCs w:val="18"/>
              </w:rPr>
              <w:t>Services Only:</w:t>
            </w:r>
            <w:r w:rsidRPr="0985BA65">
              <w:rPr>
                <w:rFonts w:ascii="Arial" w:eastAsia="Arial" w:hAnsi="Arial" w:cs="Arial"/>
                <w:i/>
                <w:iCs/>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Content>
                <w:r w:rsidR="1F80CF2B" w:rsidRPr="0985BA65">
                  <w:rPr>
                    <w:rFonts w:ascii="MS Gothic" w:eastAsia="MS Gothic" w:hAnsi="MS Gothic" w:cs="MS Gothic"/>
                    <w:sz w:val="18"/>
                    <w:szCs w:val="18"/>
                  </w:rPr>
                  <w:t>☒</w:t>
                </w:r>
              </w:sdtContent>
            </w:sdt>
          </w:p>
          <w:p w14:paraId="19052C75" w14:textId="1F6A965C" w:rsidR="007E7D58" w:rsidRPr="00B46D37" w:rsidRDefault="007E7D58" w:rsidP="0985BA65">
            <w:pPr>
              <w:tabs>
                <w:tab w:val="left" w:pos="709"/>
              </w:tabs>
              <w:rPr>
                <w:rFonts w:ascii="Arial" w:eastAsia="Arial" w:hAnsi="Arial" w:cs="Arial"/>
                <w:i/>
                <w:iCs/>
                <w:sz w:val="18"/>
                <w:szCs w:val="18"/>
                <w:highlight w:val="yellow"/>
              </w:rPr>
            </w:pPr>
            <w:r w:rsidRPr="0985BA65">
              <w:rPr>
                <w:rFonts w:ascii="Arial" w:eastAsia="Arial" w:hAnsi="Arial" w:cs="Arial"/>
                <w:b/>
                <w:bCs/>
                <w:sz w:val="18"/>
                <w:szCs w:val="18"/>
              </w:rPr>
              <w:t>Good and Services:</w:t>
            </w:r>
            <w:r w:rsidRPr="0985BA65">
              <w:rPr>
                <w:rFonts w:ascii="Arial" w:eastAsia="Arial" w:hAnsi="Arial" w:cs="Arial"/>
                <w:i/>
                <w:iCs/>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Content>
                <w:r w:rsidR="12010EEF" w:rsidRPr="0985BA65">
                  <w:rPr>
                    <w:rFonts w:ascii="MS Gothic" w:eastAsia="MS Gothic" w:hAnsi="MS Gothic" w:cs="MS Gothic"/>
                    <w:sz w:val="18"/>
                    <w:szCs w:val="18"/>
                  </w:rPr>
                  <w:t>☐</w:t>
                </w:r>
              </w:sdtContent>
            </w:sdt>
          </w:p>
        </w:tc>
      </w:tr>
      <w:tr w:rsidR="007E7D58" w:rsidRPr="00961A47" w14:paraId="4ED88D31" w14:textId="77777777" w:rsidTr="3FA59B5B">
        <w:trPr>
          <w:trHeight w:val="966"/>
        </w:trPr>
        <w:tc>
          <w:tcPr>
            <w:tcW w:w="1067" w:type="dxa"/>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3638" w:type="dxa"/>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3638" w:type="dxa"/>
            <w:shd w:val="clear" w:color="auto" w:fill="auto"/>
          </w:tcPr>
          <w:p w14:paraId="31BCBA44" w14:textId="23C09B52" w:rsidR="005B1BD6" w:rsidRPr="007A1EC5" w:rsidRDefault="005B1BD6" w:rsidP="0985BA65">
            <w:pPr>
              <w:pStyle w:val="pf0"/>
              <w:rPr>
                <w:rStyle w:val="cf01"/>
                <w:rFonts w:ascii="Arial" w:hAnsi="Arial" w:cs="Arial"/>
              </w:rPr>
            </w:pPr>
          </w:p>
          <w:p w14:paraId="6A40B123" w14:textId="648BFD78" w:rsidR="007E7D58" w:rsidRPr="00B46D37" w:rsidRDefault="1D238670" w:rsidP="0985BA65">
            <w:pPr>
              <w:pStyle w:val="pf0"/>
              <w:rPr>
                <w:rStyle w:val="cf01"/>
                <w:rFonts w:ascii="Arial" w:hAnsi="Arial" w:cs="Arial"/>
              </w:rPr>
            </w:pPr>
            <w:r w:rsidRPr="017FEE01">
              <w:rPr>
                <w:rStyle w:val="cf21"/>
                <w:rFonts w:ascii="Arial" w:eastAsia="STZhongsong" w:hAnsi="Arial" w:cs="Arial"/>
              </w:rPr>
              <w:t>None</w:t>
            </w:r>
            <w:r w:rsidRPr="017FEE01">
              <w:rPr>
                <w:rStyle w:val="cf31"/>
                <w:rFonts w:ascii="Arial" w:eastAsia="STZhongsong" w:hAnsi="Arial" w:cs="Arial"/>
              </w:rPr>
              <w:t>.</w:t>
            </w:r>
            <w:r w:rsidRPr="017FEE01">
              <w:rPr>
                <w:rStyle w:val="cf41"/>
                <w:rFonts w:ascii="Arial" w:eastAsia="STZhongsong" w:hAnsi="Arial" w:cs="Arial"/>
              </w:rPr>
              <w:t xml:space="preserve"> </w:t>
            </w:r>
          </w:p>
        </w:tc>
      </w:tr>
      <w:tr w:rsidR="007E7D58" w:rsidRPr="00961A47" w14:paraId="682172EF" w14:textId="77777777" w:rsidTr="3FA59B5B">
        <w:trPr>
          <w:trHeight w:val="383"/>
        </w:trPr>
        <w:tc>
          <w:tcPr>
            <w:tcW w:w="1067" w:type="dxa"/>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3638" w:type="dxa"/>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3638" w:type="dxa"/>
            <w:shd w:val="clear" w:color="auto" w:fill="auto"/>
          </w:tcPr>
          <w:p w14:paraId="1B81D5E4" w14:textId="35D77514" w:rsidR="004A78E6" w:rsidRPr="007A1EC5" w:rsidRDefault="3AB94C0B" w:rsidP="004A78E6">
            <w:pPr>
              <w:pStyle w:val="pf0"/>
              <w:rPr>
                <w:rFonts w:ascii="Arial" w:hAnsi="Arial" w:cs="Arial"/>
                <w:sz w:val="20"/>
                <w:szCs w:val="20"/>
              </w:rPr>
            </w:pPr>
            <w:bookmarkStart w:id="0" w:name="_DV_C144"/>
            <w:bookmarkStart w:id="1" w:name="_Ref377110627"/>
            <w:r w:rsidRPr="017FEE01">
              <w:rPr>
                <w:rStyle w:val="cf21"/>
                <w:rFonts w:ascii="Arial" w:eastAsia="STZhongsong" w:hAnsi="Arial" w:cs="Arial"/>
                <w:b w:val="0"/>
                <w:bCs w:val="0"/>
              </w:rPr>
              <w:t>I</w:t>
            </w:r>
            <w:r w:rsidR="2AD27BC7" w:rsidRPr="017FEE01">
              <w:rPr>
                <w:rStyle w:val="cf21"/>
                <w:rFonts w:ascii="Arial" w:eastAsia="STZhongsong" w:hAnsi="Arial" w:cs="Arial"/>
                <w:b w:val="0"/>
                <w:bCs w:val="0"/>
              </w:rPr>
              <w:t xml:space="preserve">n Appendix 2 – Specification </w:t>
            </w:r>
          </w:p>
          <w:p w14:paraId="6065CEB6" w14:textId="77777777" w:rsidR="007E7D58" w:rsidRPr="00B46D37" w:rsidRDefault="007E7D58" w:rsidP="007E7D58">
            <w:pPr>
              <w:tabs>
                <w:tab w:val="left" w:pos="709"/>
              </w:tabs>
              <w:rPr>
                <w:rFonts w:ascii="Arial" w:hAnsi="Arial" w:cs="Arial"/>
                <w:i/>
                <w:sz w:val="18"/>
                <w:szCs w:val="18"/>
              </w:rPr>
            </w:pPr>
          </w:p>
          <w:p w14:paraId="3CB7F8A7" w14:textId="185092A0" w:rsidR="007E7D58" w:rsidRPr="00B46D37" w:rsidRDefault="007E7D58" w:rsidP="73366168">
            <w:pPr>
              <w:tabs>
                <w:tab w:val="left" w:pos="709"/>
              </w:tabs>
              <w:rPr>
                <w:rFonts w:ascii="Arial" w:hAnsi="Arial" w:cs="Arial"/>
                <w:i/>
                <w:iCs/>
                <w:sz w:val="18"/>
                <w:szCs w:val="18"/>
              </w:rPr>
            </w:pPr>
            <w:r w:rsidRPr="73366168">
              <w:rPr>
                <w:rFonts w:ascii="Arial" w:hAnsi="Arial" w:cs="Arial"/>
                <w:sz w:val="18"/>
                <w:szCs w:val="18"/>
              </w:rPr>
              <w:t>To be performed at</w:t>
            </w:r>
            <w:r w:rsidR="74F51B54" w:rsidRPr="73366168">
              <w:rPr>
                <w:rFonts w:ascii="Arial" w:hAnsi="Arial" w:cs="Arial"/>
                <w:sz w:val="18"/>
                <w:szCs w:val="18"/>
              </w:rPr>
              <w:t>:</w:t>
            </w:r>
            <w:bookmarkEnd w:id="0"/>
            <w:bookmarkEnd w:id="1"/>
          </w:p>
          <w:p w14:paraId="78CB0504" w14:textId="77777777" w:rsidR="007E7D58" w:rsidRPr="00B46D37" w:rsidRDefault="007E7D58" w:rsidP="007E7D58">
            <w:pPr>
              <w:tabs>
                <w:tab w:val="left" w:pos="709"/>
              </w:tabs>
              <w:rPr>
                <w:rFonts w:ascii="Arial" w:hAnsi="Arial" w:cs="Arial"/>
                <w:i/>
                <w:sz w:val="18"/>
                <w:szCs w:val="18"/>
              </w:rPr>
            </w:pPr>
          </w:p>
          <w:p w14:paraId="6996B8C2" w14:textId="5DC38D78" w:rsidR="007E7D58" w:rsidRPr="00B46D37" w:rsidRDefault="007E7D58" w:rsidP="73366168">
            <w:pPr>
              <w:tabs>
                <w:tab w:val="left" w:pos="709"/>
              </w:tabs>
              <w:rPr>
                <w:rFonts w:ascii="Arial" w:hAnsi="Arial" w:cs="Arial"/>
                <w:sz w:val="18"/>
                <w:szCs w:val="18"/>
                <w:vertAlign w:val="superscript"/>
              </w:rPr>
            </w:pPr>
            <w:r w:rsidRPr="5DF266B2">
              <w:rPr>
                <w:rFonts w:ascii="Arial" w:hAnsi="Arial" w:cs="Arial"/>
                <w:sz w:val="18"/>
                <w:szCs w:val="18"/>
              </w:rPr>
              <w:t xml:space="preserve">Date(s) of Delivery: </w:t>
            </w:r>
            <w:r w:rsidR="30353E06" w:rsidRPr="5DF266B2">
              <w:rPr>
                <w:rFonts w:ascii="Arial" w:hAnsi="Arial" w:cs="Arial"/>
                <w:sz w:val="18"/>
                <w:szCs w:val="18"/>
              </w:rPr>
              <w:t>28</w:t>
            </w:r>
            <w:r w:rsidR="30353E06" w:rsidRPr="5DF266B2">
              <w:rPr>
                <w:rFonts w:ascii="Arial" w:hAnsi="Arial" w:cs="Arial"/>
                <w:sz w:val="18"/>
                <w:szCs w:val="18"/>
                <w:vertAlign w:val="superscript"/>
              </w:rPr>
              <w:t>th</w:t>
            </w:r>
            <w:r w:rsidR="30353E06" w:rsidRPr="5DF266B2">
              <w:rPr>
                <w:rFonts w:ascii="Arial" w:hAnsi="Arial" w:cs="Arial"/>
                <w:sz w:val="18"/>
                <w:szCs w:val="18"/>
              </w:rPr>
              <w:t xml:space="preserve"> October</w:t>
            </w:r>
            <w:r w:rsidR="2EE70A8D" w:rsidRPr="5DF266B2">
              <w:rPr>
                <w:rFonts w:ascii="Arial" w:hAnsi="Arial" w:cs="Arial"/>
                <w:sz w:val="18"/>
                <w:szCs w:val="18"/>
              </w:rPr>
              <w:t xml:space="preserve"> 2024 – 28</w:t>
            </w:r>
            <w:r w:rsidR="2EE70A8D" w:rsidRPr="5DF266B2">
              <w:rPr>
                <w:rFonts w:ascii="Arial" w:hAnsi="Arial" w:cs="Arial"/>
                <w:sz w:val="18"/>
                <w:szCs w:val="18"/>
                <w:vertAlign w:val="superscript"/>
              </w:rPr>
              <w:t>th</w:t>
            </w:r>
            <w:r w:rsidR="2EE70A8D" w:rsidRPr="5DF266B2">
              <w:rPr>
                <w:rFonts w:ascii="Arial" w:hAnsi="Arial" w:cs="Arial"/>
                <w:sz w:val="18"/>
                <w:szCs w:val="18"/>
              </w:rPr>
              <w:t xml:space="preserve"> </w:t>
            </w:r>
            <w:r w:rsidR="573B7256" w:rsidRPr="5DF266B2">
              <w:rPr>
                <w:rFonts w:ascii="Arial" w:hAnsi="Arial" w:cs="Arial"/>
                <w:sz w:val="18"/>
                <w:szCs w:val="18"/>
              </w:rPr>
              <w:t>February</w:t>
            </w:r>
            <w:r w:rsidR="2EE70A8D" w:rsidRPr="5DF266B2">
              <w:rPr>
                <w:rFonts w:ascii="Arial" w:hAnsi="Arial" w:cs="Arial"/>
                <w:sz w:val="18"/>
                <w:szCs w:val="18"/>
              </w:rPr>
              <w:t xml:space="preserve"> 2025</w:t>
            </w:r>
          </w:p>
          <w:p w14:paraId="3BB198D9" w14:textId="6CE37F53" w:rsidR="73366168" w:rsidRDefault="73366168" w:rsidP="73366168">
            <w:pPr>
              <w:tabs>
                <w:tab w:val="left" w:pos="709"/>
              </w:tabs>
              <w:rPr>
                <w:rFonts w:ascii="Arial" w:hAnsi="Arial" w:cs="Arial"/>
                <w:sz w:val="18"/>
                <w:szCs w:val="18"/>
              </w:rPr>
            </w:pPr>
          </w:p>
          <w:p w14:paraId="2A786758" w14:textId="77777777" w:rsidR="007E7D58" w:rsidRPr="00B46D37" w:rsidRDefault="007E7D58" w:rsidP="007E7D58">
            <w:pPr>
              <w:tabs>
                <w:tab w:val="left" w:pos="709"/>
              </w:tabs>
              <w:rPr>
                <w:rFonts w:ascii="Arial" w:hAnsi="Arial" w:cs="Arial"/>
                <w:i/>
                <w:sz w:val="18"/>
                <w:szCs w:val="18"/>
              </w:rPr>
            </w:pPr>
          </w:p>
        </w:tc>
      </w:tr>
      <w:tr w:rsidR="007E7D58" w:rsidRPr="00961A47" w14:paraId="2A3F6693" w14:textId="77777777" w:rsidTr="3FA59B5B">
        <w:trPr>
          <w:trHeight w:val="698"/>
        </w:trPr>
        <w:tc>
          <w:tcPr>
            <w:tcW w:w="1067" w:type="dxa"/>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7276" w:type="dxa"/>
            <w:gridSpan w:val="2"/>
            <w:shd w:val="clear" w:color="auto" w:fill="auto"/>
          </w:tcPr>
          <w:p w14:paraId="2A7B0163" w14:textId="4F836F39" w:rsidR="003E0478" w:rsidRDefault="003E0478" w:rsidP="69F91301">
            <w:pPr>
              <w:tabs>
                <w:tab w:val="left" w:pos="709"/>
              </w:tabs>
              <w:rPr>
                <w:rFonts w:ascii="Arial" w:eastAsia="Arial" w:hAnsi="Arial" w:cs="Arial"/>
                <w:i/>
                <w:iCs/>
                <w:sz w:val="18"/>
                <w:szCs w:val="18"/>
                <w:highlight w:val="yellow"/>
              </w:rPr>
            </w:pPr>
          </w:p>
          <w:p w14:paraId="4FB70884" w14:textId="7D9C42D8" w:rsidR="3E5933ED" w:rsidRDefault="76EBFF25" w:rsidP="5DF266B2">
            <w:pPr>
              <w:tabs>
                <w:tab w:val="left" w:pos="709"/>
              </w:tabs>
              <w:rPr>
                <w:rFonts w:ascii="Arial" w:eastAsia="Arial" w:hAnsi="Arial" w:cs="Arial"/>
                <w:i/>
                <w:iCs/>
                <w:sz w:val="18"/>
                <w:szCs w:val="18"/>
              </w:rPr>
            </w:pPr>
            <w:r w:rsidRPr="5DF266B2">
              <w:rPr>
                <w:rFonts w:ascii="Arial" w:eastAsia="Arial" w:hAnsi="Arial" w:cs="Arial"/>
                <w:i/>
                <w:iCs/>
                <w:sz w:val="18"/>
                <w:szCs w:val="18"/>
              </w:rPr>
              <w:t>28</w:t>
            </w:r>
            <w:r w:rsidRPr="5DF266B2">
              <w:rPr>
                <w:rFonts w:ascii="Arial" w:eastAsia="Arial" w:hAnsi="Arial" w:cs="Arial"/>
                <w:i/>
                <w:iCs/>
                <w:sz w:val="18"/>
                <w:szCs w:val="18"/>
                <w:vertAlign w:val="superscript"/>
              </w:rPr>
              <w:t>th</w:t>
            </w:r>
            <w:r w:rsidRPr="5DF266B2">
              <w:rPr>
                <w:rFonts w:ascii="Arial" w:eastAsia="Arial" w:hAnsi="Arial" w:cs="Arial"/>
                <w:i/>
                <w:iCs/>
                <w:sz w:val="18"/>
                <w:szCs w:val="18"/>
              </w:rPr>
              <w:t xml:space="preserve"> October </w:t>
            </w:r>
            <w:r w:rsidR="3E5933ED" w:rsidRPr="5DF266B2">
              <w:rPr>
                <w:rFonts w:ascii="Arial" w:eastAsia="Arial" w:hAnsi="Arial" w:cs="Arial"/>
                <w:i/>
                <w:iCs/>
                <w:sz w:val="18"/>
                <w:szCs w:val="18"/>
              </w:rPr>
              <w:t>2024</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rsidTr="3FA59B5B">
        <w:trPr>
          <w:trHeight w:val="383"/>
        </w:trPr>
        <w:tc>
          <w:tcPr>
            <w:tcW w:w="1067" w:type="dxa"/>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7276" w:type="dxa"/>
            <w:gridSpan w:val="2"/>
            <w:shd w:val="clear" w:color="auto" w:fill="auto"/>
          </w:tcPr>
          <w:p w14:paraId="2483DC9A" w14:textId="4DD93264" w:rsidR="007E7D58" w:rsidRPr="00B46D37" w:rsidRDefault="0A4C09DD" w:rsidP="70EBA7AB">
            <w:pPr>
              <w:pStyle w:val="Header"/>
              <w:tabs>
                <w:tab w:val="left" w:pos="709"/>
              </w:tabs>
              <w:ind w:right="3"/>
              <w:rPr>
                <w:rFonts w:ascii="Arial" w:hAnsi="Arial" w:cs="Arial"/>
                <w:sz w:val="18"/>
                <w:szCs w:val="18"/>
              </w:rPr>
            </w:pPr>
            <w:r w:rsidRPr="70EBA7AB">
              <w:rPr>
                <w:rFonts w:ascii="Arial" w:hAnsi="Arial" w:cs="Arial"/>
                <w:sz w:val="18"/>
                <w:szCs w:val="18"/>
              </w:rPr>
              <w:t>28</w:t>
            </w:r>
            <w:r w:rsidRPr="70EBA7AB">
              <w:rPr>
                <w:rFonts w:ascii="Arial" w:hAnsi="Arial" w:cs="Arial"/>
                <w:sz w:val="18"/>
                <w:szCs w:val="18"/>
                <w:vertAlign w:val="superscript"/>
              </w:rPr>
              <w:t>th</w:t>
            </w:r>
            <w:r w:rsidRPr="70EBA7AB">
              <w:rPr>
                <w:rFonts w:ascii="Arial" w:hAnsi="Arial" w:cs="Arial"/>
                <w:sz w:val="18"/>
                <w:szCs w:val="18"/>
              </w:rPr>
              <w:t xml:space="preserve"> February 2025</w:t>
            </w:r>
          </w:p>
        </w:tc>
      </w:tr>
      <w:tr w:rsidR="007E7D58" w:rsidRPr="00961A47" w14:paraId="6D89A4FD" w14:textId="77777777" w:rsidTr="3FA59B5B">
        <w:trPr>
          <w:trHeight w:val="383"/>
        </w:trPr>
        <w:tc>
          <w:tcPr>
            <w:tcW w:w="1067" w:type="dxa"/>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lastRenderedPageBreak/>
              <w:t>Charges</w:t>
            </w:r>
            <w:bookmarkEnd w:id="2"/>
          </w:p>
        </w:tc>
        <w:tc>
          <w:tcPr>
            <w:tcW w:w="7276" w:type="dxa"/>
            <w:gridSpan w:val="2"/>
            <w:shd w:val="clear" w:color="auto" w:fill="auto"/>
          </w:tcPr>
          <w:p w14:paraId="1A7D4E04" w14:textId="3EA9939A" w:rsidR="007E7D58" w:rsidRPr="00B46D37" w:rsidRDefault="007E7D58" w:rsidP="007E7D58">
            <w:pPr>
              <w:pStyle w:val="Header"/>
              <w:tabs>
                <w:tab w:val="left" w:pos="709"/>
              </w:tabs>
              <w:ind w:right="3"/>
              <w:rPr>
                <w:rFonts w:ascii="Arial" w:hAnsi="Arial" w:cs="Arial"/>
                <w:sz w:val="18"/>
                <w:szCs w:val="18"/>
              </w:rPr>
            </w:pPr>
            <w:bookmarkStart w:id="5" w:name="_Ref377110658"/>
            <w:r w:rsidRPr="1A7FAF0A">
              <w:rPr>
                <w:rFonts w:ascii="Arial" w:hAnsi="Arial" w:cs="Arial"/>
                <w:sz w:val="18"/>
                <w:szCs w:val="18"/>
              </w:rPr>
              <w:t xml:space="preserve">The Charges for the </w:t>
            </w:r>
            <w:bookmarkStart w:id="6" w:name="_DV_C154"/>
            <w:r w:rsidRPr="1A7FAF0A">
              <w:rPr>
                <w:rFonts w:ascii="Arial" w:hAnsi="Arial" w:cs="Arial"/>
                <w:sz w:val="18"/>
                <w:szCs w:val="18"/>
              </w:rPr>
              <w:t xml:space="preserve">Goods and/or Services </w:t>
            </w:r>
            <w:bookmarkEnd w:id="6"/>
            <w:r w:rsidRPr="1A7FAF0A">
              <w:rPr>
                <w:rFonts w:ascii="Arial" w:hAnsi="Arial" w:cs="Arial"/>
                <w:sz w:val="18"/>
                <w:szCs w:val="18"/>
              </w:rPr>
              <w:t>shall be as set out in [Appendix 3 – Charges].</w:t>
            </w:r>
            <w:bookmarkEnd w:id="5"/>
            <w:r w:rsidRPr="1A7FAF0A">
              <w:rPr>
                <w:rFonts w:ascii="Arial" w:hAnsi="Arial" w:cs="Arial"/>
                <w:sz w:val="18"/>
                <w:szCs w:val="18"/>
              </w:rPr>
              <w:t xml:space="preserve"> </w:t>
            </w:r>
            <w:r w:rsidR="00F34637" w:rsidRPr="1A7FAF0A">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3FA59B5B">
        <w:trPr>
          <w:trHeight w:val="383"/>
        </w:trPr>
        <w:tc>
          <w:tcPr>
            <w:tcW w:w="1067" w:type="dxa"/>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t>Payment</w:t>
            </w:r>
            <w:bookmarkEnd w:id="7"/>
          </w:p>
        </w:tc>
        <w:tc>
          <w:tcPr>
            <w:tcW w:w="7276" w:type="dxa"/>
            <w:gridSpan w:val="2"/>
            <w:shd w:val="clear" w:color="auto" w:fill="auto"/>
          </w:tcPr>
          <w:p w14:paraId="3BA00E7C" w14:textId="10E25702" w:rsidR="007E7D58" w:rsidRPr="00B46D37" w:rsidRDefault="007E7D58" w:rsidP="592D9942">
            <w:pPr>
              <w:pStyle w:val="Header"/>
              <w:tabs>
                <w:tab w:val="left" w:pos="709"/>
              </w:tabs>
              <w:rPr>
                <w:rFonts w:ascii="Arial" w:hAnsi="Arial" w:cs="Arial"/>
                <w:sz w:val="18"/>
                <w:szCs w:val="18"/>
              </w:rPr>
            </w:pPr>
            <w:bookmarkStart w:id="8" w:name="_DV_M104"/>
            <w:bookmarkStart w:id="9" w:name="_DV_M110"/>
            <w:bookmarkEnd w:id="8"/>
            <w:bookmarkEnd w:id="9"/>
            <w:r w:rsidRPr="592D9942">
              <w:rPr>
                <w:rFonts w:ascii="Arial" w:hAnsi="Arial" w:cs="Arial"/>
                <w:sz w:val="18"/>
                <w:szCs w:val="18"/>
              </w:rPr>
              <w:t xml:space="preserve">Payments will be made to </w:t>
            </w:r>
            <w:r w:rsidR="5F9CD5F4" w:rsidRPr="592D9942">
              <w:rPr>
                <w:rFonts w:ascii="Arial" w:hAnsi="Arial" w:cs="Arial"/>
                <w:sz w:val="18"/>
                <w:szCs w:val="18"/>
              </w:rPr>
              <w:t xml:space="preserve">by submission of a compliant invoice to </w:t>
            </w:r>
          </w:p>
          <w:p w14:paraId="062866C6" w14:textId="749C9AC7" w:rsidR="007E7D58" w:rsidRPr="00B46D37" w:rsidRDefault="007E7D58" w:rsidP="592D9942">
            <w:pPr>
              <w:pStyle w:val="Header"/>
              <w:tabs>
                <w:tab w:val="left" w:pos="709"/>
              </w:tabs>
              <w:rPr>
                <w:rFonts w:ascii="Arial" w:hAnsi="Arial" w:cs="Arial"/>
                <w:sz w:val="18"/>
                <w:szCs w:val="18"/>
              </w:rPr>
            </w:pPr>
          </w:p>
          <w:p w14:paraId="0FBAED98" w14:textId="4B651FCE" w:rsidR="007E7D58" w:rsidRPr="00B46D37" w:rsidRDefault="00000000" w:rsidP="592D9942">
            <w:pPr>
              <w:pStyle w:val="Header"/>
              <w:tabs>
                <w:tab w:val="left" w:pos="709"/>
              </w:tabs>
              <w:rPr>
                <w:rFonts w:ascii="Arial" w:hAnsi="Arial" w:cs="Arial"/>
                <w:sz w:val="18"/>
                <w:szCs w:val="18"/>
              </w:rPr>
            </w:pPr>
            <w:hyperlink r:id="rId14">
              <w:r w:rsidR="46EA41A3" w:rsidRPr="592D9942">
                <w:rPr>
                  <w:rStyle w:val="Hyperlink"/>
                  <w:rFonts w:ascii="Arial" w:hAnsi="Arial" w:cs="Arial"/>
                  <w:sz w:val="18"/>
                  <w:szCs w:val="18"/>
                </w:rPr>
                <w:t>APInvoices-ENV-U@gov.sscl.com</w:t>
              </w:r>
            </w:hyperlink>
          </w:p>
          <w:p w14:paraId="79098A3A" w14:textId="73D37842" w:rsidR="007E7D58" w:rsidRPr="00B46D37" w:rsidRDefault="007E7D58" w:rsidP="592D9942">
            <w:pPr>
              <w:pStyle w:val="Header"/>
              <w:tabs>
                <w:tab w:val="left" w:pos="709"/>
              </w:tabs>
              <w:rPr>
                <w:rFonts w:ascii="Arial" w:hAnsi="Arial" w:cs="Arial"/>
                <w:sz w:val="18"/>
                <w:szCs w:val="18"/>
              </w:rPr>
            </w:pPr>
          </w:p>
          <w:p w14:paraId="329115BE" w14:textId="0BD0EA9F" w:rsidR="007E7D58" w:rsidRPr="00B46D37" w:rsidRDefault="46EA41A3" w:rsidP="592D9942">
            <w:pPr>
              <w:pStyle w:val="Header"/>
              <w:tabs>
                <w:tab w:val="left" w:pos="709"/>
              </w:tabs>
              <w:rPr>
                <w:rFonts w:ascii="Arial" w:hAnsi="Arial" w:cs="Arial"/>
                <w:sz w:val="18"/>
                <w:szCs w:val="18"/>
              </w:rPr>
            </w:pPr>
            <w:r w:rsidRPr="63047B1A">
              <w:rPr>
                <w:rFonts w:ascii="Arial" w:hAnsi="Arial" w:cs="Arial"/>
                <w:sz w:val="18"/>
                <w:szCs w:val="18"/>
              </w:rPr>
              <w:t>EA SSCL (Environment Agency)</w:t>
            </w:r>
          </w:p>
          <w:p w14:paraId="7B1F4B37" w14:textId="4FBAA861" w:rsidR="46EA41A3" w:rsidRDefault="46EA41A3" w:rsidP="63047B1A">
            <w:pPr>
              <w:pStyle w:val="Header"/>
              <w:tabs>
                <w:tab w:val="left" w:pos="709"/>
              </w:tabs>
              <w:rPr>
                <w:rFonts w:ascii="Arial" w:hAnsi="Arial" w:cs="Arial"/>
                <w:sz w:val="18"/>
                <w:szCs w:val="18"/>
              </w:rPr>
            </w:pPr>
            <w:r w:rsidRPr="63047B1A">
              <w:rPr>
                <w:rFonts w:ascii="Arial" w:hAnsi="Arial" w:cs="Arial"/>
                <w:sz w:val="18"/>
                <w:szCs w:val="18"/>
              </w:rPr>
              <w:t>PO BOX 797</w:t>
            </w:r>
          </w:p>
          <w:p w14:paraId="7423AB0C" w14:textId="0E7FABB9" w:rsidR="46EA41A3" w:rsidRDefault="46EA41A3" w:rsidP="63047B1A">
            <w:pPr>
              <w:pStyle w:val="Header"/>
              <w:tabs>
                <w:tab w:val="left" w:pos="709"/>
              </w:tabs>
              <w:rPr>
                <w:rFonts w:ascii="Arial" w:hAnsi="Arial" w:cs="Arial"/>
                <w:sz w:val="18"/>
                <w:szCs w:val="18"/>
              </w:rPr>
            </w:pPr>
            <w:r w:rsidRPr="63047B1A">
              <w:rPr>
                <w:rFonts w:ascii="Arial" w:hAnsi="Arial" w:cs="Arial"/>
                <w:sz w:val="18"/>
                <w:szCs w:val="18"/>
              </w:rPr>
              <w:t>Newport</w:t>
            </w:r>
          </w:p>
          <w:p w14:paraId="2EE251A9" w14:textId="06251920" w:rsidR="46EA41A3" w:rsidRDefault="46EA41A3" w:rsidP="63047B1A">
            <w:pPr>
              <w:pStyle w:val="Header"/>
              <w:tabs>
                <w:tab w:val="left" w:pos="709"/>
              </w:tabs>
              <w:rPr>
                <w:rFonts w:ascii="Arial" w:hAnsi="Arial" w:cs="Arial"/>
                <w:sz w:val="18"/>
                <w:szCs w:val="18"/>
              </w:rPr>
            </w:pPr>
            <w:r w:rsidRPr="63047B1A">
              <w:rPr>
                <w:rFonts w:ascii="Arial" w:hAnsi="Arial" w:cs="Arial"/>
                <w:sz w:val="18"/>
                <w:szCs w:val="18"/>
              </w:rPr>
              <w:t>Gwent</w:t>
            </w:r>
          </w:p>
          <w:p w14:paraId="63E9AA45" w14:textId="71A41C3D" w:rsidR="46EA41A3" w:rsidRDefault="46EA41A3" w:rsidP="63047B1A">
            <w:pPr>
              <w:pStyle w:val="Header"/>
              <w:tabs>
                <w:tab w:val="left" w:pos="709"/>
              </w:tabs>
              <w:rPr>
                <w:rFonts w:ascii="Arial" w:hAnsi="Arial" w:cs="Arial"/>
                <w:sz w:val="18"/>
                <w:szCs w:val="18"/>
              </w:rPr>
            </w:pPr>
            <w:r w:rsidRPr="63047B1A">
              <w:rPr>
                <w:rFonts w:ascii="Arial" w:hAnsi="Arial" w:cs="Arial"/>
                <w:sz w:val="18"/>
                <w:szCs w:val="18"/>
              </w:rPr>
              <w:t>NP10 8FZ</w:t>
            </w:r>
          </w:p>
          <w:p w14:paraId="5DFC050D" w14:textId="4592880D" w:rsidR="007E7D58" w:rsidRPr="00B46D37" w:rsidRDefault="007E7D58" w:rsidP="592D9942">
            <w:pPr>
              <w:pStyle w:val="Header"/>
              <w:tabs>
                <w:tab w:val="left" w:pos="709"/>
              </w:tabs>
              <w:rPr>
                <w:rFonts w:ascii="Arial" w:hAnsi="Arial" w:cs="Arial"/>
                <w:sz w:val="18"/>
                <w:szCs w:val="18"/>
              </w:rPr>
            </w:pPr>
          </w:p>
          <w:p w14:paraId="5AEFA517" w14:textId="4AE0CABD"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rsidTr="3FA59B5B">
        <w:trPr>
          <w:trHeight w:val="383"/>
        </w:trPr>
        <w:tc>
          <w:tcPr>
            <w:tcW w:w="1067" w:type="dxa"/>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7276" w:type="dxa"/>
            <w:gridSpan w:val="2"/>
            <w:shd w:val="clear" w:color="auto" w:fill="auto"/>
          </w:tcPr>
          <w:p w14:paraId="787ED3D4" w14:textId="22140D65" w:rsidR="009179C1" w:rsidRDefault="009179C1" w:rsidP="009179C1">
            <w:pPr>
              <w:pStyle w:val="Header"/>
              <w:tabs>
                <w:tab w:val="left" w:pos="709"/>
              </w:tabs>
              <w:rPr>
                <w:rFonts w:ascii="Arial" w:hAnsi="Arial" w:cs="Arial"/>
                <w:sz w:val="18"/>
                <w:szCs w:val="18"/>
              </w:rPr>
            </w:pPr>
            <w:r w:rsidRPr="12DF2BE5">
              <w:rPr>
                <w:rFonts w:ascii="Arial" w:hAnsi="Arial" w:cs="Arial"/>
                <w:sz w:val="18"/>
                <w:szCs w:val="18"/>
              </w:rPr>
              <w:t>A sum equal to £5,000,000</w:t>
            </w:r>
            <w:r w:rsidR="000465D8" w:rsidRPr="12DF2BE5">
              <w:rPr>
                <w:rFonts w:ascii="Arial" w:hAnsi="Arial" w:cs="Arial"/>
                <w:sz w:val="18"/>
                <w:szCs w:val="18"/>
              </w:rPr>
              <w:t>.</w:t>
            </w:r>
          </w:p>
          <w:p w14:paraId="4ADD73A1" w14:textId="76A854DD" w:rsidR="00622BBD" w:rsidRDefault="00622BBD" w:rsidP="12DF2BE5">
            <w:pPr>
              <w:pStyle w:val="BodyText3"/>
              <w:keepNext/>
              <w:tabs>
                <w:tab w:val="left" w:pos="709"/>
              </w:tabs>
              <w:spacing w:after="0" w:line="240" w:lineRule="auto"/>
              <w:rPr>
                <w:rFonts w:ascii="Arial" w:hAnsi="Arial" w:cs="Arial"/>
                <w:sz w:val="18"/>
                <w:szCs w:val="18"/>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3FA59B5B">
        <w:trPr>
          <w:trHeight w:val="383"/>
        </w:trPr>
        <w:tc>
          <w:tcPr>
            <w:tcW w:w="1067" w:type="dxa"/>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7276" w:type="dxa"/>
            <w:gridSpan w:val="2"/>
            <w:shd w:val="clear" w:color="auto" w:fill="auto"/>
          </w:tcPr>
          <w:p w14:paraId="36004F4B" w14:textId="78759CC0" w:rsidR="007E7D58" w:rsidRPr="00B46D37" w:rsidRDefault="007E7D58" w:rsidP="007E7D58">
            <w:pPr>
              <w:pStyle w:val="BodyText3"/>
              <w:keepNext/>
              <w:tabs>
                <w:tab w:val="left" w:pos="709"/>
              </w:tabs>
              <w:spacing w:after="0" w:line="240" w:lineRule="auto"/>
              <w:rPr>
                <w:rFonts w:ascii="Arial" w:hAnsi="Arial" w:cs="Arial"/>
                <w:sz w:val="18"/>
                <w:szCs w:val="18"/>
              </w:rPr>
            </w:pPr>
            <w:r w:rsidRPr="57A936A7">
              <w:rPr>
                <w:rFonts w:ascii="Arial" w:hAnsi="Arial" w:cs="Arial"/>
                <w:sz w:val="18"/>
                <w:szCs w:val="18"/>
              </w:rPr>
              <w:t xml:space="preserve">For general liaison your contact will continue to be </w:t>
            </w:r>
          </w:p>
          <w:p w14:paraId="0680B16A" w14:textId="7443109B" w:rsidR="57A936A7" w:rsidRDefault="57A936A7" w:rsidP="57A936A7">
            <w:pPr>
              <w:pStyle w:val="BodyText3"/>
              <w:keepNext/>
              <w:tabs>
                <w:tab w:val="left" w:pos="709"/>
              </w:tabs>
              <w:spacing w:after="0" w:line="240" w:lineRule="auto"/>
              <w:rPr>
                <w:rFonts w:ascii="Arial" w:hAnsi="Arial" w:cs="Arial"/>
                <w:sz w:val="18"/>
                <w:szCs w:val="18"/>
              </w:rPr>
            </w:pPr>
          </w:p>
          <w:p w14:paraId="7B5AF8DA" w14:textId="7B9410DE" w:rsidR="0064DEB2" w:rsidRDefault="0064DEB2" w:rsidP="57A936A7">
            <w:pPr>
              <w:pStyle w:val="BodyText3"/>
              <w:keepNext/>
              <w:tabs>
                <w:tab w:val="left" w:pos="709"/>
              </w:tabs>
              <w:spacing w:after="0" w:line="240" w:lineRule="auto"/>
              <w:rPr>
                <w:rFonts w:ascii="Arial" w:hAnsi="Arial" w:cs="Arial"/>
                <w:sz w:val="18"/>
                <w:szCs w:val="18"/>
              </w:rPr>
            </w:pPr>
            <w:r w:rsidRPr="57A936A7">
              <w:rPr>
                <w:rFonts w:ascii="Arial" w:hAnsi="Arial" w:cs="Arial"/>
                <w:sz w:val="18"/>
                <w:szCs w:val="18"/>
              </w:rPr>
              <w:t xml:space="preserve">George Cooper </w:t>
            </w:r>
          </w:p>
          <w:p w14:paraId="0D4C9279" w14:textId="784B8C73" w:rsidR="0064DEB2" w:rsidRDefault="00000000" w:rsidP="465B9442">
            <w:pPr>
              <w:pStyle w:val="BodyText3"/>
              <w:keepNext/>
              <w:tabs>
                <w:tab w:val="left" w:pos="709"/>
              </w:tabs>
              <w:spacing w:after="0" w:line="240" w:lineRule="auto"/>
              <w:rPr>
                <w:rFonts w:ascii="Arial" w:hAnsi="Arial" w:cs="Arial"/>
                <w:sz w:val="18"/>
                <w:szCs w:val="18"/>
              </w:rPr>
            </w:pPr>
            <w:hyperlink r:id="rId15">
              <w:r w:rsidR="0064DEB2" w:rsidRPr="57A936A7">
                <w:rPr>
                  <w:rStyle w:val="Hyperlink"/>
                  <w:rFonts w:ascii="Arial" w:hAnsi="Arial" w:cs="Arial"/>
                  <w:sz w:val="18"/>
                  <w:szCs w:val="18"/>
                </w:rPr>
                <w:t>George.cooper@environment-agency.gov.uk</w:t>
              </w:r>
            </w:hyperlink>
          </w:p>
          <w:p w14:paraId="5DDC8B2A" w14:textId="1F8419D1"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5C11A677" w:rsidR="007E7D58" w:rsidRPr="00B46D37" w:rsidRDefault="2F5CF93E" w:rsidP="007E7D58">
            <w:pPr>
              <w:pStyle w:val="BodyText3"/>
              <w:keepNext/>
              <w:tabs>
                <w:tab w:val="left" w:pos="709"/>
              </w:tabs>
              <w:spacing w:after="0" w:line="240" w:lineRule="auto"/>
              <w:rPr>
                <w:rFonts w:ascii="Arial" w:hAnsi="Arial" w:cs="Arial"/>
                <w:sz w:val="18"/>
                <w:szCs w:val="18"/>
              </w:rPr>
            </w:pPr>
            <w:r w:rsidRPr="57A936A7">
              <w:rPr>
                <w:rFonts w:ascii="Arial" w:hAnsi="Arial" w:cs="Arial"/>
                <w:sz w:val="18"/>
                <w:szCs w:val="18"/>
              </w:rPr>
              <w:t xml:space="preserve">Liz Philpott </w:t>
            </w:r>
          </w:p>
          <w:p w14:paraId="67001CC9" w14:textId="3062FA18" w:rsidR="2F5CF93E" w:rsidRDefault="00000000" w:rsidP="44B1DE69">
            <w:pPr>
              <w:pStyle w:val="BodyText3"/>
              <w:keepNext/>
              <w:tabs>
                <w:tab w:val="left" w:pos="709"/>
              </w:tabs>
              <w:spacing w:after="0" w:line="240" w:lineRule="auto"/>
              <w:rPr>
                <w:rFonts w:ascii="Arial" w:hAnsi="Arial" w:cs="Arial"/>
                <w:sz w:val="18"/>
                <w:szCs w:val="18"/>
              </w:rPr>
            </w:pPr>
            <w:hyperlink r:id="rId16">
              <w:r w:rsidR="2F5CF93E" w:rsidRPr="44B1DE69">
                <w:rPr>
                  <w:rStyle w:val="Hyperlink"/>
                  <w:rFonts w:ascii="Arial" w:hAnsi="Arial" w:cs="Arial"/>
                  <w:sz w:val="18"/>
                  <w:szCs w:val="18"/>
                </w:rPr>
                <w:t>Liz.philpott@environment-agency.gov.uk</w:t>
              </w:r>
            </w:hyperlink>
            <w:r w:rsidR="2F5CF93E" w:rsidRPr="44B1DE69">
              <w:rPr>
                <w:rFonts w:ascii="Arial" w:hAnsi="Arial" w:cs="Arial"/>
                <w:sz w:val="18"/>
                <w:szCs w:val="18"/>
              </w:rPr>
              <w:t xml:space="preserve"> </w:t>
            </w:r>
          </w:p>
          <w:p w14:paraId="567DC418" w14:textId="0AABF09A" w:rsidR="44B1DE69" w:rsidRDefault="44B1DE69" w:rsidP="44B1DE69">
            <w:pPr>
              <w:pStyle w:val="BodyText3"/>
              <w:keepNext/>
              <w:tabs>
                <w:tab w:val="left" w:pos="709"/>
              </w:tabs>
              <w:spacing w:after="0" w:line="240" w:lineRule="auto"/>
              <w:rPr>
                <w:rFonts w:ascii="Arial" w:hAnsi="Arial" w:cs="Arial"/>
                <w:sz w:val="18"/>
                <w:szCs w:val="18"/>
              </w:rPr>
            </w:pP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rsidTr="3FA59B5B">
        <w:trPr>
          <w:trHeight w:val="383"/>
        </w:trPr>
        <w:tc>
          <w:tcPr>
            <w:tcW w:w="1067" w:type="dxa"/>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7276" w:type="dxa"/>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rsidTr="3FA59B5B">
        <w:trPr>
          <w:trHeight w:val="383"/>
        </w:trPr>
        <w:tc>
          <w:tcPr>
            <w:tcW w:w="1067" w:type="dxa"/>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7276" w:type="dxa"/>
            <w:gridSpan w:val="2"/>
            <w:shd w:val="clear" w:color="auto" w:fill="auto"/>
          </w:tcPr>
          <w:p w14:paraId="1CDDAEEC" w14:textId="3473D8CF" w:rsidR="007E7D58" w:rsidRPr="006D3AB7" w:rsidRDefault="007E7D58" w:rsidP="61A1637B">
            <w:pPr>
              <w:pStyle w:val="Header"/>
              <w:tabs>
                <w:tab w:val="left" w:pos="709"/>
              </w:tabs>
              <w:ind w:right="3"/>
              <w:rPr>
                <w:rFonts w:ascii="Arial" w:hAnsi="Arial" w:cs="Arial"/>
                <w:sz w:val="18"/>
                <w:szCs w:val="18"/>
              </w:rPr>
            </w:pPr>
            <w:r w:rsidRPr="3A5EDC8A">
              <w:rPr>
                <w:rFonts w:ascii="Arial" w:hAnsi="Arial" w:cs="Arial"/>
                <w:sz w:val="18"/>
                <w:szCs w:val="18"/>
              </w:rPr>
              <w:t xml:space="preserve">The Customer has chosen Option </w:t>
            </w:r>
            <w:r w:rsidR="29CBAD0B" w:rsidRPr="3A5EDC8A">
              <w:rPr>
                <w:rFonts w:ascii="Arial" w:hAnsi="Arial" w:cs="Arial"/>
                <w:b/>
                <w:bCs/>
                <w:sz w:val="18"/>
                <w:szCs w:val="18"/>
              </w:rPr>
              <w:t>B</w:t>
            </w:r>
            <w:r w:rsidRPr="3A5EDC8A">
              <w:rPr>
                <w:rFonts w:ascii="Arial" w:hAnsi="Arial" w:cs="Arial"/>
                <w:b/>
                <w:bCs/>
                <w:sz w:val="18"/>
                <w:szCs w:val="18"/>
              </w:rPr>
              <w:t xml:space="preserve"> in respect of intellectual property rights provisions for the Agreement as set out in the terms and conditions.</w:t>
            </w:r>
          </w:p>
          <w:p w14:paraId="0E295842" w14:textId="12C007FF" w:rsidR="007E7D58" w:rsidRPr="00B46D37" w:rsidRDefault="007E7D58" w:rsidP="1C6E9777">
            <w:pPr>
              <w:pStyle w:val="Header"/>
              <w:tabs>
                <w:tab w:val="left" w:pos="709"/>
              </w:tabs>
              <w:ind w:right="3"/>
              <w:rPr>
                <w:rFonts w:ascii="Arial" w:hAnsi="Arial" w:cs="Arial"/>
                <w:b/>
                <w:bCs/>
                <w:i/>
                <w:iCs/>
                <w:sz w:val="18"/>
                <w:szCs w:val="18"/>
              </w:rPr>
            </w:pPr>
          </w:p>
          <w:p w14:paraId="699605EB" w14:textId="0106BC83" w:rsidR="007E7D58" w:rsidRPr="00B46D37" w:rsidRDefault="007E7D58" w:rsidP="1C6E9777">
            <w:pPr>
              <w:pStyle w:val="Header"/>
              <w:tabs>
                <w:tab w:val="left" w:pos="709"/>
              </w:tabs>
              <w:ind w:right="3"/>
              <w:rPr>
                <w:rFonts w:ascii="Arial" w:hAnsi="Arial" w:cs="Arial"/>
                <w:b/>
                <w:bCs/>
                <w:i/>
                <w:iCs/>
                <w:sz w:val="18"/>
                <w:szCs w:val="18"/>
              </w:rPr>
            </w:pPr>
          </w:p>
        </w:tc>
      </w:tr>
      <w:tr w:rsidR="007E7D58" w:rsidRPr="00961A47" w14:paraId="66EB0154" w14:textId="77777777" w:rsidTr="3FA59B5B">
        <w:trPr>
          <w:trHeight w:val="383"/>
        </w:trPr>
        <w:tc>
          <w:tcPr>
            <w:tcW w:w="1067" w:type="dxa"/>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7276" w:type="dxa"/>
            <w:gridSpan w:val="2"/>
            <w:shd w:val="clear" w:color="auto" w:fill="auto"/>
          </w:tcPr>
          <w:p w14:paraId="644703CA" w14:textId="37C3D552" w:rsidR="007E7D58" w:rsidRPr="00060369" w:rsidRDefault="007E7D58" w:rsidP="1004577B">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1004577B">
              <w:rPr>
                <w:rFonts w:ascii="Arial" w:eastAsia="Arial" w:hAnsi="Arial" w:cs="Arial"/>
                <w:color w:val="000000" w:themeColor="text1"/>
                <w:sz w:val="18"/>
                <w:szCs w:val="18"/>
              </w:rPr>
              <w:t xml:space="preserve">The Contractor shall </w:t>
            </w:r>
            <w:r w:rsidR="39EA7E4D" w:rsidRPr="1004577B">
              <w:rPr>
                <w:rFonts w:ascii="Arial" w:eastAsia="Arial" w:hAnsi="Arial" w:cs="Arial"/>
                <w:color w:val="000000" w:themeColor="text1"/>
                <w:sz w:val="18"/>
                <w:szCs w:val="18"/>
              </w:rPr>
              <w:t xml:space="preserve">provide monthly reporting using the EA’s standard reporting template (provided on contract award. </w:t>
            </w:r>
          </w:p>
          <w:p w14:paraId="136953E5" w14:textId="25E608AE" w:rsidR="007E7D58" w:rsidRPr="00060369" w:rsidRDefault="007E7D58" w:rsidP="1004577B">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1004577B">
              <w:rPr>
                <w:rFonts w:ascii="Arial" w:eastAsia="Arial" w:hAnsi="Arial" w:cs="Arial"/>
                <w:color w:val="000000" w:themeColor="text1"/>
                <w:sz w:val="18"/>
                <w:szCs w:val="18"/>
              </w:rPr>
              <w:t xml:space="preserve">The Contractor shall provide </w:t>
            </w:r>
            <w:r w:rsidR="236B860F" w:rsidRPr="1004577B">
              <w:rPr>
                <w:rFonts w:ascii="Arial" w:eastAsia="Arial" w:hAnsi="Arial" w:cs="Arial"/>
                <w:color w:val="000000" w:themeColor="text1"/>
                <w:sz w:val="18"/>
                <w:szCs w:val="18"/>
              </w:rPr>
              <w:t>one progress meeting between start and the end of the project.</w:t>
            </w:r>
          </w:p>
          <w:p w14:paraId="4AC4472A" w14:textId="75F4BEFB" w:rsidR="007E7D58" w:rsidRPr="00060369" w:rsidRDefault="007E7D58" w:rsidP="1004577B">
            <w:pPr>
              <w:pBdr>
                <w:top w:val="nil"/>
                <w:left w:val="nil"/>
                <w:bottom w:val="nil"/>
                <w:right w:val="nil"/>
                <w:between w:val="nil"/>
              </w:pBdr>
              <w:suppressAutoHyphens/>
              <w:spacing w:before="120" w:after="120"/>
              <w:rPr>
                <w:rFonts w:ascii="Arial" w:hAnsi="Arial" w:cs="Arial"/>
                <w:b/>
                <w:bCs/>
                <w:i/>
                <w:iCs/>
                <w:sz w:val="18"/>
                <w:szCs w:val="18"/>
              </w:rPr>
            </w:pPr>
          </w:p>
        </w:tc>
      </w:tr>
      <w:tr w:rsidR="007E7D58" w:rsidRPr="00961A47" w14:paraId="0CA426CF" w14:textId="77777777" w:rsidTr="3FA59B5B">
        <w:trPr>
          <w:trHeight w:val="383"/>
        </w:trPr>
        <w:tc>
          <w:tcPr>
            <w:tcW w:w="1067" w:type="dxa"/>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7276" w:type="dxa"/>
            <w:gridSpan w:val="2"/>
            <w:shd w:val="clear" w:color="auto" w:fill="auto"/>
          </w:tcPr>
          <w:tbl>
            <w:tblPr>
              <w:tblW w:w="0" w:type="auto"/>
              <w:tblLook w:val="04A0" w:firstRow="1" w:lastRow="0" w:firstColumn="1" w:lastColumn="0" w:noHBand="0" w:noVBand="1"/>
            </w:tblPr>
            <w:tblGrid>
              <w:gridCol w:w="3877"/>
              <w:gridCol w:w="2069"/>
            </w:tblGrid>
            <w:tr w:rsidR="007E7D58" w14:paraId="430CB4B5" w14:textId="77777777" w:rsidTr="7625B7C9">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7625B7C9">
              <w:tc>
                <w:tcPr>
                  <w:tcW w:w="4531" w:type="dxa"/>
                </w:tcPr>
                <w:p w14:paraId="597D4E15" w14:textId="198A636B" w:rsidR="007E7D58" w:rsidRPr="00CA4BA2" w:rsidRDefault="57D13A9A" w:rsidP="7625B7C9">
                  <w:pPr>
                    <w:pStyle w:val="Header"/>
                    <w:tabs>
                      <w:tab w:val="left" w:pos="709"/>
                    </w:tabs>
                    <w:ind w:right="3"/>
                    <w:rPr>
                      <w:rFonts w:ascii="Arial" w:hAnsi="Arial" w:cs="Arial"/>
                      <w:b/>
                      <w:bCs/>
                      <w:sz w:val="18"/>
                      <w:szCs w:val="18"/>
                    </w:rPr>
                  </w:pPr>
                  <w:r w:rsidRPr="7625B7C9">
                    <w:rPr>
                      <w:rFonts w:ascii="Arial" w:hAnsi="Arial" w:cs="Arial"/>
                      <w:b/>
                      <w:bCs/>
                      <w:sz w:val="18"/>
                      <w:szCs w:val="18"/>
                    </w:rPr>
                    <w:t>George Cooper</w:t>
                  </w:r>
                </w:p>
                <w:p w14:paraId="1683BC06" w14:textId="26416EA3" w:rsidR="57D13A9A" w:rsidRDefault="57D13A9A" w:rsidP="2D5BF97C">
                  <w:pPr>
                    <w:pStyle w:val="Header"/>
                    <w:tabs>
                      <w:tab w:val="left" w:pos="709"/>
                    </w:tabs>
                    <w:ind w:right="3"/>
                    <w:rPr>
                      <w:rFonts w:ascii="Arial" w:hAnsi="Arial" w:cs="Arial"/>
                      <w:sz w:val="18"/>
                      <w:szCs w:val="18"/>
                    </w:rPr>
                  </w:pPr>
                  <w:r w:rsidRPr="2D5BF97C">
                    <w:rPr>
                      <w:rFonts w:ascii="Arial" w:hAnsi="Arial" w:cs="Arial"/>
                      <w:sz w:val="18"/>
                      <w:szCs w:val="18"/>
                    </w:rPr>
                    <w:t xml:space="preserve">Trentside Office </w:t>
                  </w:r>
                </w:p>
                <w:p w14:paraId="73DA7601" w14:textId="1253084B" w:rsidR="57D13A9A" w:rsidRDefault="57D13A9A" w:rsidP="2D5BF97C">
                  <w:pPr>
                    <w:pStyle w:val="Header"/>
                    <w:tabs>
                      <w:tab w:val="left" w:pos="709"/>
                    </w:tabs>
                    <w:ind w:right="3"/>
                    <w:rPr>
                      <w:rFonts w:ascii="Arial" w:hAnsi="Arial" w:cs="Arial"/>
                      <w:sz w:val="18"/>
                      <w:szCs w:val="18"/>
                    </w:rPr>
                  </w:pPr>
                  <w:proofErr w:type="spellStart"/>
                  <w:r w:rsidRPr="2D5BF97C">
                    <w:rPr>
                      <w:rFonts w:ascii="Arial" w:hAnsi="Arial" w:cs="Arial"/>
                      <w:sz w:val="18"/>
                      <w:szCs w:val="18"/>
                    </w:rPr>
                    <w:t>Scarrington</w:t>
                  </w:r>
                  <w:proofErr w:type="spellEnd"/>
                  <w:r w:rsidRPr="2D5BF97C">
                    <w:rPr>
                      <w:rFonts w:ascii="Arial" w:hAnsi="Arial" w:cs="Arial"/>
                      <w:sz w:val="18"/>
                      <w:szCs w:val="18"/>
                    </w:rPr>
                    <w:t xml:space="preserve"> Rd</w:t>
                  </w:r>
                </w:p>
                <w:p w14:paraId="5787A266" w14:textId="1D5333D6" w:rsidR="57D13A9A" w:rsidRDefault="57D13A9A" w:rsidP="2D5BF97C">
                  <w:pPr>
                    <w:pStyle w:val="Header"/>
                    <w:tabs>
                      <w:tab w:val="left" w:pos="709"/>
                    </w:tabs>
                    <w:ind w:right="3"/>
                    <w:rPr>
                      <w:rFonts w:ascii="Arial" w:hAnsi="Arial" w:cs="Arial"/>
                      <w:sz w:val="18"/>
                      <w:szCs w:val="18"/>
                    </w:rPr>
                  </w:pPr>
                  <w:r w:rsidRPr="2D5BF97C">
                    <w:rPr>
                      <w:rFonts w:ascii="Arial" w:hAnsi="Arial" w:cs="Arial"/>
                      <w:sz w:val="18"/>
                      <w:szCs w:val="18"/>
                    </w:rPr>
                    <w:t xml:space="preserve">West Bridgford </w:t>
                  </w:r>
                </w:p>
                <w:p w14:paraId="1706AEB8" w14:textId="4E84790B" w:rsidR="57D13A9A" w:rsidRDefault="57D13A9A" w:rsidP="2D5BF97C">
                  <w:pPr>
                    <w:pStyle w:val="Header"/>
                    <w:tabs>
                      <w:tab w:val="left" w:pos="709"/>
                    </w:tabs>
                    <w:ind w:right="3"/>
                    <w:rPr>
                      <w:rFonts w:ascii="Arial" w:hAnsi="Arial" w:cs="Arial"/>
                      <w:sz w:val="18"/>
                      <w:szCs w:val="18"/>
                    </w:rPr>
                  </w:pPr>
                  <w:r w:rsidRPr="2D5BF97C">
                    <w:rPr>
                      <w:rFonts w:ascii="Arial" w:hAnsi="Arial" w:cs="Arial"/>
                      <w:sz w:val="18"/>
                      <w:szCs w:val="18"/>
                    </w:rPr>
                    <w:t xml:space="preserve">Nottingham </w:t>
                  </w:r>
                </w:p>
                <w:p w14:paraId="1D7A9FBF" w14:textId="14746602" w:rsidR="57D13A9A" w:rsidRDefault="57D13A9A" w:rsidP="2D5BF97C">
                  <w:pPr>
                    <w:pStyle w:val="Header"/>
                    <w:tabs>
                      <w:tab w:val="left" w:pos="709"/>
                    </w:tabs>
                    <w:ind w:right="3"/>
                    <w:rPr>
                      <w:rFonts w:ascii="Arial" w:hAnsi="Arial" w:cs="Arial"/>
                      <w:sz w:val="18"/>
                      <w:szCs w:val="18"/>
                    </w:rPr>
                  </w:pPr>
                  <w:r w:rsidRPr="2D5BF97C">
                    <w:rPr>
                      <w:rFonts w:ascii="Arial" w:hAnsi="Arial" w:cs="Arial"/>
                      <w:sz w:val="18"/>
                      <w:szCs w:val="18"/>
                    </w:rPr>
                    <w:t>NG2 5FA</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150E9A4F" w:rsidR="007E7D58" w:rsidRPr="00CA4BA2" w:rsidRDefault="007E7D58" w:rsidP="007E7D58">
                  <w:pPr>
                    <w:pStyle w:val="Header"/>
                    <w:tabs>
                      <w:tab w:val="left" w:pos="709"/>
                    </w:tabs>
                    <w:ind w:right="3"/>
                    <w:rPr>
                      <w:rFonts w:ascii="Arial" w:hAnsi="Arial" w:cs="Arial"/>
                      <w:sz w:val="18"/>
                      <w:szCs w:val="18"/>
                    </w:rPr>
                  </w:pPr>
                  <w:r w:rsidRPr="35DCF8F3">
                    <w:rPr>
                      <w:rFonts w:ascii="Arial" w:hAnsi="Arial" w:cs="Arial"/>
                      <w:sz w:val="18"/>
                      <w:szCs w:val="18"/>
                    </w:rPr>
                    <w:t xml:space="preserve">Attention: </w:t>
                  </w:r>
                  <w:r w:rsidR="3873BCE5" w:rsidRPr="35DCF8F3">
                    <w:rPr>
                      <w:rFonts w:ascii="Arial" w:hAnsi="Arial" w:cs="Arial"/>
                      <w:sz w:val="18"/>
                      <w:szCs w:val="18"/>
                    </w:rPr>
                    <w:t>Project Manager</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0A96662A" w14:textId="5A862F17" w:rsidR="007E7D58" w:rsidRDefault="007E7D58" w:rsidP="35DCF8F3">
                  <w:pPr>
                    <w:pStyle w:val="Header"/>
                    <w:tabs>
                      <w:tab w:val="left" w:pos="709"/>
                    </w:tabs>
                    <w:ind w:right="3"/>
                    <w:rPr>
                      <w:rFonts w:ascii="Arial" w:hAnsi="Arial" w:cs="Arial"/>
                      <w:sz w:val="18"/>
                      <w:szCs w:val="18"/>
                    </w:rPr>
                  </w:pPr>
                  <w:r w:rsidRPr="35DCF8F3">
                    <w:rPr>
                      <w:rFonts w:ascii="Arial" w:hAnsi="Arial" w:cs="Arial"/>
                      <w:sz w:val="18"/>
                      <w:szCs w:val="18"/>
                    </w:rPr>
                    <w:t xml:space="preserve">Email: </w:t>
                  </w:r>
                </w:p>
                <w:p w14:paraId="44FAA13A" w14:textId="5A330AF6" w:rsidR="007E7D58" w:rsidRDefault="00000000" w:rsidP="007E7D58">
                  <w:pPr>
                    <w:pStyle w:val="Header"/>
                    <w:tabs>
                      <w:tab w:val="left" w:pos="709"/>
                    </w:tabs>
                    <w:ind w:right="3"/>
                    <w:rPr>
                      <w:rFonts w:ascii="Arial" w:hAnsi="Arial" w:cs="Arial"/>
                      <w:sz w:val="18"/>
                      <w:szCs w:val="18"/>
                    </w:rPr>
                  </w:pPr>
                  <w:hyperlink r:id="rId17">
                    <w:r w:rsidR="7262CD9A" w:rsidRPr="35DCF8F3">
                      <w:rPr>
                        <w:rStyle w:val="Hyperlink"/>
                        <w:rFonts w:ascii="Arial" w:hAnsi="Arial" w:cs="Arial"/>
                        <w:sz w:val="18"/>
                        <w:szCs w:val="18"/>
                      </w:rPr>
                      <w:t>George.cooper@environment-agency.gov.uk</w:t>
                    </w:r>
                  </w:hyperlink>
                  <w:r w:rsidR="7262CD9A" w:rsidRPr="35DCF8F3">
                    <w:rPr>
                      <w:rFonts w:ascii="Arial" w:hAnsi="Arial" w:cs="Arial"/>
                      <w:sz w:val="18"/>
                      <w:szCs w:val="18"/>
                    </w:rPr>
                    <w:t xml:space="preserve"> </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3FA59B5B">
        <w:trPr>
          <w:trHeight w:val="1750"/>
        </w:trPr>
        <w:tc>
          <w:tcPr>
            <w:tcW w:w="1067" w:type="dxa"/>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lastRenderedPageBreak/>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7276" w:type="dxa"/>
            <w:gridSpan w:val="2"/>
            <w:shd w:val="clear" w:color="auto" w:fill="auto"/>
          </w:tcPr>
          <w:tbl>
            <w:tblPr>
              <w:tblW w:w="0" w:type="auto"/>
              <w:tblLook w:val="0000" w:firstRow="0" w:lastRow="0" w:firstColumn="0" w:lastColumn="0" w:noHBand="0" w:noVBand="0"/>
            </w:tblPr>
            <w:tblGrid>
              <w:gridCol w:w="2074"/>
              <w:gridCol w:w="1869"/>
              <w:gridCol w:w="2003"/>
            </w:tblGrid>
            <w:tr w:rsidR="007E7D58" w:rsidRPr="00060369" w14:paraId="5B9A499D" w14:textId="77777777" w:rsidTr="7625B7C9">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rsidTr="7625B7C9">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581971AA" w14:textId="77777777" w:rsidTr="7625B7C9">
              <w:tc>
                <w:tcPr>
                  <w:tcW w:w="2315" w:type="dxa"/>
                  <w:tcBorders>
                    <w:top w:val="nil"/>
                    <w:left w:val="nil"/>
                    <w:bottom w:val="nil"/>
                    <w:right w:val="nil"/>
                  </w:tcBorders>
                </w:tcPr>
                <w:p w14:paraId="20384BBC" w14:textId="5324393C"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3FA59B5B">
        <w:tc>
          <w:tcPr>
            <w:tcW w:w="1067" w:type="dxa"/>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7276" w:type="dxa"/>
            <w:gridSpan w:val="2"/>
            <w:shd w:val="clear" w:color="auto" w:fill="auto"/>
          </w:tcPr>
          <w:p w14:paraId="6BA942EB" w14:textId="7FEA9326" w:rsidR="007E7D58" w:rsidRPr="00060369" w:rsidRDefault="007E7D58" w:rsidP="4B62D22D">
            <w:pPr>
              <w:tabs>
                <w:tab w:val="left" w:pos="709"/>
              </w:tabs>
              <w:rPr>
                <w:rFonts w:ascii="Arial" w:hAnsi="Arial" w:cs="Arial"/>
                <w:b/>
                <w:bCs/>
                <w:i/>
                <w:iCs/>
                <w:sz w:val="18"/>
                <w:szCs w:val="18"/>
              </w:rPr>
            </w:pPr>
            <w:r w:rsidRPr="4B62D22D">
              <w:rPr>
                <w:rFonts w:ascii="Arial" w:hAnsi="Arial" w:cs="Arial"/>
                <w:sz w:val="18"/>
                <w:szCs w:val="18"/>
              </w:rPr>
              <w:t xml:space="preserve">For the purposes of the Agreement: </w:t>
            </w:r>
          </w:p>
          <w:p w14:paraId="57791FD0" w14:textId="77777777" w:rsidR="007E7D58" w:rsidRPr="00060369" w:rsidRDefault="007E7D58" w:rsidP="007E7D58">
            <w:pPr>
              <w:tabs>
                <w:tab w:val="left" w:pos="709"/>
              </w:tabs>
              <w:rPr>
                <w:rFonts w:ascii="Arial" w:hAnsi="Arial" w:cs="Arial"/>
                <w:sz w:val="18"/>
                <w:szCs w:val="18"/>
              </w:rPr>
            </w:pPr>
          </w:p>
          <w:p w14:paraId="32E5F0E2" w14:textId="5C7927FD" w:rsidR="007E7D58" w:rsidRPr="00060369" w:rsidRDefault="007E7D58" w:rsidP="3FA59B5B">
            <w:pPr>
              <w:pStyle w:val="Heading2"/>
              <w:keepNext/>
              <w:numPr>
                <w:ilvl w:val="0"/>
                <w:numId w:val="0"/>
              </w:numPr>
              <w:tabs>
                <w:tab w:val="left" w:pos="709"/>
              </w:tabs>
              <w:spacing w:after="0"/>
              <w:jc w:val="left"/>
              <w:rPr>
                <w:rFonts w:ascii="Arial" w:hAnsi="Arial" w:cs="Arial"/>
                <w:sz w:val="18"/>
                <w:szCs w:val="18"/>
              </w:rPr>
            </w:pPr>
          </w:p>
          <w:p w14:paraId="3A56E4DF" w14:textId="244C2453" w:rsidR="007E7D58" w:rsidRPr="00060369" w:rsidRDefault="007E7D58" w:rsidP="007E7D58">
            <w:pPr>
              <w:tabs>
                <w:tab w:val="left" w:pos="709"/>
              </w:tabs>
              <w:rPr>
                <w:rFonts w:ascii="Arial" w:hAnsi="Arial" w:cs="Arial"/>
                <w:sz w:val="18"/>
                <w:szCs w:val="18"/>
              </w:rPr>
            </w:pPr>
            <w:r w:rsidRPr="433AD3FD">
              <w:rPr>
                <w:rFonts w:ascii="Arial" w:hAnsi="Arial" w:cs="Arial"/>
                <w:sz w:val="18"/>
                <w:szCs w:val="18"/>
              </w:rPr>
              <w:t xml:space="preserve">[The Customer’s security / data security requirements are: </w:t>
            </w:r>
            <w:r w:rsidR="540E1209" w:rsidRPr="433AD3FD">
              <w:rPr>
                <w:rFonts w:ascii="Arial" w:hAnsi="Arial" w:cs="Arial"/>
                <w:sz w:val="18"/>
                <w:szCs w:val="18"/>
              </w:rPr>
              <w:t xml:space="preserve"> </w:t>
            </w:r>
            <w:hyperlink r:id="rId18">
              <w:r w:rsidR="540E1209" w:rsidRPr="433AD3FD">
                <w:rPr>
                  <w:rStyle w:val="Hyperlink"/>
                  <w:rFonts w:ascii="Arial" w:hAnsi="Arial" w:cs="Arial"/>
                  <w:sz w:val="18"/>
                  <w:szCs w:val="18"/>
                </w:rPr>
                <w:t>https://www.gov.uk/government/publications/security-policy-framework/hmg-security-policy-framework</w:t>
              </w:r>
            </w:hyperlink>
          </w:p>
          <w:p w14:paraId="189018E0" w14:textId="4B95F73D" w:rsidR="433AD3FD" w:rsidRDefault="433AD3FD" w:rsidP="433AD3FD">
            <w:pPr>
              <w:tabs>
                <w:tab w:val="left" w:pos="709"/>
              </w:tabs>
              <w:rPr>
                <w:rFonts w:ascii="Arial" w:hAnsi="Arial" w:cs="Arial"/>
                <w:sz w:val="18"/>
                <w:szCs w:val="18"/>
              </w:rPr>
            </w:pPr>
          </w:p>
          <w:p w14:paraId="3296FF87" w14:textId="77777777" w:rsidR="007E7D58" w:rsidRPr="00060369" w:rsidRDefault="007E7D58" w:rsidP="007E7D58">
            <w:pPr>
              <w:tabs>
                <w:tab w:val="left" w:pos="709"/>
              </w:tabs>
              <w:rPr>
                <w:rFonts w:ascii="Arial" w:hAnsi="Arial" w:cs="Arial"/>
                <w:sz w:val="18"/>
                <w:szCs w:val="18"/>
              </w:rPr>
            </w:pPr>
          </w:p>
          <w:p w14:paraId="65D5A094" w14:textId="0AB83B42" w:rsidR="007E7D58" w:rsidRPr="00060369" w:rsidRDefault="007E7D58" w:rsidP="007E7D58">
            <w:pPr>
              <w:tabs>
                <w:tab w:val="left" w:pos="709"/>
              </w:tabs>
              <w:rPr>
                <w:rFonts w:ascii="Arial" w:hAnsi="Arial" w:cs="Arial"/>
                <w:sz w:val="18"/>
                <w:szCs w:val="18"/>
              </w:rPr>
            </w:pPr>
            <w:r w:rsidRPr="2A06A528">
              <w:rPr>
                <w:rFonts w:ascii="Arial" w:hAnsi="Arial" w:cs="Arial"/>
                <w:sz w:val="18"/>
                <w:szCs w:val="18"/>
              </w:rPr>
              <w:t xml:space="preserve">[The Customer’s additional sustainability requirements are: </w:t>
            </w:r>
          </w:p>
          <w:p w14:paraId="72707683" w14:textId="243E2E2F" w:rsidR="0108BCCF" w:rsidRDefault="00000000" w:rsidP="2A06A528">
            <w:pPr>
              <w:tabs>
                <w:tab w:val="left" w:pos="709"/>
              </w:tabs>
              <w:rPr>
                <w:rFonts w:ascii="Arial" w:eastAsia="Arial" w:hAnsi="Arial" w:cs="Arial"/>
                <w:sz w:val="18"/>
                <w:szCs w:val="18"/>
              </w:rPr>
            </w:pPr>
            <w:hyperlink r:id="rId19">
              <w:r w:rsidR="5DFF85FC" w:rsidRPr="2A06A528">
                <w:rPr>
                  <w:rStyle w:val="Hyperlink"/>
                  <w:rFonts w:ascii="Arial" w:eastAsia="Arial" w:hAnsi="Arial" w:cs="Arial"/>
                  <w:sz w:val="18"/>
                  <w:szCs w:val="18"/>
                </w:rPr>
                <w:t>Environment Agency: EA2025 creating a better place - GOV.UK (www.gov.uk)</w:t>
              </w:r>
            </w:hyperlink>
          </w:p>
          <w:p w14:paraId="4F7E32FE" w14:textId="77777777" w:rsidR="007E7D58" w:rsidRPr="00060369" w:rsidRDefault="007E7D58" w:rsidP="007E7D58">
            <w:pPr>
              <w:tabs>
                <w:tab w:val="left" w:pos="709"/>
              </w:tabs>
              <w:rPr>
                <w:rFonts w:ascii="Arial" w:hAnsi="Arial" w:cs="Arial"/>
                <w:sz w:val="18"/>
                <w:szCs w:val="18"/>
              </w:rPr>
            </w:pPr>
          </w:p>
          <w:p w14:paraId="37772353" w14:textId="11CFE8FD" w:rsidR="007E7D58" w:rsidRPr="00060369" w:rsidRDefault="007E7D58" w:rsidP="007E7D58">
            <w:pPr>
              <w:tabs>
                <w:tab w:val="left" w:pos="709"/>
              </w:tabs>
              <w:rPr>
                <w:rFonts w:ascii="Arial" w:hAnsi="Arial" w:cs="Arial"/>
                <w:sz w:val="18"/>
                <w:szCs w:val="18"/>
              </w:rPr>
            </w:pPr>
            <w:r w:rsidRPr="433AD3FD">
              <w:rPr>
                <w:rFonts w:ascii="Arial" w:hAnsi="Arial" w:cs="Arial"/>
                <w:sz w:val="18"/>
                <w:szCs w:val="18"/>
              </w:rPr>
              <w:t xml:space="preserve">[The Customer’s equality and diversity policy/requirements and instructions related to equality Law [and] environmental policy [is/are]  </w:t>
            </w:r>
            <w:hyperlink r:id="rId20">
              <w:r w:rsidR="5C674088" w:rsidRPr="433AD3FD">
                <w:rPr>
                  <w:rStyle w:val="Hyperlink"/>
                  <w:rFonts w:ascii="Arial" w:hAnsi="Arial" w:cs="Arial"/>
                  <w:sz w:val="18"/>
                  <w:szCs w:val="18"/>
                </w:rPr>
                <w:t>https://www.gov.uk/government/publications/defra-group-equality-diversity-and-inclusion-strategy-2020-to-2024/defra-group-equality-diversity-and-inclusion-strategy-2020-to-2024</w:t>
              </w:r>
            </w:hyperlink>
          </w:p>
          <w:p w14:paraId="214558AC" w14:textId="756D92B8" w:rsidR="433AD3FD" w:rsidRDefault="433AD3FD" w:rsidP="433AD3FD">
            <w:pPr>
              <w:tabs>
                <w:tab w:val="left" w:pos="709"/>
              </w:tabs>
              <w:rPr>
                <w:rFonts w:ascii="Arial" w:hAnsi="Arial" w:cs="Arial"/>
                <w:sz w:val="18"/>
                <w:szCs w:val="18"/>
              </w:rPr>
            </w:pPr>
          </w:p>
          <w:p w14:paraId="7092F3F4" w14:textId="77777777" w:rsidR="007E7D58" w:rsidRPr="00060369" w:rsidRDefault="007E7D58" w:rsidP="007E7D58">
            <w:pPr>
              <w:tabs>
                <w:tab w:val="left" w:pos="709"/>
              </w:tabs>
              <w:rPr>
                <w:rFonts w:ascii="Arial" w:hAnsi="Arial" w:cs="Arial"/>
                <w:sz w:val="18"/>
                <w:szCs w:val="18"/>
              </w:rPr>
            </w:pPr>
          </w:p>
          <w:p w14:paraId="50A5B873" w14:textId="2101D9EC" w:rsidR="007E7D58" w:rsidRPr="00060369" w:rsidRDefault="007E7D58" w:rsidP="007E7D58">
            <w:pPr>
              <w:tabs>
                <w:tab w:val="left" w:pos="709"/>
              </w:tabs>
              <w:rPr>
                <w:rFonts w:ascii="Arial" w:hAnsi="Arial" w:cs="Arial"/>
                <w:sz w:val="18"/>
                <w:szCs w:val="18"/>
              </w:rPr>
            </w:pPr>
            <w:r w:rsidRPr="13DFCB4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rsidTr="3FA59B5B">
        <w:tc>
          <w:tcPr>
            <w:tcW w:w="1067" w:type="dxa"/>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t>Special Terms</w:t>
            </w:r>
            <w:bookmarkEnd w:id="13"/>
          </w:p>
        </w:tc>
        <w:tc>
          <w:tcPr>
            <w:tcW w:w="7276" w:type="dxa"/>
            <w:gridSpan w:val="2"/>
            <w:shd w:val="clear" w:color="auto" w:fill="auto"/>
          </w:tcPr>
          <w:p w14:paraId="5CA25D6F" w14:textId="6E034F88" w:rsidR="007E7D58" w:rsidRPr="00607C0A" w:rsidRDefault="0730EEB4" w:rsidP="13DFCB49">
            <w:pPr>
              <w:pStyle w:val="ListParagraph"/>
              <w:spacing w:before="120" w:after="120"/>
              <w:rPr>
                <w:rFonts w:ascii="Arial" w:hAnsi="Arial" w:cs="Arial"/>
                <w:b/>
                <w:bCs/>
                <w:i/>
                <w:iCs/>
                <w:sz w:val="18"/>
                <w:szCs w:val="18"/>
              </w:rPr>
            </w:pPr>
            <w:r w:rsidRPr="13DFCB49">
              <w:rPr>
                <w:rFonts w:ascii="Arial" w:hAnsi="Arial" w:cs="Arial"/>
                <w:sz w:val="18"/>
                <w:szCs w:val="18"/>
              </w:rPr>
              <w:t>N/A</w:t>
            </w:r>
            <w:r w:rsidRPr="13DFCB49">
              <w:rPr>
                <w:rFonts w:ascii="Arial" w:hAnsi="Arial" w:cs="Arial"/>
                <w:b/>
                <w:bCs/>
                <w:i/>
                <w:iCs/>
                <w:sz w:val="18"/>
                <w:szCs w:val="18"/>
              </w:rPr>
              <w:t xml:space="preserve"> </w:t>
            </w:r>
          </w:p>
        </w:tc>
      </w:tr>
      <w:tr w:rsidR="007E7D58" w:rsidRPr="00961A47" w14:paraId="3A1B4439" w14:textId="77777777" w:rsidTr="3FA59B5B">
        <w:tc>
          <w:tcPr>
            <w:tcW w:w="1067" w:type="dxa"/>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7276" w:type="dxa"/>
            <w:gridSpan w:val="2"/>
            <w:shd w:val="clear" w:color="auto" w:fill="auto"/>
          </w:tcPr>
          <w:p w14:paraId="055CF4D8" w14:textId="4725BA1F" w:rsidR="003F07B0" w:rsidRPr="003F07B0" w:rsidRDefault="003F07B0" w:rsidP="003F07B0">
            <w:pPr>
              <w:spacing w:before="120" w:after="120"/>
              <w:rPr>
                <w:rFonts w:ascii="Arial" w:eastAsia="Arial" w:hAnsi="Arial" w:cs="Arial"/>
                <w:sz w:val="18"/>
                <w:szCs w:val="18"/>
              </w:rPr>
            </w:pPr>
            <w:r w:rsidRPr="003F07B0">
              <w:rPr>
                <w:rFonts w:ascii="Arial" w:eastAsia="Arial" w:hAnsi="Arial" w:cs="Arial"/>
                <w:sz w:val="18"/>
                <w:szCs w:val="18"/>
              </w:rPr>
              <w:t>The Supplier shall hold the following insurance cover from the start date/commencement date for the duration of the Contract in accordance with this Order Form</w:t>
            </w:r>
          </w:p>
          <w:p w14:paraId="5A29A589" w14:textId="3D2111C5" w:rsidR="003F07B0" w:rsidRPr="003F07B0" w:rsidRDefault="003F07B0" w:rsidP="003F07B0">
            <w:pPr>
              <w:pStyle w:val="ListParagraph"/>
              <w:numPr>
                <w:ilvl w:val="0"/>
                <w:numId w:val="13"/>
              </w:numPr>
              <w:spacing w:before="120" w:after="120"/>
              <w:rPr>
                <w:rFonts w:ascii="Arial" w:eastAsia="Arial" w:hAnsi="Arial" w:cs="Arial"/>
                <w:sz w:val="18"/>
                <w:szCs w:val="18"/>
              </w:rPr>
            </w:pPr>
            <w:r w:rsidRPr="003F07B0">
              <w:rPr>
                <w:rFonts w:ascii="Arial" w:eastAsia="Arial" w:hAnsi="Arial" w:cs="Arial"/>
                <w:sz w:val="18"/>
                <w:szCs w:val="18"/>
              </w:rPr>
              <w:t>Professional Indemnity insurance with cover (for a single event or multiple with an aggregate) of not less than £</w:t>
            </w:r>
            <w:r w:rsidR="005A2361">
              <w:rPr>
                <w:rFonts w:ascii="Arial" w:eastAsia="Arial" w:hAnsi="Arial" w:cs="Arial"/>
                <w:sz w:val="18"/>
                <w:szCs w:val="18"/>
              </w:rPr>
              <w:t>1</w:t>
            </w:r>
            <w:r w:rsidRPr="003F07B0">
              <w:rPr>
                <w:rFonts w:ascii="Arial" w:eastAsia="Arial" w:hAnsi="Arial" w:cs="Arial"/>
                <w:sz w:val="18"/>
                <w:szCs w:val="18"/>
              </w:rPr>
              <w:t xml:space="preserve"> </w:t>
            </w:r>
            <w:proofErr w:type="gramStart"/>
            <w:r w:rsidRPr="003F07B0">
              <w:rPr>
                <w:rFonts w:ascii="Arial" w:eastAsia="Arial" w:hAnsi="Arial" w:cs="Arial"/>
                <w:sz w:val="18"/>
                <w:szCs w:val="18"/>
              </w:rPr>
              <w:t>million;</w:t>
            </w:r>
            <w:proofErr w:type="gramEnd"/>
          </w:p>
          <w:p w14:paraId="0AC052E9" w14:textId="49CA4D15" w:rsidR="003F07B0" w:rsidRPr="003F07B0" w:rsidRDefault="003F07B0" w:rsidP="003F07B0">
            <w:pPr>
              <w:pStyle w:val="ListParagraph"/>
              <w:numPr>
                <w:ilvl w:val="0"/>
                <w:numId w:val="13"/>
              </w:numPr>
              <w:spacing w:before="120" w:after="120"/>
              <w:rPr>
                <w:rFonts w:ascii="Arial" w:eastAsia="Arial" w:hAnsi="Arial" w:cs="Arial"/>
                <w:sz w:val="18"/>
                <w:szCs w:val="18"/>
              </w:rPr>
            </w:pPr>
            <w:r w:rsidRPr="003F07B0">
              <w:rPr>
                <w:rFonts w:ascii="Arial" w:eastAsia="Arial" w:hAnsi="Arial" w:cs="Arial"/>
                <w:sz w:val="18"/>
                <w:szCs w:val="18"/>
              </w:rPr>
              <w:t>Public Liability insurance with cover (for a single event or multiple with an aggregate) of not less than £</w:t>
            </w:r>
            <w:r w:rsidR="00B15599">
              <w:rPr>
                <w:rFonts w:ascii="Arial" w:eastAsia="Arial" w:hAnsi="Arial" w:cs="Arial"/>
                <w:sz w:val="18"/>
                <w:szCs w:val="18"/>
              </w:rPr>
              <w:t>1</w:t>
            </w:r>
            <w:r w:rsidRPr="003F07B0">
              <w:rPr>
                <w:rFonts w:ascii="Arial" w:eastAsia="Arial" w:hAnsi="Arial" w:cs="Arial"/>
                <w:sz w:val="18"/>
                <w:szCs w:val="18"/>
              </w:rPr>
              <w:t xml:space="preserve"> </w:t>
            </w:r>
            <w:proofErr w:type="gramStart"/>
            <w:r w:rsidRPr="003F07B0">
              <w:rPr>
                <w:rFonts w:ascii="Arial" w:eastAsia="Arial" w:hAnsi="Arial" w:cs="Arial"/>
                <w:sz w:val="18"/>
                <w:szCs w:val="18"/>
              </w:rPr>
              <w:t>million;</w:t>
            </w:r>
            <w:proofErr w:type="gramEnd"/>
          </w:p>
          <w:p w14:paraId="703060B4" w14:textId="2F5F780B" w:rsidR="007E7D58" w:rsidRPr="003F07B0" w:rsidRDefault="003F07B0" w:rsidP="003F07B0">
            <w:pPr>
              <w:pStyle w:val="ListParagraph"/>
              <w:numPr>
                <w:ilvl w:val="0"/>
                <w:numId w:val="13"/>
              </w:numPr>
              <w:spacing w:before="120" w:after="120"/>
              <w:rPr>
                <w:rFonts w:ascii="Arial" w:eastAsia="Arial" w:hAnsi="Arial" w:cs="Arial"/>
                <w:sz w:val="18"/>
                <w:szCs w:val="18"/>
              </w:rPr>
            </w:pPr>
            <w:r w:rsidRPr="003F07B0">
              <w:rPr>
                <w:rFonts w:ascii="Arial" w:eastAsia="Arial" w:hAnsi="Arial" w:cs="Arial"/>
                <w:sz w:val="18"/>
                <w:szCs w:val="18"/>
              </w:rPr>
              <w:t>Employers Liability insurance with cover (for a single event or multiple with an aggregate) of not less than £</w:t>
            </w:r>
            <w:r w:rsidR="00B15599">
              <w:rPr>
                <w:rFonts w:ascii="Arial" w:eastAsia="Arial" w:hAnsi="Arial" w:cs="Arial"/>
                <w:sz w:val="18"/>
                <w:szCs w:val="18"/>
              </w:rPr>
              <w:t>1</w:t>
            </w:r>
            <w:r w:rsidRPr="003F07B0">
              <w:rPr>
                <w:rFonts w:ascii="Arial" w:eastAsia="Arial" w:hAnsi="Arial" w:cs="Arial"/>
                <w:sz w:val="18"/>
                <w:szCs w:val="18"/>
              </w:rPr>
              <w:t xml:space="preserve"> </w:t>
            </w:r>
            <w:proofErr w:type="gramStart"/>
            <w:r w:rsidRPr="003F07B0">
              <w:rPr>
                <w:rFonts w:ascii="Arial" w:eastAsia="Arial" w:hAnsi="Arial" w:cs="Arial"/>
                <w:sz w:val="18"/>
                <w:szCs w:val="18"/>
              </w:rPr>
              <w:t>million;</w:t>
            </w:r>
            <w:proofErr w:type="gramEnd"/>
          </w:p>
          <w:p w14:paraId="3E1CFC39" w14:textId="354FCE7C" w:rsidR="007E7D58" w:rsidRPr="00060369" w:rsidRDefault="007E7D58" w:rsidP="370379E5">
            <w:pPr>
              <w:spacing w:before="120" w:after="120"/>
              <w:rPr>
                <w:rFonts w:ascii="Arial" w:eastAsia="Arial" w:hAnsi="Arial" w:cs="Arial"/>
                <w:sz w:val="18"/>
                <w:szCs w:val="18"/>
                <w:highlight w:val="cyan"/>
              </w:rPr>
            </w:pPr>
          </w:p>
          <w:p w14:paraId="1AE40EDF" w14:textId="3EFB2690" w:rsidR="007E7D58" w:rsidRPr="00060369" w:rsidRDefault="007E7D58" w:rsidP="370379E5">
            <w:pPr>
              <w:spacing w:before="120" w:after="120"/>
              <w:rPr>
                <w:rFonts w:ascii="Arial" w:eastAsia="Arial" w:hAnsi="Arial" w:cs="Arial"/>
                <w:sz w:val="18"/>
                <w:szCs w:val="18"/>
                <w:highlight w:val="cyan"/>
              </w:rPr>
            </w:pPr>
          </w:p>
        </w:tc>
      </w:tr>
      <w:tr w:rsidR="007E7D58" w:rsidRPr="00961A47" w14:paraId="5FF59053" w14:textId="77777777" w:rsidTr="3FA59B5B">
        <w:tc>
          <w:tcPr>
            <w:tcW w:w="1067" w:type="dxa"/>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7276" w:type="dxa"/>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7BBC748C"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1"/>
                  <w14:checkedState w14:val="2612" w14:font="MS Gothic"/>
                  <w14:uncheckedState w14:val="2610" w14:font="MS Gothic"/>
                </w14:checkbox>
              </w:sdtPr>
              <w:sdtContent>
                <w:r w:rsidR="005A1B38">
                  <w:rPr>
                    <w:rFonts w:ascii="MS Gothic" w:eastAsia="MS Gothic" w:hAnsi="MS Gothic" w:cs="Arial" w:hint="eastAsia"/>
                    <w:b/>
                    <w:bCs/>
                    <w:sz w:val="18"/>
                    <w:szCs w:val="18"/>
                  </w:rPr>
                  <w:t>☒</w:t>
                </w:r>
              </w:sdtContent>
            </w:sdt>
          </w:p>
          <w:p w14:paraId="5A5B1FF0" w14:textId="32B9A09A"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0"/>
                  <w14:checkedState w14:val="2612" w14:font="MS Gothic"/>
                  <w14:uncheckedState w14:val="2610" w14:font="MS Gothic"/>
                </w14:checkbox>
              </w:sdtPr>
              <w:sdtContent>
                <w:r w:rsidRPr="00280C77">
                  <w:rPr>
                    <w:rFonts w:ascii="Segoe UI Symbol" w:eastAsia="MS Gothic" w:hAnsi="Segoe UI Symbol" w:cs="Segoe UI Symbol"/>
                    <w:b/>
                    <w:bCs/>
                    <w:sz w:val="18"/>
                    <w:szCs w:val="18"/>
                  </w:rPr>
                  <w:t>☐</w:t>
                </w:r>
              </w:sdtContent>
            </w:sdt>
          </w:p>
          <w:p w14:paraId="6AE812DC" w14:textId="05B77384"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5A4033C0" w14:textId="42FF42A7" w:rsidR="00CD78B4" w:rsidRDefault="00CD78B4">
      <w:pPr>
        <w:rPr>
          <w:rFonts w:ascii="Arial" w:hAnsi="Arial" w:cs="Arial"/>
          <w:b/>
          <w:i/>
          <w:sz w:val="18"/>
          <w:szCs w:val="18"/>
          <w:highlight w:val="cyan"/>
        </w:rPr>
      </w:pPr>
      <w:r>
        <w:rPr>
          <w:rFonts w:ascii="Arial" w:hAnsi="Arial" w:cs="Arial"/>
          <w:b/>
          <w:i/>
          <w:sz w:val="18"/>
          <w:szCs w:val="18"/>
          <w:highlight w:val="cyan"/>
        </w:rPr>
        <w:br w:type="page"/>
      </w:r>
    </w:p>
    <w:p w14:paraId="55ACE8D1"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370379E5">
        <w:trPr>
          <w:trHeight w:val="997"/>
        </w:trPr>
        <w:tc>
          <w:tcPr>
            <w:tcW w:w="5089" w:type="dxa"/>
            <w:shd w:val="clear" w:color="auto" w:fill="D5DCE4" w:themeFill="text2" w:themeFillTint="33"/>
          </w:tcPr>
          <w:p w14:paraId="149FDB35" w14:textId="2E5C8A25" w:rsidR="009C2213" w:rsidRPr="00961A47" w:rsidRDefault="00964799" w:rsidP="00305C6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hemeFill="text2" w:themeFillTint="33"/>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rsidP="00305C69">
            <w:pPr>
              <w:tabs>
                <w:tab w:val="left" w:pos="709"/>
              </w:tabs>
              <w:rPr>
                <w:rFonts w:ascii="Arial" w:eastAsia="Arial" w:hAnsi="Arial" w:cs="Arial"/>
                <w:szCs w:val="22"/>
              </w:rPr>
            </w:pPr>
          </w:p>
        </w:tc>
      </w:tr>
      <w:tr w:rsidR="009C2213" w:rsidRPr="00961A47" w14:paraId="19BF07DB" w14:textId="77777777" w:rsidTr="370379E5">
        <w:trPr>
          <w:trHeight w:val="1630"/>
        </w:trPr>
        <w:tc>
          <w:tcPr>
            <w:tcW w:w="5089" w:type="dxa"/>
            <w:shd w:val="clear" w:color="auto" w:fill="D5DCE4" w:themeFill="text2" w:themeFillTint="33"/>
          </w:tcPr>
          <w:p w14:paraId="2FE5D8CE"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Name: </w:t>
            </w:r>
          </w:p>
          <w:p w14:paraId="4CC609F6" w14:textId="77777777" w:rsidR="00B15599" w:rsidRPr="00B15599" w:rsidRDefault="00B15599" w:rsidP="00B15599">
            <w:pPr>
              <w:tabs>
                <w:tab w:val="left" w:pos="709"/>
              </w:tabs>
              <w:rPr>
                <w:rFonts w:ascii="Arial" w:eastAsia="Arial" w:hAnsi="Arial" w:cs="Arial"/>
                <w:szCs w:val="22"/>
              </w:rPr>
            </w:pPr>
            <w:r w:rsidRPr="00B15599">
              <w:rPr>
                <w:rFonts w:ascii="Arial" w:eastAsia="Arial" w:hAnsi="Arial" w:cs="Arial"/>
                <w:szCs w:val="22"/>
              </w:rPr>
              <w:t>[</w:t>
            </w:r>
            <w:r w:rsidRPr="00B15599">
              <w:rPr>
                <w:rFonts w:ascii="Arial" w:eastAsia="Arial" w:hAnsi="Arial" w:cs="Arial"/>
                <w:b/>
                <w:szCs w:val="22"/>
              </w:rPr>
              <w:t>Insert</w:t>
            </w:r>
            <w:r w:rsidRPr="00B15599">
              <w:rPr>
                <w:rFonts w:ascii="Arial" w:eastAsia="Arial" w:hAnsi="Arial" w:cs="Arial"/>
                <w:szCs w:val="22"/>
              </w:rPr>
              <w:t xml:space="preserve"> name]</w:t>
            </w:r>
          </w:p>
          <w:p w14:paraId="647901E6" w14:textId="77777777" w:rsidR="00B15599" w:rsidRPr="00B15599" w:rsidRDefault="00B15599" w:rsidP="00B15599">
            <w:pPr>
              <w:tabs>
                <w:tab w:val="left" w:pos="709"/>
              </w:tabs>
              <w:rPr>
                <w:rFonts w:ascii="Arial" w:eastAsia="Arial" w:hAnsi="Arial" w:cs="Arial"/>
                <w:szCs w:val="22"/>
              </w:rPr>
            </w:pPr>
          </w:p>
          <w:p w14:paraId="31007C2E" w14:textId="114AC51A" w:rsidR="009C2213" w:rsidRPr="00961A47" w:rsidRDefault="00B15599" w:rsidP="00B15599">
            <w:pPr>
              <w:tabs>
                <w:tab w:val="left" w:pos="709"/>
              </w:tabs>
              <w:rPr>
                <w:rFonts w:ascii="Arial" w:eastAsia="Arial" w:hAnsi="Arial" w:cs="Arial"/>
                <w:szCs w:val="22"/>
              </w:rPr>
            </w:pPr>
            <w:r w:rsidRPr="00B15599">
              <w:rPr>
                <w:rFonts w:ascii="Arial" w:eastAsia="Arial" w:hAnsi="Arial" w:cs="Arial"/>
                <w:szCs w:val="22"/>
              </w:rPr>
              <w:t>[</w:t>
            </w:r>
            <w:r w:rsidRPr="00B15599">
              <w:rPr>
                <w:rFonts w:ascii="Arial" w:eastAsia="Arial" w:hAnsi="Arial" w:cs="Arial"/>
                <w:b/>
                <w:szCs w:val="22"/>
              </w:rPr>
              <w:t>Insert</w:t>
            </w:r>
            <w:r w:rsidRPr="00B15599">
              <w:rPr>
                <w:rFonts w:ascii="Arial" w:eastAsia="Arial" w:hAnsi="Arial" w:cs="Arial"/>
                <w:szCs w:val="22"/>
              </w:rPr>
              <w:t xml:space="preserve"> job title]</w:t>
            </w:r>
          </w:p>
        </w:tc>
        <w:tc>
          <w:tcPr>
            <w:tcW w:w="5089" w:type="dxa"/>
            <w:shd w:val="clear" w:color="auto" w:fill="D5DCE4" w:themeFill="text2" w:themeFillTint="33"/>
          </w:tcPr>
          <w:p w14:paraId="7AA8ADED"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rsidP="00305C69">
            <w:pPr>
              <w:tabs>
                <w:tab w:val="left" w:pos="709"/>
              </w:tabs>
              <w:rPr>
                <w:rFonts w:ascii="Arial" w:hAnsi="Arial" w:cs="Arial"/>
                <w:szCs w:val="22"/>
              </w:rPr>
            </w:pPr>
          </w:p>
          <w:p w14:paraId="3C0EAAE6" w14:textId="77777777" w:rsidR="009C2213" w:rsidRPr="00961A47" w:rsidRDefault="009C2213" w:rsidP="00305C69">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370379E5">
        <w:tc>
          <w:tcPr>
            <w:tcW w:w="5089" w:type="dxa"/>
            <w:shd w:val="clear" w:color="auto" w:fill="D5DCE4" w:themeFill="text2" w:themeFillTint="33"/>
          </w:tcPr>
          <w:p w14:paraId="509D2F47" w14:textId="656C8632" w:rsidR="009C2213" w:rsidRPr="00961A47" w:rsidRDefault="009C2213" w:rsidP="2B83F709">
            <w:pPr>
              <w:tabs>
                <w:tab w:val="left" w:pos="709"/>
              </w:tabs>
              <w:rPr>
                <w:rFonts w:ascii="Arial" w:hAnsi="Arial" w:cs="Arial"/>
              </w:rPr>
            </w:pPr>
            <w:r w:rsidRPr="2B83F709">
              <w:rPr>
                <w:rFonts w:ascii="Arial" w:hAnsi="Arial" w:cs="Arial"/>
              </w:rPr>
              <w:t xml:space="preserve">Date: </w:t>
            </w:r>
          </w:p>
          <w:p w14:paraId="392BA503" w14:textId="77777777" w:rsidR="009C2213" w:rsidRPr="00961A47" w:rsidRDefault="009C2213" w:rsidP="00305C69">
            <w:pPr>
              <w:tabs>
                <w:tab w:val="left" w:pos="709"/>
              </w:tabs>
              <w:rPr>
                <w:rFonts w:ascii="Arial" w:eastAsia="Arial" w:hAnsi="Arial" w:cs="Arial"/>
                <w:szCs w:val="22"/>
              </w:rPr>
            </w:pPr>
          </w:p>
        </w:tc>
        <w:tc>
          <w:tcPr>
            <w:tcW w:w="5089" w:type="dxa"/>
            <w:shd w:val="clear" w:color="auto" w:fill="D5DCE4" w:themeFill="text2" w:themeFillTint="33"/>
          </w:tcPr>
          <w:p w14:paraId="5A664558"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370379E5">
        <w:tc>
          <w:tcPr>
            <w:tcW w:w="5089" w:type="dxa"/>
            <w:shd w:val="clear" w:color="auto" w:fill="D5DCE4" w:themeFill="text2" w:themeFillTint="33"/>
          </w:tcPr>
          <w:p w14:paraId="4BA0D5EB" w14:textId="76506567" w:rsidR="009C2213" w:rsidRPr="00961A47" w:rsidRDefault="009C2213" w:rsidP="2B83F709">
            <w:pPr>
              <w:tabs>
                <w:tab w:val="left" w:pos="709"/>
              </w:tabs>
              <w:rPr>
                <w:rFonts w:ascii="Arial" w:eastAsia="Arial" w:hAnsi="Arial" w:cs="Arial"/>
              </w:rPr>
            </w:pPr>
            <w:r w:rsidRPr="2B83F709">
              <w:rPr>
                <w:rFonts w:ascii="Arial" w:hAnsi="Arial" w:cs="Arial"/>
              </w:rPr>
              <w:t>Signature:</w:t>
            </w:r>
            <w:r w:rsidR="4C189D69" w:rsidRPr="2B83F709">
              <w:rPr>
                <w:rFonts w:ascii="Arial" w:hAnsi="Arial" w:cs="Arial"/>
              </w:rPr>
              <w:t xml:space="preserve"> </w:t>
            </w:r>
          </w:p>
        </w:tc>
        <w:tc>
          <w:tcPr>
            <w:tcW w:w="5089" w:type="dxa"/>
            <w:shd w:val="clear" w:color="auto" w:fill="D5DCE4" w:themeFill="text2" w:themeFillTint="33"/>
          </w:tcPr>
          <w:p w14:paraId="743B6552"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4813528D" w:rsidR="0034450F" w:rsidRDefault="0034450F" w:rsidP="0034450F">
      <w:pPr>
        <w:rPr>
          <w:rStyle w:val="Important"/>
          <w:b w:val="0"/>
          <w:bCs w:val="0"/>
          <w:color w:val="auto"/>
        </w:rPr>
      </w:pPr>
      <w:r w:rsidRPr="370379E5">
        <w:rPr>
          <w:rFonts w:ascii="Arial" w:hAnsi="Arial" w:cs="Arial"/>
        </w:rPr>
        <w:t xml:space="preserve">The Customer’s Standard Good &amp; Services Terms and Conditions which </w:t>
      </w:r>
      <w:r w:rsidRPr="370379E5">
        <w:rPr>
          <w:rStyle w:val="Important"/>
          <w:b w:val="0"/>
          <w:bCs w:val="0"/>
          <w:color w:val="auto"/>
        </w:rPr>
        <w:t>can be located on the</w:t>
      </w:r>
      <w:r w:rsidRPr="370379E5">
        <w:rPr>
          <w:rStyle w:val="Important"/>
          <w:color w:val="auto"/>
        </w:rPr>
        <w:t xml:space="preserve"> </w:t>
      </w:r>
      <w:hyperlink r:id="rId21">
        <w:r w:rsidRPr="370379E5">
          <w:rPr>
            <w:rStyle w:val="Hyperlink"/>
            <w:rFonts w:ascii="Arial" w:hAnsi="Arial" w:cs="Arial"/>
          </w:rPr>
          <w:t>Environment Agency Website</w:t>
        </w:r>
      </w:hyperlink>
      <w:r w:rsidRPr="370379E5">
        <w:rPr>
          <w:rStyle w:val="Important"/>
        </w:rPr>
        <w:t xml:space="preserve"> </w:t>
      </w:r>
      <w:r w:rsidR="00005103" w:rsidRPr="370379E5">
        <w:rPr>
          <w:rStyle w:val="Important"/>
        </w:rPr>
        <w:t xml:space="preserve"> </w:t>
      </w:r>
      <w:r w:rsidR="00005103" w:rsidRPr="370379E5">
        <w:rPr>
          <w:rStyle w:val="Important"/>
          <w:b w:val="0"/>
          <w:bCs w:val="0"/>
          <w:color w:val="auto"/>
        </w:rPr>
        <w:t>and which are</w:t>
      </w:r>
      <w:r w:rsidRPr="370379E5">
        <w:rPr>
          <w:rStyle w:val="Important"/>
          <w:b w:val="0"/>
          <w:bCs w:val="0"/>
          <w:color w:val="auto"/>
        </w:rPr>
        <w:t xml:space="preserve"> called ‘Standard Goods &amp; Services Terms and Conditions (EA)’</w:t>
      </w:r>
    </w:p>
    <w:p w14:paraId="66A7BE04" w14:textId="77777777" w:rsidR="00E1717F" w:rsidRDefault="00E1717F" w:rsidP="0034450F">
      <w:pPr>
        <w:rPr>
          <w:rStyle w:val="Important"/>
          <w:b w:val="0"/>
          <w:bCs w:val="0"/>
          <w:color w:val="auto"/>
        </w:rPr>
      </w:pPr>
    </w:p>
    <w:p w14:paraId="223A9615" w14:textId="77777777" w:rsidR="00E1717F" w:rsidRPr="00694132" w:rsidRDefault="00E1717F" w:rsidP="0034450F">
      <w:pPr>
        <w:rPr>
          <w:rFonts w:ascii="Calibri" w:hAnsi="Calibri" w:cs="Calibri"/>
          <w:sz w:val="18"/>
          <w:szCs w:val="18"/>
        </w:rPr>
      </w:pPr>
    </w:p>
    <w:p w14:paraId="1CC6186E" w14:textId="34C20A60" w:rsidR="370379E5" w:rsidRDefault="007B5C2E" w:rsidP="370379E5">
      <w:pPr>
        <w:rPr>
          <w:rStyle w:val="Important"/>
          <w:b w:val="0"/>
          <w:bCs w:val="0"/>
          <w:color w:val="auto"/>
        </w:rPr>
      </w:pPr>
      <w:hyperlink r:id="rId22" w:history="1">
        <w:r w:rsidRPr="00694FDF">
          <w:rPr>
            <w:rStyle w:val="Hyperlink"/>
            <w:rFonts w:ascii="Arial" w:hAnsi="Arial" w:cs="Arial"/>
          </w:rPr>
          <w:t>https://www.gov.uk/government/publications/environment-agency-terms-and-conditions-for-goods-and-services/standard-goods-and-services-terms-and-conditions-10000-to-50000</w:t>
        </w:r>
      </w:hyperlink>
    </w:p>
    <w:p w14:paraId="501366F1" w14:textId="77777777" w:rsidR="007B5C2E" w:rsidRDefault="007B5C2E" w:rsidP="370379E5">
      <w:pPr>
        <w:rPr>
          <w:rStyle w:val="Important"/>
          <w:b w:val="0"/>
          <w:bCs w:val="0"/>
          <w:color w:val="auto"/>
        </w:rPr>
      </w:pPr>
    </w:p>
    <w:p w14:paraId="51B4582B" w14:textId="77777777" w:rsidR="007B5C2E" w:rsidRDefault="007B5C2E" w:rsidP="370379E5">
      <w:pPr>
        <w:rPr>
          <w:rStyle w:val="Important"/>
          <w:b w:val="0"/>
          <w:bCs w:val="0"/>
          <w:color w:val="auto"/>
        </w:rPr>
      </w:pPr>
    </w:p>
    <w:p w14:paraId="210C0622" w14:textId="7DA691CE" w:rsidR="370379E5" w:rsidRDefault="370379E5" w:rsidP="370379E5">
      <w:pPr>
        <w:rPr>
          <w:rStyle w:val="Important"/>
          <w:b w:val="0"/>
          <w:bCs w:val="0"/>
          <w:color w:val="auto"/>
        </w:rPr>
      </w:pPr>
    </w:p>
    <w:p w14:paraId="234D9B8C" w14:textId="77777777" w:rsidR="00694132" w:rsidRDefault="00694132">
      <w:pPr>
        <w:rPr>
          <w:b/>
          <w:bCs/>
        </w:rPr>
      </w:pPr>
      <w:r>
        <w:rPr>
          <w:b/>
          <w:bCs/>
        </w:rPr>
        <w:br w:type="page"/>
      </w:r>
    </w:p>
    <w:p w14:paraId="1D3B8839" w14:textId="36C34197" w:rsidR="00DF1F5A" w:rsidRDefault="00964799" w:rsidP="00964799">
      <w:pPr>
        <w:jc w:val="center"/>
        <w:rPr>
          <w:b/>
          <w:bCs/>
        </w:rPr>
      </w:pPr>
      <w:r w:rsidRPr="3D8E81BD">
        <w:rPr>
          <w:b/>
          <w:bCs/>
        </w:rPr>
        <w:lastRenderedPageBreak/>
        <w:t>A</w:t>
      </w:r>
      <w:r w:rsidR="00BF4F9C" w:rsidRPr="3D8E81BD">
        <w:rPr>
          <w:b/>
          <w:bCs/>
        </w:rPr>
        <w:t>ppendix</w:t>
      </w:r>
      <w:r w:rsidRPr="3D8E81BD">
        <w:rPr>
          <w:b/>
          <w:bCs/>
        </w:rPr>
        <w:t xml:space="preserve"> 2: Specification</w:t>
      </w:r>
      <w:r w:rsidR="008B397E" w:rsidRPr="3D8E81BD">
        <w:rPr>
          <w:b/>
          <w:bCs/>
        </w:rPr>
        <w:t xml:space="preserve">/Description </w:t>
      </w:r>
    </w:p>
    <w:p w14:paraId="20F04C51" w14:textId="32F17AD0" w:rsidR="0028704B" w:rsidRPr="009D6BFB" w:rsidRDefault="0028704B" w:rsidP="00964799">
      <w:pPr>
        <w:jc w:val="center"/>
        <w:rPr>
          <w:b/>
          <w:bCs/>
        </w:rPr>
      </w:pPr>
    </w:p>
    <w:p w14:paraId="608567CA" w14:textId="27B47200" w:rsidR="3D8E81BD" w:rsidRDefault="077CBCEF" w:rsidP="063DBD0C">
      <w:pPr>
        <w:pStyle w:val="Subheading"/>
        <w:rPr>
          <w:rFonts w:ascii="Aptos" w:eastAsia="Aptos" w:hAnsi="Aptos" w:cs="Aptos"/>
          <w:color w:val="000000" w:themeColor="text1"/>
          <w:lang w:val="en-NZ"/>
        </w:rPr>
      </w:pPr>
      <w:r w:rsidRPr="063DBD0C">
        <w:rPr>
          <w:rFonts w:ascii="Aptos" w:eastAsia="Aptos" w:hAnsi="Aptos" w:cs="Aptos"/>
          <w:color w:val="000000" w:themeColor="text1"/>
        </w:rPr>
        <w:t xml:space="preserve">Specification of Requirements </w:t>
      </w:r>
    </w:p>
    <w:p w14:paraId="52E857D1" w14:textId="332C6D7E" w:rsidR="3D8E81BD" w:rsidRDefault="077CBCEF" w:rsidP="063DBD0C">
      <w:pPr>
        <w:pStyle w:val="Subheading"/>
        <w:spacing w:after="0" w:line="240" w:lineRule="auto"/>
        <w:rPr>
          <w:rFonts w:ascii="Aptos" w:eastAsia="Aptos" w:hAnsi="Aptos" w:cs="Aptos"/>
          <w:color w:val="000000" w:themeColor="text1"/>
          <w:lang w:val="en-NZ"/>
        </w:rPr>
      </w:pPr>
      <w:r w:rsidRPr="063DBD0C">
        <w:rPr>
          <w:rFonts w:ascii="Aptos" w:eastAsia="Aptos" w:hAnsi="Aptos" w:cs="Aptos"/>
          <w:color w:val="000000" w:themeColor="text1"/>
        </w:rPr>
        <w:t xml:space="preserve">Background to requirement </w:t>
      </w:r>
    </w:p>
    <w:p w14:paraId="53189EA0" w14:textId="220B6131" w:rsidR="3D8E81BD" w:rsidRDefault="3D8E81BD" w:rsidP="063DBD0C">
      <w:pPr>
        <w:rPr>
          <w:rFonts w:ascii="Aptos" w:eastAsia="Aptos" w:hAnsi="Aptos" w:cs="Aptos"/>
          <w:b/>
          <w:bCs/>
          <w:color w:val="000000" w:themeColor="text1"/>
          <w:sz w:val="26"/>
          <w:szCs w:val="26"/>
        </w:rPr>
      </w:pPr>
    </w:p>
    <w:p w14:paraId="0AA0AF34" w14:textId="7B88CBF0" w:rsidR="3D8E81BD" w:rsidRDefault="077CBCEF" w:rsidP="063DBD0C">
      <w:pPr>
        <w:jc w:val="both"/>
        <w:rPr>
          <w:rFonts w:ascii="Aptos" w:eastAsia="Aptos" w:hAnsi="Aptos" w:cs="Aptos"/>
          <w:color w:val="000000" w:themeColor="text1"/>
        </w:rPr>
      </w:pPr>
      <w:r w:rsidRPr="063DBD0C">
        <w:rPr>
          <w:rStyle w:val="normaltextrun"/>
          <w:rFonts w:ascii="Aptos" w:eastAsia="Aptos" w:hAnsi="Aptos" w:cs="Aptos"/>
          <w:color w:val="000000" w:themeColor="text1"/>
          <w:lang w:val="en-GB"/>
        </w:rPr>
        <w:t>Polyfluoroalkyl and perfluoroalkyl substances (PFAS) are a broad group of synthetic fluorinated organic chemicals which are extremely persistent in the environment. Some are bio-accumulative and toxic, and/or highly mobile. PFAS are used in a wide variety of consumer products and industrial applications because of their unique chemical and physical properties, including oil, water and stain repellence, temperature and chemical resistance, and surfactant properties. PFAS have been used as surfactants (including aqueous film fire-fighting foams (AFFFs), non-stick metal coatings for frying pans, paper food packaging, creams and cosmetics, textiles for furniture and waterproof outdoor clothing, paints and photography, chrome plating, pesticides, and pharmaceuticals and polymer manufacturing.</w:t>
      </w:r>
    </w:p>
    <w:p w14:paraId="626A22B8" w14:textId="14E9AF98" w:rsidR="3D8E81BD" w:rsidRDefault="3D8E81BD" w:rsidP="063DBD0C">
      <w:pPr>
        <w:jc w:val="both"/>
        <w:rPr>
          <w:rFonts w:ascii="Aptos" w:eastAsia="Aptos" w:hAnsi="Aptos" w:cs="Aptos"/>
          <w:color w:val="000000" w:themeColor="text1"/>
        </w:rPr>
      </w:pPr>
    </w:p>
    <w:p w14:paraId="00DECA64" w14:textId="2AAD2D03" w:rsidR="3D8E81BD" w:rsidRDefault="077CBCEF" w:rsidP="063DBD0C">
      <w:pPr>
        <w:jc w:val="both"/>
        <w:rPr>
          <w:rFonts w:ascii="Aptos" w:eastAsia="Aptos" w:hAnsi="Aptos" w:cs="Aptos"/>
          <w:color w:val="000000" w:themeColor="text1"/>
        </w:rPr>
      </w:pPr>
      <w:r w:rsidRPr="063DBD0C">
        <w:rPr>
          <w:rStyle w:val="normaltextrun"/>
          <w:rFonts w:ascii="Aptos" w:eastAsia="Aptos" w:hAnsi="Aptos" w:cs="Aptos"/>
          <w:color w:val="000000" w:themeColor="text1"/>
          <w:lang w:val="en-GB"/>
        </w:rPr>
        <w:t xml:space="preserve">As such, PFAS are widespread within the water environment because of the direct and indirect pathways into watercourses from these various applications. This is further compounded by its persistent nature which means that once it enters the environment, it will stay. Although the science of PFAS in the environment is still developing, the widespread occurrence and potential environmental and human health effects means that the management of key PFAS in the water environment within England is a priority for the Environment Agency (EA) &amp; DEFRA.  </w:t>
      </w:r>
    </w:p>
    <w:p w14:paraId="44DF956B" w14:textId="687D05A4" w:rsidR="3D8E81BD" w:rsidRDefault="3D8E81BD" w:rsidP="063DBD0C">
      <w:pPr>
        <w:jc w:val="both"/>
        <w:rPr>
          <w:rFonts w:ascii="Aptos" w:eastAsia="Aptos" w:hAnsi="Aptos" w:cs="Aptos"/>
          <w:color w:val="000000" w:themeColor="text1"/>
        </w:rPr>
      </w:pPr>
    </w:p>
    <w:p w14:paraId="5B5611A6" w14:textId="28BC6262" w:rsidR="3D8E81BD" w:rsidRDefault="077CBCEF" w:rsidP="063DBD0C">
      <w:pPr>
        <w:jc w:val="both"/>
        <w:rPr>
          <w:rFonts w:ascii="Aptos" w:eastAsia="Aptos" w:hAnsi="Aptos" w:cs="Aptos"/>
          <w:color w:val="000000" w:themeColor="text1"/>
        </w:rPr>
      </w:pPr>
      <w:r w:rsidRPr="063DBD0C">
        <w:rPr>
          <w:rStyle w:val="normaltextrun"/>
          <w:rFonts w:ascii="Aptos" w:eastAsia="Aptos" w:hAnsi="Aptos" w:cs="Aptos"/>
          <w:color w:val="000000" w:themeColor="text1"/>
          <w:lang w:val="en-GB"/>
        </w:rPr>
        <w:t>Treatment solutions for PFAS for both water and soils are emerging onto the market. The EA has a duty to understand these and needs to have the ability to be able to regulate existing technologies, as well as quickly develop approaches to regulating more innovative remediation technologies.</w:t>
      </w:r>
    </w:p>
    <w:p w14:paraId="7017FE6D" w14:textId="16F6A404" w:rsidR="3D8E81BD" w:rsidRDefault="3D8E81BD" w:rsidP="063DBD0C">
      <w:pPr>
        <w:jc w:val="both"/>
        <w:rPr>
          <w:rFonts w:ascii="Aptos" w:eastAsia="Aptos" w:hAnsi="Aptos" w:cs="Aptos"/>
          <w:color w:val="000000" w:themeColor="text1"/>
        </w:rPr>
      </w:pPr>
    </w:p>
    <w:p w14:paraId="4FB9B7AA" w14:textId="68FB6A11" w:rsidR="3D8E81BD" w:rsidRDefault="077CBCEF" w:rsidP="063DBD0C">
      <w:pPr>
        <w:jc w:val="both"/>
        <w:rPr>
          <w:rFonts w:ascii="Aptos" w:eastAsia="Aptos" w:hAnsi="Aptos" w:cs="Aptos"/>
          <w:color w:val="000000" w:themeColor="text1"/>
        </w:rPr>
      </w:pPr>
      <w:r w:rsidRPr="063DBD0C">
        <w:rPr>
          <w:rStyle w:val="normaltextrun"/>
          <w:rFonts w:ascii="Aptos" w:eastAsia="Aptos" w:hAnsi="Aptos" w:cs="Aptos"/>
          <w:color w:val="000000" w:themeColor="text1"/>
          <w:lang w:val="en-GB"/>
        </w:rPr>
        <w:t xml:space="preserve">In 2022, the EA commissioned Geosyntec Consultants Ltd to produce a Lines of Evidence Approach to Assess the Effectiveness of PFAS Remediation Technologies, in line with what they had produced for the US Department of Defence in 2021. With the proposed PFAS Lines of Evidence Approach Upskilling Project in mind, we re-commissioned Geosyntec in 2023 to update the report to ensure we were in the best possible place in terms of our knowledge of both in-development and field-tested remediation technologies for PFAS. The updated report also included further detail on the importance of treatment trains when looking to remediate PFAS contamination. This year (2024/25) the EA would like to develop the approach to provide guidance and upskilling resources both internally as well as externalising the approach with industry, i.e. to include the production of external materials to ensure the wider PFAS remediation industry are aware of what our expectations are when we are reviewing remediation options appraisals and remediation strategies.  </w:t>
      </w:r>
    </w:p>
    <w:p w14:paraId="0CBF65F7" w14:textId="74914EBD" w:rsidR="3D8E81BD" w:rsidRDefault="3D8E81BD" w:rsidP="063DBD0C">
      <w:pPr>
        <w:jc w:val="both"/>
        <w:rPr>
          <w:rFonts w:ascii="Aptos" w:eastAsia="Aptos" w:hAnsi="Aptos" w:cs="Aptos"/>
          <w:color w:val="000000" w:themeColor="text1"/>
        </w:rPr>
      </w:pPr>
    </w:p>
    <w:p w14:paraId="6E9AF4B4" w14:textId="3DE60730" w:rsidR="3D8E81BD" w:rsidRDefault="077CBCEF" w:rsidP="063DBD0C">
      <w:pPr>
        <w:jc w:val="both"/>
        <w:rPr>
          <w:rFonts w:ascii="Aptos" w:eastAsia="Aptos" w:hAnsi="Aptos" w:cs="Aptos"/>
          <w:color w:val="000000" w:themeColor="text1"/>
        </w:rPr>
      </w:pPr>
      <w:r w:rsidRPr="063DBD0C">
        <w:rPr>
          <w:rStyle w:val="normaltextrun"/>
          <w:rFonts w:ascii="Aptos" w:eastAsia="Aptos" w:hAnsi="Aptos" w:cs="Aptos"/>
          <w:color w:val="000000" w:themeColor="text1"/>
          <w:lang w:val="en-GB"/>
        </w:rPr>
        <w:t>By providing EA operational staff with guidance and examples of real-life applications of the lines of evidence approach, it will be possible to develop a more robust and consistent regulatory approach to PFAS remediation across England. The EA propose to consult with the devolved authorities on this project (i.e. Natural Resources Wales (NRW), Scottish Environment Protection Agency (SEPA) and Northern Ireland Environment Agency (NIEA) to aim to get buy-</w:t>
      </w:r>
      <w:proofErr w:type="gramStart"/>
      <w:r w:rsidRPr="063DBD0C">
        <w:rPr>
          <w:rStyle w:val="normaltextrun"/>
          <w:rFonts w:ascii="Aptos" w:eastAsia="Aptos" w:hAnsi="Aptos" w:cs="Aptos"/>
          <w:color w:val="000000" w:themeColor="text1"/>
          <w:lang w:val="en-GB"/>
        </w:rPr>
        <w:t>in;</w:t>
      </w:r>
      <w:proofErr w:type="gramEnd"/>
      <w:r w:rsidRPr="063DBD0C">
        <w:rPr>
          <w:rStyle w:val="normaltextrun"/>
          <w:rFonts w:ascii="Aptos" w:eastAsia="Aptos" w:hAnsi="Aptos" w:cs="Aptos"/>
          <w:color w:val="000000" w:themeColor="text1"/>
          <w:lang w:val="en-GB"/>
        </w:rPr>
        <w:t xml:space="preserve"> ensuring a consistent approach across the UK. On completion of this project and embedding of the deliverables internally and externally, the EA will be able to be a more effective regulator and support the prevention of further environmental damage resulting from PFAS.</w:t>
      </w:r>
    </w:p>
    <w:p w14:paraId="7A6B7BA9" w14:textId="4D48590F" w:rsidR="3D8E81BD" w:rsidRDefault="3D8E81BD" w:rsidP="063DBD0C">
      <w:pPr>
        <w:spacing w:after="160" w:line="278" w:lineRule="auto"/>
        <w:rPr>
          <w:rFonts w:ascii="Aptos" w:eastAsia="Aptos" w:hAnsi="Aptos" w:cs="Aptos"/>
          <w:color w:val="000000" w:themeColor="text1"/>
        </w:rPr>
      </w:pPr>
    </w:p>
    <w:p w14:paraId="15208318" w14:textId="517529A7" w:rsidR="3D8E81BD" w:rsidRDefault="077CBCEF" w:rsidP="063DBD0C">
      <w:pPr>
        <w:rPr>
          <w:rFonts w:ascii="Aptos" w:eastAsia="Aptos" w:hAnsi="Aptos" w:cs="Aptos"/>
          <w:color w:val="000000" w:themeColor="text1"/>
        </w:rPr>
      </w:pPr>
      <w:r w:rsidRPr="063DBD0C">
        <w:rPr>
          <w:rStyle w:val="normaltextrun"/>
          <w:rFonts w:ascii="Aptos" w:eastAsia="Aptos" w:hAnsi="Aptos" w:cs="Aptos"/>
          <w:b/>
          <w:bCs/>
          <w:color w:val="000000" w:themeColor="text1"/>
          <w:lang w:val="en-GB"/>
        </w:rPr>
        <w:t>Strategic context </w:t>
      </w:r>
    </w:p>
    <w:p w14:paraId="6C711492" w14:textId="286B0839" w:rsidR="3D8E81BD" w:rsidRDefault="3D8E81BD" w:rsidP="063DBD0C">
      <w:pPr>
        <w:rPr>
          <w:rFonts w:ascii="Aptos" w:eastAsia="Aptos" w:hAnsi="Aptos" w:cs="Aptos"/>
          <w:color w:val="000000" w:themeColor="text1"/>
        </w:rPr>
      </w:pPr>
    </w:p>
    <w:p w14:paraId="4BCA81A5" w14:textId="58873FDC" w:rsidR="3D8E81BD" w:rsidRDefault="077CBCEF" w:rsidP="063DBD0C">
      <w:pPr>
        <w:jc w:val="both"/>
        <w:rPr>
          <w:rFonts w:ascii="Aptos" w:eastAsia="Aptos" w:hAnsi="Aptos" w:cs="Aptos"/>
          <w:color w:val="000000" w:themeColor="text1"/>
        </w:rPr>
      </w:pPr>
      <w:r w:rsidRPr="063DBD0C">
        <w:rPr>
          <w:rStyle w:val="eop"/>
          <w:rFonts w:ascii="Aptos" w:eastAsia="Aptos" w:hAnsi="Aptos" w:cs="Aptos"/>
          <w:color w:val="000000" w:themeColor="text1"/>
          <w:lang w:val="en-GB"/>
        </w:rPr>
        <w:t xml:space="preserve">The need for viable treatment solutions to manage PFAS chemicals in groundwater is growing due to increasing year on year attention to PFAS as an emerging contaminant (persistent, mobile and bio accumulative) both from the public and the media. It is becoming more essential to understand and be able to provide robust and consistent regulation of both existing and innovative remediation technologies.    </w:t>
      </w:r>
    </w:p>
    <w:p w14:paraId="4A4AB466" w14:textId="0318B0A0" w:rsidR="3D8E81BD" w:rsidRDefault="077CBCEF" w:rsidP="063DBD0C">
      <w:pPr>
        <w:jc w:val="both"/>
        <w:rPr>
          <w:rFonts w:ascii="Aptos" w:eastAsia="Aptos" w:hAnsi="Aptos" w:cs="Aptos"/>
          <w:color w:val="000000" w:themeColor="text1"/>
        </w:rPr>
      </w:pPr>
      <w:r w:rsidRPr="063DBD0C">
        <w:rPr>
          <w:rStyle w:val="eop"/>
          <w:rFonts w:ascii="Aptos" w:eastAsia="Aptos" w:hAnsi="Aptos" w:cs="Aptos"/>
          <w:color w:val="000000" w:themeColor="text1"/>
          <w:lang w:val="en-GB"/>
        </w:rPr>
        <w:t xml:space="preserve"> </w:t>
      </w:r>
    </w:p>
    <w:p w14:paraId="0DEBC61D" w14:textId="1DB2D247" w:rsidR="3D8E81BD" w:rsidRDefault="077CBCEF" w:rsidP="063DBD0C">
      <w:pPr>
        <w:jc w:val="both"/>
        <w:rPr>
          <w:rFonts w:ascii="Aptos" w:eastAsia="Aptos" w:hAnsi="Aptos" w:cs="Aptos"/>
          <w:color w:val="000000" w:themeColor="text1"/>
        </w:rPr>
      </w:pPr>
      <w:r w:rsidRPr="063DBD0C">
        <w:rPr>
          <w:rStyle w:val="eop"/>
          <w:rFonts w:ascii="Aptos" w:eastAsia="Aptos" w:hAnsi="Aptos" w:cs="Aptos"/>
          <w:color w:val="000000" w:themeColor="text1"/>
          <w:lang w:val="en-GB"/>
        </w:rPr>
        <w:t xml:space="preserve">This aligns with the EA’s long-term strategic direction for groundwater as part of its commitments under the Environmental Improvement Plan (EIP) 2023, outlined below. The work forms part of the EA’s coordinated programme of work to develop the EA’s approach to managing the risks from PFAS. </w:t>
      </w:r>
    </w:p>
    <w:p w14:paraId="0C3E3BF4" w14:textId="3A2B2855" w:rsidR="3D8E81BD" w:rsidRDefault="077CBCEF" w:rsidP="063DBD0C">
      <w:pPr>
        <w:jc w:val="both"/>
        <w:rPr>
          <w:rFonts w:ascii="Aptos" w:eastAsia="Aptos" w:hAnsi="Aptos" w:cs="Aptos"/>
          <w:color w:val="000000" w:themeColor="text1"/>
        </w:rPr>
      </w:pPr>
      <w:r w:rsidRPr="063DBD0C">
        <w:rPr>
          <w:rStyle w:val="eop"/>
          <w:rFonts w:ascii="Aptos" w:eastAsia="Aptos" w:hAnsi="Aptos" w:cs="Aptos"/>
          <w:color w:val="000000" w:themeColor="text1"/>
          <w:lang w:val="en-GB"/>
        </w:rPr>
        <w:t> </w:t>
      </w:r>
    </w:p>
    <w:p w14:paraId="05C8F8F7" w14:textId="71F01A4F" w:rsidR="3D8E81BD" w:rsidRDefault="077CBCEF" w:rsidP="063DBD0C">
      <w:pPr>
        <w:pStyle w:val="ListParagraph"/>
        <w:jc w:val="both"/>
        <w:rPr>
          <w:rFonts w:ascii="Aptos" w:eastAsia="Aptos" w:hAnsi="Aptos" w:cs="Aptos"/>
          <w:color w:val="000000" w:themeColor="text1"/>
        </w:rPr>
      </w:pPr>
      <w:r w:rsidRPr="063DBD0C">
        <w:rPr>
          <w:rStyle w:val="normaltextrun"/>
          <w:rFonts w:ascii="Aptos" w:eastAsia="Aptos" w:hAnsi="Aptos" w:cs="Aptos"/>
          <w:b/>
          <w:bCs/>
          <w:color w:val="000000" w:themeColor="text1"/>
          <w:lang w:val="en-GB"/>
        </w:rPr>
        <w:t>Environmental Improvement Plan (EIP) 2023</w:t>
      </w:r>
      <w:r w:rsidRPr="063DBD0C">
        <w:rPr>
          <w:rStyle w:val="eop"/>
          <w:rFonts w:ascii="Aptos" w:eastAsia="Aptos" w:hAnsi="Aptos" w:cs="Aptos"/>
          <w:color w:val="000000" w:themeColor="text1"/>
          <w:lang w:val="en-GB"/>
        </w:rPr>
        <w:t> </w:t>
      </w:r>
    </w:p>
    <w:p w14:paraId="5B3C0C8D" w14:textId="1B9B0612" w:rsidR="3D8E81BD" w:rsidRDefault="077CBCEF" w:rsidP="063DBD0C">
      <w:pPr>
        <w:jc w:val="both"/>
        <w:rPr>
          <w:rFonts w:ascii="Aptos" w:eastAsia="Aptos" w:hAnsi="Aptos" w:cs="Aptos"/>
          <w:color w:val="000000" w:themeColor="text1"/>
        </w:rPr>
      </w:pPr>
      <w:r w:rsidRPr="063DBD0C">
        <w:rPr>
          <w:rStyle w:val="normaltextrun"/>
          <w:rFonts w:ascii="Aptos" w:eastAsia="Aptos" w:hAnsi="Aptos" w:cs="Aptos"/>
          <w:color w:val="000000" w:themeColor="text1"/>
          <w:lang w:val="en-GB"/>
        </w:rPr>
        <w:t>This project aligns with and will help to drive Goal 3 within the EIP for ‘clean and plentiful water’ and Goal 4 for ‘managing our exposure to chemicals and pesticides’. The project also aligns with the other overarching principles within EIP 2023 on sustainability and climate change.  </w:t>
      </w:r>
    </w:p>
    <w:p w14:paraId="3DB4EF44" w14:textId="3D95E07C" w:rsidR="3D8E81BD" w:rsidRDefault="3D8E81BD" w:rsidP="063DBD0C">
      <w:pPr>
        <w:jc w:val="both"/>
        <w:rPr>
          <w:rFonts w:ascii="Aptos" w:eastAsia="Aptos" w:hAnsi="Aptos" w:cs="Aptos"/>
          <w:color w:val="000000" w:themeColor="text1"/>
        </w:rPr>
      </w:pPr>
    </w:p>
    <w:p w14:paraId="663C8BB2" w14:textId="33F43854" w:rsidR="3D8E81BD" w:rsidRDefault="077CBCEF" w:rsidP="063DBD0C">
      <w:pPr>
        <w:pStyle w:val="ListParagraph"/>
        <w:jc w:val="both"/>
        <w:rPr>
          <w:rFonts w:ascii="Aptos" w:eastAsia="Aptos" w:hAnsi="Aptos" w:cs="Aptos"/>
          <w:color w:val="000000" w:themeColor="text1"/>
        </w:rPr>
      </w:pPr>
      <w:r w:rsidRPr="063DBD0C">
        <w:rPr>
          <w:rStyle w:val="normaltextrun"/>
          <w:rFonts w:ascii="Aptos" w:eastAsia="Aptos" w:hAnsi="Aptos" w:cs="Aptos"/>
          <w:b/>
          <w:bCs/>
          <w:color w:val="000000" w:themeColor="text1"/>
          <w:lang w:val="en-GB"/>
        </w:rPr>
        <w:t>DEFRA Plan for Water (2023)</w:t>
      </w:r>
      <w:r w:rsidRPr="063DBD0C">
        <w:rPr>
          <w:rStyle w:val="eop"/>
          <w:rFonts w:ascii="Aptos" w:eastAsia="Aptos" w:hAnsi="Aptos" w:cs="Aptos"/>
          <w:color w:val="000000" w:themeColor="text1"/>
          <w:lang w:val="en-GB"/>
        </w:rPr>
        <w:t> </w:t>
      </w:r>
    </w:p>
    <w:p w14:paraId="2D91E6B1" w14:textId="1AFBDF7D" w:rsidR="3D8E81BD" w:rsidRDefault="077CBCEF" w:rsidP="063DBD0C">
      <w:pPr>
        <w:jc w:val="both"/>
        <w:rPr>
          <w:rFonts w:ascii="Aptos" w:eastAsia="Aptos" w:hAnsi="Aptos" w:cs="Aptos"/>
          <w:color w:val="000000" w:themeColor="text1"/>
        </w:rPr>
      </w:pPr>
      <w:r w:rsidRPr="063DBD0C">
        <w:rPr>
          <w:rStyle w:val="normaltextrun"/>
          <w:rFonts w:ascii="Aptos" w:eastAsia="Aptos" w:hAnsi="Aptos" w:cs="Aptos"/>
          <w:color w:val="000000" w:themeColor="text1"/>
          <w:lang w:val="en-GB"/>
        </w:rPr>
        <w:t>This project will aim to support the commitments within the DEFRA Plan for Water, addressing legacy contamination to deliver a clean water environment for people and nature. </w:t>
      </w:r>
    </w:p>
    <w:p w14:paraId="1F962017" w14:textId="19AFC18F" w:rsidR="3D8E81BD" w:rsidRDefault="3D8E81BD" w:rsidP="063DBD0C">
      <w:pPr>
        <w:jc w:val="both"/>
        <w:rPr>
          <w:rFonts w:ascii="Aptos" w:eastAsia="Aptos" w:hAnsi="Aptos" w:cs="Aptos"/>
          <w:color w:val="000000" w:themeColor="text1"/>
        </w:rPr>
      </w:pPr>
    </w:p>
    <w:p w14:paraId="4F387DE0" w14:textId="338D28C2" w:rsidR="3D8E81BD" w:rsidRDefault="077CBCEF" w:rsidP="063DBD0C">
      <w:pPr>
        <w:pStyle w:val="ListParagraph"/>
        <w:jc w:val="both"/>
        <w:rPr>
          <w:rFonts w:ascii="Aptos" w:eastAsia="Aptos" w:hAnsi="Aptos" w:cs="Aptos"/>
          <w:color w:val="000000" w:themeColor="text1"/>
        </w:rPr>
      </w:pPr>
      <w:r w:rsidRPr="063DBD0C">
        <w:rPr>
          <w:rStyle w:val="normaltextrun"/>
          <w:rFonts w:ascii="Aptos" w:eastAsia="Aptos" w:hAnsi="Aptos" w:cs="Aptos"/>
          <w:b/>
          <w:bCs/>
          <w:color w:val="000000" w:themeColor="text1"/>
          <w:lang w:val="en-GB"/>
        </w:rPr>
        <w:t>Groundwater Plan 2023 </w:t>
      </w:r>
      <w:r w:rsidRPr="063DBD0C">
        <w:rPr>
          <w:rStyle w:val="eop"/>
          <w:rFonts w:ascii="Aptos" w:eastAsia="Aptos" w:hAnsi="Aptos" w:cs="Aptos"/>
          <w:color w:val="000000" w:themeColor="text1"/>
          <w:lang w:val="en-GB"/>
        </w:rPr>
        <w:t> </w:t>
      </w:r>
    </w:p>
    <w:p w14:paraId="00C3B63D" w14:textId="557B17F3" w:rsidR="3D8E81BD" w:rsidRDefault="077CBCEF" w:rsidP="063DBD0C">
      <w:pPr>
        <w:jc w:val="both"/>
        <w:rPr>
          <w:rFonts w:ascii="Aptos" w:eastAsia="Aptos" w:hAnsi="Aptos" w:cs="Aptos"/>
          <w:color w:val="000000" w:themeColor="text1"/>
        </w:rPr>
      </w:pPr>
      <w:r w:rsidRPr="063DBD0C">
        <w:rPr>
          <w:rStyle w:val="normaltextrun"/>
          <w:rFonts w:ascii="Aptos" w:eastAsia="Aptos" w:hAnsi="Aptos" w:cs="Aptos"/>
          <w:color w:val="000000" w:themeColor="text1"/>
          <w:lang w:val="en-GB"/>
        </w:rPr>
        <w:t>From the EA’s Groundwater Plan the following commitments will be supported by this project: </w:t>
      </w:r>
    </w:p>
    <w:p w14:paraId="11C7C084" w14:textId="5C27D26E" w:rsidR="3D8E81BD" w:rsidRDefault="077CBCEF" w:rsidP="063DBD0C">
      <w:pPr>
        <w:pStyle w:val="ListParagraph"/>
        <w:jc w:val="both"/>
        <w:rPr>
          <w:rFonts w:ascii="Aptos" w:eastAsia="Aptos" w:hAnsi="Aptos" w:cs="Aptos"/>
          <w:color w:val="000000" w:themeColor="text1"/>
        </w:rPr>
      </w:pPr>
      <w:r w:rsidRPr="063DBD0C">
        <w:rPr>
          <w:rStyle w:val="normaltextrun"/>
          <w:rFonts w:ascii="Aptos" w:eastAsia="Aptos" w:hAnsi="Aptos" w:cs="Aptos"/>
          <w:color w:val="000000" w:themeColor="text1"/>
          <w:lang w:val="en-GB"/>
        </w:rPr>
        <w:t>Protecting and enhancing groundwater </w:t>
      </w:r>
    </w:p>
    <w:p w14:paraId="23EE9E20" w14:textId="6C0E0496" w:rsidR="3D8E81BD" w:rsidRDefault="077CBCEF" w:rsidP="063DBD0C">
      <w:pPr>
        <w:pStyle w:val="ListParagraph"/>
        <w:jc w:val="both"/>
        <w:rPr>
          <w:rFonts w:ascii="Aptos" w:eastAsia="Aptos" w:hAnsi="Aptos" w:cs="Aptos"/>
          <w:color w:val="000000" w:themeColor="text1"/>
        </w:rPr>
      </w:pPr>
      <w:r w:rsidRPr="063DBD0C">
        <w:rPr>
          <w:rStyle w:val="normaltextrun"/>
          <w:rFonts w:ascii="Aptos" w:eastAsia="Aptos" w:hAnsi="Aptos" w:cs="Aptos"/>
          <w:color w:val="000000" w:themeColor="text1"/>
          <w:lang w:val="en-GB"/>
        </w:rPr>
        <w:t>Proactive approach to groundwater regulation </w:t>
      </w:r>
    </w:p>
    <w:p w14:paraId="5A35FA9E" w14:textId="5EF1B6EE" w:rsidR="3D8E81BD" w:rsidRDefault="077CBCEF" w:rsidP="063DBD0C">
      <w:pPr>
        <w:pStyle w:val="ListParagraph"/>
        <w:jc w:val="both"/>
        <w:rPr>
          <w:rFonts w:ascii="Aptos" w:eastAsia="Aptos" w:hAnsi="Aptos" w:cs="Aptos"/>
          <w:color w:val="000000" w:themeColor="text1"/>
        </w:rPr>
      </w:pPr>
      <w:r w:rsidRPr="063DBD0C">
        <w:rPr>
          <w:rStyle w:val="normaltextrun"/>
          <w:rFonts w:ascii="Aptos" w:eastAsia="Aptos" w:hAnsi="Aptos" w:cs="Aptos"/>
          <w:color w:val="000000" w:themeColor="text1"/>
          <w:lang w:val="en-GB"/>
        </w:rPr>
        <w:t>Collaboration and partnerships (essential in driving forward change and improvements) </w:t>
      </w:r>
    </w:p>
    <w:p w14:paraId="4A498F64" w14:textId="5120A410" w:rsidR="3D8E81BD" w:rsidRDefault="077CBCEF" w:rsidP="063DBD0C">
      <w:pPr>
        <w:pStyle w:val="ListParagraph"/>
        <w:jc w:val="both"/>
        <w:rPr>
          <w:rFonts w:ascii="Aptos" w:eastAsia="Aptos" w:hAnsi="Aptos" w:cs="Aptos"/>
          <w:color w:val="000000" w:themeColor="text1"/>
        </w:rPr>
      </w:pPr>
      <w:r w:rsidRPr="063DBD0C">
        <w:rPr>
          <w:rStyle w:val="normaltextrun"/>
          <w:rFonts w:ascii="Aptos" w:eastAsia="Aptos" w:hAnsi="Aptos" w:cs="Aptos"/>
          <w:color w:val="000000" w:themeColor="text1"/>
          <w:lang w:val="en-GB"/>
        </w:rPr>
        <w:t>Precautionary and risk-based approach </w:t>
      </w:r>
    </w:p>
    <w:p w14:paraId="55FB0E21" w14:textId="62D5CD60" w:rsidR="3D8E81BD" w:rsidRDefault="3D8E81BD" w:rsidP="063DBD0C">
      <w:pPr>
        <w:rPr>
          <w:rFonts w:ascii="Aptos" w:eastAsia="Aptos" w:hAnsi="Aptos" w:cs="Aptos"/>
          <w:color w:val="000000" w:themeColor="text1"/>
        </w:rPr>
      </w:pPr>
    </w:p>
    <w:p w14:paraId="6A755809" w14:textId="5FFCF378" w:rsidR="3D8E81BD" w:rsidRDefault="077CBCEF" w:rsidP="063DBD0C">
      <w:pPr>
        <w:pStyle w:val="ListParagraph"/>
        <w:rPr>
          <w:rFonts w:ascii="Aptos" w:eastAsia="Aptos" w:hAnsi="Aptos" w:cs="Aptos"/>
          <w:color w:val="000000" w:themeColor="text1"/>
        </w:rPr>
      </w:pPr>
      <w:r w:rsidRPr="063DBD0C">
        <w:rPr>
          <w:rStyle w:val="eop"/>
          <w:rFonts w:ascii="Aptos" w:eastAsia="Aptos" w:hAnsi="Aptos" w:cs="Aptos"/>
          <w:b/>
          <w:bCs/>
          <w:color w:val="000000" w:themeColor="text1"/>
          <w:lang w:val="en-GB"/>
        </w:rPr>
        <w:t xml:space="preserve">Cross-Government Working Group on PFAS </w:t>
      </w:r>
    </w:p>
    <w:p w14:paraId="5C9F3694" w14:textId="021B105A" w:rsidR="3D8E81BD" w:rsidRDefault="077CBCEF" w:rsidP="063DBD0C">
      <w:pPr>
        <w:rPr>
          <w:rFonts w:ascii="Aptos" w:eastAsia="Aptos" w:hAnsi="Aptos" w:cs="Aptos"/>
          <w:color w:val="000000" w:themeColor="text1"/>
        </w:rPr>
      </w:pPr>
      <w:r w:rsidRPr="063DBD0C">
        <w:rPr>
          <w:rStyle w:val="eop"/>
          <w:rFonts w:ascii="Aptos" w:eastAsia="Aptos" w:hAnsi="Aptos" w:cs="Aptos"/>
          <w:color w:val="000000" w:themeColor="text1"/>
          <w:lang w:val="en-GB"/>
        </w:rPr>
        <w:t xml:space="preserve">Due to the importance of developing our regulatory approach to land and groundwater contamination from PFAS, the EA has newly set up a Land Contamination Cross-Government group (a sub-group of the Cross-Government PFAS Working Group which includes representation from the devolved authorities). This group will consider and work on the development of a robust and consistent approach to land and groundwater contamination, in line with the Land Contamination Risk Management (LCRM) framework. This project fully supports the aims of this newly formed sub-group and is likely to contribute to some of the outputs from the group regarding remediation options appraisal and remediation strategy development.  </w:t>
      </w:r>
    </w:p>
    <w:p w14:paraId="2CAB3645" w14:textId="3608AB9A" w:rsidR="3D8E81BD" w:rsidRDefault="3D8E81BD" w:rsidP="063DBD0C">
      <w:pPr>
        <w:rPr>
          <w:rFonts w:ascii="Aptos" w:eastAsia="Aptos" w:hAnsi="Aptos" w:cs="Aptos"/>
          <w:color w:val="000000" w:themeColor="text1"/>
        </w:rPr>
      </w:pPr>
    </w:p>
    <w:p w14:paraId="643BA193" w14:textId="032D3B62" w:rsidR="3D8E81BD" w:rsidRDefault="3D8E81BD" w:rsidP="063DBD0C">
      <w:pPr>
        <w:rPr>
          <w:rFonts w:ascii="Aptos" w:eastAsia="Aptos" w:hAnsi="Aptos" w:cs="Aptos"/>
          <w:color w:val="000000" w:themeColor="text1"/>
        </w:rPr>
      </w:pPr>
    </w:p>
    <w:p w14:paraId="18E90C29" w14:textId="1A6B1796" w:rsidR="3D8E81BD" w:rsidRDefault="077CBCEF" w:rsidP="063DBD0C">
      <w:pPr>
        <w:jc w:val="both"/>
        <w:rPr>
          <w:rFonts w:ascii="Aptos" w:eastAsia="Aptos" w:hAnsi="Aptos" w:cs="Aptos"/>
          <w:color w:val="000000" w:themeColor="text1"/>
        </w:rPr>
      </w:pPr>
      <w:r w:rsidRPr="063DBD0C">
        <w:rPr>
          <w:rStyle w:val="normaltextrun"/>
          <w:rFonts w:ascii="Aptos" w:eastAsia="Aptos" w:hAnsi="Aptos" w:cs="Aptos"/>
          <w:b/>
          <w:bCs/>
          <w:color w:val="000000" w:themeColor="text1"/>
          <w:lang w:val="en-GB"/>
        </w:rPr>
        <w:t>Background to the project &amp; reason for change  </w:t>
      </w:r>
    </w:p>
    <w:p w14:paraId="3661B539" w14:textId="15D155B0" w:rsidR="3D8E81BD" w:rsidRDefault="3D8E81BD" w:rsidP="063DBD0C">
      <w:pPr>
        <w:jc w:val="both"/>
        <w:rPr>
          <w:rFonts w:ascii="Aptos" w:eastAsia="Aptos" w:hAnsi="Aptos" w:cs="Aptos"/>
          <w:color w:val="000000" w:themeColor="text1"/>
        </w:rPr>
      </w:pPr>
    </w:p>
    <w:p w14:paraId="40866289" w14:textId="241133BB" w:rsidR="3D8E81BD" w:rsidRDefault="077CBCEF" w:rsidP="063DBD0C">
      <w:pPr>
        <w:jc w:val="both"/>
        <w:rPr>
          <w:rFonts w:ascii="Aptos" w:eastAsia="Aptos" w:hAnsi="Aptos" w:cs="Aptos"/>
          <w:color w:val="000000" w:themeColor="text1"/>
        </w:rPr>
      </w:pPr>
      <w:r w:rsidRPr="063DBD0C">
        <w:rPr>
          <w:rStyle w:val="normaltextrun"/>
          <w:rFonts w:ascii="Aptos" w:eastAsia="Aptos" w:hAnsi="Aptos" w:cs="Aptos"/>
          <w:color w:val="000000" w:themeColor="text1"/>
          <w:lang w:val="en-GB"/>
        </w:rPr>
        <w:t xml:space="preserve">The EA engaged the services of Geosyntec in 2022 to prepare a report entitled “Lines of Evidence to Assess the Effectiveness of PFAS Remediation Technologies” and then again in 2023 to provide an update to that report. The report has been developed to assist the EA’s operational teams when reviewing proposed PFAS remediation options. Consequently, the report has been structured to consider treatment technology options relevant to both “solids” and “liquids”. The report also provides a qualitative ‘PFAS Remediation Technology Evaluation Framework’ (referred to from here as the Evaluation Framework). The aim of the Evaluation Framework is to support operational colleagues to make robust and informed decisions in relation to when the EA is supplied with remediation options appraisals and remediation strategies.  </w:t>
      </w:r>
    </w:p>
    <w:p w14:paraId="6A9A1440" w14:textId="15A9970F" w:rsidR="3D8E81BD" w:rsidRDefault="3D8E81BD" w:rsidP="063DBD0C">
      <w:pPr>
        <w:jc w:val="both"/>
        <w:rPr>
          <w:rFonts w:ascii="Aptos" w:eastAsia="Aptos" w:hAnsi="Aptos" w:cs="Aptos"/>
          <w:color w:val="000000" w:themeColor="text1"/>
        </w:rPr>
      </w:pPr>
    </w:p>
    <w:p w14:paraId="5C68864E" w14:textId="45D414CB" w:rsidR="3D8E81BD" w:rsidRDefault="077CBCEF" w:rsidP="063DBD0C">
      <w:pPr>
        <w:jc w:val="both"/>
        <w:rPr>
          <w:rFonts w:ascii="Aptos" w:eastAsia="Aptos" w:hAnsi="Aptos" w:cs="Aptos"/>
          <w:color w:val="000000" w:themeColor="text1"/>
        </w:rPr>
      </w:pPr>
      <w:r w:rsidRPr="063DBD0C">
        <w:rPr>
          <w:rStyle w:val="eop"/>
          <w:rFonts w:ascii="Aptos" w:eastAsia="Aptos" w:hAnsi="Aptos" w:cs="Aptos"/>
          <w:color w:val="000000" w:themeColor="text1"/>
          <w:lang w:val="en-GB"/>
        </w:rPr>
        <w:lastRenderedPageBreak/>
        <w:t xml:space="preserve">It is the Evaluation Framework aspect of the product that the EA would like to explore further and develop materials to drive the message forward around the lines of evidence approach to assessing remediation options appraisals or remedial strategies when they are submitted for EA review.  </w:t>
      </w:r>
    </w:p>
    <w:p w14:paraId="0842D563" w14:textId="2C50A63E" w:rsidR="3D8E81BD" w:rsidRDefault="3D8E81BD" w:rsidP="063DBD0C">
      <w:pPr>
        <w:jc w:val="both"/>
        <w:rPr>
          <w:rFonts w:ascii="Aptos" w:eastAsia="Aptos" w:hAnsi="Aptos" w:cs="Aptos"/>
          <w:color w:val="000000" w:themeColor="text1"/>
        </w:rPr>
      </w:pPr>
    </w:p>
    <w:p w14:paraId="185F9A12" w14:textId="13B94BEC" w:rsidR="3D8E81BD" w:rsidRDefault="077CBCEF" w:rsidP="063DBD0C">
      <w:pPr>
        <w:jc w:val="both"/>
        <w:rPr>
          <w:rFonts w:ascii="Aptos" w:eastAsia="Aptos" w:hAnsi="Aptos" w:cs="Aptos"/>
          <w:color w:val="000000" w:themeColor="text1"/>
        </w:rPr>
      </w:pPr>
      <w:r w:rsidRPr="063DBD0C">
        <w:rPr>
          <w:rStyle w:val="eop"/>
          <w:rFonts w:ascii="Aptos" w:eastAsia="Aptos" w:hAnsi="Aptos" w:cs="Aptos"/>
          <w:color w:val="000000" w:themeColor="text1"/>
          <w:lang w:val="en-GB"/>
        </w:rPr>
        <w:t xml:space="preserve">To ensure the EA receive the quality of submission that is required, it will be vital to deliver external upskilling opportunities/guidance materials to ensure the wider environmental consultant and remediation contractor industry is aware of the EA expectations around PFAS remediation and the importance of considering a Lines of Evidence approach to developing remediation strategies.  </w:t>
      </w:r>
    </w:p>
    <w:p w14:paraId="1A607F5F" w14:textId="308CA953" w:rsidR="3D8E81BD" w:rsidRDefault="3D8E81BD" w:rsidP="063DBD0C">
      <w:pPr>
        <w:jc w:val="both"/>
        <w:rPr>
          <w:rFonts w:ascii="Aptos" w:eastAsia="Aptos" w:hAnsi="Aptos" w:cs="Aptos"/>
          <w:color w:val="000000" w:themeColor="text1"/>
        </w:rPr>
      </w:pPr>
    </w:p>
    <w:p w14:paraId="0AE83D16" w14:textId="5FD536D3" w:rsidR="3D8E81BD" w:rsidRDefault="3D8E81BD" w:rsidP="063DBD0C">
      <w:pPr>
        <w:jc w:val="both"/>
        <w:rPr>
          <w:rFonts w:ascii="Aptos" w:eastAsia="Aptos" w:hAnsi="Aptos" w:cs="Aptos"/>
          <w:color w:val="000000" w:themeColor="text1"/>
        </w:rPr>
      </w:pPr>
    </w:p>
    <w:p w14:paraId="0FAACA95" w14:textId="321045B6" w:rsidR="3D8E81BD" w:rsidRDefault="3D8E81BD" w:rsidP="063DBD0C">
      <w:pPr>
        <w:jc w:val="both"/>
        <w:rPr>
          <w:rFonts w:ascii="Aptos" w:eastAsia="Aptos" w:hAnsi="Aptos" w:cs="Aptos"/>
          <w:color w:val="000000" w:themeColor="text1"/>
        </w:rPr>
      </w:pPr>
    </w:p>
    <w:p w14:paraId="7E226D75" w14:textId="4327D79E" w:rsidR="3D8E81BD" w:rsidRDefault="3D8E81BD" w:rsidP="063DBD0C">
      <w:pPr>
        <w:spacing w:after="160" w:line="278" w:lineRule="auto"/>
        <w:rPr>
          <w:rFonts w:ascii="Aptos" w:eastAsia="Aptos" w:hAnsi="Aptos" w:cs="Aptos"/>
          <w:color w:val="000000" w:themeColor="text1"/>
        </w:rPr>
      </w:pPr>
    </w:p>
    <w:p w14:paraId="3396F7E9" w14:textId="170E5848" w:rsidR="3D8E81BD" w:rsidRDefault="077CBCEF" w:rsidP="063DBD0C">
      <w:pPr>
        <w:rPr>
          <w:rFonts w:ascii="Aptos" w:eastAsia="Aptos" w:hAnsi="Aptos" w:cs="Aptos"/>
          <w:color w:val="000000" w:themeColor="text1"/>
        </w:rPr>
      </w:pPr>
      <w:r w:rsidRPr="063DBD0C">
        <w:rPr>
          <w:rStyle w:val="normaltextrun"/>
          <w:rFonts w:ascii="Aptos" w:eastAsia="Aptos" w:hAnsi="Aptos" w:cs="Aptos"/>
          <w:b/>
          <w:bCs/>
          <w:color w:val="000000" w:themeColor="text1"/>
          <w:lang w:val="en-GB"/>
        </w:rPr>
        <w:t>Tasks and Required Outputs/Specific Objectives and Deliverables including timescales and deadlines</w:t>
      </w:r>
    </w:p>
    <w:p w14:paraId="0C058089" w14:textId="1D3DE27C" w:rsidR="3D8E81BD" w:rsidRDefault="3D8E81BD" w:rsidP="063DBD0C">
      <w:pPr>
        <w:rPr>
          <w:rFonts w:ascii="Aptos" w:eastAsia="Aptos" w:hAnsi="Aptos" w:cs="Aptos"/>
          <w:color w:val="000000" w:themeColor="text1"/>
        </w:rPr>
      </w:pPr>
    </w:p>
    <w:p w14:paraId="3A970CAD" w14:textId="61D01455" w:rsidR="3D8E81BD" w:rsidRDefault="077CBCEF" w:rsidP="063DBD0C">
      <w:pPr>
        <w:pStyle w:val="paragraph"/>
        <w:spacing w:beforeAutospacing="0" w:after="0" w:afterAutospacing="0"/>
        <w:rPr>
          <w:rFonts w:ascii="Aptos" w:eastAsia="Aptos" w:hAnsi="Aptos" w:cs="Aptos"/>
          <w:color w:val="000000" w:themeColor="text1"/>
          <w:lang w:val="en-NZ"/>
        </w:rPr>
      </w:pPr>
      <w:r w:rsidRPr="063DBD0C">
        <w:rPr>
          <w:rFonts w:ascii="Aptos" w:eastAsia="Aptos" w:hAnsi="Aptos" w:cs="Aptos"/>
          <w:color w:val="000000" w:themeColor="text1"/>
        </w:rPr>
        <w:t xml:space="preserve">There is a requirement as part of this project for the successful bidder to liaise directly with </w:t>
      </w:r>
      <w:proofErr w:type="gramStart"/>
      <w:r w:rsidRPr="063DBD0C">
        <w:rPr>
          <w:rFonts w:ascii="Aptos" w:eastAsia="Aptos" w:hAnsi="Aptos" w:cs="Aptos"/>
          <w:color w:val="000000" w:themeColor="text1"/>
        </w:rPr>
        <w:t>CL:AIRE</w:t>
      </w:r>
      <w:proofErr w:type="gramEnd"/>
      <w:r w:rsidRPr="063DBD0C">
        <w:rPr>
          <w:rFonts w:ascii="Aptos" w:eastAsia="Aptos" w:hAnsi="Aptos" w:cs="Aptos"/>
          <w:color w:val="000000" w:themeColor="text1"/>
        </w:rPr>
        <w:t xml:space="preserve"> to produce the prescribed deliverables detailed below.</w:t>
      </w:r>
    </w:p>
    <w:p w14:paraId="34910D7F" w14:textId="4DF9F6C4" w:rsidR="3D8E81BD" w:rsidRDefault="3D8E81BD" w:rsidP="063DBD0C">
      <w:pPr>
        <w:rPr>
          <w:rFonts w:ascii="Aptos" w:eastAsia="Aptos" w:hAnsi="Aptos" w:cs="Aptos"/>
          <w:color w:val="D13438"/>
        </w:rPr>
      </w:pPr>
    </w:p>
    <w:p w14:paraId="66F7A1EB" w14:textId="68F88890" w:rsidR="3D8E81BD" w:rsidRDefault="077CBCEF" w:rsidP="063DBD0C">
      <w:pPr>
        <w:jc w:val="both"/>
        <w:rPr>
          <w:rFonts w:ascii="Aptos" w:eastAsia="Aptos" w:hAnsi="Aptos" w:cs="Aptos"/>
          <w:color w:val="000000" w:themeColor="text1"/>
        </w:rPr>
      </w:pPr>
      <w:r w:rsidRPr="063DBD0C">
        <w:rPr>
          <w:rStyle w:val="normaltextrun"/>
          <w:rFonts w:ascii="Aptos" w:eastAsia="Aptos" w:hAnsi="Aptos" w:cs="Aptos"/>
          <w:b/>
          <w:bCs/>
          <w:color w:val="000000" w:themeColor="text1"/>
          <w:u w:val="single"/>
          <w:lang w:val="en-GB"/>
        </w:rPr>
        <w:t>Task 1</w:t>
      </w:r>
      <w:r w:rsidRPr="063DBD0C">
        <w:rPr>
          <w:rStyle w:val="normaltextrun"/>
          <w:rFonts w:ascii="Aptos" w:eastAsia="Aptos" w:hAnsi="Aptos" w:cs="Aptos"/>
          <w:color w:val="000000" w:themeColor="text1"/>
          <w:u w:val="single"/>
          <w:lang w:val="en-GB"/>
        </w:rPr>
        <w:t xml:space="preserve"> - Start-up meeting </w:t>
      </w:r>
      <w:proofErr w:type="gramStart"/>
      <w:r w:rsidRPr="063DBD0C">
        <w:rPr>
          <w:rStyle w:val="normaltextrun"/>
          <w:rFonts w:ascii="Aptos" w:eastAsia="Aptos" w:hAnsi="Aptos" w:cs="Aptos"/>
          <w:color w:val="000000" w:themeColor="text1"/>
          <w:u w:val="single"/>
          <w:lang w:val="en-GB"/>
        </w:rPr>
        <w:t>–  October</w:t>
      </w:r>
      <w:proofErr w:type="gramEnd"/>
      <w:r w:rsidRPr="063DBD0C">
        <w:rPr>
          <w:rStyle w:val="normaltextrun"/>
          <w:rFonts w:ascii="Aptos" w:eastAsia="Aptos" w:hAnsi="Aptos" w:cs="Aptos"/>
          <w:color w:val="000000" w:themeColor="text1"/>
          <w:u w:val="single"/>
          <w:lang w:val="en-GB"/>
        </w:rPr>
        <w:t xml:space="preserve"> 2024</w:t>
      </w:r>
    </w:p>
    <w:p w14:paraId="0B384979" w14:textId="670EF2D5" w:rsidR="3D8E81BD" w:rsidRDefault="077CBCEF" w:rsidP="063DBD0C">
      <w:pPr>
        <w:jc w:val="both"/>
        <w:rPr>
          <w:rFonts w:ascii="Aptos" w:eastAsia="Aptos" w:hAnsi="Aptos" w:cs="Aptos"/>
          <w:color w:val="000000" w:themeColor="text1"/>
        </w:rPr>
      </w:pPr>
      <w:r w:rsidRPr="063DBD0C">
        <w:rPr>
          <w:rStyle w:val="normaltextrun"/>
          <w:rFonts w:ascii="Aptos" w:eastAsia="Aptos" w:hAnsi="Aptos" w:cs="Aptos"/>
          <w:color w:val="000000" w:themeColor="text1"/>
          <w:lang w:val="en-GB"/>
        </w:rPr>
        <w:t>Initial meeting to be arranged within one week following contract award and successful set up of the purchase order.   </w:t>
      </w:r>
    </w:p>
    <w:p w14:paraId="4607FD7E" w14:textId="19401C08" w:rsidR="3D8E81BD" w:rsidRDefault="3D8E81BD" w:rsidP="063DBD0C">
      <w:pPr>
        <w:jc w:val="both"/>
        <w:rPr>
          <w:rFonts w:ascii="Aptos" w:eastAsia="Aptos" w:hAnsi="Aptos" w:cs="Aptos"/>
          <w:color w:val="000000" w:themeColor="text1"/>
        </w:rPr>
      </w:pPr>
    </w:p>
    <w:p w14:paraId="42AD24D5" w14:textId="003C06C8" w:rsidR="3D8E81BD" w:rsidRDefault="077CBCEF" w:rsidP="063DBD0C">
      <w:pPr>
        <w:jc w:val="both"/>
        <w:rPr>
          <w:rFonts w:ascii="Aptos" w:eastAsia="Aptos" w:hAnsi="Aptos" w:cs="Aptos"/>
          <w:color w:val="000000" w:themeColor="text1"/>
        </w:rPr>
      </w:pPr>
      <w:r w:rsidRPr="063DBD0C">
        <w:rPr>
          <w:rStyle w:val="normaltextrun"/>
          <w:rFonts w:ascii="Aptos" w:eastAsia="Aptos" w:hAnsi="Aptos" w:cs="Aptos"/>
          <w:color w:val="000000" w:themeColor="text1"/>
          <w:u w:val="single"/>
          <w:lang w:val="en-GB"/>
        </w:rPr>
        <w:t>Objective:</w:t>
      </w:r>
      <w:r w:rsidRPr="063DBD0C">
        <w:rPr>
          <w:rStyle w:val="normaltextrun"/>
          <w:rFonts w:ascii="Aptos" w:eastAsia="Aptos" w:hAnsi="Aptos" w:cs="Aptos"/>
          <w:color w:val="000000" w:themeColor="text1"/>
          <w:lang w:val="en-GB"/>
        </w:rPr>
        <w:t xml:space="preserve"> </w:t>
      </w:r>
    </w:p>
    <w:p w14:paraId="4BAA4948" w14:textId="52449802" w:rsidR="3D8E81BD" w:rsidRDefault="077CBCEF" w:rsidP="063DBD0C">
      <w:pPr>
        <w:jc w:val="both"/>
        <w:rPr>
          <w:rFonts w:ascii="Aptos" w:eastAsia="Aptos" w:hAnsi="Aptos" w:cs="Aptos"/>
          <w:color w:val="000000" w:themeColor="text1"/>
        </w:rPr>
      </w:pPr>
      <w:r w:rsidRPr="063DBD0C">
        <w:rPr>
          <w:rStyle w:val="normaltextrun"/>
          <w:rFonts w:ascii="Aptos" w:eastAsia="Aptos" w:hAnsi="Aptos" w:cs="Aptos"/>
          <w:color w:val="000000" w:themeColor="text1"/>
          <w:lang w:val="en-GB"/>
        </w:rPr>
        <w:t xml:space="preserve">To ensure all parties fully understand the requirements and timeframes and appointed supplier </w:t>
      </w:r>
      <w:proofErr w:type="gramStart"/>
      <w:r w:rsidRPr="063DBD0C">
        <w:rPr>
          <w:rStyle w:val="normaltextrun"/>
          <w:rFonts w:ascii="Aptos" w:eastAsia="Aptos" w:hAnsi="Aptos" w:cs="Aptos"/>
          <w:color w:val="000000" w:themeColor="text1"/>
          <w:lang w:val="en-GB"/>
        </w:rPr>
        <w:t>has the opportunity to</w:t>
      </w:r>
      <w:proofErr w:type="gramEnd"/>
      <w:r w:rsidRPr="063DBD0C">
        <w:rPr>
          <w:rStyle w:val="normaltextrun"/>
          <w:rFonts w:ascii="Aptos" w:eastAsia="Aptos" w:hAnsi="Aptos" w:cs="Aptos"/>
          <w:color w:val="000000" w:themeColor="text1"/>
          <w:lang w:val="en-GB"/>
        </w:rPr>
        <w:t xml:space="preserve"> set out their proposals for successful completion of the project. At this meeting we can discuss the best approach to delivering the required outputs and clarify any points regarding the scope. This will include scheduling of monthly progress meetings within this initial meeting. </w:t>
      </w:r>
    </w:p>
    <w:p w14:paraId="7C0C17C0" w14:textId="5C0AF8AD" w:rsidR="3D8E81BD" w:rsidRDefault="3D8E81BD" w:rsidP="063DBD0C">
      <w:pPr>
        <w:jc w:val="both"/>
        <w:rPr>
          <w:rFonts w:ascii="Aptos" w:eastAsia="Aptos" w:hAnsi="Aptos" w:cs="Aptos"/>
          <w:color w:val="000000" w:themeColor="text1"/>
        </w:rPr>
      </w:pPr>
    </w:p>
    <w:p w14:paraId="63ABABDB" w14:textId="2FB60577" w:rsidR="3D8E81BD" w:rsidRDefault="077CBCEF" w:rsidP="063DBD0C">
      <w:pPr>
        <w:rPr>
          <w:rFonts w:ascii="Aptos" w:eastAsia="Aptos" w:hAnsi="Aptos" w:cs="Aptos"/>
          <w:color w:val="000000" w:themeColor="text1"/>
        </w:rPr>
      </w:pPr>
      <w:r w:rsidRPr="063DBD0C">
        <w:rPr>
          <w:rStyle w:val="normaltextrun"/>
          <w:rFonts w:ascii="Aptos" w:eastAsia="Aptos" w:hAnsi="Aptos" w:cs="Aptos"/>
          <w:color w:val="000000" w:themeColor="text1"/>
          <w:u w:val="single"/>
          <w:lang w:val="en-GB"/>
        </w:rPr>
        <w:t>Deliverables: </w:t>
      </w:r>
    </w:p>
    <w:p w14:paraId="45AADF13" w14:textId="050D8487" w:rsidR="3D8E81BD" w:rsidRDefault="077CBCEF" w:rsidP="063DBD0C">
      <w:pPr>
        <w:pStyle w:val="ListParagraph"/>
        <w:rPr>
          <w:rFonts w:ascii="Aptos" w:eastAsia="Aptos" w:hAnsi="Aptos" w:cs="Aptos"/>
          <w:color w:val="000000" w:themeColor="text1"/>
        </w:rPr>
      </w:pPr>
      <w:r w:rsidRPr="063DBD0C">
        <w:rPr>
          <w:rStyle w:val="normaltextrun"/>
          <w:rFonts w:ascii="Aptos" w:eastAsia="Aptos" w:hAnsi="Aptos" w:cs="Aptos"/>
          <w:color w:val="000000" w:themeColor="text1"/>
          <w:lang w:val="en-GB"/>
        </w:rPr>
        <w:t>Supplier to provide summary notes and agreed actions from start-up meeting.</w:t>
      </w:r>
    </w:p>
    <w:p w14:paraId="6DC0DB99" w14:textId="54D4D8CA" w:rsidR="3D8E81BD" w:rsidRDefault="077CBCEF" w:rsidP="063DBD0C">
      <w:pPr>
        <w:pStyle w:val="ListParagraph"/>
        <w:rPr>
          <w:rFonts w:ascii="Aptos" w:eastAsia="Aptos" w:hAnsi="Aptos" w:cs="Aptos"/>
          <w:color w:val="000000" w:themeColor="text1"/>
        </w:rPr>
      </w:pPr>
      <w:r w:rsidRPr="063DBD0C">
        <w:rPr>
          <w:rStyle w:val="normaltextrun"/>
          <w:rFonts w:ascii="Aptos" w:eastAsia="Aptos" w:hAnsi="Aptos" w:cs="Aptos"/>
          <w:color w:val="000000" w:themeColor="text1"/>
          <w:lang w:val="en-GB"/>
        </w:rPr>
        <w:t xml:space="preserve">Supplier to provide monthly updates in written format or via MS Teams.  Additional meetings can be scheduled in as deemed necessary by the EA. </w:t>
      </w:r>
    </w:p>
    <w:p w14:paraId="23AC8573" w14:textId="274FECB8" w:rsidR="3D8E81BD" w:rsidRDefault="3D8E81BD" w:rsidP="063DBD0C">
      <w:pPr>
        <w:ind w:left="1800"/>
        <w:rPr>
          <w:rFonts w:ascii="Aptos" w:eastAsia="Aptos" w:hAnsi="Aptos" w:cs="Aptos"/>
          <w:color w:val="000000" w:themeColor="text1"/>
        </w:rPr>
      </w:pPr>
    </w:p>
    <w:p w14:paraId="3D6663A0" w14:textId="356BE942" w:rsidR="3D8E81BD" w:rsidRDefault="3D8E81BD" w:rsidP="063DBD0C">
      <w:pPr>
        <w:ind w:left="1800"/>
        <w:rPr>
          <w:rFonts w:ascii="Aptos" w:eastAsia="Aptos" w:hAnsi="Aptos" w:cs="Aptos"/>
          <w:color w:val="000000" w:themeColor="text1"/>
        </w:rPr>
      </w:pPr>
    </w:p>
    <w:p w14:paraId="77E36239" w14:textId="43402103" w:rsidR="3D8E81BD" w:rsidRDefault="077CBCEF" w:rsidP="063DBD0C">
      <w:pPr>
        <w:jc w:val="both"/>
        <w:rPr>
          <w:rFonts w:ascii="Aptos" w:eastAsia="Aptos" w:hAnsi="Aptos" w:cs="Aptos"/>
          <w:color w:val="000000" w:themeColor="text1"/>
        </w:rPr>
      </w:pPr>
      <w:r w:rsidRPr="063DBD0C">
        <w:rPr>
          <w:rStyle w:val="normaltextrun"/>
          <w:rFonts w:ascii="Aptos" w:eastAsia="Aptos" w:hAnsi="Aptos" w:cs="Aptos"/>
          <w:b/>
          <w:bCs/>
          <w:color w:val="000000" w:themeColor="text1"/>
          <w:u w:val="single"/>
          <w:lang w:val="en-GB"/>
        </w:rPr>
        <w:t>Task 2</w:t>
      </w:r>
      <w:r w:rsidRPr="063DBD0C">
        <w:rPr>
          <w:rStyle w:val="normaltextrun"/>
          <w:rFonts w:ascii="Aptos" w:eastAsia="Aptos" w:hAnsi="Aptos" w:cs="Aptos"/>
          <w:color w:val="000000" w:themeColor="text1"/>
          <w:u w:val="single"/>
          <w:lang w:val="en-GB"/>
        </w:rPr>
        <w:t xml:space="preserve"> – Development of internal upskilling materials – January 2025</w:t>
      </w:r>
    </w:p>
    <w:p w14:paraId="5F3C3B0D" w14:textId="7228FBC6" w:rsidR="3D8E81BD" w:rsidRDefault="3D8E81BD" w:rsidP="063DBD0C">
      <w:pPr>
        <w:rPr>
          <w:rFonts w:ascii="Aptos" w:eastAsia="Aptos" w:hAnsi="Aptos" w:cs="Aptos"/>
          <w:color w:val="000000" w:themeColor="text1"/>
        </w:rPr>
      </w:pPr>
    </w:p>
    <w:p w14:paraId="7861F765" w14:textId="231A46C6" w:rsidR="3D8E81BD" w:rsidRDefault="077CBCEF" w:rsidP="063DBD0C">
      <w:pPr>
        <w:rPr>
          <w:rFonts w:ascii="Aptos" w:eastAsia="Aptos" w:hAnsi="Aptos" w:cs="Aptos"/>
          <w:color w:val="000000" w:themeColor="text1"/>
        </w:rPr>
      </w:pPr>
      <w:r w:rsidRPr="063DBD0C">
        <w:rPr>
          <w:rStyle w:val="eop"/>
          <w:rFonts w:ascii="Aptos" w:eastAsia="Aptos" w:hAnsi="Aptos" w:cs="Aptos"/>
          <w:color w:val="000000" w:themeColor="text1"/>
          <w:u w:val="single"/>
          <w:lang w:val="en-GB"/>
        </w:rPr>
        <w:t>Objective:</w:t>
      </w:r>
      <w:r w:rsidRPr="063DBD0C">
        <w:rPr>
          <w:rStyle w:val="eop"/>
          <w:rFonts w:ascii="Aptos" w:eastAsia="Aptos" w:hAnsi="Aptos" w:cs="Aptos"/>
          <w:color w:val="000000" w:themeColor="text1"/>
          <w:lang w:val="en-GB"/>
        </w:rPr>
        <w:t xml:space="preserve"> </w:t>
      </w:r>
    </w:p>
    <w:p w14:paraId="3A59D362" w14:textId="699BC938" w:rsidR="3D8E81BD" w:rsidRDefault="077CBCEF" w:rsidP="063DBD0C">
      <w:pPr>
        <w:jc w:val="both"/>
        <w:rPr>
          <w:rFonts w:ascii="Aptos" w:eastAsia="Aptos" w:hAnsi="Aptos" w:cs="Aptos"/>
          <w:color w:val="000000" w:themeColor="text1"/>
        </w:rPr>
      </w:pPr>
      <w:r w:rsidRPr="063DBD0C">
        <w:rPr>
          <w:rStyle w:val="eop"/>
          <w:rFonts w:ascii="Aptos" w:eastAsia="Aptos" w:hAnsi="Aptos" w:cs="Aptos"/>
          <w:color w:val="000000" w:themeColor="text1"/>
          <w:lang w:val="en-GB"/>
        </w:rPr>
        <w:t>Provide guidance, upskilling, resources and know-how to our operational colleagues to ensure they can utilise the Lines of Evidence Approach to its full potential and are able to confidently, robustly and consistently review remediation options appraisals and remediation strategies for PFAS contaminated sites. This will also ensure our operational Groundwater and Contaminated Land officers and specialists have the background knowledge to understand the importance of the Lines of Evidence Approach for PFAS contaminated sites so they can communicate this to both internal and external stakeholders.</w:t>
      </w:r>
    </w:p>
    <w:p w14:paraId="0EC197F6" w14:textId="49CF4079" w:rsidR="3D8E81BD" w:rsidRDefault="3D8E81BD" w:rsidP="063DBD0C">
      <w:pPr>
        <w:rPr>
          <w:rFonts w:ascii="Aptos" w:eastAsia="Aptos" w:hAnsi="Aptos" w:cs="Aptos"/>
          <w:color w:val="000000" w:themeColor="text1"/>
        </w:rPr>
      </w:pPr>
    </w:p>
    <w:p w14:paraId="48AFC54B" w14:textId="08C0CE7F" w:rsidR="3D8E81BD" w:rsidRDefault="077CBCEF" w:rsidP="063DBD0C">
      <w:pPr>
        <w:rPr>
          <w:rFonts w:ascii="Aptos" w:eastAsia="Aptos" w:hAnsi="Aptos" w:cs="Aptos"/>
          <w:color w:val="000000" w:themeColor="text1"/>
        </w:rPr>
      </w:pPr>
      <w:r w:rsidRPr="063DBD0C">
        <w:rPr>
          <w:rStyle w:val="eop"/>
          <w:rFonts w:ascii="Aptos" w:eastAsia="Aptos" w:hAnsi="Aptos" w:cs="Aptos"/>
          <w:color w:val="000000" w:themeColor="text1"/>
          <w:u w:val="single"/>
          <w:lang w:val="en-GB"/>
        </w:rPr>
        <w:t>Deliverables:</w:t>
      </w:r>
      <w:r w:rsidRPr="063DBD0C">
        <w:rPr>
          <w:rStyle w:val="eop"/>
          <w:rFonts w:ascii="Aptos" w:eastAsia="Aptos" w:hAnsi="Aptos" w:cs="Aptos"/>
          <w:color w:val="000000" w:themeColor="text1"/>
          <w:lang w:val="en-GB"/>
        </w:rPr>
        <w:t xml:space="preserve"> </w:t>
      </w:r>
    </w:p>
    <w:p w14:paraId="694C9924" w14:textId="5B744A46" w:rsidR="3D8E81BD" w:rsidRDefault="077CBCEF" w:rsidP="063DBD0C">
      <w:pPr>
        <w:rPr>
          <w:rFonts w:ascii="Aptos" w:eastAsia="Aptos" w:hAnsi="Aptos" w:cs="Aptos"/>
          <w:color w:val="000000" w:themeColor="text1"/>
        </w:rPr>
      </w:pPr>
      <w:r w:rsidRPr="063DBD0C">
        <w:rPr>
          <w:rStyle w:val="eop"/>
          <w:rFonts w:ascii="Aptos" w:eastAsia="Aptos" w:hAnsi="Aptos" w:cs="Aptos"/>
          <w:color w:val="000000" w:themeColor="text1"/>
          <w:lang w:val="en-GB"/>
        </w:rPr>
        <w:t xml:space="preserve">Guidance materials aimed at internal EA staff in combination with a package of materials that can be delivered live (in person or through MS Teams) and then be retained by the EA as a webinar or </w:t>
      </w:r>
      <w:r w:rsidRPr="063DBD0C">
        <w:rPr>
          <w:rStyle w:val="eop"/>
          <w:rFonts w:ascii="Aptos" w:eastAsia="Aptos" w:hAnsi="Aptos" w:cs="Aptos"/>
          <w:color w:val="000000" w:themeColor="text1"/>
          <w:lang w:val="en-GB"/>
        </w:rPr>
        <w:lastRenderedPageBreak/>
        <w:t>series of bite sized webinars for new starters or as a refresher course on the internal EA Learning and Development platform.</w:t>
      </w:r>
    </w:p>
    <w:p w14:paraId="529584EA" w14:textId="7796721A" w:rsidR="3D8E81BD" w:rsidRDefault="3D8E81BD" w:rsidP="063DBD0C">
      <w:pPr>
        <w:rPr>
          <w:rFonts w:ascii="Aptos" w:eastAsia="Aptos" w:hAnsi="Aptos" w:cs="Aptos"/>
          <w:color w:val="000000" w:themeColor="text1"/>
        </w:rPr>
      </w:pPr>
    </w:p>
    <w:p w14:paraId="0E0E91A3" w14:textId="5E060B84" w:rsidR="3D8E81BD" w:rsidRDefault="3D8E81BD" w:rsidP="063DBD0C">
      <w:pPr>
        <w:rPr>
          <w:rFonts w:ascii="Aptos" w:eastAsia="Aptos" w:hAnsi="Aptos" w:cs="Aptos"/>
          <w:color w:val="000000" w:themeColor="text1"/>
        </w:rPr>
      </w:pPr>
    </w:p>
    <w:p w14:paraId="772EBC41" w14:textId="5BD48D68" w:rsidR="3D8E81BD" w:rsidRDefault="077CBCEF" w:rsidP="063DBD0C">
      <w:pPr>
        <w:jc w:val="both"/>
        <w:rPr>
          <w:rFonts w:ascii="Aptos" w:eastAsia="Aptos" w:hAnsi="Aptos" w:cs="Aptos"/>
          <w:color w:val="000000" w:themeColor="text1"/>
        </w:rPr>
      </w:pPr>
      <w:r w:rsidRPr="063DBD0C">
        <w:rPr>
          <w:rStyle w:val="normaltextrun"/>
          <w:rFonts w:ascii="Aptos" w:eastAsia="Aptos" w:hAnsi="Aptos" w:cs="Aptos"/>
          <w:b/>
          <w:bCs/>
          <w:color w:val="000000" w:themeColor="text1"/>
          <w:u w:val="single"/>
          <w:lang w:val="en-GB"/>
        </w:rPr>
        <w:t>Task 3</w:t>
      </w:r>
      <w:r w:rsidRPr="063DBD0C">
        <w:rPr>
          <w:rStyle w:val="normaltextrun"/>
          <w:rFonts w:ascii="Aptos" w:eastAsia="Aptos" w:hAnsi="Aptos" w:cs="Aptos"/>
          <w:color w:val="000000" w:themeColor="text1"/>
          <w:u w:val="single"/>
          <w:lang w:val="en-GB"/>
        </w:rPr>
        <w:t xml:space="preserve"> – Development and publication of external facing guidance materials- February 2025</w:t>
      </w:r>
    </w:p>
    <w:p w14:paraId="721A00ED" w14:textId="036FD830" w:rsidR="3D8E81BD" w:rsidRDefault="3D8E81BD" w:rsidP="063DBD0C">
      <w:pPr>
        <w:rPr>
          <w:rFonts w:ascii="Aptos" w:eastAsia="Aptos" w:hAnsi="Aptos" w:cs="Aptos"/>
          <w:color w:val="000000" w:themeColor="text1"/>
        </w:rPr>
      </w:pPr>
    </w:p>
    <w:p w14:paraId="3712221F" w14:textId="70946EC0" w:rsidR="3D8E81BD" w:rsidRDefault="077CBCEF" w:rsidP="063DBD0C">
      <w:pPr>
        <w:rPr>
          <w:rFonts w:ascii="Aptos" w:eastAsia="Aptos" w:hAnsi="Aptos" w:cs="Aptos"/>
          <w:color w:val="000000" w:themeColor="text1"/>
        </w:rPr>
      </w:pPr>
      <w:r w:rsidRPr="063DBD0C">
        <w:rPr>
          <w:rStyle w:val="eop"/>
          <w:rFonts w:ascii="Aptos" w:eastAsia="Aptos" w:hAnsi="Aptos" w:cs="Aptos"/>
          <w:color w:val="000000" w:themeColor="text1"/>
          <w:u w:val="single"/>
          <w:lang w:val="en-GB"/>
        </w:rPr>
        <w:t>Objective:</w:t>
      </w:r>
      <w:r w:rsidRPr="063DBD0C">
        <w:rPr>
          <w:rStyle w:val="eop"/>
          <w:rFonts w:ascii="Aptos" w:eastAsia="Aptos" w:hAnsi="Aptos" w:cs="Aptos"/>
          <w:color w:val="000000" w:themeColor="text1"/>
          <w:lang w:val="en-GB"/>
        </w:rPr>
        <w:t xml:space="preserve"> </w:t>
      </w:r>
    </w:p>
    <w:p w14:paraId="5B8F8B4E" w14:textId="4BE84442" w:rsidR="3D8E81BD" w:rsidRDefault="077CBCEF" w:rsidP="063DBD0C">
      <w:pPr>
        <w:rPr>
          <w:rFonts w:ascii="Aptos" w:eastAsia="Aptos" w:hAnsi="Aptos" w:cs="Aptos"/>
          <w:color w:val="000000" w:themeColor="text1"/>
        </w:rPr>
      </w:pPr>
      <w:r w:rsidRPr="063DBD0C">
        <w:rPr>
          <w:rStyle w:val="eop"/>
          <w:rFonts w:ascii="Aptos" w:eastAsia="Aptos" w:hAnsi="Aptos" w:cs="Aptos"/>
          <w:color w:val="000000" w:themeColor="text1"/>
          <w:lang w:val="en-GB"/>
        </w:rPr>
        <w:t>Development of peer reviewed upskilling materials aimed at consultants and contractors involved with the investigation and remediation of PFAS contaminated sites.  The aim being to ensure understanding and buy-in across the industry of what is expected by the Regulator in terms of the Lines of Evidence Approach when producing remediation options appraisals and remediation strategies.</w:t>
      </w:r>
    </w:p>
    <w:p w14:paraId="4B735C10" w14:textId="3AC5155F" w:rsidR="3D8E81BD" w:rsidRDefault="3D8E81BD" w:rsidP="063DBD0C">
      <w:pPr>
        <w:rPr>
          <w:rFonts w:ascii="Aptos" w:eastAsia="Aptos" w:hAnsi="Aptos" w:cs="Aptos"/>
          <w:color w:val="000000" w:themeColor="text1"/>
        </w:rPr>
      </w:pPr>
    </w:p>
    <w:p w14:paraId="7580E6BC" w14:textId="2E25A7F2" w:rsidR="3D8E81BD" w:rsidRDefault="077CBCEF" w:rsidP="063DBD0C">
      <w:pPr>
        <w:rPr>
          <w:rFonts w:ascii="Aptos" w:eastAsia="Aptos" w:hAnsi="Aptos" w:cs="Aptos"/>
          <w:color w:val="000000" w:themeColor="text1"/>
        </w:rPr>
      </w:pPr>
      <w:r w:rsidRPr="063DBD0C">
        <w:rPr>
          <w:rStyle w:val="eop"/>
          <w:rFonts w:ascii="Aptos" w:eastAsia="Aptos" w:hAnsi="Aptos" w:cs="Aptos"/>
          <w:color w:val="000000" w:themeColor="text1"/>
          <w:u w:val="single"/>
          <w:lang w:val="en-GB"/>
        </w:rPr>
        <w:t>Deliverable/s:</w:t>
      </w:r>
      <w:r w:rsidRPr="063DBD0C">
        <w:rPr>
          <w:rStyle w:val="eop"/>
          <w:rFonts w:ascii="Aptos" w:eastAsia="Aptos" w:hAnsi="Aptos" w:cs="Aptos"/>
          <w:color w:val="000000" w:themeColor="text1"/>
          <w:lang w:val="en-GB"/>
        </w:rPr>
        <w:t xml:space="preserve"> </w:t>
      </w:r>
    </w:p>
    <w:p w14:paraId="4A9E4AE7" w14:textId="03CFCD6E" w:rsidR="3D8E81BD" w:rsidRDefault="077CBCEF" w:rsidP="063DBD0C">
      <w:pPr>
        <w:rPr>
          <w:rFonts w:ascii="Aptos" w:eastAsia="Aptos" w:hAnsi="Aptos" w:cs="Aptos"/>
          <w:color w:val="000000" w:themeColor="text1"/>
        </w:rPr>
      </w:pPr>
      <w:r w:rsidRPr="063DBD0C">
        <w:rPr>
          <w:rStyle w:val="eop"/>
          <w:rFonts w:ascii="Aptos" w:eastAsia="Aptos" w:hAnsi="Aptos" w:cs="Aptos"/>
          <w:color w:val="000000" w:themeColor="text1"/>
          <w:lang w:val="en-GB"/>
        </w:rPr>
        <w:t xml:space="preserve">Guidance materials that have been peer reviewed by </w:t>
      </w:r>
      <w:proofErr w:type="gramStart"/>
      <w:r w:rsidRPr="063DBD0C">
        <w:rPr>
          <w:rStyle w:val="eop"/>
          <w:rFonts w:ascii="Aptos" w:eastAsia="Aptos" w:hAnsi="Aptos" w:cs="Aptos"/>
          <w:color w:val="000000" w:themeColor="text1"/>
          <w:lang w:val="en-GB"/>
        </w:rPr>
        <w:t>CL:AIRE’s</w:t>
      </w:r>
      <w:proofErr w:type="gramEnd"/>
      <w:r w:rsidRPr="063DBD0C">
        <w:rPr>
          <w:rStyle w:val="eop"/>
          <w:rFonts w:ascii="Aptos" w:eastAsia="Aptos" w:hAnsi="Aptos" w:cs="Aptos"/>
          <w:color w:val="000000" w:themeColor="text1"/>
          <w:lang w:val="en-GB"/>
        </w:rPr>
        <w:t xml:space="preserve"> Technical Review Group (TRG) and that are aimed at the remediation sector.  A webinar or series of bite</w:t>
      </w:r>
      <w:r w:rsidRPr="063DBD0C">
        <w:rPr>
          <w:rStyle w:val="eop"/>
          <w:rFonts w:ascii="Aptos" w:eastAsia="Aptos" w:hAnsi="Aptos" w:cs="Aptos"/>
          <w:color w:val="D13438"/>
          <w:u w:val="single"/>
          <w:lang w:val="en-GB"/>
        </w:rPr>
        <w:t xml:space="preserve"> </w:t>
      </w:r>
      <w:r w:rsidRPr="063DBD0C">
        <w:rPr>
          <w:rStyle w:val="eop"/>
          <w:rFonts w:ascii="Aptos" w:eastAsia="Aptos" w:hAnsi="Aptos" w:cs="Aptos"/>
          <w:color w:val="000000" w:themeColor="text1"/>
          <w:lang w:val="en-GB"/>
        </w:rPr>
        <w:t xml:space="preserve">sized webinars, or similar, hosted online on the </w:t>
      </w:r>
      <w:proofErr w:type="gramStart"/>
      <w:r w:rsidRPr="063DBD0C">
        <w:rPr>
          <w:rStyle w:val="eop"/>
          <w:rFonts w:ascii="Aptos" w:eastAsia="Aptos" w:hAnsi="Aptos" w:cs="Aptos"/>
          <w:color w:val="000000" w:themeColor="text1"/>
          <w:lang w:val="en-GB"/>
        </w:rPr>
        <w:t>CL:AIRE</w:t>
      </w:r>
      <w:proofErr w:type="gramEnd"/>
      <w:r w:rsidRPr="063DBD0C">
        <w:rPr>
          <w:rStyle w:val="eop"/>
          <w:rFonts w:ascii="Aptos" w:eastAsia="Aptos" w:hAnsi="Aptos" w:cs="Aptos"/>
          <w:color w:val="000000" w:themeColor="text1"/>
          <w:lang w:val="en-GB"/>
        </w:rPr>
        <w:t xml:space="preserve"> Water and Land Library (WALL) as authoritative guidance set within the Environment Agency’s Land Contamination Risk Management (LCRM) framework, with free access to all users.  The outputs of this project should be demonstrated to be up to date, internationally referenced </w:t>
      </w:r>
      <w:proofErr w:type="gramStart"/>
      <w:r w:rsidRPr="063DBD0C">
        <w:rPr>
          <w:rStyle w:val="eop"/>
          <w:rFonts w:ascii="Aptos" w:eastAsia="Aptos" w:hAnsi="Aptos" w:cs="Aptos"/>
          <w:color w:val="000000" w:themeColor="text1"/>
          <w:lang w:val="en-GB"/>
        </w:rPr>
        <w:t>and also</w:t>
      </w:r>
      <w:proofErr w:type="gramEnd"/>
      <w:r w:rsidRPr="063DBD0C">
        <w:rPr>
          <w:rStyle w:val="eop"/>
          <w:rFonts w:ascii="Aptos" w:eastAsia="Aptos" w:hAnsi="Aptos" w:cs="Aptos"/>
          <w:color w:val="000000" w:themeColor="text1"/>
          <w:lang w:val="en-GB"/>
        </w:rPr>
        <w:t xml:space="preserve"> relevant to the UK remediation industry to ensure buy in from those who will be using it.</w:t>
      </w:r>
    </w:p>
    <w:p w14:paraId="686F276E" w14:textId="68C37CEA" w:rsidR="3D8E81BD" w:rsidRDefault="3D8E81BD" w:rsidP="063DBD0C">
      <w:pPr>
        <w:rPr>
          <w:rFonts w:ascii="Aptos" w:eastAsia="Aptos" w:hAnsi="Aptos" w:cs="Aptos"/>
          <w:color w:val="000000" w:themeColor="text1"/>
        </w:rPr>
      </w:pPr>
    </w:p>
    <w:p w14:paraId="442546AE" w14:textId="000D4D42" w:rsidR="3D8E81BD" w:rsidRDefault="3D8E81BD" w:rsidP="063DBD0C">
      <w:pPr>
        <w:jc w:val="both"/>
        <w:rPr>
          <w:rFonts w:ascii="Aptos" w:eastAsia="Aptos" w:hAnsi="Aptos" w:cs="Aptos"/>
          <w:color w:val="000000" w:themeColor="text1"/>
        </w:rPr>
      </w:pPr>
    </w:p>
    <w:p w14:paraId="52ECC627" w14:textId="7882A977" w:rsidR="3D8E81BD" w:rsidRDefault="077CBCEF" w:rsidP="063DBD0C">
      <w:pPr>
        <w:rPr>
          <w:rFonts w:ascii="Aptos" w:eastAsia="Aptos" w:hAnsi="Aptos" w:cs="Aptos"/>
          <w:color w:val="000000" w:themeColor="text1"/>
        </w:rPr>
      </w:pPr>
      <w:r w:rsidRPr="063DBD0C">
        <w:rPr>
          <w:rStyle w:val="normaltextrun"/>
          <w:rFonts w:ascii="Aptos" w:eastAsia="Aptos" w:hAnsi="Aptos" w:cs="Aptos"/>
          <w:b/>
          <w:bCs/>
          <w:color w:val="000000" w:themeColor="text1"/>
          <w:u w:val="single"/>
          <w:lang w:val="en-GB"/>
        </w:rPr>
        <w:t>Task 4</w:t>
      </w:r>
      <w:r w:rsidRPr="063DBD0C">
        <w:rPr>
          <w:rStyle w:val="normaltextrun"/>
          <w:rFonts w:ascii="Aptos" w:eastAsia="Aptos" w:hAnsi="Aptos" w:cs="Aptos"/>
          <w:color w:val="000000" w:themeColor="text1"/>
          <w:u w:val="single"/>
          <w:lang w:val="en-GB"/>
        </w:rPr>
        <w:t xml:space="preserve"> – Project completion – End Q4</w:t>
      </w:r>
    </w:p>
    <w:p w14:paraId="7FEA075C" w14:textId="16C60F3C" w:rsidR="3D8E81BD" w:rsidRDefault="3D8E81BD" w:rsidP="063DBD0C">
      <w:pPr>
        <w:rPr>
          <w:rFonts w:ascii="Aptos" w:eastAsia="Aptos" w:hAnsi="Aptos" w:cs="Aptos"/>
          <w:color w:val="000000" w:themeColor="text1"/>
        </w:rPr>
      </w:pPr>
    </w:p>
    <w:p w14:paraId="6C3FF74C" w14:textId="3222E7F8" w:rsidR="3D8E81BD" w:rsidRDefault="077CBCEF" w:rsidP="063DBD0C">
      <w:pPr>
        <w:rPr>
          <w:rFonts w:ascii="Aptos" w:eastAsia="Aptos" w:hAnsi="Aptos" w:cs="Aptos"/>
          <w:color w:val="000000" w:themeColor="text1"/>
        </w:rPr>
      </w:pPr>
      <w:r w:rsidRPr="063DBD0C">
        <w:rPr>
          <w:rStyle w:val="eop"/>
          <w:rFonts w:ascii="Aptos" w:eastAsia="Aptos" w:hAnsi="Aptos" w:cs="Aptos"/>
          <w:color w:val="000000" w:themeColor="text1"/>
          <w:u w:val="single"/>
          <w:lang w:val="en-GB"/>
        </w:rPr>
        <w:t>Objective:</w:t>
      </w:r>
      <w:r w:rsidRPr="063DBD0C">
        <w:rPr>
          <w:rStyle w:val="eop"/>
          <w:rFonts w:ascii="Aptos" w:eastAsia="Aptos" w:hAnsi="Aptos" w:cs="Aptos"/>
          <w:color w:val="000000" w:themeColor="text1"/>
          <w:lang w:val="en-GB"/>
        </w:rPr>
        <w:t xml:space="preserve"> </w:t>
      </w:r>
    </w:p>
    <w:p w14:paraId="27E9A034" w14:textId="2E418592" w:rsidR="3D8E81BD" w:rsidRDefault="077CBCEF" w:rsidP="063DBD0C">
      <w:pPr>
        <w:rPr>
          <w:rFonts w:ascii="Aptos" w:eastAsia="Aptos" w:hAnsi="Aptos" w:cs="Aptos"/>
          <w:color w:val="000000" w:themeColor="text1"/>
        </w:rPr>
      </w:pPr>
      <w:r w:rsidRPr="063DBD0C">
        <w:rPr>
          <w:rStyle w:val="eop"/>
          <w:rFonts w:ascii="Aptos" w:eastAsia="Aptos" w:hAnsi="Aptos" w:cs="Aptos"/>
          <w:color w:val="000000" w:themeColor="text1"/>
          <w:lang w:val="en-GB"/>
        </w:rPr>
        <w:t>Completion of the required materials ready for successful delivery to both internal and external customers.</w:t>
      </w:r>
    </w:p>
    <w:p w14:paraId="27DCFB7A" w14:textId="1BC221A6" w:rsidR="3D8E81BD" w:rsidRDefault="3D8E81BD" w:rsidP="063DBD0C">
      <w:pPr>
        <w:rPr>
          <w:rFonts w:ascii="Aptos" w:eastAsia="Aptos" w:hAnsi="Aptos" w:cs="Aptos"/>
          <w:color w:val="000000" w:themeColor="text1"/>
        </w:rPr>
      </w:pPr>
    </w:p>
    <w:p w14:paraId="0DDA053B" w14:textId="3B79874C" w:rsidR="3D8E81BD" w:rsidRDefault="077CBCEF" w:rsidP="063DBD0C">
      <w:pPr>
        <w:spacing w:line="278" w:lineRule="auto"/>
        <w:rPr>
          <w:rFonts w:ascii="Aptos" w:eastAsia="Aptos" w:hAnsi="Aptos" w:cs="Aptos"/>
          <w:color w:val="000000" w:themeColor="text1"/>
        </w:rPr>
      </w:pPr>
      <w:r w:rsidRPr="063DBD0C">
        <w:rPr>
          <w:rFonts w:ascii="Aptos" w:eastAsia="Aptos" w:hAnsi="Aptos" w:cs="Aptos"/>
          <w:color w:val="000000" w:themeColor="text1"/>
          <w:u w:val="single"/>
          <w:lang w:val="en-GB"/>
        </w:rPr>
        <w:t>Deliverable/s:</w:t>
      </w:r>
    </w:p>
    <w:p w14:paraId="33B95AC2" w14:textId="777FD43E" w:rsidR="3D8E81BD" w:rsidRDefault="3D8E81BD" w:rsidP="063DBD0C">
      <w:pPr>
        <w:spacing w:line="278" w:lineRule="auto"/>
        <w:rPr>
          <w:rFonts w:ascii="Aptos" w:eastAsia="Aptos" w:hAnsi="Aptos" w:cs="Aptos"/>
          <w:color w:val="000000" w:themeColor="text1"/>
        </w:rPr>
      </w:pPr>
    </w:p>
    <w:p w14:paraId="3C156A63" w14:textId="01588562" w:rsidR="3D8E81BD" w:rsidRDefault="077CBCEF" w:rsidP="063DBD0C">
      <w:pPr>
        <w:spacing w:line="278" w:lineRule="auto"/>
        <w:rPr>
          <w:rFonts w:ascii="Aptos" w:eastAsia="Aptos" w:hAnsi="Aptos" w:cs="Aptos"/>
          <w:color w:val="000000" w:themeColor="text1"/>
        </w:rPr>
      </w:pPr>
      <w:r w:rsidRPr="063DBD0C">
        <w:rPr>
          <w:rFonts w:ascii="Aptos" w:eastAsia="Aptos" w:hAnsi="Aptos" w:cs="Aptos"/>
          <w:color w:val="000000" w:themeColor="text1"/>
          <w:lang w:val="en-GB"/>
        </w:rPr>
        <w:t>Internal:  Internal materials will have been delivered once and feedback received.  These materials will then be made available by the EA project team via our PFAS &amp; Emerging Substances SharePoint site for the purposes of ongoing refresher training and new starter training, possibly with a view to inclusion on the EA’s Learning and Development platform at a future date.</w:t>
      </w:r>
    </w:p>
    <w:p w14:paraId="05D8F637" w14:textId="6921E914" w:rsidR="3D8E81BD" w:rsidRDefault="3D8E81BD" w:rsidP="063DBD0C">
      <w:pPr>
        <w:spacing w:line="278" w:lineRule="auto"/>
        <w:rPr>
          <w:rFonts w:ascii="Aptos" w:eastAsia="Aptos" w:hAnsi="Aptos" w:cs="Aptos"/>
          <w:color w:val="000000" w:themeColor="text1"/>
        </w:rPr>
      </w:pPr>
    </w:p>
    <w:p w14:paraId="416845A5" w14:textId="2C54F786" w:rsidR="3D8E81BD" w:rsidRDefault="077CBCEF" w:rsidP="063DBD0C">
      <w:pPr>
        <w:spacing w:line="278" w:lineRule="auto"/>
        <w:rPr>
          <w:rFonts w:ascii="Aptos" w:eastAsia="Aptos" w:hAnsi="Aptos" w:cs="Aptos"/>
          <w:color w:val="000000" w:themeColor="text1"/>
        </w:rPr>
      </w:pPr>
      <w:r w:rsidRPr="063DBD0C">
        <w:rPr>
          <w:rFonts w:ascii="Aptos" w:eastAsia="Aptos" w:hAnsi="Aptos" w:cs="Aptos"/>
          <w:color w:val="000000" w:themeColor="text1"/>
          <w:lang w:val="en-GB"/>
        </w:rPr>
        <w:t>External: External materials will have been published online and set within the context of the EA’s LCRM framework.  The materials will be freely accessible to all.</w:t>
      </w:r>
    </w:p>
    <w:p w14:paraId="1FAC7579" w14:textId="22903BDC" w:rsidR="3D8E81BD" w:rsidRDefault="3D8E81BD" w:rsidP="3D8E81BD">
      <w:pPr>
        <w:jc w:val="center"/>
        <w:rPr>
          <w:b/>
          <w:bCs/>
        </w:rPr>
      </w:pPr>
    </w:p>
    <w:p w14:paraId="1F0A7A86" w14:textId="0FE5A4D6" w:rsidR="00964799" w:rsidRDefault="00964799">
      <w:pPr>
        <w:rPr>
          <w:b/>
          <w:bCs/>
        </w:rPr>
      </w:pPr>
      <w:r>
        <w:rPr>
          <w:b/>
          <w:bCs/>
        </w:rPr>
        <w:br w:type="page"/>
      </w:r>
    </w:p>
    <w:p w14:paraId="03F248C0" w14:textId="5824B594" w:rsidR="00DF1F5A" w:rsidRDefault="00964799" w:rsidP="00964799">
      <w:pPr>
        <w:jc w:val="center"/>
        <w:rPr>
          <w:b/>
          <w:bCs/>
        </w:rPr>
      </w:pPr>
      <w:r w:rsidRPr="063DBD0C">
        <w:rPr>
          <w:b/>
          <w:bCs/>
        </w:rPr>
        <w:lastRenderedPageBreak/>
        <w:t>A</w:t>
      </w:r>
      <w:r w:rsidR="00BF4F9C" w:rsidRPr="063DBD0C">
        <w:rPr>
          <w:b/>
          <w:bCs/>
        </w:rPr>
        <w:t>ppendix</w:t>
      </w:r>
      <w:r w:rsidRPr="063DBD0C">
        <w:rPr>
          <w:b/>
          <w:bCs/>
        </w:rPr>
        <w:t xml:space="preserve"> 3: C</w:t>
      </w:r>
      <w:r w:rsidR="00260BC4" w:rsidRPr="063DBD0C">
        <w:rPr>
          <w:b/>
          <w:bCs/>
        </w:rPr>
        <w:t>harges</w:t>
      </w:r>
    </w:p>
    <w:p w14:paraId="4AB237C3" w14:textId="4E190DAC" w:rsidR="006418F8" w:rsidRPr="009D6BFB" w:rsidRDefault="006418F8" w:rsidP="00964799">
      <w:pPr>
        <w:jc w:val="center"/>
        <w:rPr>
          <w:b/>
          <w:bCs/>
        </w:rPr>
      </w:pPr>
    </w:p>
    <w:p w14:paraId="2D547DDD" w14:textId="4785BE75" w:rsidR="1F44ACD0" w:rsidRDefault="1F44ACD0" w:rsidP="063DBD0C">
      <w:pPr>
        <w:jc w:val="center"/>
        <w:rPr>
          <w:b/>
          <w:bCs/>
          <w:highlight w:val="green"/>
        </w:rPr>
      </w:pPr>
      <w:r w:rsidRPr="063DBD0C">
        <w:rPr>
          <w:b/>
          <w:bCs/>
          <w:highlight w:val="green"/>
        </w:rPr>
        <w:t>Insert after contract award</w:t>
      </w: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rsidTr="000C7CF6">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rsidP="000C7CF6">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rsidTr="000C7CF6">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rsidP="000C7CF6">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479204B7" w:rsidR="00137FF0" w:rsidRPr="00852203" w:rsidRDefault="00137FF0" w:rsidP="000C7CF6">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002D683F">
              <w:rPr>
                <w:rFonts w:ascii="Arial" w:eastAsia="Arial" w:hAnsi="Arial" w:cs="Arial"/>
                <w:b/>
                <w:color w:val="000000"/>
                <w:sz w:val="18"/>
                <w:szCs w:val="18"/>
              </w:rPr>
              <w:t>Lines Of Evidence</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rsidP="000C7CF6">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rsidP="000C7CF6">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rsidP="000C7CF6">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rsidP="000C7CF6">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5193DD99" w:rsidR="00137FF0" w:rsidRPr="00137FF0" w:rsidRDefault="00137FF0" w:rsidP="000C7CF6">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002D683F">
              <w:rPr>
                <w:rFonts w:ascii="Arial" w:eastAsia="Arial" w:hAnsi="Arial" w:cs="Arial"/>
                <w:b/>
                <w:color w:val="000000"/>
                <w:sz w:val="18"/>
                <w:szCs w:val="18"/>
              </w:rPr>
              <w:t>28</w:t>
            </w:r>
            <w:r w:rsidR="002D683F" w:rsidRPr="002D683F">
              <w:rPr>
                <w:rFonts w:ascii="Arial" w:eastAsia="Arial" w:hAnsi="Arial" w:cs="Arial"/>
                <w:b/>
                <w:color w:val="000000"/>
                <w:sz w:val="18"/>
                <w:szCs w:val="18"/>
                <w:vertAlign w:val="superscript"/>
              </w:rPr>
              <w:t>th</w:t>
            </w:r>
            <w:r w:rsidR="002D683F">
              <w:rPr>
                <w:rFonts w:ascii="Arial" w:eastAsia="Arial" w:hAnsi="Arial" w:cs="Arial"/>
                <w:b/>
                <w:color w:val="000000"/>
                <w:sz w:val="18"/>
                <w:szCs w:val="18"/>
              </w:rPr>
              <w:t xml:space="preserve"> October 2024</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rsidP="000C7CF6">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rsidP="000C7CF6">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rsidP="000C7CF6">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280A3561" w:rsidR="00137FF0" w:rsidRPr="00137FF0" w:rsidRDefault="00ED4970" w:rsidP="000C7CF6">
            <w:pPr>
              <w:tabs>
                <w:tab w:val="left" w:pos="709"/>
              </w:tabs>
              <w:spacing w:after="120"/>
              <w:rPr>
                <w:rFonts w:ascii="Arial" w:eastAsia="Arial" w:hAnsi="Arial" w:cs="Arial"/>
                <w:color w:val="000000"/>
                <w:sz w:val="18"/>
                <w:szCs w:val="18"/>
              </w:rPr>
            </w:pPr>
            <w:r>
              <w:rPr>
                <w:rFonts w:ascii="Arial" w:eastAsia="Arial" w:hAnsi="Arial" w:cs="Arial"/>
                <w:color w:val="000000"/>
                <w:sz w:val="18"/>
                <w:szCs w:val="18"/>
              </w:rPr>
              <w:t xml:space="preserve">Environment Agency will be the </w:t>
            </w:r>
            <w:proofErr w:type="gramStart"/>
            <w:r>
              <w:rPr>
                <w:rFonts w:ascii="Arial" w:eastAsia="Arial" w:hAnsi="Arial" w:cs="Arial"/>
                <w:color w:val="000000"/>
                <w:sz w:val="18"/>
                <w:szCs w:val="18"/>
              </w:rPr>
              <w:t>controller</w:t>
            </w:r>
            <w:proofErr w:type="gramEnd"/>
            <w:r>
              <w:rPr>
                <w:rFonts w:ascii="Arial" w:eastAsia="Arial" w:hAnsi="Arial" w:cs="Arial"/>
                <w:color w:val="000000"/>
                <w:sz w:val="18"/>
                <w:szCs w:val="18"/>
              </w:rPr>
              <w:t xml:space="preserve"> and the supplier will be the processor. </w:t>
            </w: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rsidP="000C7CF6">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6D7E878B"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r w:rsidR="00ED4970">
              <w:rPr>
                <w:rFonts w:ascii="Arial" w:eastAsia="Arial" w:hAnsi="Arial" w:cs="Arial"/>
                <w:color w:val="000000"/>
                <w:sz w:val="18"/>
                <w:szCs w:val="18"/>
              </w:rPr>
              <w:t>Lines Of Evidence Project</w:t>
            </w:r>
          </w:p>
        </w:tc>
      </w:tr>
      <w:tr w:rsidR="00137FF0" w:rsidRPr="00961A47" w14:paraId="42FC6639" w14:textId="77777777" w:rsidTr="000C7CF6">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333EBC3B"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r w:rsidR="00B10EE7">
              <w:rPr>
                <w:rFonts w:ascii="Arial" w:eastAsia="Arial" w:hAnsi="Arial" w:cs="Arial"/>
                <w:color w:val="000000"/>
                <w:sz w:val="18"/>
                <w:szCs w:val="18"/>
              </w:rPr>
              <w:t>28</w:t>
            </w:r>
            <w:r w:rsidR="00B10EE7" w:rsidRPr="00B10EE7">
              <w:rPr>
                <w:rFonts w:ascii="Arial" w:eastAsia="Arial" w:hAnsi="Arial" w:cs="Arial"/>
                <w:color w:val="000000"/>
                <w:sz w:val="18"/>
                <w:szCs w:val="18"/>
                <w:vertAlign w:val="superscript"/>
              </w:rPr>
              <w:t>th</w:t>
            </w:r>
            <w:r w:rsidR="00B10EE7">
              <w:rPr>
                <w:rFonts w:ascii="Arial" w:eastAsia="Arial" w:hAnsi="Arial" w:cs="Arial"/>
                <w:color w:val="000000"/>
                <w:sz w:val="18"/>
                <w:szCs w:val="18"/>
              </w:rPr>
              <w:t xml:space="preserve"> October 2024 – 28</w:t>
            </w:r>
            <w:r w:rsidR="00B10EE7" w:rsidRPr="00B10EE7">
              <w:rPr>
                <w:rFonts w:ascii="Arial" w:eastAsia="Arial" w:hAnsi="Arial" w:cs="Arial"/>
                <w:color w:val="000000"/>
                <w:sz w:val="18"/>
                <w:szCs w:val="18"/>
                <w:vertAlign w:val="superscript"/>
              </w:rPr>
              <w:t>th</w:t>
            </w:r>
            <w:r w:rsidR="00B10EE7">
              <w:rPr>
                <w:rFonts w:ascii="Arial" w:eastAsia="Arial" w:hAnsi="Arial" w:cs="Arial"/>
                <w:color w:val="000000"/>
                <w:sz w:val="18"/>
                <w:szCs w:val="18"/>
              </w:rPr>
              <w:t xml:space="preserve"> February 2025</w:t>
            </w:r>
          </w:p>
        </w:tc>
      </w:tr>
      <w:tr w:rsidR="00137FF0" w:rsidRPr="00961A47" w14:paraId="24B0B71E" w14:textId="77777777" w:rsidTr="000C7CF6">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rsidP="000C7CF6">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32477DB4" w:rsidR="00137FF0" w:rsidRPr="00137FF0" w:rsidRDefault="008A22C3" w:rsidP="000C7CF6">
            <w:pPr>
              <w:tabs>
                <w:tab w:val="left" w:pos="709"/>
              </w:tabs>
              <w:spacing w:after="120"/>
              <w:rPr>
                <w:rFonts w:ascii="Arial" w:eastAsia="Arial" w:hAnsi="Arial" w:cs="Arial"/>
                <w:color w:val="000000"/>
                <w:sz w:val="18"/>
                <w:szCs w:val="18"/>
              </w:rPr>
            </w:pPr>
            <w:r w:rsidRPr="008A22C3">
              <w:rPr>
                <w:rFonts w:ascii="Arial" w:eastAsia="Arial" w:hAnsi="Arial" w:cs="Arial"/>
                <w:color w:val="000000"/>
                <w:sz w:val="18"/>
                <w:szCs w:val="18"/>
              </w:rPr>
              <w:t xml:space="preserve">The processing is needed </w:t>
            </w:r>
            <w:proofErr w:type="gramStart"/>
            <w:r w:rsidRPr="008A22C3">
              <w:rPr>
                <w:rFonts w:ascii="Arial" w:eastAsia="Arial" w:hAnsi="Arial" w:cs="Arial"/>
                <w:color w:val="000000"/>
                <w:sz w:val="18"/>
                <w:szCs w:val="18"/>
              </w:rPr>
              <w:t>in order to</w:t>
            </w:r>
            <w:proofErr w:type="gramEnd"/>
            <w:r w:rsidRPr="008A22C3">
              <w:rPr>
                <w:rFonts w:ascii="Arial" w:eastAsia="Arial" w:hAnsi="Arial" w:cs="Arial"/>
                <w:color w:val="000000"/>
                <w:sz w:val="18"/>
                <w:szCs w:val="18"/>
              </w:rPr>
              <w:t xml:space="preserve"> ensure that the Processor can effectively deliver the contract to provide a service to members of the public.</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3EE949B0"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r w:rsidR="00AB6C42" w:rsidRPr="00AB6C42">
              <w:rPr>
                <w:rFonts w:ascii="Arial" w:eastAsia="Arial" w:hAnsi="Arial" w:cs="Arial"/>
                <w:color w:val="000000"/>
                <w:sz w:val="18"/>
                <w:szCs w:val="18"/>
              </w:rPr>
              <w:t>Name, address pay, images, biometric data</w:t>
            </w:r>
            <w:r w:rsidR="00AB6C42">
              <w:rPr>
                <w:rFonts w:ascii="Arial" w:eastAsia="Arial" w:hAnsi="Arial" w:cs="Arial"/>
                <w:color w:val="000000"/>
                <w:sz w:val="18"/>
                <w:szCs w:val="18"/>
              </w:rPr>
              <w:t xml:space="preserve"> and </w:t>
            </w:r>
            <w:r w:rsidR="00AB6C42" w:rsidRPr="00AB6C42">
              <w:rPr>
                <w:rFonts w:ascii="Arial" w:eastAsia="Arial" w:hAnsi="Arial" w:cs="Arial"/>
                <w:color w:val="000000"/>
                <w:sz w:val="18"/>
                <w:szCs w:val="18"/>
              </w:rPr>
              <w:t>occupation</w:t>
            </w:r>
            <w:r w:rsidR="00AB6C42">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45ACCE33"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r w:rsidR="00075262" w:rsidRPr="00075262">
              <w:rPr>
                <w:rFonts w:ascii="Arial" w:eastAsia="Arial" w:hAnsi="Arial" w:cs="Arial"/>
                <w:color w:val="000000"/>
                <w:sz w:val="18"/>
                <w:szCs w:val="18"/>
              </w:rPr>
              <w:t>Staff (including volunteers, agents, and temporary workers), customers/ clients, suppliers, academics, members of industry, students / pupils, members of the public, users of a particular website etc.</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3B7985B7" w:rsidR="00137FF0" w:rsidRPr="00137FF0" w:rsidRDefault="005F448B" w:rsidP="000C7CF6">
            <w:pPr>
              <w:tabs>
                <w:tab w:val="left" w:pos="709"/>
              </w:tabs>
              <w:spacing w:after="120"/>
              <w:rPr>
                <w:rFonts w:ascii="Arial" w:eastAsia="Arial" w:hAnsi="Arial" w:cs="Arial"/>
                <w:color w:val="000000"/>
                <w:sz w:val="18"/>
                <w:szCs w:val="18"/>
              </w:rPr>
            </w:pPr>
            <w:r w:rsidRPr="005F448B">
              <w:rPr>
                <w:rFonts w:ascii="Arial" w:eastAsia="Arial" w:hAnsi="Arial" w:cs="Arial"/>
                <w:color w:val="000000"/>
                <w:sz w:val="18"/>
                <w:szCs w:val="18"/>
              </w:rPr>
              <w:t>At 12 months from the Completion Date, the data will be deleted.</w:t>
            </w: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rsidP="000C7CF6">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rsidP="000C7CF6">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9269C9A" w:rsidR="00137FF0" w:rsidRPr="00137FF0" w:rsidRDefault="00000977" w:rsidP="000C7CF6">
            <w:pPr>
              <w:tabs>
                <w:tab w:val="left" w:pos="709"/>
              </w:tabs>
              <w:spacing w:after="120"/>
              <w:rPr>
                <w:rFonts w:ascii="Arial" w:eastAsia="Arial" w:hAnsi="Arial" w:cs="Arial"/>
                <w:color w:val="000000"/>
                <w:sz w:val="18"/>
                <w:szCs w:val="18"/>
              </w:rPr>
            </w:pPr>
            <w:r>
              <w:rPr>
                <w:rFonts w:ascii="Arial" w:eastAsia="Arial" w:hAnsi="Arial" w:cs="Arial"/>
                <w:color w:val="000000"/>
                <w:sz w:val="18"/>
                <w:szCs w:val="18"/>
              </w:rPr>
              <w:t>At their business location</w:t>
            </w: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38307F39" w:rsidR="00137FF0" w:rsidRPr="00137FF0" w:rsidRDefault="00BB6364" w:rsidP="00BB6364">
            <w:pPr>
              <w:tabs>
                <w:tab w:val="left" w:pos="709"/>
              </w:tabs>
              <w:spacing w:after="120"/>
              <w:rPr>
                <w:rFonts w:ascii="Arial" w:eastAsia="Arial" w:hAnsi="Arial" w:cs="Arial"/>
                <w:color w:val="000000"/>
                <w:sz w:val="18"/>
                <w:szCs w:val="18"/>
              </w:rPr>
            </w:pPr>
            <w:r>
              <w:rPr>
                <w:rFonts w:ascii="Arial" w:eastAsia="Arial" w:hAnsi="Arial" w:cs="Arial"/>
                <w:color w:val="000000"/>
                <w:sz w:val="18"/>
                <w:szCs w:val="18"/>
              </w:rPr>
              <w:t>Data protection training and encryption of personal data.</w:t>
            </w: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23"/>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3F12C" w14:textId="77777777" w:rsidR="00C049FC" w:rsidRDefault="00C049FC" w:rsidP="006D4D44">
      <w:r>
        <w:separator/>
      </w:r>
    </w:p>
  </w:endnote>
  <w:endnote w:type="continuationSeparator" w:id="0">
    <w:p w14:paraId="6BC501F6" w14:textId="77777777" w:rsidR="00C049FC" w:rsidRDefault="00C049FC" w:rsidP="006D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5C4FA8BD" w:rsidR="007E7D58" w:rsidRPr="0096507B" w:rsidRDefault="00E3289E" w:rsidP="0096507B">
    <w:pPr>
      <w:rPr>
        <w:rFonts w:ascii="Arial" w:hAnsi="Arial" w:cs="Arial"/>
        <w:b/>
        <w:bCs/>
      </w:rPr>
    </w:pPr>
    <w:r>
      <w:rPr>
        <w:rFonts w:ascii="Arial" w:hAnsi="Arial" w:cs="Arial"/>
        <w:b/>
        <w:bCs/>
      </w:rPr>
      <w:t xml:space="preserve">Order Form </w:t>
    </w:r>
    <w:r w:rsidR="0096507B">
      <w:rPr>
        <w:rFonts w:ascii="Arial" w:hAnsi="Arial" w:cs="Arial"/>
        <w:b/>
        <w:bCs/>
      </w:rPr>
      <w:t>EA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17FBA" w14:textId="77777777" w:rsidR="00C049FC" w:rsidRDefault="00C049FC" w:rsidP="006D4D44">
      <w:r>
        <w:separator/>
      </w:r>
    </w:p>
  </w:footnote>
  <w:footnote w:type="continuationSeparator" w:id="0">
    <w:p w14:paraId="479B62F1" w14:textId="77777777" w:rsidR="00C049FC" w:rsidRDefault="00C049FC" w:rsidP="006D4D44">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2OipuNUM424vYb" int2:id="2r5nqnk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BB73EF"/>
    <w:multiLevelType w:val="hybridMultilevel"/>
    <w:tmpl w:val="38629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8"/>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9"/>
  </w:num>
  <w:num w:numId="7" w16cid:durableId="57559465">
    <w:abstractNumId w:val="11"/>
  </w:num>
  <w:num w:numId="8" w16cid:durableId="1106075539">
    <w:abstractNumId w:val="10"/>
  </w:num>
  <w:num w:numId="9" w16cid:durableId="385764938">
    <w:abstractNumId w:val="0"/>
  </w:num>
  <w:num w:numId="10" w16cid:durableId="1917786695">
    <w:abstractNumId w:val="12"/>
  </w:num>
  <w:num w:numId="11" w16cid:durableId="2083286213">
    <w:abstractNumId w:val="3"/>
  </w:num>
  <w:num w:numId="12" w16cid:durableId="241069624">
    <w:abstractNumId w:val="5"/>
  </w:num>
  <w:num w:numId="13" w16cid:durableId="2156274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0977"/>
    <w:rsid w:val="00005103"/>
    <w:rsid w:val="00031050"/>
    <w:rsid w:val="000465D8"/>
    <w:rsid w:val="00051580"/>
    <w:rsid w:val="00060369"/>
    <w:rsid w:val="00067FA0"/>
    <w:rsid w:val="00075262"/>
    <w:rsid w:val="00090B3C"/>
    <w:rsid w:val="00093053"/>
    <w:rsid w:val="00097664"/>
    <w:rsid w:val="000B50E0"/>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91411"/>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D683F"/>
    <w:rsid w:val="002D71E6"/>
    <w:rsid w:val="002F6F29"/>
    <w:rsid w:val="0030291B"/>
    <w:rsid w:val="00306F3A"/>
    <w:rsid w:val="003112A2"/>
    <w:rsid w:val="0034450F"/>
    <w:rsid w:val="003561B6"/>
    <w:rsid w:val="00357164"/>
    <w:rsid w:val="003646C1"/>
    <w:rsid w:val="00365728"/>
    <w:rsid w:val="003714F6"/>
    <w:rsid w:val="003814A0"/>
    <w:rsid w:val="00392B73"/>
    <w:rsid w:val="003975F1"/>
    <w:rsid w:val="003C4D8D"/>
    <w:rsid w:val="003E02E2"/>
    <w:rsid w:val="003E0478"/>
    <w:rsid w:val="003E1946"/>
    <w:rsid w:val="003E3F57"/>
    <w:rsid w:val="003F07B0"/>
    <w:rsid w:val="003F2057"/>
    <w:rsid w:val="003F40DF"/>
    <w:rsid w:val="003F73AF"/>
    <w:rsid w:val="004028F1"/>
    <w:rsid w:val="00417BD4"/>
    <w:rsid w:val="00420833"/>
    <w:rsid w:val="00425D5F"/>
    <w:rsid w:val="00431E7C"/>
    <w:rsid w:val="0045719F"/>
    <w:rsid w:val="00460766"/>
    <w:rsid w:val="004653AC"/>
    <w:rsid w:val="00466581"/>
    <w:rsid w:val="0047390D"/>
    <w:rsid w:val="004A3885"/>
    <w:rsid w:val="004A78E6"/>
    <w:rsid w:val="004B25E8"/>
    <w:rsid w:val="004D6A40"/>
    <w:rsid w:val="004E3F6D"/>
    <w:rsid w:val="004E401D"/>
    <w:rsid w:val="00502C2A"/>
    <w:rsid w:val="005331C6"/>
    <w:rsid w:val="00561D0A"/>
    <w:rsid w:val="0056575C"/>
    <w:rsid w:val="0056680F"/>
    <w:rsid w:val="00592833"/>
    <w:rsid w:val="005954B9"/>
    <w:rsid w:val="005A1B38"/>
    <w:rsid w:val="005A2361"/>
    <w:rsid w:val="005A6439"/>
    <w:rsid w:val="005B1BD6"/>
    <w:rsid w:val="005B7BA0"/>
    <w:rsid w:val="005D7E88"/>
    <w:rsid w:val="005E3AB1"/>
    <w:rsid w:val="005F21B0"/>
    <w:rsid w:val="005F448B"/>
    <w:rsid w:val="00607C0A"/>
    <w:rsid w:val="00622BBD"/>
    <w:rsid w:val="00623BC1"/>
    <w:rsid w:val="0062693F"/>
    <w:rsid w:val="006418F8"/>
    <w:rsid w:val="00643F0F"/>
    <w:rsid w:val="0064DEB2"/>
    <w:rsid w:val="00650E75"/>
    <w:rsid w:val="00661567"/>
    <w:rsid w:val="00671CDA"/>
    <w:rsid w:val="00675C3D"/>
    <w:rsid w:val="00694132"/>
    <w:rsid w:val="0069576E"/>
    <w:rsid w:val="006A3405"/>
    <w:rsid w:val="006B1941"/>
    <w:rsid w:val="006C1774"/>
    <w:rsid w:val="006C46CB"/>
    <w:rsid w:val="006D3AB7"/>
    <w:rsid w:val="006D4D44"/>
    <w:rsid w:val="006F3AA3"/>
    <w:rsid w:val="006F62EF"/>
    <w:rsid w:val="00714685"/>
    <w:rsid w:val="00720A44"/>
    <w:rsid w:val="007368D0"/>
    <w:rsid w:val="00755B7F"/>
    <w:rsid w:val="00775FBA"/>
    <w:rsid w:val="00782853"/>
    <w:rsid w:val="00782BF3"/>
    <w:rsid w:val="00786A8B"/>
    <w:rsid w:val="007940DD"/>
    <w:rsid w:val="007A1EC5"/>
    <w:rsid w:val="007B5C2E"/>
    <w:rsid w:val="007C2C25"/>
    <w:rsid w:val="007C3600"/>
    <w:rsid w:val="007C4512"/>
    <w:rsid w:val="007C701F"/>
    <w:rsid w:val="007D1C0C"/>
    <w:rsid w:val="007D770C"/>
    <w:rsid w:val="007E13D8"/>
    <w:rsid w:val="007E3C94"/>
    <w:rsid w:val="007E4FEE"/>
    <w:rsid w:val="007E7D58"/>
    <w:rsid w:val="007F69B6"/>
    <w:rsid w:val="007F72FF"/>
    <w:rsid w:val="0081473B"/>
    <w:rsid w:val="008162B1"/>
    <w:rsid w:val="0081639D"/>
    <w:rsid w:val="0082099A"/>
    <w:rsid w:val="00824FEA"/>
    <w:rsid w:val="008373F3"/>
    <w:rsid w:val="00841C2B"/>
    <w:rsid w:val="00852203"/>
    <w:rsid w:val="008736A8"/>
    <w:rsid w:val="00876766"/>
    <w:rsid w:val="0089641B"/>
    <w:rsid w:val="00897DEE"/>
    <w:rsid w:val="008A22C3"/>
    <w:rsid w:val="008A6193"/>
    <w:rsid w:val="008B397E"/>
    <w:rsid w:val="008C06F3"/>
    <w:rsid w:val="008C0AAD"/>
    <w:rsid w:val="008C6DE8"/>
    <w:rsid w:val="008F21B2"/>
    <w:rsid w:val="008F26D3"/>
    <w:rsid w:val="008F6523"/>
    <w:rsid w:val="0090448C"/>
    <w:rsid w:val="00904553"/>
    <w:rsid w:val="009179C1"/>
    <w:rsid w:val="00937B12"/>
    <w:rsid w:val="0095605E"/>
    <w:rsid w:val="00957A9E"/>
    <w:rsid w:val="00964799"/>
    <w:rsid w:val="0096507B"/>
    <w:rsid w:val="00973FCF"/>
    <w:rsid w:val="00982134"/>
    <w:rsid w:val="00982F06"/>
    <w:rsid w:val="00983BD6"/>
    <w:rsid w:val="00987AD1"/>
    <w:rsid w:val="009C2213"/>
    <w:rsid w:val="009D3FE6"/>
    <w:rsid w:val="009D51E3"/>
    <w:rsid w:val="009D6BFB"/>
    <w:rsid w:val="009E4387"/>
    <w:rsid w:val="009F6829"/>
    <w:rsid w:val="009F7160"/>
    <w:rsid w:val="00A005B1"/>
    <w:rsid w:val="00A1327E"/>
    <w:rsid w:val="00A14AE1"/>
    <w:rsid w:val="00A242C1"/>
    <w:rsid w:val="00A348D3"/>
    <w:rsid w:val="00A81221"/>
    <w:rsid w:val="00A81E57"/>
    <w:rsid w:val="00A82FE8"/>
    <w:rsid w:val="00A96A21"/>
    <w:rsid w:val="00AB6C42"/>
    <w:rsid w:val="00AD73E4"/>
    <w:rsid w:val="00AE364D"/>
    <w:rsid w:val="00AE4917"/>
    <w:rsid w:val="00AE4BE3"/>
    <w:rsid w:val="00B10EE7"/>
    <w:rsid w:val="00B15599"/>
    <w:rsid w:val="00B16F5C"/>
    <w:rsid w:val="00B23851"/>
    <w:rsid w:val="00B45454"/>
    <w:rsid w:val="00B46D37"/>
    <w:rsid w:val="00B632B0"/>
    <w:rsid w:val="00B76B73"/>
    <w:rsid w:val="00B95ED5"/>
    <w:rsid w:val="00BA1A16"/>
    <w:rsid w:val="00BB513D"/>
    <w:rsid w:val="00BB6364"/>
    <w:rsid w:val="00BC1D50"/>
    <w:rsid w:val="00BC7CC2"/>
    <w:rsid w:val="00BE2155"/>
    <w:rsid w:val="00BE7371"/>
    <w:rsid w:val="00BF4F9C"/>
    <w:rsid w:val="00C00DC9"/>
    <w:rsid w:val="00C049FC"/>
    <w:rsid w:val="00C050CF"/>
    <w:rsid w:val="00C110C4"/>
    <w:rsid w:val="00C30D6E"/>
    <w:rsid w:val="00C32A46"/>
    <w:rsid w:val="00C46173"/>
    <w:rsid w:val="00C66B2C"/>
    <w:rsid w:val="00C67A7F"/>
    <w:rsid w:val="00C8287E"/>
    <w:rsid w:val="00C950F3"/>
    <w:rsid w:val="00CA4382"/>
    <w:rsid w:val="00CA4BA2"/>
    <w:rsid w:val="00CD0BC1"/>
    <w:rsid w:val="00CD78B4"/>
    <w:rsid w:val="00CF313C"/>
    <w:rsid w:val="00CF572A"/>
    <w:rsid w:val="00CF68EF"/>
    <w:rsid w:val="00D016D1"/>
    <w:rsid w:val="00D067DB"/>
    <w:rsid w:val="00D109E4"/>
    <w:rsid w:val="00D13D45"/>
    <w:rsid w:val="00D21BA4"/>
    <w:rsid w:val="00D26540"/>
    <w:rsid w:val="00D2736E"/>
    <w:rsid w:val="00D833E2"/>
    <w:rsid w:val="00D92643"/>
    <w:rsid w:val="00D929D8"/>
    <w:rsid w:val="00DA5CAA"/>
    <w:rsid w:val="00DC3186"/>
    <w:rsid w:val="00DD176F"/>
    <w:rsid w:val="00DD5B37"/>
    <w:rsid w:val="00DF1F5A"/>
    <w:rsid w:val="00E02BF7"/>
    <w:rsid w:val="00E1717F"/>
    <w:rsid w:val="00E25618"/>
    <w:rsid w:val="00E31A41"/>
    <w:rsid w:val="00E3289E"/>
    <w:rsid w:val="00E42D4F"/>
    <w:rsid w:val="00E4362A"/>
    <w:rsid w:val="00E567F8"/>
    <w:rsid w:val="00E71E78"/>
    <w:rsid w:val="00E72C17"/>
    <w:rsid w:val="00E747E2"/>
    <w:rsid w:val="00E767AE"/>
    <w:rsid w:val="00E76D6F"/>
    <w:rsid w:val="00E82DFB"/>
    <w:rsid w:val="00E82F01"/>
    <w:rsid w:val="00EA529F"/>
    <w:rsid w:val="00EB5236"/>
    <w:rsid w:val="00ED3EB7"/>
    <w:rsid w:val="00ED4970"/>
    <w:rsid w:val="00ED7BB0"/>
    <w:rsid w:val="00ED7D8D"/>
    <w:rsid w:val="00EE40F2"/>
    <w:rsid w:val="00EF562A"/>
    <w:rsid w:val="00F06A56"/>
    <w:rsid w:val="00F315B1"/>
    <w:rsid w:val="00F336BA"/>
    <w:rsid w:val="00F34637"/>
    <w:rsid w:val="00F41BF3"/>
    <w:rsid w:val="00F476E9"/>
    <w:rsid w:val="00F5113F"/>
    <w:rsid w:val="00F52B8D"/>
    <w:rsid w:val="00F55C82"/>
    <w:rsid w:val="00F622CE"/>
    <w:rsid w:val="00F703C7"/>
    <w:rsid w:val="00F76444"/>
    <w:rsid w:val="00F77094"/>
    <w:rsid w:val="00F81522"/>
    <w:rsid w:val="00F8541A"/>
    <w:rsid w:val="00FA2C69"/>
    <w:rsid w:val="00FA703D"/>
    <w:rsid w:val="00FB05DC"/>
    <w:rsid w:val="00FC1519"/>
    <w:rsid w:val="00FD57F2"/>
    <w:rsid w:val="00FF5115"/>
    <w:rsid w:val="0108BCCF"/>
    <w:rsid w:val="01198525"/>
    <w:rsid w:val="017FEE01"/>
    <w:rsid w:val="063DBD0C"/>
    <w:rsid w:val="0730EEB4"/>
    <w:rsid w:val="077CBCEF"/>
    <w:rsid w:val="0985BA65"/>
    <w:rsid w:val="0A4C09DD"/>
    <w:rsid w:val="0B42B09A"/>
    <w:rsid w:val="0C8910A4"/>
    <w:rsid w:val="0E7C41F3"/>
    <w:rsid w:val="1004577B"/>
    <w:rsid w:val="12010EEF"/>
    <w:rsid w:val="12DF2BE5"/>
    <w:rsid w:val="13DFCB49"/>
    <w:rsid w:val="149F6701"/>
    <w:rsid w:val="15A6D484"/>
    <w:rsid w:val="1A7FAF0A"/>
    <w:rsid w:val="1C6E9777"/>
    <w:rsid w:val="1D238670"/>
    <w:rsid w:val="1F44ACD0"/>
    <w:rsid w:val="1F80CF2B"/>
    <w:rsid w:val="236B860F"/>
    <w:rsid w:val="23F22629"/>
    <w:rsid w:val="256489F0"/>
    <w:rsid w:val="29CBAD0B"/>
    <w:rsid w:val="2A06A528"/>
    <w:rsid w:val="2AA1DE83"/>
    <w:rsid w:val="2AD27BC7"/>
    <w:rsid w:val="2B83F709"/>
    <w:rsid w:val="2D5BF97C"/>
    <w:rsid w:val="2EE70A8D"/>
    <w:rsid w:val="2F5CF93E"/>
    <w:rsid w:val="30353E06"/>
    <w:rsid w:val="35DCF8F3"/>
    <w:rsid w:val="370379E5"/>
    <w:rsid w:val="378829B1"/>
    <w:rsid w:val="3873BCE5"/>
    <w:rsid w:val="39EA7E4D"/>
    <w:rsid w:val="3A5EDC8A"/>
    <w:rsid w:val="3AB94C0B"/>
    <w:rsid w:val="3D8E81BD"/>
    <w:rsid w:val="3E5933ED"/>
    <w:rsid w:val="3FA59B5B"/>
    <w:rsid w:val="40AC3DDB"/>
    <w:rsid w:val="413F4384"/>
    <w:rsid w:val="42DC5FEE"/>
    <w:rsid w:val="433AD3FD"/>
    <w:rsid w:val="44527868"/>
    <w:rsid w:val="44B1DE69"/>
    <w:rsid w:val="45E46D6E"/>
    <w:rsid w:val="4613EFCA"/>
    <w:rsid w:val="465B9442"/>
    <w:rsid w:val="46EA41A3"/>
    <w:rsid w:val="4852E335"/>
    <w:rsid w:val="49D97FE8"/>
    <w:rsid w:val="4B62D22D"/>
    <w:rsid w:val="4C189D69"/>
    <w:rsid w:val="540E1209"/>
    <w:rsid w:val="5593C0D0"/>
    <w:rsid w:val="55F81CE5"/>
    <w:rsid w:val="573B7256"/>
    <w:rsid w:val="57A936A7"/>
    <w:rsid w:val="57D13A9A"/>
    <w:rsid w:val="592D9942"/>
    <w:rsid w:val="59A55B61"/>
    <w:rsid w:val="5C674088"/>
    <w:rsid w:val="5DF266B2"/>
    <w:rsid w:val="5DFF85FC"/>
    <w:rsid w:val="5F9CD5F4"/>
    <w:rsid w:val="61694EB0"/>
    <w:rsid w:val="61A1637B"/>
    <w:rsid w:val="622B7ABF"/>
    <w:rsid w:val="63047B1A"/>
    <w:rsid w:val="69F91301"/>
    <w:rsid w:val="6B661A62"/>
    <w:rsid w:val="6B6E4539"/>
    <w:rsid w:val="6E12A860"/>
    <w:rsid w:val="6EA5DB95"/>
    <w:rsid w:val="70EBA7AB"/>
    <w:rsid w:val="7262CD9A"/>
    <w:rsid w:val="73366168"/>
    <w:rsid w:val="73D53833"/>
    <w:rsid w:val="74F51B54"/>
    <w:rsid w:val="7625B7C9"/>
    <w:rsid w:val="76EBFF25"/>
    <w:rsid w:val="7AA1E2E0"/>
    <w:rsid w:val="7B8F8D89"/>
    <w:rsid w:val="7F776C33"/>
    <w:rsid w:val="7FADC0FE"/>
    <w:rsid w:val="7FE9437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BF2E417E-8C2A-0449-AC0E-EFE224BC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customStyle="1" w:styleId="Subheading">
    <w:name w:val="Sub heading"/>
    <w:basedOn w:val="Normal"/>
    <w:link w:val="SubheadingChar"/>
    <w:uiPriority w:val="1"/>
    <w:qFormat/>
    <w:rsid w:val="063DBD0C"/>
    <w:pPr>
      <w:spacing w:after="240" w:line="276" w:lineRule="auto"/>
    </w:pPr>
    <w:rPr>
      <w:b/>
      <w:bCs/>
      <w:sz w:val="26"/>
      <w:szCs w:val="26"/>
      <w:lang w:val="en-GB"/>
    </w:rPr>
  </w:style>
  <w:style w:type="character" w:customStyle="1" w:styleId="SubheadingChar">
    <w:name w:val="Sub heading Char"/>
    <w:basedOn w:val="DefaultParagraphFont"/>
    <w:link w:val="Subheading"/>
    <w:uiPriority w:val="1"/>
    <w:rsid w:val="063DBD0C"/>
    <w:rPr>
      <w:rFonts w:asciiTheme="minorHAnsi" w:eastAsiaTheme="minorEastAsia" w:hAnsiTheme="minorHAnsi" w:cstheme="minorBidi"/>
      <w:b/>
      <w:bCs/>
      <w:sz w:val="26"/>
      <w:szCs w:val="26"/>
    </w:rPr>
  </w:style>
  <w:style w:type="character" w:customStyle="1" w:styleId="normaltextrun">
    <w:name w:val="normaltextrun"/>
    <w:basedOn w:val="DefaultParagraphFont"/>
    <w:uiPriority w:val="1"/>
    <w:rsid w:val="063DBD0C"/>
    <w:rPr>
      <w:rFonts w:asciiTheme="minorHAnsi" w:eastAsiaTheme="minorEastAsia" w:hAnsiTheme="minorHAnsi" w:cstheme="minorBidi"/>
      <w:sz w:val="24"/>
      <w:szCs w:val="24"/>
    </w:rPr>
  </w:style>
  <w:style w:type="character" w:customStyle="1" w:styleId="eop">
    <w:name w:val="eop"/>
    <w:basedOn w:val="DefaultParagraphFont"/>
    <w:uiPriority w:val="1"/>
    <w:rsid w:val="063DBD0C"/>
    <w:rPr>
      <w:rFonts w:asciiTheme="minorHAnsi" w:eastAsiaTheme="minorEastAsia" w:hAnsiTheme="minorHAnsi" w:cstheme="minorBidi"/>
      <w:sz w:val="24"/>
      <w:szCs w:val="24"/>
    </w:rPr>
  </w:style>
  <w:style w:type="paragraph" w:customStyle="1" w:styleId="paragraph">
    <w:name w:val="paragraph"/>
    <w:basedOn w:val="Normal"/>
    <w:uiPriority w:val="1"/>
    <w:rsid w:val="063DBD0C"/>
    <w:pPr>
      <w:spacing w:beforeAutospacing="1" w:after="16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security-policy-framework/hmg-security-policy-framework"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eur05.safelinks.protection.outlook.com/?url=https%3A%2F%2Fwww.gov.uk%2Fgovernment%2Forganisations%2Fenvironment-agency%2Fabout%2Fprocurement%23conditions-of-contract&amp;data=05%7C01%7Cdaniel.lavender%40dlapiper.com%7Ce61b389c5e15470f278e08dbcc060e37%7Ce855e7acc54640d299f7a100522010f9%7C1%7C0%7C638328098969691096%7CUnknown%7CTWFpbGZsb3d8eyJWIjoiMC4wLjAwMDAiLCJQIjoiV2luMzIiLCJBTiI6Ik1haWwiLCJXVCI6Mn0%3D%7C3000%7C%7C%7C&amp;sdata=unzkH5WPQYjTjWw3SjQNZshbWnx2ajnZZ0TwQcK7Wxo%3D&amp;reserved=0"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George.cooper@environment-agency.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z.philpott@environment-agency.gov.uk" TargetMode="External"/><Relationship Id="rId20" Type="http://schemas.openxmlformats.org/officeDocument/2006/relationships/hyperlink" Target="https://www.gov.uk/government/publications/defra-group-equality-diversity-and-inclusion-strategy-2020-to-2024/defra-group-equality-diversity-and-inclusion-strategy-2020-to-202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George.cooper@environment-agency.gov.uk"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gov.uk/government/publications/environment-agency-ea2025-creating-a-better-place/environment-agency-ea2025-creating-a-better-plac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PInvoices-ENV-U@gov.sscl.com" TargetMode="External"/><Relationship Id="rId22" Type="http://schemas.openxmlformats.org/officeDocument/2006/relationships/hyperlink" Target="https://www.gov.uk/government/publications/environment-agency-terms-and-conditions-for-goods-and-services/standard-goods-and-services-terms-and-conditions-10000-to-5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15</Value>
      <Value>14</Value>
      <Value>2</Value>
      <Value>1</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7c19a47c-6bf5-4902-9c98-eff60c52857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D979360CC7B304998BA2A476882F1E3" ma:contentTypeVersion="18" ma:contentTypeDescription="Create a new document." ma:contentTypeScope="" ma:versionID="7b3fe0ea65d86a58f50349927ca5ff99">
  <xsd:schema xmlns:xsd="http://www.w3.org/2001/XMLSchema" xmlns:xs="http://www.w3.org/2001/XMLSchema" xmlns:p="http://schemas.microsoft.com/office/2006/metadata/properties" xmlns:ns2="662745e8-e224-48e8-a2e3-254862b8c2f5" xmlns:ns3="7c19a47c-6bf5-4902-9c98-eff60c52857c" xmlns:ns4="9ac0549b-d893-4a5d-a78b-54366d5eef82" targetNamespace="http://schemas.microsoft.com/office/2006/metadata/properties" ma:root="true" ma:fieldsID="cf481dd48bb17ffb53daf33e30852661" ns2:_="" ns3:_="" ns4:_="">
    <xsd:import namespace="662745e8-e224-48e8-a2e3-254862b8c2f5"/>
    <xsd:import namespace="7c19a47c-6bf5-4902-9c98-eff60c52857c"/>
    <xsd:import namespace="9ac0549b-d893-4a5d-a78b-54366d5eef82"/>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4:SharedWithUsers" minOccurs="0"/>
                <xsd:element ref="ns4:SharedWithDetail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483b351-5cca-452c-8489-bcd8e1ba2b18}" ma:internalName="TaxCatchAll" ma:showField="CatchAllData" ma:web="9ac0549b-d893-4a5d-a78b-54366d5eef8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483b351-5cca-452c-8489-bcd8e1ba2b18}" ma:internalName="TaxCatchAllLabel" ma:readOnly="true" ma:showField="CatchAllDataLabel" ma:web="9ac0549b-d893-4a5d-a78b-54366d5eef82">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6;#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Perfluoroalkyl and Polyfluoroalkyl Substances PFAS Working Group" ma:internalName="Team">
      <xsd:simpleType>
        <xsd:restriction base="dms:Text"/>
      </xsd:simpleType>
    </xsd:element>
    <xsd:element name="Topic" ma:index="20" nillable="true" ma:displayName="Topic" ma:default="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5;#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19a47c-6bf5-4902-9c98-eff60c52857c"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c0549b-d893-4a5d-a78b-54366d5eef82"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A97AEA-F834-4D57-963B-F55CAFC9C31C}">
  <ds:schemaRefs>
    <ds:schemaRef ds:uri="Microsoft.SharePoint.Taxonomy.ContentTypeSync"/>
  </ds:schemaRefs>
</ds:datastoreItem>
</file>

<file path=customXml/itemProps2.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7c19a47c-6bf5-4902-9c98-eff60c52857c"/>
  </ds:schemaRefs>
</ds:datastoreItem>
</file>

<file path=customXml/itemProps3.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4.xml><?xml version="1.0" encoding="utf-8"?>
<ds:datastoreItem xmlns:ds="http://schemas.openxmlformats.org/officeDocument/2006/customXml" ds:itemID="{D32E94EC-3039-42FC-A394-4DA79B9B214C}">
  <ds:schemaRefs>
    <ds:schemaRef ds:uri="http://www.imanage.com/work/xmlschema"/>
  </ds:schemaRefs>
</ds:datastoreItem>
</file>

<file path=customXml/itemProps5.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6.xml><?xml version="1.0" encoding="utf-8"?>
<ds:datastoreItem xmlns:ds="http://schemas.openxmlformats.org/officeDocument/2006/customXml" ds:itemID="{6D5168A8-506E-43F3-8748-CE181E900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7c19a47c-6bf5-4902-9c98-eff60c52857c"/>
    <ds:schemaRef ds:uri="9ac0549b-d893-4a5d-a78b-54366d5ee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2889</Words>
  <Characters>16473</Characters>
  <Application>Microsoft Office Word</Application>
  <DocSecurity>0</DocSecurity>
  <Lines>137</Lines>
  <Paragraphs>38</Paragraphs>
  <ScaleCrop>false</ScaleCrop>
  <Company/>
  <LinksUpToDate>false</LinksUpToDate>
  <CharactersWithSpaces>19324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Cooper, George</cp:lastModifiedBy>
  <cp:revision>71</cp:revision>
  <dcterms:created xsi:type="dcterms:W3CDTF">2024-07-09T15:25:00Z</dcterms:created>
  <dcterms:modified xsi:type="dcterms:W3CDTF">2024-10-02T15:47:00Z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0x010100A5BF1C78D9F64B679A5EBDE1C6598EBC01002D979360CC7B304998BA2A476882F1E3</vt:lpwstr>
  </property>
  <property fmtid="{D5CDD505-2E9C-101B-9397-08002B2CF9AE}" pid="4" name="MediaServiceImageTags">
    <vt:lpwstr/>
  </property>
  <property fmtid="{D5CDD505-2E9C-101B-9397-08002B2CF9AE}" pid="5" name="InformationType">
    <vt:lpwstr/>
  </property>
  <property fmtid="{D5CDD505-2E9C-101B-9397-08002B2CF9AE}" pid="6" name="Distribution">
    <vt:lpwstr>7;#Internal Defra Group|0867f7b3-e76e-40ca-bb1f-5ba341a49230</vt:lpwstr>
  </property>
  <property fmtid="{D5CDD505-2E9C-101B-9397-08002B2CF9AE}" pid="7" name="HOCopyrightLevel">
    <vt:lpwstr>1;#Crown|69589897-2828-4761-976e-717fd8e631c9</vt:lpwstr>
  </property>
  <property fmtid="{D5CDD505-2E9C-101B-9397-08002B2CF9AE}" pid="8" name="HOGovernmentSecurityClassification">
    <vt:lpwstr>2;#Official|14c80daa-741b-422c-9722-f71693c9ede4</vt:lpwstr>
  </property>
  <property fmtid="{D5CDD505-2E9C-101B-9397-08002B2CF9AE}" pid="9" name="HOSiteType">
    <vt:lpwstr>15;#Community|144ac7d7-0b9a-42f9-9385-2935294b6de3</vt:lpwstr>
  </property>
  <property fmtid="{D5CDD505-2E9C-101B-9397-08002B2CF9AE}" pid="10" name="OrganisationalUnit">
    <vt:lpwstr>14;#Defra Group Commercial|88c065df-18f9-4530-b972-ea809b7dd96d</vt:lpwstr>
  </property>
</Properties>
</file>