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154C" w14:textId="77777777" w:rsidR="008E10EF" w:rsidRDefault="008E10EF">
      <w:pPr>
        <w:widowControl w:val="0"/>
        <w:spacing w:after="200" w:line="276" w:lineRule="auto"/>
        <w:rPr>
          <w:b/>
          <w:sz w:val="36"/>
          <w:szCs w:val="36"/>
        </w:rPr>
      </w:pPr>
    </w:p>
    <w:p w14:paraId="5344154D" w14:textId="77777777" w:rsidR="008E10EF" w:rsidRDefault="00DD5207">
      <w:pPr>
        <w:keepNext/>
        <w:keepLines/>
        <w:rPr>
          <w:b/>
          <w:sz w:val="36"/>
          <w:szCs w:val="36"/>
        </w:rPr>
      </w:pPr>
      <w:bookmarkStart w:id="0" w:name="_heading=h.dsu9r2nfhenc" w:colFirst="0" w:colLast="0"/>
      <w:bookmarkEnd w:id="0"/>
      <w:r>
        <w:rPr>
          <w:b/>
          <w:sz w:val="36"/>
          <w:szCs w:val="36"/>
        </w:rPr>
        <w:t>Call-Off Schedule 20 (Call-Off Specification)</w:t>
      </w:r>
    </w:p>
    <w:p w14:paraId="5344154E" w14:textId="77777777" w:rsidR="008E10EF" w:rsidRDefault="008E10EF"/>
    <w:p w14:paraId="5344154F" w14:textId="77777777" w:rsidR="008E10EF" w:rsidRDefault="008E10EF"/>
    <w:p w14:paraId="53441550" w14:textId="77777777" w:rsidR="008E10EF" w:rsidRDefault="008E10EF"/>
    <w:p w14:paraId="53441551" w14:textId="77777777" w:rsidR="008E10EF" w:rsidRDefault="008E10EF"/>
    <w:p w14:paraId="53441552" w14:textId="77777777" w:rsidR="008E10EF" w:rsidRDefault="00DD5207">
      <w:pPr>
        <w:rPr>
          <w:b/>
          <w:sz w:val="32"/>
          <w:szCs w:val="32"/>
        </w:rPr>
      </w:pPr>
      <w:r>
        <w:rPr>
          <w:b/>
          <w:sz w:val="32"/>
          <w:szCs w:val="32"/>
        </w:rPr>
        <w:t xml:space="preserve">Bid Pack </w:t>
      </w:r>
    </w:p>
    <w:p w14:paraId="53441553" w14:textId="77777777" w:rsidR="008E10EF" w:rsidRDefault="008E10EF">
      <w:pPr>
        <w:rPr>
          <w:b/>
          <w:sz w:val="32"/>
          <w:szCs w:val="32"/>
        </w:rPr>
      </w:pPr>
    </w:p>
    <w:p w14:paraId="53441554" w14:textId="77777777" w:rsidR="008E10EF" w:rsidRDefault="00DD5207">
      <w:pPr>
        <w:shd w:val="clear" w:color="auto" w:fill="FFFFFF"/>
        <w:rPr>
          <w:b/>
          <w:sz w:val="32"/>
          <w:szCs w:val="32"/>
        </w:rPr>
      </w:pPr>
      <w:bookmarkStart w:id="1" w:name="_heading=h.30j0zll" w:colFirst="0" w:colLast="0"/>
      <w:bookmarkEnd w:id="1"/>
      <w:r>
        <w:rPr>
          <w:b/>
          <w:sz w:val="32"/>
          <w:szCs w:val="32"/>
        </w:rPr>
        <w:t>Attachment 3 – Statement of Requirements</w:t>
      </w:r>
    </w:p>
    <w:p w14:paraId="53441555" w14:textId="77777777" w:rsidR="008E10EF" w:rsidRDefault="008E10EF">
      <w:pPr>
        <w:shd w:val="clear" w:color="auto" w:fill="FFFFFF"/>
        <w:rPr>
          <w:b/>
          <w:sz w:val="32"/>
          <w:szCs w:val="32"/>
        </w:rPr>
      </w:pPr>
    </w:p>
    <w:p w14:paraId="53441556" w14:textId="77777777" w:rsidR="008E10EF" w:rsidRDefault="00DD5207">
      <w:pPr>
        <w:shd w:val="clear" w:color="auto" w:fill="FFFFFF"/>
        <w:rPr>
          <w:sz w:val="32"/>
          <w:szCs w:val="32"/>
          <w:shd w:val="clear" w:color="auto" w:fill="FFFF99"/>
        </w:rPr>
      </w:pPr>
      <w:bookmarkStart w:id="2" w:name="_heading=h.1fob9te" w:colFirst="0" w:colLast="0"/>
      <w:bookmarkEnd w:id="2"/>
      <w:r>
        <w:rPr>
          <w:b/>
          <w:sz w:val="32"/>
          <w:szCs w:val="32"/>
        </w:rPr>
        <w:t>Contract Reference:</w:t>
      </w:r>
      <w:r>
        <w:rPr>
          <w:sz w:val="32"/>
          <w:szCs w:val="32"/>
        </w:rPr>
        <w:t xml:space="preserve"> CCCC25A02</w:t>
      </w:r>
    </w:p>
    <w:p w14:paraId="53441557" w14:textId="77777777" w:rsidR="008E10EF" w:rsidRDefault="008E10EF">
      <w:pPr>
        <w:shd w:val="clear" w:color="auto" w:fill="FFFFFF"/>
        <w:rPr>
          <w:sz w:val="32"/>
          <w:szCs w:val="32"/>
          <w:shd w:val="clear" w:color="auto" w:fill="FFFF99"/>
        </w:rPr>
      </w:pPr>
    </w:p>
    <w:p w14:paraId="53441558" w14:textId="77777777" w:rsidR="008E10EF" w:rsidRDefault="00DD5207">
      <w:pPr>
        <w:shd w:val="clear" w:color="auto" w:fill="FFFFFF"/>
        <w:rPr>
          <w:sz w:val="32"/>
          <w:szCs w:val="32"/>
        </w:rPr>
      </w:pPr>
      <w:r>
        <w:rPr>
          <w:sz w:val="32"/>
          <w:szCs w:val="32"/>
        </w:rPr>
        <w:t>Provision of JDR Economic Business Case</w:t>
      </w:r>
    </w:p>
    <w:p w14:paraId="53441559" w14:textId="77777777" w:rsidR="008E10EF" w:rsidRDefault="008E10EF">
      <w:pPr>
        <w:shd w:val="clear" w:color="auto" w:fill="FFFFFF"/>
        <w:rPr>
          <w:sz w:val="20"/>
          <w:szCs w:val="20"/>
        </w:rPr>
      </w:pPr>
    </w:p>
    <w:p w14:paraId="5344155A" w14:textId="77777777" w:rsidR="008E10EF" w:rsidRDefault="008E10EF">
      <w:pPr>
        <w:shd w:val="clear" w:color="auto" w:fill="FFFFFF"/>
        <w:rPr>
          <w:sz w:val="20"/>
          <w:szCs w:val="20"/>
        </w:rPr>
      </w:pPr>
    </w:p>
    <w:p w14:paraId="5344155B" w14:textId="77777777" w:rsidR="008E10EF" w:rsidRDefault="008E10EF">
      <w:pPr>
        <w:shd w:val="clear" w:color="auto" w:fill="FFFFFF"/>
        <w:rPr>
          <w:sz w:val="20"/>
          <w:szCs w:val="20"/>
        </w:rPr>
      </w:pPr>
    </w:p>
    <w:p w14:paraId="5344155C" w14:textId="77777777" w:rsidR="008E10EF" w:rsidRDefault="00DD5207">
      <w:pPr>
        <w:shd w:val="clear" w:color="auto" w:fill="FFFFFF"/>
        <w:ind w:left="567"/>
        <w:rPr>
          <w:b/>
          <w:color w:val="000000"/>
          <w:sz w:val="24"/>
        </w:rPr>
      </w:pPr>
      <w:r>
        <w:br w:type="page"/>
      </w:r>
      <w:r>
        <w:rPr>
          <w:b/>
          <w:color w:val="000000"/>
          <w:sz w:val="28"/>
          <w:szCs w:val="28"/>
        </w:rPr>
        <w:lastRenderedPageBreak/>
        <w:t>CONTENTS</w:t>
      </w:r>
    </w:p>
    <w:p w14:paraId="5344155D" w14:textId="77777777" w:rsidR="008E10EF" w:rsidRDefault="008E10EF">
      <w:pPr>
        <w:rPr>
          <w:sz w:val="20"/>
          <w:szCs w:val="20"/>
        </w:rPr>
      </w:pPr>
    </w:p>
    <w:sdt>
      <w:sdtPr>
        <w:id w:val="982124660"/>
        <w:docPartObj>
          <w:docPartGallery w:val="Table of Contents"/>
          <w:docPartUnique/>
        </w:docPartObj>
      </w:sdtPr>
      <w:sdtEndPr/>
      <w:sdtContent>
        <w:p w14:paraId="5344155E"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\t "Heading 1,1,"</w:instrText>
          </w:r>
          <w:r>
            <w:fldChar w:fldCharType="separate"/>
          </w:r>
          <w:hyperlink w:anchor="_heading=h.2et92p0">
            <w:r>
              <w:rPr>
                <w:smallCaps/>
                <w:color w:val="000000"/>
              </w:rPr>
              <w:t>1.</w:t>
            </w:r>
          </w:hyperlink>
          <w:hyperlink w:anchor="_heading=h.2et92p0">
            <w:r>
              <w:rPr>
                <w:rFonts w:ascii="Calibri" w:eastAsia="Calibri" w:hAnsi="Calibri" w:cs="Calibri"/>
                <w:color w:val="000000"/>
              </w:rPr>
              <w:tab/>
            </w:r>
          </w:hyperlink>
          <w:r>
            <w:fldChar w:fldCharType="begin"/>
          </w:r>
          <w:r>
            <w:instrText xml:space="preserve"> PAGEREF _heading=h.2et92p0 \h </w:instrText>
          </w:r>
          <w:r>
            <w:fldChar w:fldCharType="separate"/>
          </w:r>
          <w:r>
            <w:rPr>
              <w:smallCaps/>
              <w:color w:val="000000"/>
            </w:rPr>
            <w:t>PURPOSE AND OVERVIEW OF THE REQUIREMENT</w:t>
          </w:r>
          <w:r>
            <w:rPr>
              <w:smallCaps/>
              <w:color w:val="000000"/>
            </w:rPr>
            <w:tab/>
            <w:t>3</w:t>
          </w:r>
          <w:hyperlink w:anchor="_heading=h.2et92p0" w:history="1"/>
        </w:p>
        <w:p w14:paraId="5344155F"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dy6vkm">
            <w:r>
              <w:rPr>
                <w:smallCaps/>
                <w:color w:val="000000"/>
              </w:rPr>
              <w:t>2.</w:t>
            </w:r>
          </w:hyperlink>
          <w:hyperlink w:anchor="_heading=h.3dy6vkm">
            <w:r>
              <w:rPr>
                <w:rFonts w:ascii="Calibri" w:eastAsia="Calibri" w:hAnsi="Calibri" w:cs="Calibri"/>
                <w:color w:val="000000"/>
              </w:rPr>
              <w:tab/>
            </w:r>
          </w:hyperlink>
          <w:r>
            <w:fldChar w:fldCharType="begin"/>
          </w:r>
          <w:r>
            <w:instrText xml:space="preserve"> PAGEREF _heading=h.3dy6vkm \h </w:instrText>
          </w:r>
          <w:r>
            <w:fldChar w:fldCharType="separate"/>
          </w:r>
          <w:r>
            <w:rPr>
              <w:smallCaps/>
              <w:color w:val="000000"/>
            </w:rPr>
            <w:t>BACKGROUND TO UKAEA</w:t>
          </w:r>
          <w:r>
            <w:rPr>
              <w:smallCaps/>
              <w:color w:val="000000"/>
            </w:rPr>
            <w:tab/>
            <w:t>3</w:t>
          </w:r>
          <w:hyperlink w:anchor="_heading=h.3dy6vkm" w:history="1"/>
        </w:p>
        <w:p w14:paraId="53441560"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t3h5sf">
            <w:r>
              <w:rPr>
                <w:smallCaps/>
                <w:color w:val="000000"/>
              </w:rPr>
              <w:t>3.</w:t>
            </w:r>
          </w:hyperlink>
          <w:hyperlink w:anchor="_heading=h.1t3h5sf">
            <w:r>
              <w:rPr>
                <w:rFonts w:ascii="Calibri" w:eastAsia="Calibri" w:hAnsi="Calibri" w:cs="Calibri"/>
                <w:color w:val="000000"/>
              </w:rPr>
              <w:tab/>
            </w:r>
          </w:hyperlink>
          <w:r>
            <w:fldChar w:fldCharType="begin"/>
          </w:r>
          <w:r>
            <w:instrText xml:space="preserve"> PAGEREF _heading=h.1t3h5sf \h </w:instrText>
          </w:r>
          <w:r>
            <w:fldChar w:fldCharType="separate"/>
          </w:r>
          <w:r>
            <w:rPr>
              <w:smallCaps/>
              <w:color w:val="000000"/>
            </w:rPr>
            <w:t>BACKGROUND TO THE REQUIREMENT</w:t>
          </w:r>
          <w:r>
            <w:rPr>
              <w:smallCaps/>
              <w:color w:val="000000"/>
            </w:rPr>
            <w:tab/>
            <w:t>4</w:t>
          </w:r>
          <w:hyperlink w:anchor="_heading=h.1t3h5sf" w:history="1"/>
        </w:p>
        <w:p w14:paraId="53441561"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s8eyo1">
            <w:r>
              <w:rPr>
                <w:smallCaps/>
                <w:color w:val="000000"/>
              </w:rPr>
              <w:t>4.</w:t>
            </w:r>
          </w:hyperlink>
          <w:hyperlink w:anchor="_heading=h.2s8eyo1">
            <w:r>
              <w:rPr>
                <w:rFonts w:ascii="Calibri" w:eastAsia="Calibri" w:hAnsi="Calibri" w:cs="Calibri"/>
                <w:color w:val="000000"/>
              </w:rPr>
              <w:tab/>
            </w:r>
          </w:hyperlink>
          <w:r>
            <w:fldChar w:fldCharType="begin"/>
          </w:r>
          <w:r>
            <w:instrText xml:space="preserve"> PAGEREF _heading=h.2s8eyo1 \h </w:instrText>
          </w:r>
          <w:r>
            <w:fldChar w:fldCharType="separate"/>
          </w:r>
          <w:r>
            <w:rPr>
              <w:smallCaps/>
              <w:color w:val="000000"/>
            </w:rPr>
            <w:t>SCOPE OF THE REQUIREMENT</w:t>
          </w:r>
          <w:r>
            <w:rPr>
              <w:smallCaps/>
              <w:color w:val="000000"/>
            </w:rPr>
            <w:tab/>
            <w:t>4</w:t>
          </w:r>
          <w:hyperlink w:anchor="_heading=h.2s8eyo1" w:history="1"/>
        </w:p>
        <w:p w14:paraId="53441562"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rdcrjn">
            <w:r>
              <w:rPr>
                <w:smallCaps/>
                <w:color w:val="000000"/>
              </w:rPr>
              <w:t>5.</w:t>
            </w:r>
          </w:hyperlink>
          <w:hyperlink w:anchor="_heading=h.3rdcrjn">
            <w:r>
              <w:rPr>
                <w:rFonts w:ascii="Calibri" w:eastAsia="Calibri" w:hAnsi="Calibri" w:cs="Calibri"/>
                <w:color w:val="000000"/>
              </w:rPr>
              <w:tab/>
            </w:r>
          </w:hyperlink>
          <w:r>
            <w:fldChar w:fldCharType="begin"/>
          </w:r>
          <w:r>
            <w:instrText xml:space="preserve"> PAGEREF _heading=h.3rdcrjn \h </w:instrText>
          </w:r>
          <w:r>
            <w:fldChar w:fldCharType="separate"/>
          </w:r>
          <w:r>
            <w:rPr>
              <w:smallCaps/>
              <w:color w:val="000000"/>
            </w:rPr>
            <w:t>MANDATORY DELIVERABLES (SUPPLIER RESPONSIBILITIES)</w:t>
          </w:r>
          <w:r>
            <w:rPr>
              <w:smallCaps/>
              <w:color w:val="000000"/>
            </w:rPr>
            <w:tab/>
            <w:t>5</w:t>
          </w:r>
          <w:hyperlink w:anchor="_heading=h.3rdcrjn" w:history="1"/>
        </w:p>
        <w:p w14:paraId="53441563"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ksv4uv">
            <w:r>
              <w:rPr>
                <w:smallCaps/>
                <w:color w:val="000000"/>
              </w:rPr>
              <w:t>7.</w:t>
            </w:r>
          </w:hyperlink>
          <w:hyperlink w:anchor="_heading=h.1ksv4uv">
            <w:r>
              <w:rPr>
                <w:rFonts w:ascii="Calibri" w:eastAsia="Calibri" w:hAnsi="Calibri" w:cs="Calibri"/>
                <w:color w:val="000000"/>
              </w:rPr>
              <w:tab/>
            </w:r>
          </w:hyperlink>
          <w:r>
            <w:fldChar w:fldCharType="begin"/>
          </w:r>
          <w:r>
            <w:instrText xml:space="preserve"> PAGEREF _heading=h.1ksv4uv \h </w:instrText>
          </w:r>
          <w:r>
            <w:fldChar w:fldCharType="separate"/>
          </w:r>
          <w:r>
            <w:rPr>
              <w:smallCaps/>
              <w:color w:val="000000"/>
            </w:rPr>
            <w:t>LOCATION</w:t>
          </w:r>
          <w:r>
            <w:rPr>
              <w:smallCaps/>
              <w:color w:val="000000"/>
            </w:rPr>
            <w:tab/>
            <w:t>6</w:t>
          </w:r>
          <w:hyperlink w:anchor="_heading=h.1ksv4uv" w:history="1"/>
        </w:p>
        <w:p w14:paraId="53441564"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44sinio">
            <w:r>
              <w:rPr>
                <w:smallCaps/>
                <w:color w:val="000000"/>
              </w:rPr>
              <w:t>8.</w:t>
            </w:r>
          </w:hyperlink>
          <w:hyperlink w:anchor="_heading=h.44sinio">
            <w:r>
              <w:rPr>
                <w:rFonts w:ascii="Calibri" w:eastAsia="Calibri" w:hAnsi="Calibri" w:cs="Calibri"/>
                <w:color w:val="000000"/>
              </w:rPr>
              <w:tab/>
            </w:r>
          </w:hyperlink>
          <w:r>
            <w:fldChar w:fldCharType="begin"/>
          </w:r>
          <w:r>
            <w:instrText xml:space="preserve"> PAGEREF _heading=h.44sinio \h </w:instrText>
          </w:r>
          <w:r>
            <w:fldChar w:fldCharType="separate"/>
          </w:r>
          <w:r>
            <w:rPr>
              <w:smallCaps/>
              <w:color w:val="000000"/>
            </w:rPr>
            <w:t>BUYER RESPONSIBILITIES</w:t>
          </w:r>
          <w:r>
            <w:rPr>
              <w:smallCaps/>
              <w:color w:val="000000"/>
            </w:rPr>
            <w:tab/>
            <w:t>7</w:t>
          </w:r>
          <w:hyperlink w:anchor="_heading=h.44sinio" w:history="1"/>
        </w:p>
        <w:p w14:paraId="53441565"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jxsxqh">
            <w:r>
              <w:rPr>
                <w:smallCaps/>
                <w:color w:val="000000"/>
              </w:rPr>
              <w:t>9.</w:t>
            </w:r>
          </w:hyperlink>
          <w:hyperlink w:anchor="_heading=h.2jxsxqh">
            <w:r>
              <w:rPr>
                <w:rFonts w:ascii="Calibri" w:eastAsia="Calibri" w:hAnsi="Calibri" w:cs="Calibri"/>
                <w:color w:val="000000"/>
              </w:rPr>
              <w:tab/>
            </w:r>
          </w:hyperlink>
          <w:r>
            <w:fldChar w:fldCharType="begin"/>
          </w:r>
          <w:r>
            <w:instrText xml:space="preserve"> PAGEREF _heading=h.2jxsxqh \h </w:instrText>
          </w:r>
          <w:r>
            <w:fldChar w:fldCharType="separate"/>
          </w:r>
          <w:r>
            <w:rPr>
              <w:smallCaps/>
              <w:color w:val="000000"/>
            </w:rPr>
            <w:t>KEY MILESTONES AND DELIVERABL</w:t>
          </w:r>
          <w:r>
            <w:rPr>
              <w:smallCaps/>
              <w:color w:val="000000"/>
            </w:rPr>
            <w:t>ES</w:t>
          </w:r>
          <w:r>
            <w:rPr>
              <w:smallCaps/>
              <w:color w:val="000000"/>
            </w:rPr>
            <w:tab/>
            <w:t>7</w:t>
          </w:r>
          <w:hyperlink w:anchor="_heading=h.2jxsxqh" w:history="1"/>
        </w:p>
        <w:p w14:paraId="53441566"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z337ya">
            <w:r>
              <w:rPr>
                <w:smallCaps/>
                <w:color w:val="000000"/>
              </w:rPr>
              <w:t>10.</w:t>
            </w:r>
          </w:hyperlink>
          <w:hyperlink w:anchor="_heading=h.z337ya">
            <w:r>
              <w:rPr>
                <w:rFonts w:ascii="Calibri" w:eastAsia="Calibri" w:hAnsi="Calibri" w:cs="Calibri"/>
                <w:color w:val="000000"/>
              </w:rPr>
              <w:tab/>
            </w:r>
          </w:hyperlink>
          <w:r>
            <w:fldChar w:fldCharType="begin"/>
          </w:r>
          <w:r>
            <w:instrText xml:space="preserve"> PAGEREF _heading=h.z337ya \h </w:instrText>
          </w:r>
          <w:r>
            <w:fldChar w:fldCharType="separate"/>
          </w:r>
          <w:r>
            <w:rPr>
              <w:smallCaps/>
              <w:color w:val="000000"/>
            </w:rPr>
            <w:t>STAFF AND CUSTOMER SERVICE</w:t>
          </w:r>
          <w:r>
            <w:rPr>
              <w:smallCaps/>
              <w:color w:val="000000"/>
            </w:rPr>
            <w:tab/>
          </w:r>
          <w:r>
            <w:rPr>
              <w:smallCaps/>
              <w:color w:val="000000"/>
            </w:rPr>
            <w:t>7</w:t>
          </w:r>
          <w:hyperlink w:anchor="_heading=h.z337ya" w:history="1"/>
        </w:p>
        <w:p w14:paraId="53441567"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j2qqm3">
            <w:r>
              <w:rPr>
                <w:smallCaps/>
                <w:color w:val="000000"/>
              </w:rPr>
              <w:t>11.</w:t>
            </w:r>
          </w:hyperlink>
          <w:hyperlink w:anchor="_heading=h.3j2qqm3">
            <w:r>
              <w:rPr>
                <w:rFonts w:ascii="Calibri" w:eastAsia="Calibri" w:hAnsi="Calibri" w:cs="Calibri"/>
                <w:color w:val="000000"/>
              </w:rPr>
              <w:tab/>
            </w:r>
          </w:hyperlink>
          <w:r>
            <w:fldChar w:fldCharType="begin"/>
          </w:r>
          <w:r>
            <w:instrText xml:space="preserve"> PAGEREF _heading=h.3j2qqm3 \h </w:instrText>
          </w:r>
          <w:r>
            <w:fldChar w:fldCharType="separate"/>
          </w:r>
          <w:r>
            <w:rPr>
              <w:smallCaps/>
              <w:color w:val="000000"/>
            </w:rPr>
            <w:t>CONTINUOUS IMPROVEMENT</w:t>
          </w:r>
          <w:r>
            <w:rPr>
              <w:smallCaps/>
              <w:color w:val="000000"/>
            </w:rPr>
            <w:tab/>
            <w:t>8</w:t>
          </w:r>
          <w:hyperlink w:anchor="_heading=h.3j2qqm3" w:history="1"/>
        </w:p>
        <w:p w14:paraId="53441568"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y810tw">
            <w:r>
              <w:rPr>
                <w:smallCaps/>
                <w:color w:val="000000"/>
              </w:rPr>
              <w:t>12.</w:t>
            </w:r>
          </w:hyperlink>
          <w:hyperlink w:anchor="_heading=h.1y810tw">
            <w:r>
              <w:rPr>
                <w:rFonts w:ascii="Calibri" w:eastAsia="Calibri" w:hAnsi="Calibri" w:cs="Calibri"/>
                <w:color w:val="000000"/>
              </w:rPr>
              <w:tab/>
            </w:r>
          </w:hyperlink>
          <w:r>
            <w:fldChar w:fldCharType="begin"/>
          </w:r>
          <w:r>
            <w:instrText xml:space="preserve"> PAGEREF _heading=h.1y810tw \h </w:instrText>
          </w:r>
          <w:r>
            <w:fldChar w:fldCharType="separate"/>
          </w:r>
          <w:r>
            <w:rPr>
              <w:smallCaps/>
              <w:color w:val="000000"/>
            </w:rPr>
            <w:t>SECURITY AND CONFIDENTIALITY REQUIREMENTS</w:t>
          </w:r>
          <w:r>
            <w:rPr>
              <w:smallCaps/>
              <w:color w:val="000000"/>
            </w:rPr>
            <w:tab/>
            <w:t>8</w:t>
          </w:r>
          <w:hyperlink w:anchor="_heading=h.1y810tw" w:history="1"/>
        </w:p>
        <w:p w14:paraId="53441569"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4i7ojhp">
            <w:r>
              <w:rPr>
                <w:smallCaps/>
                <w:color w:val="000000"/>
              </w:rPr>
              <w:t>13.</w:t>
            </w:r>
          </w:hyperlink>
          <w:hyperlink w:anchor="_heading=h.4i7ojhp">
            <w:r>
              <w:rPr>
                <w:rFonts w:ascii="Calibri" w:eastAsia="Calibri" w:hAnsi="Calibri" w:cs="Calibri"/>
                <w:color w:val="000000"/>
              </w:rPr>
              <w:tab/>
            </w:r>
          </w:hyperlink>
          <w:r>
            <w:fldChar w:fldCharType="begin"/>
          </w:r>
          <w:r>
            <w:instrText xml:space="preserve"> PAGEREF _headi</w:instrText>
          </w:r>
          <w:r>
            <w:instrText xml:space="preserve">ng=h.4i7ojhp \h </w:instrText>
          </w:r>
          <w:r>
            <w:fldChar w:fldCharType="separate"/>
          </w:r>
          <w:r>
            <w:rPr>
              <w:smallCaps/>
              <w:color w:val="000000"/>
            </w:rPr>
            <w:t>PRICING MECHANISM</w:t>
          </w:r>
          <w:r>
            <w:rPr>
              <w:smallCaps/>
              <w:color w:val="000000"/>
            </w:rPr>
            <w:tab/>
            <w:t>8</w:t>
          </w:r>
          <w:hyperlink w:anchor="_heading=h.4i7ojhp" w:history="1"/>
        </w:p>
        <w:p w14:paraId="5344156A"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xcytpi">
            <w:r>
              <w:rPr>
                <w:smallCaps/>
                <w:color w:val="000000"/>
              </w:rPr>
              <w:t>14.</w:t>
            </w:r>
          </w:hyperlink>
          <w:hyperlink w:anchor="_heading=h.2xcytpi">
            <w:r>
              <w:rPr>
                <w:rFonts w:ascii="Calibri" w:eastAsia="Calibri" w:hAnsi="Calibri" w:cs="Calibri"/>
                <w:color w:val="000000"/>
              </w:rPr>
              <w:tab/>
            </w:r>
          </w:hyperlink>
          <w:r>
            <w:fldChar w:fldCharType="begin"/>
          </w:r>
          <w:r>
            <w:instrText xml:space="preserve"> PAGEREF _heading=h.2xc</w:instrText>
          </w:r>
          <w:r>
            <w:instrText xml:space="preserve">ytpi \h </w:instrText>
          </w:r>
          <w:r>
            <w:fldChar w:fldCharType="separate"/>
          </w:r>
          <w:r>
            <w:rPr>
              <w:smallCaps/>
              <w:color w:val="000000"/>
            </w:rPr>
            <w:t>PAYMENT AND INVOICING</w:t>
          </w:r>
          <w:r>
            <w:rPr>
              <w:smallCaps/>
              <w:color w:val="000000"/>
            </w:rPr>
            <w:tab/>
            <w:t>8</w:t>
          </w:r>
          <w:hyperlink w:anchor="_heading=h.2xcytpi" w:history="1"/>
        </w:p>
        <w:p w14:paraId="5344156B" w14:textId="77777777" w:rsidR="008E10EF" w:rsidRDefault="00DD520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ci93xb">
            <w:r>
              <w:rPr>
                <w:smallCaps/>
                <w:color w:val="000000"/>
              </w:rPr>
              <w:t>15.</w:t>
            </w:r>
          </w:hyperlink>
          <w:hyperlink w:anchor="_heading=h.1ci93xb">
            <w:r>
              <w:rPr>
                <w:rFonts w:ascii="Calibri" w:eastAsia="Calibri" w:hAnsi="Calibri" w:cs="Calibri"/>
                <w:color w:val="000000"/>
              </w:rPr>
              <w:tab/>
            </w:r>
          </w:hyperlink>
          <w:r>
            <w:fldChar w:fldCharType="begin"/>
          </w:r>
          <w:r>
            <w:instrText xml:space="preserve"> PAGEREF _heading=h.1ci93xb</w:instrText>
          </w:r>
          <w:r>
            <w:instrText xml:space="preserve"> \h </w:instrText>
          </w:r>
          <w:r>
            <w:fldChar w:fldCharType="separate"/>
          </w:r>
          <w:r>
            <w:rPr>
              <w:smallCaps/>
              <w:color w:val="000000"/>
            </w:rPr>
            <w:t>CONTRACT MANAGEMENT AND KEY PERFORMANCE INDICATORS</w:t>
          </w:r>
          <w:r>
            <w:rPr>
              <w:smallCaps/>
              <w:color w:val="000000"/>
            </w:rPr>
            <w:tab/>
            <w:t>8</w:t>
          </w:r>
          <w:hyperlink w:anchor="_heading=h.1ci93xb" w:history="1"/>
        </w:p>
        <w:p w14:paraId="5344156C" w14:textId="77777777" w:rsidR="008E10EF" w:rsidRDefault="008E10EF">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p>
        <w:p w14:paraId="5344156D" w14:textId="77777777" w:rsidR="008E10EF" w:rsidRDefault="00DD5207">
          <w:pPr>
            <w:widowControl w:val="0"/>
            <w:tabs>
              <w:tab w:val="right" w:pos="12000"/>
            </w:tabs>
            <w:spacing w:before="60"/>
            <w:rPr>
              <w:b/>
              <w:color w:val="000000"/>
            </w:rPr>
          </w:pPr>
          <w:r>
            <w:fldChar w:fldCharType="end"/>
          </w:r>
          <w:r>
            <w:fldChar w:fldCharType="end"/>
          </w:r>
        </w:p>
      </w:sdtContent>
    </w:sdt>
    <w:p w14:paraId="5344156E" w14:textId="77777777" w:rsidR="008E10EF" w:rsidRDefault="00DD5207">
      <w:pPr>
        <w:pStyle w:val="Heading1"/>
        <w:spacing w:after="0"/>
        <w:ind w:firstLine="720"/>
        <w:jc w:val="left"/>
        <w:rPr>
          <w:sz w:val="20"/>
          <w:szCs w:val="20"/>
        </w:rPr>
      </w:pPr>
      <w:r>
        <w:br w:type="page"/>
      </w:r>
    </w:p>
    <w:p w14:paraId="5344156F" w14:textId="77777777" w:rsidR="008E10EF" w:rsidRDefault="00DD5207">
      <w:pPr>
        <w:pStyle w:val="Heading1"/>
        <w:numPr>
          <w:ilvl w:val="0"/>
          <w:numId w:val="3"/>
        </w:numPr>
        <w:spacing w:after="0"/>
        <w:ind w:left="709" w:hanging="709"/>
        <w:jc w:val="left"/>
        <w:rPr>
          <w:sz w:val="28"/>
          <w:szCs w:val="28"/>
        </w:rPr>
      </w:pPr>
      <w:bookmarkStart w:id="3" w:name="_heading=h.2et92p0" w:colFirst="0" w:colLast="0"/>
      <w:bookmarkEnd w:id="3"/>
      <w:r>
        <w:rPr>
          <w:sz w:val="28"/>
          <w:szCs w:val="28"/>
        </w:rPr>
        <w:lastRenderedPageBreak/>
        <w:t>PURPOSE AND OVERVIEW OF THE REQUIREMENT</w:t>
      </w:r>
    </w:p>
    <w:p w14:paraId="53441570" w14:textId="77777777" w:rsidR="008E10EF" w:rsidRDefault="008E10EF"/>
    <w:p w14:paraId="53441571" w14:textId="77777777" w:rsidR="008E10EF" w:rsidRDefault="00DD5207">
      <w:pPr>
        <w:pStyle w:val="Heading2"/>
        <w:numPr>
          <w:ilvl w:val="1"/>
          <w:numId w:val="5"/>
        </w:numPr>
        <w:pBdr>
          <w:top w:val="nil"/>
          <w:left w:val="nil"/>
          <w:bottom w:val="nil"/>
          <w:right w:val="nil"/>
          <w:between w:val="nil"/>
        </w:pBdr>
        <w:spacing w:after="120"/>
        <w:rPr>
          <w:sz w:val="24"/>
          <w:szCs w:val="24"/>
        </w:rPr>
      </w:pPr>
      <w:bookmarkStart w:id="4" w:name="_heading=h.tyjcwt" w:colFirst="0" w:colLast="0"/>
      <w:bookmarkEnd w:id="4"/>
      <w:r>
        <w:rPr>
          <w:color w:val="000000"/>
          <w:sz w:val="24"/>
          <w:szCs w:val="24"/>
        </w:rPr>
        <w:t>United Kingdom Atomic Energy Authority (UKAEA) is seeking to engage with consultancy companies, as strategic partners in a collaborative effort to deliver an economic business case for the Joint European Torus (JET) decommissioning and repurposing (JDR) pr</w:t>
      </w:r>
      <w:r>
        <w:rPr>
          <w:color w:val="000000"/>
          <w:sz w:val="24"/>
          <w:szCs w:val="24"/>
        </w:rPr>
        <w:t>ogramme.  JET is a former experimental fusion machine which contains small amounts of intermediate level waste (ILW) caused by the fusion fuel tritium (an isotope of hydrogen).  The JDR programme has been designed to include innovative approaches to radioa</w:t>
      </w:r>
      <w:r>
        <w:rPr>
          <w:color w:val="000000"/>
          <w:sz w:val="24"/>
          <w:szCs w:val="24"/>
        </w:rPr>
        <w:t>ctive waste reduction.  Wherever possible, non-radioactive items will be repurposed or recycled to provide maximum benefit to the UK and the wider fusion ecosystem.</w:t>
      </w:r>
      <w:r>
        <w:rPr>
          <w:sz w:val="24"/>
          <w:szCs w:val="24"/>
        </w:rPr>
        <w:t xml:space="preserve"> </w:t>
      </w:r>
    </w:p>
    <w:p w14:paraId="53441572" w14:textId="77777777" w:rsidR="008E10EF" w:rsidRDefault="00DD5207">
      <w:pPr>
        <w:pStyle w:val="Heading2"/>
        <w:numPr>
          <w:ilvl w:val="1"/>
          <w:numId w:val="5"/>
        </w:numPr>
        <w:pBdr>
          <w:top w:val="nil"/>
          <w:left w:val="nil"/>
          <w:bottom w:val="nil"/>
          <w:right w:val="nil"/>
          <w:between w:val="nil"/>
        </w:pBdr>
        <w:spacing w:after="120"/>
        <w:rPr>
          <w:color w:val="000000"/>
          <w:sz w:val="24"/>
          <w:szCs w:val="24"/>
        </w:rPr>
      </w:pPr>
      <w:r>
        <w:rPr>
          <w:color w:val="000000"/>
          <w:sz w:val="24"/>
          <w:szCs w:val="24"/>
        </w:rPr>
        <w:t>The JDR programme has been running since March 2023 when an outline business case was appr</w:t>
      </w:r>
      <w:r>
        <w:rPr>
          <w:color w:val="000000"/>
          <w:sz w:val="24"/>
          <w:szCs w:val="24"/>
        </w:rPr>
        <w:t>oved by DESNZ Project Investment Committee (PIC).  JDR is following an alternative approach to decommissioning to maximise benefit by:</w:t>
      </w:r>
    </w:p>
    <w:p w14:paraId="53441573" w14:textId="77777777" w:rsidR="008E10EF" w:rsidRDefault="00DD5207">
      <w:pPr>
        <w:pStyle w:val="Heading2"/>
        <w:numPr>
          <w:ilvl w:val="2"/>
          <w:numId w:val="5"/>
        </w:numPr>
        <w:pBdr>
          <w:top w:val="nil"/>
          <w:left w:val="nil"/>
          <w:bottom w:val="nil"/>
          <w:right w:val="nil"/>
          <w:between w:val="nil"/>
        </w:pBdr>
        <w:spacing w:after="120"/>
        <w:rPr>
          <w:color w:val="000000"/>
          <w:sz w:val="24"/>
          <w:szCs w:val="24"/>
        </w:rPr>
      </w:pPr>
      <w:r>
        <w:rPr>
          <w:color w:val="000000"/>
          <w:sz w:val="24"/>
          <w:szCs w:val="24"/>
        </w:rPr>
        <w:t xml:space="preserve">Releasing key areas of site early so that new ventures contributing to advancing fusion can be located on </w:t>
      </w:r>
      <w:proofErr w:type="spellStart"/>
      <w:r>
        <w:rPr>
          <w:color w:val="000000"/>
          <w:sz w:val="24"/>
          <w:szCs w:val="24"/>
        </w:rPr>
        <w:t>Culham</w:t>
      </w:r>
      <w:proofErr w:type="spellEnd"/>
      <w:r>
        <w:rPr>
          <w:color w:val="000000"/>
          <w:sz w:val="24"/>
          <w:szCs w:val="24"/>
        </w:rPr>
        <w:t xml:space="preserve"> site.</w:t>
      </w:r>
    </w:p>
    <w:p w14:paraId="53441574" w14:textId="77777777" w:rsidR="008E10EF" w:rsidRDefault="00DD5207">
      <w:pPr>
        <w:pStyle w:val="Heading2"/>
        <w:numPr>
          <w:ilvl w:val="2"/>
          <w:numId w:val="5"/>
        </w:numPr>
        <w:pBdr>
          <w:top w:val="nil"/>
          <w:left w:val="nil"/>
          <w:bottom w:val="nil"/>
          <w:right w:val="nil"/>
          <w:between w:val="nil"/>
        </w:pBdr>
        <w:spacing w:after="120"/>
        <w:rPr>
          <w:color w:val="000000"/>
          <w:sz w:val="24"/>
          <w:szCs w:val="24"/>
        </w:rPr>
      </w:pPr>
      <w:r>
        <w:rPr>
          <w:color w:val="000000"/>
          <w:sz w:val="24"/>
          <w:szCs w:val="24"/>
        </w:rPr>
        <w:t>Ha</w:t>
      </w:r>
      <w:r>
        <w:rPr>
          <w:color w:val="000000"/>
          <w:sz w:val="24"/>
          <w:szCs w:val="24"/>
        </w:rPr>
        <w:t>rnessing skilled people from the now closed JET experiment to use their skills to build sustainable technologies in decommissioning (such as robotics)</w:t>
      </w:r>
    </w:p>
    <w:p w14:paraId="53441575" w14:textId="77777777" w:rsidR="008E10EF" w:rsidRDefault="00DD5207">
      <w:pPr>
        <w:pStyle w:val="Heading2"/>
        <w:numPr>
          <w:ilvl w:val="2"/>
          <w:numId w:val="5"/>
        </w:numPr>
        <w:pBdr>
          <w:top w:val="nil"/>
          <w:left w:val="nil"/>
          <w:bottom w:val="nil"/>
          <w:right w:val="nil"/>
          <w:between w:val="nil"/>
        </w:pBdr>
        <w:spacing w:after="120"/>
        <w:rPr>
          <w:color w:val="000000"/>
          <w:sz w:val="24"/>
          <w:szCs w:val="24"/>
        </w:rPr>
      </w:pPr>
      <w:r>
        <w:rPr>
          <w:color w:val="000000"/>
          <w:sz w:val="24"/>
          <w:szCs w:val="24"/>
        </w:rPr>
        <w:t xml:space="preserve">Removing the radioactive isotope tritium from JET waste by </w:t>
      </w:r>
      <w:proofErr w:type="spellStart"/>
      <w:r>
        <w:rPr>
          <w:color w:val="000000"/>
          <w:sz w:val="24"/>
          <w:szCs w:val="24"/>
        </w:rPr>
        <w:t>detritiation</w:t>
      </w:r>
      <w:proofErr w:type="spellEnd"/>
      <w:r>
        <w:rPr>
          <w:color w:val="000000"/>
          <w:sz w:val="24"/>
          <w:szCs w:val="24"/>
        </w:rPr>
        <w:t xml:space="preserve"> (heating of components) to downgr</w:t>
      </w:r>
      <w:r>
        <w:rPr>
          <w:color w:val="000000"/>
          <w:sz w:val="24"/>
          <w:szCs w:val="24"/>
        </w:rPr>
        <w:t>ade waste from intermediate level waste (ILW) to low level waste (LLW)</w:t>
      </w:r>
    </w:p>
    <w:p w14:paraId="53441576" w14:textId="77777777" w:rsidR="008E10EF" w:rsidRDefault="00DD5207">
      <w:pPr>
        <w:pStyle w:val="Heading2"/>
        <w:numPr>
          <w:ilvl w:val="2"/>
          <w:numId w:val="5"/>
        </w:numPr>
        <w:pBdr>
          <w:top w:val="nil"/>
          <w:left w:val="nil"/>
          <w:bottom w:val="nil"/>
          <w:right w:val="nil"/>
          <w:between w:val="nil"/>
        </w:pBdr>
        <w:spacing w:after="120"/>
        <w:rPr>
          <w:color w:val="000000"/>
          <w:sz w:val="24"/>
          <w:szCs w:val="24"/>
        </w:rPr>
      </w:pPr>
      <w:r>
        <w:rPr>
          <w:color w:val="000000"/>
          <w:sz w:val="24"/>
          <w:szCs w:val="24"/>
        </w:rPr>
        <w:t>Re-using and repurposing as many systems from JET as possible within the fusion ecosystem to advance other experiments at lower cost</w:t>
      </w:r>
    </w:p>
    <w:p w14:paraId="53441577" w14:textId="77777777" w:rsidR="008E10EF" w:rsidRDefault="00DD5207">
      <w:pPr>
        <w:pStyle w:val="Heading2"/>
        <w:numPr>
          <w:ilvl w:val="2"/>
          <w:numId w:val="5"/>
        </w:numPr>
        <w:pBdr>
          <w:top w:val="nil"/>
          <w:left w:val="nil"/>
          <w:bottom w:val="nil"/>
          <w:right w:val="nil"/>
          <w:between w:val="nil"/>
        </w:pBdr>
        <w:spacing w:after="120"/>
        <w:rPr>
          <w:color w:val="000000"/>
          <w:sz w:val="24"/>
          <w:szCs w:val="24"/>
        </w:rPr>
      </w:pPr>
      <w:r>
        <w:rPr>
          <w:color w:val="000000"/>
          <w:sz w:val="24"/>
          <w:szCs w:val="24"/>
        </w:rPr>
        <w:t>Re-using JET legacy buildings to cut the cost of del</w:t>
      </w:r>
      <w:r>
        <w:rPr>
          <w:color w:val="000000"/>
          <w:sz w:val="24"/>
          <w:szCs w:val="24"/>
        </w:rPr>
        <w:t>ivering new fusion experiments.</w:t>
      </w:r>
    </w:p>
    <w:p w14:paraId="53441578" w14:textId="77777777" w:rsidR="008E10EF" w:rsidRDefault="00DD5207">
      <w:pPr>
        <w:pStyle w:val="Heading2"/>
        <w:numPr>
          <w:ilvl w:val="2"/>
          <w:numId w:val="5"/>
        </w:numPr>
        <w:pBdr>
          <w:top w:val="nil"/>
          <w:left w:val="nil"/>
          <w:bottom w:val="nil"/>
          <w:right w:val="nil"/>
          <w:between w:val="nil"/>
        </w:pBdr>
        <w:spacing w:after="120"/>
        <w:rPr>
          <w:color w:val="000000"/>
          <w:sz w:val="24"/>
          <w:szCs w:val="24"/>
        </w:rPr>
      </w:pPr>
      <w:r>
        <w:rPr>
          <w:color w:val="000000"/>
          <w:sz w:val="24"/>
          <w:szCs w:val="24"/>
        </w:rPr>
        <w:t>Recycling and recovering metals such as copper where possible.</w:t>
      </w:r>
    </w:p>
    <w:p w14:paraId="53441579" w14:textId="77777777" w:rsidR="008E10EF" w:rsidRDefault="008E10EF">
      <w:pPr>
        <w:pStyle w:val="Heading2"/>
        <w:spacing w:after="0"/>
        <w:jc w:val="left"/>
      </w:pPr>
    </w:p>
    <w:p w14:paraId="5344157A" w14:textId="77777777" w:rsidR="008E10EF" w:rsidRDefault="008E10EF"/>
    <w:p w14:paraId="5344157B" w14:textId="77777777" w:rsidR="008E10EF" w:rsidRDefault="00DD5207">
      <w:pPr>
        <w:pStyle w:val="Heading1"/>
        <w:numPr>
          <w:ilvl w:val="0"/>
          <w:numId w:val="3"/>
        </w:numPr>
        <w:spacing w:after="0"/>
        <w:ind w:left="709" w:hanging="709"/>
        <w:jc w:val="left"/>
        <w:rPr>
          <w:sz w:val="28"/>
          <w:szCs w:val="28"/>
        </w:rPr>
      </w:pPr>
      <w:bookmarkStart w:id="5" w:name="_heading=h.3dy6vkm" w:colFirst="0" w:colLast="0"/>
      <w:bookmarkEnd w:id="5"/>
      <w:r>
        <w:rPr>
          <w:sz w:val="28"/>
          <w:szCs w:val="28"/>
        </w:rPr>
        <w:t>BACKGROUND TO UKAEA</w:t>
      </w:r>
    </w:p>
    <w:p w14:paraId="5344157C" w14:textId="77777777" w:rsidR="008E10EF" w:rsidRDefault="008E10EF">
      <w:pPr>
        <w:pStyle w:val="Heading2"/>
        <w:spacing w:after="0"/>
        <w:ind w:firstLine="1440"/>
        <w:jc w:val="left"/>
        <w:rPr>
          <w:sz w:val="20"/>
          <w:szCs w:val="20"/>
          <w:shd w:val="clear" w:color="auto" w:fill="FFFF99"/>
        </w:rPr>
      </w:pPr>
    </w:p>
    <w:p w14:paraId="5344157D" w14:textId="77777777" w:rsidR="008E10EF" w:rsidRDefault="00DD5207">
      <w:pPr>
        <w:pBdr>
          <w:top w:val="nil"/>
          <w:left w:val="nil"/>
          <w:bottom w:val="nil"/>
          <w:right w:val="nil"/>
          <w:between w:val="nil"/>
        </w:pBdr>
        <w:spacing w:after="120"/>
        <w:ind w:left="709" w:hanging="709"/>
        <w:jc w:val="both"/>
        <w:rPr>
          <w:color w:val="000000"/>
        </w:rPr>
      </w:pPr>
      <w:r>
        <w:rPr>
          <w:color w:val="000000"/>
        </w:rPr>
        <w:t xml:space="preserve">2.1 </w:t>
      </w:r>
      <w:r>
        <w:rPr>
          <w:color w:val="000000"/>
        </w:rPr>
        <w:tab/>
      </w:r>
      <w:r>
        <w:rPr>
          <w:color w:val="000000"/>
          <w:sz w:val="24"/>
        </w:rPr>
        <w:t>The United Kingdom Atomic Energy Authority (UKAEA) was formed in 1954 when the British Government set up a new body to oversee the nation’s nuclear research programme. UKAEA is a non-departmental public body (NDPB), under Department for Energy Security and</w:t>
      </w:r>
      <w:r>
        <w:rPr>
          <w:color w:val="000000"/>
          <w:sz w:val="24"/>
        </w:rPr>
        <w:t xml:space="preserve"> Net Zero (DESNZ).</w:t>
      </w:r>
      <w:r>
        <w:rPr>
          <w:color w:val="000000"/>
        </w:rPr>
        <w:t xml:space="preserve"> </w:t>
      </w:r>
    </w:p>
    <w:p w14:paraId="5344157E"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UKAEA research fusion energy and related technologies, with the aim of positioning the UK as a leader in sustainable nuclear energy.  UKAEA’s mission is to lead the delivery of sustainable fusion energy and maximise the scientific and e</w:t>
      </w:r>
      <w:r>
        <w:rPr>
          <w:color w:val="000000"/>
          <w:sz w:val="24"/>
        </w:rPr>
        <w:t>conomic benefit. This is underpinned by five goals:</w:t>
      </w:r>
    </w:p>
    <w:p w14:paraId="5344157F" w14:textId="77777777" w:rsidR="008E10EF" w:rsidRDefault="008E10EF">
      <w:pPr>
        <w:pBdr>
          <w:top w:val="nil"/>
          <w:left w:val="nil"/>
          <w:bottom w:val="nil"/>
          <w:right w:val="nil"/>
          <w:between w:val="nil"/>
        </w:pBdr>
        <w:spacing w:after="120"/>
        <w:jc w:val="both"/>
        <w:rPr>
          <w:color w:val="000000"/>
        </w:rPr>
      </w:pPr>
    </w:p>
    <w:p w14:paraId="53441580" w14:textId="77777777" w:rsidR="008E10EF" w:rsidRDefault="00DD5207">
      <w:pPr>
        <w:numPr>
          <w:ilvl w:val="0"/>
          <w:numId w:val="4"/>
        </w:numPr>
        <w:pBdr>
          <w:top w:val="nil"/>
          <w:left w:val="nil"/>
          <w:bottom w:val="nil"/>
          <w:right w:val="nil"/>
          <w:between w:val="nil"/>
        </w:pBdr>
        <w:jc w:val="both"/>
        <w:rPr>
          <w:sz w:val="24"/>
        </w:rPr>
      </w:pPr>
      <w:r>
        <w:rPr>
          <w:color w:val="000000"/>
          <w:sz w:val="24"/>
        </w:rPr>
        <w:t>Solve challenges of sustainable fusion energy - from design through to decommissioning - with world-leading science and engineering.</w:t>
      </w:r>
    </w:p>
    <w:p w14:paraId="53441581" w14:textId="77777777" w:rsidR="008E10EF" w:rsidRDefault="00DD5207">
      <w:pPr>
        <w:numPr>
          <w:ilvl w:val="0"/>
          <w:numId w:val="4"/>
        </w:numPr>
        <w:pBdr>
          <w:top w:val="nil"/>
          <w:left w:val="nil"/>
          <w:bottom w:val="nil"/>
          <w:right w:val="nil"/>
          <w:between w:val="nil"/>
        </w:pBdr>
        <w:jc w:val="both"/>
        <w:rPr>
          <w:sz w:val="24"/>
        </w:rPr>
      </w:pPr>
      <w:r>
        <w:rPr>
          <w:color w:val="000000"/>
          <w:sz w:val="24"/>
        </w:rPr>
        <w:lastRenderedPageBreak/>
        <w:t>Enable partners to design, deliver, and operate commercial fusion powe</w:t>
      </w:r>
      <w:r>
        <w:rPr>
          <w:color w:val="000000"/>
          <w:sz w:val="24"/>
        </w:rPr>
        <w:t>r plants.</w:t>
      </w:r>
    </w:p>
    <w:p w14:paraId="53441582" w14:textId="77777777" w:rsidR="008E10EF" w:rsidRDefault="00DD5207">
      <w:pPr>
        <w:numPr>
          <w:ilvl w:val="0"/>
          <w:numId w:val="4"/>
        </w:numPr>
        <w:pBdr>
          <w:top w:val="nil"/>
          <w:left w:val="nil"/>
          <w:bottom w:val="nil"/>
          <w:right w:val="nil"/>
          <w:between w:val="nil"/>
        </w:pBdr>
        <w:jc w:val="both"/>
        <w:rPr>
          <w:sz w:val="24"/>
        </w:rPr>
      </w:pPr>
      <w:r>
        <w:rPr>
          <w:color w:val="000000"/>
          <w:sz w:val="24"/>
        </w:rPr>
        <w:t>Drive UK economic growth and a thriving industry that exports fusion technology around the world.</w:t>
      </w:r>
    </w:p>
    <w:p w14:paraId="53441583" w14:textId="77777777" w:rsidR="008E10EF" w:rsidRDefault="00DD5207">
      <w:pPr>
        <w:numPr>
          <w:ilvl w:val="0"/>
          <w:numId w:val="4"/>
        </w:numPr>
        <w:pBdr>
          <w:top w:val="nil"/>
          <w:left w:val="nil"/>
          <w:bottom w:val="nil"/>
          <w:right w:val="nil"/>
          <w:between w:val="nil"/>
        </w:pBdr>
        <w:jc w:val="both"/>
        <w:rPr>
          <w:sz w:val="24"/>
        </w:rPr>
      </w:pPr>
      <w:r>
        <w:rPr>
          <w:color w:val="000000"/>
          <w:sz w:val="24"/>
        </w:rPr>
        <w:t>Create clusters that accelerate innovation in fusion and related technologies.</w:t>
      </w:r>
    </w:p>
    <w:p w14:paraId="53441584" w14:textId="77777777" w:rsidR="008E10EF" w:rsidRDefault="00DD5207">
      <w:pPr>
        <w:numPr>
          <w:ilvl w:val="0"/>
          <w:numId w:val="4"/>
        </w:numPr>
        <w:pBdr>
          <w:top w:val="nil"/>
          <w:left w:val="nil"/>
          <w:bottom w:val="nil"/>
          <w:right w:val="nil"/>
          <w:between w:val="nil"/>
        </w:pBdr>
        <w:jc w:val="both"/>
        <w:rPr>
          <w:sz w:val="24"/>
        </w:rPr>
      </w:pPr>
      <w:r>
        <w:rPr>
          <w:color w:val="000000"/>
          <w:sz w:val="24"/>
        </w:rPr>
        <w:t>Develop the talented, diverse people needed to deliver fusion energy.</w:t>
      </w:r>
    </w:p>
    <w:p w14:paraId="53441585" w14:textId="77777777" w:rsidR="008E10EF" w:rsidRDefault="008E10EF" w:rsidP="001A3E41">
      <w:pPr>
        <w:pStyle w:val="Heading2"/>
        <w:numPr>
          <w:ilvl w:val="0"/>
          <w:numId w:val="0"/>
        </w:numPr>
        <w:spacing w:after="0"/>
        <w:ind w:left="2880"/>
        <w:jc w:val="left"/>
      </w:pPr>
    </w:p>
    <w:p w14:paraId="53441586" w14:textId="77777777" w:rsidR="008E10EF" w:rsidRDefault="008E10EF"/>
    <w:p w14:paraId="53441587" w14:textId="77777777" w:rsidR="008E10EF" w:rsidRDefault="00DD5207">
      <w:pPr>
        <w:pStyle w:val="Heading1"/>
        <w:numPr>
          <w:ilvl w:val="0"/>
          <w:numId w:val="3"/>
        </w:numPr>
        <w:spacing w:after="0"/>
        <w:ind w:left="709" w:hanging="709"/>
        <w:jc w:val="left"/>
        <w:rPr>
          <w:sz w:val="28"/>
          <w:szCs w:val="28"/>
        </w:rPr>
      </w:pPr>
      <w:bookmarkStart w:id="6" w:name="_heading=h.1t3h5sf" w:colFirst="0" w:colLast="0"/>
      <w:bookmarkEnd w:id="6"/>
      <w:r>
        <w:rPr>
          <w:sz w:val="28"/>
          <w:szCs w:val="28"/>
        </w:rPr>
        <w:t>BACKGROUND TO THE REQUIREMENT</w:t>
      </w:r>
    </w:p>
    <w:p w14:paraId="53441588" w14:textId="77777777" w:rsidR="008E10EF" w:rsidRDefault="008E10EF"/>
    <w:p w14:paraId="53441589" w14:textId="77777777" w:rsidR="008E10EF" w:rsidRDefault="008E10EF" w:rsidP="001A3E41">
      <w:pPr>
        <w:pStyle w:val="Heading2"/>
        <w:numPr>
          <w:ilvl w:val="0"/>
          <w:numId w:val="0"/>
        </w:numPr>
        <w:spacing w:after="0"/>
        <w:ind w:left="2880"/>
        <w:jc w:val="left"/>
        <w:rPr>
          <w:sz w:val="20"/>
          <w:szCs w:val="20"/>
          <w:shd w:val="clear" w:color="auto" w:fill="FFFF99"/>
        </w:rPr>
      </w:pPr>
      <w:bookmarkStart w:id="7" w:name="_heading=h.4d34og8" w:colFirst="0" w:colLast="0"/>
      <w:bookmarkEnd w:id="7"/>
    </w:p>
    <w:p w14:paraId="5344158A" w14:textId="77777777" w:rsidR="008E10EF" w:rsidRDefault="00DD5207">
      <w:pPr>
        <w:pBdr>
          <w:top w:val="nil"/>
          <w:left w:val="nil"/>
          <w:bottom w:val="nil"/>
          <w:right w:val="nil"/>
          <w:between w:val="nil"/>
        </w:pBdr>
        <w:spacing w:after="120"/>
        <w:ind w:left="709" w:hanging="709"/>
        <w:jc w:val="both"/>
        <w:rPr>
          <w:color w:val="000000"/>
        </w:rPr>
      </w:pPr>
      <w:r>
        <w:rPr>
          <w:color w:val="000000"/>
          <w:sz w:val="24"/>
        </w:rPr>
        <w:t>3.1</w:t>
      </w:r>
      <w:r>
        <w:rPr>
          <w:color w:val="000000"/>
        </w:rPr>
        <w:tab/>
      </w:r>
      <w:r>
        <w:rPr>
          <w:color w:val="000000"/>
          <w:sz w:val="24"/>
        </w:rPr>
        <w:t>The Joint European Torus (JET) experiment was commissioned on 25th Ju</w:t>
      </w:r>
      <w:r>
        <w:rPr>
          <w:color w:val="000000"/>
          <w:sz w:val="24"/>
        </w:rPr>
        <w:t>ne 1983 when the machine achieved its first experimental plasma.  JET operated for over 40 years, breaking two world records for fusion energy generation and driving fusion science forward with many ground-breaking papers and experimental results.  In Dece</w:t>
      </w:r>
      <w:r>
        <w:rPr>
          <w:color w:val="000000"/>
          <w:sz w:val="24"/>
        </w:rPr>
        <w:t>mber 2023 the machine ran its final plasma, in January 2024 the team switched focus from operating JET to shutting down the plant.</w:t>
      </w:r>
    </w:p>
    <w:p w14:paraId="5344158B"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UKAEA have a liability to decommission the JET machine as the authority was the operating agent for the machine throughout its lifecycle.  JET decommissioning is a statutory requirement, however UKAEA are aiming to decommission the machine in a way that de</w:t>
      </w:r>
      <w:r>
        <w:rPr>
          <w:color w:val="000000"/>
          <w:sz w:val="24"/>
        </w:rPr>
        <w:t xml:space="preserve">livers maximum benefit and releases useful data about tritium removal and contamination.  UKAEA wish to harness the infrastructure at the old JET site – there is a 36Kv power line and active drain which can be used by new fusion experiments.  The site has </w:t>
      </w:r>
      <w:r>
        <w:rPr>
          <w:color w:val="000000"/>
          <w:sz w:val="24"/>
        </w:rPr>
        <w:t xml:space="preserve">many knowledgeable people who worked on JET who can be redeployed to either JET decommissioning or other fusion focussed projects.  The location of the land and transport links mean that </w:t>
      </w:r>
      <w:proofErr w:type="spellStart"/>
      <w:r>
        <w:rPr>
          <w:color w:val="000000"/>
          <w:sz w:val="24"/>
        </w:rPr>
        <w:t>Culham</w:t>
      </w:r>
      <w:proofErr w:type="spellEnd"/>
      <w:r>
        <w:rPr>
          <w:color w:val="000000"/>
          <w:sz w:val="24"/>
        </w:rPr>
        <w:t xml:space="preserve"> is well positioned to host a fusion cluster on the old JET sit</w:t>
      </w:r>
      <w:r>
        <w:rPr>
          <w:color w:val="000000"/>
          <w:sz w:val="24"/>
        </w:rPr>
        <w:t>e – the aim is to repurpose as many land areas and buildings as possible to advance the UK’s lead in fusion science.</w:t>
      </w:r>
    </w:p>
    <w:p w14:paraId="5344158C"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 xml:space="preserve">The JDR programme will be approved in tranches. </w:t>
      </w:r>
      <w:r>
        <w:t xml:space="preserve">     </w:t>
      </w:r>
      <w:r>
        <w:rPr>
          <w:color w:val="000000"/>
          <w:sz w:val="24"/>
        </w:rPr>
        <w:t>Tranche 1a ran from April 2023 – March 2025 and tranche 1b will run from April 2025 to</w:t>
      </w:r>
      <w:r>
        <w:rPr>
          <w:color w:val="000000"/>
          <w:sz w:val="24"/>
        </w:rPr>
        <w:t xml:space="preserve"> March 2026. </w:t>
      </w:r>
    </w:p>
    <w:p w14:paraId="5344158D" w14:textId="77777777" w:rsidR="008E10EF" w:rsidRDefault="008E10EF"/>
    <w:p w14:paraId="5344158E" w14:textId="77777777" w:rsidR="008E10EF" w:rsidRDefault="00DD5207">
      <w:pPr>
        <w:pStyle w:val="Heading1"/>
        <w:numPr>
          <w:ilvl w:val="0"/>
          <w:numId w:val="3"/>
        </w:numPr>
        <w:spacing w:after="0"/>
        <w:ind w:left="709" w:hanging="709"/>
        <w:jc w:val="left"/>
        <w:rPr>
          <w:sz w:val="28"/>
          <w:szCs w:val="28"/>
        </w:rPr>
      </w:pPr>
      <w:bookmarkStart w:id="8" w:name="_heading=h.2s8eyo1" w:colFirst="0" w:colLast="0"/>
      <w:bookmarkEnd w:id="8"/>
      <w:r>
        <w:rPr>
          <w:sz w:val="28"/>
          <w:szCs w:val="28"/>
        </w:rPr>
        <w:t xml:space="preserve">Definitions </w:t>
      </w:r>
    </w:p>
    <w:p w14:paraId="5344158F" w14:textId="77777777" w:rsidR="008E10EF" w:rsidRDefault="008E10EF" w:rsidP="001A3E41">
      <w:pPr>
        <w:pStyle w:val="Heading1"/>
        <w:numPr>
          <w:ilvl w:val="0"/>
          <w:numId w:val="0"/>
        </w:numPr>
        <w:spacing w:after="0"/>
        <w:ind w:left="1080"/>
        <w:jc w:val="left"/>
        <w:rPr>
          <w:sz w:val="28"/>
          <w:szCs w:val="28"/>
        </w:rPr>
      </w:pPr>
    </w:p>
    <w:tbl>
      <w:tblPr>
        <w:tblStyle w:val="af8"/>
        <w:tblW w:w="9493" w:type="dxa"/>
        <w:tblLayout w:type="fixed"/>
        <w:tblLook w:val="0400" w:firstRow="0" w:lastRow="0" w:firstColumn="0" w:lastColumn="0" w:noHBand="0" w:noVBand="1"/>
      </w:tblPr>
      <w:tblGrid>
        <w:gridCol w:w="3026"/>
        <w:gridCol w:w="6467"/>
      </w:tblGrid>
      <w:tr w:rsidR="008E10EF" w14:paraId="53441592" w14:textId="77777777">
        <w:trPr>
          <w:trHeight w:val="679"/>
        </w:trPr>
        <w:tc>
          <w:tcPr>
            <w:tcW w:w="3026" w:type="dxa"/>
            <w:tcBorders>
              <w:top w:val="single" w:sz="4" w:space="0" w:color="000000"/>
              <w:left w:val="single" w:sz="4" w:space="0" w:color="000000"/>
              <w:bottom w:val="single" w:sz="4" w:space="0" w:color="000000"/>
              <w:right w:val="single" w:sz="4" w:space="0" w:color="000000"/>
            </w:tcBorders>
            <w:shd w:val="clear" w:color="auto" w:fill="B8CCE4"/>
            <w:tcMar>
              <w:top w:w="11" w:type="dxa"/>
              <w:left w:w="107" w:type="dxa"/>
              <w:bottom w:w="0" w:type="dxa"/>
              <w:right w:w="41" w:type="dxa"/>
            </w:tcMar>
          </w:tcPr>
          <w:p w14:paraId="53441590" w14:textId="77777777" w:rsidR="008E10EF" w:rsidRDefault="00DD5207">
            <w:pPr>
              <w:ind w:hanging="17"/>
              <w:rPr>
                <w:rFonts w:ascii="Times New Roman" w:eastAsia="Times New Roman" w:hAnsi="Times New Roman" w:cs="Times New Roman"/>
                <w:sz w:val="24"/>
              </w:rPr>
            </w:pPr>
            <w:r>
              <w:rPr>
                <w:b/>
                <w:color w:val="000000"/>
                <w:sz w:val="24"/>
              </w:rPr>
              <w:t>Expression or Acronym </w:t>
            </w:r>
          </w:p>
        </w:tc>
        <w:tc>
          <w:tcPr>
            <w:tcW w:w="6467" w:type="dxa"/>
            <w:tcBorders>
              <w:top w:val="single" w:sz="4" w:space="0" w:color="000000"/>
              <w:left w:val="single" w:sz="4" w:space="0" w:color="000000"/>
              <w:bottom w:val="single" w:sz="4" w:space="0" w:color="000000"/>
              <w:right w:val="single" w:sz="4" w:space="0" w:color="000000"/>
            </w:tcBorders>
            <w:shd w:val="clear" w:color="auto" w:fill="B8CCE4"/>
            <w:tcMar>
              <w:top w:w="11" w:type="dxa"/>
              <w:left w:w="107" w:type="dxa"/>
              <w:bottom w:w="0" w:type="dxa"/>
              <w:right w:w="41" w:type="dxa"/>
            </w:tcMar>
          </w:tcPr>
          <w:p w14:paraId="53441591" w14:textId="77777777" w:rsidR="008E10EF" w:rsidRDefault="00DD5207">
            <w:pPr>
              <w:ind w:left="1"/>
              <w:rPr>
                <w:rFonts w:ascii="Times New Roman" w:eastAsia="Times New Roman" w:hAnsi="Times New Roman" w:cs="Times New Roman"/>
                <w:sz w:val="24"/>
              </w:rPr>
            </w:pPr>
            <w:r>
              <w:rPr>
                <w:b/>
                <w:color w:val="000000"/>
                <w:sz w:val="24"/>
              </w:rPr>
              <w:t>Definition </w:t>
            </w:r>
          </w:p>
        </w:tc>
      </w:tr>
      <w:tr w:rsidR="008E10EF" w14:paraId="53441595" w14:textId="77777777">
        <w:trPr>
          <w:trHeight w:val="409"/>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3" w14:textId="77777777" w:rsidR="008E10EF" w:rsidRDefault="00DD5207">
            <w:pPr>
              <w:rPr>
                <w:sz w:val="24"/>
              </w:rPr>
            </w:pPr>
            <w:r>
              <w:rPr>
                <w:sz w:val="24"/>
              </w:rPr>
              <w:t xml:space="preserve">UKAEA </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4" w14:textId="77777777" w:rsidR="008E10EF" w:rsidRDefault="00DD5207">
            <w:pPr>
              <w:rPr>
                <w:sz w:val="24"/>
              </w:rPr>
            </w:pPr>
            <w:r>
              <w:rPr>
                <w:sz w:val="24"/>
              </w:rPr>
              <w:t>The United Kingdom Atomic Energy Authority</w:t>
            </w:r>
          </w:p>
        </w:tc>
      </w:tr>
      <w:tr w:rsidR="008E10EF" w14:paraId="53441598"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6" w14:textId="77777777" w:rsidR="008E10EF" w:rsidRDefault="00DD5207">
            <w:pPr>
              <w:rPr>
                <w:sz w:val="24"/>
              </w:rPr>
            </w:pPr>
            <w:r>
              <w:rPr>
                <w:sz w:val="24"/>
              </w:rPr>
              <w:t>JET</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7" w14:textId="77777777" w:rsidR="008E10EF" w:rsidRDefault="00DD5207">
            <w:pPr>
              <w:ind w:left="1"/>
              <w:rPr>
                <w:sz w:val="24"/>
              </w:rPr>
            </w:pPr>
            <w:r>
              <w:rPr>
                <w:sz w:val="24"/>
              </w:rPr>
              <w:t>The Joint European Torus</w:t>
            </w:r>
          </w:p>
        </w:tc>
      </w:tr>
      <w:tr w:rsidR="008E10EF" w14:paraId="5344159B"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9" w14:textId="77777777" w:rsidR="008E10EF" w:rsidRDefault="00DD5207">
            <w:pPr>
              <w:rPr>
                <w:sz w:val="24"/>
              </w:rPr>
            </w:pPr>
            <w:r>
              <w:rPr>
                <w:sz w:val="24"/>
              </w:rPr>
              <w:t>JDR</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A" w14:textId="77777777" w:rsidR="008E10EF" w:rsidRDefault="00DD5207">
            <w:pPr>
              <w:ind w:left="1"/>
              <w:rPr>
                <w:sz w:val="24"/>
              </w:rPr>
            </w:pPr>
            <w:r>
              <w:rPr>
                <w:sz w:val="24"/>
              </w:rPr>
              <w:t>Joint European Torus decommissioning and repurposing programme</w:t>
            </w:r>
          </w:p>
        </w:tc>
      </w:tr>
      <w:tr w:rsidR="008E10EF" w14:paraId="5344159E"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C" w14:textId="77777777" w:rsidR="008E10EF" w:rsidRDefault="00DD5207">
            <w:pPr>
              <w:rPr>
                <w:sz w:val="24"/>
              </w:rPr>
            </w:pPr>
            <w:r>
              <w:rPr>
                <w:sz w:val="24"/>
              </w:rPr>
              <w:t>ILW</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D" w14:textId="77777777" w:rsidR="008E10EF" w:rsidRDefault="00DD5207">
            <w:pPr>
              <w:ind w:left="1"/>
              <w:rPr>
                <w:sz w:val="24"/>
              </w:rPr>
            </w:pPr>
            <w:r>
              <w:rPr>
                <w:sz w:val="24"/>
              </w:rPr>
              <w:t>Intermediate level waste</w:t>
            </w:r>
          </w:p>
        </w:tc>
      </w:tr>
      <w:tr w:rsidR="008E10EF" w14:paraId="534415A1"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9F" w14:textId="77777777" w:rsidR="008E10EF" w:rsidRDefault="00DD5207">
            <w:pPr>
              <w:rPr>
                <w:sz w:val="24"/>
              </w:rPr>
            </w:pPr>
            <w:r>
              <w:rPr>
                <w:sz w:val="24"/>
              </w:rPr>
              <w:t>LLW</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0" w14:textId="77777777" w:rsidR="008E10EF" w:rsidRDefault="00DD5207">
            <w:pPr>
              <w:ind w:left="1"/>
              <w:rPr>
                <w:sz w:val="24"/>
              </w:rPr>
            </w:pPr>
            <w:r>
              <w:rPr>
                <w:sz w:val="24"/>
              </w:rPr>
              <w:t>Low level waste</w:t>
            </w:r>
          </w:p>
        </w:tc>
      </w:tr>
      <w:tr w:rsidR="008E10EF" w14:paraId="534415A4"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2" w14:textId="77777777" w:rsidR="008E10EF" w:rsidRDefault="00DD5207">
            <w:pPr>
              <w:rPr>
                <w:sz w:val="24"/>
              </w:rPr>
            </w:pPr>
            <w:r>
              <w:rPr>
                <w:sz w:val="24"/>
              </w:rPr>
              <w:t>DESNZ</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3" w14:textId="77777777" w:rsidR="008E10EF" w:rsidRDefault="00DD5207">
            <w:pPr>
              <w:ind w:left="1"/>
              <w:rPr>
                <w:sz w:val="24"/>
              </w:rPr>
            </w:pPr>
            <w:r>
              <w:rPr>
                <w:sz w:val="24"/>
              </w:rPr>
              <w:t>Department for Energy Security and Net Zero</w:t>
            </w:r>
          </w:p>
        </w:tc>
      </w:tr>
      <w:tr w:rsidR="008E10EF" w14:paraId="534415A7"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5" w14:textId="77777777" w:rsidR="008E10EF" w:rsidRDefault="00DD5207">
            <w:pPr>
              <w:rPr>
                <w:sz w:val="24"/>
              </w:rPr>
            </w:pPr>
            <w:r>
              <w:rPr>
                <w:sz w:val="24"/>
              </w:rPr>
              <w:lastRenderedPageBreak/>
              <w:t>PIC</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6" w14:textId="77777777" w:rsidR="008E10EF" w:rsidRDefault="00DD5207">
            <w:pPr>
              <w:ind w:left="1"/>
              <w:rPr>
                <w:sz w:val="24"/>
              </w:rPr>
            </w:pPr>
            <w:r>
              <w:rPr>
                <w:sz w:val="24"/>
              </w:rPr>
              <w:t>Project Investment Committee</w:t>
            </w:r>
          </w:p>
        </w:tc>
      </w:tr>
      <w:tr w:rsidR="008E10EF" w14:paraId="534415AA"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8" w14:textId="77777777" w:rsidR="008E10EF" w:rsidRDefault="00DD5207">
            <w:pPr>
              <w:rPr>
                <w:sz w:val="24"/>
              </w:rPr>
            </w:pPr>
            <w:r>
              <w:rPr>
                <w:sz w:val="24"/>
              </w:rPr>
              <w:t>NDPB</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9" w14:textId="77777777" w:rsidR="008E10EF" w:rsidRDefault="00DD5207">
            <w:pPr>
              <w:ind w:left="1"/>
              <w:rPr>
                <w:sz w:val="24"/>
              </w:rPr>
            </w:pPr>
            <w:r>
              <w:rPr>
                <w:sz w:val="24"/>
              </w:rPr>
              <w:t>Non-Departmental Public Body</w:t>
            </w:r>
          </w:p>
        </w:tc>
      </w:tr>
      <w:tr w:rsidR="008E10EF" w14:paraId="534415AD"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B" w14:textId="77777777" w:rsidR="008E10EF" w:rsidRDefault="00DD5207">
            <w:pPr>
              <w:rPr>
                <w:sz w:val="24"/>
              </w:rPr>
            </w:pPr>
            <w:r>
              <w:rPr>
                <w:sz w:val="24"/>
              </w:rPr>
              <w:t>HMG</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C" w14:textId="77777777" w:rsidR="008E10EF" w:rsidRDefault="00DD5207">
            <w:pPr>
              <w:ind w:left="1"/>
              <w:rPr>
                <w:sz w:val="24"/>
              </w:rPr>
            </w:pPr>
            <w:r>
              <w:rPr>
                <w:sz w:val="24"/>
              </w:rPr>
              <w:t xml:space="preserve">His Majesty's Government </w:t>
            </w:r>
          </w:p>
        </w:tc>
      </w:tr>
      <w:tr w:rsidR="008E10EF" w14:paraId="534415B0"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E" w14:textId="77777777" w:rsidR="008E10EF" w:rsidRDefault="00DD5207">
            <w:pPr>
              <w:rPr>
                <w:sz w:val="24"/>
              </w:rPr>
            </w:pPr>
            <w:r>
              <w:rPr>
                <w:sz w:val="24"/>
              </w:rPr>
              <w:t>OBC</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AF" w14:textId="77777777" w:rsidR="008E10EF" w:rsidRDefault="00DD5207">
            <w:pPr>
              <w:ind w:left="1"/>
              <w:rPr>
                <w:sz w:val="24"/>
              </w:rPr>
            </w:pPr>
            <w:r>
              <w:rPr>
                <w:sz w:val="24"/>
              </w:rPr>
              <w:t>Original Business Case</w:t>
            </w:r>
          </w:p>
        </w:tc>
      </w:tr>
      <w:tr w:rsidR="008E10EF" w14:paraId="534415B3"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B1" w14:textId="77777777" w:rsidR="008E10EF" w:rsidRDefault="00DD5207">
            <w:pPr>
              <w:rPr>
                <w:sz w:val="24"/>
              </w:rPr>
            </w:pPr>
            <w:r>
              <w:rPr>
                <w:sz w:val="24"/>
              </w:rPr>
              <w:t>FBC</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B2" w14:textId="77777777" w:rsidR="008E10EF" w:rsidRDefault="00DD5207">
            <w:pPr>
              <w:ind w:left="1"/>
              <w:rPr>
                <w:sz w:val="24"/>
              </w:rPr>
            </w:pPr>
            <w:r>
              <w:rPr>
                <w:sz w:val="24"/>
              </w:rPr>
              <w:t>Final Business Case</w:t>
            </w:r>
          </w:p>
        </w:tc>
      </w:tr>
      <w:tr w:rsidR="008E10EF" w14:paraId="534415B6"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B4" w14:textId="77777777" w:rsidR="008E10EF" w:rsidRDefault="00DD5207">
            <w:pPr>
              <w:rPr>
                <w:sz w:val="24"/>
              </w:rPr>
            </w:pPr>
            <w:r>
              <w:rPr>
                <w:sz w:val="24"/>
              </w:rPr>
              <w:t>SRO</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B5" w14:textId="77777777" w:rsidR="008E10EF" w:rsidRDefault="00DD5207">
            <w:pPr>
              <w:ind w:left="1"/>
              <w:rPr>
                <w:sz w:val="24"/>
              </w:rPr>
            </w:pPr>
            <w:r>
              <w:rPr>
                <w:sz w:val="24"/>
              </w:rPr>
              <w:t>Senior Responsible Officer</w:t>
            </w:r>
          </w:p>
        </w:tc>
      </w:tr>
      <w:tr w:rsidR="008E10EF" w14:paraId="534415B9" w14:textId="77777777">
        <w:trPr>
          <w:trHeight w:val="406"/>
        </w:trPr>
        <w:tc>
          <w:tcPr>
            <w:tcW w:w="3026"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B7" w14:textId="77777777" w:rsidR="008E10EF" w:rsidRDefault="00DD5207">
            <w:pPr>
              <w:rPr>
                <w:sz w:val="24"/>
              </w:rPr>
            </w:pPr>
            <w:r>
              <w:rPr>
                <w:sz w:val="24"/>
              </w:rPr>
              <w:t>PMO</w:t>
            </w:r>
          </w:p>
        </w:tc>
        <w:tc>
          <w:tcPr>
            <w:tcW w:w="6467" w:type="dxa"/>
            <w:tcBorders>
              <w:top w:val="single" w:sz="4" w:space="0" w:color="000000"/>
              <w:left w:val="single" w:sz="4" w:space="0" w:color="000000"/>
              <w:bottom w:val="single" w:sz="4" w:space="0" w:color="000000"/>
              <w:right w:val="single" w:sz="4" w:space="0" w:color="000000"/>
            </w:tcBorders>
            <w:tcMar>
              <w:top w:w="11" w:type="dxa"/>
              <w:left w:w="107" w:type="dxa"/>
              <w:bottom w:w="0" w:type="dxa"/>
              <w:right w:w="41" w:type="dxa"/>
            </w:tcMar>
          </w:tcPr>
          <w:p w14:paraId="534415B8" w14:textId="77777777" w:rsidR="008E10EF" w:rsidRDefault="00DD5207">
            <w:pPr>
              <w:ind w:left="1"/>
              <w:rPr>
                <w:sz w:val="24"/>
              </w:rPr>
            </w:pPr>
            <w:r>
              <w:rPr>
                <w:sz w:val="24"/>
              </w:rPr>
              <w:t>Project Management Office</w:t>
            </w:r>
          </w:p>
        </w:tc>
      </w:tr>
    </w:tbl>
    <w:p w14:paraId="534415BA" w14:textId="77777777" w:rsidR="008E10EF" w:rsidRDefault="008E10EF" w:rsidP="001A3E41">
      <w:pPr>
        <w:pStyle w:val="Heading1"/>
        <w:numPr>
          <w:ilvl w:val="0"/>
          <w:numId w:val="0"/>
        </w:numPr>
        <w:spacing w:after="0"/>
        <w:ind w:left="1429"/>
        <w:jc w:val="left"/>
        <w:rPr>
          <w:sz w:val="28"/>
          <w:szCs w:val="28"/>
        </w:rPr>
      </w:pPr>
    </w:p>
    <w:p w14:paraId="534415BB" w14:textId="77777777" w:rsidR="008E10EF" w:rsidRDefault="00DD5207">
      <w:pPr>
        <w:pStyle w:val="Heading1"/>
        <w:numPr>
          <w:ilvl w:val="0"/>
          <w:numId w:val="3"/>
        </w:numPr>
        <w:spacing w:after="0"/>
        <w:ind w:left="709" w:hanging="709"/>
        <w:jc w:val="left"/>
        <w:rPr>
          <w:sz w:val="28"/>
          <w:szCs w:val="28"/>
        </w:rPr>
      </w:pPr>
      <w:r>
        <w:rPr>
          <w:sz w:val="28"/>
          <w:szCs w:val="28"/>
        </w:rPr>
        <w:t>Scope OF The Requirement</w:t>
      </w:r>
    </w:p>
    <w:p w14:paraId="534415BC" w14:textId="77777777" w:rsidR="008E10EF" w:rsidRDefault="008E10EF"/>
    <w:p w14:paraId="534415BD" w14:textId="77777777" w:rsidR="008E10EF" w:rsidRDefault="00DD5207">
      <w:pPr>
        <w:pBdr>
          <w:top w:val="nil"/>
          <w:left w:val="nil"/>
          <w:bottom w:val="nil"/>
          <w:right w:val="nil"/>
          <w:between w:val="nil"/>
        </w:pBdr>
        <w:spacing w:after="120"/>
        <w:ind w:left="709" w:hanging="709"/>
        <w:jc w:val="both"/>
        <w:rPr>
          <w:color w:val="000000"/>
          <w:sz w:val="24"/>
        </w:rPr>
      </w:pPr>
      <w:r>
        <w:rPr>
          <w:color w:val="000000"/>
        </w:rPr>
        <w:t xml:space="preserve">5.1 </w:t>
      </w:r>
      <w:r>
        <w:rPr>
          <w:color w:val="000000"/>
        </w:rPr>
        <w:tab/>
      </w:r>
      <w:r>
        <w:rPr>
          <w:color w:val="000000"/>
          <w:sz w:val="24"/>
        </w:rPr>
        <w:t>The United Kingdom Atomic Energy Authority (UKAEA) is seeking to engage with consultancy companies to deliver an HMG Green Book compliant economic case for the final business case which will request funding for tranche 2 of the JDR programme running from A</w:t>
      </w:r>
      <w:r>
        <w:rPr>
          <w:color w:val="000000"/>
          <w:sz w:val="24"/>
        </w:rPr>
        <w:t>pril 2026 – March 2030.</w:t>
      </w:r>
    </w:p>
    <w:p w14:paraId="534415BE" w14:textId="77777777" w:rsidR="008E10EF" w:rsidRDefault="00DD5207">
      <w:pPr>
        <w:pBdr>
          <w:top w:val="nil"/>
          <w:left w:val="nil"/>
          <w:bottom w:val="nil"/>
          <w:right w:val="nil"/>
          <w:between w:val="nil"/>
        </w:pBdr>
        <w:spacing w:after="120"/>
        <w:ind w:firstLine="709"/>
        <w:jc w:val="both"/>
        <w:rPr>
          <w:color w:val="000000"/>
          <w:sz w:val="24"/>
        </w:rPr>
      </w:pPr>
      <w:r>
        <w:rPr>
          <w:color w:val="000000"/>
          <w:sz w:val="24"/>
        </w:rPr>
        <w:t>The business case shall cover elements such as:</w:t>
      </w:r>
    </w:p>
    <w:p w14:paraId="534415BF" w14:textId="77777777" w:rsidR="008E10EF" w:rsidRDefault="00DD5207">
      <w:pPr>
        <w:numPr>
          <w:ilvl w:val="0"/>
          <w:numId w:val="4"/>
        </w:numPr>
        <w:pBdr>
          <w:top w:val="nil"/>
          <w:left w:val="nil"/>
          <w:bottom w:val="nil"/>
          <w:right w:val="nil"/>
          <w:between w:val="nil"/>
        </w:pBdr>
        <w:jc w:val="both"/>
        <w:rPr>
          <w:sz w:val="24"/>
        </w:rPr>
      </w:pPr>
      <w:r>
        <w:rPr>
          <w:color w:val="000000"/>
          <w:sz w:val="24"/>
        </w:rPr>
        <w:t>Value for money assessments</w:t>
      </w:r>
    </w:p>
    <w:p w14:paraId="534415C0" w14:textId="77777777" w:rsidR="008E10EF" w:rsidRDefault="00DD5207">
      <w:pPr>
        <w:numPr>
          <w:ilvl w:val="0"/>
          <w:numId w:val="4"/>
        </w:numPr>
        <w:pBdr>
          <w:top w:val="nil"/>
          <w:left w:val="nil"/>
          <w:bottom w:val="nil"/>
          <w:right w:val="nil"/>
          <w:between w:val="nil"/>
        </w:pBdr>
        <w:jc w:val="both"/>
        <w:rPr>
          <w:sz w:val="24"/>
        </w:rPr>
      </w:pPr>
      <w:r>
        <w:rPr>
          <w:color w:val="000000"/>
          <w:sz w:val="24"/>
        </w:rPr>
        <w:t>Qualitative impact assessments</w:t>
      </w:r>
    </w:p>
    <w:p w14:paraId="534415C1" w14:textId="77777777" w:rsidR="008E10EF" w:rsidRDefault="00DD5207">
      <w:pPr>
        <w:numPr>
          <w:ilvl w:val="0"/>
          <w:numId w:val="4"/>
        </w:numPr>
        <w:pBdr>
          <w:top w:val="nil"/>
          <w:left w:val="nil"/>
          <w:bottom w:val="nil"/>
          <w:right w:val="nil"/>
          <w:between w:val="nil"/>
        </w:pBdr>
        <w:jc w:val="both"/>
        <w:rPr>
          <w:sz w:val="24"/>
        </w:rPr>
      </w:pPr>
      <w:r>
        <w:rPr>
          <w:color w:val="000000"/>
          <w:sz w:val="24"/>
        </w:rPr>
        <w:t>Local impact assessments</w:t>
      </w:r>
    </w:p>
    <w:p w14:paraId="534415C2" w14:textId="77777777" w:rsidR="008E10EF" w:rsidRDefault="00DD5207">
      <w:pPr>
        <w:numPr>
          <w:ilvl w:val="0"/>
          <w:numId w:val="4"/>
        </w:numPr>
        <w:pBdr>
          <w:top w:val="nil"/>
          <w:left w:val="nil"/>
          <w:bottom w:val="nil"/>
          <w:right w:val="nil"/>
          <w:between w:val="nil"/>
        </w:pBdr>
        <w:jc w:val="both"/>
        <w:rPr>
          <w:sz w:val="24"/>
        </w:rPr>
      </w:pPr>
      <w:r>
        <w:rPr>
          <w:color w:val="000000"/>
          <w:sz w:val="24"/>
        </w:rPr>
        <w:t>Benefit realisation plans.</w:t>
      </w:r>
    </w:p>
    <w:p w14:paraId="534415C3" w14:textId="77777777" w:rsidR="008E10EF" w:rsidRDefault="008E10EF">
      <w:pPr>
        <w:pBdr>
          <w:top w:val="nil"/>
          <w:left w:val="nil"/>
          <w:bottom w:val="nil"/>
          <w:right w:val="nil"/>
          <w:between w:val="nil"/>
        </w:pBdr>
        <w:spacing w:after="120"/>
        <w:jc w:val="both"/>
        <w:rPr>
          <w:color w:val="000000"/>
          <w:sz w:val="24"/>
        </w:rPr>
      </w:pPr>
    </w:p>
    <w:p w14:paraId="534415C4"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This work will require capturing both tangible and intangible economic benefits in the short, medium and long term, and will envelope social-economic and environmental-economic benefits. The work will assess different options within each of these areas and</w:t>
      </w:r>
      <w:r>
        <w:rPr>
          <w:color w:val="000000"/>
          <w:sz w:val="24"/>
        </w:rPr>
        <w:t xml:space="preserve"> form an evidenced preferred approach. </w:t>
      </w:r>
    </w:p>
    <w:p w14:paraId="534415C5" w14:textId="77777777" w:rsidR="008E10EF" w:rsidRDefault="00DD5207">
      <w:pPr>
        <w:pStyle w:val="Heading1"/>
        <w:rPr>
          <w:sz w:val="24"/>
          <w:szCs w:val="24"/>
        </w:rPr>
      </w:pPr>
      <w:bookmarkStart w:id="9" w:name="_heading=h.17dp8vu" w:colFirst="0" w:colLast="0"/>
      <w:bookmarkEnd w:id="9"/>
      <w:r>
        <w:rPr>
          <w:sz w:val="24"/>
          <w:szCs w:val="24"/>
        </w:rPr>
        <w:t>5.2 Inputs</w:t>
      </w:r>
    </w:p>
    <w:p w14:paraId="534415C6" w14:textId="77777777" w:rsidR="008E10EF" w:rsidRDefault="00DD5207">
      <w:pPr>
        <w:pBdr>
          <w:top w:val="nil"/>
          <w:left w:val="nil"/>
          <w:bottom w:val="nil"/>
          <w:right w:val="nil"/>
          <w:between w:val="nil"/>
        </w:pBdr>
        <w:spacing w:after="120"/>
        <w:ind w:firstLine="720"/>
        <w:jc w:val="both"/>
        <w:rPr>
          <w:color w:val="000000"/>
          <w:sz w:val="24"/>
        </w:rPr>
      </w:pPr>
      <w:r>
        <w:rPr>
          <w:color w:val="000000"/>
          <w:sz w:val="24"/>
        </w:rPr>
        <w:t>The strategic partner will use data from the JDR programme, including:</w:t>
      </w:r>
    </w:p>
    <w:p w14:paraId="534415C7" w14:textId="77777777" w:rsidR="008E10EF" w:rsidRDefault="00DD5207">
      <w:pPr>
        <w:numPr>
          <w:ilvl w:val="0"/>
          <w:numId w:val="4"/>
        </w:numPr>
        <w:pBdr>
          <w:top w:val="nil"/>
          <w:left w:val="nil"/>
          <w:bottom w:val="nil"/>
          <w:right w:val="nil"/>
          <w:between w:val="nil"/>
        </w:pBdr>
        <w:jc w:val="both"/>
        <w:rPr>
          <w:sz w:val="24"/>
        </w:rPr>
      </w:pPr>
      <w:r>
        <w:rPr>
          <w:color w:val="000000"/>
          <w:sz w:val="24"/>
        </w:rPr>
        <w:t>Information on options down selection from a long list to short list</w:t>
      </w:r>
    </w:p>
    <w:p w14:paraId="534415C8" w14:textId="77777777" w:rsidR="008E10EF" w:rsidRDefault="00DD5207">
      <w:pPr>
        <w:numPr>
          <w:ilvl w:val="0"/>
          <w:numId w:val="4"/>
        </w:numPr>
        <w:pBdr>
          <w:top w:val="nil"/>
          <w:left w:val="nil"/>
          <w:bottom w:val="nil"/>
          <w:right w:val="nil"/>
          <w:between w:val="nil"/>
        </w:pBdr>
        <w:jc w:val="both"/>
        <w:rPr>
          <w:sz w:val="24"/>
        </w:rPr>
      </w:pPr>
      <w:r>
        <w:rPr>
          <w:color w:val="000000"/>
          <w:sz w:val="24"/>
        </w:rPr>
        <w:t>Theory of change information from the OBC submitted in 2023.</w:t>
      </w:r>
    </w:p>
    <w:p w14:paraId="534415C9" w14:textId="77777777" w:rsidR="008E10EF" w:rsidRDefault="00DD5207">
      <w:pPr>
        <w:numPr>
          <w:ilvl w:val="0"/>
          <w:numId w:val="4"/>
        </w:numPr>
        <w:pBdr>
          <w:top w:val="nil"/>
          <w:left w:val="nil"/>
          <w:bottom w:val="nil"/>
          <w:right w:val="nil"/>
          <w:between w:val="nil"/>
        </w:pBdr>
        <w:jc w:val="both"/>
        <w:rPr>
          <w:sz w:val="24"/>
        </w:rPr>
      </w:pPr>
      <w:r>
        <w:rPr>
          <w:color w:val="000000"/>
          <w:sz w:val="24"/>
        </w:rPr>
        <w:t>Cost information for shortlisted options</w:t>
      </w:r>
    </w:p>
    <w:p w14:paraId="534415CA" w14:textId="77777777" w:rsidR="008E10EF" w:rsidRDefault="00DD5207">
      <w:pPr>
        <w:numPr>
          <w:ilvl w:val="0"/>
          <w:numId w:val="4"/>
        </w:numPr>
        <w:pBdr>
          <w:top w:val="nil"/>
          <w:left w:val="nil"/>
          <w:bottom w:val="nil"/>
          <w:right w:val="nil"/>
          <w:between w:val="nil"/>
        </w:pBdr>
        <w:jc w:val="both"/>
        <w:rPr>
          <w:sz w:val="24"/>
        </w:rPr>
      </w:pPr>
      <w:r>
        <w:rPr>
          <w:color w:val="000000"/>
          <w:sz w:val="24"/>
        </w:rPr>
        <w:t xml:space="preserve">Benefit information (register, benefits realisation plan, map, UKAEA benefits framework information) </w:t>
      </w:r>
    </w:p>
    <w:p w14:paraId="534415CB" w14:textId="77777777" w:rsidR="008E10EF" w:rsidRDefault="00DD5207">
      <w:pPr>
        <w:numPr>
          <w:ilvl w:val="0"/>
          <w:numId w:val="4"/>
        </w:numPr>
        <w:pBdr>
          <w:top w:val="nil"/>
          <w:left w:val="nil"/>
          <w:bottom w:val="nil"/>
          <w:right w:val="nil"/>
          <w:between w:val="nil"/>
        </w:pBdr>
        <w:jc w:val="both"/>
        <w:rPr>
          <w:sz w:val="24"/>
        </w:rPr>
      </w:pPr>
      <w:r>
        <w:rPr>
          <w:color w:val="000000"/>
          <w:sz w:val="24"/>
        </w:rPr>
        <w:t xml:space="preserve">Options assumptions </w:t>
      </w:r>
    </w:p>
    <w:p w14:paraId="534415CC" w14:textId="77777777" w:rsidR="008E10EF" w:rsidRDefault="008E10EF"/>
    <w:p w14:paraId="534415CD" w14:textId="77777777" w:rsidR="008E10EF" w:rsidRDefault="00DD5207">
      <w:pPr>
        <w:pStyle w:val="Heading1"/>
        <w:numPr>
          <w:ilvl w:val="0"/>
          <w:numId w:val="3"/>
        </w:numPr>
        <w:spacing w:after="0"/>
        <w:ind w:left="709" w:hanging="709"/>
        <w:jc w:val="left"/>
        <w:rPr>
          <w:sz w:val="28"/>
          <w:szCs w:val="28"/>
        </w:rPr>
      </w:pPr>
      <w:bookmarkStart w:id="10" w:name="_heading=h.3rdcrjn" w:colFirst="0" w:colLast="0"/>
      <w:bookmarkEnd w:id="10"/>
      <w:r>
        <w:rPr>
          <w:sz w:val="28"/>
          <w:szCs w:val="28"/>
        </w:rPr>
        <w:t>MANDATORY DELIVERABLES (SUPPLI</w:t>
      </w:r>
      <w:r>
        <w:rPr>
          <w:sz w:val="28"/>
          <w:szCs w:val="28"/>
        </w:rPr>
        <w:t>ER RESPONSIBILITIES)</w:t>
      </w:r>
    </w:p>
    <w:p w14:paraId="534415CE" w14:textId="77777777" w:rsidR="008E10EF" w:rsidRDefault="008E10EF"/>
    <w:p w14:paraId="534415CF" w14:textId="77777777" w:rsidR="008E10EF" w:rsidRDefault="00DD5207">
      <w:pPr>
        <w:pStyle w:val="Heading2"/>
        <w:numPr>
          <w:ilvl w:val="1"/>
          <w:numId w:val="3"/>
        </w:numPr>
        <w:spacing w:after="0"/>
        <w:ind w:left="709" w:hanging="709"/>
        <w:jc w:val="left"/>
        <w:rPr>
          <w:b/>
          <w:sz w:val="24"/>
          <w:szCs w:val="24"/>
        </w:rPr>
      </w:pPr>
      <w:r>
        <w:rPr>
          <w:b/>
          <w:sz w:val="24"/>
          <w:szCs w:val="24"/>
        </w:rPr>
        <w:t>Output</w:t>
      </w:r>
    </w:p>
    <w:p w14:paraId="534415D0" w14:textId="77777777" w:rsidR="008E10EF" w:rsidRDefault="008E10EF">
      <w:pPr>
        <w:rPr>
          <w:shd w:val="clear" w:color="auto" w:fill="FFFF99"/>
        </w:rPr>
      </w:pPr>
    </w:p>
    <w:p w14:paraId="534415D1"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The objectives, and thus deliverables, of what is required under this initial scope of work enquiry are as listed below:</w:t>
      </w:r>
    </w:p>
    <w:p w14:paraId="534415D2" w14:textId="77777777" w:rsidR="008E10EF" w:rsidRDefault="00DD5207">
      <w:pPr>
        <w:numPr>
          <w:ilvl w:val="0"/>
          <w:numId w:val="6"/>
        </w:numPr>
        <w:spacing w:after="160" w:line="259" w:lineRule="auto"/>
        <w:ind w:left="1208" w:hanging="357"/>
        <w:jc w:val="both"/>
        <w:rPr>
          <w:sz w:val="24"/>
        </w:rPr>
      </w:pPr>
      <w:r>
        <w:rPr>
          <w:sz w:val="24"/>
        </w:rPr>
        <w:lastRenderedPageBreak/>
        <w:t>The strategic partner will work with the programme to do a thorough mapping of the economic benefits created through the programme activities, which should include but not limited to:</w:t>
      </w:r>
    </w:p>
    <w:p w14:paraId="534415D3" w14:textId="77777777" w:rsidR="008E10EF" w:rsidRDefault="00DD5207">
      <w:pPr>
        <w:numPr>
          <w:ilvl w:val="1"/>
          <w:numId w:val="6"/>
        </w:numPr>
        <w:spacing w:after="160" w:line="259" w:lineRule="auto"/>
        <w:ind w:left="1775" w:hanging="355"/>
        <w:jc w:val="both"/>
        <w:rPr>
          <w:sz w:val="24"/>
        </w:rPr>
      </w:pPr>
      <w:r>
        <w:rPr>
          <w:sz w:val="24"/>
        </w:rPr>
        <w:t>The potential impact of the programme on supply chain development.  A ti</w:t>
      </w:r>
      <w:r>
        <w:rPr>
          <w:sz w:val="24"/>
        </w:rPr>
        <w:t>er 1/tier 2 contracting arrangement will be put in place as part of the FBC.</w:t>
      </w:r>
    </w:p>
    <w:p w14:paraId="534415D4" w14:textId="77777777" w:rsidR="008E10EF" w:rsidRDefault="00DD5207">
      <w:pPr>
        <w:numPr>
          <w:ilvl w:val="1"/>
          <w:numId w:val="6"/>
        </w:numPr>
        <w:spacing w:after="160" w:line="259" w:lineRule="auto"/>
        <w:ind w:left="1775" w:hanging="355"/>
        <w:jc w:val="both"/>
        <w:rPr>
          <w:sz w:val="24"/>
        </w:rPr>
      </w:pPr>
      <w:r>
        <w:rPr>
          <w:sz w:val="24"/>
        </w:rPr>
        <w:t xml:space="preserve">The predicted technology transfer and spin-off from </w:t>
      </w:r>
      <w:proofErr w:type="spellStart"/>
      <w:r>
        <w:rPr>
          <w:sz w:val="24"/>
        </w:rPr>
        <w:t>detritiation</w:t>
      </w:r>
      <w:proofErr w:type="spellEnd"/>
      <w:r>
        <w:rPr>
          <w:sz w:val="24"/>
        </w:rPr>
        <w:t xml:space="preserve"> and robotics activities and the bilateral impact with other industries/sectors</w:t>
      </w:r>
    </w:p>
    <w:p w14:paraId="534415D5" w14:textId="77777777" w:rsidR="008E10EF" w:rsidRDefault="00DD5207">
      <w:pPr>
        <w:numPr>
          <w:ilvl w:val="1"/>
          <w:numId w:val="6"/>
        </w:numPr>
        <w:spacing w:after="160" w:line="259" w:lineRule="auto"/>
        <w:ind w:left="1775" w:hanging="355"/>
        <w:jc w:val="both"/>
        <w:rPr>
          <w:sz w:val="24"/>
        </w:rPr>
      </w:pPr>
      <w:r>
        <w:rPr>
          <w:sz w:val="24"/>
        </w:rPr>
        <w:t xml:space="preserve">Waste reduction through </w:t>
      </w:r>
      <w:proofErr w:type="spellStart"/>
      <w:r>
        <w:rPr>
          <w:sz w:val="24"/>
        </w:rPr>
        <w:t>detritiaito</w:t>
      </w:r>
      <w:r>
        <w:rPr>
          <w:sz w:val="24"/>
        </w:rPr>
        <w:t>n</w:t>
      </w:r>
      <w:proofErr w:type="spellEnd"/>
      <w:r>
        <w:rPr>
          <w:sz w:val="24"/>
        </w:rPr>
        <w:t xml:space="preserve"> activities, reuse of JET systems and repurposing (rather than demolition) of JET legacy buildings.</w:t>
      </w:r>
    </w:p>
    <w:p w14:paraId="534415D6" w14:textId="77777777" w:rsidR="008E10EF" w:rsidRDefault="00DD5207">
      <w:pPr>
        <w:numPr>
          <w:ilvl w:val="1"/>
          <w:numId w:val="6"/>
        </w:numPr>
        <w:spacing w:after="160" w:line="259" w:lineRule="auto"/>
        <w:ind w:left="1775" w:hanging="355"/>
        <w:jc w:val="both"/>
        <w:rPr>
          <w:rFonts w:ascii="Calibri" w:eastAsia="Calibri" w:hAnsi="Calibri" w:cs="Calibri"/>
          <w:sz w:val="24"/>
        </w:rPr>
      </w:pPr>
      <w:r>
        <w:rPr>
          <w:sz w:val="24"/>
        </w:rPr>
        <w:t>Combining regional and national economic and non-economic benefit analysis for research and development activities, cluster development through JDR land re</w:t>
      </w:r>
      <w:r>
        <w:rPr>
          <w:sz w:val="24"/>
        </w:rPr>
        <w:t>lease and building re-use.</w:t>
      </w:r>
    </w:p>
    <w:p w14:paraId="534415D7" w14:textId="77777777" w:rsidR="008E10EF" w:rsidRDefault="00DD5207">
      <w:pPr>
        <w:numPr>
          <w:ilvl w:val="0"/>
          <w:numId w:val="6"/>
        </w:numPr>
        <w:spacing w:after="160" w:line="259" w:lineRule="auto"/>
        <w:ind w:left="1208" w:hanging="357"/>
        <w:jc w:val="both"/>
        <w:rPr>
          <w:sz w:val="24"/>
        </w:rPr>
      </w:pPr>
      <w:r>
        <w:rPr>
          <w:sz w:val="24"/>
        </w:rPr>
        <w:t>All data and calculations that support the economic case must be supplied to JDR along with relevant methodology used.</w:t>
      </w:r>
    </w:p>
    <w:p w14:paraId="534415D8" w14:textId="77777777" w:rsidR="008E10EF" w:rsidRDefault="00DD5207">
      <w:pPr>
        <w:numPr>
          <w:ilvl w:val="0"/>
          <w:numId w:val="6"/>
        </w:numPr>
        <w:spacing w:after="160" w:line="259" w:lineRule="auto"/>
        <w:ind w:left="1208" w:hanging="357"/>
        <w:jc w:val="both"/>
        <w:rPr>
          <w:sz w:val="24"/>
        </w:rPr>
      </w:pPr>
      <w:r>
        <w:rPr>
          <w:sz w:val="24"/>
        </w:rPr>
        <w:t xml:space="preserve">A write-up of the economic case that will feed into the Final Business Case (FBC) for each of the overarching </w:t>
      </w:r>
      <w:r>
        <w:rPr>
          <w:sz w:val="24"/>
        </w:rPr>
        <w:t>areas must be completed.  This must be compliant with Green Book guidelines.</w:t>
      </w:r>
    </w:p>
    <w:p w14:paraId="534415D9" w14:textId="77777777" w:rsidR="008E10EF" w:rsidRDefault="00DD5207">
      <w:pPr>
        <w:numPr>
          <w:ilvl w:val="0"/>
          <w:numId w:val="6"/>
        </w:numPr>
        <w:spacing w:after="160" w:line="259" w:lineRule="auto"/>
        <w:ind w:left="1208" w:hanging="357"/>
        <w:jc w:val="both"/>
        <w:rPr>
          <w:sz w:val="24"/>
        </w:rPr>
      </w:pPr>
      <w:r>
        <w:rPr>
          <w:sz w:val="24"/>
        </w:rPr>
        <w:t>Addressing of any comments that may arise from UKAEA internal review after submission of the first draft.  The draft will be reviewed by the UKAEA in house economist and senior ma</w:t>
      </w:r>
      <w:r>
        <w:rPr>
          <w:sz w:val="24"/>
        </w:rPr>
        <w:t>nagement at UKAEA.</w:t>
      </w:r>
    </w:p>
    <w:p w14:paraId="534415DA" w14:textId="77777777" w:rsidR="008E10EF" w:rsidRDefault="00DD5207">
      <w:pPr>
        <w:numPr>
          <w:ilvl w:val="0"/>
          <w:numId w:val="6"/>
        </w:numPr>
        <w:spacing w:after="160" w:line="259" w:lineRule="auto"/>
        <w:ind w:left="1208" w:hanging="357"/>
        <w:jc w:val="both"/>
        <w:rPr>
          <w:sz w:val="24"/>
        </w:rPr>
      </w:pPr>
      <w:r>
        <w:rPr>
          <w:sz w:val="24"/>
        </w:rPr>
        <w:t>Attendance at keyholder meetings (likely to be required at finance and economic keyholder meetings for an hour at each meeting) and time for subsequent re-work and comments from DESNZ to prepare the economic assessment for Project Invest</w:t>
      </w:r>
      <w:r>
        <w:rPr>
          <w:sz w:val="24"/>
        </w:rPr>
        <w:t>ment Committee (PIC).</w:t>
      </w:r>
    </w:p>
    <w:p w14:paraId="534415DB" w14:textId="77777777" w:rsidR="008E10EF" w:rsidRDefault="008E10EF">
      <w:pPr>
        <w:jc w:val="both"/>
        <w:rPr>
          <w:sz w:val="24"/>
        </w:rPr>
      </w:pPr>
    </w:p>
    <w:p w14:paraId="534415DC"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These write-ups should follow the green book economic case template; please refer to the accompanied Economic Case Template Annex A.  Annex B shows a summary level benefits map of the programme so tenderers can follow how the goals o</w:t>
      </w:r>
      <w:r>
        <w:rPr>
          <w:color w:val="000000"/>
          <w:sz w:val="24"/>
        </w:rPr>
        <w:t>f JDR align to benefits and strategic goals.</w:t>
      </w:r>
    </w:p>
    <w:p w14:paraId="534415DD" w14:textId="77777777" w:rsidR="008E10EF" w:rsidRDefault="008E10EF"/>
    <w:p w14:paraId="534415DE" w14:textId="77777777" w:rsidR="008E10EF" w:rsidRDefault="00DD5207">
      <w:pPr>
        <w:pStyle w:val="Heading2"/>
        <w:numPr>
          <w:ilvl w:val="1"/>
          <w:numId w:val="3"/>
        </w:numPr>
        <w:spacing w:after="0"/>
        <w:ind w:left="709" w:hanging="709"/>
        <w:jc w:val="left"/>
        <w:rPr>
          <w:b/>
          <w:sz w:val="24"/>
          <w:szCs w:val="24"/>
        </w:rPr>
      </w:pPr>
      <w:r>
        <w:rPr>
          <w:b/>
          <w:sz w:val="24"/>
          <w:szCs w:val="24"/>
        </w:rPr>
        <w:t>Outcome</w:t>
      </w:r>
    </w:p>
    <w:p w14:paraId="534415DF" w14:textId="77777777" w:rsidR="008E10EF" w:rsidRDefault="008E10EF"/>
    <w:p w14:paraId="534415E0"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 xml:space="preserve">A detailed green book compliant economic case that aligns with the programme’s approach. This will serve to facilitate DESNZ approval at the Project Investment Committee. </w:t>
      </w:r>
    </w:p>
    <w:p w14:paraId="534415E1" w14:textId="77777777" w:rsidR="008E10EF" w:rsidRDefault="008E10EF">
      <w:pPr>
        <w:pBdr>
          <w:top w:val="nil"/>
          <w:left w:val="nil"/>
          <w:bottom w:val="nil"/>
          <w:right w:val="nil"/>
          <w:between w:val="nil"/>
        </w:pBdr>
        <w:spacing w:after="120"/>
        <w:ind w:left="709"/>
        <w:jc w:val="both"/>
        <w:rPr>
          <w:color w:val="000000"/>
          <w:sz w:val="24"/>
        </w:rPr>
      </w:pPr>
    </w:p>
    <w:p w14:paraId="534415E2" w14:textId="77777777" w:rsidR="008E10EF" w:rsidRDefault="00DD5207">
      <w:pPr>
        <w:pStyle w:val="Heading2"/>
        <w:numPr>
          <w:ilvl w:val="1"/>
          <w:numId w:val="3"/>
        </w:numPr>
        <w:spacing w:after="0"/>
        <w:ind w:left="709" w:hanging="709"/>
        <w:jc w:val="left"/>
        <w:rPr>
          <w:b/>
          <w:sz w:val="28"/>
          <w:szCs w:val="28"/>
        </w:rPr>
      </w:pPr>
      <w:bookmarkStart w:id="11" w:name="_heading=h.26in1rg" w:colFirst="0" w:colLast="0"/>
      <w:bookmarkEnd w:id="11"/>
      <w:r>
        <w:rPr>
          <w:b/>
          <w:sz w:val="28"/>
          <w:szCs w:val="28"/>
        </w:rPr>
        <w:t>ACCREDITATION REQUIRED</w:t>
      </w:r>
    </w:p>
    <w:p w14:paraId="534415E3" w14:textId="77777777" w:rsidR="008E10EF" w:rsidRDefault="008E10EF" w:rsidP="001A3E41">
      <w:pPr>
        <w:pStyle w:val="Heading2"/>
        <w:numPr>
          <w:ilvl w:val="0"/>
          <w:numId w:val="0"/>
        </w:numPr>
        <w:spacing w:after="0"/>
        <w:ind w:left="2868"/>
        <w:jc w:val="left"/>
        <w:rPr>
          <w:b/>
          <w:sz w:val="28"/>
          <w:szCs w:val="28"/>
        </w:rPr>
      </w:pPr>
    </w:p>
    <w:p w14:paraId="534415E4"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lastRenderedPageBreak/>
        <w:t xml:space="preserve">Cyber Essentials, Professional Indemnity Insurance, Public Liability Insurance and Employers’ Liability Insurance.  </w:t>
      </w:r>
    </w:p>
    <w:p w14:paraId="534415E5" w14:textId="77777777" w:rsidR="008E10EF" w:rsidRDefault="008E10EF">
      <w:pPr>
        <w:pBdr>
          <w:top w:val="nil"/>
          <w:left w:val="nil"/>
          <w:bottom w:val="nil"/>
          <w:right w:val="nil"/>
          <w:between w:val="nil"/>
        </w:pBdr>
        <w:spacing w:after="120"/>
        <w:jc w:val="both"/>
        <w:rPr>
          <w:b/>
          <w:color w:val="000000"/>
          <w:sz w:val="28"/>
          <w:szCs w:val="28"/>
        </w:rPr>
      </w:pPr>
    </w:p>
    <w:p w14:paraId="534415E6" w14:textId="77777777" w:rsidR="008E10EF" w:rsidRDefault="00DD5207">
      <w:pPr>
        <w:numPr>
          <w:ilvl w:val="0"/>
          <w:numId w:val="3"/>
        </w:numPr>
        <w:pBdr>
          <w:top w:val="nil"/>
          <w:left w:val="nil"/>
          <w:bottom w:val="nil"/>
          <w:right w:val="nil"/>
          <w:between w:val="nil"/>
        </w:pBdr>
        <w:spacing w:after="240"/>
        <w:jc w:val="both"/>
        <w:rPr>
          <w:b/>
          <w:sz w:val="28"/>
          <w:szCs w:val="28"/>
        </w:rPr>
      </w:pPr>
      <w:bookmarkStart w:id="12" w:name="_heading=h.35nkun2" w:colFirst="0" w:colLast="0"/>
      <w:bookmarkEnd w:id="12"/>
      <w:r>
        <w:rPr>
          <w:b/>
          <w:color w:val="000000"/>
          <w:sz w:val="28"/>
          <w:szCs w:val="28"/>
        </w:rPr>
        <w:t>ORGANISATIONAL AND KEY PERSONNEL EXPERIENCE</w:t>
      </w:r>
    </w:p>
    <w:p w14:paraId="534415E7" w14:textId="77777777" w:rsidR="008E10EF" w:rsidRDefault="00DD5207">
      <w:pPr>
        <w:pBdr>
          <w:top w:val="nil"/>
          <w:left w:val="nil"/>
          <w:bottom w:val="nil"/>
          <w:right w:val="nil"/>
          <w:between w:val="nil"/>
        </w:pBdr>
        <w:spacing w:after="120"/>
        <w:ind w:left="720"/>
        <w:jc w:val="both"/>
        <w:rPr>
          <w:color w:val="000000"/>
          <w:sz w:val="24"/>
        </w:rPr>
      </w:pPr>
      <w:r>
        <w:rPr>
          <w:color w:val="000000"/>
          <w:sz w:val="24"/>
        </w:rPr>
        <w:t>Organisational experience in delivering green book compliant business cases for government organisations is required.  Potential Provider’s staff assigned to the Contract shall have the appropriate experience to deliver the Contract.</w:t>
      </w:r>
    </w:p>
    <w:p w14:paraId="534415E8"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UKAEA would need to ag</w:t>
      </w:r>
      <w:r>
        <w:rPr>
          <w:color w:val="000000"/>
          <w:sz w:val="24"/>
        </w:rPr>
        <w:t xml:space="preserve">ree personnel working within the project team, based on qualifications and experience. </w:t>
      </w:r>
    </w:p>
    <w:p w14:paraId="534415E9" w14:textId="77777777" w:rsidR="008E10EF" w:rsidRDefault="008E10EF" w:rsidP="00DD5207">
      <w:pPr>
        <w:pStyle w:val="Heading2"/>
        <w:numPr>
          <w:ilvl w:val="0"/>
          <w:numId w:val="0"/>
        </w:numPr>
        <w:spacing w:after="0"/>
        <w:ind w:left="2520"/>
        <w:jc w:val="left"/>
        <w:rPr>
          <w:sz w:val="20"/>
          <w:szCs w:val="20"/>
          <w:shd w:val="clear" w:color="auto" w:fill="FFFF99"/>
        </w:rPr>
      </w:pPr>
    </w:p>
    <w:p w14:paraId="534415EA" w14:textId="77777777" w:rsidR="008E10EF" w:rsidRDefault="00DD5207">
      <w:pPr>
        <w:pStyle w:val="Heading1"/>
        <w:numPr>
          <w:ilvl w:val="0"/>
          <w:numId w:val="3"/>
        </w:numPr>
        <w:spacing w:after="0"/>
        <w:ind w:left="709" w:hanging="709"/>
        <w:jc w:val="left"/>
        <w:rPr>
          <w:sz w:val="28"/>
          <w:szCs w:val="28"/>
        </w:rPr>
      </w:pPr>
      <w:bookmarkStart w:id="13" w:name="_heading=h.1ksv4uv" w:colFirst="0" w:colLast="0"/>
      <w:bookmarkEnd w:id="13"/>
      <w:r>
        <w:rPr>
          <w:sz w:val="28"/>
          <w:szCs w:val="28"/>
        </w:rPr>
        <w:t xml:space="preserve">LOCATION </w:t>
      </w:r>
    </w:p>
    <w:p w14:paraId="534415EB" w14:textId="77777777" w:rsidR="008E10EF" w:rsidRDefault="008E10EF"/>
    <w:p w14:paraId="534415EC"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 xml:space="preserve">The supplier will be able to work remotely, however will be expected to visit </w:t>
      </w:r>
      <w:proofErr w:type="spellStart"/>
      <w:r>
        <w:rPr>
          <w:color w:val="000000"/>
          <w:sz w:val="24"/>
        </w:rPr>
        <w:t>Culham</w:t>
      </w:r>
      <w:proofErr w:type="spellEnd"/>
      <w:r>
        <w:rPr>
          <w:color w:val="000000"/>
          <w:sz w:val="24"/>
        </w:rPr>
        <w:t xml:space="preserve">, Oxfordshire to attend a kick off meeting on site or where there is </w:t>
      </w:r>
      <w:r>
        <w:rPr>
          <w:sz w:val="24"/>
        </w:rPr>
        <w:t>dem</w:t>
      </w:r>
      <w:r>
        <w:rPr>
          <w:sz w:val="24"/>
        </w:rPr>
        <w:t>onstrable</w:t>
      </w:r>
      <w:r>
        <w:rPr>
          <w:color w:val="000000"/>
          <w:sz w:val="24"/>
        </w:rPr>
        <w:t xml:space="preserve"> benefit of them doing so to attend workshops or meetings. </w:t>
      </w:r>
    </w:p>
    <w:p w14:paraId="534415ED" w14:textId="77777777" w:rsidR="008E10EF" w:rsidRDefault="00DD5207">
      <w:pPr>
        <w:pBdr>
          <w:top w:val="nil"/>
          <w:left w:val="nil"/>
          <w:bottom w:val="nil"/>
          <w:right w:val="nil"/>
          <w:between w:val="nil"/>
        </w:pBdr>
        <w:spacing w:after="120"/>
        <w:ind w:firstLine="709"/>
        <w:jc w:val="both"/>
        <w:rPr>
          <w:color w:val="000000"/>
          <w:sz w:val="24"/>
        </w:rPr>
      </w:pPr>
      <w:r>
        <w:rPr>
          <w:color w:val="000000"/>
          <w:sz w:val="24"/>
        </w:rPr>
        <w:t>Key contract personnel from UKAEA:</w:t>
      </w:r>
    </w:p>
    <w:p w14:paraId="534415EE" w14:textId="77777777" w:rsidR="008E10EF" w:rsidRDefault="00DD5207">
      <w:pPr>
        <w:numPr>
          <w:ilvl w:val="0"/>
          <w:numId w:val="6"/>
        </w:numPr>
        <w:spacing w:after="160" w:line="259" w:lineRule="auto"/>
        <w:ind w:left="1208" w:hanging="357"/>
        <w:jc w:val="both"/>
        <w:rPr>
          <w:sz w:val="24"/>
        </w:rPr>
      </w:pPr>
      <w:r>
        <w:rPr>
          <w:sz w:val="24"/>
        </w:rPr>
        <w:t>Programme director and executive director (SRO)</w:t>
      </w:r>
    </w:p>
    <w:p w14:paraId="534415EF" w14:textId="77777777" w:rsidR="008E10EF" w:rsidRDefault="00DD5207">
      <w:pPr>
        <w:numPr>
          <w:ilvl w:val="0"/>
          <w:numId w:val="6"/>
        </w:numPr>
        <w:spacing w:after="160" w:line="259" w:lineRule="auto"/>
        <w:ind w:left="1208" w:hanging="357"/>
        <w:jc w:val="both"/>
        <w:rPr>
          <w:sz w:val="24"/>
        </w:rPr>
      </w:pPr>
      <w:r>
        <w:rPr>
          <w:sz w:val="24"/>
        </w:rPr>
        <w:t>JDR Programme PMO Lead (cost, schedule inputs)</w:t>
      </w:r>
    </w:p>
    <w:p w14:paraId="534415F0" w14:textId="77777777" w:rsidR="008E10EF" w:rsidRDefault="00DD5207">
      <w:pPr>
        <w:numPr>
          <w:ilvl w:val="0"/>
          <w:numId w:val="6"/>
        </w:numPr>
        <w:spacing w:after="160" w:line="259" w:lineRule="auto"/>
        <w:ind w:left="1208" w:hanging="357"/>
        <w:jc w:val="both"/>
        <w:rPr>
          <w:sz w:val="24"/>
        </w:rPr>
      </w:pPr>
      <w:r>
        <w:rPr>
          <w:sz w:val="24"/>
        </w:rPr>
        <w:t>Executive Officer (business case lead)</w:t>
      </w:r>
    </w:p>
    <w:p w14:paraId="534415F1" w14:textId="77777777" w:rsidR="008E10EF" w:rsidRDefault="00DD5207">
      <w:pPr>
        <w:numPr>
          <w:ilvl w:val="0"/>
          <w:numId w:val="6"/>
        </w:numPr>
        <w:spacing w:after="160" w:line="259" w:lineRule="auto"/>
        <w:ind w:left="1208" w:hanging="357"/>
        <w:jc w:val="both"/>
        <w:rPr>
          <w:sz w:val="24"/>
        </w:rPr>
      </w:pPr>
      <w:r>
        <w:rPr>
          <w:sz w:val="24"/>
        </w:rPr>
        <w:t>UKAEA Economist (UKAEA benefits lead)</w:t>
      </w:r>
    </w:p>
    <w:p w14:paraId="534415F2" w14:textId="77777777" w:rsidR="008E10EF" w:rsidRDefault="008E10EF"/>
    <w:p w14:paraId="534415F3" w14:textId="77777777" w:rsidR="008E10EF" w:rsidRDefault="00DD5207">
      <w:pPr>
        <w:pStyle w:val="Heading1"/>
        <w:numPr>
          <w:ilvl w:val="0"/>
          <w:numId w:val="3"/>
        </w:numPr>
        <w:spacing w:after="0"/>
        <w:ind w:left="709" w:hanging="709"/>
        <w:jc w:val="left"/>
        <w:rPr>
          <w:sz w:val="28"/>
          <w:szCs w:val="28"/>
        </w:rPr>
      </w:pPr>
      <w:bookmarkStart w:id="14" w:name="_heading=h.44sinio" w:colFirst="0" w:colLast="0"/>
      <w:bookmarkEnd w:id="14"/>
      <w:r>
        <w:rPr>
          <w:sz w:val="28"/>
          <w:szCs w:val="28"/>
        </w:rPr>
        <w:t>BUYER RESPONSIBILITIES</w:t>
      </w:r>
    </w:p>
    <w:p w14:paraId="534415F4" w14:textId="77777777" w:rsidR="008E10EF" w:rsidRDefault="008E10EF"/>
    <w:p w14:paraId="534415F5" w14:textId="77777777" w:rsidR="008E10EF" w:rsidRDefault="00DD5207">
      <w:pPr>
        <w:pStyle w:val="Heading2"/>
        <w:numPr>
          <w:ilvl w:val="1"/>
          <w:numId w:val="3"/>
        </w:numPr>
        <w:spacing w:after="0"/>
        <w:ind w:left="709" w:hanging="709"/>
        <w:jc w:val="left"/>
        <w:rPr>
          <w:sz w:val="24"/>
          <w:szCs w:val="24"/>
        </w:rPr>
      </w:pPr>
      <w:r>
        <w:rPr>
          <w:sz w:val="24"/>
          <w:szCs w:val="24"/>
        </w:rPr>
        <w:t>UKAEA will provide any approvals to proceed during the contract, access to buildings, technology, equipment etc.</w:t>
      </w:r>
    </w:p>
    <w:p w14:paraId="534415F6" w14:textId="77777777" w:rsidR="008E10EF" w:rsidRDefault="008E10EF"/>
    <w:p w14:paraId="534415F7" w14:textId="77777777" w:rsidR="008E10EF" w:rsidRDefault="00DD5207">
      <w:pPr>
        <w:pStyle w:val="Heading1"/>
        <w:numPr>
          <w:ilvl w:val="0"/>
          <w:numId w:val="3"/>
        </w:numPr>
        <w:spacing w:after="0"/>
        <w:ind w:left="709" w:hanging="709"/>
        <w:jc w:val="left"/>
        <w:rPr>
          <w:sz w:val="28"/>
          <w:szCs w:val="28"/>
        </w:rPr>
      </w:pPr>
      <w:bookmarkStart w:id="15" w:name="_heading=h.2jxsxqh" w:colFirst="0" w:colLast="0"/>
      <w:bookmarkEnd w:id="15"/>
      <w:r>
        <w:rPr>
          <w:sz w:val="28"/>
          <w:szCs w:val="28"/>
        </w:rPr>
        <w:t>KEY MILESTONES AND DELIVERABLES</w:t>
      </w:r>
    </w:p>
    <w:p w14:paraId="534415F8" w14:textId="77777777" w:rsidR="008E10EF" w:rsidRDefault="008E10EF"/>
    <w:p w14:paraId="534415F9"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The first draft of the final business case (FBC) for the JDR programme will be required at the start of August 2025 for internal review, with iterations expected through August and September until final submission to PIC in October.  Therefore, we are inte</w:t>
      </w:r>
      <w:r>
        <w:rPr>
          <w:color w:val="000000"/>
          <w:sz w:val="24"/>
        </w:rPr>
        <w:t>nding</w:t>
      </w:r>
      <w:r>
        <w:rPr>
          <w:color w:val="000000"/>
        </w:rPr>
        <w:t xml:space="preserve"> </w:t>
      </w:r>
      <w:r>
        <w:rPr>
          <w:color w:val="000000"/>
          <w:sz w:val="24"/>
        </w:rPr>
        <w:t xml:space="preserve">for this work to formally commence in April 2025 to complete a first draft by August 2025. Over these 5 months, we will have gates for review of work and sprints to track and manage expectations.  The tenderer will remain on contract until all DESNZ </w:t>
      </w:r>
      <w:r>
        <w:rPr>
          <w:color w:val="000000"/>
          <w:sz w:val="24"/>
        </w:rPr>
        <w:t xml:space="preserve">key holders are satisfied and the final business case is approved by PIC – this will be by November 2025 although an exact PIC date has not been given by DESNZ.  </w:t>
      </w:r>
    </w:p>
    <w:p w14:paraId="534415FA" w14:textId="77777777" w:rsidR="008E10EF" w:rsidRDefault="008E10EF">
      <w:pPr>
        <w:pBdr>
          <w:top w:val="nil"/>
          <w:left w:val="nil"/>
          <w:bottom w:val="nil"/>
          <w:right w:val="nil"/>
          <w:between w:val="nil"/>
        </w:pBdr>
        <w:spacing w:after="120"/>
        <w:ind w:left="709"/>
        <w:jc w:val="both"/>
        <w:rPr>
          <w:color w:val="000000"/>
        </w:rPr>
      </w:pPr>
    </w:p>
    <w:p w14:paraId="534415FB" w14:textId="77777777" w:rsidR="008E10EF" w:rsidRDefault="00DD5207">
      <w:pPr>
        <w:spacing w:before="120" w:after="120" w:line="288" w:lineRule="auto"/>
        <w:ind w:left="567" w:firstLine="142"/>
        <w:jc w:val="both"/>
        <w:rPr>
          <w:sz w:val="24"/>
        </w:rPr>
      </w:pPr>
      <w:r>
        <w:rPr>
          <w:sz w:val="24"/>
        </w:rPr>
        <w:t>The Potential Provider should note the following key dates/milestones:</w:t>
      </w:r>
    </w:p>
    <w:tbl>
      <w:tblPr>
        <w:tblStyle w:val="af9"/>
        <w:tblW w:w="84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778"/>
        <w:gridCol w:w="1981"/>
      </w:tblGrid>
      <w:tr w:rsidR="008E10EF" w14:paraId="534415FF" w14:textId="77777777">
        <w:tc>
          <w:tcPr>
            <w:tcW w:w="1701" w:type="dxa"/>
            <w:shd w:val="clear" w:color="auto" w:fill="C6D9F1"/>
            <w:vAlign w:val="center"/>
          </w:tcPr>
          <w:p w14:paraId="534415FC"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Milestone</w:t>
            </w:r>
          </w:p>
        </w:tc>
        <w:tc>
          <w:tcPr>
            <w:tcW w:w="4778" w:type="dxa"/>
            <w:shd w:val="clear" w:color="auto" w:fill="C6D9F1"/>
            <w:vAlign w:val="center"/>
          </w:tcPr>
          <w:p w14:paraId="534415FD"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Description and ‘Acceptance Criteria’</w:t>
            </w:r>
          </w:p>
        </w:tc>
        <w:tc>
          <w:tcPr>
            <w:tcW w:w="1981" w:type="dxa"/>
            <w:shd w:val="clear" w:color="auto" w:fill="C6D9F1"/>
            <w:vAlign w:val="center"/>
          </w:tcPr>
          <w:p w14:paraId="534415FE"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Timeframe</w:t>
            </w:r>
          </w:p>
        </w:tc>
      </w:tr>
      <w:tr w:rsidR="008E10EF" w14:paraId="53441603" w14:textId="77777777">
        <w:tc>
          <w:tcPr>
            <w:tcW w:w="1701" w:type="dxa"/>
            <w:shd w:val="clear" w:color="auto" w:fill="C6D9F1"/>
            <w:vAlign w:val="center"/>
          </w:tcPr>
          <w:p w14:paraId="53441600"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lastRenderedPageBreak/>
              <w:t>JDR Programme</w:t>
            </w:r>
          </w:p>
        </w:tc>
        <w:tc>
          <w:tcPr>
            <w:tcW w:w="4778" w:type="dxa"/>
            <w:shd w:val="clear" w:color="auto" w:fill="C6D9F1"/>
            <w:vAlign w:val="center"/>
          </w:tcPr>
          <w:p w14:paraId="53441601" w14:textId="77777777" w:rsidR="008E10EF" w:rsidRDefault="008E10EF">
            <w:pPr>
              <w:pBdr>
                <w:top w:val="nil"/>
                <w:left w:val="nil"/>
                <w:bottom w:val="nil"/>
                <w:right w:val="nil"/>
                <w:between w:val="nil"/>
              </w:pBdr>
              <w:spacing w:after="120"/>
              <w:jc w:val="both"/>
              <w:rPr>
                <w:rFonts w:ascii="Arial" w:eastAsia="Arial" w:hAnsi="Arial" w:cs="Arial"/>
                <w:color w:val="000000"/>
                <w:sz w:val="24"/>
              </w:rPr>
            </w:pPr>
          </w:p>
        </w:tc>
        <w:tc>
          <w:tcPr>
            <w:tcW w:w="1981" w:type="dxa"/>
            <w:shd w:val="clear" w:color="auto" w:fill="C6D9F1"/>
            <w:vAlign w:val="center"/>
          </w:tcPr>
          <w:p w14:paraId="53441602" w14:textId="77777777" w:rsidR="008E10EF" w:rsidRDefault="008E10EF">
            <w:pPr>
              <w:pBdr>
                <w:top w:val="nil"/>
                <w:left w:val="nil"/>
                <w:bottom w:val="nil"/>
                <w:right w:val="nil"/>
                <w:between w:val="nil"/>
              </w:pBdr>
              <w:spacing w:after="120"/>
              <w:jc w:val="both"/>
              <w:rPr>
                <w:rFonts w:ascii="Arial" w:eastAsia="Arial" w:hAnsi="Arial" w:cs="Arial"/>
                <w:color w:val="000000"/>
                <w:sz w:val="24"/>
              </w:rPr>
            </w:pPr>
          </w:p>
        </w:tc>
      </w:tr>
      <w:tr w:rsidR="008E10EF" w14:paraId="53441607" w14:textId="77777777">
        <w:tc>
          <w:tcPr>
            <w:tcW w:w="1701" w:type="dxa"/>
            <w:vAlign w:val="center"/>
          </w:tcPr>
          <w:p w14:paraId="53441604" w14:textId="77777777" w:rsidR="008E10EF" w:rsidRDefault="00DD5207">
            <w:pPr>
              <w:pBdr>
                <w:top w:val="nil"/>
                <w:left w:val="nil"/>
                <w:bottom w:val="nil"/>
                <w:right w:val="nil"/>
                <w:between w:val="nil"/>
              </w:pBdr>
              <w:spacing w:after="120"/>
              <w:jc w:val="both"/>
              <w:rPr>
                <w:rFonts w:ascii="Arial" w:eastAsia="Arial" w:hAnsi="Arial" w:cs="Arial"/>
                <w:color w:val="000000"/>
                <w:sz w:val="24"/>
              </w:rPr>
            </w:pPr>
            <w:r>
              <w:rPr>
                <w:rFonts w:ascii="Arial" w:eastAsia="Arial" w:hAnsi="Arial" w:cs="Arial"/>
                <w:color w:val="000000"/>
                <w:sz w:val="24"/>
              </w:rPr>
              <w:t>1</w:t>
            </w:r>
          </w:p>
        </w:tc>
        <w:tc>
          <w:tcPr>
            <w:tcW w:w="4778" w:type="dxa"/>
            <w:vAlign w:val="center"/>
          </w:tcPr>
          <w:p w14:paraId="53441605"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 xml:space="preserve">1st draft (preliminary review) of the Economic Case </w:t>
            </w:r>
          </w:p>
        </w:tc>
        <w:tc>
          <w:tcPr>
            <w:tcW w:w="1981" w:type="dxa"/>
            <w:vAlign w:val="center"/>
          </w:tcPr>
          <w:p w14:paraId="53441606"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 xml:space="preserve">1st August 2025 </w:t>
            </w:r>
          </w:p>
        </w:tc>
      </w:tr>
      <w:tr w:rsidR="008E10EF" w14:paraId="5344160B" w14:textId="77777777">
        <w:tc>
          <w:tcPr>
            <w:tcW w:w="1701" w:type="dxa"/>
            <w:vAlign w:val="center"/>
          </w:tcPr>
          <w:p w14:paraId="53441608" w14:textId="77777777" w:rsidR="008E10EF" w:rsidRDefault="00DD5207">
            <w:pPr>
              <w:pBdr>
                <w:top w:val="nil"/>
                <w:left w:val="nil"/>
                <w:bottom w:val="nil"/>
                <w:right w:val="nil"/>
                <w:between w:val="nil"/>
              </w:pBdr>
              <w:spacing w:after="120"/>
              <w:jc w:val="both"/>
              <w:rPr>
                <w:rFonts w:ascii="Arial" w:eastAsia="Arial" w:hAnsi="Arial" w:cs="Arial"/>
                <w:color w:val="000000"/>
                <w:sz w:val="24"/>
              </w:rPr>
            </w:pPr>
            <w:r>
              <w:rPr>
                <w:rFonts w:ascii="Arial" w:eastAsia="Arial" w:hAnsi="Arial" w:cs="Arial"/>
                <w:color w:val="000000"/>
                <w:sz w:val="24"/>
              </w:rPr>
              <w:t>2</w:t>
            </w:r>
          </w:p>
        </w:tc>
        <w:tc>
          <w:tcPr>
            <w:tcW w:w="4778" w:type="dxa"/>
            <w:vAlign w:val="center"/>
          </w:tcPr>
          <w:p w14:paraId="53441609"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2nd Draft review of the Economic Case for submission</w:t>
            </w:r>
          </w:p>
        </w:tc>
        <w:tc>
          <w:tcPr>
            <w:tcW w:w="1981" w:type="dxa"/>
            <w:vAlign w:val="center"/>
          </w:tcPr>
          <w:p w14:paraId="5344160A"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 xml:space="preserve">1st September 2025 </w:t>
            </w:r>
          </w:p>
        </w:tc>
      </w:tr>
      <w:tr w:rsidR="008E10EF" w14:paraId="5344160F" w14:textId="77777777">
        <w:tc>
          <w:tcPr>
            <w:tcW w:w="1701" w:type="dxa"/>
            <w:vAlign w:val="center"/>
          </w:tcPr>
          <w:p w14:paraId="5344160C" w14:textId="77777777" w:rsidR="008E10EF" w:rsidRDefault="00DD5207">
            <w:pPr>
              <w:pBdr>
                <w:top w:val="nil"/>
                <w:left w:val="nil"/>
                <w:bottom w:val="nil"/>
                <w:right w:val="nil"/>
                <w:between w:val="nil"/>
              </w:pBdr>
              <w:spacing w:after="120"/>
              <w:jc w:val="both"/>
              <w:rPr>
                <w:rFonts w:ascii="Arial" w:eastAsia="Arial" w:hAnsi="Arial" w:cs="Arial"/>
                <w:color w:val="000000"/>
                <w:sz w:val="24"/>
              </w:rPr>
            </w:pPr>
            <w:r>
              <w:rPr>
                <w:rFonts w:ascii="Arial" w:eastAsia="Arial" w:hAnsi="Arial" w:cs="Arial"/>
                <w:color w:val="000000"/>
                <w:sz w:val="24"/>
              </w:rPr>
              <w:t>3</w:t>
            </w:r>
          </w:p>
        </w:tc>
        <w:tc>
          <w:tcPr>
            <w:tcW w:w="4778" w:type="dxa"/>
            <w:vAlign w:val="center"/>
          </w:tcPr>
          <w:p w14:paraId="5344160D"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Updates to the 2nd draft for final submission depending on external feedback.</w:t>
            </w:r>
          </w:p>
        </w:tc>
        <w:tc>
          <w:tcPr>
            <w:tcW w:w="1981" w:type="dxa"/>
            <w:vAlign w:val="center"/>
          </w:tcPr>
          <w:p w14:paraId="5344160E"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1</w:t>
            </w:r>
            <w:r>
              <w:rPr>
                <w:rFonts w:ascii="Arial" w:eastAsia="Arial" w:hAnsi="Arial" w:cs="Arial"/>
                <w:color w:val="000000"/>
                <w:sz w:val="24"/>
                <w:vertAlign w:val="superscript"/>
              </w:rPr>
              <w:t>st</w:t>
            </w:r>
            <w:r>
              <w:rPr>
                <w:rFonts w:ascii="Arial" w:eastAsia="Arial" w:hAnsi="Arial" w:cs="Arial"/>
                <w:color w:val="000000"/>
                <w:sz w:val="24"/>
              </w:rPr>
              <w:t xml:space="preserve"> October 2025</w:t>
            </w:r>
          </w:p>
        </w:tc>
      </w:tr>
      <w:tr w:rsidR="008E10EF" w14:paraId="53441614" w14:textId="77777777">
        <w:tc>
          <w:tcPr>
            <w:tcW w:w="1701" w:type="dxa"/>
            <w:vAlign w:val="center"/>
          </w:tcPr>
          <w:p w14:paraId="53441610" w14:textId="77777777" w:rsidR="008E10EF" w:rsidRDefault="00DD5207">
            <w:pPr>
              <w:pBdr>
                <w:top w:val="nil"/>
                <w:left w:val="nil"/>
                <w:bottom w:val="nil"/>
                <w:right w:val="nil"/>
                <w:between w:val="nil"/>
              </w:pBdr>
              <w:spacing w:after="120"/>
              <w:jc w:val="both"/>
              <w:rPr>
                <w:rFonts w:ascii="Arial" w:eastAsia="Arial" w:hAnsi="Arial" w:cs="Arial"/>
                <w:color w:val="000000"/>
                <w:sz w:val="24"/>
              </w:rPr>
            </w:pPr>
            <w:r>
              <w:rPr>
                <w:rFonts w:ascii="Arial" w:eastAsia="Arial" w:hAnsi="Arial" w:cs="Arial"/>
                <w:color w:val="000000"/>
                <w:sz w:val="24"/>
              </w:rPr>
              <w:t xml:space="preserve">4 </w:t>
            </w:r>
          </w:p>
          <w:p w14:paraId="53441611" w14:textId="77777777" w:rsidR="008E10EF" w:rsidRDefault="008E10EF">
            <w:pPr>
              <w:pBdr>
                <w:top w:val="nil"/>
                <w:left w:val="nil"/>
                <w:bottom w:val="nil"/>
                <w:right w:val="nil"/>
                <w:between w:val="nil"/>
              </w:pBdr>
              <w:spacing w:after="120"/>
              <w:jc w:val="both"/>
              <w:rPr>
                <w:rFonts w:ascii="Arial" w:eastAsia="Arial" w:hAnsi="Arial" w:cs="Arial"/>
                <w:color w:val="000000"/>
                <w:sz w:val="24"/>
              </w:rPr>
            </w:pPr>
          </w:p>
        </w:tc>
        <w:tc>
          <w:tcPr>
            <w:tcW w:w="4778" w:type="dxa"/>
            <w:vAlign w:val="center"/>
          </w:tcPr>
          <w:p w14:paraId="53441612"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Completion of all DESNZ PIC keyholder comments*.</w:t>
            </w:r>
          </w:p>
        </w:tc>
        <w:tc>
          <w:tcPr>
            <w:tcW w:w="1981" w:type="dxa"/>
            <w:vAlign w:val="center"/>
          </w:tcPr>
          <w:p w14:paraId="53441613" w14:textId="77777777" w:rsidR="008E10EF" w:rsidRDefault="00DD5207">
            <w:pPr>
              <w:pBdr>
                <w:top w:val="nil"/>
                <w:left w:val="nil"/>
                <w:bottom w:val="nil"/>
                <w:right w:val="nil"/>
                <w:between w:val="nil"/>
              </w:pBdr>
              <w:spacing w:after="120"/>
              <w:ind w:left="113"/>
              <w:jc w:val="both"/>
              <w:rPr>
                <w:rFonts w:ascii="Arial" w:eastAsia="Arial" w:hAnsi="Arial" w:cs="Arial"/>
                <w:color w:val="000000"/>
                <w:sz w:val="24"/>
              </w:rPr>
            </w:pPr>
            <w:r>
              <w:rPr>
                <w:rFonts w:ascii="Arial" w:eastAsia="Arial" w:hAnsi="Arial" w:cs="Arial"/>
                <w:color w:val="000000"/>
                <w:sz w:val="24"/>
              </w:rPr>
              <w:t>28th November 2025</w:t>
            </w:r>
          </w:p>
        </w:tc>
      </w:tr>
    </w:tbl>
    <w:p w14:paraId="53441615" w14:textId="77777777" w:rsidR="008E10EF" w:rsidRDefault="008E10EF">
      <w:bookmarkStart w:id="16" w:name="_heading=h.lnxbz9" w:colFirst="0" w:colLast="0"/>
      <w:bookmarkEnd w:id="16"/>
    </w:p>
    <w:p w14:paraId="53441616" w14:textId="77777777" w:rsidR="008E10EF" w:rsidRDefault="00DD5207">
      <w:pPr>
        <w:spacing w:before="120" w:after="120" w:line="288" w:lineRule="auto"/>
        <w:ind w:left="567"/>
        <w:jc w:val="both"/>
        <w:rPr>
          <w:sz w:val="24"/>
        </w:rPr>
      </w:pPr>
      <w:r>
        <w:rPr>
          <w:sz w:val="24"/>
        </w:rPr>
        <w:t>*Project Investment Committee (PIC) could be held at any time in October or November 2025, the consultant will need to remain on contract until the Final Business Case is approved.</w:t>
      </w:r>
    </w:p>
    <w:p w14:paraId="53441617" w14:textId="77777777" w:rsidR="008E10EF" w:rsidRDefault="008E10EF" w:rsidP="00DD5207">
      <w:pPr>
        <w:pStyle w:val="Heading2"/>
        <w:numPr>
          <w:ilvl w:val="0"/>
          <w:numId w:val="0"/>
        </w:numPr>
        <w:spacing w:after="0"/>
        <w:ind w:left="2520"/>
        <w:jc w:val="left"/>
        <w:rPr>
          <w:shd w:val="clear" w:color="auto" w:fill="FFFF99"/>
        </w:rPr>
      </w:pPr>
      <w:bookmarkStart w:id="17" w:name="_heading=h.z337ya" w:colFirst="0" w:colLast="0"/>
      <w:bookmarkEnd w:id="17"/>
    </w:p>
    <w:p w14:paraId="53441618" w14:textId="77777777" w:rsidR="008E10EF" w:rsidRDefault="00DD5207">
      <w:pPr>
        <w:pStyle w:val="Heading1"/>
        <w:numPr>
          <w:ilvl w:val="0"/>
          <w:numId w:val="3"/>
        </w:numPr>
        <w:spacing w:after="0"/>
        <w:ind w:left="709" w:hanging="709"/>
        <w:jc w:val="left"/>
        <w:rPr>
          <w:sz w:val="28"/>
          <w:szCs w:val="28"/>
        </w:rPr>
      </w:pPr>
      <w:r>
        <w:rPr>
          <w:sz w:val="28"/>
          <w:szCs w:val="28"/>
        </w:rPr>
        <w:t>SOCIAL VALUE CONTRIBUTION, Sustainability and Carbon NET ZERO</w:t>
      </w:r>
    </w:p>
    <w:p w14:paraId="53441619" w14:textId="77777777" w:rsidR="008E10EF" w:rsidRDefault="008E10EF">
      <w:pPr>
        <w:pBdr>
          <w:top w:val="nil"/>
          <w:left w:val="nil"/>
          <w:bottom w:val="nil"/>
          <w:right w:val="nil"/>
          <w:between w:val="nil"/>
        </w:pBdr>
        <w:ind w:left="709" w:hanging="709"/>
        <w:rPr>
          <w:color w:val="000000"/>
          <w:sz w:val="20"/>
          <w:szCs w:val="20"/>
        </w:rPr>
      </w:pPr>
    </w:p>
    <w:p w14:paraId="5344161A" w14:textId="77777777" w:rsidR="008E10EF" w:rsidRDefault="00DD5207">
      <w:pPr>
        <w:numPr>
          <w:ilvl w:val="1"/>
          <w:numId w:val="3"/>
        </w:numPr>
        <w:pBdr>
          <w:top w:val="nil"/>
          <w:left w:val="nil"/>
          <w:bottom w:val="nil"/>
          <w:right w:val="nil"/>
          <w:between w:val="nil"/>
        </w:pBdr>
        <w:spacing w:after="240"/>
        <w:jc w:val="both"/>
        <w:rPr>
          <w:color w:val="000000"/>
          <w:sz w:val="24"/>
        </w:rPr>
      </w:pPr>
      <w:r>
        <w:rPr>
          <w:color w:val="000000"/>
          <w:sz w:val="24"/>
        </w:rPr>
        <w:t xml:space="preserve">The successful Supplier is required to work towards initiatives that generate social value, demonstrate their support for sustainability and net zero objectives. This contribution should align with national and local sustainability goals and demonstrate a </w:t>
      </w:r>
      <w:r>
        <w:rPr>
          <w:color w:val="000000"/>
          <w:sz w:val="24"/>
        </w:rPr>
        <w:t>clear commitment to reducing environmental impact.</w:t>
      </w:r>
    </w:p>
    <w:p w14:paraId="5344161B" w14:textId="77777777" w:rsidR="008E10EF" w:rsidRDefault="00DD5207">
      <w:pPr>
        <w:numPr>
          <w:ilvl w:val="1"/>
          <w:numId w:val="3"/>
        </w:numPr>
        <w:pBdr>
          <w:top w:val="nil"/>
          <w:left w:val="nil"/>
          <w:bottom w:val="nil"/>
          <w:right w:val="nil"/>
          <w:between w:val="nil"/>
        </w:pBdr>
        <w:spacing w:after="240"/>
        <w:jc w:val="both"/>
        <w:rPr>
          <w:color w:val="000000"/>
          <w:sz w:val="24"/>
        </w:rPr>
      </w:pPr>
      <w:r>
        <w:rPr>
          <w:color w:val="000000"/>
          <w:sz w:val="24"/>
        </w:rPr>
        <w:t>The social value contribution should focus on one or more of the following themes:</w:t>
      </w:r>
    </w:p>
    <w:p w14:paraId="5344161C" w14:textId="77777777" w:rsidR="008E10EF" w:rsidRDefault="00DD5207">
      <w:pPr>
        <w:numPr>
          <w:ilvl w:val="0"/>
          <w:numId w:val="6"/>
        </w:numPr>
        <w:spacing w:after="160" w:line="259" w:lineRule="auto"/>
        <w:ind w:left="1208" w:hanging="357"/>
        <w:jc w:val="both"/>
        <w:rPr>
          <w:sz w:val="24"/>
        </w:rPr>
      </w:pPr>
      <w:r>
        <w:rPr>
          <w:sz w:val="24"/>
        </w:rPr>
        <w:t>Workforce Diversity &amp; Inclusion – Creating opportunities for underrepresented groups, including training and employment in</w:t>
      </w:r>
      <w:r>
        <w:rPr>
          <w:sz w:val="24"/>
        </w:rPr>
        <w:t>itiatives.</w:t>
      </w:r>
    </w:p>
    <w:p w14:paraId="5344161D" w14:textId="77777777" w:rsidR="008E10EF" w:rsidRDefault="00DD5207">
      <w:pPr>
        <w:numPr>
          <w:ilvl w:val="0"/>
          <w:numId w:val="6"/>
        </w:numPr>
        <w:spacing w:after="160" w:line="259" w:lineRule="auto"/>
        <w:ind w:left="1208" w:hanging="357"/>
        <w:jc w:val="both"/>
        <w:rPr>
          <w:sz w:val="24"/>
        </w:rPr>
      </w:pPr>
      <w:r>
        <w:rPr>
          <w:sz w:val="24"/>
        </w:rPr>
        <w:t>Skills Development &amp; Employment – Providing apprenticeships, upskilling programs, or career development support.</w:t>
      </w:r>
    </w:p>
    <w:p w14:paraId="5344161E" w14:textId="77777777" w:rsidR="008E10EF" w:rsidRDefault="00DD5207">
      <w:pPr>
        <w:numPr>
          <w:ilvl w:val="0"/>
          <w:numId w:val="6"/>
        </w:numPr>
        <w:spacing w:after="160" w:line="259" w:lineRule="auto"/>
        <w:ind w:left="1208" w:hanging="357"/>
        <w:jc w:val="both"/>
        <w:rPr>
          <w:sz w:val="24"/>
        </w:rPr>
      </w:pPr>
      <w:r>
        <w:rPr>
          <w:sz w:val="24"/>
        </w:rPr>
        <w:t>Carbon Reduction &amp; Net Zero – Implementing strategies to reduce carbon emissions, enhance energy efficiency, and support net-zero co</w:t>
      </w:r>
      <w:r>
        <w:rPr>
          <w:sz w:val="24"/>
        </w:rPr>
        <w:t>mmitments.</w:t>
      </w:r>
    </w:p>
    <w:p w14:paraId="5344161F" w14:textId="77777777" w:rsidR="008E10EF" w:rsidRDefault="008E10EF" w:rsidP="00DD5207">
      <w:pPr>
        <w:pStyle w:val="Heading1"/>
        <w:numPr>
          <w:ilvl w:val="0"/>
          <w:numId w:val="0"/>
        </w:numPr>
        <w:spacing w:after="0"/>
        <w:ind w:left="1080"/>
        <w:jc w:val="left"/>
        <w:rPr>
          <w:sz w:val="28"/>
          <w:szCs w:val="28"/>
        </w:rPr>
      </w:pPr>
    </w:p>
    <w:p w14:paraId="53441620" w14:textId="77777777" w:rsidR="008E10EF" w:rsidRDefault="00DD5207">
      <w:pPr>
        <w:pStyle w:val="Heading1"/>
        <w:numPr>
          <w:ilvl w:val="0"/>
          <w:numId w:val="3"/>
        </w:numPr>
        <w:spacing w:after="0"/>
        <w:ind w:left="709" w:hanging="709"/>
        <w:jc w:val="left"/>
        <w:rPr>
          <w:sz w:val="28"/>
          <w:szCs w:val="28"/>
        </w:rPr>
      </w:pPr>
      <w:r>
        <w:rPr>
          <w:sz w:val="28"/>
          <w:szCs w:val="28"/>
        </w:rPr>
        <w:t>STAFF AND CUSTOMER SERVICE</w:t>
      </w:r>
    </w:p>
    <w:p w14:paraId="53441621" w14:textId="77777777" w:rsidR="008E10EF" w:rsidRDefault="008E10EF"/>
    <w:p w14:paraId="53441622" w14:textId="77777777" w:rsidR="008E10EF" w:rsidRDefault="00DD5207">
      <w:pPr>
        <w:pStyle w:val="Heading2"/>
        <w:numPr>
          <w:ilvl w:val="1"/>
          <w:numId w:val="3"/>
        </w:numPr>
        <w:spacing w:after="0"/>
        <w:ind w:left="709" w:hanging="709"/>
        <w:jc w:val="left"/>
        <w:rPr>
          <w:sz w:val="24"/>
          <w:szCs w:val="24"/>
        </w:rPr>
      </w:pPr>
      <w:r>
        <w:rPr>
          <w:sz w:val="24"/>
          <w:szCs w:val="24"/>
        </w:rPr>
        <w:t>The Supplier shall provide a sufficient level of resource throughout the duration of the Contract in order to consistently deliver a quality service.</w:t>
      </w:r>
    </w:p>
    <w:p w14:paraId="53441623" w14:textId="77777777" w:rsidR="008E10EF" w:rsidRDefault="008E10EF">
      <w:pPr>
        <w:rPr>
          <w:sz w:val="24"/>
        </w:rPr>
      </w:pPr>
    </w:p>
    <w:p w14:paraId="53441624" w14:textId="77777777" w:rsidR="008E10EF" w:rsidRDefault="00DD5207">
      <w:pPr>
        <w:pStyle w:val="Heading2"/>
        <w:numPr>
          <w:ilvl w:val="1"/>
          <w:numId w:val="3"/>
        </w:numPr>
        <w:spacing w:after="0"/>
        <w:ind w:left="709" w:hanging="709"/>
        <w:jc w:val="left"/>
        <w:rPr>
          <w:sz w:val="24"/>
          <w:szCs w:val="24"/>
        </w:rPr>
      </w:pPr>
      <w:r>
        <w:rPr>
          <w:sz w:val="24"/>
          <w:szCs w:val="24"/>
        </w:rPr>
        <w:t>The Supplier’s staff assigned to the Contract shall have the rele</w:t>
      </w:r>
      <w:r>
        <w:rPr>
          <w:sz w:val="24"/>
          <w:szCs w:val="24"/>
        </w:rPr>
        <w:t xml:space="preserve">vant qualifications and experience (as detailed in the Mandatory Requirements Section) to deliver the Contract to the required standard. </w:t>
      </w:r>
    </w:p>
    <w:p w14:paraId="53441625" w14:textId="77777777" w:rsidR="008E10EF" w:rsidRDefault="008E10EF">
      <w:pPr>
        <w:rPr>
          <w:sz w:val="24"/>
        </w:rPr>
      </w:pPr>
    </w:p>
    <w:p w14:paraId="53441626" w14:textId="77777777" w:rsidR="008E10EF" w:rsidRDefault="00DD5207">
      <w:pPr>
        <w:pStyle w:val="Heading2"/>
        <w:numPr>
          <w:ilvl w:val="1"/>
          <w:numId w:val="3"/>
        </w:numPr>
        <w:spacing w:after="0"/>
        <w:ind w:left="709" w:hanging="709"/>
        <w:jc w:val="left"/>
        <w:rPr>
          <w:sz w:val="24"/>
          <w:szCs w:val="24"/>
        </w:rPr>
      </w:pPr>
      <w:r>
        <w:rPr>
          <w:sz w:val="24"/>
          <w:szCs w:val="24"/>
        </w:rPr>
        <w:lastRenderedPageBreak/>
        <w:t>The Supplier shall ensure that staff understand the Buyer’s vision and objectives and will provide excellent customer</w:t>
      </w:r>
      <w:r>
        <w:rPr>
          <w:sz w:val="24"/>
          <w:szCs w:val="24"/>
        </w:rPr>
        <w:t xml:space="preserve"> service to the Buyer throughout the duration of the Contract.  </w:t>
      </w:r>
    </w:p>
    <w:p w14:paraId="53441627" w14:textId="77777777" w:rsidR="008E10EF" w:rsidRDefault="008E10EF"/>
    <w:p w14:paraId="53441628" w14:textId="77777777" w:rsidR="008E10EF" w:rsidRDefault="00DD5207">
      <w:pPr>
        <w:pStyle w:val="Heading1"/>
        <w:numPr>
          <w:ilvl w:val="0"/>
          <w:numId w:val="3"/>
        </w:numPr>
        <w:spacing w:after="0"/>
        <w:ind w:left="709" w:hanging="709"/>
        <w:jc w:val="left"/>
        <w:rPr>
          <w:sz w:val="28"/>
          <w:szCs w:val="28"/>
        </w:rPr>
      </w:pPr>
      <w:bookmarkStart w:id="18" w:name="_heading=h.3j2qqm3" w:colFirst="0" w:colLast="0"/>
      <w:bookmarkEnd w:id="18"/>
      <w:r>
        <w:rPr>
          <w:sz w:val="28"/>
          <w:szCs w:val="28"/>
        </w:rPr>
        <w:t>CONTINUOUS IMPROVEMENT</w:t>
      </w:r>
    </w:p>
    <w:p w14:paraId="53441629" w14:textId="77777777" w:rsidR="008E10EF" w:rsidRDefault="008E10EF"/>
    <w:p w14:paraId="5344162A" w14:textId="77777777" w:rsidR="008E10EF" w:rsidRDefault="00DD5207">
      <w:pPr>
        <w:pStyle w:val="Heading2"/>
        <w:numPr>
          <w:ilvl w:val="1"/>
          <w:numId w:val="3"/>
        </w:numPr>
        <w:spacing w:after="0"/>
        <w:ind w:left="709" w:hanging="709"/>
        <w:jc w:val="left"/>
        <w:rPr>
          <w:sz w:val="24"/>
          <w:szCs w:val="24"/>
        </w:rPr>
      </w:pPr>
      <w:r>
        <w:rPr>
          <w:sz w:val="24"/>
          <w:szCs w:val="24"/>
        </w:rPr>
        <w:t>The Supplier will be expected to continually improve the way in which the required services are to be delivered throughout the Contract duration.</w:t>
      </w:r>
    </w:p>
    <w:p w14:paraId="5344162B" w14:textId="77777777" w:rsidR="008E10EF" w:rsidRDefault="008E10EF" w:rsidP="00DD5207">
      <w:pPr>
        <w:pStyle w:val="Heading2"/>
        <w:numPr>
          <w:ilvl w:val="0"/>
          <w:numId w:val="0"/>
        </w:numPr>
        <w:spacing w:after="0"/>
        <w:ind w:left="2880"/>
        <w:jc w:val="left"/>
        <w:rPr>
          <w:sz w:val="24"/>
          <w:szCs w:val="24"/>
        </w:rPr>
      </w:pPr>
    </w:p>
    <w:p w14:paraId="5344162C" w14:textId="77777777" w:rsidR="008E10EF" w:rsidRDefault="00DD5207">
      <w:pPr>
        <w:pStyle w:val="Heading2"/>
        <w:numPr>
          <w:ilvl w:val="1"/>
          <w:numId w:val="3"/>
        </w:numPr>
        <w:spacing w:after="0"/>
        <w:ind w:left="709" w:hanging="709"/>
        <w:jc w:val="left"/>
        <w:rPr>
          <w:sz w:val="24"/>
          <w:szCs w:val="24"/>
        </w:rPr>
      </w:pPr>
      <w:r>
        <w:rPr>
          <w:sz w:val="24"/>
          <w:szCs w:val="24"/>
        </w:rPr>
        <w:t xml:space="preserve">The Supplier should present new ways of working to the Buyer during monthly Contract review meetings. </w:t>
      </w:r>
    </w:p>
    <w:p w14:paraId="5344162D" w14:textId="77777777" w:rsidR="008E10EF" w:rsidRDefault="008E10EF" w:rsidP="00DD5207">
      <w:pPr>
        <w:pStyle w:val="Heading2"/>
        <w:numPr>
          <w:ilvl w:val="0"/>
          <w:numId w:val="0"/>
        </w:numPr>
        <w:spacing w:after="0"/>
        <w:ind w:left="2880"/>
        <w:jc w:val="left"/>
        <w:rPr>
          <w:sz w:val="24"/>
          <w:szCs w:val="24"/>
        </w:rPr>
      </w:pPr>
    </w:p>
    <w:p w14:paraId="5344162E" w14:textId="77777777" w:rsidR="008E10EF" w:rsidRDefault="00DD5207">
      <w:pPr>
        <w:pStyle w:val="Heading2"/>
        <w:numPr>
          <w:ilvl w:val="1"/>
          <w:numId w:val="3"/>
        </w:numPr>
        <w:spacing w:after="0"/>
        <w:ind w:left="709" w:hanging="709"/>
        <w:jc w:val="left"/>
        <w:rPr>
          <w:sz w:val="24"/>
          <w:szCs w:val="24"/>
        </w:rPr>
      </w:pPr>
      <w:r>
        <w:rPr>
          <w:sz w:val="24"/>
          <w:szCs w:val="24"/>
        </w:rPr>
        <w:t>Chang</w:t>
      </w:r>
      <w:r>
        <w:rPr>
          <w:sz w:val="24"/>
          <w:szCs w:val="24"/>
        </w:rPr>
        <w:t>es to the way in which the Services are to be delivered must be brought to the Buyer’s attention and agreed prior to any changes being implemented.</w:t>
      </w:r>
    </w:p>
    <w:p w14:paraId="5344162F" w14:textId="77777777" w:rsidR="008E10EF" w:rsidRDefault="008E10EF"/>
    <w:p w14:paraId="53441630" w14:textId="77777777" w:rsidR="008E10EF" w:rsidRDefault="00DD5207">
      <w:pPr>
        <w:pStyle w:val="Heading1"/>
        <w:numPr>
          <w:ilvl w:val="0"/>
          <w:numId w:val="3"/>
        </w:numPr>
        <w:spacing w:after="0"/>
        <w:ind w:left="709" w:hanging="709"/>
        <w:jc w:val="left"/>
        <w:rPr>
          <w:sz w:val="28"/>
          <w:szCs w:val="28"/>
        </w:rPr>
      </w:pPr>
      <w:bookmarkStart w:id="19" w:name="_heading=h.1y810tw" w:colFirst="0" w:colLast="0"/>
      <w:bookmarkEnd w:id="19"/>
      <w:r>
        <w:rPr>
          <w:sz w:val="28"/>
          <w:szCs w:val="28"/>
        </w:rPr>
        <w:t>SECURITY AND CONFIDENTIALITY REQUIREMENTS</w:t>
      </w:r>
    </w:p>
    <w:p w14:paraId="53441631" w14:textId="77777777" w:rsidR="008E10EF" w:rsidRDefault="008E10EF"/>
    <w:p w14:paraId="53441632" w14:textId="77777777" w:rsidR="008E10EF" w:rsidRDefault="00DD5207">
      <w:pPr>
        <w:pBdr>
          <w:top w:val="nil"/>
          <w:left w:val="nil"/>
          <w:bottom w:val="nil"/>
          <w:right w:val="nil"/>
          <w:between w:val="nil"/>
        </w:pBdr>
        <w:spacing w:after="120"/>
        <w:ind w:left="709"/>
        <w:jc w:val="both"/>
        <w:rPr>
          <w:color w:val="000000"/>
        </w:rPr>
      </w:pPr>
      <w:r>
        <w:rPr>
          <w:color w:val="000000"/>
          <w:sz w:val="24"/>
        </w:rPr>
        <w:t xml:space="preserve">The information and data shared with the successful Supplier is </w:t>
      </w:r>
      <w:r>
        <w:rPr>
          <w:color w:val="000000"/>
          <w:sz w:val="24"/>
        </w:rPr>
        <w:t>deemed commercially sensitive.</w:t>
      </w:r>
    </w:p>
    <w:p w14:paraId="53441633" w14:textId="77777777" w:rsidR="008E10EF" w:rsidRDefault="008E10EF"/>
    <w:p w14:paraId="53441634" w14:textId="77777777" w:rsidR="008E10EF" w:rsidRDefault="00DD5207">
      <w:pPr>
        <w:pStyle w:val="Heading1"/>
        <w:numPr>
          <w:ilvl w:val="0"/>
          <w:numId w:val="3"/>
        </w:numPr>
        <w:spacing w:after="0"/>
        <w:ind w:left="709" w:hanging="709"/>
        <w:jc w:val="left"/>
        <w:rPr>
          <w:sz w:val="20"/>
          <w:szCs w:val="20"/>
        </w:rPr>
      </w:pPr>
      <w:bookmarkStart w:id="20" w:name="_heading=h.4i7ojhp" w:colFirst="0" w:colLast="0"/>
      <w:bookmarkEnd w:id="20"/>
      <w:r>
        <w:rPr>
          <w:sz w:val="28"/>
          <w:szCs w:val="28"/>
        </w:rPr>
        <w:t>PRICING MECHANISM</w:t>
      </w:r>
    </w:p>
    <w:p w14:paraId="53441635" w14:textId="77777777" w:rsidR="008E10EF" w:rsidRDefault="008E10EF"/>
    <w:p w14:paraId="53441636" w14:textId="77777777" w:rsidR="008E10EF" w:rsidRDefault="00DD5207">
      <w:pPr>
        <w:pStyle w:val="Heading2"/>
        <w:numPr>
          <w:ilvl w:val="1"/>
          <w:numId w:val="3"/>
        </w:numPr>
        <w:spacing w:after="0"/>
        <w:ind w:left="709" w:hanging="709"/>
        <w:jc w:val="left"/>
        <w:rPr>
          <w:sz w:val="24"/>
          <w:szCs w:val="24"/>
        </w:rPr>
      </w:pPr>
      <w:r>
        <w:rPr>
          <w:sz w:val="24"/>
          <w:szCs w:val="24"/>
        </w:rPr>
        <w:t xml:space="preserve">Please refer to the Framework call off Order Form (Call-off Charges paragraph). </w:t>
      </w:r>
    </w:p>
    <w:p w14:paraId="53441637" w14:textId="77777777" w:rsidR="008E10EF" w:rsidRDefault="008E10EF" w:rsidP="00DD5207">
      <w:pPr>
        <w:pStyle w:val="Heading2"/>
        <w:numPr>
          <w:ilvl w:val="0"/>
          <w:numId w:val="0"/>
        </w:numPr>
        <w:spacing w:after="0"/>
        <w:ind w:left="2520"/>
        <w:jc w:val="left"/>
        <w:rPr>
          <w:sz w:val="24"/>
          <w:szCs w:val="24"/>
        </w:rPr>
      </w:pPr>
    </w:p>
    <w:p w14:paraId="53441638" w14:textId="77777777" w:rsidR="008E10EF" w:rsidRDefault="00DD5207">
      <w:pPr>
        <w:pStyle w:val="Heading2"/>
        <w:numPr>
          <w:ilvl w:val="1"/>
          <w:numId w:val="3"/>
        </w:numPr>
        <w:spacing w:after="0"/>
        <w:ind w:left="709" w:hanging="709"/>
        <w:jc w:val="left"/>
        <w:rPr>
          <w:sz w:val="24"/>
          <w:szCs w:val="24"/>
        </w:rPr>
      </w:pPr>
      <w:r>
        <w:rPr>
          <w:sz w:val="24"/>
          <w:szCs w:val="24"/>
        </w:rPr>
        <w:t>All prices are excluding VAT</w:t>
      </w:r>
    </w:p>
    <w:p w14:paraId="53441639" w14:textId="77777777" w:rsidR="008E10EF" w:rsidRDefault="008E10EF">
      <w:pPr>
        <w:pBdr>
          <w:top w:val="nil"/>
          <w:left w:val="nil"/>
          <w:bottom w:val="nil"/>
          <w:right w:val="nil"/>
          <w:between w:val="nil"/>
        </w:pBdr>
        <w:ind w:left="709" w:hanging="709"/>
        <w:rPr>
          <w:sz w:val="24"/>
        </w:rPr>
      </w:pPr>
    </w:p>
    <w:p w14:paraId="5344163A" w14:textId="77777777" w:rsidR="008E10EF" w:rsidRDefault="00DD5207">
      <w:pPr>
        <w:pStyle w:val="Heading2"/>
        <w:numPr>
          <w:ilvl w:val="1"/>
          <w:numId w:val="3"/>
        </w:numPr>
        <w:spacing w:after="0"/>
        <w:ind w:left="709" w:hanging="709"/>
        <w:jc w:val="left"/>
        <w:rPr>
          <w:sz w:val="24"/>
          <w:szCs w:val="24"/>
        </w:rPr>
      </w:pPr>
      <w:r>
        <w:rPr>
          <w:sz w:val="24"/>
          <w:szCs w:val="24"/>
        </w:rPr>
        <w:t>All prices are inclusive of expenses, such as travel and subsistence.</w:t>
      </w:r>
    </w:p>
    <w:p w14:paraId="5344163B" w14:textId="77777777" w:rsidR="008E10EF" w:rsidRDefault="00DD5207">
      <w:r>
        <w:t xml:space="preserve"> </w:t>
      </w:r>
    </w:p>
    <w:p w14:paraId="5344163C" w14:textId="77777777" w:rsidR="008E10EF" w:rsidRDefault="00DD5207">
      <w:pPr>
        <w:pStyle w:val="Heading1"/>
        <w:numPr>
          <w:ilvl w:val="0"/>
          <w:numId w:val="3"/>
        </w:numPr>
        <w:spacing w:after="0"/>
        <w:ind w:left="709" w:hanging="709"/>
        <w:jc w:val="left"/>
        <w:rPr>
          <w:sz w:val="28"/>
          <w:szCs w:val="28"/>
        </w:rPr>
      </w:pPr>
      <w:bookmarkStart w:id="21" w:name="_heading=h.2xcytpi" w:colFirst="0" w:colLast="0"/>
      <w:bookmarkEnd w:id="21"/>
      <w:r>
        <w:rPr>
          <w:sz w:val="28"/>
          <w:szCs w:val="28"/>
        </w:rPr>
        <w:t xml:space="preserve">PAYMENT AND INVOICING </w:t>
      </w:r>
    </w:p>
    <w:p w14:paraId="5344163D" w14:textId="77777777" w:rsidR="008E10EF" w:rsidRDefault="008E10EF"/>
    <w:p w14:paraId="5344163E" w14:textId="77777777" w:rsidR="008E10EF" w:rsidRDefault="00DD5207">
      <w:pPr>
        <w:pStyle w:val="Heading2"/>
        <w:spacing w:after="0"/>
        <w:jc w:val="left"/>
      </w:pPr>
      <w:r>
        <w:t>16.1</w:t>
      </w:r>
      <w:r>
        <w:rPr>
          <w:sz w:val="24"/>
          <w:szCs w:val="24"/>
        </w:rPr>
        <w:tab/>
        <w:t xml:space="preserve">Payment Milestone </w:t>
      </w:r>
    </w:p>
    <w:p w14:paraId="5344163F" w14:textId="77777777" w:rsidR="008E10EF" w:rsidRDefault="008E10EF">
      <w:pPr>
        <w:pStyle w:val="Heading2"/>
        <w:spacing w:after="0"/>
        <w:ind w:left="3240" w:firstLine="1080"/>
        <w:jc w:val="left"/>
      </w:pPr>
    </w:p>
    <w:tbl>
      <w:tblPr>
        <w:tblStyle w:val="afa"/>
        <w:tblW w:w="8751" w:type="dxa"/>
        <w:tblInd w:w="562" w:type="dxa"/>
        <w:tblLayout w:type="fixed"/>
        <w:tblLook w:val="0400" w:firstRow="0" w:lastRow="0" w:firstColumn="0" w:lastColumn="0" w:noHBand="0" w:noVBand="1"/>
      </w:tblPr>
      <w:tblGrid>
        <w:gridCol w:w="1838"/>
        <w:gridCol w:w="3711"/>
        <w:gridCol w:w="1602"/>
        <w:gridCol w:w="1600"/>
      </w:tblGrid>
      <w:tr w:rsidR="008E10EF" w14:paraId="53441644" w14:textId="77777777">
        <w:tc>
          <w:tcPr>
            <w:tcW w:w="1838"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tcPr>
          <w:p w14:paraId="53441640"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Milestone</w:t>
            </w:r>
          </w:p>
        </w:tc>
        <w:tc>
          <w:tcPr>
            <w:tcW w:w="3711"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vAlign w:val="center"/>
          </w:tcPr>
          <w:p w14:paraId="53441641"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Description and ‘Acceptance Criteria’</w:t>
            </w:r>
          </w:p>
        </w:tc>
        <w:tc>
          <w:tcPr>
            <w:tcW w:w="1602"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vAlign w:val="center"/>
          </w:tcPr>
          <w:p w14:paraId="53441642"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Timeframe</w:t>
            </w:r>
          </w:p>
        </w:tc>
        <w:tc>
          <w:tcPr>
            <w:tcW w:w="1600" w:type="dxa"/>
            <w:tcBorders>
              <w:top w:val="single" w:sz="8" w:space="0" w:color="000000"/>
              <w:left w:val="nil"/>
              <w:bottom w:val="single" w:sz="8" w:space="0" w:color="000000"/>
              <w:right w:val="single" w:sz="8" w:space="0" w:color="000000"/>
            </w:tcBorders>
            <w:shd w:val="clear" w:color="auto" w:fill="C6D9F1"/>
          </w:tcPr>
          <w:p w14:paraId="53441643"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Payment</w:t>
            </w:r>
          </w:p>
        </w:tc>
      </w:tr>
      <w:tr w:rsidR="008E10EF" w14:paraId="53441649" w14:textId="77777777">
        <w:tc>
          <w:tcPr>
            <w:tcW w:w="1838"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vAlign w:val="center"/>
          </w:tcPr>
          <w:p w14:paraId="53441645"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JDR Programme</w:t>
            </w:r>
          </w:p>
        </w:tc>
        <w:tc>
          <w:tcPr>
            <w:tcW w:w="3711"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tcPr>
          <w:p w14:paraId="53441646" w14:textId="77777777" w:rsidR="008E10EF" w:rsidRDefault="008E10EF">
            <w:pPr>
              <w:pBdr>
                <w:top w:val="nil"/>
                <w:left w:val="nil"/>
                <w:bottom w:val="nil"/>
                <w:right w:val="nil"/>
                <w:between w:val="nil"/>
              </w:pBdr>
              <w:spacing w:after="120"/>
              <w:jc w:val="both"/>
              <w:rPr>
                <w:color w:val="000000"/>
                <w:sz w:val="24"/>
              </w:rPr>
            </w:pPr>
          </w:p>
        </w:tc>
        <w:tc>
          <w:tcPr>
            <w:tcW w:w="1602" w:type="dxa"/>
            <w:tcBorders>
              <w:top w:val="nil"/>
              <w:left w:val="nil"/>
              <w:bottom w:val="single" w:sz="8" w:space="0" w:color="000000"/>
              <w:right w:val="single" w:sz="8" w:space="0" w:color="000000"/>
            </w:tcBorders>
            <w:shd w:val="clear" w:color="auto" w:fill="C6D9F1"/>
            <w:tcMar>
              <w:top w:w="0" w:type="dxa"/>
              <w:left w:w="108" w:type="dxa"/>
              <w:bottom w:w="0" w:type="dxa"/>
              <w:right w:w="108" w:type="dxa"/>
            </w:tcMar>
            <w:vAlign w:val="center"/>
          </w:tcPr>
          <w:p w14:paraId="53441647" w14:textId="77777777" w:rsidR="008E10EF" w:rsidRDefault="008E10EF">
            <w:pPr>
              <w:pBdr>
                <w:top w:val="nil"/>
                <w:left w:val="nil"/>
                <w:bottom w:val="nil"/>
                <w:right w:val="nil"/>
                <w:between w:val="nil"/>
              </w:pBdr>
              <w:spacing w:after="120"/>
              <w:jc w:val="both"/>
              <w:rPr>
                <w:color w:val="000000"/>
                <w:sz w:val="24"/>
              </w:rPr>
            </w:pPr>
          </w:p>
        </w:tc>
        <w:tc>
          <w:tcPr>
            <w:tcW w:w="1600" w:type="dxa"/>
            <w:tcBorders>
              <w:top w:val="nil"/>
              <w:left w:val="nil"/>
              <w:bottom w:val="single" w:sz="8" w:space="0" w:color="000000"/>
              <w:right w:val="single" w:sz="8" w:space="0" w:color="000000"/>
            </w:tcBorders>
            <w:shd w:val="clear" w:color="auto" w:fill="C6D9F1"/>
          </w:tcPr>
          <w:p w14:paraId="53441648" w14:textId="77777777" w:rsidR="008E10EF" w:rsidRDefault="008E10EF">
            <w:pPr>
              <w:pBdr>
                <w:top w:val="nil"/>
                <w:left w:val="nil"/>
                <w:bottom w:val="nil"/>
                <w:right w:val="nil"/>
                <w:between w:val="nil"/>
              </w:pBdr>
              <w:spacing w:after="120"/>
              <w:jc w:val="both"/>
              <w:rPr>
                <w:color w:val="000000"/>
                <w:sz w:val="24"/>
              </w:rPr>
            </w:pPr>
          </w:p>
        </w:tc>
      </w:tr>
      <w:tr w:rsidR="008E10EF" w14:paraId="5344164E" w14:textId="77777777">
        <w:tc>
          <w:tcPr>
            <w:tcW w:w="18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44164A" w14:textId="77777777" w:rsidR="008E10EF" w:rsidRDefault="00DD5207">
            <w:pPr>
              <w:pBdr>
                <w:top w:val="nil"/>
                <w:left w:val="nil"/>
                <w:bottom w:val="nil"/>
                <w:right w:val="nil"/>
                <w:between w:val="nil"/>
              </w:pBdr>
              <w:spacing w:after="120"/>
              <w:jc w:val="both"/>
              <w:rPr>
                <w:color w:val="000000"/>
                <w:sz w:val="24"/>
              </w:rPr>
            </w:pPr>
            <w:r>
              <w:rPr>
                <w:color w:val="000000"/>
                <w:sz w:val="24"/>
              </w:rPr>
              <w:t>1</w:t>
            </w:r>
          </w:p>
        </w:tc>
        <w:tc>
          <w:tcPr>
            <w:tcW w:w="37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4B"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 xml:space="preserve">1st draft (preliminary review) of the Economic Case </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4C"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 xml:space="preserve">1st August 2025 </w:t>
            </w:r>
          </w:p>
        </w:tc>
        <w:tc>
          <w:tcPr>
            <w:tcW w:w="1600" w:type="dxa"/>
            <w:tcBorders>
              <w:top w:val="nil"/>
              <w:left w:val="nil"/>
              <w:bottom w:val="single" w:sz="8" w:space="0" w:color="000000"/>
              <w:right w:val="single" w:sz="8" w:space="0" w:color="000000"/>
            </w:tcBorders>
          </w:tcPr>
          <w:p w14:paraId="5344164D"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50%</w:t>
            </w:r>
          </w:p>
        </w:tc>
      </w:tr>
      <w:tr w:rsidR="008E10EF" w14:paraId="53441653" w14:textId="77777777">
        <w:tc>
          <w:tcPr>
            <w:tcW w:w="18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44164F" w14:textId="77777777" w:rsidR="008E10EF" w:rsidRDefault="00DD5207">
            <w:pPr>
              <w:pBdr>
                <w:top w:val="nil"/>
                <w:left w:val="nil"/>
                <w:bottom w:val="nil"/>
                <w:right w:val="nil"/>
                <w:between w:val="nil"/>
              </w:pBdr>
              <w:spacing w:after="120"/>
              <w:jc w:val="both"/>
              <w:rPr>
                <w:color w:val="000000"/>
                <w:sz w:val="24"/>
              </w:rPr>
            </w:pPr>
            <w:r>
              <w:rPr>
                <w:color w:val="000000"/>
                <w:sz w:val="24"/>
              </w:rPr>
              <w:t>2</w:t>
            </w:r>
          </w:p>
        </w:tc>
        <w:tc>
          <w:tcPr>
            <w:tcW w:w="37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50"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2nd Draft review of the Economic Case for submission</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51"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 xml:space="preserve">1st September 2025 </w:t>
            </w:r>
          </w:p>
        </w:tc>
        <w:tc>
          <w:tcPr>
            <w:tcW w:w="1600" w:type="dxa"/>
            <w:tcBorders>
              <w:top w:val="nil"/>
              <w:left w:val="nil"/>
              <w:bottom w:val="single" w:sz="8" w:space="0" w:color="000000"/>
              <w:right w:val="single" w:sz="8" w:space="0" w:color="000000"/>
            </w:tcBorders>
          </w:tcPr>
          <w:p w14:paraId="53441652"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25%</w:t>
            </w:r>
          </w:p>
        </w:tc>
      </w:tr>
      <w:tr w:rsidR="008E10EF" w14:paraId="53441658" w14:textId="77777777">
        <w:tc>
          <w:tcPr>
            <w:tcW w:w="18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441654" w14:textId="77777777" w:rsidR="008E10EF" w:rsidRDefault="00DD5207">
            <w:pPr>
              <w:pBdr>
                <w:top w:val="nil"/>
                <w:left w:val="nil"/>
                <w:bottom w:val="nil"/>
                <w:right w:val="nil"/>
                <w:between w:val="nil"/>
              </w:pBdr>
              <w:spacing w:after="120"/>
              <w:jc w:val="both"/>
              <w:rPr>
                <w:color w:val="000000"/>
                <w:sz w:val="24"/>
              </w:rPr>
            </w:pPr>
            <w:r>
              <w:rPr>
                <w:color w:val="000000"/>
                <w:sz w:val="24"/>
              </w:rPr>
              <w:t>3</w:t>
            </w:r>
          </w:p>
        </w:tc>
        <w:tc>
          <w:tcPr>
            <w:tcW w:w="37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55"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Updates to the 2nd draft for final submission depending on external feedback.</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56"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1</w:t>
            </w:r>
            <w:r>
              <w:rPr>
                <w:color w:val="000000"/>
                <w:sz w:val="24"/>
                <w:vertAlign w:val="superscript"/>
              </w:rPr>
              <w:t>st</w:t>
            </w:r>
            <w:r>
              <w:rPr>
                <w:color w:val="000000"/>
                <w:sz w:val="24"/>
              </w:rPr>
              <w:t xml:space="preserve"> October 2025</w:t>
            </w:r>
          </w:p>
        </w:tc>
        <w:tc>
          <w:tcPr>
            <w:tcW w:w="1600" w:type="dxa"/>
            <w:tcBorders>
              <w:top w:val="nil"/>
              <w:left w:val="nil"/>
              <w:bottom w:val="single" w:sz="8" w:space="0" w:color="000000"/>
              <w:right w:val="single" w:sz="8" w:space="0" w:color="000000"/>
            </w:tcBorders>
          </w:tcPr>
          <w:p w14:paraId="53441657"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15%</w:t>
            </w:r>
          </w:p>
        </w:tc>
      </w:tr>
      <w:tr w:rsidR="008E10EF" w14:paraId="5344165E" w14:textId="77777777">
        <w:tc>
          <w:tcPr>
            <w:tcW w:w="18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3441659" w14:textId="77777777" w:rsidR="008E10EF" w:rsidRDefault="00DD5207">
            <w:pPr>
              <w:pBdr>
                <w:top w:val="nil"/>
                <w:left w:val="nil"/>
                <w:bottom w:val="nil"/>
                <w:right w:val="nil"/>
                <w:between w:val="nil"/>
              </w:pBdr>
              <w:spacing w:after="120"/>
              <w:jc w:val="both"/>
              <w:rPr>
                <w:color w:val="000000"/>
                <w:sz w:val="24"/>
              </w:rPr>
            </w:pPr>
            <w:r>
              <w:rPr>
                <w:color w:val="000000"/>
                <w:sz w:val="24"/>
              </w:rPr>
              <w:lastRenderedPageBreak/>
              <w:t xml:space="preserve">4 </w:t>
            </w:r>
          </w:p>
          <w:p w14:paraId="5344165A" w14:textId="77777777" w:rsidR="008E10EF" w:rsidRDefault="008E10EF">
            <w:pPr>
              <w:pBdr>
                <w:top w:val="nil"/>
                <w:left w:val="nil"/>
                <w:bottom w:val="nil"/>
                <w:right w:val="nil"/>
                <w:between w:val="nil"/>
              </w:pBdr>
              <w:spacing w:after="120"/>
              <w:jc w:val="both"/>
              <w:rPr>
                <w:color w:val="000000"/>
                <w:sz w:val="24"/>
              </w:rPr>
            </w:pPr>
          </w:p>
        </w:tc>
        <w:tc>
          <w:tcPr>
            <w:tcW w:w="371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5B"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Completion of all DESNZ PIC keyholder comments*.</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4165C"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28th November 2025</w:t>
            </w:r>
          </w:p>
        </w:tc>
        <w:tc>
          <w:tcPr>
            <w:tcW w:w="1600" w:type="dxa"/>
            <w:tcBorders>
              <w:top w:val="nil"/>
              <w:left w:val="nil"/>
              <w:bottom w:val="single" w:sz="8" w:space="0" w:color="000000"/>
              <w:right w:val="single" w:sz="8" w:space="0" w:color="000000"/>
            </w:tcBorders>
          </w:tcPr>
          <w:p w14:paraId="5344165D" w14:textId="77777777" w:rsidR="008E10EF" w:rsidRDefault="00DD5207">
            <w:pPr>
              <w:pBdr>
                <w:top w:val="nil"/>
                <w:left w:val="nil"/>
                <w:bottom w:val="nil"/>
                <w:right w:val="nil"/>
                <w:between w:val="nil"/>
              </w:pBdr>
              <w:spacing w:after="120"/>
              <w:ind w:left="113"/>
              <w:jc w:val="both"/>
              <w:rPr>
                <w:color w:val="000000"/>
                <w:sz w:val="24"/>
              </w:rPr>
            </w:pPr>
            <w:r>
              <w:rPr>
                <w:color w:val="000000"/>
                <w:sz w:val="24"/>
              </w:rPr>
              <w:t>10%</w:t>
            </w:r>
          </w:p>
        </w:tc>
      </w:tr>
    </w:tbl>
    <w:p w14:paraId="5344165F" w14:textId="77777777" w:rsidR="008E10EF" w:rsidRDefault="008E10EF" w:rsidP="00DD5207">
      <w:pPr>
        <w:pStyle w:val="Heading2"/>
        <w:numPr>
          <w:ilvl w:val="0"/>
          <w:numId w:val="0"/>
        </w:numPr>
        <w:spacing w:after="0"/>
        <w:ind w:left="2520"/>
        <w:jc w:val="left"/>
      </w:pPr>
    </w:p>
    <w:p w14:paraId="53441660" w14:textId="77777777" w:rsidR="008E10EF" w:rsidRDefault="00DD5207">
      <w:pPr>
        <w:numPr>
          <w:ilvl w:val="1"/>
          <w:numId w:val="1"/>
        </w:numPr>
        <w:pBdr>
          <w:top w:val="nil"/>
          <w:left w:val="nil"/>
          <w:bottom w:val="nil"/>
          <w:right w:val="nil"/>
          <w:between w:val="nil"/>
        </w:pBdr>
        <w:rPr>
          <w:color w:val="000000"/>
          <w:sz w:val="24"/>
        </w:rPr>
      </w:pPr>
      <w:r>
        <w:rPr>
          <w:color w:val="000000"/>
          <w:sz w:val="24"/>
        </w:rPr>
        <w:t xml:space="preserve">Payment can only be made following satisfactory delivery of pre-agreed certified products and deliverables. </w:t>
      </w:r>
    </w:p>
    <w:p w14:paraId="53441661" w14:textId="77777777" w:rsidR="008E10EF" w:rsidRDefault="008E10EF">
      <w:pPr>
        <w:rPr>
          <w:sz w:val="24"/>
        </w:rPr>
      </w:pPr>
    </w:p>
    <w:p w14:paraId="53441662" w14:textId="77777777" w:rsidR="008E10EF" w:rsidRDefault="00DD5207">
      <w:pPr>
        <w:pStyle w:val="Heading2"/>
        <w:numPr>
          <w:ilvl w:val="1"/>
          <w:numId w:val="1"/>
        </w:numPr>
        <w:spacing w:after="0"/>
        <w:ind w:left="709" w:hanging="709"/>
        <w:jc w:val="left"/>
        <w:rPr>
          <w:sz w:val="24"/>
          <w:szCs w:val="24"/>
        </w:rPr>
      </w:pPr>
      <w:r>
        <w:rPr>
          <w:sz w:val="24"/>
          <w:szCs w:val="24"/>
        </w:rPr>
        <w:t xml:space="preserve">Before payment can be considered, each invoice must include a detailed elemental breakdown of work completed and the associated costs. </w:t>
      </w:r>
    </w:p>
    <w:p w14:paraId="53441663" w14:textId="77777777" w:rsidR="008E10EF" w:rsidRDefault="008E10EF">
      <w:pPr>
        <w:rPr>
          <w:sz w:val="24"/>
        </w:rPr>
      </w:pPr>
    </w:p>
    <w:p w14:paraId="53441664" w14:textId="77777777" w:rsidR="008E10EF" w:rsidRDefault="00DD5207">
      <w:pPr>
        <w:pStyle w:val="Heading2"/>
        <w:numPr>
          <w:ilvl w:val="1"/>
          <w:numId w:val="1"/>
        </w:numPr>
        <w:spacing w:after="0"/>
        <w:ind w:left="709" w:hanging="709"/>
        <w:jc w:val="left"/>
        <w:rPr>
          <w:sz w:val="24"/>
          <w:szCs w:val="24"/>
        </w:rPr>
      </w:pPr>
      <w:r>
        <w:rPr>
          <w:sz w:val="24"/>
          <w:szCs w:val="24"/>
        </w:rPr>
        <w:t xml:space="preserve">Invoices should be submitted to the invoicing address which will be provided once call off contract is signed. </w:t>
      </w:r>
    </w:p>
    <w:p w14:paraId="53441665" w14:textId="77777777" w:rsidR="008E10EF" w:rsidRDefault="008E10EF" w:rsidP="00DD5207">
      <w:pPr>
        <w:pStyle w:val="Heading2"/>
        <w:numPr>
          <w:ilvl w:val="0"/>
          <w:numId w:val="0"/>
        </w:numPr>
        <w:spacing w:after="0"/>
        <w:ind w:left="2520"/>
        <w:jc w:val="left"/>
      </w:pPr>
    </w:p>
    <w:p w14:paraId="53441666" w14:textId="77777777" w:rsidR="008E10EF" w:rsidRDefault="008E10EF"/>
    <w:p w14:paraId="53441667" w14:textId="77777777" w:rsidR="008E10EF" w:rsidRDefault="00DD5207">
      <w:pPr>
        <w:pStyle w:val="Heading1"/>
        <w:numPr>
          <w:ilvl w:val="0"/>
          <w:numId w:val="1"/>
        </w:numPr>
        <w:spacing w:after="0"/>
        <w:ind w:left="709" w:hanging="709"/>
        <w:jc w:val="left"/>
        <w:rPr>
          <w:sz w:val="28"/>
          <w:szCs w:val="28"/>
        </w:rPr>
      </w:pPr>
      <w:bookmarkStart w:id="22" w:name="_heading=h.1ci93xb" w:colFirst="0" w:colLast="0"/>
      <w:bookmarkEnd w:id="22"/>
      <w:r>
        <w:rPr>
          <w:sz w:val="28"/>
          <w:szCs w:val="28"/>
        </w:rPr>
        <w:t>CONTR</w:t>
      </w:r>
      <w:r>
        <w:rPr>
          <w:sz w:val="28"/>
          <w:szCs w:val="28"/>
        </w:rPr>
        <w:t>ACT MANAGEMENT AND KEY PERFORMANCE INDICATORS</w:t>
      </w:r>
    </w:p>
    <w:p w14:paraId="53441668" w14:textId="77777777" w:rsidR="008E10EF" w:rsidRDefault="008E10EF">
      <w:pPr>
        <w:rPr>
          <w:sz w:val="24"/>
        </w:rPr>
      </w:pPr>
    </w:p>
    <w:p w14:paraId="53441669"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UKAEA would expect to have fortnightly update meetings with the supplier depending on the phase and intensity of the work underway at that time. The regularity of the meetings is to be decided following contra</w:t>
      </w:r>
      <w:r>
        <w:rPr>
          <w:color w:val="000000"/>
          <w:sz w:val="24"/>
        </w:rPr>
        <w:t>ct award.</w:t>
      </w:r>
    </w:p>
    <w:p w14:paraId="5344166A" w14:textId="77777777" w:rsidR="008E10EF" w:rsidRDefault="00DD5207">
      <w:pPr>
        <w:pBdr>
          <w:top w:val="nil"/>
          <w:left w:val="nil"/>
          <w:bottom w:val="nil"/>
          <w:right w:val="nil"/>
          <w:between w:val="nil"/>
        </w:pBdr>
        <w:spacing w:after="120"/>
        <w:ind w:left="709"/>
        <w:jc w:val="both"/>
        <w:rPr>
          <w:color w:val="000000"/>
          <w:sz w:val="24"/>
        </w:rPr>
      </w:pPr>
      <w:r>
        <w:rPr>
          <w:color w:val="000000"/>
          <w:sz w:val="24"/>
        </w:rPr>
        <w:t>UKAEA will expect the supplier to use these meetings to formally update on progress/blockers and risks to delivery.</w:t>
      </w:r>
    </w:p>
    <w:p w14:paraId="5344166B" w14:textId="77777777" w:rsidR="008E10EF" w:rsidRDefault="008E10EF" w:rsidP="00DD5207">
      <w:pPr>
        <w:pStyle w:val="Heading2"/>
        <w:numPr>
          <w:ilvl w:val="0"/>
          <w:numId w:val="0"/>
        </w:numPr>
        <w:spacing w:after="0"/>
        <w:ind w:left="2520"/>
        <w:jc w:val="left"/>
        <w:rPr>
          <w:sz w:val="24"/>
          <w:szCs w:val="24"/>
        </w:rPr>
      </w:pPr>
    </w:p>
    <w:p w14:paraId="5344166C" w14:textId="77777777" w:rsidR="008E10EF" w:rsidRDefault="00DD5207">
      <w:pPr>
        <w:numPr>
          <w:ilvl w:val="1"/>
          <w:numId w:val="1"/>
        </w:numPr>
        <w:pBdr>
          <w:top w:val="nil"/>
          <w:left w:val="nil"/>
          <w:bottom w:val="nil"/>
          <w:right w:val="nil"/>
          <w:between w:val="nil"/>
        </w:pBdr>
        <w:spacing w:after="240"/>
        <w:jc w:val="both"/>
        <w:rPr>
          <w:color w:val="000000"/>
          <w:sz w:val="28"/>
          <w:szCs w:val="28"/>
        </w:rPr>
      </w:pPr>
      <w:r>
        <w:rPr>
          <w:color w:val="000000"/>
          <w:sz w:val="24"/>
        </w:rPr>
        <w:t xml:space="preserve"> The Buyer will measure the quality of the Supplier’s delivery by:</w:t>
      </w:r>
    </w:p>
    <w:p w14:paraId="5344166D" w14:textId="77777777" w:rsidR="008E10EF" w:rsidRDefault="008E10EF"/>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368"/>
        <w:gridCol w:w="3746"/>
        <w:gridCol w:w="1966"/>
      </w:tblGrid>
      <w:tr w:rsidR="008E10EF" w14:paraId="53441672" w14:textId="77777777">
        <w:trPr>
          <w:trHeight w:val="686"/>
        </w:trPr>
        <w:tc>
          <w:tcPr>
            <w:tcW w:w="1276" w:type="dxa"/>
            <w:shd w:val="clear" w:color="auto" w:fill="B8CCE4"/>
          </w:tcPr>
          <w:p w14:paraId="5344166E" w14:textId="77777777" w:rsidR="008E10EF" w:rsidRDefault="00DD5207">
            <w:pPr>
              <w:pBdr>
                <w:top w:val="nil"/>
                <w:left w:val="nil"/>
                <w:bottom w:val="nil"/>
                <w:right w:val="nil"/>
                <w:between w:val="nil"/>
              </w:pBdr>
              <w:ind w:left="709" w:hanging="709"/>
              <w:jc w:val="left"/>
              <w:rPr>
                <w:color w:val="000000"/>
                <w:sz w:val="24"/>
              </w:rPr>
            </w:pPr>
            <w:r>
              <w:rPr>
                <w:color w:val="000000"/>
                <w:sz w:val="24"/>
              </w:rPr>
              <w:t>KPI/SLA</w:t>
            </w:r>
          </w:p>
        </w:tc>
        <w:tc>
          <w:tcPr>
            <w:tcW w:w="2368" w:type="dxa"/>
            <w:shd w:val="clear" w:color="auto" w:fill="B8CCE4"/>
          </w:tcPr>
          <w:p w14:paraId="5344166F" w14:textId="77777777" w:rsidR="008E10EF" w:rsidRDefault="00DD5207">
            <w:pPr>
              <w:pBdr>
                <w:top w:val="nil"/>
                <w:left w:val="nil"/>
                <w:bottom w:val="nil"/>
                <w:right w:val="nil"/>
                <w:between w:val="nil"/>
              </w:pBdr>
              <w:ind w:left="709" w:hanging="709"/>
              <w:jc w:val="left"/>
              <w:rPr>
                <w:color w:val="000000"/>
                <w:sz w:val="24"/>
              </w:rPr>
            </w:pPr>
            <w:r>
              <w:rPr>
                <w:color w:val="000000"/>
                <w:sz w:val="24"/>
              </w:rPr>
              <w:t>Service Area</w:t>
            </w:r>
          </w:p>
        </w:tc>
        <w:tc>
          <w:tcPr>
            <w:tcW w:w="3746" w:type="dxa"/>
            <w:shd w:val="clear" w:color="auto" w:fill="B8CCE4"/>
          </w:tcPr>
          <w:p w14:paraId="53441670" w14:textId="77777777" w:rsidR="008E10EF" w:rsidRDefault="00DD5207">
            <w:pPr>
              <w:pBdr>
                <w:top w:val="nil"/>
                <w:left w:val="nil"/>
                <w:bottom w:val="nil"/>
                <w:right w:val="nil"/>
                <w:between w:val="nil"/>
              </w:pBdr>
              <w:ind w:left="709" w:hanging="709"/>
              <w:jc w:val="left"/>
              <w:rPr>
                <w:color w:val="000000"/>
                <w:sz w:val="24"/>
              </w:rPr>
            </w:pPr>
            <w:r>
              <w:rPr>
                <w:color w:val="000000"/>
                <w:sz w:val="24"/>
              </w:rPr>
              <w:t>KPI/SLA description</w:t>
            </w:r>
          </w:p>
        </w:tc>
        <w:tc>
          <w:tcPr>
            <w:tcW w:w="1966" w:type="dxa"/>
            <w:shd w:val="clear" w:color="auto" w:fill="B8CCE4"/>
          </w:tcPr>
          <w:p w14:paraId="53441671" w14:textId="77777777" w:rsidR="008E10EF" w:rsidRDefault="00DD5207">
            <w:pPr>
              <w:pBdr>
                <w:top w:val="nil"/>
                <w:left w:val="nil"/>
                <w:bottom w:val="nil"/>
                <w:right w:val="nil"/>
                <w:between w:val="nil"/>
              </w:pBdr>
              <w:ind w:left="709" w:hanging="709"/>
              <w:jc w:val="left"/>
              <w:rPr>
                <w:color w:val="000000"/>
                <w:sz w:val="24"/>
              </w:rPr>
            </w:pPr>
            <w:r>
              <w:rPr>
                <w:color w:val="000000"/>
                <w:sz w:val="24"/>
              </w:rPr>
              <w:t>Target</w:t>
            </w:r>
          </w:p>
        </w:tc>
      </w:tr>
      <w:tr w:rsidR="008E10EF" w14:paraId="53441677" w14:textId="77777777">
        <w:tc>
          <w:tcPr>
            <w:tcW w:w="1276" w:type="dxa"/>
          </w:tcPr>
          <w:p w14:paraId="53441673" w14:textId="77777777" w:rsidR="008E10EF" w:rsidRDefault="00DD5207">
            <w:pPr>
              <w:pBdr>
                <w:top w:val="nil"/>
                <w:left w:val="nil"/>
                <w:bottom w:val="nil"/>
                <w:right w:val="nil"/>
                <w:between w:val="nil"/>
              </w:pBdr>
              <w:ind w:left="709" w:hanging="709"/>
              <w:rPr>
                <w:b w:val="0"/>
                <w:color w:val="000000"/>
                <w:sz w:val="24"/>
              </w:rPr>
            </w:pPr>
            <w:r>
              <w:rPr>
                <w:b w:val="0"/>
                <w:color w:val="000000"/>
                <w:sz w:val="24"/>
              </w:rPr>
              <w:t>1</w:t>
            </w:r>
          </w:p>
        </w:tc>
        <w:tc>
          <w:tcPr>
            <w:tcW w:w="2368" w:type="dxa"/>
          </w:tcPr>
          <w:p w14:paraId="53441674" w14:textId="77777777" w:rsidR="008E10EF" w:rsidRDefault="00DD5207">
            <w:pPr>
              <w:pBdr>
                <w:top w:val="nil"/>
                <w:left w:val="nil"/>
                <w:bottom w:val="nil"/>
                <w:right w:val="nil"/>
                <w:between w:val="nil"/>
              </w:pBdr>
              <w:rPr>
                <w:b w:val="0"/>
                <w:color w:val="000000"/>
                <w:sz w:val="24"/>
              </w:rPr>
            </w:pPr>
            <w:r>
              <w:rPr>
                <w:b w:val="0"/>
                <w:color w:val="000000"/>
                <w:sz w:val="24"/>
              </w:rPr>
              <w:t>Operational</w:t>
            </w:r>
          </w:p>
        </w:tc>
        <w:tc>
          <w:tcPr>
            <w:tcW w:w="3746" w:type="dxa"/>
          </w:tcPr>
          <w:p w14:paraId="53441675" w14:textId="77777777" w:rsidR="008E10EF" w:rsidRDefault="00DD5207">
            <w:pPr>
              <w:pBdr>
                <w:top w:val="nil"/>
                <w:left w:val="nil"/>
                <w:bottom w:val="nil"/>
                <w:right w:val="nil"/>
                <w:between w:val="nil"/>
              </w:pBdr>
              <w:rPr>
                <w:b w:val="0"/>
                <w:color w:val="000000"/>
                <w:sz w:val="24"/>
              </w:rPr>
            </w:pPr>
            <w:r>
              <w:rPr>
                <w:b w:val="0"/>
                <w:color w:val="000000"/>
                <w:sz w:val="24"/>
              </w:rPr>
              <w:t>On-time delivery rate</w:t>
            </w:r>
          </w:p>
        </w:tc>
        <w:tc>
          <w:tcPr>
            <w:tcW w:w="1966" w:type="dxa"/>
          </w:tcPr>
          <w:p w14:paraId="53441676" w14:textId="77777777" w:rsidR="008E10EF" w:rsidRDefault="00DD5207">
            <w:pPr>
              <w:pBdr>
                <w:top w:val="nil"/>
                <w:left w:val="nil"/>
                <w:bottom w:val="nil"/>
                <w:right w:val="nil"/>
                <w:between w:val="nil"/>
              </w:pBdr>
              <w:rPr>
                <w:b w:val="0"/>
                <w:color w:val="000000"/>
                <w:sz w:val="24"/>
              </w:rPr>
            </w:pPr>
            <w:r>
              <w:rPr>
                <w:b w:val="0"/>
                <w:color w:val="000000"/>
                <w:sz w:val="24"/>
              </w:rPr>
              <w:t>95% on time delivery</w:t>
            </w:r>
          </w:p>
        </w:tc>
      </w:tr>
      <w:tr w:rsidR="008E10EF" w14:paraId="5344167C" w14:textId="77777777">
        <w:tc>
          <w:tcPr>
            <w:tcW w:w="1276" w:type="dxa"/>
          </w:tcPr>
          <w:p w14:paraId="53441678" w14:textId="77777777" w:rsidR="008E10EF" w:rsidRDefault="00DD5207">
            <w:pPr>
              <w:pBdr>
                <w:top w:val="nil"/>
                <w:left w:val="nil"/>
                <w:bottom w:val="nil"/>
                <w:right w:val="nil"/>
                <w:between w:val="nil"/>
              </w:pBdr>
              <w:ind w:left="709" w:hanging="709"/>
              <w:rPr>
                <w:b w:val="0"/>
                <w:color w:val="000000"/>
                <w:sz w:val="24"/>
              </w:rPr>
            </w:pPr>
            <w:r>
              <w:rPr>
                <w:b w:val="0"/>
                <w:color w:val="000000"/>
                <w:sz w:val="24"/>
              </w:rPr>
              <w:t>2</w:t>
            </w:r>
          </w:p>
        </w:tc>
        <w:tc>
          <w:tcPr>
            <w:tcW w:w="2368" w:type="dxa"/>
          </w:tcPr>
          <w:p w14:paraId="53441679" w14:textId="77777777" w:rsidR="008E10EF" w:rsidRDefault="00DD5207">
            <w:pPr>
              <w:pBdr>
                <w:top w:val="nil"/>
                <w:left w:val="nil"/>
                <w:bottom w:val="nil"/>
                <w:right w:val="nil"/>
                <w:between w:val="nil"/>
              </w:pBdr>
              <w:rPr>
                <w:b w:val="0"/>
                <w:color w:val="000000"/>
                <w:sz w:val="24"/>
              </w:rPr>
            </w:pPr>
            <w:r>
              <w:rPr>
                <w:b w:val="0"/>
                <w:color w:val="000000"/>
                <w:sz w:val="24"/>
              </w:rPr>
              <w:t>Operational</w:t>
            </w:r>
          </w:p>
        </w:tc>
        <w:tc>
          <w:tcPr>
            <w:tcW w:w="3746" w:type="dxa"/>
          </w:tcPr>
          <w:p w14:paraId="5344167A" w14:textId="77777777" w:rsidR="008E10EF" w:rsidRDefault="00DD5207">
            <w:pPr>
              <w:pBdr>
                <w:top w:val="nil"/>
                <w:left w:val="nil"/>
                <w:bottom w:val="nil"/>
                <w:right w:val="nil"/>
                <w:between w:val="nil"/>
              </w:pBdr>
              <w:rPr>
                <w:b w:val="0"/>
                <w:color w:val="000000"/>
                <w:sz w:val="24"/>
              </w:rPr>
            </w:pPr>
            <w:r>
              <w:rPr>
                <w:b w:val="0"/>
                <w:color w:val="000000"/>
                <w:sz w:val="24"/>
              </w:rPr>
              <w:t xml:space="preserve">Document accuracy </w:t>
            </w:r>
          </w:p>
        </w:tc>
        <w:tc>
          <w:tcPr>
            <w:tcW w:w="1966" w:type="dxa"/>
          </w:tcPr>
          <w:p w14:paraId="5344167B" w14:textId="77777777" w:rsidR="008E10EF" w:rsidRDefault="00DD5207">
            <w:pPr>
              <w:pBdr>
                <w:top w:val="nil"/>
                <w:left w:val="nil"/>
                <w:bottom w:val="nil"/>
                <w:right w:val="nil"/>
                <w:between w:val="nil"/>
              </w:pBdr>
              <w:rPr>
                <w:b w:val="0"/>
                <w:color w:val="000000"/>
                <w:sz w:val="24"/>
              </w:rPr>
            </w:pPr>
            <w:r>
              <w:rPr>
                <w:b w:val="0"/>
                <w:color w:val="000000"/>
                <w:sz w:val="24"/>
              </w:rPr>
              <w:t>Less than 5% revisions</w:t>
            </w:r>
          </w:p>
        </w:tc>
      </w:tr>
      <w:tr w:rsidR="008E10EF" w14:paraId="53441682" w14:textId="77777777">
        <w:tc>
          <w:tcPr>
            <w:tcW w:w="1276" w:type="dxa"/>
          </w:tcPr>
          <w:p w14:paraId="5344167D" w14:textId="77777777" w:rsidR="008E10EF" w:rsidRDefault="00DD5207">
            <w:pPr>
              <w:pBdr>
                <w:top w:val="nil"/>
                <w:left w:val="nil"/>
                <w:bottom w:val="nil"/>
                <w:right w:val="nil"/>
                <w:between w:val="nil"/>
              </w:pBdr>
              <w:ind w:left="709" w:hanging="709"/>
              <w:rPr>
                <w:b w:val="0"/>
                <w:color w:val="000000"/>
                <w:sz w:val="24"/>
              </w:rPr>
            </w:pPr>
            <w:r>
              <w:rPr>
                <w:b w:val="0"/>
                <w:color w:val="000000"/>
                <w:sz w:val="24"/>
              </w:rPr>
              <w:t>3</w:t>
            </w:r>
          </w:p>
        </w:tc>
        <w:tc>
          <w:tcPr>
            <w:tcW w:w="2368" w:type="dxa"/>
          </w:tcPr>
          <w:p w14:paraId="5344167E" w14:textId="77777777" w:rsidR="008E10EF" w:rsidRDefault="00DD5207">
            <w:pPr>
              <w:pBdr>
                <w:top w:val="nil"/>
                <w:left w:val="nil"/>
                <w:bottom w:val="nil"/>
                <w:right w:val="nil"/>
                <w:between w:val="nil"/>
              </w:pBdr>
              <w:rPr>
                <w:b w:val="0"/>
                <w:color w:val="000000"/>
                <w:sz w:val="24"/>
              </w:rPr>
            </w:pPr>
            <w:r>
              <w:rPr>
                <w:b w:val="0"/>
                <w:color w:val="000000"/>
                <w:sz w:val="24"/>
              </w:rPr>
              <w:t>Operational</w:t>
            </w:r>
          </w:p>
          <w:p w14:paraId="5344167F" w14:textId="77777777" w:rsidR="008E10EF" w:rsidRDefault="008E10EF">
            <w:pPr>
              <w:pBdr>
                <w:top w:val="nil"/>
                <w:left w:val="nil"/>
                <w:bottom w:val="nil"/>
                <w:right w:val="nil"/>
                <w:between w:val="nil"/>
              </w:pBdr>
              <w:rPr>
                <w:b w:val="0"/>
                <w:color w:val="000000"/>
                <w:sz w:val="24"/>
              </w:rPr>
            </w:pPr>
          </w:p>
        </w:tc>
        <w:tc>
          <w:tcPr>
            <w:tcW w:w="3746" w:type="dxa"/>
          </w:tcPr>
          <w:p w14:paraId="53441680" w14:textId="77777777" w:rsidR="008E10EF" w:rsidRDefault="00DD5207">
            <w:pPr>
              <w:pBdr>
                <w:top w:val="nil"/>
                <w:left w:val="nil"/>
                <w:bottom w:val="nil"/>
                <w:right w:val="nil"/>
                <w:between w:val="nil"/>
              </w:pBdr>
              <w:rPr>
                <w:b w:val="0"/>
                <w:color w:val="000000"/>
                <w:sz w:val="24"/>
              </w:rPr>
            </w:pPr>
            <w:r>
              <w:rPr>
                <w:b w:val="0"/>
                <w:color w:val="000000"/>
                <w:sz w:val="24"/>
              </w:rPr>
              <w:t xml:space="preserve">Resource utilisation </w:t>
            </w:r>
          </w:p>
        </w:tc>
        <w:tc>
          <w:tcPr>
            <w:tcW w:w="1966" w:type="dxa"/>
          </w:tcPr>
          <w:p w14:paraId="53441681" w14:textId="77777777" w:rsidR="008E10EF" w:rsidRDefault="00DD5207">
            <w:pPr>
              <w:pBdr>
                <w:top w:val="nil"/>
                <w:left w:val="nil"/>
                <w:bottom w:val="nil"/>
                <w:right w:val="nil"/>
                <w:between w:val="nil"/>
              </w:pBdr>
              <w:rPr>
                <w:b w:val="0"/>
                <w:color w:val="000000"/>
                <w:sz w:val="24"/>
              </w:rPr>
            </w:pPr>
            <w:r>
              <w:rPr>
                <w:b w:val="0"/>
                <w:color w:val="000000"/>
                <w:sz w:val="24"/>
              </w:rPr>
              <w:t>Effective use of 95% of resources</w:t>
            </w:r>
          </w:p>
        </w:tc>
      </w:tr>
      <w:tr w:rsidR="008E10EF" w14:paraId="53441688" w14:textId="77777777">
        <w:tc>
          <w:tcPr>
            <w:tcW w:w="1276" w:type="dxa"/>
          </w:tcPr>
          <w:p w14:paraId="53441683" w14:textId="77777777" w:rsidR="008E10EF" w:rsidRDefault="00DD5207">
            <w:pPr>
              <w:pBdr>
                <w:top w:val="nil"/>
                <w:left w:val="nil"/>
                <w:bottom w:val="nil"/>
                <w:right w:val="nil"/>
                <w:between w:val="nil"/>
              </w:pBdr>
              <w:ind w:left="709" w:hanging="709"/>
              <w:rPr>
                <w:b w:val="0"/>
                <w:color w:val="000000"/>
                <w:sz w:val="24"/>
              </w:rPr>
            </w:pPr>
            <w:r>
              <w:rPr>
                <w:b w:val="0"/>
                <w:color w:val="000000"/>
                <w:sz w:val="24"/>
              </w:rPr>
              <w:t>4</w:t>
            </w:r>
          </w:p>
        </w:tc>
        <w:tc>
          <w:tcPr>
            <w:tcW w:w="2368" w:type="dxa"/>
          </w:tcPr>
          <w:p w14:paraId="53441684" w14:textId="77777777" w:rsidR="008E10EF" w:rsidRDefault="00DD5207">
            <w:pPr>
              <w:pBdr>
                <w:top w:val="nil"/>
                <w:left w:val="nil"/>
                <w:bottom w:val="nil"/>
                <w:right w:val="nil"/>
                <w:between w:val="nil"/>
              </w:pBdr>
              <w:rPr>
                <w:b w:val="0"/>
                <w:color w:val="000000"/>
                <w:sz w:val="24"/>
              </w:rPr>
            </w:pPr>
            <w:r>
              <w:rPr>
                <w:b w:val="0"/>
                <w:color w:val="000000"/>
                <w:sz w:val="24"/>
              </w:rPr>
              <w:t xml:space="preserve">Operational </w:t>
            </w:r>
          </w:p>
          <w:p w14:paraId="53441685" w14:textId="77777777" w:rsidR="008E10EF" w:rsidRDefault="008E10EF">
            <w:pPr>
              <w:pBdr>
                <w:top w:val="nil"/>
                <w:left w:val="nil"/>
                <w:bottom w:val="nil"/>
                <w:right w:val="nil"/>
                <w:between w:val="nil"/>
              </w:pBdr>
              <w:rPr>
                <w:b w:val="0"/>
                <w:color w:val="000000"/>
                <w:sz w:val="24"/>
              </w:rPr>
            </w:pPr>
          </w:p>
        </w:tc>
        <w:tc>
          <w:tcPr>
            <w:tcW w:w="3746" w:type="dxa"/>
          </w:tcPr>
          <w:p w14:paraId="53441686" w14:textId="77777777" w:rsidR="008E10EF" w:rsidRDefault="00DD5207">
            <w:pPr>
              <w:pBdr>
                <w:top w:val="nil"/>
                <w:left w:val="nil"/>
                <w:bottom w:val="nil"/>
                <w:right w:val="nil"/>
                <w:between w:val="nil"/>
              </w:pBdr>
              <w:rPr>
                <w:b w:val="0"/>
                <w:color w:val="000000"/>
                <w:sz w:val="24"/>
              </w:rPr>
            </w:pPr>
            <w:r>
              <w:rPr>
                <w:b w:val="0"/>
                <w:color w:val="000000"/>
                <w:sz w:val="24"/>
              </w:rPr>
              <w:t>Adherence to budget</w:t>
            </w:r>
          </w:p>
        </w:tc>
        <w:tc>
          <w:tcPr>
            <w:tcW w:w="1966" w:type="dxa"/>
          </w:tcPr>
          <w:p w14:paraId="53441687" w14:textId="77777777" w:rsidR="008E10EF" w:rsidRDefault="00DD5207">
            <w:pPr>
              <w:pBdr>
                <w:top w:val="nil"/>
                <w:left w:val="nil"/>
                <w:bottom w:val="nil"/>
                <w:right w:val="nil"/>
                <w:between w:val="nil"/>
              </w:pBdr>
              <w:rPr>
                <w:b w:val="0"/>
                <w:color w:val="000000"/>
                <w:sz w:val="24"/>
              </w:rPr>
            </w:pPr>
            <w:r>
              <w:rPr>
                <w:b w:val="0"/>
                <w:color w:val="000000"/>
                <w:sz w:val="24"/>
              </w:rPr>
              <w:t>100% compliance with budget</w:t>
            </w:r>
          </w:p>
        </w:tc>
      </w:tr>
      <w:tr w:rsidR="008E10EF" w14:paraId="5344168E" w14:textId="77777777">
        <w:tc>
          <w:tcPr>
            <w:tcW w:w="1276" w:type="dxa"/>
          </w:tcPr>
          <w:p w14:paraId="53441689" w14:textId="77777777" w:rsidR="008E10EF" w:rsidRDefault="00DD5207">
            <w:pPr>
              <w:pBdr>
                <w:top w:val="nil"/>
                <w:left w:val="nil"/>
                <w:bottom w:val="nil"/>
                <w:right w:val="nil"/>
                <w:between w:val="nil"/>
              </w:pBdr>
              <w:ind w:left="709" w:hanging="709"/>
              <w:rPr>
                <w:b w:val="0"/>
                <w:color w:val="000000"/>
                <w:sz w:val="24"/>
              </w:rPr>
            </w:pPr>
            <w:r>
              <w:rPr>
                <w:b w:val="0"/>
                <w:color w:val="000000"/>
                <w:sz w:val="24"/>
              </w:rPr>
              <w:t>5</w:t>
            </w:r>
          </w:p>
        </w:tc>
        <w:tc>
          <w:tcPr>
            <w:tcW w:w="2368" w:type="dxa"/>
          </w:tcPr>
          <w:p w14:paraId="5344168A" w14:textId="77777777" w:rsidR="008E10EF" w:rsidRDefault="00DD5207">
            <w:pPr>
              <w:pBdr>
                <w:top w:val="nil"/>
                <w:left w:val="nil"/>
                <w:bottom w:val="nil"/>
                <w:right w:val="nil"/>
                <w:between w:val="nil"/>
              </w:pBdr>
              <w:rPr>
                <w:b w:val="0"/>
                <w:color w:val="000000"/>
                <w:sz w:val="24"/>
              </w:rPr>
            </w:pPr>
            <w:r>
              <w:rPr>
                <w:b w:val="0"/>
                <w:color w:val="000000"/>
                <w:sz w:val="24"/>
              </w:rPr>
              <w:t>Client satisfaction</w:t>
            </w:r>
          </w:p>
          <w:p w14:paraId="5344168B" w14:textId="77777777" w:rsidR="008E10EF" w:rsidRDefault="008E10EF">
            <w:pPr>
              <w:pBdr>
                <w:top w:val="nil"/>
                <w:left w:val="nil"/>
                <w:bottom w:val="nil"/>
                <w:right w:val="nil"/>
                <w:between w:val="nil"/>
              </w:pBdr>
              <w:rPr>
                <w:b w:val="0"/>
                <w:color w:val="000000"/>
                <w:sz w:val="24"/>
              </w:rPr>
            </w:pPr>
          </w:p>
        </w:tc>
        <w:tc>
          <w:tcPr>
            <w:tcW w:w="3746" w:type="dxa"/>
          </w:tcPr>
          <w:p w14:paraId="5344168C" w14:textId="77777777" w:rsidR="008E10EF" w:rsidRDefault="00DD5207">
            <w:pPr>
              <w:pBdr>
                <w:top w:val="nil"/>
                <w:left w:val="nil"/>
                <w:bottom w:val="nil"/>
                <w:right w:val="nil"/>
                <w:between w:val="nil"/>
              </w:pBdr>
              <w:rPr>
                <w:b w:val="0"/>
                <w:color w:val="000000"/>
                <w:sz w:val="24"/>
              </w:rPr>
            </w:pPr>
            <w:r>
              <w:rPr>
                <w:b w:val="0"/>
                <w:color w:val="000000"/>
                <w:sz w:val="24"/>
              </w:rPr>
              <w:t>Client feedback/survey scores</w:t>
            </w:r>
          </w:p>
        </w:tc>
        <w:tc>
          <w:tcPr>
            <w:tcW w:w="1966" w:type="dxa"/>
          </w:tcPr>
          <w:p w14:paraId="5344168D" w14:textId="77777777" w:rsidR="008E10EF" w:rsidRDefault="00DD5207">
            <w:pPr>
              <w:pBdr>
                <w:top w:val="nil"/>
                <w:left w:val="nil"/>
                <w:bottom w:val="nil"/>
                <w:right w:val="nil"/>
                <w:between w:val="nil"/>
              </w:pBdr>
              <w:rPr>
                <w:b w:val="0"/>
                <w:color w:val="000000"/>
                <w:sz w:val="24"/>
              </w:rPr>
            </w:pPr>
            <w:r>
              <w:rPr>
                <w:b w:val="0"/>
                <w:color w:val="000000"/>
                <w:sz w:val="24"/>
              </w:rPr>
              <w:t>Average rating &gt; 4.5/5</w:t>
            </w:r>
          </w:p>
        </w:tc>
      </w:tr>
      <w:tr w:rsidR="008E10EF" w14:paraId="53441693" w14:textId="77777777">
        <w:tc>
          <w:tcPr>
            <w:tcW w:w="1276" w:type="dxa"/>
          </w:tcPr>
          <w:p w14:paraId="5344168F" w14:textId="77777777" w:rsidR="008E10EF" w:rsidRDefault="00DD5207">
            <w:pPr>
              <w:pBdr>
                <w:top w:val="nil"/>
                <w:left w:val="nil"/>
                <w:bottom w:val="nil"/>
                <w:right w:val="nil"/>
                <w:between w:val="nil"/>
              </w:pBdr>
              <w:ind w:left="709" w:hanging="709"/>
              <w:rPr>
                <w:b w:val="0"/>
                <w:color w:val="000000"/>
                <w:sz w:val="24"/>
              </w:rPr>
            </w:pPr>
            <w:r>
              <w:rPr>
                <w:b w:val="0"/>
                <w:color w:val="000000"/>
                <w:sz w:val="24"/>
              </w:rPr>
              <w:t>6</w:t>
            </w:r>
          </w:p>
        </w:tc>
        <w:tc>
          <w:tcPr>
            <w:tcW w:w="2368" w:type="dxa"/>
          </w:tcPr>
          <w:p w14:paraId="53441690" w14:textId="77777777" w:rsidR="008E10EF" w:rsidRDefault="00DD5207">
            <w:pPr>
              <w:pBdr>
                <w:top w:val="nil"/>
                <w:left w:val="nil"/>
                <w:bottom w:val="nil"/>
                <w:right w:val="nil"/>
                <w:between w:val="nil"/>
              </w:pBdr>
              <w:rPr>
                <w:b w:val="0"/>
                <w:color w:val="000000"/>
                <w:sz w:val="24"/>
              </w:rPr>
            </w:pPr>
            <w:r>
              <w:rPr>
                <w:b w:val="0"/>
                <w:color w:val="000000"/>
                <w:sz w:val="24"/>
              </w:rPr>
              <w:t>Engagement</w:t>
            </w:r>
          </w:p>
        </w:tc>
        <w:tc>
          <w:tcPr>
            <w:tcW w:w="3746" w:type="dxa"/>
          </w:tcPr>
          <w:p w14:paraId="53441691" w14:textId="77777777" w:rsidR="008E10EF" w:rsidRDefault="00DD5207">
            <w:pPr>
              <w:pBdr>
                <w:top w:val="nil"/>
                <w:left w:val="nil"/>
                <w:bottom w:val="nil"/>
                <w:right w:val="nil"/>
                <w:between w:val="nil"/>
              </w:pBdr>
              <w:rPr>
                <w:b w:val="0"/>
                <w:color w:val="000000"/>
                <w:sz w:val="24"/>
              </w:rPr>
            </w:pPr>
            <w:r>
              <w:rPr>
                <w:b w:val="0"/>
                <w:color w:val="000000"/>
                <w:sz w:val="24"/>
              </w:rPr>
              <w:t>Meeting attendance</w:t>
            </w:r>
          </w:p>
        </w:tc>
        <w:tc>
          <w:tcPr>
            <w:tcW w:w="1966" w:type="dxa"/>
          </w:tcPr>
          <w:p w14:paraId="53441692" w14:textId="77777777" w:rsidR="008E10EF" w:rsidRDefault="00DD5207">
            <w:pPr>
              <w:pBdr>
                <w:top w:val="nil"/>
                <w:left w:val="nil"/>
                <w:bottom w:val="nil"/>
                <w:right w:val="nil"/>
                <w:between w:val="nil"/>
              </w:pBdr>
              <w:rPr>
                <w:b w:val="0"/>
                <w:color w:val="000000"/>
                <w:sz w:val="24"/>
              </w:rPr>
            </w:pPr>
            <w:r>
              <w:rPr>
                <w:b w:val="0"/>
                <w:color w:val="000000"/>
                <w:sz w:val="24"/>
              </w:rPr>
              <w:t>100% attendance</w:t>
            </w:r>
          </w:p>
        </w:tc>
      </w:tr>
      <w:tr w:rsidR="008E10EF" w14:paraId="53441698" w14:textId="77777777">
        <w:tc>
          <w:tcPr>
            <w:tcW w:w="1276" w:type="dxa"/>
          </w:tcPr>
          <w:p w14:paraId="53441694" w14:textId="77777777" w:rsidR="008E10EF" w:rsidRDefault="00DD5207">
            <w:pPr>
              <w:pBdr>
                <w:top w:val="nil"/>
                <w:left w:val="nil"/>
                <w:bottom w:val="nil"/>
                <w:right w:val="nil"/>
                <w:between w:val="nil"/>
              </w:pBdr>
              <w:ind w:left="709" w:hanging="709"/>
              <w:jc w:val="left"/>
              <w:rPr>
                <w:b w:val="0"/>
                <w:color w:val="000000"/>
                <w:sz w:val="24"/>
              </w:rPr>
            </w:pPr>
            <w:r>
              <w:rPr>
                <w:b w:val="0"/>
                <w:color w:val="000000"/>
                <w:sz w:val="24"/>
              </w:rPr>
              <w:t>7</w:t>
            </w:r>
          </w:p>
        </w:tc>
        <w:tc>
          <w:tcPr>
            <w:tcW w:w="2368" w:type="dxa"/>
          </w:tcPr>
          <w:p w14:paraId="53441695" w14:textId="77777777" w:rsidR="008E10EF" w:rsidRDefault="00DD5207">
            <w:pPr>
              <w:pBdr>
                <w:top w:val="nil"/>
                <w:left w:val="nil"/>
                <w:bottom w:val="nil"/>
                <w:right w:val="nil"/>
                <w:between w:val="nil"/>
              </w:pBdr>
              <w:ind w:left="709" w:hanging="709"/>
              <w:jc w:val="left"/>
              <w:rPr>
                <w:b w:val="0"/>
                <w:color w:val="000000"/>
                <w:sz w:val="24"/>
              </w:rPr>
            </w:pPr>
            <w:r>
              <w:rPr>
                <w:b w:val="0"/>
                <w:color w:val="000000"/>
                <w:sz w:val="24"/>
              </w:rPr>
              <w:t xml:space="preserve">Engagement </w:t>
            </w:r>
          </w:p>
        </w:tc>
        <w:tc>
          <w:tcPr>
            <w:tcW w:w="3746" w:type="dxa"/>
          </w:tcPr>
          <w:p w14:paraId="53441696" w14:textId="77777777" w:rsidR="008E10EF" w:rsidRDefault="00DD5207">
            <w:pPr>
              <w:pBdr>
                <w:top w:val="nil"/>
                <w:left w:val="nil"/>
                <w:bottom w:val="nil"/>
                <w:right w:val="nil"/>
                <w:between w:val="nil"/>
              </w:pBdr>
              <w:jc w:val="left"/>
              <w:rPr>
                <w:b w:val="0"/>
                <w:color w:val="000000"/>
                <w:sz w:val="24"/>
              </w:rPr>
            </w:pPr>
            <w:r>
              <w:rPr>
                <w:b w:val="0"/>
                <w:color w:val="000000"/>
                <w:sz w:val="24"/>
              </w:rPr>
              <w:t>Workshop effectiveness</w:t>
            </w:r>
          </w:p>
        </w:tc>
        <w:tc>
          <w:tcPr>
            <w:tcW w:w="1966" w:type="dxa"/>
          </w:tcPr>
          <w:p w14:paraId="53441697" w14:textId="77777777" w:rsidR="008E10EF" w:rsidRDefault="00DD5207">
            <w:pPr>
              <w:pBdr>
                <w:top w:val="nil"/>
                <w:left w:val="nil"/>
                <w:bottom w:val="nil"/>
                <w:right w:val="nil"/>
                <w:between w:val="nil"/>
              </w:pBdr>
              <w:jc w:val="left"/>
              <w:rPr>
                <w:b w:val="0"/>
                <w:color w:val="000000"/>
                <w:sz w:val="24"/>
              </w:rPr>
            </w:pPr>
            <w:r>
              <w:rPr>
                <w:b w:val="0"/>
                <w:color w:val="000000"/>
                <w:sz w:val="24"/>
              </w:rPr>
              <w:t>Feedback score &gt;4.5/5</w:t>
            </w:r>
          </w:p>
        </w:tc>
      </w:tr>
    </w:tbl>
    <w:p w14:paraId="53441699" w14:textId="77777777" w:rsidR="008E10EF" w:rsidRDefault="008E10EF"/>
    <w:p w14:paraId="5344169A" w14:textId="77777777" w:rsidR="008E10EF" w:rsidRDefault="00DD5207">
      <w:pPr>
        <w:pStyle w:val="Heading2"/>
        <w:numPr>
          <w:ilvl w:val="1"/>
          <w:numId w:val="1"/>
        </w:numPr>
        <w:spacing w:after="0"/>
        <w:ind w:left="709" w:hanging="709"/>
        <w:jc w:val="left"/>
        <w:rPr>
          <w:sz w:val="24"/>
          <w:szCs w:val="24"/>
        </w:rPr>
      </w:pPr>
      <w:r>
        <w:rPr>
          <w:sz w:val="24"/>
          <w:szCs w:val="24"/>
        </w:rPr>
        <w:t xml:space="preserve">Attendance at contract review meetings shall be at the supplier’s own expense.  Unless there is a further need to attend site identified by the supplier, then only the kick off meeting will be in person at UKAEA </w:t>
      </w:r>
      <w:proofErr w:type="spellStart"/>
      <w:r>
        <w:rPr>
          <w:sz w:val="24"/>
          <w:szCs w:val="24"/>
        </w:rPr>
        <w:t>Culham</w:t>
      </w:r>
      <w:proofErr w:type="spellEnd"/>
      <w:r>
        <w:rPr>
          <w:sz w:val="24"/>
          <w:szCs w:val="24"/>
        </w:rPr>
        <w:t xml:space="preserve"> </w:t>
      </w:r>
      <w:r>
        <w:rPr>
          <w:sz w:val="24"/>
          <w:szCs w:val="24"/>
        </w:rPr>
        <w:lastRenderedPageBreak/>
        <w:t>Science Centre, Abingdon.  It is anti</w:t>
      </w:r>
      <w:r>
        <w:rPr>
          <w:sz w:val="24"/>
          <w:szCs w:val="24"/>
        </w:rPr>
        <w:t>cipated that the kick off meeting will be 1 day as tours of the facility and key introductions will be included.  The workshops and fortnightly meetings can all be held remotely.</w:t>
      </w:r>
    </w:p>
    <w:p w14:paraId="5344169B" w14:textId="77777777" w:rsidR="008E10EF" w:rsidRDefault="008E10EF">
      <w:pPr>
        <w:tabs>
          <w:tab w:val="left" w:pos="1392"/>
        </w:tabs>
        <w:rPr>
          <w:sz w:val="20"/>
          <w:szCs w:val="20"/>
        </w:rPr>
      </w:pPr>
    </w:p>
    <w:p w14:paraId="5344169C" w14:textId="77777777" w:rsidR="008E10EF" w:rsidRDefault="008E10EF">
      <w:pPr>
        <w:tabs>
          <w:tab w:val="left" w:pos="1392"/>
        </w:tabs>
        <w:rPr>
          <w:sz w:val="20"/>
          <w:szCs w:val="20"/>
        </w:rPr>
      </w:pPr>
    </w:p>
    <w:p w14:paraId="5344169D" w14:textId="77777777" w:rsidR="008E10EF" w:rsidRDefault="00DD5207">
      <w:pPr>
        <w:pStyle w:val="Heading1"/>
        <w:ind w:left="567" w:hanging="567"/>
        <w:rPr>
          <w:sz w:val="28"/>
          <w:szCs w:val="28"/>
        </w:rPr>
      </w:pPr>
      <w:bookmarkStart w:id="23" w:name="_heading=h.3whwml4" w:colFirst="0" w:colLast="0"/>
      <w:bookmarkEnd w:id="23"/>
      <w:r>
        <w:rPr>
          <w:sz w:val="28"/>
          <w:szCs w:val="28"/>
        </w:rPr>
        <w:t>Annexes</w:t>
      </w:r>
    </w:p>
    <w:p w14:paraId="5344169E" w14:textId="77777777" w:rsidR="008E10EF" w:rsidRDefault="00DD5207">
      <w:pPr>
        <w:pBdr>
          <w:top w:val="nil"/>
          <w:left w:val="nil"/>
          <w:bottom w:val="nil"/>
          <w:right w:val="nil"/>
          <w:between w:val="nil"/>
        </w:pBdr>
        <w:spacing w:after="120"/>
        <w:jc w:val="both"/>
        <w:rPr>
          <w:color w:val="000000"/>
          <w:sz w:val="24"/>
        </w:rPr>
      </w:pPr>
      <w:r>
        <w:rPr>
          <w:color w:val="000000"/>
          <w:sz w:val="24"/>
        </w:rPr>
        <w:t>A.  Economic Case Template</w:t>
      </w:r>
    </w:p>
    <w:p w14:paraId="5344169F" w14:textId="77777777" w:rsidR="008E10EF" w:rsidRDefault="00DD5207">
      <w:pPr>
        <w:pBdr>
          <w:top w:val="nil"/>
          <w:left w:val="nil"/>
          <w:bottom w:val="nil"/>
          <w:right w:val="nil"/>
          <w:between w:val="nil"/>
        </w:pBdr>
        <w:spacing w:after="120"/>
        <w:jc w:val="both"/>
        <w:rPr>
          <w:color w:val="000000"/>
          <w:sz w:val="24"/>
        </w:rPr>
      </w:pPr>
      <w:r>
        <w:rPr>
          <w:color w:val="000000"/>
          <w:sz w:val="24"/>
        </w:rPr>
        <w:t>B. Summary Level JDR Benefits Map</w:t>
      </w:r>
    </w:p>
    <w:p w14:paraId="534416A0" w14:textId="77777777" w:rsidR="008E10EF" w:rsidRDefault="008E10EF">
      <w:pPr>
        <w:pBdr>
          <w:top w:val="nil"/>
          <w:left w:val="nil"/>
          <w:bottom w:val="nil"/>
          <w:right w:val="nil"/>
          <w:between w:val="nil"/>
        </w:pBdr>
        <w:spacing w:after="120"/>
        <w:jc w:val="both"/>
        <w:rPr>
          <w:color w:val="000000"/>
        </w:rPr>
      </w:pPr>
    </w:p>
    <w:p w14:paraId="534416A1" w14:textId="77777777" w:rsidR="008E10EF" w:rsidRDefault="008E10EF">
      <w:pPr>
        <w:pBdr>
          <w:top w:val="nil"/>
          <w:left w:val="nil"/>
          <w:bottom w:val="nil"/>
          <w:right w:val="nil"/>
          <w:between w:val="nil"/>
        </w:pBdr>
        <w:spacing w:after="120"/>
        <w:jc w:val="both"/>
        <w:rPr>
          <w:color w:val="000000"/>
        </w:rPr>
      </w:pPr>
    </w:p>
    <w:p w14:paraId="534416A2" w14:textId="77777777" w:rsidR="008E10EF" w:rsidRDefault="008E10EF">
      <w:pPr>
        <w:pBdr>
          <w:top w:val="nil"/>
          <w:left w:val="nil"/>
          <w:bottom w:val="nil"/>
          <w:right w:val="nil"/>
          <w:between w:val="nil"/>
        </w:pBdr>
        <w:spacing w:after="120"/>
        <w:jc w:val="both"/>
        <w:rPr>
          <w:color w:val="000000"/>
        </w:rPr>
      </w:pPr>
    </w:p>
    <w:p w14:paraId="534416A3" w14:textId="77777777" w:rsidR="008E10EF" w:rsidRDefault="008E10EF">
      <w:pPr>
        <w:pBdr>
          <w:top w:val="nil"/>
          <w:left w:val="nil"/>
          <w:bottom w:val="nil"/>
          <w:right w:val="nil"/>
          <w:between w:val="nil"/>
        </w:pBdr>
        <w:spacing w:after="120"/>
        <w:jc w:val="both"/>
        <w:rPr>
          <w:color w:val="000000"/>
        </w:rPr>
      </w:pPr>
    </w:p>
    <w:p w14:paraId="534416A4" w14:textId="77777777" w:rsidR="008E10EF" w:rsidRDefault="008E10EF">
      <w:pPr>
        <w:pBdr>
          <w:top w:val="nil"/>
          <w:left w:val="nil"/>
          <w:bottom w:val="nil"/>
          <w:right w:val="nil"/>
          <w:between w:val="nil"/>
        </w:pBdr>
        <w:spacing w:after="120"/>
        <w:jc w:val="both"/>
        <w:rPr>
          <w:color w:val="000000"/>
        </w:rPr>
      </w:pPr>
    </w:p>
    <w:p w14:paraId="534416A5" w14:textId="77777777" w:rsidR="008E10EF" w:rsidRDefault="008E10EF">
      <w:pPr>
        <w:pBdr>
          <w:top w:val="nil"/>
          <w:left w:val="nil"/>
          <w:bottom w:val="nil"/>
          <w:right w:val="nil"/>
          <w:between w:val="nil"/>
        </w:pBdr>
        <w:spacing w:after="120"/>
        <w:jc w:val="both"/>
        <w:rPr>
          <w:color w:val="000000"/>
        </w:rPr>
      </w:pPr>
    </w:p>
    <w:p w14:paraId="534416A6" w14:textId="77777777" w:rsidR="008E10EF" w:rsidRDefault="008E10EF">
      <w:pPr>
        <w:pBdr>
          <w:top w:val="nil"/>
          <w:left w:val="nil"/>
          <w:bottom w:val="nil"/>
          <w:right w:val="nil"/>
          <w:between w:val="nil"/>
        </w:pBdr>
        <w:spacing w:after="120"/>
        <w:jc w:val="both"/>
        <w:rPr>
          <w:color w:val="000000"/>
        </w:rPr>
      </w:pPr>
    </w:p>
    <w:p w14:paraId="534416A7" w14:textId="77777777" w:rsidR="008E10EF" w:rsidRDefault="008E10EF">
      <w:pPr>
        <w:tabs>
          <w:tab w:val="left" w:pos="1392"/>
        </w:tabs>
        <w:rPr>
          <w:sz w:val="20"/>
          <w:szCs w:val="20"/>
        </w:rPr>
      </w:pPr>
    </w:p>
    <w:p w14:paraId="534416A8" w14:textId="77777777" w:rsidR="008E10EF" w:rsidRDefault="008E10EF">
      <w:pPr>
        <w:tabs>
          <w:tab w:val="left" w:pos="1392"/>
        </w:tabs>
        <w:rPr>
          <w:sz w:val="20"/>
          <w:szCs w:val="20"/>
        </w:rPr>
      </w:pPr>
    </w:p>
    <w:sectPr w:rsidR="008E10EF">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16BD" w14:textId="77777777" w:rsidR="00000000" w:rsidRDefault="00DD5207">
      <w:r>
        <w:separator/>
      </w:r>
    </w:p>
  </w:endnote>
  <w:endnote w:type="continuationSeparator" w:id="0">
    <w:p w14:paraId="534416BF" w14:textId="77777777" w:rsidR="00000000" w:rsidRDefault="00DD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6B0" w14:textId="77777777" w:rsidR="008E10EF" w:rsidRDefault="008E10EF">
    <w:pPr>
      <w:pBdr>
        <w:top w:val="nil"/>
        <w:left w:val="nil"/>
        <w:bottom w:val="nil"/>
        <w:right w:val="nil"/>
        <w:between w:val="nil"/>
      </w:pBdr>
      <w:tabs>
        <w:tab w:val="center" w:pos="4153"/>
        <w:tab w:val="right" w:pos="8306"/>
      </w:tabs>
      <w:rPr>
        <w:color w:val="000000"/>
      </w:rPr>
    </w:pPr>
  </w:p>
  <w:p w14:paraId="534416B1" w14:textId="77777777" w:rsidR="008E10EF" w:rsidRDefault="008E10EF"/>
  <w:p w14:paraId="534416B2" w14:textId="77777777" w:rsidR="008E10EF" w:rsidRDefault="008E10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6B3" w14:textId="77777777" w:rsidR="008E10EF" w:rsidRDefault="008E10EF">
    <w:pPr>
      <w:pBdr>
        <w:top w:val="nil"/>
        <w:left w:val="nil"/>
        <w:bottom w:val="nil"/>
        <w:right w:val="nil"/>
        <w:between w:val="nil"/>
      </w:pBdr>
      <w:tabs>
        <w:tab w:val="center" w:pos="4153"/>
        <w:tab w:val="right" w:pos="8306"/>
      </w:tabs>
      <w:jc w:val="center"/>
      <w:rPr>
        <w:color w:val="000000"/>
      </w:rPr>
    </w:pPr>
  </w:p>
  <w:p w14:paraId="534416B4" w14:textId="77777777" w:rsidR="008E10EF" w:rsidRDefault="00DD5207">
    <w:r>
      <w:t>Framework Ref: RM6187</w:t>
    </w:r>
    <w:r>
      <w:tab/>
    </w:r>
    <w:r>
      <w:tab/>
      <w:t xml:space="preserve"> </w:t>
    </w:r>
  </w:p>
  <w:p w14:paraId="534416B5" w14:textId="77777777" w:rsidR="008E10EF" w:rsidRDefault="00DD5207">
    <w:r>
      <w:t>Model Version: v3.0</w:t>
    </w:r>
  </w:p>
  <w:p w14:paraId="534416B6" w14:textId="77777777" w:rsidR="008E10EF" w:rsidRDefault="008E10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6B8" w14:textId="77777777" w:rsidR="008E10EF" w:rsidRDefault="008E10E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16B9" w14:textId="77777777" w:rsidR="00000000" w:rsidRDefault="00DD5207">
      <w:r>
        <w:separator/>
      </w:r>
    </w:p>
  </w:footnote>
  <w:footnote w:type="continuationSeparator" w:id="0">
    <w:p w14:paraId="534416BB" w14:textId="77777777" w:rsidR="00000000" w:rsidRDefault="00DD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6A9" w14:textId="77777777" w:rsidR="008E10EF" w:rsidRDefault="008E10EF">
    <w:pPr>
      <w:pBdr>
        <w:top w:val="nil"/>
        <w:left w:val="nil"/>
        <w:bottom w:val="nil"/>
        <w:right w:val="nil"/>
        <w:between w:val="nil"/>
      </w:pBdr>
      <w:tabs>
        <w:tab w:val="center" w:pos="4153"/>
        <w:tab w:val="right" w:pos="8306"/>
      </w:tabs>
      <w:rPr>
        <w:color w:val="000000"/>
      </w:rPr>
    </w:pPr>
  </w:p>
  <w:p w14:paraId="534416AA" w14:textId="77777777" w:rsidR="008E10EF" w:rsidRDefault="008E10EF"/>
  <w:p w14:paraId="534416AB" w14:textId="77777777" w:rsidR="008E10EF" w:rsidRDefault="008E10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6AC" w14:textId="77777777" w:rsidR="008E10EF" w:rsidRDefault="008E10EF">
    <w:pPr>
      <w:pBdr>
        <w:top w:val="nil"/>
        <w:left w:val="nil"/>
        <w:bottom w:val="nil"/>
        <w:right w:val="nil"/>
        <w:between w:val="nil"/>
      </w:pBdr>
      <w:tabs>
        <w:tab w:val="center" w:pos="4153"/>
        <w:tab w:val="right" w:pos="8306"/>
      </w:tabs>
      <w:jc w:val="center"/>
      <w:rPr>
        <w:color w:val="000000"/>
        <w:sz w:val="20"/>
        <w:szCs w:val="20"/>
        <w:highlight w:val="yellow"/>
      </w:rPr>
    </w:pPr>
  </w:p>
  <w:p w14:paraId="534416AD" w14:textId="77777777" w:rsidR="008E10EF" w:rsidRDefault="008E10EF">
    <w:pPr>
      <w:pBdr>
        <w:top w:val="nil"/>
        <w:left w:val="nil"/>
        <w:bottom w:val="nil"/>
        <w:right w:val="nil"/>
        <w:between w:val="nil"/>
      </w:pBdr>
      <w:tabs>
        <w:tab w:val="center" w:pos="4153"/>
        <w:tab w:val="right" w:pos="8306"/>
      </w:tabs>
      <w:rPr>
        <w:color w:val="000000"/>
      </w:rPr>
    </w:pPr>
  </w:p>
  <w:p w14:paraId="534416AE" w14:textId="77777777" w:rsidR="008E10EF" w:rsidRDefault="008E10EF"/>
  <w:p w14:paraId="534416AF" w14:textId="77777777" w:rsidR="008E10EF" w:rsidRDefault="008E10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6B7" w14:textId="77777777" w:rsidR="008E10EF" w:rsidRDefault="008E10E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57826"/>
    <w:multiLevelType w:val="multilevel"/>
    <w:tmpl w:val="1EFE3F54"/>
    <w:lvl w:ilvl="0">
      <w:start w:val="1"/>
      <w:numFmt w:val="decimal"/>
      <w:lvlText w:val="%1."/>
      <w:lvlJc w:val="left"/>
      <w:pPr>
        <w:ind w:left="360" w:hanging="360"/>
      </w:pPr>
    </w:lvl>
    <w:lvl w:ilvl="1">
      <w:start w:val="1"/>
      <w:numFmt w:val="decimal"/>
      <w:lvlText w:val="%1.%2."/>
      <w:lvlJc w:val="left"/>
      <w:pPr>
        <w:ind w:left="1069" w:hanging="360"/>
      </w:pPr>
      <w:rPr>
        <w:shd w:val="clear" w:color="auto" w:fill="aut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646A71DF"/>
    <w:multiLevelType w:val="multilevel"/>
    <w:tmpl w:val="AAB2E3D8"/>
    <w:lvl w:ilvl="0">
      <w:start w:val="1"/>
      <w:numFmt w:val="bullet"/>
      <w:pStyle w:val="BodyTextIndent"/>
      <w:lvlText w:val="●"/>
      <w:lvlJc w:val="left"/>
      <w:pPr>
        <w:ind w:left="1287" w:hanging="360"/>
      </w:pPr>
      <w:rPr>
        <w:rFonts w:ascii="Noto Sans Symbols" w:eastAsia="Noto Sans Symbols" w:hAnsi="Noto Sans Symbols" w:cs="Noto Sans Symbols"/>
      </w:rPr>
    </w:lvl>
    <w:lvl w:ilvl="1">
      <w:start w:val="1"/>
      <w:numFmt w:val="bullet"/>
      <w:pStyle w:val="BodyTextIndent2"/>
      <w:lvlText w:val="o"/>
      <w:lvlJc w:val="left"/>
      <w:pPr>
        <w:ind w:left="2007" w:hanging="360"/>
      </w:pPr>
      <w:rPr>
        <w:rFonts w:ascii="Courier New" w:eastAsia="Courier New" w:hAnsi="Courier New" w:cs="Courier New"/>
      </w:rPr>
    </w:lvl>
    <w:lvl w:ilvl="2">
      <w:start w:val="1"/>
      <w:numFmt w:val="bullet"/>
      <w:pStyle w:val="DefinitionNumbering1"/>
      <w:lvlText w:val="▪"/>
      <w:lvlJc w:val="left"/>
      <w:pPr>
        <w:ind w:left="2727" w:hanging="360"/>
      </w:pPr>
      <w:rPr>
        <w:rFonts w:ascii="Noto Sans Symbols" w:eastAsia="Noto Sans Symbols" w:hAnsi="Noto Sans Symbols" w:cs="Noto Sans Symbols"/>
      </w:rPr>
    </w:lvl>
    <w:lvl w:ilvl="3">
      <w:start w:val="1"/>
      <w:numFmt w:val="bullet"/>
      <w:pStyle w:val="DefinitionNumbering2"/>
      <w:lvlText w:val="●"/>
      <w:lvlJc w:val="left"/>
      <w:pPr>
        <w:ind w:left="3447" w:hanging="360"/>
      </w:pPr>
      <w:rPr>
        <w:rFonts w:ascii="Noto Sans Symbols" w:eastAsia="Noto Sans Symbols" w:hAnsi="Noto Sans Symbols" w:cs="Noto Sans Symbols"/>
      </w:rPr>
    </w:lvl>
    <w:lvl w:ilvl="4">
      <w:start w:val="1"/>
      <w:numFmt w:val="bullet"/>
      <w:pStyle w:val="DefinitionNumbering3"/>
      <w:lvlText w:val="o"/>
      <w:lvlJc w:val="left"/>
      <w:pPr>
        <w:ind w:left="4167" w:hanging="360"/>
      </w:pPr>
      <w:rPr>
        <w:rFonts w:ascii="Courier New" w:eastAsia="Courier New" w:hAnsi="Courier New" w:cs="Courier New"/>
      </w:rPr>
    </w:lvl>
    <w:lvl w:ilvl="5">
      <w:start w:val="1"/>
      <w:numFmt w:val="bullet"/>
      <w:pStyle w:val="DefinitionNumbering4"/>
      <w:lvlText w:val="▪"/>
      <w:lvlJc w:val="left"/>
      <w:pPr>
        <w:ind w:left="4887" w:hanging="360"/>
      </w:pPr>
      <w:rPr>
        <w:rFonts w:ascii="Noto Sans Symbols" w:eastAsia="Noto Sans Symbols" w:hAnsi="Noto Sans Symbols" w:cs="Noto Sans Symbols"/>
      </w:rPr>
    </w:lvl>
    <w:lvl w:ilvl="6">
      <w:start w:val="1"/>
      <w:numFmt w:val="bullet"/>
      <w:pStyle w:val="DefinitionNumbering5"/>
      <w:lvlText w:val="●"/>
      <w:lvlJc w:val="left"/>
      <w:pPr>
        <w:ind w:left="5607" w:hanging="360"/>
      </w:pPr>
      <w:rPr>
        <w:rFonts w:ascii="Noto Sans Symbols" w:eastAsia="Noto Sans Symbols" w:hAnsi="Noto Sans Symbols" w:cs="Noto Sans Symbols"/>
      </w:rPr>
    </w:lvl>
    <w:lvl w:ilvl="7">
      <w:start w:val="1"/>
      <w:numFmt w:val="bullet"/>
      <w:pStyle w:val="DefinitionNumbering6"/>
      <w:lvlText w:val="o"/>
      <w:lvlJc w:val="left"/>
      <w:pPr>
        <w:ind w:left="6327" w:hanging="360"/>
      </w:pPr>
      <w:rPr>
        <w:rFonts w:ascii="Courier New" w:eastAsia="Courier New" w:hAnsi="Courier New" w:cs="Courier New"/>
      </w:rPr>
    </w:lvl>
    <w:lvl w:ilvl="8">
      <w:start w:val="1"/>
      <w:numFmt w:val="bullet"/>
      <w:pStyle w:val="DefinitionNumbering7"/>
      <w:lvlText w:val="▪"/>
      <w:lvlJc w:val="left"/>
      <w:pPr>
        <w:ind w:left="7047" w:hanging="360"/>
      </w:pPr>
      <w:rPr>
        <w:rFonts w:ascii="Noto Sans Symbols" w:eastAsia="Noto Sans Symbols" w:hAnsi="Noto Sans Symbols" w:cs="Noto Sans Symbols"/>
      </w:rPr>
    </w:lvl>
  </w:abstractNum>
  <w:abstractNum w:abstractNumId="2" w15:restartNumberingAfterBreak="0">
    <w:nsid w:val="75A8005C"/>
    <w:multiLevelType w:val="multilevel"/>
    <w:tmpl w:val="FDD802E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75F05BC3"/>
    <w:multiLevelType w:val="multilevel"/>
    <w:tmpl w:val="323C9510"/>
    <w:lvl w:ilvl="0">
      <w:start w:val="15"/>
      <w:numFmt w:val="decimal"/>
      <w:lvlText w:val="%1."/>
      <w:lvlJc w:val="left"/>
      <w:pPr>
        <w:ind w:left="720" w:hanging="720"/>
      </w:pPr>
      <w:rPr>
        <w:smallCaps w:val="0"/>
      </w:rPr>
    </w:lvl>
    <w:lvl w:ilvl="1">
      <w:start w:val="2"/>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784D7232"/>
    <w:multiLevelType w:val="multilevel"/>
    <w:tmpl w:val="7AC43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345"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AD412D"/>
    <w:multiLevelType w:val="multilevel"/>
    <w:tmpl w:val="4BDA640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smallCaps w:val="0"/>
        <w:sz w:val="22"/>
        <w:szCs w:val="22"/>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EF"/>
    <w:rsid w:val="001A3E41"/>
    <w:rsid w:val="008E10EF"/>
    <w:rsid w:val="00DD5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154C"/>
  <w15:docId w15:val="{DD9563D5-B659-4FA8-9AEE-1E0593A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semiHidden/>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9">
    <w:name w:val="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8">
    <w:name w:val="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7">
    <w:name w:val="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6">
    <w:name w:val="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2">
    <w:name w:val="1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1">
    <w:name w:val="1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0">
    <w:name w:val="1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5">
    <w:name w:val="1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4">
    <w:name w:val="1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3">
    <w:name w:val="1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character" w:styleId="UnresolvedMention">
    <w:name w:val="Unresolved Mention"/>
    <w:basedOn w:val="DefaultParagraphFont"/>
    <w:uiPriority w:val="99"/>
    <w:semiHidden/>
    <w:unhideWhenUsed/>
    <w:rsid w:val="00476088"/>
    <w:rPr>
      <w:color w:val="605E5C"/>
      <w:shd w:val="clear" w:color="auto" w:fill="E1DFDD"/>
    </w:rPr>
  </w:style>
  <w:style w:type="table" w:customStyle="1" w:styleId="a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TableGrid21">
    <w:name w:val="Table Grid21"/>
    <w:basedOn w:val="TableNormal"/>
    <w:next w:val="TableGrid"/>
    <w:uiPriority w:val="59"/>
    <w:rsid w:val="0017546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basedOn w:val="TableNormal"/>
    <w:rPr>
      <w:rFonts w:ascii="Times New Roman" w:eastAsia="Times New Roman" w:hAnsi="Times New Roman" w:cs="Times New Roman"/>
      <w:sz w:val="20"/>
      <w:szCs w:val="20"/>
    </w:rPr>
    <w:tblPr>
      <w:tblStyleRowBandSize w:val="1"/>
      <w:tblStyleColBandSize w:val="1"/>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1">
    <w:basedOn w:val="TableNormal"/>
    <w:rPr>
      <w:rFonts w:ascii="Times New Roman" w:eastAsia="Times New Roman" w:hAnsi="Times New Roman" w:cs="Times New Roman"/>
      <w:sz w:val="20"/>
      <w:szCs w:val="20"/>
    </w:rPr>
    <w:tblPr>
      <w:tblStyleRowBandSize w:val="1"/>
      <w:tblStyleColBandSize w:val="1"/>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rPr>
      <w:rFonts w:ascii="Times New Roman" w:eastAsia="Times New Roman" w:hAnsi="Times New Roman" w:cs="Times New Roman"/>
      <w:sz w:val="20"/>
      <w:szCs w:val="20"/>
    </w:rPr>
    <w:tblPr>
      <w:tblStyleRowBandSize w:val="1"/>
      <w:tblStyleColBandSize w:val="1"/>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rPr>
      <w:rFonts w:ascii="Times New Roman" w:eastAsia="Times New Roman" w:hAnsi="Times New Roman" w:cs="Times New Roman"/>
      <w:sz w:val="20"/>
      <w:szCs w:val="20"/>
    </w:rPr>
    <w:tblPr>
      <w:tblStyleRowBandSize w:val="1"/>
      <w:tblStyleColBandSize w:val="1"/>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waR0n4pvvtvXf1PzCXanOUdEQ==">CgMxLjAyDmguZHN1OXIybmZoZW5jMgloLjMwajB6bGwyCWguMWZvYjl0ZTIJaC4yZXQ5MnAwMghoLnR5amN3dDIJaC4zZHk2dmttMgloLjF0M2g1c2YyCWguNGQzNG9nODIJaC4yczhleW8xMgloLjE3ZHA4dnUyCWguM3JkY3JqbjIJaC4yNmluMXJnMgloLjM1bmt1bjIyCWguMWtzdjR1djIJaC40NHNpbmlvMgloLjJqeHN4cWgyCGgubG54Yno5MghoLnozMzd5YTIJaC4zajJxcW0zMgloLjF5ODEwdHcyCWguNGk3b2pocDIJaC4yeGN5dHBpMgloLjFjaTkzeGIyCWguM3dod21sNDgAciExS1NuV3NUaFg2TXZKV2ZPTDlnMlRfR0h1dWdmZTdjQ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2678</Words>
  <Characters>15270</Characters>
  <Application>Microsoft Office Word</Application>
  <DocSecurity>0</DocSecurity>
  <Lines>127</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Ellis Young</cp:lastModifiedBy>
  <cp:revision>3</cp:revision>
  <dcterms:created xsi:type="dcterms:W3CDTF">2025-02-28T10:56:00Z</dcterms:created>
  <dcterms:modified xsi:type="dcterms:W3CDTF">2025-04-23T09:29:00Z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3" name="MAIL_MSG_ID2">
    <vt:lpwstr>bZAr3zXkshjZdXt5s7fZ+CbAXPK1XWjsrn01cOvHfRhbLg/146YcL4FtlqF_x000d_ZEMmt9wsb1CxDiYwHteSqDx+qs+Ch5K95VZs+w==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MSIP_Label_22759de7-3255-46b5-8dfe-736652f9c6c1_Enabled">
    <vt:lpwstr>true</vt:lpwstr>
  </property>
  <property fmtid="{D5CDD505-2E9C-101B-9397-08002B2CF9AE}" pid="8" name="MSIP_Label_22759de7-3255-46b5-8dfe-736652f9c6c1_SetDate">
    <vt:lpwstr>2025-01-24T09:43:25Z</vt:lpwstr>
  </property>
  <property fmtid="{D5CDD505-2E9C-101B-9397-08002B2CF9AE}" pid="9" name="MSIP_Label_22759de7-3255-46b5-8dfe-736652f9c6c1_Method">
    <vt:lpwstr>Standard</vt:lpwstr>
  </property>
  <property fmtid="{D5CDD505-2E9C-101B-9397-08002B2CF9AE}" pid="10" name="MSIP_Label_22759de7-3255-46b5-8dfe-736652f9c6c1_Name">
    <vt:lpwstr>22759de7-3255-46b5-8dfe-736652f9c6c1</vt:lpwstr>
  </property>
  <property fmtid="{D5CDD505-2E9C-101B-9397-08002B2CF9AE}" pid="11" name="MSIP_Label_22759de7-3255-46b5-8dfe-736652f9c6c1_SiteId">
    <vt:lpwstr>c6ac664b-ae27-4d5d-b4e6-bb5717196fc7</vt:lpwstr>
  </property>
  <property fmtid="{D5CDD505-2E9C-101B-9397-08002B2CF9AE}" pid="12" name="MSIP_Label_22759de7-3255-46b5-8dfe-736652f9c6c1_ActionId">
    <vt:lpwstr>4fdd0570-c525-45fd-9327-2d77942c1843</vt:lpwstr>
  </property>
  <property fmtid="{D5CDD505-2E9C-101B-9397-08002B2CF9AE}" pid="13" name="MSIP_Label_22759de7-3255-46b5-8dfe-736652f9c6c1_ContentBits">
    <vt:lpwstr>0</vt:lpwstr>
  </property>
</Properties>
</file>