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368" w:rsidRPr="003005E2" w:rsidRDefault="009C0CB5">
      <w:pPr>
        <w:rPr>
          <w:b/>
        </w:rPr>
      </w:pPr>
      <w:proofErr w:type="spellStart"/>
      <w:r w:rsidRPr="003005E2">
        <w:rPr>
          <w:b/>
        </w:rPr>
        <w:t>HyDeploy</w:t>
      </w:r>
      <w:proofErr w:type="spellEnd"/>
      <w:r w:rsidRPr="003005E2">
        <w:rPr>
          <w:b/>
        </w:rPr>
        <w:t xml:space="preserve"> 2 Materials Performance </w:t>
      </w:r>
    </w:p>
    <w:p w:rsidR="009C0CB5" w:rsidRDefault="003005E2">
      <w:pPr>
        <w:rPr>
          <w:b/>
        </w:rPr>
      </w:pPr>
      <w:r>
        <w:rPr>
          <w:b/>
        </w:rPr>
        <w:t>Contract</w:t>
      </w:r>
      <w:r w:rsidRPr="003005E2">
        <w:rPr>
          <w:b/>
        </w:rPr>
        <w:t xml:space="preserve"> for the Delivery of Materials Analysis and Testing </w:t>
      </w:r>
      <w:r w:rsidR="00912834">
        <w:rPr>
          <w:b/>
        </w:rPr>
        <w:t xml:space="preserve">for </w:t>
      </w:r>
      <w:proofErr w:type="spellStart"/>
      <w:r w:rsidR="00912834">
        <w:rPr>
          <w:b/>
        </w:rPr>
        <w:t>HyDeploy</w:t>
      </w:r>
      <w:proofErr w:type="spellEnd"/>
      <w:r w:rsidR="00912834">
        <w:rPr>
          <w:b/>
        </w:rPr>
        <w:t xml:space="preserve"> 2 </w:t>
      </w:r>
    </w:p>
    <w:p w:rsidR="00CC5837" w:rsidRPr="0044030E" w:rsidRDefault="00CC5837">
      <w:r w:rsidRPr="0044030E">
        <w:t xml:space="preserve">The Health and Safety Executive (HSE) has been selected by a major UK gas distributor to test whether natural gas with a hydrogen content can safely distributed in the UK gas distribution network.  Phase 1 of the project has been completed </w:t>
      </w:r>
      <w:r w:rsidR="0044030E" w:rsidRPr="0044030E">
        <w:t>and</w:t>
      </w:r>
      <w:r w:rsidR="0044030E">
        <w:t xml:space="preserve"> subject to contract we are now progressing with </w:t>
      </w:r>
      <w:r w:rsidR="0044030E" w:rsidRPr="0044030E">
        <w:t>Phase 2</w:t>
      </w:r>
      <w:r w:rsidR="0044030E">
        <w:t xml:space="preserve">.  For Phase 2 </w:t>
      </w:r>
      <w:r w:rsidRPr="0044030E">
        <w:t xml:space="preserve">HSE is seeking a partner with suitable test equipment and expertise to work with us on generating the evidence of materials performance to support our </w:t>
      </w:r>
      <w:r w:rsidR="0044030E" w:rsidRPr="0044030E">
        <w:t xml:space="preserve">continuing </w:t>
      </w:r>
      <w:r w:rsidRPr="0044030E">
        <w:t>work on th</w:t>
      </w:r>
      <w:r w:rsidR="0044030E" w:rsidRPr="0044030E">
        <w:t>is project.  Further details about the background to this project and the work required in Phase 2 is provided below.</w:t>
      </w:r>
      <w:r w:rsidRPr="0044030E">
        <w:t xml:space="preserve">   </w:t>
      </w:r>
    </w:p>
    <w:p w:rsidR="00B009A9" w:rsidRPr="00B009A9" w:rsidRDefault="003005E2" w:rsidP="00912834">
      <w:pPr>
        <w:shd w:val="clear" w:color="auto" w:fill="BFBFBF" w:themeFill="background1" w:themeFillShade="BF"/>
        <w:rPr>
          <w:b/>
        </w:rPr>
      </w:pPr>
      <w:r>
        <w:rPr>
          <w:b/>
        </w:rPr>
        <w:t xml:space="preserve">Background to the </w:t>
      </w:r>
      <w:proofErr w:type="spellStart"/>
      <w:r>
        <w:rPr>
          <w:b/>
        </w:rPr>
        <w:t>HyDeploy</w:t>
      </w:r>
      <w:proofErr w:type="spellEnd"/>
      <w:r>
        <w:rPr>
          <w:b/>
        </w:rPr>
        <w:t xml:space="preserve"> 2 project </w:t>
      </w:r>
    </w:p>
    <w:p w:rsidR="003005E2" w:rsidRPr="00BE0DC0" w:rsidRDefault="00BE0DC0">
      <w:r w:rsidRPr="00BE0DC0">
        <w:t xml:space="preserve">The </w:t>
      </w:r>
      <w:proofErr w:type="spellStart"/>
      <w:r w:rsidRPr="00BE0DC0">
        <w:t>HyDeploy</w:t>
      </w:r>
      <w:proofErr w:type="spellEnd"/>
      <w:r w:rsidRPr="00BE0DC0">
        <w:t xml:space="preserve"> programme aims to demonstrate that you can safely distribute natural gas with up to 20%v/v </w:t>
      </w:r>
      <w:r w:rsidR="00912834">
        <w:t xml:space="preserve">hydrogen </w:t>
      </w:r>
      <w:r w:rsidRPr="00BE0DC0">
        <w:t xml:space="preserve">content in the UK gas distribution network. </w:t>
      </w:r>
      <w:r>
        <w:t xml:space="preserve">The first </w:t>
      </w:r>
      <w:r w:rsidR="00912834">
        <w:t xml:space="preserve">demonstration of blending </w:t>
      </w:r>
      <w:r>
        <w:t xml:space="preserve">in the UK will be undertaken at </w:t>
      </w:r>
      <w:proofErr w:type="spellStart"/>
      <w:r>
        <w:t>Keele</w:t>
      </w:r>
      <w:proofErr w:type="spellEnd"/>
      <w:r>
        <w:t xml:space="preserve"> </w:t>
      </w:r>
      <w:r w:rsidR="00912834">
        <w:t>University</w:t>
      </w:r>
      <w:r>
        <w:t xml:space="preserve"> as part of the </w:t>
      </w:r>
      <w:proofErr w:type="spellStart"/>
      <w:r>
        <w:t>HyDeploy</w:t>
      </w:r>
      <w:proofErr w:type="spellEnd"/>
      <w:r>
        <w:t xml:space="preserve"> 1 programme. The exemption for this trial has been secured from HSE based on evidence that the </w:t>
      </w:r>
      <w:r w:rsidR="00912834">
        <w:t xml:space="preserve">distribution </w:t>
      </w:r>
      <w:r>
        <w:t xml:space="preserve">of blended gas can be demonstrated to be ‘as safe as’ the distribution of natural gas. As part of the exemption evidence was provided to demonstrate that materials on the </w:t>
      </w:r>
      <w:proofErr w:type="spellStart"/>
      <w:r>
        <w:t>Keele</w:t>
      </w:r>
      <w:proofErr w:type="spellEnd"/>
      <w:r>
        <w:t xml:space="preserve"> network would be unlikely to be subject to any adverse effects under the conditions they were operating (&lt;2 bar pressure and ambient temperature). </w:t>
      </w:r>
    </w:p>
    <w:p w:rsidR="00CA48E1" w:rsidRPr="00CA48E1" w:rsidRDefault="00CA48E1" w:rsidP="00CA48E1">
      <w:r w:rsidRPr="00CA48E1">
        <w:t xml:space="preserve">As part of </w:t>
      </w:r>
      <w:proofErr w:type="spellStart"/>
      <w:r w:rsidRPr="00CA48E1">
        <w:t>HyDeploy</w:t>
      </w:r>
      <w:proofErr w:type="spellEnd"/>
      <w:r w:rsidRPr="00CA48E1">
        <w:t xml:space="preserve"> 1 the following materials work was undertaken at HSL to underpin the exemption application and provide confidence that there would be no degra</w:t>
      </w:r>
      <w:r>
        <w:t xml:space="preserve">dation </w:t>
      </w:r>
      <w:r w:rsidRPr="00CA48E1">
        <w:t xml:space="preserve">to materials </w:t>
      </w:r>
      <w:r w:rsidR="00BE0DC0">
        <w:t xml:space="preserve">and components </w:t>
      </w:r>
      <w:r w:rsidRPr="00CA48E1">
        <w:t xml:space="preserve">as a result of the addition of hydrogen for the duration of the trial: </w:t>
      </w:r>
    </w:p>
    <w:p w:rsidR="00CA48E1" w:rsidRPr="00CA48E1" w:rsidRDefault="00CA48E1" w:rsidP="00CA48E1">
      <w:pPr>
        <w:pStyle w:val="ListParagraph"/>
        <w:numPr>
          <w:ilvl w:val="0"/>
          <w:numId w:val="3"/>
        </w:numPr>
      </w:pPr>
      <w:r w:rsidRPr="00CA48E1">
        <w:t>Polymers - Electrofusion bonding and stop-flow (“squeeze-off”) studies on medium density polyethylene (e.g. PE80) pipes following six weeks of hydrogen soaking in 100% hydrogen at 2barg exhibited no degradation in the quality of electrofusion joints nor on the efficiency of stop-flow during squeeze off.</w:t>
      </w:r>
    </w:p>
    <w:p w:rsidR="00CA48E1" w:rsidRPr="00CA48E1" w:rsidRDefault="00CA48E1" w:rsidP="00CA48E1">
      <w:pPr>
        <w:pStyle w:val="ListParagraph"/>
        <w:numPr>
          <w:ilvl w:val="0"/>
          <w:numId w:val="3"/>
        </w:numPr>
      </w:pPr>
      <w:r w:rsidRPr="00CA48E1">
        <w:t>Metals - Uniaxial tensile testing  of  copper, yellow brass, grade B steel, and Stainless Steel alloy 304 plus two lap-shear trials on one lead-based and one non-lead-based solder after soaking in hydrogen, hydrogen blended gas indicated no increased  degradation Brass samples showed an unpredictably high hydrogen uptake during trials which may be linked to the alloy lead content.</w:t>
      </w:r>
    </w:p>
    <w:p w:rsidR="003005E2" w:rsidRPr="00CA48E1" w:rsidRDefault="00CA48E1" w:rsidP="00CA48E1">
      <w:pPr>
        <w:pStyle w:val="ListParagraph"/>
        <w:numPr>
          <w:ilvl w:val="0"/>
          <w:numId w:val="3"/>
        </w:numPr>
      </w:pPr>
      <w:r w:rsidRPr="00CA48E1">
        <w:t>Asset Management - A detailed asset survey was conducted to establish the age and condition of all components on the network. This allowed a suitable regime to be established to monitor asset safety both during and after the trial once NG supplies are reconnected.</w:t>
      </w:r>
    </w:p>
    <w:p w:rsidR="00CA48E1" w:rsidRDefault="00CA48E1">
      <w:r w:rsidRPr="00CA48E1">
        <w:t>Further work is now needed for the follow-on project ‘</w:t>
      </w:r>
      <w:proofErr w:type="spellStart"/>
      <w:r w:rsidRPr="00CA48E1">
        <w:t>HyDeploy</w:t>
      </w:r>
      <w:proofErr w:type="spellEnd"/>
      <w:r w:rsidRPr="00CA48E1">
        <w:t xml:space="preserve"> 2’ which aims to gather the evidence to be able to undertake two further public trials of blended gas on open networks and provide the evidence base for long term use of blended gas across the country. </w:t>
      </w:r>
    </w:p>
    <w:p w:rsidR="003E3083" w:rsidRDefault="003E3083"/>
    <w:p w:rsidR="003E3083" w:rsidRPr="00CA48E1" w:rsidRDefault="003E3083"/>
    <w:p w:rsidR="009C0CB5" w:rsidRPr="00902F0A" w:rsidRDefault="00B23A56" w:rsidP="00912834">
      <w:pPr>
        <w:shd w:val="clear" w:color="auto" w:fill="BFBFBF" w:themeFill="background1" w:themeFillShade="BF"/>
        <w:rPr>
          <w:b/>
        </w:rPr>
      </w:pPr>
      <w:r>
        <w:rPr>
          <w:b/>
        </w:rPr>
        <w:t>Scope</w:t>
      </w:r>
      <w:r w:rsidR="003005E2">
        <w:rPr>
          <w:b/>
        </w:rPr>
        <w:t xml:space="preserve"> of Materials Work </w:t>
      </w:r>
      <w:r>
        <w:rPr>
          <w:b/>
        </w:rPr>
        <w:t xml:space="preserve">for </w:t>
      </w:r>
      <w:proofErr w:type="spellStart"/>
      <w:r>
        <w:rPr>
          <w:b/>
        </w:rPr>
        <w:t>HyDeploy</w:t>
      </w:r>
      <w:proofErr w:type="spellEnd"/>
      <w:r>
        <w:rPr>
          <w:b/>
        </w:rPr>
        <w:t xml:space="preserve"> 2 </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The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2 project is planned to build upon the conclusions of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1 to further extend the study into larger and more diverse gas networks. A range of subject areas have been identified for assessment during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2, these include:</w:t>
      </w:r>
    </w:p>
    <w:p w:rsidR="00DA2CD0" w:rsidRPr="00FE3543" w:rsidRDefault="00DA2CD0" w:rsidP="00DA2CD0">
      <w:pPr>
        <w:keepNext/>
        <w:numPr>
          <w:ilvl w:val="2"/>
          <w:numId w:val="0"/>
        </w:numPr>
        <w:spacing w:after="60" w:line="240" w:lineRule="auto"/>
        <w:ind w:left="720" w:hanging="720"/>
        <w:outlineLvl w:val="2"/>
        <w:rPr>
          <w:rFonts w:ascii="Arial Bold" w:eastAsia="Times New Roman" w:hAnsi="Arial Bold" w:cs="Arial"/>
          <w:b/>
          <w:bCs/>
          <w:i/>
          <w:color w:val="009878"/>
          <w:lang w:eastAsia="en-GB"/>
        </w:rPr>
      </w:pPr>
      <w:r w:rsidRPr="00FE3543">
        <w:rPr>
          <w:rFonts w:ascii="Arial Bold" w:eastAsia="Times New Roman" w:hAnsi="Arial Bold" w:cs="Arial"/>
          <w:b/>
          <w:bCs/>
          <w:i/>
          <w:color w:val="009878"/>
          <w:lang w:eastAsia="en-GB"/>
        </w:rPr>
        <w:t>Network Pressure</w:t>
      </w:r>
    </w:p>
    <w:p w:rsidR="00DA2CD0" w:rsidRPr="00FE3543" w:rsidRDefault="00FE3543" w:rsidP="00DA2CD0">
      <w:pPr>
        <w:spacing w:after="12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The </w:t>
      </w:r>
      <w:proofErr w:type="spellStart"/>
      <w:r>
        <w:rPr>
          <w:rFonts w:ascii="Calibri" w:eastAsia="Times New Roman" w:hAnsi="Calibri" w:cs="Calibri"/>
          <w:color w:val="000000"/>
          <w:lang w:eastAsia="en-GB"/>
        </w:rPr>
        <w:t>HyDeploy</w:t>
      </w:r>
      <w:proofErr w:type="spellEnd"/>
      <w:r>
        <w:rPr>
          <w:rFonts w:ascii="Calibri" w:eastAsia="Times New Roman" w:hAnsi="Calibri" w:cs="Calibri"/>
          <w:color w:val="000000"/>
          <w:lang w:eastAsia="en-GB"/>
        </w:rPr>
        <w:t xml:space="preserve"> 1 studies </w:t>
      </w:r>
      <w:proofErr w:type="spellStart"/>
      <w:r>
        <w:rPr>
          <w:rFonts w:ascii="Calibri" w:eastAsia="Times New Roman" w:hAnsi="Calibri" w:cs="Calibri"/>
          <w:color w:val="000000"/>
          <w:lang w:eastAsia="en-GB"/>
        </w:rPr>
        <w:t>focued</w:t>
      </w:r>
      <w:proofErr w:type="spellEnd"/>
      <w:r w:rsidR="00DA2CD0" w:rsidRPr="00FE3543">
        <w:rPr>
          <w:rFonts w:ascii="Calibri" w:eastAsia="Times New Roman" w:hAnsi="Calibri" w:cs="Calibri"/>
          <w:color w:val="000000"/>
          <w:lang w:eastAsia="en-GB"/>
        </w:rPr>
        <w:t xml:space="preserve"> on the low and medium network pressures up to 2 bar.  </w:t>
      </w:r>
      <w:r>
        <w:rPr>
          <w:rFonts w:ascii="Calibri" w:eastAsia="Times New Roman" w:hAnsi="Calibri" w:cs="Calibri"/>
          <w:color w:val="000000"/>
          <w:lang w:eastAsia="en-GB"/>
        </w:rPr>
        <w:t>C</w:t>
      </w:r>
      <w:r w:rsidR="00DA2CD0" w:rsidRPr="00FE3543">
        <w:rPr>
          <w:rFonts w:ascii="Calibri" w:eastAsia="Times New Roman" w:hAnsi="Calibri" w:cs="Calibri"/>
          <w:color w:val="000000"/>
          <w:lang w:eastAsia="en-GB"/>
        </w:rPr>
        <w:t xml:space="preserve">onfidence </w:t>
      </w:r>
      <w:r>
        <w:rPr>
          <w:rFonts w:ascii="Calibri" w:eastAsia="Times New Roman" w:hAnsi="Calibri" w:cs="Calibri"/>
          <w:color w:val="000000"/>
          <w:lang w:eastAsia="en-GB"/>
        </w:rPr>
        <w:t xml:space="preserve">now </w:t>
      </w:r>
      <w:r w:rsidR="00DA2CD0" w:rsidRPr="00FE3543">
        <w:rPr>
          <w:rFonts w:ascii="Calibri" w:eastAsia="Times New Roman" w:hAnsi="Calibri" w:cs="Calibri"/>
          <w:color w:val="000000"/>
          <w:lang w:eastAsia="en-GB"/>
        </w:rPr>
        <w:t xml:space="preserve">needs to be established in the safe use of hydrogen blended gas at higher system pressure (nominally 8 – 39 </w:t>
      </w:r>
      <w:proofErr w:type="spellStart"/>
      <w:r w:rsidR="00DA2CD0" w:rsidRPr="00FE3543">
        <w:rPr>
          <w:rFonts w:ascii="Calibri" w:eastAsia="Times New Roman" w:hAnsi="Calibri" w:cs="Calibri"/>
          <w:color w:val="000000"/>
          <w:lang w:eastAsia="en-GB"/>
        </w:rPr>
        <w:t>barg</w:t>
      </w:r>
      <w:proofErr w:type="spellEnd"/>
      <w:r w:rsidR="00DA2CD0" w:rsidRPr="00FE3543">
        <w:rPr>
          <w:rFonts w:ascii="Calibri" w:eastAsia="Times New Roman" w:hAnsi="Calibri" w:cs="Calibri"/>
          <w:color w:val="000000"/>
          <w:lang w:eastAsia="en-GB"/>
        </w:rPr>
        <w:t xml:space="preserve">) of the distribution network and for exposures periods greater than 10 years. </w:t>
      </w:r>
    </w:p>
    <w:p w:rsidR="00DA2CD0" w:rsidRPr="00FE3543" w:rsidRDefault="00DA2CD0" w:rsidP="00DA2CD0">
      <w:pPr>
        <w:keepNext/>
        <w:numPr>
          <w:ilvl w:val="2"/>
          <w:numId w:val="0"/>
        </w:numPr>
        <w:spacing w:after="60" w:line="240" w:lineRule="auto"/>
        <w:ind w:left="720" w:hanging="720"/>
        <w:outlineLvl w:val="2"/>
        <w:rPr>
          <w:rFonts w:ascii="Arial Bold" w:eastAsia="Times New Roman" w:hAnsi="Arial Bold" w:cs="Arial"/>
          <w:b/>
          <w:bCs/>
          <w:i/>
          <w:color w:val="009878"/>
          <w:lang w:eastAsia="en-GB"/>
        </w:rPr>
      </w:pPr>
      <w:r w:rsidRPr="00FE3543">
        <w:rPr>
          <w:rFonts w:ascii="Arial Bold" w:eastAsia="Times New Roman" w:hAnsi="Arial Bold" w:cs="Arial"/>
          <w:b/>
          <w:bCs/>
          <w:i/>
          <w:color w:val="009878"/>
          <w:lang w:eastAsia="en-GB"/>
        </w:rPr>
        <w:t>UK network components</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For the purpose of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1 the materials studies focus solely on those materials tha</w:t>
      </w:r>
      <w:r w:rsidR="00FE3543">
        <w:rPr>
          <w:rFonts w:ascii="Calibri" w:eastAsia="Times New Roman" w:hAnsi="Calibri" w:cs="Calibri"/>
          <w:color w:val="000000"/>
          <w:lang w:eastAsia="en-GB"/>
        </w:rPr>
        <w:t xml:space="preserve">t where known to be present at </w:t>
      </w:r>
      <w:proofErr w:type="spellStart"/>
      <w:r w:rsidR="00FE3543">
        <w:rPr>
          <w:rFonts w:ascii="Calibri" w:eastAsia="Times New Roman" w:hAnsi="Calibri" w:cs="Calibri"/>
          <w:color w:val="000000"/>
          <w:lang w:eastAsia="en-GB"/>
        </w:rPr>
        <w:t>Keele</w:t>
      </w:r>
      <w:proofErr w:type="spellEnd"/>
      <w:r w:rsidRPr="00FE3543">
        <w:rPr>
          <w:rFonts w:ascii="Calibri" w:eastAsia="Times New Roman" w:hAnsi="Calibri" w:cs="Calibri"/>
          <w:color w:val="000000"/>
          <w:lang w:eastAsia="en-GB"/>
        </w:rPr>
        <w:t xml:space="preserve">. The materials scope </w:t>
      </w:r>
      <w:r w:rsidR="00FE3543">
        <w:rPr>
          <w:rFonts w:ascii="Calibri" w:eastAsia="Times New Roman" w:hAnsi="Calibri" w:cs="Calibri"/>
          <w:color w:val="000000"/>
          <w:lang w:eastAsia="en-GB"/>
        </w:rPr>
        <w:t xml:space="preserve">now need to be </w:t>
      </w:r>
      <w:r w:rsidRPr="00FE3543">
        <w:rPr>
          <w:rFonts w:ascii="Calibri" w:eastAsia="Times New Roman" w:hAnsi="Calibri" w:cs="Calibri"/>
          <w:color w:val="000000"/>
          <w:lang w:eastAsia="en-GB"/>
        </w:rPr>
        <w:t xml:space="preserve">widened to all materials that can occur on the UK GDN. The programme will identify and suitably assess materials that </w:t>
      </w:r>
      <w:r w:rsidR="00FE3543">
        <w:rPr>
          <w:rFonts w:ascii="Calibri" w:eastAsia="Times New Roman" w:hAnsi="Calibri" w:cs="Calibri"/>
          <w:color w:val="000000"/>
          <w:lang w:eastAsia="en-GB"/>
        </w:rPr>
        <w:t xml:space="preserve">were </w:t>
      </w:r>
      <w:r w:rsidRPr="00FE3543">
        <w:rPr>
          <w:rFonts w:ascii="Calibri" w:eastAsia="Times New Roman" w:hAnsi="Calibri" w:cs="Calibri"/>
          <w:color w:val="000000"/>
          <w:lang w:eastAsia="en-GB"/>
        </w:rPr>
        <w:t xml:space="preserve">not </w:t>
      </w:r>
      <w:r w:rsidR="00FE3543">
        <w:rPr>
          <w:rFonts w:ascii="Calibri" w:eastAsia="Times New Roman" w:hAnsi="Calibri" w:cs="Calibri"/>
          <w:color w:val="000000"/>
          <w:lang w:eastAsia="en-GB"/>
        </w:rPr>
        <w:t xml:space="preserve">identified </w:t>
      </w:r>
      <w:r w:rsidRPr="00FE3543">
        <w:rPr>
          <w:rFonts w:ascii="Calibri" w:eastAsia="Times New Roman" w:hAnsi="Calibri" w:cs="Calibri"/>
          <w:color w:val="000000"/>
          <w:lang w:eastAsia="en-GB"/>
        </w:rPr>
        <w:t xml:space="preserve">within the </w:t>
      </w:r>
      <w:proofErr w:type="spellStart"/>
      <w:r w:rsidRPr="00FE3543">
        <w:rPr>
          <w:rFonts w:ascii="Calibri" w:eastAsia="Times New Roman" w:hAnsi="Calibri" w:cs="Calibri"/>
          <w:color w:val="000000"/>
          <w:lang w:eastAsia="en-GB"/>
        </w:rPr>
        <w:t>Keele</w:t>
      </w:r>
      <w:proofErr w:type="spellEnd"/>
      <w:r w:rsidRPr="00FE3543">
        <w:rPr>
          <w:rFonts w:ascii="Calibri" w:eastAsia="Times New Roman" w:hAnsi="Calibri" w:cs="Calibri"/>
          <w:color w:val="000000"/>
          <w:lang w:eastAsia="en-GB"/>
        </w:rPr>
        <w:t xml:space="preserve"> GDN but may be present on other networks</w:t>
      </w:r>
      <w:r w:rsidR="00FE3543">
        <w:rPr>
          <w:rFonts w:ascii="Calibri" w:eastAsia="Times New Roman" w:hAnsi="Calibri" w:cs="Calibri"/>
          <w:color w:val="000000"/>
          <w:lang w:eastAsia="en-GB"/>
        </w:rPr>
        <w:t>.</w:t>
      </w:r>
      <w:r w:rsidRPr="00FE3543">
        <w:rPr>
          <w:rFonts w:ascii="Calibri" w:eastAsia="Times New Roman" w:hAnsi="Calibri" w:cs="Calibri"/>
          <w:color w:val="000000"/>
          <w:lang w:eastAsia="en-GB"/>
        </w:rPr>
        <w:t xml:space="preserve"> </w:t>
      </w:r>
    </w:p>
    <w:p w:rsidR="00DA2CD0" w:rsidRPr="00FE3543" w:rsidRDefault="00DA2CD0" w:rsidP="00DA2CD0">
      <w:pPr>
        <w:keepNext/>
        <w:numPr>
          <w:ilvl w:val="2"/>
          <w:numId w:val="0"/>
        </w:numPr>
        <w:spacing w:after="60" w:line="240" w:lineRule="auto"/>
        <w:ind w:left="720" w:hanging="720"/>
        <w:outlineLvl w:val="2"/>
        <w:rPr>
          <w:rFonts w:ascii="Arial Bold" w:eastAsia="Times New Roman" w:hAnsi="Arial Bold" w:cs="Arial"/>
          <w:b/>
          <w:bCs/>
          <w:i/>
          <w:color w:val="009878"/>
          <w:lang w:eastAsia="en-GB"/>
        </w:rPr>
      </w:pPr>
      <w:r w:rsidRPr="00FE3543">
        <w:rPr>
          <w:rFonts w:ascii="Arial Bold" w:eastAsia="Times New Roman" w:hAnsi="Arial Bold" w:cs="Arial"/>
          <w:b/>
          <w:bCs/>
          <w:i/>
          <w:color w:val="009878"/>
          <w:lang w:eastAsia="en-GB"/>
        </w:rPr>
        <w:t>Cyclic Loading</w:t>
      </w:r>
    </w:p>
    <w:p w:rsidR="00DA2CD0" w:rsidRPr="00FE3543" w:rsidRDefault="00FE3543" w:rsidP="00DA2CD0">
      <w:pPr>
        <w:spacing w:after="12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To provide further confidence on performance, </w:t>
      </w:r>
      <w:r w:rsidR="00DA2CD0" w:rsidRPr="00FE3543">
        <w:rPr>
          <w:rFonts w:ascii="Calibri" w:eastAsia="Times New Roman" w:hAnsi="Calibri" w:cs="Calibri"/>
          <w:color w:val="000000"/>
          <w:lang w:eastAsia="en-GB"/>
        </w:rPr>
        <w:t>mechanical testing of network components (e.g. steel springs in valves) to assess their susceptibility towards increased deterioration in function with cycle number and gas environment</w:t>
      </w:r>
      <w:r>
        <w:rPr>
          <w:rFonts w:ascii="Calibri" w:eastAsia="Times New Roman" w:hAnsi="Calibri" w:cs="Calibri"/>
          <w:color w:val="000000"/>
          <w:lang w:eastAsia="en-GB"/>
        </w:rPr>
        <w:t>, may be needed</w:t>
      </w:r>
      <w:r w:rsidR="00DA2CD0" w:rsidRPr="00FE3543">
        <w:rPr>
          <w:rFonts w:ascii="Calibri" w:eastAsia="Times New Roman" w:hAnsi="Calibri" w:cs="Calibri"/>
          <w:color w:val="000000"/>
          <w:lang w:eastAsia="en-GB"/>
        </w:rPr>
        <w:t>. The performance of these components is likely to be highly dependent on their specific dimensions, and will need bespoke test conditions and equipment. For example, in the case of valve springs, hydrogen soaked springs would need to be removed from housings, cycled to their specified cycle life within a range of gaseous test environments and then tested mechanically for failure.</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The testing will establish the operating conditions of pipeline and component materials in the distribution network (e.g. cyclic loading and temperatures) and how these may affect material and network safety when in contact with hydrogen blended gas. </w:t>
      </w:r>
    </w:p>
    <w:p w:rsidR="00DA2CD0" w:rsidRPr="00FE3543" w:rsidRDefault="00DA2CD0" w:rsidP="00DA2CD0">
      <w:pPr>
        <w:keepNext/>
        <w:numPr>
          <w:ilvl w:val="2"/>
          <w:numId w:val="0"/>
        </w:numPr>
        <w:spacing w:after="60" w:line="240" w:lineRule="auto"/>
        <w:ind w:left="720" w:hanging="720"/>
        <w:outlineLvl w:val="2"/>
        <w:rPr>
          <w:rFonts w:ascii="Arial Bold" w:eastAsia="Times New Roman" w:hAnsi="Arial Bold" w:cs="Arial"/>
          <w:b/>
          <w:bCs/>
          <w:i/>
          <w:color w:val="009878"/>
          <w:lang w:eastAsia="en-GB"/>
        </w:rPr>
      </w:pPr>
      <w:r w:rsidRPr="00FE3543">
        <w:rPr>
          <w:rFonts w:ascii="Arial Bold" w:eastAsia="Times New Roman" w:hAnsi="Arial Bold" w:cs="Arial"/>
          <w:b/>
          <w:bCs/>
          <w:i/>
          <w:color w:val="009878"/>
          <w:lang w:eastAsia="en-GB"/>
        </w:rPr>
        <w:t>Fatigue Threshold</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A major area that will be addressed under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2, that was not studied in detail within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1, will be fatigue testing. Initially, fatigue tests will determine whether the fatigue conditions present within the GDN are sufficiently severe to initiate cracking in the materials regardless of being within an natural gas or hydrogen environments. Where cracks are initiated during fatigue tests, the crack growth rates will be measured after soaking in either methane, blended gases and hydrogen environments. If there are increased crack growth rates with hydrogen blended gas, these can be used to inform lifetime models for materials in the network.</w:t>
      </w:r>
    </w:p>
    <w:p w:rsidR="00DA2CD0" w:rsidRPr="00FE3543" w:rsidRDefault="00DA2CD0" w:rsidP="00DA2CD0">
      <w:pPr>
        <w:keepNext/>
        <w:numPr>
          <w:ilvl w:val="2"/>
          <w:numId w:val="0"/>
        </w:numPr>
        <w:spacing w:after="60" w:line="240" w:lineRule="auto"/>
        <w:ind w:left="720" w:hanging="720"/>
        <w:outlineLvl w:val="2"/>
        <w:rPr>
          <w:rFonts w:ascii="Arial Bold" w:eastAsia="Times New Roman" w:hAnsi="Arial Bold" w:cs="Arial"/>
          <w:b/>
          <w:bCs/>
          <w:i/>
          <w:color w:val="009878"/>
          <w:lang w:eastAsia="en-GB"/>
        </w:rPr>
      </w:pPr>
      <w:r w:rsidRPr="00FE3543">
        <w:rPr>
          <w:rFonts w:ascii="Arial Bold" w:eastAsia="Times New Roman" w:hAnsi="Arial Bold" w:cs="Arial"/>
          <w:b/>
          <w:bCs/>
          <w:i/>
          <w:color w:val="009878"/>
          <w:lang w:eastAsia="en-GB"/>
        </w:rPr>
        <w:t>Longer term behaviours</w:t>
      </w:r>
    </w:p>
    <w:p w:rsidR="00DA2CD0" w:rsidRPr="00FE3543" w:rsidRDefault="00FE3543" w:rsidP="00DA2CD0">
      <w:pPr>
        <w:spacing w:after="12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As part of the </w:t>
      </w:r>
      <w:proofErr w:type="spellStart"/>
      <w:r>
        <w:rPr>
          <w:rFonts w:ascii="Calibri" w:eastAsia="Times New Roman" w:hAnsi="Calibri" w:cs="Calibri"/>
          <w:color w:val="000000"/>
          <w:lang w:eastAsia="en-GB"/>
        </w:rPr>
        <w:t>HyDeploy</w:t>
      </w:r>
      <w:proofErr w:type="spellEnd"/>
      <w:r>
        <w:rPr>
          <w:rFonts w:ascii="Calibri" w:eastAsia="Times New Roman" w:hAnsi="Calibri" w:cs="Calibri"/>
          <w:color w:val="000000"/>
          <w:lang w:eastAsia="en-GB"/>
        </w:rPr>
        <w:t xml:space="preserve"> 2 programme there is an ambition to e</w:t>
      </w:r>
      <w:r w:rsidR="00DA2CD0" w:rsidRPr="00FE3543">
        <w:rPr>
          <w:rFonts w:ascii="Calibri" w:eastAsia="Times New Roman" w:hAnsi="Calibri" w:cs="Calibri"/>
          <w:color w:val="000000"/>
          <w:lang w:eastAsia="en-GB"/>
        </w:rPr>
        <w:t xml:space="preserve">stablish the capability to extrapolate the short term experimental results from </w:t>
      </w:r>
      <w:proofErr w:type="spellStart"/>
      <w:r w:rsidR="00DA2CD0" w:rsidRPr="00FE3543">
        <w:rPr>
          <w:rFonts w:ascii="Calibri" w:eastAsia="Times New Roman" w:hAnsi="Calibri" w:cs="Calibri"/>
          <w:color w:val="000000"/>
          <w:lang w:eastAsia="en-GB"/>
        </w:rPr>
        <w:t>HyDeploy</w:t>
      </w:r>
      <w:proofErr w:type="spellEnd"/>
      <w:r w:rsidR="00DA2CD0" w:rsidRPr="00FE3543">
        <w:rPr>
          <w:rFonts w:ascii="Calibri" w:eastAsia="Times New Roman" w:hAnsi="Calibri" w:cs="Calibri"/>
          <w:color w:val="000000"/>
          <w:lang w:eastAsia="en-GB"/>
        </w:rPr>
        <w:t xml:space="preserve"> 1 to predict the long term operating exposures and time scales greater than the twelve months of the </w:t>
      </w:r>
      <w:proofErr w:type="spellStart"/>
      <w:r w:rsidR="00DA2CD0" w:rsidRPr="00FE3543">
        <w:rPr>
          <w:rFonts w:ascii="Calibri" w:eastAsia="Times New Roman" w:hAnsi="Calibri" w:cs="Calibri"/>
          <w:color w:val="000000"/>
          <w:lang w:eastAsia="en-GB"/>
        </w:rPr>
        <w:t>HyDeploy</w:t>
      </w:r>
      <w:proofErr w:type="spellEnd"/>
      <w:r w:rsidR="00DA2CD0" w:rsidRPr="00FE3543">
        <w:rPr>
          <w:rFonts w:ascii="Calibri" w:eastAsia="Times New Roman" w:hAnsi="Calibri" w:cs="Calibri"/>
          <w:color w:val="000000"/>
          <w:lang w:eastAsia="en-GB"/>
        </w:rPr>
        <w:t xml:space="preserve"> 1 trial duration.</w:t>
      </w:r>
    </w:p>
    <w:p w:rsidR="00DA2CD0" w:rsidRPr="00FE3543" w:rsidRDefault="00DA2CD0" w:rsidP="00DA2CD0">
      <w:pPr>
        <w:keepNext/>
        <w:keepLines/>
        <w:numPr>
          <w:ilvl w:val="1"/>
          <w:numId w:val="0"/>
        </w:numPr>
        <w:spacing w:before="240" w:after="120" w:line="240" w:lineRule="auto"/>
        <w:ind w:left="576" w:hanging="576"/>
        <w:outlineLvl w:val="1"/>
        <w:rPr>
          <w:rFonts w:ascii="Arial Bold" w:eastAsia="Times New Roman" w:hAnsi="Arial Bold" w:cs="Arial"/>
          <w:b/>
          <w:color w:val="009878"/>
          <w:lang w:eastAsia="en-GB"/>
        </w:rPr>
      </w:pPr>
      <w:bookmarkStart w:id="0" w:name="_Toc519804754"/>
      <w:r w:rsidRPr="00FE3543">
        <w:rPr>
          <w:rFonts w:ascii="Arial Bold" w:eastAsia="Times New Roman" w:hAnsi="Arial Bold" w:cs="Arial"/>
          <w:b/>
          <w:color w:val="009878"/>
          <w:lang w:eastAsia="en-GB"/>
        </w:rPr>
        <w:t>Approach</w:t>
      </w:r>
      <w:bookmarkEnd w:id="0"/>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In identifying the proposed body of work (see above) it is accepted that there is a potentially excessive breadth of the work, therefore the programme will be designed to be reactive to the results and focus on meeting the objectives of </w:t>
      </w:r>
      <w:proofErr w:type="spellStart"/>
      <w:r w:rsidRPr="00FE3543">
        <w:rPr>
          <w:rFonts w:ascii="Calibri" w:eastAsia="Times New Roman" w:hAnsi="Calibri" w:cs="Calibri"/>
          <w:color w:val="000000"/>
          <w:lang w:eastAsia="en-GB"/>
        </w:rPr>
        <w:t>HyDeploy</w:t>
      </w:r>
      <w:proofErr w:type="spellEnd"/>
      <w:r w:rsidRPr="00FE3543">
        <w:rPr>
          <w:rFonts w:ascii="Calibri" w:eastAsia="Times New Roman" w:hAnsi="Calibri" w:cs="Calibri"/>
          <w:color w:val="000000"/>
          <w:lang w:eastAsia="en-GB"/>
        </w:rPr>
        <w:t xml:space="preserve"> 2. For example, whilst the number of candidate materials and experimental techniques available are potentially considerable, the final proposal will stress the need to prioritise parameters in order to produce an effective and achievable scheme of work. </w:t>
      </w:r>
      <w:r w:rsidRPr="00FE3543">
        <w:rPr>
          <w:rFonts w:ascii="Calibri" w:eastAsia="Times New Roman" w:hAnsi="Calibri" w:cs="Calibri"/>
          <w:color w:val="000000"/>
          <w:lang w:eastAsia="en-GB"/>
        </w:rPr>
        <w:fldChar w:fldCharType="begin"/>
      </w:r>
      <w:r w:rsidRPr="00FE3543">
        <w:rPr>
          <w:rFonts w:ascii="Calibri" w:eastAsia="Times New Roman" w:hAnsi="Calibri" w:cs="Calibri"/>
          <w:color w:val="000000"/>
          <w:lang w:eastAsia="en-GB"/>
        </w:rPr>
        <w:instrText xml:space="preserve"> REF _Ref519799391 \h </w:instrText>
      </w:r>
      <w:r w:rsidR="00FE3543">
        <w:rPr>
          <w:rFonts w:ascii="Calibri" w:eastAsia="Times New Roman" w:hAnsi="Calibri" w:cs="Calibri"/>
          <w:color w:val="000000"/>
          <w:lang w:eastAsia="en-GB"/>
        </w:rPr>
        <w:instrText xml:space="preserve"> \* MERGEFORMAT </w:instrText>
      </w:r>
      <w:r w:rsidRPr="00FE3543">
        <w:rPr>
          <w:rFonts w:ascii="Calibri" w:eastAsia="Times New Roman" w:hAnsi="Calibri" w:cs="Calibri"/>
          <w:color w:val="000000"/>
          <w:lang w:eastAsia="en-GB"/>
        </w:rPr>
      </w:r>
      <w:r w:rsidRPr="00FE3543">
        <w:rPr>
          <w:rFonts w:ascii="Calibri" w:eastAsia="Times New Roman" w:hAnsi="Calibri" w:cs="Calibri"/>
          <w:color w:val="000000"/>
          <w:lang w:eastAsia="en-GB"/>
        </w:rPr>
        <w:fldChar w:fldCharType="separate"/>
      </w:r>
      <w:r w:rsidRPr="00FE3543">
        <w:rPr>
          <w:rFonts w:ascii="Calibri" w:eastAsia="Times New Roman" w:hAnsi="Calibri" w:cs="Calibri"/>
          <w:color w:val="000000"/>
          <w:lang w:eastAsia="en-GB"/>
        </w:rPr>
        <w:t xml:space="preserve">Figure </w:t>
      </w:r>
      <w:r w:rsidRPr="00FE3543">
        <w:rPr>
          <w:rFonts w:ascii="Calibri" w:eastAsia="Times New Roman" w:hAnsi="Calibri" w:cs="Calibri"/>
          <w:noProof/>
          <w:color w:val="000000"/>
          <w:lang w:eastAsia="en-GB"/>
        </w:rPr>
        <w:t>1</w:t>
      </w:r>
      <w:r w:rsidRPr="00FE3543">
        <w:rPr>
          <w:rFonts w:ascii="Calibri" w:eastAsia="Times New Roman" w:hAnsi="Calibri" w:cs="Calibri"/>
          <w:color w:val="000000"/>
          <w:lang w:eastAsia="en-GB"/>
        </w:rPr>
        <w:fldChar w:fldCharType="end"/>
      </w:r>
      <w:r w:rsidRPr="00FE3543">
        <w:rPr>
          <w:rFonts w:ascii="Calibri" w:eastAsia="Times New Roman" w:hAnsi="Calibri" w:cs="Calibri"/>
          <w:color w:val="000000"/>
          <w:lang w:eastAsia="en-GB"/>
        </w:rPr>
        <w:t xml:space="preserve"> illustrates the kind of prioritisation that will be applied, both to the experimental techniques available and the materials analysed.</w:t>
      </w:r>
    </w:p>
    <w:p w:rsidR="00DA2CD0" w:rsidRDefault="00DA2CD0" w:rsidP="00DA2CD0">
      <w:pPr>
        <w:spacing w:after="120" w:line="240" w:lineRule="auto"/>
        <w:jc w:val="both"/>
        <w:rPr>
          <w:rFonts w:ascii="Calibri" w:eastAsia="Times New Roman" w:hAnsi="Calibri" w:cs="Calibri"/>
          <w:color w:val="000000"/>
          <w:lang w:eastAsia="en-GB"/>
        </w:rPr>
      </w:pPr>
    </w:p>
    <w:p w:rsidR="00FE3543" w:rsidRDefault="00FE3543" w:rsidP="00DA2CD0">
      <w:pPr>
        <w:spacing w:after="120" w:line="240" w:lineRule="auto"/>
        <w:jc w:val="both"/>
        <w:rPr>
          <w:rFonts w:ascii="Calibri" w:eastAsia="Times New Roman" w:hAnsi="Calibri" w:cs="Calibri"/>
          <w:color w:val="000000"/>
          <w:lang w:eastAsia="en-GB"/>
        </w:rPr>
      </w:pPr>
    </w:p>
    <w:tbl>
      <w:tblPr>
        <w:tblStyle w:val="TableGrid"/>
        <w:tblW w:w="0" w:type="auto"/>
        <w:jc w:val="center"/>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0" w:space="0" w:color="auto"/>
          <w:insideV w:val="none" w:sz="0" w:space="0" w:color="auto"/>
        </w:tblBorders>
        <w:tblLook w:val="04A0" w:firstRow="1" w:lastRow="0" w:firstColumn="1" w:lastColumn="0" w:noHBand="0" w:noVBand="1"/>
      </w:tblPr>
      <w:tblGrid>
        <w:gridCol w:w="1055"/>
        <w:gridCol w:w="756"/>
        <w:gridCol w:w="2637"/>
        <w:gridCol w:w="1329"/>
        <w:gridCol w:w="1983"/>
      </w:tblGrid>
      <w:tr w:rsidR="00DA2CD0" w:rsidRPr="00FE3543" w:rsidTr="00F04E14">
        <w:trPr>
          <w:trHeight w:val="546"/>
          <w:jc w:val="center"/>
        </w:trPr>
        <w:tc>
          <w:tcPr>
            <w:tcW w:w="1055" w:type="dxa"/>
            <w:vMerge w:val="restart"/>
          </w:tcPr>
          <w:p w:rsidR="00DA2CD0" w:rsidRPr="00FE3543" w:rsidRDefault="00DA2CD0" w:rsidP="00DA2CD0">
            <w:pPr>
              <w:rPr>
                <w:rFonts w:ascii="Arial" w:hAnsi="Arial"/>
                <w:sz w:val="22"/>
                <w:szCs w:val="22"/>
              </w:rPr>
            </w:pPr>
            <w:r w:rsidRPr="00FE3543">
              <w:rPr>
                <w:rFonts w:ascii="Arial" w:hAnsi="Arial"/>
                <w:sz w:val="22"/>
                <w:szCs w:val="22"/>
              </w:rPr>
              <w:t xml:space="preserve">Higher priority </w:t>
            </w:r>
          </w:p>
        </w:tc>
        <w:tc>
          <w:tcPr>
            <w:tcW w:w="756" w:type="dxa"/>
            <w:vMerge w:val="restart"/>
          </w:tcPr>
          <w:p w:rsidR="00DA2CD0" w:rsidRPr="00FE3543" w:rsidRDefault="00DA2CD0" w:rsidP="00DA2CD0">
            <w:pPr>
              <w:rPr>
                <w:rFonts w:ascii="Arial" w:hAnsi="Arial"/>
                <w:noProof/>
                <w:color w:val="000000" w:themeColor="text1"/>
                <w:sz w:val="22"/>
                <w:szCs w:val="22"/>
              </w:rPr>
            </w:pPr>
            <w:r w:rsidRPr="00FE3543">
              <w:rPr>
                <w:rFonts w:ascii="Arial" w:hAnsi="Arial"/>
                <w:noProof/>
                <w:color w:val="000000" w:themeColor="text1"/>
              </w:rPr>
              <mc:AlternateContent>
                <mc:Choice Requires="wps">
                  <w:drawing>
                    <wp:anchor distT="0" distB="0" distL="114300" distR="114300" simplePos="0" relativeHeight="251660288" behindDoc="0" locked="0" layoutInCell="1" allowOverlap="1" wp14:anchorId="52971B7A" wp14:editId="0A05EDB7">
                      <wp:simplePos x="0" y="0"/>
                      <wp:positionH relativeFrom="column">
                        <wp:posOffset>164465</wp:posOffset>
                      </wp:positionH>
                      <wp:positionV relativeFrom="paragraph">
                        <wp:posOffset>106309</wp:posOffset>
                      </wp:positionV>
                      <wp:extent cx="10160" cy="616585"/>
                      <wp:effectExtent l="95250" t="38100" r="66040" b="12065"/>
                      <wp:wrapNone/>
                      <wp:docPr id="1" name="Straight Arrow Connector 1"/>
                      <wp:cNvGraphicFramePr/>
                      <a:graphic xmlns:a="http://schemas.openxmlformats.org/drawingml/2006/main">
                        <a:graphicData uri="http://schemas.microsoft.com/office/word/2010/wordprocessingShape">
                          <wps:wsp>
                            <wps:cNvCnPr/>
                            <wps:spPr>
                              <a:xfrm flipH="1" flipV="1">
                                <a:off x="0" y="0"/>
                                <a:ext cx="10160" cy="61658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w14:anchorId="5C731BE9" id="_x0000_t32" coordsize="21600,21600" o:spt="32" o:oned="t" path="m,l21600,21600e" filled="f">
                      <v:path arrowok="t" fillok="f" o:connecttype="none"/>
                      <o:lock v:ext="edit" shapetype="t"/>
                    </v:shapetype>
                    <v:shape id="Straight Arrow Connector 1" o:spid="_x0000_s1026" type="#_x0000_t32" style="position:absolute;margin-left:12.95pt;margin-top:8.35pt;width:.8pt;height:48.5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" strokecolor="windowText">
                      <v:stroke endarrow="open"/>
                    </v:shape>
                  </w:pict>
                </mc:Fallback>
              </mc:AlternateContent>
            </w:r>
          </w:p>
        </w:tc>
        <w:tc>
          <w:tcPr>
            <w:tcW w:w="2637" w:type="dxa"/>
          </w:tcPr>
          <w:p w:rsidR="00DA2CD0" w:rsidRPr="00FE3543" w:rsidRDefault="00DA2CD0" w:rsidP="00DA2CD0">
            <w:pPr>
              <w:spacing w:line="360" w:lineRule="auto"/>
              <w:rPr>
                <w:rFonts w:ascii="Arial" w:hAnsi="Arial"/>
                <w:b/>
                <w:color w:val="000000" w:themeColor="text1"/>
                <w:sz w:val="22"/>
                <w:szCs w:val="22"/>
              </w:rPr>
            </w:pPr>
            <w:r w:rsidRPr="00FE3543">
              <w:rPr>
                <w:rFonts w:ascii="Arial" w:hAnsi="Arial"/>
                <w:b/>
                <w:color w:val="000000" w:themeColor="text1"/>
                <w:sz w:val="22"/>
                <w:szCs w:val="22"/>
              </w:rPr>
              <w:t>Exp. technique</w:t>
            </w:r>
          </w:p>
        </w:tc>
        <w:tc>
          <w:tcPr>
            <w:tcW w:w="1329" w:type="dxa"/>
          </w:tcPr>
          <w:p w:rsidR="00DA2CD0" w:rsidRPr="00FE3543" w:rsidRDefault="00DA2CD0" w:rsidP="00DA2CD0">
            <w:pPr>
              <w:spacing w:line="360" w:lineRule="auto"/>
              <w:rPr>
                <w:rFonts w:ascii="Arial" w:hAnsi="Arial"/>
                <w:color w:val="000000" w:themeColor="text1"/>
                <w:sz w:val="22"/>
                <w:szCs w:val="22"/>
              </w:rPr>
            </w:pPr>
          </w:p>
        </w:tc>
        <w:tc>
          <w:tcPr>
            <w:tcW w:w="1983" w:type="dxa"/>
          </w:tcPr>
          <w:p w:rsidR="00DA2CD0" w:rsidRPr="00FE3543" w:rsidRDefault="00DA2CD0" w:rsidP="00DA2CD0">
            <w:pPr>
              <w:spacing w:line="360" w:lineRule="auto"/>
              <w:rPr>
                <w:rFonts w:ascii="Arial" w:hAnsi="Arial"/>
                <w:b/>
                <w:color w:val="000000" w:themeColor="text1"/>
                <w:sz w:val="22"/>
                <w:szCs w:val="22"/>
              </w:rPr>
            </w:pPr>
            <w:r w:rsidRPr="00FE3543">
              <w:rPr>
                <w:rFonts w:ascii="Arial" w:hAnsi="Arial"/>
                <w:b/>
                <w:color w:val="000000" w:themeColor="text1"/>
                <w:sz w:val="22"/>
                <w:szCs w:val="22"/>
              </w:rPr>
              <w:t>Materials</w:t>
            </w:r>
          </w:p>
        </w:tc>
      </w:tr>
      <w:tr w:rsidR="00DA2CD0" w:rsidRPr="00FE3543" w:rsidTr="00F04E14">
        <w:trPr>
          <w:trHeight w:val="1595"/>
          <w:jc w:val="center"/>
        </w:trPr>
        <w:tc>
          <w:tcPr>
            <w:tcW w:w="1055" w:type="dxa"/>
            <w:vMerge/>
          </w:tcPr>
          <w:p w:rsidR="00DA2CD0" w:rsidRPr="00FE3543" w:rsidRDefault="00DA2CD0" w:rsidP="00DA2CD0">
            <w:pPr>
              <w:rPr>
                <w:rFonts w:ascii="Arial" w:hAnsi="Arial"/>
                <w:sz w:val="22"/>
                <w:szCs w:val="22"/>
              </w:rPr>
            </w:pPr>
          </w:p>
        </w:tc>
        <w:tc>
          <w:tcPr>
            <w:tcW w:w="756" w:type="dxa"/>
            <w:vMerge/>
          </w:tcPr>
          <w:p w:rsidR="00DA2CD0" w:rsidRPr="00FE3543" w:rsidRDefault="00DA2CD0" w:rsidP="00DA2CD0">
            <w:pPr>
              <w:rPr>
                <w:rFonts w:ascii="Arial" w:hAnsi="Arial"/>
                <w:color w:val="000000" w:themeColor="text1"/>
                <w:sz w:val="22"/>
                <w:szCs w:val="22"/>
              </w:rPr>
            </w:pPr>
          </w:p>
        </w:tc>
        <w:tc>
          <w:tcPr>
            <w:tcW w:w="2637" w:type="dxa"/>
            <w:vMerge w:val="restart"/>
          </w:tcPr>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Fatigue testing</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H</w:t>
            </w:r>
            <w:r w:rsidRPr="00FE3543">
              <w:rPr>
                <w:rFonts w:ascii="Arial" w:hAnsi="Arial"/>
                <w:color w:val="000000" w:themeColor="text1"/>
                <w:sz w:val="22"/>
                <w:szCs w:val="22"/>
                <w:vertAlign w:val="subscript"/>
              </w:rPr>
              <w:t>2</w:t>
            </w:r>
            <w:r w:rsidRPr="00FE3543">
              <w:rPr>
                <w:rFonts w:ascii="Arial" w:hAnsi="Arial"/>
                <w:color w:val="000000" w:themeColor="text1"/>
                <w:sz w:val="22"/>
                <w:szCs w:val="22"/>
              </w:rPr>
              <w:t xml:space="preserve"> retention tests</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Tensile tests</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Product testing</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Cathodic Charging</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Complex fatigue</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Complex H</w:t>
            </w:r>
            <w:r w:rsidRPr="00FE3543">
              <w:rPr>
                <w:rFonts w:ascii="Arial" w:hAnsi="Arial"/>
                <w:color w:val="000000" w:themeColor="text1"/>
                <w:sz w:val="22"/>
                <w:szCs w:val="22"/>
                <w:vertAlign w:val="subscript"/>
              </w:rPr>
              <w:t>2</w:t>
            </w:r>
            <w:r w:rsidRPr="00FE3543">
              <w:rPr>
                <w:rFonts w:ascii="Arial" w:hAnsi="Arial"/>
                <w:color w:val="000000" w:themeColor="text1"/>
                <w:sz w:val="22"/>
                <w:szCs w:val="22"/>
              </w:rPr>
              <w:t xml:space="preserve"> Retention</w:t>
            </w:r>
          </w:p>
        </w:tc>
        <w:tc>
          <w:tcPr>
            <w:tcW w:w="1329" w:type="dxa"/>
          </w:tcPr>
          <w:p w:rsidR="00DA2CD0" w:rsidRPr="00FE3543" w:rsidRDefault="00DA2CD0" w:rsidP="00DA2CD0">
            <w:pPr>
              <w:spacing w:line="360" w:lineRule="auto"/>
              <w:rPr>
                <w:rFonts w:ascii="Arial" w:hAnsi="Arial"/>
                <w:color w:val="000000" w:themeColor="text1"/>
                <w:sz w:val="22"/>
                <w:szCs w:val="22"/>
              </w:rPr>
            </w:pPr>
          </w:p>
        </w:tc>
        <w:tc>
          <w:tcPr>
            <w:tcW w:w="1983" w:type="dxa"/>
            <w:vMerge w:val="restart"/>
          </w:tcPr>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High strength steel</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Welded Steel</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Network component</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Polymer</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2</w:t>
            </w:r>
            <w:r w:rsidRPr="00FE3543">
              <w:rPr>
                <w:rFonts w:ascii="Arial" w:hAnsi="Arial"/>
                <w:color w:val="000000" w:themeColor="text1"/>
                <w:sz w:val="22"/>
                <w:szCs w:val="22"/>
                <w:vertAlign w:val="superscript"/>
              </w:rPr>
              <w:t>nd</w:t>
            </w:r>
            <w:r w:rsidRPr="00FE3543">
              <w:rPr>
                <w:rFonts w:ascii="Arial" w:hAnsi="Arial"/>
                <w:color w:val="000000" w:themeColor="text1"/>
                <w:sz w:val="22"/>
                <w:szCs w:val="22"/>
              </w:rPr>
              <w:t xml:space="preserve"> steel grade</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Surface condition</w:t>
            </w:r>
          </w:p>
          <w:p w:rsidR="00DA2CD0" w:rsidRPr="00FE3543" w:rsidRDefault="00DA2CD0" w:rsidP="00DA2CD0">
            <w:pPr>
              <w:spacing w:line="360" w:lineRule="auto"/>
              <w:rPr>
                <w:rFonts w:ascii="Arial" w:hAnsi="Arial"/>
                <w:color w:val="000000" w:themeColor="text1"/>
                <w:sz w:val="22"/>
                <w:szCs w:val="22"/>
              </w:rPr>
            </w:pPr>
            <w:r w:rsidRPr="00FE3543">
              <w:rPr>
                <w:rFonts w:ascii="Arial" w:hAnsi="Arial"/>
                <w:color w:val="000000" w:themeColor="text1"/>
                <w:sz w:val="22"/>
                <w:szCs w:val="22"/>
              </w:rPr>
              <w:t>2</w:t>
            </w:r>
            <w:r w:rsidRPr="00FE3543">
              <w:rPr>
                <w:rFonts w:ascii="Arial" w:hAnsi="Arial"/>
                <w:color w:val="000000" w:themeColor="text1"/>
                <w:sz w:val="22"/>
                <w:szCs w:val="22"/>
                <w:vertAlign w:val="superscript"/>
              </w:rPr>
              <w:t>nd</w:t>
            </w:r>
            <w:r w:rsidRPr="00FE3543">
              <w:rPr>
                <w:rFonts w:ascii="Arial" w:hAnsi="Arial"/>
                <w:color w:val="000000" w:themeColor="text1"/>
                <w:sz w:val="22"/>
                <w:szCs w:val="22"/>
              </w:rPr>
              <w:t xml:space="preserve"> weld condition</w:t>
            </w:r>
          </w:p>
        </w:tc>
      </w:tr>
      <w:tr w:rsidR="00DA2CD0" w:rsidRPr="00FE3543" w:rsidTr="00F04E14">
        <w:trPr>
          <w:trHeight w:val="1354"/>
          <w:jc w:val="center"/>
        </w:trPr>
        <w:tc>
          <w:tcPr>
            <w:tcW w:w="1055" w:type="dxa"/>
            <w:vAlign w:val="bottom"/>
          </w:tcPr>
          <w:p w:rsidR="00DA2CD0" w:rsidRPr="00FE3543" w:rsidRDefault="00DA2CD0" w:rsidP="00DA2CD0">
            <w:pPr>
              <w:rPr>
                <w:rFonts w:ascii="Arial" w:hAnsi="Arial"/>
                <w:color w:val="000000" w:themeColor="text1"/>
                <w:sz w:val="22"/>
                <w:szCs w:val="22"/>
              </w:rPr>
            </w:pPr>
            <w:r w:rsidRPr="00FE3543">
              <w:rPr>
                <w:rFonts w:ascii="Arial" w:hAnsi="Arial"/>
                <w:color w:val="000000" w:themeColor="text1"/>
                <w:sz w:val="22"/>
                <w:szCs w:val="22"/>
              </w:rPr>
              <w:t>Lower priority</w:t>
            </w:r>
          </w:p>
        </w:tc>
        <w:tc>
          <w:tcPr>
            <w:tcW w:w="756" w:type="dxa"/>
          </w:tcPr>
          <w:p w:rsidR="00DA2CD0" w:rsidRPr="00FE3543" w:rsidRDefault="00DA2CD0" w:rsidP="00DA2CD0">
            <w:pPr>
              <w:rPr>
                <w:rFonts w:ascii="Arial" w:hAnsi="Arial"/>
                <w:sz w:val="22"/>
                <w:szCs w:val="22"/>
              </w:rPr>
            </w:pPr>
            <w:r w:rsidRPr="00FE3543">
              <w:rPr>
                <w:rFonts w:ascii="Arial" w:hAnsi="Arial"/>
                <w:noProof/>
                <w:color w:val="000000" w:themeColor="text1"/>
              </w:rPr>
              <mc:AlternateContent>
                <mc:Choice Requires="wps">
                  <w:drawing>
                    <wp:anchor distT="0" distB="0" distL="114300" distR="114300" simplePos="0" relativeHeight="251659264" behindDoc="0" locked="0" layoutInCell="1" allowOverlap="1" wp14:anchorId="207D4985" wp14:editId="017A2419">
                      <wp:simplePos x="0" y="0"/>
                      <wp:positionH relativeFrom="column">
                        <wp:posOffset>173355</wp:posOffset>
                      </wp:positionH>
                      <wp:positionV relativeFrom="paragraph">
                        <wp:posOffset>191399</wp:posOffset>
                      </wp:positionV>
                      <wp:extent cx="10160" cy="584200"/>
                      <wp:effectExtent l="76200" t="0" r="66040" b="63500"/>
                      <wp:wrapNone/>
                      <wp:docPr id="2" name="Straight Arrow Connector 2"/>
                      <wp:cNvGraphicFramePr/>
                      <a:graphic xmlns:a="http://schemas.openxmlformats.org/drawingml/2006/main">
                        <a:graphicData uri="http://schemas.microsoft.com/office/word/2010/wordprocessingShape">
                          <wps:wsp>
                            <wps:cNvCnPr/>
                            <wps:spPr>
                              <a:xfrm>
                                <a:off x="0" y="0"/>
                                <a:ext cx="10160" cy="58420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2DA0F373" id="Straight Arrow Connector 2" o:spid="_x0000_s1026" type="#_x0000_t32" style="position:absolute;margin-left:13.65pt;margin-top:15.05pt;width:.8pt;height:4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" strokecolor="windowText">
                      <v:stroke endarrow="open"/>
                    </v:shape>
                  </w:pict>
                </mc:Fallback>
              </mc:AlternateContent>
            </w:r>
          </w:p>
        </w:tc>
        <w:tc>
          <w:tcPr>
            <w:tcW w:w="2637" w:type="dxa"/>
            <w:vMerge/>
          </w:tcPr>
          <w:p w:rsidR="00DA2CD0" w:rsidRPr="00FE3543" w:rsidRDefault="00DA2CD0" w:rsidP="00DA2CD0">
            <w:pPr>
              <w:rPr>
                <w:rFonts w:ascii="Arial" w:hAnsi="Arial"/>
                <w:sz w:val="22"/>
                <w:szCs w:val="22"/>
              </w:rPr>
            </w:pPr>
          </w:p>
        </w:tc>
        <w:tc>
          <w:tcPr>
            <w:tcW w:w="1329" w:type="dxa"/>
          </w:tcPr>
          <w:p w:rsidR="00DA2CD0" w:rsidRPr="00FE3543" w:rsidRDefault="00DA2CD0" w:rsidP="00DA2CD0">
            <w:pPr>
              <w:rPr>
                <w:rFonts w:ascii="Arial" w:hAnsi="Arial"/>
                <w:sz w:val="22"/>
                <w:szCs w:val="22"/>
              </w:rPr>
            </w:pPr>
          </w:p>
        </w:tc>
        <w:tc>
          <w:tcPr>
            <w:tcW w:w="1983" w:type="dxa"/>
            <w:vMerge/>
          </w:tcPr>
          <w:p w:rsidR="00DA2CD0" w:rsidRPr="00FE3543" w:rsidRDefault="00DA2CD0" w:rsidP="00DA2CD0">
            <w:pPr>
              <w:keepNext/>
              <w:rPr>
                <w:rFonts w:ascii="Arial" w:hAnsi="Arial"/>
                <w:sz w:val="22"/>
                <w:szCs w:val="22"/>
              </w:rPr>
            </w:pPr>
          </w:p>
        </w:tc>
      </w:tr>
    </w:tbl>
    <w:p w:rsidR="00FE3543" w:rsidRDefault="00FE3543" w:rsidP="00DA2CD0">
      <w:pPr>
        <w:spacing w:after="120" w:line="240" w:lineRule="auto"/>
        <w:jc w:val="both"/>
        <w:rPr>
          <w:rFonts w:ascii="Calibri" w:eastAsia="Times New Roman" w:hAnsi="Calibri" w:cs="Calibri"/>
          <w:b/>
          <w:color w:val="000000"/>
          <w:lang w:eastAsia="en-GB"/>
        </w:rPr>
      </w:pPr>
      <w:bookmarkStart w:id="1" w:name="_Ref519799391"/>
    </w:p>
    <w:p w:rsidR="00DA2CD0" w:rsidRPr="00FE3543" w:rsidRDefault="00DA2CD0" w:rsidP="00DA2CD0">
      <w:pPr>
        <w:spacing w:after="120" w:line="240" w:lineRule="auto"/>
        <w:jc w:val="both"/>
        <w:rPr>
          <w:rFonts w:ascii="Calibri" w:eastAsia="Times New Roman" w:hAnsi="Calibri" w:cs="Calibri"/>
          <w:b/>
          <w:color w:val="000000"/>
          <w:lang w:eastAsia="en-GB"/>
        </w:rPr>
      </w:pPr>
      <w:r w:rsidRPr="00FE3543">
        <w:rPr>
          <w:rFonts w:ascii="Calibri" w:eastAsia="Times New Roman" w:hAnsi="Calibri" w:cs="Calibri"/>
          <w:b/>
          <w:color w:val="000000"/>
          <w:lang w:eastAsia="en-GB"/>
        </w:rPr>
        <w:t xml:space="preserve">Figure </w:t>
      </w:r>
      <w:r w:rsidRPr="00FE3543">
        <w:rPr>
          <w:rFonts w:ascii="Calibri" w:eastAsia="Times New Roman" w:hAnsi="Calibri" w:cs="Calibri"/>
          <w:b/>
          <w:color w:val="000000"/>
          <w:lang w:eastAsia="en-GB"/>
        </w:rPr>
        <w:fldChar w:fldCharType="begin"/>
      </w:r>
      <w:r w:rsidRPr="00FE3543">
        <w:rPr>
          <w:rFonts w:ascii="Calibri" w:eastAsia="Times New Roman" w:hAnsi="Calibri" w:cs="Calibri"/>
          <w:b/>
          <w:color w:val="000000"/>
          <w:lang w:eastAsia="en-GB"/>
        </w:rPr>
        <w:instrText xml:space="preserve"> SEQ Figure \* ARABIC </w:instrText>
      </w:r>
      <w:r w:rsidRPr="00FE3543">
        <w:rPr>
          <w:rFonts w:ascii="Calibri" w:eastAsia="Times New Roman" w:hAnsi="Calibri" w:cs="Calibri"/>
          <w:b/>
          <w:color w:val="000000"/>
          <w:lang w:eastAsia="en-GB"/>
        </w:rPr>
        <w:fldChar w:fldCharType="separate"/>
      </w:r>
      <w:r w:rsidRPr="00FE3543">
        <w:rPr>
          <w:rFonts w:ascii="Calibri" w:eastAsia="Times New Roman" w:hAnsi="Calibri" w:cs="Calibri"/>
          <w:b/>
          <w:noProof/>
          <w:color w:val="000000"/>
          <w:lang w:eastAsia="en-GB"/>
        </w:rPr>
        <w:t>1</w:t>
      </w:r>
      <w:r w:rsidRPr="00FE3543">
        <w:rPr>
          <w:rFonts w:ascii="Calibri" w:eastAsia="Times New Roman" w:hAnsi="Calibri" w:cs="Calibri"/>
          <w:b/>
          <w:noProof/>
          <w:color w:val="000000"/>
          <w:lang w:eastAsia="en-GB"/>
        </w:rPr>
        <w:fldChar w:fldCharType="end"/>
      </w:r>
      <w:bookmarkEnd w:id="1"/>
      <w:r w:rsidRPr="00FE3543">
        <w:rPr>
          <w:rFonts w:ascii="Calibri" w:eastAsia="Times New Roman" w:hAnsi="Calibri" w:cs="Calibri"/>
          <w:b/>
          <w:color w:val="000000"/>
          <w:lang w:eastAsia="en-GB"/>
        </w:rPr>
        <w:tab/>
        <w:t xml:space="preserve">Technical assessment priorities for </w:t>
      </w:r>
      <w:proofErr w:type="spellStart"/>
      <w:r w:rsidRPr="00FE3543">
        <w:rPr>
          <w:rFonts w:ascii="Calibri" w:eastAsia="Times New Roman" w:hAnsi="Calibri" w:cs="Calibri"/>
          <w:b/>
          <w:color w:val="000000"/>
          <w:lang w:eastAsia="en-GB"/>
        </w:rPr>
        <w:t>HyDeploy</w:t>
      </w:r>
      <w:proofErr w:type="spellEnd"/>
      <w:r w:rsidRPr="00FE3543">
        <w:rPr>
          <w:rFonts w:ascii="Calibri" w:eastAsia="Times New Roman" w:hAnsi="Calibri" w:cs="Calibri"/>
          <w:b/>
          <w:color w:val="000000"/>
          <w:lang w:eastAsia="en-GB"/>
        </w:rPr>
        <w:t xml:space="preserve"> 2</w:t>
      </w:r>
    </w:p>
    <w:p w:rsidR="00DA2CD0" w:rsidRPr="00FE3543" w:rsidRDefault="00DA2CD0" w:rsidP="00DA2CD0">
      <w:pPr>
        <w:spacing w:after="120" w:line="240" w:lineRule="auto"/>
        <w:jc w:val="both"/>
        <w:rPr>
          <w:rFonts w:ascii="Calibri" w:eastAsia="Times New Roman" w:hAnsi="Calibri" w:cs="Calibri"/>
          <w:color w:val="000000"/>
          <w:lang w:eastAsia="en-GB"/>
        </w:rPr>
      </w:pP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The experimental output from these trials will progressively build confidence in the materials performance of any GDN network containing a hydrogen blend. The aim will be to provide short-term confidence to allow the second trial phase to begin, while also producing data applicable to long term exposures of a network over a wide range of pressures</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It is anticipated that the experimental programme will last up to two years to complete. The core experimental work will be sub contracted by HSL to organisations that have demonstrable experience and existing test facilities in the given topic area. HSL will act as the technical project managers for the programme and would:</w:t>
      </w:r>
    </w:p>
    <w:p w:rsidR="00DA2CD0" w:rsidRPr="00FE3543" w:rsidRDefault="00DA2CD0" w:rsidP="00DA2CD0">
      <w:pPr>
        <w:numPr>
          <w:ilvl w:val="0"/>
          <w:numId w:val="7"/>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Lead, supervise and coordinate the research,  </w:t>
      </w:r>
    </w:p>
    <w:p w:rsidR="00DA2CD0" w:rsidRPr="00FE3543" w:rsidRDefault="00DA2CD0" w:rsidP="00DA2CD0">
      <w:pPr>
        <w:numPr>
          <w:ilvl w:val="0"/>
          <w:numId w:val="7"/>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Analyse results and relate them to risk assessment and risk prediction, and</w:t>
      </w:r>
    </w:p>
    <w:p w:rsidR="00DA2CD0" w:rsidRPr="00FE3543" w:rsidRDefault="00DA2CD0" w:rsidP="00DA2CD0">
      <w:pPr>
        <w:numPr>
          <w:ilvl w:val="0"/>
          <w:numId w:val="7"/>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Produce summary reports and presentations on the project for collaborative parties. </w:t>
      </w:r>
    </w:p>
    <w:p w:rsidR="00DA2CD0" w:rsidRPr="00FE3543" w:rsidRDefault="00DA2CD0" w:rsidP="00DA2CD0">
      <w:pPr>
        <w:spacing w:after="120" w:line="240" w:lineRule="auto"/>
        <w:jc w:val="both"/>
        <w:rPr>
          <w:rFonts w:ascii="Calibri" w:eastAsia="Times New Roman" w:hAnsi="Calibri" w:cs="Calibri"/>
          <w:color w:val="000000"/>
          <w:lang w:eastAsia="en-GB"/>
        </w:rPr>
      </w:pP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 xml:space="preserve">Some of the key areas that will be assessed </w:t>
      </w:r>
      <w:r w:rsidR="00FE3543">
        <w:rPr>
          <w:rFonts w:ascii="Calibri" w:eastAsia="Times New Roman" w:hAnsi="Calibri" w:cs="Calibri"/>
          <w:color w:val="000000"/>
          <w:lang w:eastAsia="en-GB"/>
        </w:rPr>
        <w:t xml:space="preserve">as part of the programme </w:t>
      </w:r>
      <w:r w:rsidRPr="00FE3543">
        <w:rPr>
          <w:rFonts w:ascii="Calibri" w:eastAsia="Times New Roman" w:hAnsi="Calibri" w:cs="Calibri"/>
          <w:color w:val="000000"/>
          <w:lang w:eastAsia="en-GB"/>
        </w:rPr>
        <w:t>will be:</w:t>
      </w:r>
    </w:p>
    <w:p w:rsidR="00DA2CD0" w:rsidRPr="00FE3543" w:rsidRDefault="00DA2CD0" w:rsidP="00DA2CD0">
      <w:pPr>
        <w:numPr>
          <w:ilvl w:val="0"/>
          <w:numId w:val="8"/>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Tensile performance of relevant materials in 100% hydrogen and hydrogen blends.</w:t>
      </w:r>
    </w:p>
    <w:p w:rsidR="00DA2CD0" w:rsidRPr="00FE3543" w:rsidRDefault="00DA2CD0" w:rsidP="00DA2CD0">
      <w:pPr>
        <w:numPr>
          <w:ilvl w:val="0"/>
          <w:numId w:val="8"/>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Characterisation of hydrogen absorption, retention and d</w:t>
      </w:r>
      <w:r w:rsidR="00FE3543">
        <w:rPr>
          <w:rFonts w:ascii="Calibri" w:eastAsia="Times New Roman" w:hAnsi="Calibri" w:cs="Calibri"/>
          <w:color w:val="000000"/>
          <w:lang w:eastAsia="en-GB"/>
        </w:rPr>
        <w:t>esorption from materials at GDN</w:t>
      </w:r>
      <w:r w:rsidRPr="00FE3543">
        <w:rPr>
          <w:rFonts w:ascii="Calibri" w:eastAsia="Times New Roman" w:hAnsi="Calibri" w:cs="Calibri"/>
          <w:color w:val="000000"/>
          <w:lang w:eastAsia="en-GB"/>
        </w:rPr>
        <w:t xml:space="preserve"> given operating conditions.</w:t>
      </w:r>
    </w:p>
    <w:p w:rsidR="00DA2CD0" w:rsidRPr="00FE3543" w:rsidRDefault="00FE3543" w:rsidP="00DA2CD0">
      <w:pPr>
        <w:numPr>
          <w:ilvl w:val="0"/>
          <w:numId w:val="8"/>
        </w:numPr>
        <w:spacing w:after="12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U</w:t>
      </w:r>
      <w:r w:rsidR="00DA2CD0" w:rsidRPr="00FE3543">
        <w:rPr>
          <w:rFonts w:ascii="Calibri" w:eastAsia="Times New Roman" w:hAnsi="Calibri" w:cs="Calibri"/>
          <w:color w:val="000000"/>
          <w:lang w:eastAsia="en-GB"/>
        </w:rPr>
        <w:t xml:space="preserve">nderstanding of the effect hydrogen on the crack initiation and crack growth rate of pipeline materials.  </w:t>
      </w:r>
    </w:p>
    <w:p w:rsidR="00DA2CD0" w:rsidRPr="00FE3543" w:rsidRDefault="00DA2CD0" w:rsidP="00DA2CD0">
      <w:pPr>
        <w:numPr>
          <w:ilvl w:val="0"/>
          <w:numId w:val="8"/>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Undertaking fatigue specific</w:t>
      </w:r>
      <w:r w:rsidR="00FE3543">
        <w:rPr>
          <w:rFonts w:ascii="Calibri" w:eastAsia="Times New Roman" w:hAnsi="Calibri" w:cs="Calibri"/>
          <w:color w:val="000000"/>
          <w:lang w:eastAsia="en-GB"/>
        </w:rPr>
        <w:t xml:space="preserve"> SN</w:t>
      </w:r>
      <w:r w:rsidRPr="00FE3543">
        <w:rPr>
          <w:rFonts w:ascii="Calibri" w:eastAsia="Times New Roman" w:hAnsi="Calibri" w:cs="Calibri"/>
          <w:color w:val="000000"/>
          <w:lang w:eastAsia="en-GB"/>
        </w:rPr>
        <w:t xml:space="preserve"> testing </w:t>
      </w:r>
      <w:r w:rsidR="00FE3543">
        <w:rPr>
          <w:rFonts w:ascii="Calibri" w:eastAsia="Times New Roman" w:hAnsi="Calibri" w:cs="Calibri"/>
          <w:color w:val="000000"/>
          <w:lang w:eastAsia="en-GB"/>
        </w:rPr>
        <w:t xml:space="preserve">on samples with a variety of surface conditions. </w:t>
      </w:r>
    </w:p>
    <w:p w:rsidR="00DA2CD0" w:rsidRDefault="00DA2CD0" w:rsidP="00DA2CD0">
      <w:pPr>
        <w:numPr>
          <w:ilvl w:val="0"/>
          <w:numId w:val="8"/>
        </w:num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Assessment of the effect of surface finish and potential corrosion on material susceptibility to hydrogen embrittlement.</w:t>
      </w:r>
    </w:p>
    <w:p w:rsidR="00FE3543" w:rsidRPr="00FE3543" w:rsidRDefault="00FE3543" w:rsidP="00DA2CD0">
      <w:pPr>
        <w:numPr>
          <w:ilvl w:val="0"/>
          <w:numId w:val="8"/>
        </w:numPr>
        <w:spacing w:after="12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Assessment of weld susceptibility.</w:t>
      </w:r>
    </w:p>
    <w:p w:rsidR="00DA2CD0" w:rsidRPr="00FE3543" w:rsidRDefault="00FE3543" w:rsidP="00DA2CD0">
      <w:pPr>
        <w:numPr>
          <w:ilvl w:val="0"/>
          <w:numId w:val="8"/>
        </w:numPr>
        <w:spacing w:after="12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A</w:t>
      </w:r>
      <w:r w:rsidR="00DA2CD0" w:rsidRPr="00FE3543">
        <w:rPr>
          <w:rFonts w:ascii="Calibri" w:eastAsia="Times New Roman" w:hAnsi="Calibri" w:cs="Calibri"/>
          <w:color w:val="000000"/>
          <w:lang w:eastAsia="en-GB"/>
        </w:rPr>
        <w:t xml:space="preserve">ssessment of materials proposed to be most susceptible to hydrogen effects, </w:t>
      </w:r>
      <w:proofErr w:type="spellStart"/>
      <w:r w:rsidR="00DA2CD0" w:rsidRPr="00FE3543">
        <w:rPr>
          <w:rFonts w:ascii="Calibri" w:eastAsia="Times New Roman" w:hAnsi="Calibri" w:cs="Calibri"/>
          <w:color w:val="000000"/>
          <w:lang w:eastAsia="en-GB"/>
        </w:rPr>
        <w:t>eg</w:t>
      </w:r>
      <w:proofErr w:type="spellEnd"/>
      <w:r w:rsidR="00DA2CD0" w:rsidRPr="00FE3543">
        <w:rPr>
          <w:rFonts w:ascii="Calibri" w:eastAsia="Times New Roman" w:hAnsi="Calibri" w:cs="Calibri"/>
          <w:color w:val="000000"/>
          <w:lang w:eastAsia="en-GB"/>
        </w:rPr>
        <w:t xml:space="preserve"> high strength ferritic steels, high strength ferritic steel weld joints, cast iron and martensitic spring steel.</w:t>
      </w:r>
    </w:p>
    <w:p w:rsidR="00DA2CD0" w:rsidRPr="00FE3543" w:rsidRDefault="00DA2CD0" w:rsidP="00DA2CD0">
      <w:pPr>
        <w:spacing w:after="120" w:line="240" w:lineRule="auto"/>
        <w:jc w:val="both"/>
        <w:rPr>
          <w:rFonts w:ascii="Calibri" w:eastAsia="Times New Roman" w:hAnsi="Calibri" w:cs="Calibri"/>
          <w:color w:val="000000"/>
          <w:lang w:eastAsia="en-GB"/>
        </w:rPr>
      </w:pPr>
    </w:p>
    <w:p w:rsidR="00DA2CD0" w:rsidRPr="00FE3543" w:rsidRDefault="00DA2CD0" w:rsidP="00DA2CD0">
      <w:pPr>
        <w:keepNext/>
        <w:numPr>
          <w:ilvl w:val="2"/>
          <w:numId w:val="0"/>
        </w:numPr>
        <w:spacing w:after="60" w:line="240" w:lineRule="auto"/>
        <w:ind w:left="720" w:hanging="720"/>
        <w:outlineLvl w:val="2"/>
        <w:rPr>
          <w:rFonts w:ascii="Arial Bold" w:eastAsia="Times New Roman" w:hAnsi="Arial Bold" w:cs="Arial"/>
          <w:b/>
          <w:bCs/>
          <w:i/>
          <w:color w:val="009878"/>
          <w:lang w:eastAsia="en-GB"/>
        </w:rPr>
      </w:pPr>
      <w:r w:rsidRPr="00FE3543">
        <w:rPr>
          <w:rFonts w:ascii="Arial Bold" w:eastAsia="Times New Roman" w:hAnsi="Arial Bold" w:cs="Arial"/>
          <w:b/>
          <w:bCs/>
          <w:i/>
          <w:color w:val="009878"/>
          <w:lang w:eastAsia="en-GB"/>
        </w:rPr>
        <w:t>Hydrogen uptake – Cathodic Charging</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It is recognised that hydrogen embrittlement is typically a degradation mechanism which manifests itself over years or decades, therefore an approach to building long-term confidence is essential. By scoping trials appropriately (</w:t>
      </w:r>
      <w:proofErr w:type="spellStart"/>
      <w:r w:rsidRPr="00FE3543">
        <w:rPr>
          <w:rFonts w:ascii="Calibri" w:eastAsia="Times New Roman" w:hAnsi="Calibri" w:cs="Calibri"/>
          <w:color w:val="000000"/>
          <w:lang w:eastAsia="en-GB"/>
        </w:rPr>
        <w:t>eg</w:t>
      </w:r>
      <w:proofErr w:type="spellEnd"/>
      <w:r w:rsidRPr="00FE3543">
        <w:rPr>
          <w:rFonts w:ascii="Calibri" w:eastAsia="Times New Roman" w:hAnsi="Calibri" w:cs="Calibri"/>
          <w:color w:val="000000"/>
          <w:lang w:eastAsia="en-GB"/>
        </w:rPr>
        <w:t xml:space="preserve"> by determination of hydrogen saturation concentration), the fundamental basis of material failure can be better described, thus allowing a predictive capability. </w:t>
      </w:r>
    </w:p>
    <w:p w:rsidR="00DA2CD0" w:rsidRPr="00FE3543" w:rsidRDefault="00DA2CD0" w:rsidP="00DA2CD0">
      <w:pPr>
        <w:spacing w:after="120" w:line="240" w:lineRule="auto"/>
        <w:jc w:val="both"/>
        <w:rPr>
          <w:rFonts w:ascii="Calibri" w:eastAsia="Times New Roman" w:hAnsi="Calibri" w:cs="Calibri"/>
          <w:color w:val="000000"/>
          <w:lang w:eastAsia="en-GB"/>
        </w:rPr>
      </w:pPr>
      <w:r w:rsidRPr="00FE3543">
        <w:rPr>
          <w:rFonts w:ascii="Calibri" w:eastAsia="Times New Roman" w:hAnsi="Calibri" w:cs="Calibri"/>
          <w:color w:val="000000"/>
          <w:lang w:eastAsia="en-GB"/>
        </w:rPr>
        <w:t>One process that may be used to accelerate hydrogen absorption is that of cathodic charging. This technique involves passing an electrical current through a specimen to chemically induce hydrogen absorption into the specimen. This process is much faster (and potentially cheaper) than long-term gaseous soaking but does require some preliminary trials to “calibrate” hydrogen uptake by charging against soak time. It is proposed that by correlating the parameters for gaseous soaking with those of cathodic charging, it will be possible to simulate decades worth of gaseous soaking in a few days of cathodic charging.</w:t>
      </w:r>
    </w:p>
    <w:p w:rsidR="009C0CB5" w:rsidRPr="00902F0A" w:rsidRDefault="00912834" w:rsidP="00FE3543">
      <w:pPr>
        <w:shd w:val="clear" w:color="auto" w:fill="BFBFBF" w:themeFill="background1" w:themeFillShade="BF"/>
        <w:spacing w:before="240"/>
        <w:rPr>
          <w:b/>
        </w:rPr>
      </w:pPr>
      <w:r>
        <w:rPr>
          <w:b/>
        </w:rPr>
        <w:t xml:space="preserve">Sub-contractor </w:t>
      </w:r>
      <w:r w:rsidR="003005E2">
        <w:rPr>
          <w:b/>
        </w:rPr>
        <w:t xml:space="preserve">Technical Scope of Work </w:t>
      </w:r>
    </w:p>
    <w:p w:rsidR="00912834" w:rsidRDefault="00912834" w:rsidP="00912834">
      <w:r>
        <w:t xml:space="preserve">Whilst at HSL were able to undertake the testing for evidence base for the trial at </w:t>
      </w:r>
      <w:proofErr w:type="spellStart"/>
      <w:r>
        <w:t>Keele</w:t>
      </w:r>
      <w:proofErr w:type="spellEnd"/>
      <w:r w:rsidR="00FE3543">
        <w:t>,</w:t>
      </w:r>
      <w:r>
        <w:t xml:space="preserve"> </w:t>
      </w:r>
      <w:r w:rsidR="00B23A56">
        <w:t xml:space="preserve">we are now looking for a partner with suitable test equipment and expertise to work with us on generating the evidence of materials performance for </w:t>
      </w:r>
      <w:proofErr w:type="spellStart"/>
      <w:r w:rsidR="00B23A56">
        <w:t>HyDeploy</w:t>
      </w:r>
      <w:proofErr w:type="spellEnd"/>
      <w:r w:rsidR="00B23A56">
        <w:t xml:space="preserve"> 2. </w:t>
      </w:r>
    </w:p>
    <w:p w:rsidR="00B23A56" w:rsidRDefault="00B23A56" w:rsidP="00912834">
      <w:r>
        <w:t>The scope of works for our partner will include:</w:t>
      </w:r>
    </w:p>
    <w:p w:rsidR="00902F0A" w:rsidRDefault="00902F0A" w:rsidP="003005E2">
      <w:pPr>
        <w:pStyle w:val="ListParagraph"/>
        <w:numPr>
          <w:ilvl w:val="0"/>
          <w:numId w:val="2"/>
        </w:numPr>
      </w:pPr>
      <w:r>
        <w:t xml:space="preserve">Work with the consortium and in particular HSL as technical lead for the materials work to develop a suitable programme of investigation &amp; testing </w:t>
      </w:r>
    </w:p>
    <w:p w:rsidR="00CE5C62" w:rsidRDefault="003005E2" w:rsidP="003005E2">
      <w:pPr>
        <w:pStyle w:val="ListParagraph"/>
        <w:numPr>
          <w:ilvl w:val="0"/>
          <w:numId w:val="2"/>
        </w:numPr>
      </w:pPr>
      <w:r>
        <w:t>Deliver materials t</w:t>
      </w:r>
      <w:r w:rsidR="00CE5C62">
        <w:t xml:space="preserve">esting </w:t>
      </w:r>
      <w:r w:rsidR="00885976">
        <w:t xml:space="preserve">as per agreed technical specification </w:t>
      </w:r>
    </w:p>
    <w:p w:rsidR="00902F0A" w:rsidRDefault="00902F0A" w:rsidP="003005E2">
      <w:pPr>
        <w:pStyle w:val="ListParagraph"/>
        <w:numPr>
          <w:ilvl w:val="0"/>
          <w:numId w:val="2"/>
        </w:numPr>
      </w:pPr>
      <w:r>
        <w:t xml:space="preserve">Draw conclusions from test results and present these in the context of known materials behaviour and cited underlying science </w:t>
      </w:r>
    </w:p>
    <w:p w:rsidR="003005E2" w:rsidRDefault="003005E2" w:rsidP="003005E2">
      <w:pPr>
        <w:pStyle w:val="ListParagraph"/>
        <w:numPr>
          <w:ilvl w:val="0"/>
          <w:numId w:val="2"/>
        </w:numPr>
      </w:pPr>
      <w:r>
        <w:t xml:space="preserve">Produce written reports summarising results </w:t>
      </w:r>
    </w:p>
    <w:p w:rsidR="00912834" w:rsidRDefault="00885976" w:rsidP="00912834">
      <w:pPr>
        <w:pStyle w:val="ListParagraph"/>
        <w:numPr>
          <w:ilvl w:val="0"/>
          <w:numId w:val="2"/>
        </w:numPr>
      </w:pPr>
      <w:r>
        <w:t xml:space="preserve">During and on conclusion of the programme of work provide expert opinion on the </w:t>
      </w:r>
      <w:r w:rsidR="00912834">
        <w:t xml:space="preserve">likely </w:t>
      </w:r>
      <w:r>
        <w:t>performa</w:t>
      </w:r>
      <w:r w:rsidR="00912834">
        <w:t>nce of materials in the network</w:t>
      </w:r>
    </w:p>
    <w:p w:rsidR="00885976" w:rsidRDefault="00912834" w:rsidP="00912834">
      <w:pPr>
        <w:pStyle w:val="ListParagraph"/>
        <w:numPr>
          <w:ilvl w:val="0"/>
          <w:numId w:val="2"/>
        </w:numPr>
      </w:pPr>
      <w:r>
        <w:t xml:space="preserve">Develop a suitable accelerated test methodology to help characterise materials performance over periods longer than the trial period </w:t>
      </w:r>
    </w:p>
    <w:p w:rsidR="00A53327" w:rsidRDefault="00A53327" w:rsidP="00A53327">
      <w:pPr>
        <w:shd w:val="clear" w:color="auto" w:fill="BFBFBF" w:themeFill="background1" w:themeFillShade="BF"/>
        <w:rPr>
          <w:b/>
        </w:rPr>
      </w:pPr>
      <w:r>
        <w:rPr>
          <w:b/>
        </w:rPr>
        <w:t xml:space="preserve">Indicative Test Plan </w:t>
      </w:r>
    </w:p>
    <w:p w:rsidR="00A53327" w:rsidRPr="00A53327" w:rsidRDefault="00A53327">
      <w:r w:rsidRPr="00A53327">
        <w:t xml:space="preserve">An indicative test plan is provided with this screening tender to provide some indication as to the </w:t>
      </w:r>
      <w:r>
        <w:t xml:space="preserve">testing regime that may be needed to demonstrate material performance to a level of sufficient confidence to be able to undertake both public trials as well as underpin the evidence base for future roll out of blended gas. Please note this is indicative only and would be subject to discussion and agreement in the first stage of the project. </w:t>
      </w:r>
    </w:p>
    <w:p w:rsidR="00902F0A" w:rsidRPr="00902F0A" w:rsidRDefault="00902F0A" w:rsidP="00A53327">
      <w:pPr>
        <w:shd w:val="clear" w:color="auto" w:fill="BFBFBF" w:themeFill="background1" w:themeFillShade="BF"/>
        <w:rPr>
          <w:b/>
        </w:rPr>
      </w:pPr>
      <w:r w:rsidRPr="00902F0A">
        <w:rPr>
          <w:b/>
        </w:rPr>
        <w:t>Budget</w:t>
      </w:r>
    </w:p>
    <w:p w:rsidR="00902F0A" w:rsidRDefault="00A53327">
      <w:r w:rsidRPr="00A53327">
        <w:rPr>
          <w:b/>
        </w:rPr>
        <w:t>Max</w:t>
      </w:r>
      <w:r>
        <w:rPr>
          <w:b/>
        </w:rPr>
        <w:t>imum</w:t>
      </w:r>
      <w:r w:rsidRPr="00A53327">
        <w:rPr>
          <w:b/>
        </w:rPr>
        <w:t xml:space="preserve"> </w:t>
      </w:r>
      <w:r w:rsidR="003005E2" w:rsidRPr="00A53327">
        <w:rPr>
          <w:b/>
        </w:rPr>
        <w:t>£440</w:t>
      </w:r>
      <w:r w:rsidR="00902F0A" w:rsidRPr="00A53327">
        <w:rPr>
          <w:b/>
        </w:rPr>
        <w:t>k</w:t>
      </w:r>
      <w:r w:rsidR="00902F0A">
        <w:t xml:space="preserve"> including consumables, travel, access</w:t>
      </w:r>
      <w:r w:rsidR="00FE3543">
        <w:t xml:space="preserve"> to </w:t>
      </w:r>
      <w:r w:rsidR="00902F0A">
        <w:t xml:space="preserve">equipment and materials </w:t>
      </w:r>
      <w:r w:rsidR="00B23A56">
        <w:t xml:space="preserve">(excluding test samples to be supplied by HSL) </w:t>
      </w:r>
    </w:p>
    <w:p w:rsidR="00D7270F" w:rsidRDefault="00D7270F">
      <w:r>
        <w:t xml:space="preserve">Monthly catch up meetings to be held at HSL, Buxton </w:t>
      </w:r>
    </w:p>
    <w:p w:rsidR="003E3083" w:rsidRDefault="003E3083"/>
    <w:p w:rsidR="00A64679" w:rsidRDefault="00A64679" w:rsidP="00A53327">
      <w:pPr>
        <w:shd w:val="clear" w:color="auto" w:fill="BFBFBF" w:themeFill="background1" w:themeFillShade="BF"/>
        <w:rPr>
          <w:b/>
        </w:rPr>
      </w:pPr>
      <w:r>
        <w:rPr>
          <w:b/>
        </w:rPr>
        <w:t xml:space="preserve">Programme </w:t>
      </w:r>
    </w:p>
    <w:p w:rsidR="00A64679" w:rsidRDefault="00A64679">
      <w:r>
        <w:t>2 years from April 2019 with confidence after year 1 to be able to</w:t>
      </w:r>
      <w:r w:rsidR="00A53327">
        <w:t xml:space="preserve"> conduct the first public trial.</w:t>
      </w:r>
    </w:p>
    <w:p w:rsidR="009C0CB5" w:rsidRPr="00902F0A" w:rsidRDefault="002C1D98" w:rsidP="00A53327">
      <w:pPr>
        <w:shd w:val="clear" w:color="auto" w:fill="BFBFBF" w:themeFill="background1" w:themeFillShade="BF"/>
        <w:rPr>
          <w:b/>
        </w:rPr>
      </w:pPr>
      <w:r>
        <w:rPr>
          <w:b/>
        </w:rPr>
        <w:t xml:space="preserve">Capability Needed </w:t>
      </w:r>
    </w:p>
    <w:p w:rsidR="002C1D98" w:rsidRDefault="002C1D98" w:rsidP="002C1D98">
      <w:r w:rsidRPr="002C1D98">
        <w:t xml:space="preserve">The following experimental capabilities will be required to conduct the materials research for </w:t>
      </w:r>
      <w:proofErr w:type="spellStart"/>
      <w:r w:rsidRPr="002C1D98">
        <w:t>HyDeploy</w:t>
      </w:r>
      <w:proofErr w:type="spellEnd"/>
      <w:r w:rsidRPr="002C1D98">
        <w:t xml:space="preserve"> 2:</w:t>
      </w:r>
    </w:p>
    <w:p w:rsidR="002C1D98" w:rsidRPr="002C1D98" w:rsidRDefault="002C1D98" w:rsidP="002C1D98">
      <w:pPr>
        <w:pStyle w:val="ListParagraph"/>
        <w:numPr>
          <w:ilvl w:val="0"/>
          <w:numId w:val="6"/>
        </w:numPr>
        <w:rPr>
          <w:b/>
        </w:rPr>
      </w:pPr>
      <w:r w:rsidRPr="002C1D98">
        <w:rPr>
          <w:b/>
        </w:rPr>
        <w:t>Hydrogen soaking facilities</w:t>
      </w:r>
    </w:p>
    <w:p w:rsidR="002C1D98" w:rsidRDefault="002C1D98" w:rsidP="002C1D98">
      <w:r>
        <w:t>The capability to ‘soak’ tensile and coupon specimens in a blended hydrogen (20% H2 and 80% CH4 or N2) atmosphere at pressures between 2 – 40 bar, and at temperatures up to 80°C, is required. The soaking facilities would need to be available for the duration of the project (2 years). The soaking facility would need to be able to soak approximately 20 – 30 specimens (approximately 120 mm in length) simultaneously; exact capacity/dimensions are negotiable. It would be preferable if more than one soaking facility were available to allow parallel soaking of different conditions (pressure/blend ratio/temperature).</w:t>
      </w:r>
    </w:p>
    <w:p w:rsidR="002C1D98" w:rsidRDefault="002C1D98" w:rsidP="002C1D98">
      <w:r>
        <w:t>This is required in order to ingress hydrogen into the materials specimens in a simulated gas network environment.</w:t>
      </w:r>
    </w:p>
    <w:p w:rsidR="002C1D98" w:rsidRPr="002C1D98" w:rsidRDefault="002C1D98" w:rsidP="002C1D98">
      <w:pPr>
        <w:pStyle w:val="ListParagraph"/>
        <w:numPr>
          <w:ilvl w:val="0"/>
          <w:numId w:val="6"/>
        </w:numPr>
        <w:rPr>
          <w:b/>
        </w:rPr>
      </w:pPr>
      <w:r w:rsidRPr="002C1D98">
        <w:rPr>
          <w:b/>
        </w:rPr>
        <w:t>Hydrogen analysis</w:t>
      </w:r>
    </w:p>
    <w:p w:rsidR="002C1D98" w:rsidRDefault="002C1D98" w:rsidP="002C1D98">
      <w:r>
        <w:t xml:space="preserve">The capability to perform hydrogen concentration analyses (preferably via thermal desorption techniques) on soaked samples is required. </w:t>
      </w:r>
    </w:p>
    <w:p w:rsidR="002C1D98" w:rsidRDefault="002C1D98" w:rsidP="002C1D98">
      <w:r>
        <w:t>This is required to measure the amount of hydrogen present in soaked samples.</w:t>
      </w:r>
    </w:p>
    <w:p w:rsidR="002C1D98" w:rsidRPr="002C1D98" w:rsidRDefault="002C1D98" w:rsidP="002C1D98">
      <w:pPr>
        <w:pStyle w:val="ListParagraph"/>
        <w:numPr>
          <w:ilvl w:val="0"/>
          <w:numId w:val="6"/>
        </w:numPr>
        <w:rPr>
          <w:b/>
        </w:rPr>
      </w:pPr>
      <w:r w:rsidRPr="002C1D98">
        <w:rPr>
          <w:b/>
        </w:rPr>
        <w:t>Tensile testing</w:t>
      </w:r>
    </w:p>
    <w:p w:rsidR="002C1D98" w:rsidRDefault="002C1D98" w:rsidP="002C1D98">
      <w:r>
        <w:t>The capability to tensile test steels and cast iron specimens at strain rates between 10-7s-1 and 10-3s-1. Stress/strain data will be required including proof stress, UTS, reduction of area and elongation to failure. It is necessary that the tensile testing and soaking facilities be conveniently located with respect to one another, so that testing can be conducted nearly immediately after soaking ceases OR that samples can be stored in liquid nitrogen until testing commences. Tensile tests on non-soaked as-received condition materials will also be needed.</w:t>
      </w:r>
    </w:p>
    <w:p w:rsidR="002C1D98" w:rsidRDefault="00FE3543" w:rsidP="002C1D98">
      <w:r>
        <w:t>This is required to collect</w:t>
      </w:r>
      <w:r w:rsidR="002C1D98">
        <w:t xml:space="preserve"> basic mechanical data and to ensure that significant hydrogen egress does not occur between soaking and testing.</w:t>
      </w:r>
    </w:p>
    <w:p w:rsidR="002C1D98" w:rsidRPr="002C1D98" w:rsidRDefault="002C1D98" w:rsidP="002C1D98">
      <w:pPr>
        <w:pStyle w:val="ListParagraph"/>
        <w:numPr>
          <w:ilvl w:val="0"/>
          <w:numId w:val="6"/>
        </w:numPr>
        <w:rPr>
          <w:b/>
        </w:rPr>
      </w:pPr>
      <w:r w:rsidRPr="002C1D98">
        <w:rPr>
          <w:b/>
        </w:rPr>
        <w:t xml:space="preserve">Fatigue testing </w:t>
      </w:r>
    </w:p>
    <w:p w:rsidR="002C1D98" w:rsidRDefault="002C1D98" w:rsidP="002C1D98">
      <w:r>
        <w:t>The capability to perform in-situ fatigue testing (parameters to be determined) in a hydrogen blended atmosphere at a minimum of 8 bar is required. It is necessary that the fatigue testing and soaking facilities be conveniently located with respect to one another, so that testing can be conducted nearly immediately after soaking ceases OR that samples can be stored in liquid nitrogen until testing commences. Fatigue tests on non-soaked as-received condition materials will also be needed.</w:t>
      </w:r>
    </w:p>
    <w:p w:rsidR="002C1D98" w:rsidRDefault="002C1D98" w:rsidP="002C1D98">
      <w:r>
        <w:t>This is required to collect data such as crack initiation and fatigue thresholds of materials tested. It is required that significant hydrogen egress does not occur between soaking and testing.</w:t>
      </w:r>
    </w:p>
    <w:p w:rsidR="002C1D98" w:rsidRPr="002C1D98" w:rsidRDefault="002C1D98" w:rsidP="002C1D98">
      <w:pPr>
        <w:pStyle w:val="ListParagraph"/>
        <w:numPr>
          <w:ilvl w:val="0"/>
          <w:numId w:val="6"/>
        </w:numPr>
        <w:rPr>
          <w:b/>
        </w:rPr>
      </w:pPr>
      <w:proofErr w:type="spellStart"/>
      <w:r w:rsidRPr="002C1D98">
        <w:rPr>
          <w:b/>
        </w:rPr>
        <w:t>Metallographical</w:t>
      </w:r>
      <w:proofErr w:type="spellEnd"/>
      <w:r w:rsidRPr="002C1D98">
        <w:rPr>
          <w:b/>
        </w:rPr>
        <w:t xml:space="preserve"> examination</w:t>
      </w:r>
    </w:p>
    <w:p w:rsidR="002C1D98" w:rsidRDefault="002C1D98" w:rsidP="002C1D98">
      <w:r>
        <w:t xml:space="preserve">The capability to prepare and examine </w:t>
      </w:r>
      <w:proofErr w:type="spellStart"/>
      <w:r>
        <w:t>metallographical</w:t>
      </w:r>
      <w:proofErr w:type="spellEnd"/>
      <w:r>
        <w:t xml:space="preserve"> specimens using optical microscopy is required. Scanning electron microscopy (SEM) capability is also required. </w:t>
      </w:r>
    </w:p>
    <w:p w:rsidR="002C1D98" w:rsidRDefault="002C1D98" w:rsidP="002C1D98">
      <w:r>
        <w:t>This is required to conduct examine the microstructure of the materials that are tested.</w:t>
      </w:r>
    </w:p>
    <w:p w:rsidR="002C1D98" w:rsidRPr="002C1D98" w:rsidRDefault="002C1D98" w:rsidP="002C1D98">
      <w:pPr>
        <w:pStyle w:val="ListParagraph"/>
        <w:numPr>
          <w:ilvl w:val="0"/>
          <w:numId w:val="6"/>
        </w:numPr>
        <w:rPr>
          <w:b/>
        </w:rPr>
      </w:pPr>
      <w:r w:rsidRPr="002C1D98">
        <w:rPr>
          <w:b/>
        </w:rPr>
        <w:t>Electrochemical testing</w:t>
      </w:r>
    </w:p>
    <w:p w:rsidR="002C1D98" w:rsidRDefault="002C1D98" w:rsidP="002C1D98">
      <w:r>
        <w:t xml:space="preserve">The capability to </w:t>
      </w:r>
      <w:proofErr w:type="spellStart"/>
      <w:r>
        <w:t>cathodically</w:t>
      </w:r>
      <w:proofErr w:type="spellEnd"/>
      <w:r>
        <w:t xml:space="preserve"> charge specimens as an alternative to gaseous soaking is optional but preferred. </w:t>
      </w:r>
    </w:p>
    <w:p w:rsidR="002C1D98" w:rsidRDefault="002C1D98" w:rsidP="002C1D98">
      <w:r>
        <w:t>This is required to explore the potential for simulating accelerated time scales for in service materials.</w:t>
      </w:r>
    </w:p>
    <w:p w:rsidR="002C1D98" w:rsidRPr="002C1D98" w:rsidRDefault="002C1D98" w:rsidP="002C1D98">
      <w:pPr>
        <w:pStyle w:val="ListParagraph"/>
        <w:numPr>
          <w:ilvl w:val="0"/>
          <w:numId w:val="6"/>
        </w:numPr>
        <w:rPr>
          <w:b/>
        </w:rPr>
      </w:pPr>
      <w:r w:rsidRPr="002C1D98">
        <w:rPr>
          <w:b/>
        </w:rPr>
        <w:t>Existing expertise</w:t>
      </w:r>
    </w:p>
    <w:p w:rsidR="009C0CB5" w:rsidRDefault="002C1D98" w:rsidP="002C1D98">
      <w:r>
        <w:t>It is necessary that there is established expertise in the areas mentioned above. The timescales on this project are likely to be tight and technical support to those carrying out the work will be essential.</w:t>
      </w:r>
    </w:p>
    <w:p w:rsidR="00A64679" w:rsidRPr="00DA2CD0" w:rsidRDefault="00DA2CD0" w:rsidP="00DA2CD0">
      <w:pPr>
        <w:shd w:val="clear" w:color="auto" w:fill="BFBFBF" w:themeFill="background1" w:themeFillShade="BF"/>
        <w:rPr>
          <w:b/>
        </w:rPr>
      </w:pPr>
      <w:r w:rsidRPr="00DA2CD0">
        <w:rPr>
          <w:b/>
        </w:rPr>
        <w:t xml:space="preserve">Contract </w:t>
      </w:r>
    </w:p>
    <w:p w:rsidR="00411181" w:rsidRDefault="0044030E" w:rsidP="002C1D98">
      <w:r>
        <w:t>As explained previously Phase 2 of the project is subject to contract.  A copy of the contract terms for Phase 1 of the contract is attached to provide a broad indication of the contractual terms and conditions the successful contractor will be expected to sign up to.</w:t>
      </w:r>
      <w:r w:rsidR="00DA2CD0">
        <w:t xml:space="preserve"> </w:t>
      </w:r>
    </w:p>
    <w:p w:rsidR="003E3083" w:rsidRDefault="003E3083" w:rsidP="002C1D98"/>
    <w:p w:rsidR="003E3083" w:rsidRDefault="003E3083" w:rsidP="002C1D98"/>
    <w:p w:rsidR="003E3083" w:rsidRDefault="003E3083" w:rsidP="002C1D98"/>
    <w:p w:rsidR="003E3083" w:rsidRDefault="003E3083" w:rsidP="002C1D98"/>
    <w:p w:rsidR="00411181" w:rsidRDefault="00411181" w:rsidP="002C1D98"/>
    <w:sectPr w:rsidR="004111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737" w:rsidRDefault="00805737" w:rsidP="00DF5995">
      <w:pPr>
        <w:spacing w:after="0" w:line="240" w:lineRule="auto"/>
      </w:pPr>
      <w:r>
        <w:separator/>
      </w:r>
    </w:p>
  </w:endnote>
  <w:endnote w:type="continuationSeparator" w:id="0">
    <w:p w:rsidR="00805737" w:rsidRDefault="00805737" w:rsidP="00DF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737" w:rsidRDefault="00805737" w:rsidP="00DF5995">
      <w:pPr>
        <w:spacing w:after="0" w:line="240" w:lineRule="auto"/>
      </w:pPr>
      <w:r>
        <w:separator/>
      </w:r>
    </w:p>
  </w:footnote>
  <w:footnote w:type="continuationSeparator" w:id="0">
    <w:p w:rsidR="00805737" w:rsidRDefault="00805737" w:rsidP="00DF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995" w:rsidRDefault="00DF5995">
    <w:pPr>
      <w:pStyle w:val="Header"/>
    </w:pPr>
    <w:r>
      <w:t xml:space="preserve">HSE reference Number HSE/T3298 – Delivery of Materials Analysis and                                 </w:t>
    </w:r>
    <w:r w:rsidRPr="00DF5995">
      <w:rPr>
        <w:b/>
      </w:rPr>
      <w:t>Schedule A</w:t>
    </w:r>
  </w:p>
  <w:p w:rsidR="00DF5995" w:rsidRDefault="00DF5995">
    <w:pPr>
      <w:pStyle w:val="Header"/>
    </w:pPr>
    <w:r>
      <w:t>Testing for  HyDeploy2</w:t>
    </w:r>
  </w:p>
  <w:p w:rsidR="00DF5995" w:rsidRDefault="00DF5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95B5E"/>
    <w:multiLevelType w:val="hybridMultilevel"/>
    <w:tmpl w:val="39CA56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BE66F4"/>
    <w:multiLevelType w:val="hybridMultilevel"/>
    <w:tmpl w:val="CB34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16EA3"/>
    <w:multiLevelType w:val="hybridMultilevel"/>
    <w:tmpl w:val="08C01908"/>
    <w:lvl w:ilvl="0" w:tplc="961085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AE5C30"/>
    <w:multiLevelType w:val="hybridMultilevel"/>
    <w:tmpl w:val="343E9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393014"/>
    <w:multiLevelType w:val="hybridMultilevel"/>
    <w:tmpl w:val="33D6F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73F4D"/>
    <w:multiLevelType w:val="hybridMultilevel"/>
    <w:tmpl w:val="448039B4"/>
    <w:lvl w:ilvl="0" w:tplc="FE94335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C4B4E"/>
    <w:multiLevelType w:val="hybridMultilevel"/>
    <w:tmpl w:val="343E9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C06050"/>
    <w:multiLevelType w:val="hybridMultilevel"/>
    <w:tmpl w:val="3404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77376"/>
    <w:multiLevelType w:val="hybridMultilevel"/>
    <w:tmpl w:val="6E66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B415E"/>
    <w:multiLevelType w:val="hybridMultilevel"/>
    <w:tmpl w:val="E2B00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0"/>
  </w:num>
  <w:num w:numId="5">
    <w:abstractNumId w:val="4"/>
  </w:num>
  <w:num w:numId="6">
    <w:abstractNumId w:val="2"/>
  </w:num>
  <w:num w:numId="7">
    <w:abstractNumId w:val="1"/>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CB5"/>
    <w:rsid w:val="000F590D"/>
    <w:rsid w:val="0017763C"/>
    <w:rsid w:val="00283888"/>
    <w:rsid w:val="002C1D98"/>
    <w:rsid w:val="003005E2"/>
    <w:rsid w:val="003D6308"/>
    <w:rsid w:val="003E3083"/>
    <w:rsid w:val="00411181"/>
    <w:rsid w:val="00433FE5"/>
    <w:rsid w:val="0044030E"/>
    <w:rsid w:val="00443E05"/>
    <w:rsid w:val="004A135F"/>
    <w:rsid w:val="005275F3"/>
    <w:rsid w:val="00543F58"/>
    <w:rsid w:val="00547385"/>
    <w:rsid w:val="00554618"/>
    <w:rsid w:val="00585C3E"/>
    <w:rsid w:val="005C6529"/>
    <w:rsid w:val="00640E50"/>
    <w:rsid w:val="00661A49"/>
    <w:rsid w:val="00686929"/>
    <w:rsid w:val="00805737"/>
    <w:rsid w:val="00885976"/>
    <w:rsid w:val="008B5368"/>
    <w:rsid w:val="00902F0A"/>
    <w:rsid w:val="00912834"/>
    <w:rsid w:val="009C0CB5"/>
    <w:rsid w:val="009E4EF8"/>
    <w:rsid w:val="009F0869"/>
    <w:rsid w:val="00A53327"/>
    <w:rsid w:val="00A64679"/>
    <w:rsid w:val="00AA677F"/>
    <w:rsid w:val="00AD7E8A"/>
    <w:rsid w:val="00AE3A00"/>
    <w:rsid w:val="00B009A9"/>
    <w:rsid w:val="00B23A56"/>
    <w:rsid w:val="00BE0DC0"/>
    <w:rsid w:val="00BF79EA"/>
    <w:rsid w:val="00C15D6B"/>
    <w:rsid w:val="00C34080"/>
    <w:rsid w:val="00C40CCB"/>
    <w:rsid w:val="00CA48E1"/>
    <w:rsid w:val="00CC5837"/>
    <w:rsid w:val="00CE5C62"/>
    <w:rsid w:val="00D5170A"/>
    <w:rsid w:val="00D54D57"/>
    <w:rsid w:val="00D7270F"/>
    <w:rsid w:val="00DA2CD0"/>
    <w:rsid w:val="00DF5995"/>
    <w:rsid w:val="00FE3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E733"/>
  <w15:docId w15:val="{ACDF80A6-2C4B-4F40-BD2F-81B82538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CB5"/>
    <w:pPr>
      <w:ind w:left="720"/>
      <w:contextualSpacing/>
    </w:pPr>
  </w:style>
  <w:style w:type="character" w:styleId="Hyperlink">
    <w:name w:val="Hyperlink"/>
    <w:basedOn w:val="DefaultParagraphFont"/>
    <w:uiPriority w:val="99"/>
    <w:unhideWhenUsed/>
    <w:rsid w:val="00DA2CD0"/>
    <w:rPr>
      <w:color w:val="0000FF" w:themeColor="hyperlink"/>
      <w:u w:val="single"/>
    </w:rPr>
  </w:style>
  <w:style w:type="table" w:styleId="TableGrid">
    <w:name w:val="Table Grid"/>
    <w:basedOn w:val="TableNormal"/>
    <w:uiPriority w:val="59"/>
    <w:rsid w:val="00DA2C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308"/>
    <w:rPr>
      <w:rFonts w:ascii="Tahoma" w:hAnsi="Tahoma" w:cs="Tahoma"/>
      <w:sz w:val="16"/>
      <w:szCs w:val="16"/>
    </w:rPr>
  </w:style>
  <w:style w:type="paragraph" w:styleId="Header">
    <w:name w:val="header"/>
    <w:basedOn w:val="Normal"/>
    <w:link w:val="HeaderChar"/>
    <w:uiPriority w:val="99"/>
    <w:unhideWhenUsed/>
    <w:rsid w:val="00DF5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995"/>
  </w:style>
  <w:style w:type="paragraph" w:styleId="Footer">
    <w:name w:val="footer"/>
    <w:basedOn w:val="Normal"/>
    <w:link w:val="FooterChar"/>
    <w:uiPriority w:val="99"/>
    <w:unhideWhenUsed/>
    <w:rsid w:val="00DF5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B37D-001C-4823-B98A-84764DFB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Health and Safety Laboratory</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Spriggs</dc:creator>
  <cp:lastModifiedBy>Fran Davies</cp:lastModifiedBy>
  <cp:revision>1</cp:revision>
  <dcterms:created xsi:type="dcterms:W3CDTF">2019-09-19T09:33:00Z</dcterms:created>
  <dcterms:modified xsi:type="dcterms:W3CDTF">2019-09-19T09:33:00Z</dcterms:modified>
</cp:coreProperties>
</file>