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72554" w14:textId="77777777" w:rsidR="00FD389B" w:rsidRPr="004F0D3F" w:rsidRDefault="00FD389B" w:rsidP="00FD389B">
      <w:pPr>
        <w:pStyle w:val="Heading1"/>
      </w:pPr>
      <w:bookmarkStart w:id="0" w:name="_Toc343591381"/>
      <w:bookmarkStart w:id="1" w:name="_GoBack"/>
      <w:bookmarkEnd w:id="1"/>
      <w:r w:rsidRPr="004F0D3F">
        <w:t>SCHEDULE 2 – THE SERVICES</w:t>
      </w:r>
      <w:bookmarkEnd w:id="0"/>
    </w:p>
    <w:p w14:paraId="4BDFF5A9" w14:textId="77777777" w:rsidR="00FD389B" w:rsidRPr="00F85778" w:rsidRDefault="00FD389B" w:rsidP="00FD389B">
      <w:pPr>
        <w:widowControl w:val="0"/>
        <w:spacing w:after="0"/>
        <w:jc w:val="center"/>
        <w:rPr>
          <w:rFonts w:ascii="Arial" w:hAnsi="Arial" w:cs="Arial"/>
          <w:b/>
          <w:bCs/>
          <w:sz w:val="28"/>
          <w:szCs w:val="28"/>
        </w:rPr>
      </w:pPr>
    </w:p>
    <w:p w14:paraId="69E02EAE" w14:textId="77777777" w:rsidR="00FD389B" w:rsidRPr="00CD4880" w:rsidRDefault="00FD389B" w:rsidP="00CD4880">
      <w:pPr>
        <w:pStyle w:val="ListParagraph"/>
        <w:numPr>
          <w:ilvl w:val="0"/>
          <w:numId w:val="1"/>
        </w:numPr>
        <w:ind w:left="0" w:firstLine="0"/>
        <w:contextualSpacing/>
        <w:jc w:val="center"/>
        <w:outlineLvl w:val="1"/>
        <w:rPr>
          <w:rFonts w:ascii="Arial" w:hAnsi="Arial" w:cs="Arial"/>
          <w:b/>
        </w:rPr>
      </w:pPr>
      <w:bookmarkStart w:id="2" w:name="_Toc343591382"/>
      <w:r w:rsidRPr="006E67E3">
        <w:rPr>
          <w:rFonts w:ascii="Arial" w:hAnsi="Arial" w:cs="Arial"/>
          <w:b/>
        </w:rPr>
        <w:t>Service Specifications</w:t>
      </w:r>
      <w:bookmarkEnd w:id="2"/>
    </w:p>
    <w:p w14:paraId="586BC4B1" w14:textId="77777777" w:rsidR="00FD389B" w:rsidRDefault="00FD389B" w:rsidP="00FD389B">
      <w:pPr>
        <w:shd w:val="clear" w:color="auto" w:fill="FFFFFF" w:themeFill="background1"/>
        <w:spacing w:after="0"/>
        <w:jc w:val="both"/>
        <w:rPr>
          <w:rFonts w:ascii="Arial" w:hAnsi="Arial" w:cs="Arial"/>
          <w:sz w:val="20"/>
        </w:rPr>
      </w:pPr>
    </w:p>
    <w:p w14:paraId="3965A154" w14:textId="77777777" w:rsidR="00FD389B" w:rsidRDefault="00FD389B" w:rsidP="00FD389B">
      <w:pPr>
        <w:spacing w:after="0"/>
        <w:jc w:val="both"/>
        <w:rPr>
          <w:rFonts w:ascii="Arial" w:hAnsi="Arial" w:cs="Arial"/>
          <w:sz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3396"/>
        <w:gridCol w:w="6528"/>
      </w:tblGrid>
      <w:tr w:rsidR="00FD389B" w:rsidRPr="00DF4267" w14:paraId="5F0863FD" w14:textId="77777777" w:rsidTr="0047710D">
        <w:tc>
          <w:tcPr>
            <w:tcW w:w="3396" w:type="dxa"/>
            <w:shd w:val="clear" w:color="auto" w:fill="000000" w:themeFill="text1"/>
          </w:tcPr>
          <w:p w14:paraId="0AEAE3FE" w14:textId="77777777" w:rsidR="00FD389B" w:rsidRPr="0047710D" w:rsidRDefault="00FD389B" w:rsidP="00F30847">
            <w:pPr>
              <w:spacing w:after="0" w:line="360" w:lineRule="auto"/>
              <w:rPr>
                <w:rFonts w:ascii="Arial" w:hAnsi="Arial" w:cs="Arial"/>
                <w:b/>
                <w:color w:val="FFC000"/>
              </w:rPr>
            </w:pPr>
            <w:r w:rsidRPr="0047710D">
              <w:rPr>
                <w:rFonts w:ascii="Arial" w:hAnsi="Arial" w:cs="Arial"/>
                <w:b/>
                <w:color w:val="FFC000"/>
              </w:rPr>
              <w:t>Service Specification No.</w:t>
            </w:r>
          </w:p>
        </w:tc>
        <w:tc>
          <w:tcPr>
            <w:tcW w:w="6528" w:type="dxa"/>
            <w:shd w:val="clear" w:color="auto" w:fill="auto"/>
          </w:tcPr>
          <w:p w14:paraId="70393DE5" w14:textId="77777777" w:rsidR="00FD389B" w:rsidRPr="00030034" w:rsidRDefault="00FD389B" w:rsidP="00F30847">
            <w:pPr>
              <w:spacing w:after="0"/>
              <w:rPr>
                <w:rFonts w:ascii="Arial" w:hAnsi="Arial" w:cs="Arial"/>
                <w:sz w:val="20"/>
              </w:rPr>
            </w:pPr>
          </w:p>
        </w:tc>
      </w:tr>
      <w:tr w:rsidR="00FD389B" w:rsidRPr="00DF4267" w14:paraId="1413DAF3" w14:textId="77777777" w:rsidTr="0047710D">
        <w:tc>
          <w:tcPr>
            <w:tcW w:w="3396" w:type="dxa"/>
            <w:shd w:val="clear" w:color="auto" w:fill="000000" w:themeFill="text1"/>
          </w:tcPr>
          <w:p w14:paraId="5FF0CD08" w14:textId="77777777" w:rsidR="00FD389B" w:rsidRPr="0047710D" w:rsidRDefault="00FD389B" w:rsidP="00F30847">
            <w:pPr>
              <w:spacing w:after="0" w:line="360" w:lineRule="auto"/>
              <w:rPr>
                <w:rFonts w:ascii="Arial" w:hAnsi="Arial" w:cs="Arial"/>
                <w:b/>
                <w:color w:val="FFC000"/>
              </w:rPr>
            </w:pPr>
            <w:r w:rsidRPr="0047710D">
              <w:rPr>
                <w:rFonts w:ascii="Arial" w:hAnsi="Arial" w:cs="Arial"/>
                <w:b/>
                <w:color w:val="FFC000"/>
              </w:rPr>
              <w:t>Service</w:t>
            </w:r>
          </w:p>
        </w:tc>
        <w:tc>
          <w:tcPr>
            <w:tcW w:w="6528" w:type="dxa"/>
            <w:shd w:val="clear" w:color="auto" w:fill="auto"/>
          </w:tcPr>
          <w:p w14:paraId="33F689DE" w14:textId="77777777" w:rsidR="00FD389B" w:rsidRPr="00030034" w:rsidRDefault="006C0539" w:rsidP="00CD4880">
            <w:pPr>
              <w:spacing w:after="0"/>
              <w:rPr>
                <w:rFonts w:ascii="Arial" w:hAnsi="Arial" w:cs="Arial"/>
                <w:sz w:val="20"/>
              </w:rPr>
            </w:pPr>
            <w:r>
              <w:rPr>
                <w:rFonts w:ascii="Arial" w:hAnsi="Arial" w:cs="Arial"/>
                <w:sz w:val="20"/>
              </w:rPr>
              <w:t xml:space="preserve">Atypical GP Practices - </w:t>
            </w:r>
            <w:r w:rsidR="004D7F33">
              <w:rPr>
                <w:rFonts w:ascii="Arial" w:hAnsi="Arial" w:cs="Arial"/>
                <w:sz w:val="20"/>
              </w:rPr>
              <w:t xml:space="preserve">Unavoidably Small and </w:t>
            </w:r>
            <w:r w:rsidR="00CD4880">
              <w:rPr>
                <w:rFonts w:ascii="Arial" w:hAnsi="Arial" w:cs="Arial"/>
                <w:sz w:val="20"/>
              </w:rPr>
              <w:t xml:space="preserve">Rurally </w:t>
            </w:r>
            <w:r w:rsidR="004D7F33">
              <w:rPr>
                <w:rFonts w:ascii="Arial" w:hAnsi="Arial" w:cs="Arial"/>
                <w:sz w:val="20"/>
              </w:rPr>
              <w:t>I</w:t>
            </w:r>
            <w:r w:rsidR="00142935">
              <w:rPr>
                <w:rFonts w:ascii="Arial" w:hAnsi="Arial" w:cs="Arial"/>
                <w:sz w:val="20"/>
              </w:rPr>
              <w:t xml:space="preserve">solated </w:t>
            </w:r>
          </w:p>
        </w:tc>
      </w:tr>
      <w:tr w:rsidR="00FD389B" w:rsidRPr="00DF4267" w14:paraId="28559DEE" w14:textId="77777777" w:rsidTr="0047710D">
        <w:tc>
          <w:tcPr>
            <w:tcW w:w="3396" w:type="dxa"/>
            <w:shd w:val="clear" w:color="auto" w:fill="000000" w:themeFill="text1"/>
          </w:tcPr>
          <w:p w14:paraId="58C352D3" w14:textId="77777777" w:rsidR="00FD389B" w:rsidRPr="0047710D" w:rsidRDefault="00FD389B" w:rsidP="00F30847">
            <w:pPr>
              <w:spacing w:after="0" w:line="360" w:lineRule="auto"/>
              <w:rPr>
                <w:rFonts w:ascii="Arial" w:hAnsi="Arial" w:cs="Arial"/>
                <w:b/>
                <w:color w:val="FFC000"/>
              </w:rPr>
            </w:pPr>
            <w:r w:rsidRPr="0047710D">
              <w:rPr>
                <w:rFonts w:ascii="Arial" w:hAnsi="Arial" w:cs="Arial"/>
                <w:b/>
                <w:color w:val="FFC000"/>
              </w:rPr>
              <w:t>Commissioner Lead</w:t>
            </w:r>
          </w:p>
        </w:tc>
        <w:tc>
          <w:tcPr>
            <w:tcW w:w="6528" w:type="dxa"/>
            <w:shd w:val="clear" w:color="auto" w:fill="auto"/>
          </w:tcPr>
          <w:p w14:paraId="584D4B7B" w14:textId="77777777" w:rsidR="00FD389B" w:rsidRPr="00030034" w:rsidRDefault="008724C2" w:rsidP="00CD4880">
            <w:pPr>
              <w:spacing w:after="0"/>
              <w:rPr>
                <w:rFonts w:ascii="Arial" w:hAnsi="Arial" w:cs="Arial"/>
                <w:sz w:val="20"/>
              </w:rPr>
            </w:pPr>
            <w:r>
              <w:rPr>
                <w:rFonts w:ascii="Arial" w:hAnsi="Arial" w:cs="Arial"/>
                <w:sz w:val="20"/>
              </w:rPr>
              <w:t xml:space="preserve">Lisa Cunliffe </w:t>
            </w:r>
          </w:p>
        </w:tc>
      </w:tr>
      <w:tr w:rsidR="00FD389B" w:rsidRPr="00DF4267" w14:paraId="474D3DD8" w14:textId="77777777" w:rsidTr="0047710D">
        <w:tc>
          <w:tcPr>
            <w:tcW w:w="3396" w:type="dxa"/>
            <w:shd w:val="clear" w:color="auto" w:fill="000000" w:themeFill="text1"/>
          </w:tcPr>
          <w:p w14:paraId="77986AAE" w14:textId="77777777" w:rsidR="00FD389B" w:rsidRPr="0047710D" w:rsidRDefault="00FD389B" w:rsidP="00F30847">
            <w:pPr>
              <w:spacing w:after="0" w:line="360" w:lineRule="auto"/>
              <w:rPr>
                <w:rFonts w:ascii="Arial" w:hAnsi="Arial" w:cs="Arial"/>
                <w:b/>
                <w:color w:val="FFC000"/>
              </w:rPr>
            </w:pPr>
            <w:r w:rsidRPr="0047710D">
              <w:rPr>
                <w:rFonts w:ascii="Arial" w:hAnsi="Arial" w:cs="Arial"/>
                <w:b/>
                <w:color w:val="FFC000"/>
              </w:rPr>
              <w:t>Provider Lead</w:t>
            </w:r>
          </w:p>
        </w:tc>
        <w:tc>
          <w:tcPr>
            <w:tcW w:w="6528" w:type="dxa"/>
            <w:shd w:val="clear" w:color="auto" w:fill="auto"/>
          </w:tcPr>
          <w:p w14:paraId="2D419065" w14:textId="77777777" w:rsidR="00FD389B" w:rsidRPr="00030034" w:rsidRDefault="00DD590C" w:rsidP="00F30847">
            <w:pPr>
              <w:spacing w:after="0"/>
              <w:rPr>
                <w:rFonts w:ascii="Arial" w:hAnsi="Arial" w:cs="Arial"/>
                <w:sz w:val="20"/>
              </w:rPr>
            </w:pPr>
            <w:r>
              <w:rPr>
                <w:rFonts w:ascii="Arial" w:hAnsi="Arial" w:cs="Arial"/>
                <w:sz w:val="20"/>
              </w:rPr>
              <w:t>To be determined</w:t>
            </w:r>
          </w:p>
        </w:tc>
      </w:tr>
      <w:tr w:rsidR="00FD389B" w:rsidRPr="00DF4267" w14:paraId="0C249298" w14:textId="77777777" w:rsidTr="0047710D">
        <w:tc>
          <w:tcPr>
            <w:tcW w:w="3396" w:type="dxa"/>
            <w:shd w:val="clear" w:color="auto" w:fill="000000" w:themeFill="text1"/>
          </w:tcPr>
          <w:p w14:paraId="794A686C" w14:textId="77777777" w:rsidR="00FD389B" w:rsidRPr="0047710D" w:rsidRDefault="00FD389B" w:rsidP="00F30847">
            <w:pPr>
              <w:spacing w:after="0" w:line="360" w:lineRule="auto"/>
              <w:rPr>
                <w:rFonts w:ascii="Arial" w:hAnsi="Arial" w:cs="Arial"/>
                <w:b/>
                <w:color w:val="FFC000"/>
              </w:rPr>
            </w:pPr>
            <w:r w:rsidRPr="0047710D">
              <w:rPr>
                <w:rFonts w:ascii="Arial" w:hAnsi="Arial" w:cs="Arial"/>
                <w:b/>
                <w:color w:val="FFC000"/>
              </w:rPr>
              <w:t>Period</w:t>
            </w:r>
          </w:p>
        </w:tc>
        <w:tc>
          <w:tcPr>
            <w:tcW w:w="6528" w:type="dxa"/>
            <w:shd w:val="clear" w:color="auto" w:fill="auto"/>
          </w:tcPr>
          <w:p w14:paraId="3694F916" w14:textId="77777777" w:rsidR="00FD389B" w:rsidRPr="00030034" w:rsidRDefault="00DD590C" w:rsidP="00CD4880">
            <w:pPr>
              <w:spacing w:after="0"/>
              <w:rPr>
                <w:rFonts w:ascii="Arial" w:hAnsi="Arial" w:cs="Arial"/>
                <w:sz w:val="20"/>
              </w:rPr>
            </w:pPr>
            <w:r>
              <w:rPr>
                <w:rFonts w:ascii="Arial" w:hAnsi="Arial" w:cs="Arial"/>
                <w:sz w:val="20"/>
              </w:rPr>
              <w:t xml:space="preserve">1st </w:t>
            </w:r>
            <w:r w:rsidR="00CD4880">
              <w:rPr>
                <w:rFonts w:ascii="Arial" w:hAnsi="Arial" w:cs="Arial"/>
                <w:sz w:val="20"/>
              </w:rPr>
              <w:t>October 2019</w:t>
            </w:r>
            <w:r>
              <w:rPr>
                <w:rFonts w:ascii="Arial" w:hAnsi="Arial" w:cs="Arial"/>
                <w:sz w:val="20"/>
              </w:rPr>
              <w:t xml:space="preserve"> to </w:t>
            </w:r>
            <w:r w:rsidR="00CD4880">
              <w:rPr>
                <w:rFonts w:ascii="Arial" w:hAnsi="Arial" w:cs="Arial"/>
                <w:sz w:val="20"/>
              </w:rPr>
              <w:t>30</w:t>
            </w:r>
            <w:r w:rsidR="00CD4880" w:rsidRPr="00CD4880">
              <w:rPr>
                <w:rFonts w:ascii="Arial" w:hAnsi="Arial" w:cs="Arial"/>
                <w:sz w:val="20"/>
                <w:vertAlign w:val="superscript"/>
              </w:rPr>
              <w:t>th</w:t>
            </w:r>
            <w:r w:rsidR="00CD4880">
              <w:rPr>
                <w:rFonts w:ascii="Arial" w:hAnsi="Arial" w:cs="Arial"/>
                <w:sz w:val="20"/>
              </w:rPr>
              <w:t xml:space="preserve"> September 2021</w:t>
            </w:r>
          </w:p>
        </w:tc>
      </w:tr>
      <w:tr w:rsidR="00FD389B" w:rsidRPr="00DF4267" w14:paraId="5A9F3388" w14:textId="77777777" w:rsidTr="0047710D">
        <w:tc>
          <w:tcPr>
            <w:tcW w:w="3396" w:type="dxa"/>
            <w:shd w:val="clear" w:color="auto" w:fill="000000" w:themeFill="text1"/>
          </w:tcPr>
          <w:p w14:paraId="72187D46" w14:textId="77777777" w:rsidR="00FD389B" w:rsidRPr="0047710D" w:rsidRDefault="00FD389B" w:rsidP="00F30847">
            <w:pPr>
              <w:spacing w:after="0" w:line="360" w:lineRule="auto"/>
              <w:rPr>
                <w:rFonts w:ascii="Arial" w:hAnsi="Arial" w:cs="Arial"/>
                <w:b/>
                <w:color w:val="FFC000"/>
              </w:rPr>
            </w:pPr>
            <w:r w:rsidRPr="0047710D">
              <w:rPr>
                <w:rFonts w:ascii="Arial" w:hAnsi="Arial" w:cs="Arial"/>
                <w:b/>
                <w:color w:val="FFC000"/>
              </w:rPr>
              <w:t>Date of Review</w:t>
            </w:r>
          </w:p>
        </w:tc>
        <w:tc>
          <w:tcPr>
            <w:tcW w:w="6528" w:type="dxa"/>
            <w:shd w:val="clear" w:color="auto" w:fill="auto"/>
          </w:tcPr>
          <w:p w14:paraId="308ADF24" w14:textId="77777777" w:rsidR="00FD389B" w:rsidRPr="00030034" w:rsidRDefault="00CD4880" w:rsidP="00F30847">
            <w:pPr>
              <w:spacing w:after="0"/>
              <w:rPr>
                <w:rFonts w:ascii="Arial" w:hAnsi="Arial" w:cs="Arial"/>
                <w:sz w:val="20"/>
              </w:rPr>
            </w:pPr>
            <w:r>
              <w:rPr>
                <w:rFonts w:ascii="Arial" w:hAnsi="Arial" w:cs="Arial"/>
                <w:sz w:val="20"/>
              </w:rPr>
              <w:t>30</w:t>
            </w:r>
            <w:r w:rsidRPr="00CD4880">
              <w:rPr>
                <w:rFonts w:ascii="Arial" w:hAnsi="Arial" w:cs="Arial"/>
                <w:sz w:val="20"/>
                <w:vertAlign w:val="superscript"/>
              </w:rPr>
              <w:t>th</w:t>
            </w:r>
            <w:r>
              <w:rPr>
                <w:rFonts w:ascii="Arial" w:hAnsi="Arial" w:cs="Arial"/>
                <w:sz w:val="20"/>
              </w:rPr>
              <w:t xml:space="preserve"> September 2020</w:t>
            </w:r>
          </w:p>
        </w:tc>
      </w:tr>
    </w:tbl>
    <w:p w14:paraId="2888BEE0" w14:textId="77777777" w:rsidR="00FD389B" w:rsidRPr="00E436D2" w:rsidRDefault="00FD389B" w:rsidP="00FD389B">
      <w:pPr>
        <w:spacing w:after="0"/>
        <w:jc w:val="center"/>
        <w:rPr>
          <w:rFonts w:ascii="Arial" w:hAnsi="Arial" w:cs="Arial"/>
          <w:sz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924"/>
      </w:tblGrid>
      <w:tr w:rsidR="0047710D" w:rsidRPr="0047710D" w14:paraId="663DF642" w14:textId="77777777" w:rsidTr="0047710D">
        <w:tc>
          <w:tcPr>
            <w:tcW w:w="9924" w:type="dxa"/>
            <w:shd w:val="solid" w:color="auto" w:fill="auto"/>
          </w:tcPr>
          <w:p w14:paraId="210F6261" w14:textId="77777777" w:rsidR="005C20A6" w:rsidRPr="0047710D" w:rsidRDefault="00FD389B" w:rsidP="00F30847">
            <w:pPr>
              <w:spacing w:after="0" w:line="276" w:lineRule="auto"/>
              <w:rPr>
                <w:rFonts w:ascii="Arial" w:hAnsi="Arial" w:cs="Arial"/>
                <w:b/>
                <w:color w:val="FFC000"/>
              </w:rPr>
            </w:pPr>
            <w:r w:rsidRPr="0047710D">
              <w:rPr>
                <w:rFonts w:ascii="Arial" w:hAnsi="Arial" w:cs="Arial"/>
                <w:b/>
                <w:color w:val="FFC000"/>
              </w:rPr>
              <w:t>1.</w:t>
            </w:r>
            <w:r w:rsidRPr="0047710D">
              <w:rPr>
                <w:rFonts w:ascii="Arial" w:hAnsi="Arial" w:cs="Arial"/>
                <w:b/>
                <w:color w:val="FFC000"/>
              </w:rPr>
              <w:tab/>
              <w:t>Population Needs</w:t>
            </w:r>
          </w:p>
        </w:tc>
      </w:tr>
      <w:tr w:rsidR="00FD389B" w:rsidRPr="00512021" w14:paraId="4FBEA3E7" w14:textId="77777777" w:rsidTr="005C20A6">
        <w:tc>
          <w:tcPr>
            <w:tcW w:w="9924" w:type="dxa"/>
            <w:tcBorders>
              <w:bottom w:val="single" w:sz="4" w:space="0" w:color="auto"/>
            </w:tcBorders>
            <w:shd w:val="clear" w:color="auto" w:fill="auto"/>
          </w:tcPr>
          <w:p w14:paraId="721D25B4" w14:textId="77777777" w:rsidR="00FD389B" w:rsidRPr="00C5354E" w:rsidRDefault="00FD389B" w:rsidP="00F30847">
            <w:pPr>
              <w:spacing w:after="0"/>
              <w:ind w:left="360"/>
              <w:rPr>
                <w:rFonts w:cs="Arial"/>
                <w:sz w:val="22"/>
                <w:szCs w:val="22"/>
              </w:rPr>
            </w:pPr>
          </w:p>
          <w:p w14:paraId="633C6186" w14:textId="77777777" w:rsidR="0047710D" w:rsidRPr="00C5354E" w:rsidRDefault="0047710D" w:rsidP="0047710D">
            <w:pPr>
              <w:numPr>
                <w:ilvl w:val="1"/>
                <w:numId w:val="2"/>
              </w:numPr>
              <w:spacing w:after="0"/>
              <w:ind w:left="744" w:hanging="710"/>
              <w:rPr>
                <w:rFonts w:cstheme="minorHAnsi"/>
                <w:sz w:val="22"/>
                <w:szCs w:val="22"/>
              </w:rPr>
            </w:pPr>
            <w:r w:rsidRPr="00C5354E">
              <w:rPr>
                <w:rFonts w:cstheme="minorHAnsi"/>
                <w:sz w:val="22"/>
                <w:szCs w:val="22"/>
              </w:rPr>
              <w:t>National / Local context and evidence base</w:t>
            </w:r>
          </w:p>
          <w:p w14:paraId="1E764AB1" w14:textId="77777777" w:rsidR="00FD389B" w:rsidRPr="00C5354E" w:rsidRDefault="004D7F33" w:rsidP="0047710D">
            <w:pPr>
              <w:spacing w:after="0"/>
              <w:ind w:left="744"/>
              <w:rPr>
                <w:rFonts w:cstheme="minorHAnsi"/>
                <w:sz w:val="22"/>
                <w:szCs w:val="22"/>
              </w:rPr>
            </w:pPr>
            <w:r w:rsidRPr="00C5354E">
              <w:rPr>
                <w:rFonts w:cstheme="minorHAnsi"/>
                <w:sz w:val="22"/>
                <w:szCs w:val="22"/>
              </w:rPr>
              <w:t xml:space="preserve">The vast majority of GP Practices serve communities that have common characteristics and work to contracts that have similar terms, conditions and funding arrangements, a small cohort of practices provide services to a patient population which is sufficiently demographically different to result in particular workload challenges that are not always recognized in the practice’s existing contract/s or its funding allocation. A population that triggers uncommon workload challenges that are not experienced by the majority of GP Practices is referred to </w:t>
            </w:r>
            <w:r w:rsidR="00B66E2D">
              <w:rPr>
                <w:rFonts w:cstheme="minorHAnsi"/>
                <w:sz w:val="22"/>
                <w:szCs w:val="22"/>
              </w:rPr>
              <w:t xml:space="preserve">as being </w:t>
            </w:r>
            <w:r w:rsidRPr="00C5354E">
              <w:rPr>
                <w:rFonts w:cstheme="minorHAnsi"/>
                <w:sz w:val="22"/>
                <w:szCs w:val="22"/>
              </w:rPr>
              <w:t xml:space="preserve">atypical.     </w:t>
            </w:r>
          </w:p>
          <w:p w14:paraId="3B1C2930" w14:textId="77777777" w:rsidR="008724C2" w:rsidRPr="00C5354E" w:rsidRDefault="008724C2" w:rsidP="008724C2">
            <w:pPr>
              <w:spacing w:after="0"/>
              <w:ind w:left="360"/>
              <w:rPr>
                <w:rFonts w:cs="Arial"/>
                <w:sz w:val="22"/>
                <w:szCs w:val="22"/>
              </w:rPr>
            </w:pPr>
          </w:p>
          <w:p w14:paraId="4264FBD1" w14:textId="77777777" w:rsidR="00AC7B6B" w:rsidRPr="00C5354E" w:rsidRDefault="00B66E2D" w:rsidP="0047710D">
            <w:pPr>
              <w:numPr>
                <w:ilvl w:val="1"/>
                <w:numId w:val="2"/>
              </w:numPr>
              <w:spacing w:after="0"/>
              <w:ind w:left="744" w:hanging="710"/>
              <w:rPr>
                <w:rFonts w:cs="Arial"/>
                <w:sz w:val="22"/>
                <w:szCs w:val="22"/>
              </w:rPr>
            </w:pPr>
            <w:r>
              <w:rPr>
                <w:rFonts w:cs="Arial"/>
                <w:sz w:val="22"/>
                <w:szCs w:val="22"/>
              </w:rPr>
              <w:t>General Medical Service</w:t>
            </w:r>
            <w:r w:rsidR="00AC7B6B" w:rsidRPr="00C5354E">
              <w:rPr>
                <w:rFonts w:cs="Arial"/>
                <w:sz w:val="22"/>
                <w:szCs w:val="22"/>
              </w:rPr>
              <w:t xml:space="preserve"> (GMS) contract</w:t>
            </w:r>
            <w:r>
              <w:rPr>
                <w:rFonts w:cs="Arial"/>
                <w:sz w:val="22"/>
                <w:szCs w:val="22"/>
              </w:rPr>
              <w:t>s are</w:t>
            </w:r>
            <w:r w:rsidR="00AC7B6B" w:rsidRPr="00C5354E">
              <w:rPr>
                <w:rFonts w:cs="Arial"/>
                <w:sz w:val="22"/>
                <w:szCs w:val="22"/>
              </w:rPr>
              <w:t xml:space="preserve"> funded through the Carr</w:t>
            </w:r>
            <w:r>
              <w:rPr>
                <w:rFonts w:cs="Arial"/>
                <w:sz w:val="22"/>
                <w:szCs w:val="22"/>
              </w:rPr>
              <w:t xml:space="preserve"> Hill formula and represent</w:t>
            </w:r>
            <w:r w:rsidR="00AC7B6B" w:rsidRPr="00C5354E">
              <w:rPr>
                <w:rFonts w:cs="Arial"/>
                <w:sz w:val="22"/>
                <w:szCs w:val="22"/>
              </w:rPr>
              <w:t xml:space="preserve"> an attempt to fund practice workload, regardless of the population that they serve. However there are some practice populations that are so significantly atypical that using the GMS funding formula would not ensure the delivery of an adequate general practice service</w:t>
            </w:r>
            <w:r w:rsidR="006C0539" w:rsidRPr="00C5354E">
              <w:rPr>
                <w:rFonts w:cs="Arial"/>
                <w:sz w:val="22"/>
                <w:szCs w:val="22"/>
              </w:rPr>
              <w:t>.</w:t>
            </w:r>
            <w:r w:rsidR="00AC7B6B" w:rsidRPr="00C5354E">
              <w:rPr>
                <w:rFonts w:cs="Arial"/>
                <w:sz w:val="22"/>
                <w:szCs w:val="22"/>
              </w:rPr>
              <w:t xml:space="preserve"> </w:t>
            </w:r>
          </w:p>
          <w:p w14:paraId="371D518D" w14:textId="77777777" w:rsidR="00AC7B6B" w:rsidRPr="00C5354E" w:rsidRDefault="00AC7B6B" w:rsidP="00AC7B6B">
            <w:pPr>
              <w:spacing w:after="0"/>
              <w:ind w:left="744"/>
              <w:rPr>
                <w:rFonts w:cs="Arial"/>
                <w:sz w:val="22"/>
                <w:szCs w:val="22"/>
              </w:rPr>
            </w:pPr>
          </w:p>
          <w:p w14:paraId="7ACE52C7" w14:textId="77777777" w:rsidR="00AC7B6B" w:rsidRPr="00C5354E" w:rsidRDefault="004D7F33" w:rsidP="0047710D">
            <w:pPr>
              <w:numPr>
                <w:ilvl w:val="1"/>
                <w:numId w:val="2"/>
              </w:numPr>
              <w:spacing w:after="0"/>
              <w:ind w:left="744" w:hanging="710"/>
              <w:rPr>
                <w:rFonts w:cs="Arial"/>
                <w:sz w:val="22"/>
                <w:szCs w:val="22"/>
              </w:rPr>
            </w:pPr>
            <w:r w:rsidRPr="00C5354E">
              <w:rPr>
                <w:sz w:val="22"/>
                <w:szCs w:val="22"/>
              </w:rPr>
              <w:t xml:space="preserve">The Department of Health have </w:t>
            </w:r>
            <w:r w:rsidR="00B66E2D">
              <w:rPr>
                <w:sz w:val="22"/>
                <w:szCs w:val="22"/>
              </w:rPr>
              <w:t xml:space="preserve">recently </w:t>
            </w:r>
            <w:r w:rsidRPr="00C5354E">
              <w:rPr>
                <w:sz w:val="22"/>
                <w:szCs w:val="22"/>
              </w:rPr>
              <w:t xml:space="preserve">produced a guide for both NHS England and delegated CCG Commissioners of 3 atypical populations by detailing the particular challenges faced by providers and offering examples of either </w:t>
            </w:r>
            <w:r w:rsidR="00AC7B6B" w:rsidRPr="00C5354E">
              <w:rPr>
                <w:sz w:val="22"/>
                <w:szCs w:val="22"/>
              </w:rPr>
              <w:t xml:space="preserve">provider or commissioner reports that may help </w:t>
            </w:r>
            <w:r w:rsidR="00B66E2D">
              <w:rPr>
                <w:sz w:val="22"/>
                <w:szCs w:val="22"/>
              </w:rPr>
              <w:t xml:space="preserve">to </w:t>
            </w:r>
            <w:r w:rsidR="00AC7B6B" w:rsidRPr="00C5354E">
              <w:rPr>
                <w:sz w:val="22"/>
                <w:szCs w:val="22"/>
              </w:rPr>
              <w:t>either articulate or address these pressures. These three atypical populations are:-</w:t>
            </w:r>
          </w:p>
          <w:p w14:paraId="584AA436" w14:textId="77777777" w:rsidR="00AC7B6B" w:rsidRPr="00C5354E" w:rsidRDefault="00AC7B6B" w:rsidP="00AC7B6B">
            <w:pPr>
              <w:pStyle w:val="ListParagraph"/>
              <w:numPr>
                <w:ilvl w:val="0"/>
                <w:numId w:val="8"/>
              </w:numPr>
              <w:rPr>
                <w:rFonts w:asciiTheme="minorHAnsi" w:hAnsiTheme="minorHAnsi"/>
                <w:sz w:val="22"/>
                <w:szCs w:val="22"/>
              </w:rPr>
            </w:pPr>
            <w:r w:rsidRPr="00C5354E">
              <w:rPr>
                <w:rFonts w:asciiTheme="minorHAnsi" w:hAnsiTheme="minorHAnsi"/>
                <w:sz w:val="22"/>
                <w:szCs w:val="22"/>
              </w:rPr>
              <w:t>Unavoidably small and isolated populations</w:t>
            </w:r>
          </w:p>
          <w:p w14:paraId="428A98A3" w14:textId="77777777" w:rsidR="00AC7B6B" w:rsidRPr="00C5354E" w:rsidRDefault="00AC7B6B" w:rsidP="00AC7B6B">
            <w:pPr>
              <w:pStyle w:val="ListParagraph"/>
              <w:numPr>
                <w:ilvl w:val="0"/>
                <w:numId w:val="8"/>
              </w:numPr>
              <w:rPr>
                <w:rFonts w:asciiTheme="minorHAnsi" w:hAnsiTheme="minorHAnsi" w:cs="Arial"/>
                <w:sz w:val="22"/>
                <w:szCs w:val="22"/>
              </w:rPr>
            </w:pPr>
            <w:r w:rsidRPr="00C5354E">
              <w:rPr>
                <w:rFonts w:asciiTheme="minorHAnsi" w:hAnsiTheme="minorHAnsi" w:cs="Arial"/>
                <w:sz w:val="22"/>
                <w:szCs w:val="22"/>
              </w:rPr>
              <w:t>University populations and</w:t>
            </w:r>
          </w:p>
          <w:p w14:paraId="5A0E8A11" w14:textId="77777777" w:rsidR="00AC7B6B" w:rsidRPr="00C5354E" w:rsidRDefault="00AC7B6B" w:rsidP="00AC7B6B">
            <w:pPr>
              <w:pStyle w:val="ListParagraph"/>
              <w:numPr>
                <w:ilvl w:val="0"/>
                <w:numId w:val="8"/>
              </w:numPr>
              <w:rPr>
                <w:rFonts w:asciiTheme="minorHAnsi" w:hAnsiTheme="minorHAnsi" w:cs="Arial"/>
                <w:sz w:val="22"/>
                <w:szCs w:val="22"/>
              </w:rPr>
            </w:pPr>
            <w:r w:rsidRPr="00C5354E">
              <w:rPr>
                <w:rFonts w:asciiTheme="minorHAnsi" w:hAnsiTheme="minorHAnsi" w:cs="Arial"/>
                <w:sz w:val="22"/>
                <w:szCs w:val="22"/>
              </w:rPr>
              <w:t xml:space="preserve">Practices with </w:t>
            </w:r>
            <w:r w:rsidR="0074366A" w:rsidRPr="00C5354E">
              <w:rPr>
                <w:rFonts w:asciiTheme="minorHAnsi" w:hAnsiTheme="minorHAnsi" w:cs="Arial"/>
                <w:sz w:val="22"/>
                <w:szCs w:val="22"/>
              </w:rPr>
              <w:t xml:space="preserve">a </w:t>
            </w:r>
            <w:r w:rsidRPr="00C5354E">
              <w:rPr>
                <w:rFonts w:asciiTheme="minorHAnsi" w:hAnsiTheme="minorHAnsi" w:cs="Arial"/>
                <w:sz w:val="22"/>
                <w:szCs w:val="22"/>
              </w:rPr>
              <w:t>significantly high ratio of patients who do not speak English</w:t>
            </w:r>
          </w:p>
          <w:p w14:paraId="7AD39ABE" w14:textId="77777777" w:rsidR="008724C2" w:rsidRPr="00C5354E" w:rsidRDefault="008724C2" w:rsidP="00AC7B6B">
            <w:pPr>
              <w:spacing w:after="0"/>
              <w:rPr>
                <w:rFonts w:cs="Arial"/>
                <w:sz w:val="22"/>
                <w:szCs w:val="22"/>
              </w:rPr>
            </w:pPr>
          </w:p>
          <w:p w14:paraId="22E472CC" w14:textId="77777777" w:rsidR="008724C2" w:rsidRPr="00CD4880" w:rsidRDefault="006C0539" w:rsidP="00CD4880">
            <w:pPr>
              <w:numPr>
                <w:ilvl w:val="1"/>
                <w:numId w:val="2"/>
              </w:numPr>
              <w:spacing w:after="0"/>
              <w:ind w:left="744" w:hanging="710"/>
              <w:rPr>
                <w:rFonts w:cs="Arial"/>
                <w:sz w:val="22"/>
                <w:szCs w:val="22"/>
              </w:rPr>
            </w:pPr>
            <w:r w:rsidRPr="00C5354E">
              <w:rPr>
                <w:sz w:val="22"/>
                <w:szCs w:val="22"/>
              </w:rPr>
              <w:t xml:space="preserve">This service specification </w:t>
            </w:r>
            <w:r w:rsidR="006A0B7C" w:rsidRPr="00C5354E">
              <w:rPr>
                <w:sz w:val="22"/>
                <w:szCs w:val="22"/>
              </w:rPr>
              <w:t xml:space="preserve">seeks to recognize </w:t>
            </w:r>
            <w:r w:rsidR="00B66E2D">
              <w:rPr>
                <w:sz w:val="22"/>
                <w:szCs w:val="22"/>
              </w:rPr>
              <w:t xml:space="preserve">GP Practices who are serving </w:t>
            </w:r>
            <w:r w:rsidR="006A0B7C" w:rsidRPr="00C5354E">
              <w:rPr>
                <w:sz w:val="22"/>
                <w:szCs w:val="22"/>
              </w:rPr>
              <w:t>unavoidably small and isolated population</w:t>
            </w:r>
            <w:r w:rsidR="00B66E2D">
              <w:rPr>
                <w:sz w:val="22"/>
                <w:szCs w:val="22"/>
              </w:rPr>
              <w:t>s</w:t>
            </w:r>
            <w:r w:rsidR="006A0B7C" w:rsidRPr="00C5354E">
              <w:rPr>
                <w:sz w:val="22"/>
                <w:szCs w:val="22"/>
              </w:rPr>
              <w:t xml:space="preserve">. </w:t>
            </w:r>
          </w:p>
          <w:p w14:paraId="3114B4AE" w14:textId="77777777" w:rsidR="00CD4880" w:rsidRPr="00C5354E" w:rsidRDefault="00CD4880" w:rsidP="00CD4880">
            <w:pPr>
              <w:spacing w:after="0"/>
              <w:ind w:left="744"/>
              <w:rPr>
                <w:rFonts w:cs="Arial"/>
                <w:sz w:val="22"/>
                <w:szCs w:val="22"/>
              </w:rPr>
            </w:pPr>
          </w:p>
          <w:p w14:paraId="02645660" w14:textId="77777777" w:rsidR="00C5354E" w:rsidRPr="00C5354E" w:rsidRDefault="00C5354E" w:rsidP="00C5354E">
            <w:pPr>
              <w:numPr>
                <w:ilvl w:val="1"/>
                <w:numId w:val="2"/>
              </w:numPr>
              <w:spacing w:after="0"/>
              <w:ind w:left="744" w:hanging="710"/>
              <w:rPr>
                <w:rFonts w:cs="Arial"/>
                <w:sz w:val="22"/>
                <w:szCs w:val="22"/>
              </w:rPr>
            </w:pPr>
            <w:r w:rsidRPr="00C5354E">
              <w:rPr>
                <w:rFonts w:cs="Arial"/>
                <w:sz w:val="22"/>
                <w:szCs w:val="22"/>
              </w:rPr>
              <w:t>GP Practice</w:t>
            </w:r>
            <w:r w:rsidR="00B66E2D">
              <w:rPr>
                <w:rFonts w:cs="Arial"/>
                <w:sz w:val="22"/>
                <w:szCs w:val="22"/>
              </w:rPr>
              <w:t xml:space="preserve">’s serving </w:t>
            </w:r>
            <w:r w:rsidRPr="00C5354E">
              <w:rPr>
                <w:rFonts w:cs="Arial"/>
                <w:sz w:val="22"/>
                <w:szCs w:val="22"/>
              </w:rPr>
              <w:t>small but dispersed population</w:t>
            </w:r>
            <w:r w:rsidR="00B66E2D">
              <w:rPr>
                <w:rFonts w:cs="Arial"/>
                <w:sz w:val="22"/>
                <w:szCs w:val="22"/>
              </w:rPr>
              <w:t>s</w:t>
            </w:r>
            <w:r w:rsidRPr="00C5354E">
              <w:rPr>
                <w:rFonts w:cs="Arial"/>
                <w:sz w:val="22"/>
                <w:szCs w:val="22"/>
              </w:rPr>
              <w:t xml:space="preserve"> have limited ways in which to influence their income or costs</w:t>
            </w:r>
            <w:r w:rsidR="00B66E2D">
              <w:rPr>
                <w:rFonts w:cs="Arial"/>
                <w:sz w:val="22"/>
                <w:szCs w:val="22"/>
              </w:rPr>
              <w:t>,</w:t>
            </w:r>
            <w:r w:rsidRPr="00C5354E">
              <w:rPr>
                <w:rFonts w:cs="Arial"/>
                <w:sz w:val="22"/>
                <w:szCs w:val="22"/>
              </w:rPr>
              <w:t xml:space="preserve"> yet provide a v</w:t>
            </w:r>
            <w:r w:rsidR="00B66E2D">
              <w:rPr>
                <w:rFonts w:cs="Arial"/>
                <w:sz w:val="22"/>
                <w:szCs w:val="22"/>
              </w:rPr>
              <w:t>ital primary care service. Like most other GP Practices their</w:t>
            </w:r>
            <w:r w:rsidRPr="00C5354E">
              <w:rPr>
                <w:rFonts w:cs="Arial"/>
                <w:sz w:val="22"/>
                <w:szCs w:val="22"/>
              </w:rPr>
              <w:t xml:space="preserve"> main funding is directly linked to the size of their registered list (ie Global sum / QOF payments) which because they are small cannot </w:t>
            </w:r>
            <w:r w:rsidR="00B66E2D">
              <w:rPr>
                <w:rFonts w:cs="Arial"/>
                <w:sz w:val="22"/>
                <w:szCs w:val="22"/>
              </w:rPr>
              <w:t xml:space="preserve">easily </w:t>
            </w:r>
            <w:r w:rsidRPr="00C5354E">
              <w:rPr>
                <w:rFonts w:cs="Arial"/>
                <w:sz w:val="22"/>
                <w:szCs w:val="22"/>
              </w:rPr>
              <w:t>be expanded and may compromise the ability to deliver quality care and exacerbate workload pressures. Further characteristics of a GP practice serving a small and isolated patient list are as follows:</w:t>
            </w:r>
          </w:p>
          <w:p w14:paraId="5E524836" w14:textId="77777777" w:rsidR="00C5354E" w:rsidRDefault="00B66E2D" w:rsidP="00816DC6">
            <w:pPr>
              <w:pStyle w:val="ListParagraph"/>
              <w:numPr>
                <w:ilvl w:val="0"/>
                <w:numId w:val="9"/>
              </w:numPr>
              <w:rPr>
                <w:rFonts w:asciiTheme="minorHAnsi" w:hAnsiTheme="minorHAnsi" w:cs="Arial"/>
                <w:sz w:val="22"/>
                <w:szCs w:val="22"/>
              </w:rPr>
            </w:pPr>
            <w:r>
              <w:rPr>
                <w:rFonts w:asciiTheme="minorHAnsi" w:hAnsiTheme="minorHAnsi" w:cs="Arial"/>
                <w:sz w:val="22"/>
                <w:szCs w:val="22"/>
              </w:rPr>
              <w:t>Due to</w:t>
            </w:r>
            <w:r w:rsidR="00816DC6">
              <w:rPr>
                <w:rFonts w:asciiTheme="minorHAnsi" w:hAnsiTheme="minorHAnsi" w:cs="Arial"/>
                <w:sz w:val="22"/>
                <w:szCs w:val="22"/>
              </w:rPr>
              <w:t xml:space="preserve"> their location they are often serviced by small class B roads potentially making travel difficult and time consuming for both patients and service providers</w:t>
            </w:r>
          </w:p>
          <w:p w14:paraId="15A92753" w14:textId="77777777" w:rsidR="00816DC6" w:rsidRDefault="00816DC6" w:rsidP="00816DC6">
            <w:pPr>
              <w:pStyle w:val="ListParagraph"/>
              <w:numPr>
                <w:ilvl w:val="0"/>
                <w:numId w:val="9"/>
              </w:numPr>
              <w:rPr>
                <w:rFonts w:asciiTheme="minorHAnsi" w:hAnsiTheme="minorHAnsi" w:cs="Arial"/>
                <w:sz w:val="22"/>
                <w:szCs w:val="22"/>
              </w:rPr>
            </w:pPr>
            <w:r>
              <w:rPr>
                <w:rFonts w:asciiTheme="minorHAnsi" w:hAnsiTheme="minorHAnsi" w:cs="Arial"/>
                <w:sz w:val="22"/>
                <w:szCs w:val="22"/>
              </w:rPr>
              <w:t xml:space="preserve">Many such communities do not have easy access to a pharmacy or an A&amp;E Department, ambulance access and response times can be longer than an urban environment and </w:t>
            </w:r>
            <w:r>
              <w:rPr>
                <w:rFonts w:asciiTheme="minorHAnsi" w:hAnsiTheme="minorHAnsi" w:cs="Arial"/>
                <w:sz w:val="22"/>
                <w:szCs w:val="22"/>
              </w:rPr>
              <w:lastRenderedPageBreak/>
              <w:t>community service diluted.</w:t>
            </w:r>
          </w:p>
          <w:p w14:paraId="15564E42" w14:textId="77777777" w:rsidR="00816DC6" w:rsidRDefault="00816DC6" w:rsidP="00816DC6">
            <w:pPr>
              <w:pStyle w:val="ListParagraph"/>
              <w:numPr>
                <w:ilvl w:val="0"/>
                <w:numId w:val="9"/>
              </w:numPr>
              <w:rPr>
                <w:rFonts w:asciiTheme="minorHAnsi" w:hAnsiTheme="minorHAnsi" w:cs="Arial"/>
                <w:sz w:val="22"/>
                <w:szCs w:val="22"/>
              </w:rPr>
            </w:pPr>
            <w:r>
              <w:rPr>
                <w:rFonts w:asciiTheme="minorHAnsi" w:hAnsiTheme="minorHAnsi" w:cs="Arial"/>
                <w:sz w:val="22"/>
                <w:szCs w:val="22"/>
              </w:rPr>
              <w:t>Public transport makes it difficult for patients to attend outpatient departments and other health facilities. As a result some patients tend to rely on practices to provide a wider range of services than is normally regarded as ‘core’ general practice and staff require regular training to maintain their skills for providing first response in the absence of A&amp;E. It may be hard to measure this effect but it can be summarised as a greater independence by patients from hospital care and a higher level of intervention and support from the practice.</w:t>
            </w:r>
          </w:p>
          <w:p w14:paraId="2B04E8CF" w14:textId="77777777" w:rsidR="00816DC6" w:rsidRDefault="00B61921" w:rsidP="00816DC6">
            <w:pPr>
              <w:pStyle w:val="ListParagraph"/>
              <w:numPr>
                <w:ilvl w:val="0"/>
                <w:numId w:val="9"/>
              </w:numPr>
              <w:rPr>
                <w:rFonts w:asciiTheme="minorHAnsi" w:hAnsiTheme="minorHAnsi" w:cs="Arial"/>
                <w:sz w:val="22"/>
                <w:szCs w:val="22"/>
              </w:rPr>
            </w:pPr>
            <w:r>
              <w:rPr>
                <w:rFonts w:asciiTheme="minorHAnsi" w:hAnsiTheme="minorHAnsi" w:cs="Arial"/>
                <w:sz w:val="22"/>
                <w:szCs w:val="22"/>
              </w:rPr>
              <w:t>Engagement of GP locums or recruitment of successors to a contract can be problematic because of geographic isolation, income and potential workload pressures. It is recognised that country or island life is not everyone’s preference.</w:t>
            </w:r>
          </w:p>
          <w:p w14:paraId="766414D4" w14:textId="77777777" w:rsidR="00B61921" w:rsidRDefault="00B61921" w:rsidP="00816DC6">
            <w:pPr>
              <w:pStyle w:val="ListParagraph"/>
              <w:numPr>
                <w:ilvl w:val="0"/>
                <w:numId w:val="9"/>
              </w:numPr>
              <w:rPr>
                <w:rFonts w:asciiTheme="minorHAnsi" w:hAnsiTheme="minorHAnsi" w:cs="Arial"/>
                <w:sz w:val="22"/>
                <w:szCs w:val="22"/>
              </w:rPr>
            </w:pPr>
            <w:r>
              <w:rPr>
                <w:rFonts w:asciiTheme="minorHAnsi" w:hAnsiTheme="minorHAnsi" w:cs="Arial"/>
                <w:sz w:val="22"/>
                <w:szCs w:val="22"/>
              </w:rPr>
              <w:t>Housing costs associated with ‘desirable’ or expensive country or island locations can also negatively impact on recruitment of practice administrative staff.</w:t>
            </w:r>
          </w:p>
          <w:p w14:paraId="787FFBBA" w14:textId="77777777" w:rsidR="00B61921" w:rsidRDefault="00B61921" w:rsidP="00816DC6">
            <w:pPr>
              <w:pStyle w:val="ListParagraph"/>
              <w:numPr>
                <w:ilvl w:val="0"/>
                <w:numId w:val="9"/>
              </w:numPr>
              <w:rPr>
                <w:rFonts w:asciiTheme="minorHAnsi" w:hAnsiTheme="minorHAnsi" w:cs="Arial"/>
                <w:sz w:val="22"/>
                <w:szCs w:val="22"/>
              </w:rPr>
            </w:pPr>
            <w:r>
              <w:rPr>
                <w:rFonts w:asciiTheme="minorHAnsi" w:hAnsiTheme="minorHAnsi" w:cs="Arial"/>
                <w:sz w:val="22"/>
                <w:szCs w:val="22"/>
              </w:rPr>
              <w:t xml:space="preserve">Some rural locations attract itinerant workers who may not speak English, have no accessible medical record and consultations take longer. </w:t>
            </w:r>
          </w:p>
          <w:p w14:paraId="60E9125E" w14:textId="77777777" w:rsidR="007F2088" w:rsidRDefault="007F2088" w:rsidP="00816DC6">
            <w:pPr>
              <w:pStyle w:val="ListParagraph"/>
              <w:numPr>
                <w:ilvl w:val="0"/>
                <w:numId w:val="9"/>
              </w:numPr>
              <w:rPr>
                <w:rFonts w:asciiTheme="minorHAnsi" w:hAnsiTheme="minorHAnsi" w:cs="Arial"/>
                <w:sz w:val="22"/>
                <w:szCs w:val="22"/>
              </w:rPr>
            </w:pPr>
            <w:r>
              <w:rPr>
                <w:rFonts w:asciiTheme="minorHAnsi" w:hAnsiTheme="minorHAnsi" w:cs="Arial"/>
                <w:sz w:val="22"/>
                <w:szCs w:val="22"/>
              </w:rPr>
              <w:t>Inadequate broadband can add to the sense of isolation.</w:t>
            </w:r>
          </w:p>
          <w:p w14:paraId="68728D77" w14:textId="77777777" w:rsidR="007F2088" w:rsidRPr="00C5354E" w:rsidRDefault="007F2088" w:rsidP="00816DC6">
            <w:pPr>
              <w:pStyle w:val="ListParagraph"/>
              <w:numPr>
                <w:ilvl w:val="0"/>
                <w:numId w:val="9"/>
              </w:numPr>
              <w:rPr>
                <w:rFonts w:asciiTheme="minorHAnsi" w:hAnsiTheme="minorHAnsi" w:cs="Arial"/>
                <w:sz w:val="22"/>
                <w:szCs w:val="22"/>
              </w:rPr>
            </w:pPr>
            <w:r>
              <w:rPr>
                <w:rFonts w:asciiTheme="minorHAnsi" w:hAnsiTheme="minorHAnsi" w:cs="Arial"/>
                <w:sz w:val="22"/>
                <w:szCs w:val="22"/>
              </w:rPr>
              <w:t xml:space="preserve">Some practices with Atypical populations have been particularly badly hit by changes to both PMS and MPIG funding, with many having to close as a result of losing essential funding. </w:t>
            </w:r>
          </w:p>
          <w:p w14:paraId="0DAA0EF6" w14:textId="77777777" w:rsidR="00C5354E" w:rsidRPr="00C5354E" w:rsidRDefault="00C5354E" w:rsidP="00B61921">
            <w:pPr>
              <w:spacing w:after="0"/>
              <w:rPr>
                <w:rFonts w:cs="Arial"/>
                <w:sz w:val="22"/>
                <w:szCs w:val="22"/>
              </w:rPr>
            </w:pPr>
          </w:p>
          <w:p w14:paraId="500CA917" w14:textId="77777777" w:rsidR="006A0B7C" w:rsidRPr="00C5354E" w:rsidRDefault="00003EFA" w:rsidP="00C5354E">
            <w:pPr>
              <w:numPr>
                <w:ilvl w:val="1"/>
                <w:numId w:val="2"/>
              </w:numPr>
              <w:spacing w:after="0"/>
              <w:ind w:left="744" w:hanging="710"/>
              <w:rPr>
                <w:rFonts w:cs="Arial"/>
                <w:sz w:val="22"/>
                <w:szCs w:val="22"/>
              </w:rPr>
            </w:pPr>
            <w:r>
              <w:rPr>
                <w:rFonts w:cs="Arial"/>
                <w:sz w:val="22"/>
                <w:szCs w:val="22"/>
              </w:rPr>
              <w:t>The Accou</w:t>
            </w:r>
            <w:r w:rsidR="009C799A">
              <w:rPr>
                <w:rFonts w:cs="Arial"/>
                <w:sz w:val="22"/>
                <w:szCs w:val="22"/>
              </w:rPr>
              <w:t>ntants Deloit</w:t>
            </w:r>
            <w:r w:rsidR="003D7419">
              <w:rPr>
                <w:rFonts w:cs="Arial"/>
                <w:sz w:val="22"/>
                <w:szCs w:val="22"/>
              </w:rPr>
              <w:t xml:space="preserve">tes, reporting to NHS Employers, published a report </w:t>
            </w:r>
            <w:r w:rsidR="003D7419" w:rsidRPr="003D7419">
              <w:rPr>
                <w:rFonts w:cs="Arial"/>
                <w:i/>
                <w:sz w:val="22"/>
                <w:szCs w:val="22"/>
              </w:rPr>
              <w:t>‘’Adjusting the General Medical Services Allocation Formula for the unavoidable effects of geographically dispersed populations on practice sizes and locations’’</w:t>
            </w:r>
            <w:r w:rsidR="003D7419">
              <w:rPr>
                <w:rFonts w:cs="Arial"/>
                <w:sz w:val="22"/>
                <w:szCs w:val="22"/>
              </w:rPr>
              <w:t xml:space="preserve"> – March 2006. This report highlighted that there was clear evidence of diseconomies of scale for practices with list sizes below approximately 1,900.</w:t>
            </w:r>
            <w:r w:rsidR="002A661F">
              <w:rPr>
                <w:rFonts w:cs="Arial"/>
                <w:sz w:val="22"/>
                <w:szCs w:val="22"/>
              </w:rPr>
              <w:t xml:space="preserve"> The report went on to establish that 1,900 is the approximate number of pati</w:t>
            </w:r>
            <w:r w:rsidR="00B66E2D">
              <w:rPr>
                <w:rFonts w:cs="Arial"/>
                <w:sz w:val="22"/>
                <w:szCs w:val="22"/>
              </w:rPr>
              <w:t>ents per GP across all</w:t>
            </w:r>
            <w:r w:rsidR="002A661F">
              <w:rPr>
                <w:rFonts w:cs="Arial"/>
                <w:sz w:val="22"/>
                <w:szCs w:val="22"/>
              </w:rPr>
              <w:t xml:space="preserve"> of the practices that they sampled and consistent with their hypothesis that that a single practice has largely fixed costs. At list sizes of greater than 1,900, which represents full capacity for a GP, costs cannot be spread over a larger number of patients and as a result no further economies of scale are realized. The result of diseconomies of scale for smaller practices is broadly consistent with the Carr-Hill regression analysis which was used in setting the current contract.    </w:t>
            </w:r>
            <w:r w:rsidR="003D7419">
              <w:rPr>
                <w:rFonts w:cs="Arial"/>
                <w:sz w:val="22"/>
                <w:szCs w:val="22"/>
              </w:rPr>
              <w:t xml:space="preserve">  </w:t>
            </w:r>
            <w:r>
              <w:rPr>
                <w:rFonts w:cs="Arial"/>
                <w:sz w:val="22"/>
                <w:szCs w:val="22"/>
              </w:rPr>
              <w:t xml:space="preserve"> </w:t>
            </w:r>
          </w:p>
          <w:p w14:paraId="10BFBA44" w14:textId="77777777" w:rsidR="008724C2" w:rsidRPr="00C5354E" w:rsidRDefault="008724C2" w:rsidP="008724C2">
            <w:pPr>
              <w:spacing w:after="0"/>
              <w:ind w:left="360"/>
              <w:rPr>
                <w:rFonts w:cs="Arial"/>
                <w:sz w:val="22"/>
                <w:szCs w:val="22"/>
              </w:rPr>
            </w:pPr>
          </w:p>
          <w:p w14:paraId="26596D30" w14:textId="77777777" w:rsidR="00FD389B" w:rsidRPr="004D77F6" w:rsidRDefault="00EA3F55" w:rsidP="00F30847">
            <w:pPr>
              <w:numPr>
                <w:ilvl w:val="1"/>
                <w:numId w:val="2"/>
              </w:numPr>
              <w:spacing w:after="0"/>
              <w:ind w:left="744" w:hanging="710"/>
              <w:rPr>
                <w:rFonts w:cs="Arial"/>
                <w:sz w:val="22"/>
                <w:szCs w:val="22"/>
              </w:rPr>
            </w:pPr>
            <w:r>
              <w:rPr>
                <w:sz w:val="22"/>
                <w:szCs w:val="22"/>
              </w:rPr>
              <w:t>A further point made by the Deloittes report is that</w:t>
            </w:r>
            <w:r w:rsidR="003D2C6C">
              <w:rPr>
                <w:sz w:val="22"/>
                <w:szCs w:val="22"/>
              </w:rPr>
              <w:t xml:space="preserve"> areas of low population density contain a number of instances where removing a practice would impose large additional travel costs on the patients involved. These additional travel costs </w:t>
            </w:r>
            <w:r w:rsidR="00B66E2D">
              <w:rPr>
                <w:sz w:val="22"/>
                <w:szCs w:val="22"/>
              </w:rPr>
              <w:t xml:space="preserve">in their analysis </w:t>
            </w:r>
            <w:r w:rsidR="003D2C6C">
              <w:rPr>
                <w:sz w:val="22"/>
                <w:szCs w:val="22"/>
              </w:rPr>
              <w:t xml:space="preserve">outweigh the potential economies of scale from larger practices with the likelihood that a practice is appropriately small, in that removing it would impose a large additional burden on patients depending upon the distance to the next nearest practice and the density of the population in the area </w:t>
            </w:r>
            <w:r w:rsidR="00B66E2D">
              <w:rPr>
                <w:sz w:val="22"/>
                <w:szCs w:val="22"/>
              </w:rPr>
              <w:t xml:space="preserve">being </w:t>
            </w:r>
            <w:r w:rsidR="003D2C6C">
              <w:rPr>
                <w:sz w:val="22"/>
                <w:szCs w:val="22"/>
              </w:rPr>
              <w:t xml:space="preserve">served. </w:t>
            </w:r>
            <w:r w:rsidR="00BC49C2">
              <w:rPr>
                <w:sz w:val="22"/>
                <w:szCs w:val="22"/>
              </w:rPr>
              <w:t xml:space="preserve"> The report identifies practices to be classified as being appropriately small if there are no alternative GPs nearby.</w:t>
            </w:r>
            <w:r w:rsidR="003D2C6C">
              <w:rPr>
                <w:sz w:val="22"/>
                <w:szCs w:val="22"/>
              </w:rPr>
              <w:t xml:space="preserve"> </w:t>
            </w:r>
            <w:r>
              <w:rPr>
                <w:sz w:val="22"/>
                <w:szCs w:val="22"/>
              </w:rPr>
              <w:t xml:space="preserve"> </w:t>
            </w:r>
            <w:r w:rsidR="008724C2" w:rsidRPr="00C5354E">
              <w:rPr>
                <w:sz w:val="22"/>
                <w:szCs w:val="22"/>
              </w:rPr>
              <w:t xml:space="preserve"> </w:t>
            </w:r>
            <w:r w:rsidR="00142935" w:rsidRPr="00C5354E">
              <w:rPr>
                <w:sz w:val="22"/>
                <w:szCs w:val="22"/>
              </w:rPr>
              <w:br/>
            </w:r>
          </w:p>
        </w:tc>
      </w:tr>
      <w:tr w:rsidR="001C3578" w:rsidRPr="00B5552C" w14:paraId="7E64E22A" w14:textId="77777777" w:rsidTr="005C20A6">
        <w:tc>
          <w:tcPr>
            <w:tcW w:w="9924" w:type="dxa"/>
            <w:shd w:val="clear" w:color="auto" w:fill="000000" w:themeFill="text1"/>
          </w:tcPr>
          <w:p w14:paraId="5FA2AA1C" w14:textId="77777777" w:rsidR="005C20A6" w:rsidRPr="005C20A6" w:rsidRDefault="001C3578" w:rsidP="007940F0">
            <w:pPr>
              <w:spacing w:after="0" w:line="276" w:lineRule="auto"/>
              <w:rPr>
                <w:rFonts w:ascii="Arial" w:hAnsi="Arial" w:cs="Arial"/>
                <w:b/>
                <w:color w:val="FFC000"/>
              </w:rPr>
            </w:pPr>
            <w:r w:rsidRPr="005C20A6">
              <w:rPr>
                <w:rFonts w:ascii="Arial" w:hAnsi="Arial" w:cs="Arial"/>
                <w:b/>
                <w:color w:val="FFC000"/>
              </w:rPr>
              <w:lastRenderedPageBreak/>
              <w:t>2.</w:t>
            </w:r>
            <w:r w:rsidRPr="005C20A6">
              <w:rPr>
                <w:rFonts w:ascii="Arial" w:hAnsi="Arial" w:cs="Arial"/>
                <w:b/>
                <w:color w:val="FFC000"/>
              </w:rPr>
              <w:tab/>
              <w:t>Outcomes</w:t>
            </w:r>
          </w:p>
        </w:tc>
      </w:tr>
      <w:tr w:rsidR="001C3578" w:rsidRPr="00DF4267" w14:paraId="2740B7E9" w14:textId="77777777" w:rsidTr="005C20A6">
        <w:tc>
          <w:tcPr>
            <w:tcW w:w="9924" w:type="dxa"/>
            <w:tcBorders>
              <w:bottom w:val="single" w:sz="4" w:space="0" w:color="auto"/>
            </w:tcBorders>
            <w:shd w:val="clear" w:color="auto" w:fill="auto"/>
          </w:tcPr>
          <w:p w14:paraId="7F4557F8" w14:textId="77777777" w:rsidR="001C3578" w:rsidRPr="0047710D" w:rsidRDefault="001C3578" w:rsidP="00F30847">
            <w:pPr>
              <w:spacing w:after="0" w:line="276" w:lineRule="auto"/>
              <w:rPr>
                <w:rFonts w:cs="Arial"/>
                <w:szCs w:val="24"/>
              </w:rPr>
            </w:pPr>
          </w:p>
          <w:p w14:paraId="224CC8E5" w14:textId="77777777" w:rsidR="001C3578" w:rsidRPr="0047710D" w:rsidRDefault="001C3578" w:rsidP="00F30847">
            <w:pPr>
              <w:spacing w:after="0" w:line="276" w:lineRule="auto"/>
              <w:rPr>
                <w:rFonts w:cs="Arial"/>
                <w:szCs w:val="24"/>
              </w:rPr>
            </w:pPr>
            <w:r w:rsidRPr="0047710D">
              <w:rPr>
                <w:rFonts w:cs="Arial"/>
                <w:szCs w:val="24"/>
              </w:rPr>
              <w:t>2.1</w:t>
            </w:r>
            <w:r w:rsidRPr="0047710D">
              <w:rPr>
                <w:rFonts w:cs="Arial"/>
                <w:szCs w:val="24"/>
              </w:rPr>
              <w:tab/>
              <w:t>NHS Outcomes Framework Domains &amp; Indicators</w:t>
            </w:r>
          </w:p>
          <w:tbl>
            <w:tblPr>
              <w:tblStyle w:val="TableGrid"/>
              <w:tblW w:w="0" w:type="auto"/>
              <w:tblInd w:w="738" w:type="dxa"/>
              <w:tblLook w:val="04A0" w:firstRow="1" w:lastRow="0" w:firstColumn="1" w:lastColumn="0" w:noHBand="0" w:noVBand="1"/>
              <w:tblDescription w:val="NHS Outcomes Framework Domains &amp; Indicators"/>
            </w:tblPr>
            <w:tblGrid>
              <w:gridCol w:w="1276"/>
              <w:gridCol w:w="6521"/>
              <w:gridCol w:w="709"/>
            </w:tblGrid>
            <w:tr w:rsidR="0076484A" w:rsidRPr="0047710D" w14:paraId="355D6767" w14:textId="77777777" w:rsidTr="00DD590C">
              <w:trPr>
                <w:tblHeader/>
              </w:trPr>
              <w:tc>
                <w:tcPr>
                  <w:tcW w:w="1276" w:type="dxa"/>
                </w:tcPr>
                <w:p w14:paraId="76C3C025" w14:textId="77777777" w:rsidR="0076484A" w:rsidRPr="0047710D" w:rsidRDefault="0076484A" w:rsidP="00F30847">
                  <w:pPr>
                    <w:spacing w:line="276" w:lineRule="auto"/>
                    <w:rPr>
                      <w:rFonts w:asciiTheme="minorHAnsi" w:hAnsiTheme="minorHAnsi" w:cs="Arial"/>
                      <w:sz w:val="22"/>
                      <w:szCs w:val="22"/>
                    </w:rPr>
                  </w:pPr>
                  <w:r w:rsidRPr="0047710D">
                    <w:rPr>
                      <w:rFonts w:asciiTheme="minorHAnsi" w:hAnsiTheme="minorHAnsi" w:cs="Arial"/>
                      <w:sz w:val="22"/>
                      <w:szCs w:val="22"/>
                    </w:rPr>
                    <w:t>Domain 1</w:t>
                  </w:r>
                </w:p>
              </w:tc>
              <w:tc>
                <w:tcPr>
                  <w:tcW w:w="6521" w:type="dxa"/>
                </w:tcPr>
                <w:p w14:paraId="4EAF4C2B" w14:textId="77777777" w:rsidR="0076484A" w:rsidRPr="0047710D" w:rsidRDefault="0076484A" w:rsidP="00F30847">
                  <w:pPr>
                    <w:spacing w:line="276" w:lineRule="auto"/>
                    <w:rPr>
                      <w:rFonts w:asciiTheme="minorHAnsi" w:hAnsiTheme="minorHAnsi" w:cs="Arial"/>
                      <w:sz w:val="22"/>
                      <w:szCs w:val="22"/>
                    </w:rPr>
                  </w:pPr>
                  <w:r w:rsidRPr="0047710D">
                    <w:rPr>
                      <w:rFonts w:asciiTheme="minorHAnsi" w:hAnsiTheme="minorHAnsi" w:cs="Arial"/>
                      <w:sz w:val="22"/>
                      <w:szCs w:val="22"/>
                    </w:rPr>
                    <w:t>Preventing people from dying prematurely</w:t>
                  </w:r>
                </w:p>
              </w:tc>
              <w:tc>
                <w:tcPr>
                  <w:tcW w:w="709" w:type="dxa"/>
                </w:tcPr>
                <w:p w14:paraId="3609E9DC" w14:textId="77777777" w:rsidR="0076484A" w:rsidRPr="0047710D" w:rsidRDefault="0076484A" w:rsidP="005E237A">
                  <w:pPr>
                    <w:jc w:val="center"/>
                    <w:rPr>
                      <w:rFonts w:asciiTheme="minorHAnsi" w:hAnsiTheme="minorHAnsi"/>
                      <w:sz w:val="22"/>
                      <w:szCs w:val="22"/>
                    </w:rPr>
                  </w:pPr>
                  <w:r w:rsidRPr="0047710D">
                    <w:rPr>
                      <w:rFonts w:asciiTheme="minorHAnsi" w:hAnsiTheme="minorHAnsi"/>
                      <w:sz w:val="22"/>
                      <w:szCs w:val="22"/>
                    </w:rPr>
                    <w:t>√</w:t>
                  </w:r>
                </w:p>
              </w:tc>
            </w:tr>
            <w:tr w:rsidR="001C3578" w:rsidRPr="0047710D" w14:paraId="7F7E4240" w14:textId="77777777" w:rsidTr="00DD590C">
              <w:tc>
                <w:tcPr>
                  <w:tcW w:w="1276" w:type="dxa"/>
                </w:tcPr>
                <w:p w14:paraId="5B54A306" w14:textId="77777777" w:rsidR="001C3578" w:rsidRPr="0047710D" w:rsidRDefault="001C3578" w:rsidP="00F30847">
                  <w:pPr>
                    <w:spacing w:line="276" w:lineRule="auto"/>
                    <w:rPr>
                      <w:rFonts w:asciiTheme="minorHAnsi" w:hAnsiTheme="minorHAnsi" w:cs="Arial"/>
                      <w:sz w:val="22"/>
                      <w:szCs w:val="22"/>
                    </w:rPr>
                  </w:pPr>
                  <w:r w:rsidRPr="0047710D">
                    <w:rPr>
                      <w:rFonts w:asciiTheme="minorHAnsi" w:hAnsiTheme="minorHAnsi" w:cs="Arial"/>
                      <w:sz w:val="22"/>
                      <w:szCs w:val="22"/>
                    </w:rPr>
                    <w:t>Domain 2</w:t>
                  </w:r>
                </w:p>
              </w:tc>
              <w:tc>
                <w:tcPr>
                  <w:tcW w:w="6521" w:type="dxa"/>
                </w:tcPr>
                <w:p w14:paraId="58FEF764" w14:textId="77777777" w:rsidR="001C3578" w:rsidRPr="0047710D" w:rsidRDefault="001C3578" w:rsidP="00F30847">
                  <w:pPr>
                    <w:spacing w:line="276" w:lineRule="auto"/>
                    <w:rPr>
                      <w:rFonts w:asciiTheme="minorHAnsi" w:hAnsiTheme="minorHAnsi" w:cs="Arial"/>
                      <w:sz w:val="22"/>
                      <w:szCs w:val="22"/>
                    </w:rPr>
                  </w:pPr>
                  <w:r w:rsidRPr="0047710D">
                    <w:rPr>
                      <w:rFonts w:asciiTheme="minorHAnsi" w:hAnsiTheme="minorHAnsi" w:cs="Arial"/>
                      <w:sz w:val="22"/>
                      <w:szCs w:val="22"/>
                    </w:rPr>
                    <w:t>Enhancing quality of life for people with long-term conditions</w:t>
                  </w:r>
                </w:p>
              </w:tc>
              <w:tc>
                <w:tcPr>
                  <w:tcW w:w="709" w:type="dxa"/>
                </w:tcPr>
                <w:p w14:paraId="4865ABD7" w14:textId="77777777" w:rsidR="001C3578" w:rsidRPr="0047710D" w:rsidRDefault="001C3578" w:rsidP="002078C5">
                  <w:pPr>
                    <w:jc w:val="center"/>
                    <w:rPr>
                      <w:rFonts w:asciiTheme="minorHAnsi" w:hAnsiTheme="minorHAnsi"/>
                      <w:sz w:val="22"/>
                      <w:szCs w:val="22"/>
                    </w:rPr>
                  </w:pPr>
                  <w:r w:rsidRPr="0047710D">
                    <w:rPr>
                      <w:rFonts w:asciiTheme="minorHAnsi" w:hAnsiTheme="minorHAnsi"/>
                      <w:sz w:val="22"/>
                      <w:szCs w:val="22"/>
                    </w:rPr>
                    <w:t>√</w:t>
                  </w:r>
                </w:p>
              </w:tc>
            </w:tr>
            <w:tr w:rsidR="0076484A" w:rsidRPr="0047710D" w14:paraId="2CB46266" w14:textId="77777777" w:rsidTr="00DD590C">
              <w:tc>
                <w:tcPr>
                  <w:tcW w:w="1276" w:type="dxa"/>
                </w:tcPr>
                <w:p w14:paraId="29C087B7" w14:textId="77777777" w:rsidR="0076484A" w:rsidRPr="0047710D" w:rsidRDefault="0076484A" w:rsidP="00F30847">
                  <w:pPr>
                    <w:spacing w:line="276" w:lineRule="auto"/>
                    <w:rPr>
                      <w:rFonts w:asciiTheme="minorHAnsi" w:hAnsiTheme="minorHAnsi" w:cs="Arial"/>
                      <w:sz w:val="22"/>
                      <w:szCs w:val="22"/>
                    </w:rPr>
                  </w:pPr>
                  <w:r w:rsidRPr="0047710D">
                    <w:rPr>
                      <w:rFonts w:asciiTheme="minorHAnsi" w:hAnsiTheme="minorHAnsi" w:cs="Arial"/>
                      <w:sz w:val="22"/>
                      <w:szCs w:val="22"/>
                    </w:rPr>
                    <w:t>Domain 3</w:t>
                  </w:r>
                </w:p>
              </w:tc>
              <w:tc>
                <w:tcPr>
                  <w:tcW w:w="6521" w:type="dxa"/>
                </w:tcPr>
                <w:p w14:paraId="5A2331B3" w14:textId="77777777" w:rsidR="0076484A" w:rsidRPr="0047710D" w:rsidRDefault="0076484A" w:rsidP="00F30847">
                  <w:pPr>
                    <w:spacing w:line="276" w:lineRule="auto"/>
                    <w:rPr>
                      <w:rFonts w:asciiTheme="minorHAnsi" w:hAnsiTheme="minorHAnsi" w:cs="Arial"/>
                      <w:sz w:val="22"/>
                      <w:szCs w:val="22"/>
                    </w:rPr>
                  </w:pPr>
                  <w:r w:rsidRPr="0047710D">
                    <w:rPr>
                      <w:rFonts w:asciiTheme="minorHAnsi" w:hAnsiTheme="minorHAnsi" w:cs="Arial"/>
                      <w:sz w:val="22"/>
                      <w:szCs w:val="22"/>
                    </w:rPr>
                    <w:t>Helping people to recover from episodes of ill-health or following injury</w:t>
                  </w:r>
                </w:p>
              </w:tc>
              <w:tc>
                <w:tcPr>
                  <w:tcW w:w="709" w:type="dxa"/>
                </w:tcPr>
                <w:p w14:paraId="13367F0A" w14:textId="77777777" w:rsidR="0076484A" w:rsidRPr="0047710D" w:rsidRDefault="0076484A" w:rsidP="005E237A">
                  <w:pPr>
                    <w:jc w:val="center"/>
                    <w:rPr>
                      <w:rFonts w:asciiTheme="minorHAnsi" w:hAnsiTheme="minorHAnsi"/>
                      <w:sz w:val="22"/>
                      <w:szCs w:val="22"/>
                    </w:rPr>
                  </w:pPr>
                  <w:r w:rsidRPr="0047710D">
                    <w:rPr>
                      <w:rFonts w:asciiTheme="minorHAnsi" w:hAnsiTheme="minorHAnsi"/>
                      <w:sz w:val="22"/>
                      <w:szCs w:val="22"/>
                    </w:rPr>
                    <w:t>√</w:t>
                  </w:r>
                </w:p>
              </w:tc>
            </w:tr>
            <w:tr w:rsidR="001C3578" w:rsidRPr="0047710D" w14:paraId="5EBDD813" w14:textId="77777777" w:rsidTr="00DD590C">
              <w:tc>
                <w:tcPr>
                  <w:tcW w:w="1276" w:type="dxa"/>
                </w:tcPr>
                <w:p w14:paraId="1F2FACA3" w14:textId="77777777" w:rsidR="001C3578" w:rsidRPr="0047710D" w:rsidRDefault="001C3578" w:rsidP="00F30847">
                  <w:pPr>
                    <w:spacing w:line="276" w:lineRule="auto"/>
                    <w:rPr>
                      <w:rFonts w:asciiTheme="minorHAnsi" w:hAnsiTheme="minorHAnsi" w:cs="Arial"/>
                      <w:sz w:val="22"/>
                      <w:szCs w:val="22"/>
                    </w:rPr>
                  </w:pPr>
                  <w:r w:rsidRPr="0047710D">
                    <w:rPr>
                      <w:rFonts w:asciiTheme="minorHAnsi" w:hAnsiTheme="minorHAnsi" w:cs="Arial"/>
                      <w:sz w:val="22"/>
                      <w:szCs w:val="22"/>
                    </w:rPr>
                    <w:t>Domain 4</w:t>
                  </w:r>
                </w:p>
              </w:tc>
              <w:tc>
                <w:tcPr>
                  <w:tcW w:w="6521" w:type="dxa"/>
                </w:tcPr>
                <w:p w14:paraId="02FEAAEE" w14:textId="77777777" w:rsidR="001C3578" w:rsidRPr="0047710D" w:rsidRDefault="001C3578" w:rsidP="00F30847">
                  <w:pPr>
                    <w:spacing w:line="276" w:lineRule="auto"/>
                    <w:rPr>
                      <w:rFonts w:asciiTheme="minorHAnsi" w:hAnsiTheme="minorHAnsi" w:cs="Arial"/>
                      <w:sz w:val="22"/>
                      <w:szCs w:val="22"/>
                    </w:rPr>
                  </w:pPr>
                  <w:r w:rsidRPr="0047710D">
                    <w:rPr>
                      <w:rFonts w:asciiTheme="minorHAnsi" w:hAnsiTheme="minorHAnsi" w:cs="Arial"/>
                      <w:sz w:val="22"/>
                      <w:szCs w:val="22"/>
                    </w:rPr>
                    <w:t>Ensuring people have a positive experience of care</w:t>
                  </w:r>
                </w:p>
              </w:tc>
              <w:tc>
                <w:tcPr>
                  <w:tcW w:w="709" w:type="dxa"/>
                </w:tcPr>
                <w:p w14:paraId="7EF02B66" w14:textId="77777777" w:rsidR="001C3578" w:rsidRPr="0047710D" w:rsidRDefault="001C3578" w:rsidP="002078C5">
                  <w:pPr>
                    <w:jc w:val="center"/>
                    <w:rPr>
                      <w:rFonts w:asciiTheme="minorHAnsi" w:hAnsiTheme="minorHAnsi"/>
                      <w:sz w:val="22"/>
                      <w:szCs w:val="22"/>
                    </w:rPr>
                  </w:pPr>
                  <w:r w:rsidRPr="0047710D">
                    <w:rPr>
                      <w:rFonts w:asciiTheme="minorHAnsi" w:hAnsiTheme="minorHAnsi"/>
                      <w:sz w:val="22"/>
                      <w:szCs w:val="22"/>
                    </w:rPr>
                    <w:t>√</w:t>
                  </w:r>
                </w:p>
              </w:tc>
            </w:tr>
            <w:tr w:rsidR="001C3578" w:rsidRPr="0047710D" w14:paraId="17DFF134" w14:textId="77777777" w:rsidTr="00DD590C">
              <w:tc>
                <w:tcPr>
                  <w:tcW w:w="1276" w:type="dxa"/>
                </w:tcPr>
                <w:p w14:paraId="34173096" w14:textId="77777777" w:rsidR="001C3578" w:rsidRPr="0047710D" w:rsidRDefault="001C3578" w:rsidP="00F30847">
                  <w:pPr>
                    <w:spacing w:line="276" w:lineRule="auto"/>
                    <w:rPr>
                      <w:rFonts w:asciiTheme="minorHAnsi" w:hAnsiTheme="minorHAnsi" w:cs="Arial"/>
                      <w:sz w:val="22"/>
                      <w:szCs w:val="22"/>
                    </w:rPr>
                  </w:pPr>
                  <w:r w:rsidRPr="0047710D">
                    <w:rPr>
                      <w:rFonts w:asciiTheme="minorHAnsi" w:hAnsiTheme="minorHAnsi" w:cs="Arial"/>
                      <w:sz w:val="22"/>
                      <w:szCs w:val="22"/>
                    </w:rPr>
                    <w:t>Domain 5</w:t>
                  </w:r>
                </w:p>
              </w:tc>
              <w:tc>
                <w:tcPr>
                  <w:tcW w:w="6521" w:type="dxa"/>
                </w:tcPr>
                <w:p w14:paraId="78AFC29B" w14:textId="77777777" w:rsidR="001C3578" w:rsidRPr="0047710D" w:rsidRDefault="001C3578" w:rsidP="00F30847">
                  <w:pPr>
                    <w:spacing w:line="276" w:lineRule="auto"/>
                    <w:rPr>
                      <w:rFonts w:asciiTheme="minorHAnsi" w:hAnsiTheme="minorHAnsi" w:cs="Arial"/>
                      <w:sz w:val="22"/>
                      <w:szCs w:val="22"/>
                    </w:rPr>
                  </w:pPr>
                  <w:r w:rsidRPr="0047710D">
                    <w:rPr>
                      <w:rFonts w:asciiTheme="minorHAnsi" w:hAnsiTheme="minorHAnsi" w:cs="Arial"/>
                      <w:sz w:val="22"/>
                      <w:szCs w:val="22"/>
                    </w:rPr>
                    <w:t>Treating and caring for people in safe environment and protecting them from avoidable harm</w:t>
                  </w:r>
                </w:p>
              </w:tc>
              <w:tc>
                <w:tcPr>
                  <w:tcW w:w="709" w:type="dxa"/>
                </w:tcPr>
                <w:p w14:paraId="09C9A587" w14:textId="77777777" w:rsidR="001C3578" w:rsidRPr="0047710D" w:rsidRDefault="001C3578" w:rsidP="002078C5">
                  <w:pPr>
                    <w:jc w:val="center"/>
                    <w:rPr>
                      <w:rFonts w:asciiTheme="minorHAnsi" w:hAnsiTheme="minorHAnsi"/>
                      <w:sz w:val="22"/>
                      <w:szCs w:val="22"/>
                    </w:rPr>
                  </w:pPr>
                  <w:r w:rsidRPr="0047710D">
                    <w:rPr>
                      <w:rFonts w:asciiTheme="minorHAnsi" w:hAnsiTheme="minorHAnsi"/>
                      <w:sz w:val="22"/>
                      <w:szCs w:val="22"/>
                    </w:rPr>
                    <w:t>√</w:t>
                  </w:r>
                </w:p>
              </w:tc>
            </w:tr>
          </w:tbl>
          <w:p w14:paraId="05352479" w14:textId="77777777" w:rsidR="00AC4CF9" w:rsidRPr="00191D9B" w:rsidRDefault="00AC4CF9" w:rsidP="00F30847">
            <w:pPr>
              <w:spacing w:after="0" w:line="276" w:lineRule="auto"/>
              <w:rPr>
                <w:rFonts w:cs="Arial"/>
                <w:b/>
                <w:szCs w:val="24"/>
              </w:rPr>
            </w:pPr>
          </w:p>
          <w:p w14:paraId="62C4DB7F" w14:textId="77777777" w:rsidR="001C3578" w:rsidRPr="006B7944" w:rsidRDefault="001C3578" w:rsidP="0047710D">
            <w:pPr>
              <w:pStyle w:val="ListParagraph"/>
              <w:numPr>
                <w:ilvl w:val="1"/>
                <w:numId w:val="4"/>
              </w:numPr>
              <w:spacing w:line="276" w:lineRule="auto"/>
              <w:ind w:left="744" w:hanging="710"/>
              <w:rPr>
                <w:rFonts w:asciiTheme="minorHAnsi" w:hAnsiTheme="minorHAnsi" w:cs="Arial"/>
              </w:rPr>
            </w:pPr>
            <w:r w:rsidRPr="006B7944">
              <w:rPr>
                <w:rFonts w:asciiTheme="minorHAnsi" w:hAnsiTheme="minorHAnsi" w:cs="Arial"/>
              </w:rPr>
              <w:lastRenderedPageBreak/>
              <w:t>Local defined outcomes</w:t>
            </w:r>
          </w:p>
          <w:p w14:paraId="3525710D" w14:textId="77777777" w:rsidR="001C3578" w:rsidRPr="006B7944" w:rsidRDefault="006B7944" w:rsidP="0047710D">
            <w:pPr>
              <w:pStyle w:val="ListParagraph"/>
              <w:spacing w:line="276" w:lineRule="auto"/>
              <w:ind w:left="744"/>
              <w:rPr>
                <w:rFonts w:asciiTheme="minorHAnsi" w:hAnsiTheme="minorHAnsi" w:cs="Arial"/>
                <w:b/>
              </w:rPr>
            </w:pPr>
            <w:r w:rsidRPr="006B7944">
              <w:rPr>
                <w:rFonts w:asciiTheme="minorHAnsi" w:hAnsiTheme="minorHAnsi"/>
              </w:rPr>
              <w:t xml:space="preserve">The main </w:t>
            </w:r>
            <w:r w:rsidRPr="006B7944">
              <w:rPr>
                <w:rFonts w:asciiTheme="minorHAnsi" w:eastAsiaTheme="minorHAnsi" w:hAnsiTheme="minorHAnsi"/>
                <w:lang w:eastAsia="en-US"/>
              </w:rPr>
              <w:t>anticipated outcome of this locally enhanced service is to ensure the cont</w:t>
            </w:r>
            <w:r>
              <w:rPr>
                <w:rFonts w:asciiTheme="minorHAnsi" w:eastAsiaTheme="minorHAnsi" w:hAnsiTheme="minorHAnsi"/>
                <w:lang w:eastAsia="en-US"/>
              </w:rPr>
              <w:t xml:space="preserve">inued access for patients to their GP Practice should that practice </w:t>
            </w:r>
            <w:r w:rsidRPr="006B7944">
              <w:rPr>
                <w:rFonts w:asciiTheme="minorHAnsi" w:eastAsiaTheme="minorHAnsi" w:hAnsiTheme="minorHAnsi"/>
                <w:lang w:eastAsia="en-US"/>
              </w:rPr>
              <w:t>meet the criteria specifie</w:t>
            </w:r>
            <w:r w:rsidR="003D2C6C">
              <w:rPr>
                <w:rFonts w:asciiTheme="minorHAnsi" w:eastAsiaTheme="minorHAnsi" w:hAnsiTheme="minorHAnsi"/>
                <w:lang w:eastAsia="en-US"/>
              </w:rPr>
              <w:t>d in this service specification</w:t>
            </w:r>
            <w:r>
              <w:rPr>
                <w:rFonts w:asciiTheme="minorHAnsi" w:eastAsiaTheme="minorHAnsi" w:hAnsiTheme="minorHAnsi"/>
                <w:lang w:eastAsia="en-US"/>
              </w:rPr>
              <w:t xml:space="preserve"> </w:t>
            </w:r>
            <w:r w:rsidR="003D2C6C">
              <w:rPr>
                <w:rFonts w:asciiTheme="minorHAnsi" w:eastAsiaTheme="minorHAnsi" w:hAnsiTheme="minorHAnsi"/>
                <w:lang w:eastAsia="en-US"/>
              </w:rPr>
              <w:t xml:space="preserve">as being </w:t>
            </w:r>
            <w:r w:rsidR="00B66E2D">
              <w:rPr>
                <w:rFonts w:asciiTheme="minorHAnsi" w:eastAsiaTheme="minorHAnsi" w:hAnsiTheme="minorHAnsi"/>
                <w:lang w:eastAsia="en-US"/>
              </w:rPr>
              <w:t xml:space="preserve">both </w:t>
            </w:r>
            <w:r w:rsidRPr="006B7944">
              <w:rPr>
                <w:rFonts w:asciiTheme="minorHAnsi" w:eastAsiaTheme="minorHAnsi" w:hAnsiTheme="minorHAnsi"/>
                <w:lang w:eastAsia="en-US"/>
              </w:rPr>
              <w:t xml:space="preserve">small and </w:t>
            </w:r>
            <w:r w:rsidR="003D2C6C">
              <w:rPr>
                <w:rFonts w:asciiTheme="minorHAnsi" w:eastAsiaTheme="minorHAnsi" w:hAnsiTheme="minorHAnsi"/>
                <w:lang w:eastAsia="en-US"/>
              </w:rPr>
              <w:t xml:space="preserve">located in an </w:t>
            </w:r>
            <w:r w:rsidRPr="006B7944">
              <w:rPr>
                <w:rFonts w:asciiTheme="minorHAnsi" w:eastAsiaTheme="minorHAnsi" w:hAnsiTheme="minorHAnsi"/>
                <w:lang w:eastAsia="en-US"/>
              </w:rPr>
              <w:t>isolated</w:t>
            </w:r>
            <w:r w:rsidR="003D2C6C">
              <w:rPr>
                <w:rFonts w:asciiTheme="minorHAnsi" w:eastAsiaTheme="minorHAnsi" w:hAnsiTheme="minorHAnsi"/>
                <w:lang w:eastAsia="en-US"/>
              </w:rPr>
              <w:t xml:space="preserve"> geographical </w:t>
            </w:r>
            <w:r w:rsidR="00BC49C2">
              <w:rPr>
                <w:rFonts w:asciiTheme="minorHAnsi" w:eastAsiaTheme="minorHAnsi" w:hAnsiTheme="minorHAnsi"/>
                <w:lang w:eastAsia="en-US"/>
              </w:rPr>
              <w:t>location</w:t>
            </w:r>
            <w:r>
              <w:rPr>
                <w:rFonts w:asciiTheme="minorHAnsi" w:eastAsiaTheme="minorHAnsi" w:hAnsiTheme="minorHAnsi"/>
                <w:lang w:eastAsia="en-US"/>
              </w:rPr>
              <w:t>.</w:t>
            </w:r>
            <w:r w:rsidR="001C3578" w:rsidRPr="006B7944">
              <w:rPr>
                <w:rFonts w:asciiTheme="minorHAnsi" w:hAnsiTheme="minorHAnsi"/>
              </w:rPr>
              <w:t xml:space="preserve"> </w:t>
            </w:r>
          </w:p>
          <w:p w14:paraId="786ED85C" w14:textId="77777777" w:rsidR="001C3578" w:rsidRPr="00191D9B" w:rsidRDefault="001C3578" w:rsidP="00191D9B">
            <w:pPr>
              <w:pStyle w:val="ListParagraph"/>
              <w:spacing w:line="276" w:lineRule="auto"/>
              <w:ind w:left="360"/>
              <w:rPr>
                <w:rFonts w:asciiTheme="minorHAnsi" w:hAnsiTheme="minorHAnsi" w:cs="Arial"/>
                <w:b/>
              </w:rPr>
            </w:pPr>
          </w:p>
          <w:p w14:paraId="4F6F3D0E" w14:textId="77777777" w:rsidR="001C3578" w:rsidRPr="00C04EBD" w:rsidRDefault="00BC49C2" w:rsidP="00C04EBD">
            <w:pPr>
              <w:pStyle w:val="ListParagraph"/>
              <w:numPr>
                <w:ilvl w:val="1"/>
                <w:numId w:val="4"/>
              </w:numPr>
              <w:spacing w:line="276" w:lineRule="auto"/>
              <w:ind w:left="744" w:hanging="710"/>
              <w:rPr>
                <w:rFonts w:asciiTheme="minorHAnsi" w:hAnsiTheme="minorHAnsi" w:cs="Arial"/>
                <w:b/>
              </w:rPr>
            </w:pPr>
            <w:r>
              <w:rPr>
                <w:rFonts w:asciiTheme="minorHAnsi" w:hAnsiTheme="minorHAnsi"/>
              </w:rPr>
              <w:t xml:space="preserve">Ensure that the full range of GMS Enhanced Services, are available to the population served by a small and isolated GP Practice. In addition that the services over and above the core GMS contract provided by these practices is also available to </w:t>
            </w:r>
            <w:r w:rsidR="00C04EBD">
              <w:rPr>
                <w:rFonts w:asciiTheme="minorHAnsi" w:hAnsiTheme="minorHAnsi"/>
              </w:rPr>
              <w:t xml:space="preserve">practice </w:t>
            </w:r>
            <w:r>
              <w:rPr>
                <w:rFonts w:asciiTheme="minorHAnsi" w:hAnsiTheme="minorHAnsi"/>
              </w:rPr>
              <w:t>patients</w:t>
            </w:r>
            <w:r w:rsidR="00C04EBD">
              <w:rPr>
                <w:rFonts w:asciiTheme="minorHAnsi" w:hAnsiTheme="minorHAnsi"/>
              </w:rPr>
              <w:t>. This ensures that a stable environment for these patie</w:t>
            </w:r>
            <w:r w:rsidR="003F2DED">
              <w:rPr>
                <w:rFonts w:asciiTheme="minorHAnsi" w:hAnsiTheme="minorHAnsi"/>
              </w:rPr>
              <w:t>nts, some of whom will be vulnerable through either age of disa</w:t>
            </w:r>
            <w:r w:rsidR="00B66E2D">
              <w:rPr>
                <w:rFonts w:asciiTheme="minorHAnsi" w:hAnsiTheme="minorHAnsi"/>
              </w:rPr>
              <w:t xml:space="preserve">bility reasons thus helping them to receive </w:t>
            </w:r>
            <w:r w:rsidR="00C04EBD">
              <w:rPr>
                <w:rFonts w:asciiTheme="minorHAnsi" w:hAnsiTheme="minorHAnsi"/>
              </w:rPr>
              <w:t>continu</w:t>
            </w:r>
            <w:r w:rsidR="003F2DED">
              <w:rPr>
                <w:rFonts w:asciiTheme="minorHAnsi" w:hAnsiTheme="minorHAnsi"/>
              </w:rPr>
              <w:t>ing healthcare.</w:t>
            </w:r>
            <w:r w:rsidR="00C04EBD">
              <w:rPr>
                <w:rFonts w:asciiTheme="minorHAnsi" w:hAnsiTheme="minorHAnsi"/>
              </w:rPr>
              <w:t xml:space="preserve"> </w:t>
            </w:r>
            <w:r>
              <w:rPr>
                <w:rFonts w:asciiTheme="minorHAnsi" w:hAnsiTheme="minorHAnsi"/>
              </w:rPr>
              <w:t xml:space="preserve">   </w:t>
            </w:r>
          </w:p>
          <w:p w14:paraId="798610D5" w14:textId="77777777" w:rsidR="001C3578" w:rsidRPr="00191D9B" w:rsidRDefault="001C3578" w:rsidP="00F30847">
            <w:pPr>
              <w:spacing w:after="0" w:line="276" w:lineRule="auto"/>
              <w:rPr>
                <w:rFonts w:cs="Arial"/>
                <w:b/>
                <w:szCs w:val="24"/>
              </w:rPr>
            </w:pPr>
          </w:p>
        </w:tc>
      </w:tr>
      <w:tr w:rsidR="001C3578" w:rsidRPr="00B5552C" w14:paraId="33DB50F6" w14:textId="77777777" w:rsidTr="005C20A6">
        <w:tc>
          <w:tcPr>
            <w:tcW w:w="9924" w:type="dxa"/>
            <w:shd w:val="clear" w:color="auto" w:fill="000000" w:themeFill="text1"/>
          </w:tcPr>
          <w:p w14:paraId="78DC3B49" w14:textId="77777777" w:rsidR="001C3578" w:rsidRPr="005C20A6" w:rsidRDefault="001C3578" w:rsidP="00F30847">
            <w:pPr>
              <w:spacing w:after="0" w:line="276" w:lineRule="auto"/>
              <w:rPr>
                <w:rFonts w:ascii="Arial" w:hAnsi="Arial" w:cs="Arial"/>
                <w:b/>
                <w:color w:val="FFC000"/>
              </w:rPr>
            </w:pPr>
            <w:r w:rsidRPr="005C20A6">
              <w:rPr>
                <w:rFonts w:ascii="Arial" w:hAnsi="Arial" w:cs="Arial"/>
                <w:b/>
                <w:color w:val="FFC000"/>
              </w:rPr>
              <w:lastRenderedPageBreak/>
              <w:t>3.</w:t>
            </w:r>
            <w:r w:rsidRPr="005C20A6">
              <w:rPr>
                <w:rFonts w:ascii="Arial" w:hAnsi="Arial" w:cs="Arial"/>
                <w:b/>
                <w:color w:val="FFC000"/>
              </w:rPr>
              <w:tab/>
              <w:t>Scope</w:t>
            </w:r>
          </w:p>
        </w:tc>
      </w:tr>
      <w:tr w:rsidR="001C3578" w:rsidRPr="00512021" w14:paraId="1F229D28" w14:textId="77777777" w:rsidTr="005C20A6">
        <w:tc>
          <w:tcPr>
            <w:tcW w:w="9924" w:type="dxa"/>
            <w:tcBorders>
              <w:bottom w:val="single" w:sz="4" w:space="0" w:color="auto"/>
            </w:tcBorders>
            <w:shd w:val="clear" w:color="auto" w:fill="auto"/>
          </w:tcPr>
          <w:p w14:paraId="7FBDC781" w14:textId="77777777" w:rsidR="001C3578" w:rsidRPr="007D1C16" w:rsidRDefault="001C3578" w:rsidP="00F30847">
            <w:pPr>
              <w:spacing w:after="0"/>
              <w:rPr>
                <w:rFonts w:ascii="Arial" w:hAnsi="Arial" w:cs="Arial"/>
                <w:sz w:val="20"/>
              </w:rPr>
            </w:pPr>
          </w:p>
          <w:p w14:paraId="2E9B8D69" w14:textId="77777777" w:rsidR="00C04EBD" w:rsidRPr="000337F6" w:rsidRDefault="000337F6" w:rsidP="000337F6">
            <w:pPr>
              <w:spacing w:after="0"/>
              <w:ind w:left="744" w:hanging="710"/>
              <w:rPr>
                <w:rFonts w:cs="Arial"/>
                <w:sz w:val="22"/>
                <w:szCs w:val="22"/>
              </w:rPr>
            </w:pPr>
            <w:r w:rsidRPr="000337F6">
              <w:rPr>
                <w:rFonts w:cs="Arial"/>
                <w:szCs w:val="24"/>
              </w:rPr>
              <w:t xml:space="preserve">3.1       </w:t>
            </w:r>
            <w:r w:rsidR="00C04EBD" w:rsidRPr="000337F6">
              <w:rPr>
                <w:rFonts w:cs="Arial"/>
                <w:szCs w:val="24"/>
              </w:rPr>
              <w:t xml:space="preserve">This service specification recognizes the following characteristics of a small </w:t>
            </w:r>
            <w:r w:rsidR="009F275E" w:rsidRPr="000337F6">
              <w:rPr>
                <w:rFonts w:cs="Arial"/>
                <w:szCs w:val="24"/>
              </w:rPr>
              <w:t xml:space="preserve">and isolated </w:t>
            </w:r>
            <w:r w:rsidR="00C04EBD" w:rsidRPr="000337F6">
              <w:rPr>
                <w:rFonts w:cs="Arial"/>
                <w:szCs w:val="24"/>
              </w:rPr>
              <w:t>practice</w:t>
            </w:r>
            <w:r w:rsidR="00C04EBD" w:rsidRPr="000337F6">
              <w:rPr>
                <w:sz w:val="22"/>
                <w:szCs w:val="22"/>
              </w:rPr>
              <w:t>:-</w:t>
            </w:r>
          </w:p>
          <w:p w14:paraId="208CBE34" w14:textId="77777777" w:rsidR="00C04EBD" w:rsidRPr="000337F6" w:rsidRDefault="009F275E" w:rsidP="009F275E">
            <w:pPr>
              <w:pStyle w:val="ListParagraph"/>
              <w:numPr>
                <w:ilvl w:val="0"/>
                <w:numId w:val="10"/>
              </w:numPr>
              <w:rPr>
                <w:rFonts w:asciiTheme="minorHAnsi" w:hAnsiTheme="minorHAnsi" w:cstheme="minorBidi"/>
                <w:sz w:val="22"/>
                <w:szCs w:val="22"/>
              </w:rPr>
            </w:pPr>
            <w:r w:rsidRPr="000337F6">
              <w:rPr>
                <w:rFonts w:asciiTheme="minorHAnsi" w:hAnsiTheme="minorHAnsi" w:cs="Arial"/>
                <w:sz w:val="22"/>
                <w:szCs w:val="22"/>
              </w:rPr>
              <w:t>List size lower than 1,900</w:t>
            </w:r>
          </w:p>
          <w:p w14:paraId="52698830" w14:textId="77777777" w:rsidR="005A1D3D" w:rsidRPr="000337F6" w:rsidRDefault="005A1D3D" w:rsidP="009F275E">
            <w:pPr>
              <w:pStyle w:val="ListParagraph"/>
              <w:numPr>
                <w:ilvl w:val="0"/>
                <w:numId w:val="10"/>
              </w:numPr>
              <w:rPr>
                <w:rFonts w:asciiTheme="minorHAnsi" w:hAnsiTheme="minorHAnsi" w:cstheme="minorBidi"/>
                <w:sz w:val="22"/>
                <w:szCs w:val="22"/>
              </w:rPr>
            </w:pPr>
            <w:r w:rsidRPr="000337F6">
              <w:rPr>
                <w:rFonts w:asciiTheme="minorHAnsi" w:hAnsiTheme="minorHAnsi" w:cs="Arial"/>
                <w:sz w:val="22"/>
                <w:szCs w:val="22"/>
              </w:rPr>
              <w:t>Catchment area</w:t>
            </w:r>
            <w:r w:rsidR="003F2DED" w:rsidRPr="000337F6">
              <w:rPr>
                <w:rFonts w:asciiTheme="minorHAnsi" w:hAnsiTheme="minorHAnsi" w:cs="Arial"/>
                <w:sz w:val="22"/>
                <w:szCs w:val="22"/>
              </w:rPr>
              <w:t xml:space="preserve"> </w:t>
            </w:r>
            <w:r w:rsidR="00497846" w:rsidRPr="000337F6">
              <w:rPr>
                <w:rFonts w:asciiTheme="minorHAnsi" w:hAnsiTheme="minorHAnsi" w:cs="Arial"/>
                <w:sz w:val="22"/>
                <w:szCs w:val="22"/>
              </w:rPr>
              <w:t>in excess of 100 square miles</w:t>
            </w:r>
            <w:r w:rsidRPr="000337F6">
              <w:rPr>
                <w:rFonts w:asciiTheme="minorHAnsi" w:hAnsiTheme="minorHAnsi" w:cs="Arial"/>
                <w:sz w:val="22"/>
                <w:szCs w:val="22"/>
              </w:rPr>
              <w:t xml:space="preserve"> </w:t>
            </w:r>
          </w:p>
          <w:p w14:paraId="359A753A" w14:textId="77777777" w:rsidR="009F275E" w:rsidRPr="000337F6" w:rsidRDefault="005A1D3D" w:rsidP="009F275E">
            <w:pPr>
              <w:pStyle w:val="ListParagraph"/>
              <w:numPr>
                <w:ilvl w:val="0"/>
                <w:numId w:val="10"/>
              </w:numPr>
              <w:rPr>
                <w:rFonts w:asciiTheme="minorHAnsi" w:hAnsiTheme="minorHAnsi" w:cstheme="minorBidi"/>
                <w:sz w:val="22"/>
                <w:szCs w:val="22"/>
              </w:rPr>
            </w:pPr>
            <w:r w:rsidRPr="000337F6">
              <w:rPr>
                <w:rFonts w:asciiTheme="minorHAnsi" w:hAnsiTheme="minorHAnsi" w:cs="Arial"/>
                <w:sz w:val="22"/>
                <w:szCs w:val="22"/>
              </w:rPr>
              <w:t>Is at least 8</w:t>
            </w:r>
            <w:r w:rsidR="009F275E" w:rsidRPr="000337F6">
              <w:rPr>
                <w:rFonts w:asciiTheme="minorHAnsi" w:hAnsiTheme="minorHAnsi" w:cs="Arial"/>
                <w:sz w:val="22"/>
                <w:szCs w:val="22"/>
              </w:rPr>
              <w:t xml:space="preserve"> miles from the nearest neighbouring alternative GP Practice</w:t>
            </w:r>
          </w:p>
          <w:p w14:paraId="018FF91B" w14:textId="77777777" w:rsidR="003F2DED" w:rsidRPr="000337F6" w:rsidRDefault="003F2DED" w:rsidP="009F275E">
            <w:pPr>
              <w:pStyle w:val="ListParagraph"/>
              <w:numPr>
                <w:ilvl w:val="0"/>
                <w:numId w:val="10"/>
              </w:numPr>
              <w:rPr>
                <w:rFonts w:asciiTheme="minorHAnsi" w:hAnsiTheme="minorHAnsi" w:cstheme="minorBidi"/>
                <w:sz w:val="22"/>
                <w:szCs w:val="22"/>
              </w:rPr>
            </w:pPr>
            <w:r w:rsidRPr="000337F6">
              <w:rPr>
                <w:rFonts w:asciiTheme="minorHAnsi" w:hAnsiTheme="minorHAnsi" w:cs="Arial"/>
                <w:sz w:val="22"/>
                <w:szCs w:val="22"/>
              </w:rPr>
              <w:t>Is over 20 miles from nearest Accident &amp; Emergency Centre</w:t>
            </w:r>
          </w:p>
          <w:p w14:paraId="0B543BC8" w14:textId="77777777" w:rsidR="009F275E" w:rsidRPr="000337F6" w:rsidRDefault="009F275E" w:rsidP="009F275E">
            <w:pPr>
              <w:pStyle w:val="ListParagraph"/>
              <w:numPr>
                <w:ilvl w:val="0"/>
                <w:numId w:val="10"/>
              </w:numPr>
              <w:rPr>
                <w:rFonts w:asciiTheme="minorHAnsi" w:hAnsiTheme="minorHAnsi" w:cstheme="minorBidi"/>
                <w:sz w:val="22"/>
                <w:szCs w:val="22"/>
              </w:rPr>
            </w:pPr>
            <w:r w:rsidRPr="000337F6">
              <w:rPr>
                <w:rFonts w:asciiTheme="minorHAnsi" w:hAnsiTheme="minorHAnsi" w:cstheme="minorBidi"/>
                <w:sz w:val="22"/>
                <w:szCs w:val="22"/>
              </w:rPr>
              <w:t>Is required to provide the full list of GMS Enhanced Services</w:t>
            </w:r>
          </w:p>
          <w:p w14:paraId="39861943" w14:textId="77777777" w:rsidR="009F275E" w:rsidRPr="000337F6" w:rsidRDefault="009F275E" w:rsidP="009F275E">
            <w:pPr>
              <w:pStyle w:val="ListParagraph"/>
              <w:numPr>
                <w:ilvl w:val="0"/>
                <w:numId w:val="10"/>
              </w:numPr>
              <w:rPr>
                <w:rFonts w:asciiTheme="minorHAnsi" w:hAnsiTheme="minorHAnsi" w:cstheme="minorBidi"/>
                <w:sz w:val="22"/>
                <w:szCs w:val="22"/>
              </w:rPr>
            </w:pPr>
            <w:r w:rsidRPr="000337F6">
              <w:rPr>
                <w:rFonts w:asciiTheme="minorHAnsi" w:hAnsiTheme="minorHAnsi" w:cstheme="minorBidi"/>
                <w:sz w:val="22"/>
                <w:szCs w:val="22"/>
              </w:rPr>
              <w:t>When required it provides services over and above core GMS</w:t>
            </w:r>
          </w:p>
          <w:p w14:paraId="6883E7C2" w14:textId="77777777" w:rsidR="009F275E" w:rsidRPr="000337F6" w:rsidRDefault="009F275E" w:rsidP="009F275E">
            <w:pPr>
              <w:pStyle w:val="ListParagraph"/>
              <w:numPr>
                <w:ilvl w:val="0"/>
                <w:numId w:val="10"/>
              </w:numPr>
              <w:rPr>
                <w:rFonts w:asciiTheme="minorHAnsi" w:hAnsiTheme="minorHAnsi" w:cstheme="minorBidi"/>
                <w:sz w:val="22"/>
                <w:szCs w:val="22"/>
              </w:rPr>
            </w:pPr>
            <w:r w:rsidRPr="000337F6">
              <w:rPr>
                <w:rFonts w:asciiTheme="minorHAnsi" w:hAnsiTheme="minorHAnsi" w:cstheme="minorBidi"/>
                <w:sz w:val="22"/>
                <w:szCs w:val="22"/>
              </w:rPr>
              <w:t>Is located in a geographical area classified as rural</w:t>
            </w:r>
          </w:p>
          <w:p w14:paraId="275ED97E" w14:textId="77777777" w:rsidR="005A1D3D" w:rsidRPr="000337F6" w:rsidRDefault="009F275E" w:rsidP="009F275E">
            <w:pPr>
              <w:pStyle w:val="ListParagraph"/>
              <w:numPr>
                <w:ilvl w:val="0"/>
                <w:numId w:val="10"/>
              </w:numPr>
              <w:rPr>
                <w:rFonts w:asciiTheme="minorHAnsi" w:hAnsiTheme="minorHAnsi" w:cstheme="minorBidi"/>
                <w:sz w:val="22"/>
                <w:szCs w:val="22"/>
              </w:rPr>
            </w:pPr>
            <w:r w:rsidRPr="000337F6">
              <w:rPr>
                <w:rFonts w:asciiTheme="minorHAnsi" w:hAnsiTheme="minorHAnsi" w:cstheme="minorBidi"/>
                <w:sz w:val="22"/>
                <w:szCs w:val="22"/>
              </w:rPr>
              <w:t>Located in an area where ambulance response times are below targets</w:t>
            </w:r>
          </w:p>
          <w:p w14:paraId="7CCA6C58" w14:textId="77777777" w:rsidR="00E6294D" w:rsidRPr="000337F6" w:rsidRDefault="005A1D3D" w:rsidP="009F275E">
            <w:pPr>
              <w:pStyle w:val="ListParagraph"/>
              <w:numPr>
                <w:ilvl w:val="0"/>
                <w:numId w:val="10"/>
              </w:numPr>
              <w:rPr>
                <w:rFonts w:asciiTheme="minorHAnsi" w:hAnsiTheme="minorHAnsi" w:cstheme="minorBidi"/>
                <w:sz w:val="22"/>
                <w:szCs w:val="22"/>
              </w:rPr>
            </w:pPr>
            <w:r w:rsidRPr="000337F6">
              <w:rPr>
                <w:rFonts w:asciiTheme="minorHAnsi" w:hAnsiTheme="minorHAnsi" w:cstheme="minorBidi"/>
                <w:sz w:val="22"/>
                <w:szCs w:val="22"/>
              </w:rPr>
              <w:t>Travelling between the practice and next nearest practice is along B ro</w:t>
            </w:r>
            <w:r w:rsidR="00497846" w:rsidRPr="000337F6">
              <w:rPr>
                <w:rFonts w:asciiTheme="minorHAnsi" w:hAnsiTheme="minorHAnsi" w:cstheme="minorBidi"/>
                <w:sz w:val="22"/>
                <w:szCs w:val="22"/>
              </w:rPr>
              <w:t>ad</w:t>
            </w:r>
            <w:r w:rsidRPr="000337F6">
              <w:rPr>
                <w:rFonts w:asciiTheme="minorHAnsi" w:hAnsiTheme="minorHAnsi" w:cstheme="minorBidi"/>
                <w:sz w:val="22"/>
                <w:szCs w:val="22"/>
              </w:rPr>
              <w:t>s</w:t>
            </w:r>
          </w:p>
          <w:p w14:paraId="7CAB674C" w14:textId="77777777" w:rsidR="001C3578" w:rsidRPr="000337F6" w:rsidRDefault="00E6294D" w:rsidP="009F275E">
            <w:pPr>
              <w:pStyle w:val="ListParagraph"/>
              <w:numPr>
                <w:ilvl w:val="0"/>
                <w:numId w:val="10"/>
              </w:numPr>
              <w:rPr>
                <w:rFonts w:asciiTheme="minorHAnsi" w:hAnsiTheme="minorHAnsi" w:cstheme="minorBidi"/>
                <w:sz w:val="22"/>
                <w:szCs w:val="22"/>
              </w:rPr>
            </w:pPr>
            <w:r w:rsidRPr="000337F6">
              <w:rPr>
                <w:rFonts w:asciiTheme="minorHAnsi" w:hAnsiTheme="minorHAnsi" w:cstheme="minorBidi"/>
                <w:sz w:val="22"/>
                <w:szCs w:val="22"/>
              </w:rPr>
              <w:t xml:space="preserve">Has limited public transport </w:t>
            </w:r>
            <w:r w:rsidR="009F275E" w:rsidRPr="000337F6">
              <w:rPr>
                <w:rFonts w:asciiTheme="minorHAnsi" w:hAnsiTheme="minorHAnsi" w:cstheme="minorBidi"/>
                <w:sz w:val="22"/>
                <w:szCs w:val="22"/>
              </w:rPr>
              <w:t xml:space="preserve">  </w:t>
            </w:r>
            <w:r w:rsidR="003E303F" w:rsidRPr="000337F6">
              <w:rPr>
                <w:rFonts w:asciiTheme="minorHAnsi" w:eastAsiaTheme="minorHAnsi" w:hAnsiTheme="minorHAnsi"/>
                <w:lang w:eastAsia="en-US"/>
              </w:rPr>
              <w:t xml:space="preserve"> </w:t>
            </w:r>
            <w:r w:rsidR="001C3578" w:rsidRPr="000337F6">
              <w:rPr>
                <w:rFonts w:asciiTheme="minorHAnsi" w:eastAsiaTheme="minorHAnsi" w:hAnsiTheme="minorHAnsi"/>
                <w:lang w:eastAsia="en-US"/>
              </w:rPr>
              <w:t xml:space="preserve">   </w:t>
            </w:r>
          </w:p>
          <w:p w14:paraId="56A6CE36" w14:textId="77777777" w:rsidR="001C3578" w:rsidRPr="000337F6" w:rsidRDefault="001C3578" w:rsidP="00F30847">
            <w:pPr>
              <w:spacing w:after="0"/>
              <w:rPr>
                <w:rFonts w:cs="Arial"/>
                <w:szCs w:val="24"/>
              </w:rPr>
            </w:pPr>
          </w:p>
          <w:p w14:paraId="5841D458" w14:textId="77777777" w:rsidR="00497846" w:rsidRPr="000337F6" w:rsidRDefault="000337F6" w:rsidP="000337F6">
            <w:pPr>
              <w:pStyle w:val="ListParagraph"/>
              <w:numPr>
                <w:ilvl w:val="1"/>
                <w:numId w:val="12"/>
              </w:numPr>
              <w:rPr>
                <w:rFonts w:asciiTheme="minorHAnsi" w:hAnsiTheme="minorHAnsi" w:cs="Arial"/>
                <w:sz w:val="22"/>
                <w:szCs w:val="22"/>
              </w:rPr>
            </w:pPr>
            <w:r w:rsidRPr="000337F6">
              <w:rPr>
                <w:rFonts w:asciiTheme="minorHAnsi" w:hAnsiTheme="minorHAnsi" w:cs="Arial"/>
              </w:rPr>
              <w:t xml:space="preserve">       </w:t>
            </w:r>
            <w:r w:rsidR="00497846" w:rsidRPr="000337F6">
              <w:rPr>
                <w:rFonts w:asciiTheme="minorHAnsi" w:hAnsiTheme="minorHAnsi" w:cs="Arial"/>
              </w:rPr>
              <w:t>Under t</w:t>
            </w:r>
            <w:r w:rsidR="009F275E" w:rsidRPr="000337F6">
              <w:rPr>
                <w:rFonts w:asciiTheme="minorHAnsi" w:hAnsiTheme="minorHAnsi" w:cs="Arial"/>
              </w:rPr>
              <w:t>his s</w:t>
            </w:r>
            <w:r w:rsidR="00497846" w:rsidRPr="000337F6">
              <w:rPr>
                <w:rFonts w:asciiTheme="minorHAnsi" w:hAnsiTheme="minorHAnsi" w:cs="Arial"/>
              </w:rPr>
              <w:t xml:space="preserve">ervice specification a small and isolated practice will:- </w:t>
            </w:r>
          </w:p>
          <w:p w14:paraId="707C0EEE" w14:textId="77777777" w:rsidR="00497846" w:rsidRPr="000337F6" w:rsidRDefault="00E6294D" w:rsidP="00497846">
            <w:pPr>
              <w:pStyle w:val="ListParagraph"/>
              <w:numPr>
                <w:ilvl w:val="0"/>
                <w:numId w:val="11"/>
              </w:numPr>
              <w:rPr>
                <w:rFonts w:asciiTheme="minorHAnsi" w:hAnsiTheme="minorHAnsi" w:cstheme="minorBidi"/>
                <w:sz w:val="22"/>
                <w:szCs w:val="22"/>
              </w:rPr>
            </w:pPr>
            <w:r w:rsidRPr="000337F6">
              <w:rPr>
                <w:rFonts w:asciiTheme="minorHAnsi" w:hAnsiTheme="minorHAnsi" w:cstheme="minorBidi"/>
                <w:sz w:val="22"/>
                <w:szCs w:val="22"/>
              </w:rPr>
              <w:t xml:space="preserve">Provide the full range of Enhanced Services including – </w:t>
            </w:r>
            <w:r w:rsidR="000337F6">
              <w:rPr>
                <w:rFonts w:asciiTheme="minorHAnsi" w:hAnsiTheme="minorHAnsi" w:cstheme="minorBidi"/>
                <w:sz w:val="22"/>
                <w:szCs w:val="22"/>
              </w:rPr>
              <w:t>Minor surgery etc</w:t>
            </w:r>
            <w:r w:rsidR="00CD4880">
              <w:rPr>
                <w:rFonts w:asciiTheme="minorHAnsi" w:hAnsiTheme="minorHAnsi" w:cstheme="minorBidi"/>
                <w:sz w:val="22"/>
                <w:szCs w:val="22"/>
              </w:rPr>
              <w:t>.</w:t>
            </w:r>
          </w:p>
          <w:p w14:paraId="6255ADEE" w14:textId="77777777" w:rsidR="00E6294D" w:rsidRPr="000337F6" w:rsidRDefault="00E6294D" w:rsidP="00497846">
            <w:pPr>
              <w:pStyle w:val="ListParagraph"/>
              <w:numPr>
                <w:ilvl w:val="0"/>
                <w:numId w:val="11"/>
              </w:numPr>
              <w:rPr>
                <w:rFonts w:asciiTheme="minorHAnsi" w:hAnsiTheme="minorHAnsi" w:cstheme="minorBidi"/>
                <w:sz w:val="22"/>
                <w:szCs w:val="22"/>
              </w:rPr>
            </w:pPr>
            <w:r w:rsidRPr="000337F6">
              <w:rPr>
                <w:rFonts w:asciiTheme="minorHAnsi" w:hAnsiTheme="minorHAnsi" w:cstheme="minorBidi"/>
                <w:sz w:val="22"/>
                <w:szCs w:val="22"/>
              </w:rPr>
              <w:t xml:space="preserve">Provide services over and above the core GMS contract including the treatment of minor injuries and treatment room in addition to having the capability when required to provide some community, district nurse and assessment of social care </w:t>
            </w:r>
            <w:r w:rsidR="003F2DED" w:rsidRPr="000337F6">
              <w:rPr>
                <w:rFonts w:asciiTheme="minorHAnsi" w:hAnsiTheme="minorHAnsi" w:cstheme="minorBidi"/>
                <w:sz w:val="22"/>
                <w:szCs w:val="22"/>
              </w:rPr>
              <w:t>support</w:t>
            </w:r>
          </w:p>
          <w:p w14:paraId="0BFE6BD7" w14:textId="77777777" w:rsidR="000337F6" w:rsidRDefault="003F2DED" w:rsidP="00497846">
            <w:pPr>
              <w:pStyle w:val="ListParagraph"/>
              <w:numPr>
                <w:ilvl w:val="0"/>
                <w:numId w:val="11"/>
              </w:numPr>
              <w:rPr>
                <w:rFonts w:asciiTheme="minorHAnsi" w:hAnsiTheme="minorHAnsi" w:cstheme="minorBidi"/>
                <w:sz w:val="22"/>
                <w:szCs w:val="22"/>
              </w:rPr>
            </w:pPr>
            <w:r w:rsidRPr="000337F6">
              <w:rPr>
                <w:rFonts w:asciiTheme="minorHAnsi" w:hAnsiTheme="minorHAnsi" w:cstheme="minorBidi"/>
                <w:sz w:val="22"/>
                <w:szCs w:val="22"/>
              </w:rPr>
              <w:t>Has at least two members of staff recognised as first Responders</w:t>
            </w:r>
          </w:p>
          <w:p w14:paraId="3A7BCB8E" w14:textId="77777777" w:rsidR="00025931" w:rsidRDefault="00B66E2D" w:rsidP="00497846">
            <w:pPr>
              <w:pStyle w:val="ListParagraph"/>
              <w:numPr>
                <w:ilvl w:val="0"/>
                <w:numId w:val="11"/>
              </w:numPr>
              <w:rPr>
                <w:rFonts w:asciiTheme="minorHAnsi" w:hAnsiTheme="minorHAnsi" w:cstheme="minorBidi"/>
                <w:sz w:val="22"/>
                <w:szCs w:val="22"/>
              </w:rPr>
            </w:pPr>
            <w:r>
              <w:rPr>
                <w:rFonts w:asciiTheme="minorHAnsi" w:hAnsiTheme="minorHAnsi" w:cstheme="minorBidi"/>
                <w:sz w:val="22"/>
                <w:szCs w:val="22"/>
              </w:rPr>
              <w:t>Willing to embrace tele</w:t>
            </w:r>
            <w:r w:rsidR="000337F6">
              <w:rPr>
                <w:rFonts w:asciiTheme="minorHAnsi" w:hAnsiTheme="minorHAnsi" w:cstheme="minorBidi"/>
                <w:sz w:val="22"/>
                <w:szCs w:val="22"/>
              </w:rPr>
              <w:t>health  as a solution for patients to seek</w:t>
            </w:r>
            <w:r w:rsidR="00025931">
              <w:rPr>
                <w:rFonts w:asciiTheme="minorHAnsi" w:hAnsiTheme="minorHAnsi" w:cstheme="minorBidi"/>
                <w:sz w:val="22"/>
                <w:szCs w:val="22"/>
              </w:rPr>
              <w:t xml:space="preserve"> a clinical consultation as an alternative to a patient visit</w:t>
            </w:r>
            <w:r w:rsidR="000337F6">
              <w:rPr>
                <w:rFonts w:asciiTheme="minorHAnsi" w:hAnsiTheme="minorHAnsi" w:cstheme="minorBidi"/>
                <w:sz w:val="22"/>
                <w:szCs w:val="22"/>
              </w:rPr>
              <w:t xml:space="preserve"> </w:t>
            </w:r>
          </w:p>
          <w:p w14:paraId="3A3CE61F" w14:textId="77777777" w:rsidR="007310D4" w:rsidRPr="00025931" w:rsidRDefault="00025931" w:rsidP="00025931">
            <w:pPr>
              <w:pStyle w:val="ListParagraph"/>
              <w:numPr>
                <w:ilvl w:val="0"/>
                <w:numId w:val="11"/>
              </w:numPr>
              <w:rPr>
                <w:rFonts w:asciiTheme="minorHAnsi" w:hAnsiTheme="minorHAnsi" w:cstheme="minorBidi"/>
                <w:sz w:val="22"/>
                <w:szCs w:val="22"/>
              </w:rPr>
            </w:pPr>
            <w:r>
              <w:rPr>
                <w:rFonts w:asciiTheme="minorHAnsi" w:hAnsiTheme="minorHAnsi" w:cstheme="minorBidi"/>
                <w:sz w:val="22"/>
                <w:szCs w:val="22"/>
              </w:rPr>
              <w:t xml:space="preserve">Has ability to provide GMS service to specific cohorts of vulnerable patients such as looked after children </w:t>
            </w:r>
            <w:r w:rsidR="000337F6">
              <w:rPr>
                <w:rFonts w:asciiTheme="minorHAnsi" w:hAnsiTheme="minorHAnsi" w:cstheme="minorBidi"/>
                <w:sz w:val="22"/>
                <w:szCs w:val="22"/>
              </w:rPr>
              <w:t xml:space="preserve"> </w:t>
            </w:r>
            <w:r w:rsidR="00E6294D" w:rsidRPr="000337F6">
              <w:rPr>
                <w:rFonts w:asciiTheme="minorHAnsi" w:hAnsiTheme="minorHAnsi" w:cstheme="minorBidi"/>
                <w:sz w:val="22"/>
                <w:szCs w:val="22"/>
              </w:rPr>
              <w:t xml:space="preserve"> </w:t>
            </w:r>
          </w:p>
          <w:p w14:paraId="4D54FD71" w14:textId="77777777" w:rsidR="001C3578" w:rsidRPr="00231ADA" w:rsidRDefault="001C3578" w:rsidP="00F30847">
            <w:pPr>
              <w:spacing w:after="0"/>
              <w:rPr>
                <w:rFonts w:cs="Arial"/>
                <w:szCs w:val="24"/>
              </w:rPr>
            </w:pPr>
          </w:p>
          <w:p w14:paraId="508BAB25" w14:textId="77777777" w:rsidR="001C3578" w:rsidRPr="00231ADA" w:rsidRDefault="001C3578" w:rsidP="00F30847">
            <w:pPr>
              <w:spacing w:after="0"/>
              <w:rPr>
                <w:rFonts w:cs="Arial"/>
                <w:szCs w:val="24"/>
              </w:rPr>
            </w:pPr>
            <w:r w:rsidRPr="00231ADA">
              <w:rPr>
                <w:rFonts w:cs="Arial"/>
                <w:szCs w:val="24"/>
              </w:rPr>
              <w:t>3.3</w:t>
            </w:r>
            <w:r w:rsidRPr="00231ADA">
              <w:rPr>
                <w:rFonts w:cs="Arial"/>
                <w:szCs w:val="24"/>
              </w:rPr>
              <w:tab/>
            </w:r>
            <w:r w:rsidR="00025931">
              <w:rPr>
                <w:rFonts w:cs="Arial"/>
                <w:szCs w:val="24"/>
              </w:rPr>
              <w:t xml:space="preserve"> </w:t>
            </w:r>
            <w:r w:rsidRPr="00231ADA">
              <w:rPr>
                <w:rFonts w:cs="Arial"/>
                <w:szCs w:val="24"/>
              </w:rPr>
              <w:t>Population covered</w:t>
            </w:r>
          </w:p>
          <w:p w14:paraId="19319524" w14:textId="77777777" w:rsidR="001C3578" w:rsidRPr="00231ADA" w:rsidRDefault="00142935" w:rsidP="0047710D">
            <w:pPr>
              <w:spacing w:after="0"/>
              <w:ind w:left="744"/>
              <w:rPr>
                <w:rFonts w:cs="Arial"/>
                <w:szCs w:val="24"/>
              </w:rPr>
            </w:pPr>
            <w:r>
              <w:rPr>
                <w:szCs w:val="24"/>
              </w:rPr>
              <w:t>Register</w:t>
            </w:r>
            <w:r w:rsidR="00025931">
              <w:rPr>
                <w:szCs w:val="24"/>
              </w:rPr>
              <w:t xml:space="preserve">ed patients of </w:t>
            </w:r>
            <w:r w:rsidR="000317B0">
              <w:rPr>
                <w:szCs w:val="24"/>
              </w:rPr>
              <w:t xml:space="preserve">the atypical practices </w:t>
            </w:r>
            <w:r w:rsidR="00025931">
              <w:rPr>
                <w:szCs w:val="24"/>
              </w:rPr>
              <w:t>or</w:t>
            </w:r>
            <w:r w:rsidR="000317B0">
              <w:rPr>
                <w:szCs w:val="24"/>
              </w:rPr>
              <w:t xml:space="preserve"> patients requiring immediate and</w:t>
            </w:r>
            <w:r w:rsidR="00025931">
              <w:rPr>
                <w:szCs w:val="24"/>
              </w:rPr>
              <w:t xml:space="preserve"> necessary treatment where the</w:t>
            </w:r>
            <w:r w:rsidR="000317B0">
              <w:rPr>
                <w:szCs w:val="24"/>
              </w:rPr>
              <w:t xml:space="preserve"> atypical</w:t>
            </w:r>
            <w:r w:rsidR="00025931">
              <w:rPr>
                <w:szCs w:val="24"/>
              </w:rPr>
              <w:t xml:space="preserve"> practice is the nearest GP Practice.</w:t>
            </w:r>
          </w:p>
          <w:p w14:paraId="1E3352BB" w14:textId="77777777" w:rsidR="001C3578" w:rsidRPr="00231ADA" w:rsidRDefault="001C3578" w:rsidP="00F30847">
            <w:pPr>
              <w:spacing w:after="0"/>
              <w:rPr>
                <w:rFonts w:cs="Arial"/>
                <w:szCs w:val="24"/>
              </w:rPr>
            </w:pPr>
          </w:p>
          <w:p w14:paraId="31F9A2CE" w14:textId="77777777" w:rsidR="001C3578" w:rsidRPr="00231ADA" w:rsidRDefault="001C3578" w:rsidP="00F30847">
            <w:pPr>
              <w:spacing w:after="0"/>
              <w:rPr>
                <w:rFonts w:cs="Arial"/>
                <w:szCs w:val="24"/>
              </w:rPr>
            </w:pPr>
            <w:r w:rsidRPr="00231ADA">
              <w:rPr>
                <w:rFonts w:cs="Arial"/>
                <w:szCs w:val="24"/>
              </w:rPr>
              <w:t>3.4</w:t>
            </w:r>
            <w:r w:rsidRPr="00231ADA">
              <w:rPr>
                <w:rFonts w:cs="Arial"/>
                <w:szCs w:val="24"/>
              </w:rPr>
              <w:tab/>
              <w:t>Any acceptance and exclusion criteria and thresholds</w:t>
            </w:r>
          </w:p>
          <w:p w14:paraId="50E78EA1" w14:textId="77777777" w:rsidR="001C3578" w:rsidRDefault="00025931" w:rsidP="00025931">
            <w:pPr>
              <w:spacing w:after="0"/>
              <w:ind w:left="744"/>
              <w:rPr>
                <w:szCs w:val="24"/>
              </w:rPr>
            </w:pPr>
            <w:r>
              <w:rPr>
                <w:szCs w:val="24"/>
              </w:rPr>
              <w:t>No exclusions</w:t>
            </w:r>
          </w:p>
          <w:p w14:paraId="5E578F80" w14:textId="77777777" w:rsidR="004D77F6" w:rsidRPr="00231ADA" w:rsidRDefault="004D77F6" w:rsidP="00025931">
            <w:pPr>
              <w:spacing w:after="0"/>
              <w:ind w:left="744"/>
              <w:rPr>
                <w:rFonts w:cs="Arial"/>
                <w:szCs w:val="24"/>
              </w:rPr>
            </w:pPr>
          </w:p>
          <w:p w14:paraId="6029199C" w14:textId="77777777" w:rsidR="001C3578" w:rsidRPr="00A726E7" w:rsidRDefault="001C3578" w:rsidP="00F30847">
            <w:pPr>
              <w:spacing w:after="0"/>
              <w:rPr>
                <w:rFonts w:cs="Arial"/>
                <w:szCs w:val="24"/>
              </w:rPr>
            </w:pPr>
            <w:r w:rsidRPr="00231ADA">
              <w:rPr>
                <w:rFonts w:cs="Arial"/>
                <w:szCs w:val="24"/>
              </w:rPr>
              <w:t>3.5</w:t>
            </w:r>
            <w:r w:rsidRPr="00231ADA">
              <w:rPr>
                <w:rFonts w:cs="Arial"/>
                <w:szCs w:val="24"/>
              </w:rPr>
              <w:tab/>
            </w:r>
            <w:r w:rsidRPr="00A726E7">
              <w:rPr>
                <w:rFonts w:cs="Arial"/>
                <w:szCs w:val="24"/>
              </w:rPr>
              <w:t>Interdependence with other services/providers</w:t>
            </w:r>
          </w:p>
          <w:p w14:paraId="23C85608" w14:textId="77777777" w:rsidR="00025931" w:rsidRDefault="00025931" w:rsidP="00142935">
            <w:pPr>
              <w:spacing w:after="0"/>
              <w:ind w:left="744"/>
              <w:rPr>
                <w:szCs w:val="24"/>
              </w:rPr>
            </w:pPr>
            <w:r>
              <w:rPr>
                <w:szCs w:val="24"/>
              </w:rPr>
              <w:t>●Other East Lancashire GP Practices</w:t>
            </w:r>
          </w:p>
          <w:p w14:paraId="57993B02" w14:textId="77777777" w:rsidR="00025931" w:rsidRDefault="00025931" w:rsidP="00142935">
            <w:pPr>
              <w:spacing w:after="0"/>
              <w:ind w:left="744"/>
              <w:rPr>
                <w:rFonts w:ascii="Calibri" w:hAnsi="Calibri"/>
                <w:szCs w:val="24"/>
              </w:rPr>
            </w:pPr>
            <w:r>
              <w:rPr>
                <w:rFonts w:ascii="Calibri" w:hAnsi="Calibri"/>
                <w:szCs w:val="24"/>
              </w:rPr>
              <w:t>●East Lancashire Clinical Commissioning Group</w:t>
            </w:r>
          </w:p>
          <w:p w14:paraId="2C79AE38" w14:textId="77777777" w:rsidR="007B25EC" w:rsidRDefault="00025931" w:rsidP="00142935">
            <w:pPr>
              <w:spacing w:after="0"/>
              <w:ind w:left="744"/>
              <w:rPr>
                <w:szCs w:val="24"/>
              </w:rPr>
            </w:pPr>
            <w:r>
              <w:rPr>
                <w:szCs w:val="24"/>
              </w:rPr>
              <w:lastRenderedPageBreak/>
              <w:t>●</w:t>
            </w:r>
            <w:r w:rsidR="007B25EC">
              <w:rPr>
                <w:szCs w:val="24"/>
              </w:rPr>
              <w:t>East Lancashire Hospitals NHS Trust</w:t>
            </w:r>
          </w:p>
          <w:p w14:paraId="531D62CC" w14:textId="77777777" w:rsidR="007B25EC" w:rsidRDefault="007B25EC" w:rsidP="00142935">
            <w:pPr>
              <w:spacing w:after="0"/>
              <w:ind w:left="744"/>
              <w:rPr>
                <w:szCs w:val="24"/>
              </w:rPr>
            </w:pPr>
            <w:r>
              <w:rPr>
                <w:rFonts w:ascii="Calibri" w:hAnsi="Calibri"/>
                <w:szCs w:val="24"/>
              </w:rPr>
              <w:t>●</w:t>
            </w:r>
            <w:r>
              <w:rPr>
                <w:szCs w:val="24"/>
              </w:rPr>
              <w:t>Lancashire Care Foundation Trust</w:t>
            </w:r>
          </w:p>
          <w:p w14:paraId="29641EC0" w14:textId="77777777" w:rsidR="000317B0" w:rsidRDefault="00025931" w:rsidP="000317B0">
            <w:pPr>
              <w:spacing w:after="0"/>
              <w:ind w:left="744"/>
              <w:rPr>
                <w:szCs w:val="24"/>
              </w:rPr>
            </w:pPr>
            <w:r>
              <w:rPr>
                <w:szCs w:val="24"/>
              </w:rPr>
              <w:t>●</w:t>
            </w:r>
            <w:r w:rsidR="007B25EC">
              <w:rPr>
                <w:szCs w:val="24"/>
              </w:rPr>
              <w:t>Local Pharmacies</w:t>
            </w:r>
          </w:p>
          <w:p w14:paraId="00FC8226" w14:textId="77777777" w:rsidR="000317B0" w:rsidRDefault="00025931" w:rsidP="000317B0">
            <w:pPr>
              <w:spacing w:after="0"/>
              <w:ind w:left="744"/>
              <w:rPr>
                <w:szCs w:val="24"/>
              </w:rPr>
            </w:pPr>
            <w:r>
              <w:rPr>
                <w:szCs w:val="24"/>
              </w:rPr>
              <w:t>●</w:t>
            </w:r>
            <w:r w:rsidR="000317B0">
              <w:rPr>
                <w:szCs w:val="24"/>
              </w:rPr>
              <w:t>Respective GP Federation / Primary Care Organisation</w:t>
            </w:r>
          </w:p>
          <w:p w14:paraId="72198979" w14:textId="77777777" w:rsidR="000317B0" w:rsidRDefault="000317B0" w:rsidP="000317B0">
            <w:pPr>
              <w:spacing w:after="0"/>
              <w:ind w:left="744"/>
              <w:rPr>
                <w:szCs w:val="24"/>
              </w:rPr>
            </w:pPr>
            <w:r>
              <w:rPr>
                <w:szCs w:val="24"/>
              </w:rPr>
              <w:t>●NHS England</w:t>
            </w:r>
          </w:p>
          <w:p w14:paraId="58BBE476" w14:textId="77777777" w:rsidR="000317B0" w:rsidRDefault="000317B0" w:rsidP="000317B0">
            <w:pPr>
              <w:spacing w:after="0"/>
              <w:ind w:left="744"/>
              <w:rPr>
                <w:szCs w:val="24"/>
              </w:rPr>
            </w:pPr>
            <w:r>
              <w:rPr>
                <w:szCs w:val="24"/>
              </w:rPr>
              <w:t>●Voluntary / 3</w:t>
            </w:r>
            <w:r w:rsidRPr="000317B0">
              <w:rPr>
                <w:szCs w:val="24"/>
                <w:vertAlign w:val="superscript"/>
              </w:rPr>
              <w:t>rd</w:t>
            </w:r>
            <w:r w:rsidR="004D77F6">
              <w:rPr>
                <w:szCs w:val="24"/>
              </w:rPr>
              <w:t xml:space="preserve"> Sector organis</w:t>
            </w:r>
            <w:r>
              <w:rPr>
                <w:szCs w:val="24"/>
              </w:rPr>
              <w:t>ation</w:t>
            </w:r>
            <w:r w:rsidR="004D77F6">
              <w:rPr>
                <w:szCs w:val="24"/>
              </w:rPr>
              <w:t>s</w:t>
            </w:r>
            <w:r>
              <w:rPr>
                <w:szCs w:val="24"/>
              </w:rPr>
              <w:t xml:space="preserve"> nearby</w:t>
            </w:r>
          </w:p>
          <w:p w14:paraId="3B3871D6" w14:textId="77777777" w:rsidR="000317B0" w:rsidRDefault="000317B0" w:rsidP="000317B0">
            <w:pPr>
              <w:spacing w:after="0"/>
              <w:ind w:left="744"/>
              <w:rPr>
                <w:szCs w:val="24"/>
              </w:rPr>
            </w:pPr>
            <w:r>
              <w:rPr>
                <w:szCs w:val="24"/>
              </w:rPr>
              <w:t>●Local First Responders Group</w:t>
            </w:r>
          </w:p>
          <w:p w14:paraId="7F73F8F4" w14:textId="77777777" w:rsidR="00142935" w:rsidRPr="007B25EC" w:rsidRDefault="00025931" w:rsidP="000317B0">
            <w:pPr>
              <w:spacing w:after="0"/>
              <w:rPr>
                <w:szCs w:val="24"/>
              </w:rPr>
            </w:pPr>
            <w:r>
              <w:rPr>
                <w:szCs w:val="24"/>
              </w:rPr>
              <w:t xml:space="preserve"> </w:t>
            </w:r>
          </w:p>
        </w:tc>
      </w:tr>
      <w:tr w:rsidR="001C3578" w:rsidRPr="00B5552C" w14:paraId="5CF4EF65" w14:textId="77777777" w:rsidTr="005C20A6">
        <w:tc>
          <w:tcPr>
            <w:tcW w:w="9924" w:type="dxa"/>
            <w:shd w:val="clear" w:color="auto" w:fill="000000" w:themeFill="text1"/>
          </w:tcPr>
          <w:p w14:paraId="0DF3CC65" w14:textId="77777777" w:rsidR="001C3578" w:rsidRPr="005C20A6" w:rsidRDefault="001C3578" w:rsidP="00F30847">
            <w:pPr>
              <w:spacing w:after="0" w:line="276" w:lineRule="auto"/>
              <w:rPr>
                <w:rFonts w:ascii="Arial" w:hAnsi="Arial" w:cs="Arial"/>
                <w:b/>
                <w:color w:val="FFC000"/>
              </w:rPr>
            </w:pPr>
            <w:r w:rsidRPr="005C20A6">
              <w:rPr>
                <w:rFonts w:ascii="Arial" w:hAnsi="Arial" w:cs="Arial"/>
                <w:b/>
                <w:color w:val="FFC000"/>
              </w:rPr>
              <w:lastRenderedPageBreak/>
              <w:t>4.</w:t>
            </w:r>
            <w:r w:rsidRPr="005C20A6">
              <w:rPr>
                <w:rFonts w:ascii="Arial" w:hAnsi="Arial" w:cs="Arial"/>
                <w:b/>
                <w:color w:val="FFC000"/>
              </w:rPr>
              <w:tab/>
              <w:t>Applicable Service Standards</w:t>
            </w:r>
          </w:p>
        </w:tc>
      </w:tr>
      <w:tr w:rsidR="001C3578" w:rsidRPr="00512021" w14:paraId="1A9FFBC3" w14:textId="77777777" w:rsidTr="005C20A6">
        <w:tc>
          <w:tcPr>
            <w:tcW w:w="9924" w:type="dxa"/>
            <w:tcBorders>
              <w:bottom w:val="single" w:sz="4" w:space="0" w:color="auto"/>
            </w:tcBorders>
            <w:shd w:val="clear" w:color="auto" w:fill="auto"/>
          </w:tcPr>
          <w:p w14:paraId="3B90D214" w14:textId="77777777" w:rsidR="001C3578" w:rsidRPr="00231ADA" w:rsidRDefault="001C3578" w:rsidP="00F30847">
            <w:pPr>
              <w:spacing w:after="0"/>
              <w:rPr>
                <w:rFonts w:cs="Arial"/>
                <w:szCs w:val="24"/>
              </w:rPr>
            </w:pPr>
          </w:p>
          <w:p w14:paraId="3DD821AE" w14:textId="77777777" w:rsidR="001C3578" w:rsidRPr="00231ADA" w:rsidRDefault="001C3578" w:rsidP="00F30847">
            <w:pPr>
              <w:spacing w:after="0"/>
              <w:rPr>
                <w:rFonts w:cs="Arial"/>
                <w:szCs w:val="24"/>
              </w:rPr>
            </w:pPr>
            <w:r w:rsidRPr="00231ADA">
              <w:rPr>
                <w:rFonts w:cs="Arial"/>
                <w:szCs w:val="24"/>
              </w:rPr>
              <w:t>4.1</w:t>
            </w:r>
            <w:r w:rsidRPr="00231ADA">
              <w:rPr>
                <w:rFonts w:cs="Arial"/>
                <w:szCs w:val="24"/>
              </w:rPr>
              <w:tab/>
              <w:t>Applicable national standards (eg NICE)</w:t>
            </w:r>
          </w:p>
          <w:p w14:paraId="2790F6F0" w14:textId="77777777" w:rsidR="001C3578" w:rsidRPr="00231ADA" w:rsidRDefault="001C3578" w:rsidP="001C3578">
            <w:pPr>
              <w:spacing w:after="0"/>
              <w:ind w:left="744"/>
              <w:rPr>
                <w:rFonts w:eastAsiaTheme="minorHAnsi" w:cs="Times New Roman"/>
                <w:szCs w:val="24"/>
                <w:lang w:val="en-GB" w:eastAsia="en-US"/>
              </w:rPr>
            </w:pPr>
            <w:r w:rsidRPr="00231ADA">
              <w:rPr>
                <w:rFonts w:eastAsiaTheme="minorHAnsi" w:cs="Times New Roman"/>
                <w:szCs w:val="24"/>
                <w:lang w:val="en-GB" w:eastAsia="en-US"/>
              </w:rPr>
              <w:t>Service providers will comply with all relevant documents and policies including those listed below:-</w:t>
            </w:r>
          </w:p>
          <w:p w14:paraId="7F5E3026" w14:textId="77777777" w:rsidR="001C3578" w:rsidRPr="00231ADA" w:rsidRDefault="0076484A" w:rsidP="00231ADA">
            <w:pPr>
              <w:spacing w:after="0"/>
              <w:ind w:left="1440" w:hanging="720"/>
              <w:rPr>
                <w:rFonts w:eastAsiaTheme="minorHAnsi" w:cs="Times New Roman"/>
                <w:szCs w:val="24"/>
                <w:lang w:val="en-GB" w:eastAsia="en-US"/>
              </w:rPr>
            </w:pPr>
            <w:r>
              <w:rPr>
                <w:rFonts w:eastAsiaTheme="minorHAnsi" w:cs="Times New Roman"/>
                <w:szCs w:val="24"/>
                <w:lang w:val="en-GB" w:eastAsia="en-US"/>
              </w:rPr>
              <w:tab/>
              <w:t>•Health and S</w:t>
            </w:r>
            <w:r w:rsidR="001C3578" w:rsidRPr="00231ADA">
              <w:rPr>
                <w:rFonts w:eastAsiaTheme="minorHAnsi" w:cs="Times New Roman"/>
                <w:szCs w:val="24"/>
                <w:lang w:val="en-GB" w:eastAsia="en-US"/>
              </w:rPr>
              <w:t>ocial Care Act 2008</w:t>
            </w:r>
          </w:p>
          <w:p w14:paraId="5B6A0F46" w14:textId="77777777" w:rsidR="001C3578" w:rsidRPr="00231ADA" w:rsidRDefault="0076484A" w:rsidP="00231ADA">
            <w:pPr>
              <w:spacing w:after="0"/>
              <w:ind w:left="1440" w:hanging="720"/>
              <w:rPr>
                <w:rFonts w:eastAsiaTheme="minorHAnsi" w:cs="Times New Roman"/>
                <w:szCs w:val="24"/>
                <w:lang w:val="en-GB" w:eastAsia="en-US"/>
              </w:rPr>
            </w:pPr>
            <w:r>
              <w:rPr>
                <w:rFonts w:eastAsiaTheme="minorHAnsi" w:cs="Times New Roman"/>
                <w:szCs w:val="24"/>
                <w:lang w:val="en-GB" w:eastAsia="en-US"/>
              </w:rPr>
              <w:tab/>
              <w:t>•The E</w:t>
            </w:r>
            <w:r w:rsidR="001C3578" w:rsidRPr="00231ADA">
              <w:rPr>
                <w:rFonts w:eastAsiaTheme="minorHAnsi" w:cs="Times New Roman"/>
                <w:szCs w:val="24"/>
                <w:lang w:val="en-GB" w:eastAsia="en-US"/>
              </w:rPr>
              <w:t>quality Act 2010</w:t>
            </w:r>
          </w:p>
          <w:p w14:paraId="0ED8D8CF" w14:textId="77777777" w:rsidR="001C3578" w:rsidRPr="00231ADA" w:rsidRDefault="001C3578" w:rsidP="00231ADA">
            <w:pPr>
              <w:spacing w:after="0"/>
              <w:ind w:left="1440"/>
              <w:rPr>
                <w:rFonts w:eastAsiaTheme="minorHAnsi" w:cs="Times New Roman"/>
                <w:szCs w:val="24"/>
                <w:lang w:val="en-GB" w:eastAsia="en-US"/>
              </w:rPr>
            </w:pPr>
            <w:r w:rsidRPr="00231ADA">
              <w:rPr>
                <w:rFonts w:eastAsiaTheme="minorHAnsi" w:cs="Times New Roman"/>
                <w:szCs w:val="24"/>
                <w:lang w:val="en-GB" w:eastAsia="en-US"/>
              </w:rPr>
              <w:t>•The NHS Outcomes Framework</w:t>
            </w:r>
            <w:r w:rsidRPr="00231ADA">
              <w:rPr>
                <w:rFonts w:eastAsiaTheme="minorHAnsi" w:cs="Times New Roman"/>
                <w:szCs w:val="24"/>
                <w:lang w:val="en-GB" w:eastAsia="en-US"/>
              </w:rPr>
              <w:br/>
              <w:t>•Care Quality Commission – the essential standards</w:t>
            </w:r>
          </w:p>
          <w:p w14:paraId="300231A6" w14:textId="77777777" w:rsidR="001C3578" w:rsidRPr="00231ADA" w:rsidRDefault="001C3578" w:rsidP="00231ADA">
            <w:pPr>
              <w:spacing w:after="0"/>
              <w:ind w:left="1440"/>
              <w:rPr>
                <w:rFonts w:eastAsiaTheme="minorHAnsi" w:cs="Times New Roman"/>
                <w:szCs w:val="24"/>
                <w:lang w:val="en-GB" w:eastAsia="en-US"/>
              </w:rPr>
            </w:pPr>
            <w:r w:rsidRPr="00231ADA">
              <w:rPr>
                <w:rFonts w:eastAsiaTheme="minorHAnsi" w:cs="Times New Roman"/>
                <w:szCs w:val="24"/>
                <w:lang w:val="en-GB" w:eastAsia="en-US"/>
              </w:rPr>
              <w:t>•NICE Guidelines Quality Standards</w:t>
            </w:r>
          </w:p>
          <w:p w14:paraId="5F378CD6" w14:textId="77777777" w:rsidR="001C3578" w:rsidRPr="00231ADA" w:rsidRDefault="001C3578" w:rsidP="00231ADA">
            <w:pPr>
              <w:spacing w:after="0"/>
              <w:ind w:left="1440"/>
              <w:rPr>
                <w:rFonts w:eastAsiaTheme="minorHAnsi" w:cs="Times New Roman"/>
                <w:szCs w:val="24"/>
                <w:lang w:val="en-GB" w:eastAsia="en-US"/>
              </w:rPr>
            </w:pPr>
            <w:r w:rsidRPr="00231ADA">
              <w:rPr>
                <w:rFonts w:eastAsiaTheme="minorHAnsi" w:cs="Times New Roman"/>
                <w:szCs w:val="24"/>
                <w:lang w:val="en-GB" w:eastAsia="en-US"/>
              </w:rPr>
              <w:t>•The Code – Standards of Conduct, Performance and Ethics for Nurses and Midwives</w:t>
            </w:r>
          </w:p>
          <w:p w14:paraId="7122DE48" w14:textId="77777777" w:rsidR="0076484A" w:rsidRPr="00231ADA" w:rsidRDefault="001C3578" w:rsidP="0076484A">
            <w:pPr>
              <w:spacing w:after="0"/>
              <w:ind w:left="1440"/>
              <w:rPr>
                <w:rFonts w:eastAsiaTheme="minorHAnsi" w:cs="Times New Roman"/>
                <w:szCs w:val="24"/>
                <w:lang w:val="en-GB" w:eastAsia="en-US"/>
              </w:rPr>
            </w:pPr>
            <w:r w:rsidRPr="00231ADA">
              <w:rPr>
                <w:rFonts w:eastAsiaTheme="minorHAnsi" w:cs="Times New Roman"/>
                <w:szCs w:val="24"/>
                <w:lang w:val="en-GB" w:eastAsia="en-US"/>
              </w:rPr>
              <w:t>•Guidance and Requirements on health and safety including: moving and handling, fire and safety, resuscitation and infection control</w:t>
            </w:r>
          </w:p>
          <w:p w14:paraId="61B6699D" w14:textId="77777777" w:rsidR="001C3578" w:rsidRDefault="001C3578" w:rsidP="0076484A">
            <w:pPr>
              <w:spacing w:after="0"/>
              <w:ind w:left="1440"/>
              <w:rPr>
                <w:rFonts w:eastAsiaTheme="minorHAnsi" w:cs="Times New Roman"/>
                <w:szCs w:val="24"/>
                <w:lang w:val="en-GB" w:eastAsia="en-US"/>
              </w:rPr>
            </w:pPr>
            <w:r w:rsidRPr="00231ADA">
              <w:rPr>
                <w:rFonts w:eastAsiaTheme="minorHAnsi" w:cs="Times New Roman"/>
                <w:szCs w:val="24"/>
                <w:lang w:val="en-GB" w:eastAsia="en-US"/>
              </w:rPr>
              <w:t>•NICE Guidance CG139 Infection Control</w:t>
            </w:r>
          </w:p>
          <w:p w14:paraId="2DFE96CF" w14:textId="77777777" w:rsidR="0076484A" w:rsidRDefault="0076484A" w:rsidP="0076484A">
            <w:pPr>
              <w:spacing w:after="0"/>
              <w:ind w:left="1440"/>
              <w:rPr>
                <w:rFonts w:eastAsiaTheme="minorHAnsi" w:cs="Times New Roman"/>
                <w:szCs w:val="24"/>
                <w:lang w:val="en-GB" w:eastAsia="en-US"/>
              </w:rPr>
            </w:pPr>
            <w:r>
              <w:rPr>
                <w:rFonts w:eastAsiaTheme="minorHAnsi" w:cs="Times New Roman"/>
                <w:szCs w:val="24"/>
                <w:lang w:val="en-GB" w:eastAsia="en-US"/>
              </w:rPr>
              <w:t xml:space="preserve">•NHS England - Patient Registration – Standard Operating principles for Primary Medical Care (General Practice)  </w:t>
            </w:r>
          </w:p>
          <w:p w14:paraId="1AEC56D2" w14:textId="77777777" w:rsidR="001C3578" w:rsidRPr="00231ADA" w:rsidRDefault="001C3578" w:rsidP="00F30847">
            <w:pPr>
              <w:spacing w:after="0"/>
              <w:rPr>
                <w:rFonts w:cs="Arial"/>
                <w:szCs w:val="24"/>
              </w:rPr>
            </w:pPr>
          </w:p>
          <w:p w14:paraId="77CB8509" w14:textId="77777777" w:rsidR="001C3578" w:rsidRDefault="001C3578" w:rsidP="009F3946">
            <w:pPr>
              <w:spacing w:after="0"/>
              <w:ind w:left="744" w:hanging="710"/>
              <w:rPr>
                <w:rFonts w:cs="Arial"/>
                <w:szCs w:val="24"/>
              </w:rPr>
            </w:pPr>
            <w:r w:rsidRPr="00231ADA">
              <w:rPr>
                <w:rFonts w:cs="Arial"/>
                <w:szCs w:val="24"/>
              </w:rPr>
              <w:t>4.2</w:t>
            </w:r>
            <w:r w:rsidRPr="00231ADA">
              <w:rPr>
                <w:rFonts w:cs="Arial"/>
                <w:szCs w:val="24"/>
              </w:rPr>
              <w:tab/>
              <w:t>Applicable standards set out in Guidance and/or issued by a competent body (eg Royal Colleges)</w:t>
            </w:r>
          </w:p>
          <w:p w14:paraId="55BBA6CD" w14:textId="77777777" w:rsidR="001C3578" w:rsidRDefault="001C3578" w:rsidP="001C3578">
            <w:pPr>
              <w:spacing w:after="0"/>
              <w:ind w:left="743" w:firstLine="1"/>
              <w:rPr>
                <w:rFonts w:cs="Arial"/>
                <w:szCs w:val="24"/>
              </w:rPr>
            </w:pPr>
            <w:r>
              <w:rPr>
                <w:rFonts w:cs="Arial"/>
                <w:szCs w:val="24"/>
              </w:rPr>
              <w:t>4.2.1</w:t>
            </w:r>
            <w:r w:rsidRPr="00231ADA">
              <w:rPr>
                <w:rFonts w:cs="Arial"/>
                <w:szCs w:val="24"/>
              </w:rPr>
              <w:t xml:space="preserve"> </w:t>
            </w:r>
            <w:r>
              <w:rPr>
                <w:rFonts w:cs="Arial"/>
                <w:szCs w:val="24"/>
              </w:rPr>
              <w:t xml:space="preserve">     Infection Prevention</w:t>
            </w:r>
          </w:p>
          <w:p w14:paraId="1AFADC1E" w14:textId="77777777" w:rsidR="001C3578" w:rsidRPr="00231ADA" w:rsidRDefault="001C3578" w:rsidP="001C3578">
            <w:pPr>
              <w:spacing w:after="0"/>
              <w:ind w:left="1594" w:hanging="743"/>
              <w:rPr>
                <w:rFonts w:cs="Arial"/>
                <w:szCs w:val="24"/>
              </w:rPr>
            </w:pPr>
            <w:r>
              <w:rPr>
                <w:rFonts w:cs="Arial"/>
                <w:szCs w:val="24"/>
              </w:rPr>
              <w:t xml:space="preserve">             </w:t>
            </w:r>
            <w:r>
              <w:t xml:space="preserve">The service provider is required to adhere to all current </w:t>
            </w:r>
            <w:r w:rsidR="0076484A">
              <w:t xml:space="preserve">infection prevention guidance </w:t>
            </w:r>
            <w:r>
              <w:t>including the Health and Social Care Act 2008 and NICE Guidance CG139 or relevant guidance which supersedes these detailed</w:t>
            </w:r>
          </w:p>
          <w:p w14:paraId="24DB35FB" w14:textId="77777777" w:rsidR="001C3578" w:rsidRDefault="001C3578" w:rsidP="00F30847">
            <w:pPr>
              <w:spacing w:after="0"/>
              <w:ind w:left="743" w:hanging="743"/>
              <w:rPr>
                <w:rFonts w:cs="Arial"/>
                <w:szCs w:val="24"/>
              </w:rPr>
            </w:pPr>
          </w:p>
          <w:p w14:paraId="08B291D0" w14:textId="77777777" w:rsidR="001C3578" w:rsidRDefault="001C3578" w:rsidP="001C3578">
            <w:pPr>
              <w:spacing w:after="0"/>
              <w:ind w:left="1594" w:hanging="850"/>
              <w:rPr>
                <w:rFonts w:cs="Arial"/>
                <w:szCs w:val="24"/>
              </w:rPr>
            </w:pPr>
            <w:r>
              <w:rPr>
                <w:rFonts w:cs="Arial"/>
                <w:szCs w:val="24"/>
              </w:rPr>
              <w:t>4.2.2      Safeguarding</w:t>
            </w:r>
          </w:p>
          <w:p w14:paraId="459091CF" w14:textId="77777777" w:rsidR="001C3578" w:rsidRDefault="001C3578" w:rsidP="001C3578">
            <w:pPr>
              <w:spacing w:after="0"/>
              <w:ind w:left="1594"/>
              <w:rPr>
                <w:rFonts w:eastAsiaTheme="minorHAnsi" w:cs="Times New Roman"/>
                <w:szCs w:val="24"/>
                <w:lang w:val="en-GB" w:eastAsia="en-US"/>
              </w:rPr>
            </w:pPr>
            <w:r w:rsidRPr="00231ADA">
              <w:rPr>
                <w:rFonts w:eastAsiaTheme="minorHAnsi" w:cs="Times New Roman"/>
                <w:szCs w:val="24"/>
                <w:lang w:val="en-GB" w:eastAsia="en-US"/>
              </w:rPr>
              <w:t>The service provider shall devise, implement and maintain a procedure for its staff which ensures compliance with pan-Lancashire procedure for Safeguarding Children and Safeguarding Vulnerable Adults and shall supply a copy of its procedure to the Commissioner before commencement of the service.</w:t>
            </w:r>
          </w:p>
          <w:p w14:paraId="56368358" w14:textId="77777777" w:rsidR="001C3578" w:rsidRPr="00231ADA" w:rsidRDefault="001C3578" w:rsidP="00231ADA">
            <w:pPr>
              <w:spacing w:after="0"/>
              <w:rPr>
                <w:rFonts w:eastAsiaTheme="minorHAnsi" w:cs="Times New Roman"/>
                <w:szCs w:val="24"/>
                <w:lang w:val="en-GB" w:eastAsia="en-US"/>
              </w:rPr>
            </w:pPr>
          </w:p>
          <w:p w14:paraId="0459BC4F" w14:textId="77777777" w:rsidR="001C3578" w:rsidRPr="00231ADA" w:rsidRDefault="001C3578" w:rsidP="001C3578">
            <w:pPr>
              <w:spacing w:after="0"/>
              <w:ind w:left="1452" w:hanging="720"/>
              <w:rPr>
                <w:rFonts w:eastAsiaTheme="minorHAnsi" w:cs="Times New Roman"/>
                <w:szCs w:val="24"/>
                <w:lang w:val="en-GB" w:eastAsia="en-US"/>
              </w:rPr>
            </w:pPr>
            <w:r w:rsidRPr="00231ADA">
              <w:rPr>
                <w:rFonts w:eastAsiaTheme="minorHAnsi" w:cs="Times New Roman"/>
                <w:szCs w:val="24"/>
                <w:lang w:val="en-GB" w:eastAsia="en-US"/>
              </w:rPr>
              <w:t>Pan-Lancashire safeguarding children policies and procedures can be accessed at:-</w:t>
            </w:r>
          </w:p>
          <w:p w14:paraId="0199E76A" w14:textId="77777777" w:rsidR="001C3578" w:rsidRPr="00231ADA" w:rsidRDefault="005D6450" w:rsidP="001C3578">
            <w:pPr>
              <w:spacing w:after="0"/>
              <w:ind w:left="1594"/>
              <w:rPr>
                <w:rFonts w:eastAsiaTheme="minorHAnsi" w:cs="Times New Roman"/>
                <w:szCs w:val="24"/>
                <w:lang w:val="en-GB" w:eastAsia="en-US"/>
              </w:rPr>
            </w:pPr>
            <w:hyperlink r:id="rId12" w:history="1">
              <w:r w:rsidR="001C3578" w:rsidRPr="00231ADA">
                <w:rPr>
                  <w:rFonts w:eastAsiaTheme="minorHAnsi" w:cs="Times New Roman"/>
                  <w:color w:val="0000FF" w:themeColor="hyperlink"/>
                  <w:szCs w:val="24"/>
                  <w:u w:val="single"/>
                  <w:lang w:val="en-GB" w:eastAsia="en-US"/>
                </w:rPr>
                <w:t>http://panlancashirescb.proceduresonline.com/index.htm</w:t>
              </w:r>
            </w:hyperlink>
          </w:p>
          <w:p w14:paraId="084F7047" w14:textId="77777777" w:rsidR="001C3578" w:rsidRPr="00231ADA" w:rsidRDefault="001C3578" w:rsidP="00231ADA">
            <w:pPr>
              <w:spacing w:after="0"/>
              <w:rPr>
                <w:rFonts w:eastAsiaTheme="minorHAnsi" w:cs="Times New Roman"/>
                <w:szCs w:val="24"/>
                <w:lang w:val="en-GB" w:eastAsia="en-US"/>
              </w:rPr>
            </w:pPr>
          </w:p>
          <w:p w14:paraId="6A93120F" w14:textId="77777777" w:rsidR="001C3578" w:rsidRPr="00231ADA" w:rsidRDefault="001C3578" w:rsidP="00231ADA">
            <w:pPr>
              <w:spacing w:after="0"/>
              <w:rPr>
                <w:rFonts w:eastAsiaTheme="minorHAnsi" w:cs="Times New Roman"/>
                <w:szCs w:val="24"/>
                <w:lang w:val="en-GB" w:eastAsia="en-US"/>
              </w:rPr>
            </w:pPr>
            <w:r>
              <w:rPr>
                <w:rFonts w:eastAsiaTheme="minorHAnsi" w:cs="Times New Roman"/>
                <w:szCs w:val="24"/>
                <w:lang w:val="en-GB" w:eastAsia="en-US"/>
              </w:rPr>
              <w:t xml:space="preserve">             </w:t>
            </w:r>
            <w:r w:rsidRPr="00231ADA">
              <w:rPr>
                <w:rFonts w:eastAsiaTheme="minorHAnsi" w:cs="Times New Roman"/>
                <w:szCs w:val="24"/>
                <w:lang w:val="en-GB" w:eastAsia="en-US"/>
              </w:rPr>
              <w:t>Pan-Lancashire safeguarding adult policies and procedures can be accessed at:</w:t>
            </w:r>
          </w:p>
          <w:p w14:paraId="2728AC9E" w14:textId="77777777" w:rsidR="001C3578" w:rsidRDefault="001C3578" w:rsidP="001C3578">
            <w:pPr>
              <w:spacing w:after="0"/>
              <w:ind w:left="1594"/>
              <w:rPr>
                <w:rFonts w:eastAsiaTheme="minorHAnsi" w:cs="Times New Roman"/>
                <w:color w:val="0000FF" w:themeColor="hyperlink"/>
                <w:szCs w:val="24"/>
                <w:u w:val="single"/>
                <w:lang w:val="en-GB" w:eastAsia="en-US"/>
              </w:rPr>
            </w:pPr>
            <w:r>
              <w:rPr>
                <w:rFonts w:eastAsiaTheme="minorHAnsi" w:cs="Times New Roman"/>
                <w:szCs w:val="24"/>
                <w:lang w:val="en-GB" w:eastAsia="en-US"/>
              </w:rPr>
              <w:t xml:space="preserve"> </w:t>
            </w:r>
            <w:hyperlink r:id="rId13" w:history="1">
              <w:r w:rsidRPr="00231ADA">
                <w:rPr>
                  <w:rFonts w:eastAsiaTheme="minorHAnsi" w:cs="Times New Roman"/>
                  <w:color w:val="0000FF" w:themeColor="hyperlink"/>
                  <w:szCs w:val="24"/>
                  <w:u w:val="single"/>
                  <w:lang w:val="en-GB" w:eastAsia="en-US"/>
                </w:rPr>
                <w:t>http://plcsab.proceduresonline.com/index.htm</w:t>
              </w:r>
            </w:hyperlink>
          </w:p>
          <w:p w14:paraId="5E72FF6A" w14:textId="77777777" w:rsidR="001C3578" w:rsidRDefault="001C3578" w:rsidP="00F30847">
            <w:pPr>
              <w:spacing w:after="0"/>
              <w:rPr>
                <w:rFonts w:cs="Arial"/>
                <w:szCs w:val="24"/>
              </w:rPr>
            </w:pPr>
          </w:p>
          <w:p w14:paraId="7CBD736D" w14:textId="77777777" w:rsidR="001C3578" w:rsidRDefault="001C3578" w:rsidP="001C3578">
            <w:pPr>
              <w:spacing w:after="0"/>
              <w:ind w:left="1594" w:hanging="850"/>
              <w:rPr>
                <w:rFonts w:cs="Arial"/>
                <w:szCs w:val="24"/>
              </w:rPr>
            </w:pPr>
            <w:r>
              <w:rPr>
                <w:rFonts w:cs="Arial"/>
                <w:szCs w:val="24"/>
              </w:rPr>
              <w:t xml:space="preserve">4.2.3      </w:t>
            </w:r>
            <w:r>
              <w:t>The service prov</w:t>
            </w:r>
            <w:r w:rsidR="004F6460">
              <w:t>ider will comply with the lead C</w:t>
            </w:r>
            <w:r>
              <w:t>ommissioners</w:t>
            </w:r>
            <w:r w:rsidR="004F6460">
              <w:t>’</w:t>
            </w:r>
            <w:r w:rsidR="0076484A">
              <w:t xml:space="preserve"> standards for safeguarding as </w:t>
            </w:r>
            <w:r>
              <w:t>detailed in the CCGs Safeguarding policy and will provide evidence of their safeguarding arrangements on request, at a minimum this will be annually.</w:t>
            </w:r>
          </w:p>
          <w:p w14:paraId="0B020859" w14:textId="77777777" w:rsidR="001C3578" w:rsidRDefault="001C3578" w:rsidP="00F30847">
            <w:pPr>
              <w:spacing w:after="0"/>
              <w:rPr>
                <w:rFonts w:cs="Arial"/>
                <w:szCs w:val="24"/>
              </w:rPr>
            </w:pPr>
          </w:p>
          <w:p w14:paraId="6806F999" w14:textId="77777777" w:rsidR="001C3578" w:rsidRDefault="001C3578" w:rsidP="001C3578">
            <w:pPr>
              <w:spacing w:after="0"/>
              <w:ind w:left="1594" w:hanging="850"/>
              <w:rPr>
                <w:rFonts w:cs="Arial"/>
                <w:szCs w:val="24"/>
              </w:rPr>
            </w:pPr>
            <w:r>
              <w:rPr>
                <w:rFonts w:cs="Arial"/>
                <w:szCs w:val="24"/>
              </w:rPr>
              <w:lastRenderedPageBreak/>
              <w:t xml:space="preserve">4.2.4      </w:t>
            </w:r>
            <w:r>
              <w:t>All staff must be subject to Disclosure and Barring Service (DBS) Checks and Independent Safeguarding Authority (ISA) Checks as applicable to their role and undertake Safeguarding training.</w:t>
            </w:r>
          </w:p>
          <w:p w14:paraId="6EA2566B" w14:textId="77777777" w:rsidR="001C3578" w:rsidRDefault="001C3578" w:rsidP="00F30847">
            <w:pPr>
              <w:spacing w:after="0"/>
              <w:rPr>
                <w:rFonts w:cs="Arial"/>
                <w:szCs w:val="24"/>
              </w:rPr>
            </w:pPr>
          </w:p>
          <w:p w14:paraId="64DA4007" w14:textId="77777777" w:rsidR="001C3578" w:rsidRDefault="001C3578" w:rsidP="001C3578">
            <w:pPr>
              <w:spacing w:after="0"/>
              <w:ind w:left="1594" w:hanging="850"/>
              <w:rPr>
                <w:rFonts w:cs="Arial"/>
                <w:szCs w:val="24"/>
              </w:rPr>
            </w:pPr>
            <w:r>
              <w:rPr>
                <w:rFonts w:cs="Arial"/>
                <w:szCs w:val="24"/>
              </w:rPr>
              <w:t xml:space="preserve">4.2.5      </w:t>
            </w:r>
            <w:r>
              <w:t>Applicable standards set out in Guidance and / or issued by a competent body (eg Royal Colleges).</w:t>
            </w:r>
          </w:p>
          <w:p w14:paraId="23D741CF" w14:textId="77777777" w:rsidR="001C3578" w:rsidRDefault="001C3578" w:rsidP="00F30847">
            <w:pPr>
              <w:spacing w:after="0"/>
              <w:rPr>
                <w:rFonts w:cs="Arial"/>
                <w:szCs w:val="24"/>
              </w:rPr>
            </w:pPr>
          </w:p>
          <w:p w14:paraId="14045FF1" w14:textId="77777777" w:rsidR="001C3578" w:rsidRDefault="001C3578" w:rsidP="001C3578">
            <w:pPr>
              <w:spacing w:after="0"/>
              <w:ind w:left="1594" w:hanging="850"/>
              <w:rPr>
                <w:rFonts w:cs="Arial"/>
                <w:szCs w:val="24"/>
              </w:rPr>
            </w:pPr>
            <w:r>
              <w:rPr>
                <w:rFonts w:cs="Arial"/>
                <w:szCs w:val="24"/>
              </w:rPr>
              <w:t>4.2.6</w:t>
            </w:r>
            <w:r w:rsidRPr="00231ADA">
              <w:rPr>
                <w:rFonts w:cs="Arial"/>
                <w:szCs w:val="24"/>
              </w:rPr>
              <w:tab/>
              <w:t>Applicable local standards</w:t>
            </w:r>
          </w:p>
          <w:p w14:paraId="06E16DCE" w14:textId="77777777" w:rsidR="001C3578" w:rsidRPr="000317B0" w:rsidRDefault="001C3578" w:rsidP="000317B0">
            <w:pPr>
              <w:spacing w:after="0"/>
              <w:ind w:left="1594"/>
            </w:pPr>
            <w:r>
              <w:t>It is expected that the Practice will ensure all staff are given appropriate tra</w:t>
            </w:r>
            <w:r w:rsidR="000317B0">
              <w:t>ining and support in providing healthcare in both a small and isolated practice</w:t>
            </w:r>
            <w:r>
              <w:t>.</w:t>
            </w:r>
            <w:r w:rsidR="000317B0">
              <w:t xml:space="preserve"> </w:t>
            </w:r>
            <w:r w:rsidR="00A92551">
              <w:t>Prescribing should be in line with local formulary and guidelines.</w:t>
            </w:r>
            <w:r w:rsidR="007761B2">
              <w:t xml:space="preserve">  </w:t>
            </w:r>
          </w:p>
          <w:p w14:paraId="113E35BB" w14:textId="77777777" w:rsidR="00A92551" w:rsidRPr="00231ADA" w:rsidRDefault="00A92551" w:rsidP="00F30847">
            <w:pPr>
              <w:spacing w:after="0"/>
              <w:rPr>
                <w:rFonts w:cs="Arial"/>
                <w:szCs w:val="24"/>
              </w:rPr>
            </w:pPr>
          </w:p>
        </w:tc>
      </w:tr>
      <w:tr w:rsidR="001C3578" w:rsidRPr="00B5552C" w14:paraId="7B9A2058" w14:textId="77777777" w:rsidTr="005C20A6">
        <w:tc>
          <w:tcPr>
            <w:tcW w:w="9924" w:type="dxa"/>
            <w:shd w:val="clear" w:color="auto" w:fill="000000" w:themeFill="text1"/>
          </w:tcPr>
          <w:p w14:paraId="068A1D7E" w14:textId="77777777" w:rsidR="001C3578" w:rsidRPr="005C20A6" w:rsidRDefault="001C3578" w:rsidP="00F30847">
            <w:pPr>
              <w:spacing w:after="0" w:line="276" w:lineRule="auto"/>
              <w:rPr>
                <w:rFonts w:ascii="Arial" w:hAnsi="Arial" w:cs="Arial"/>
                <w:b/>
                <w:color w:val="FFC000"/>
              </w:rPr>
            </w:pPr>
            <w:r w:rsidRPr="005C20A6">
              <w:rPr>
                <w:rFonts w:ascii="Arial" w:hAnsi="Arial" w:cs="Arial"/>
                <w:b/>
                <w:color w:val="FFC000"/>
              </w:rPr>
              <w:lastRenderedPageBreak/>
              <w:t>5.</w:t>
            </w:r>
            <w:r w:rsidRPr="005C20A6">
              <w:rPr>
                <w:rFonts w:ascii="Arial" w:hAnsi="Arial" w:cs="Arial"/>
                <w:b/>
                <w:color w:val="FFC000"/>
              </w:rPr>
              <w:tab/>
              <w:t>Applicable quality requirements and CQUIN goals</w:t>
            </w:r>
          </w:p>
        </w:tc>
      </w:tr>
      <w:tr w:rsidR="001C3578" w:rsidRPr="00512021" w14:paraId="524E3DC3" w14:textId="77777777" w:rsidTr="005C20A6">
        <w:tc>
          <w:tcPr>
            <w:tcW w:w="9924" w:type="dxa"/>
            <w:tcBorders>
              <w:bottom w:val="single" w:sz="4" w:space="0" w:color="auto"/>
            </w:tcBorders>
            <w:shd w:val="clear" w:color="auto" w:fill="auto"/>
          </w:tcPr>
          <w:p w14:paraId="62D7CB4D" w14:textId="77777777" w:rsidR="001C3578" w:rsidRPr="00464835" w:rsidRDefault="001C3578" w:rsidP="00F30847">
            <w:pPr>
              <w:spacing w:after="0"/>
              <w:rPr>
                <w:rFonts w:cs="Arial"/>
                <w:szCs w:val="24"/>
              </w:rPr>
            </w:pPr>
          </w:p>
          <w:p w14:paraId="0B9F2237" w14:textId="77777777" w:rsidR="001C3578" w:rsidRPr="00464835" w:rsidRDefault="001C3578" w:rsidP="00FD389B">
            <w:pPr>
              <w:pStyle w:val="ListParagraph"/>
              <w:numPr>
                <w:ilvl w:val="1"/>
                <w:numId w:val="3"/>
              </w:numPr>
              <w:ind w:left="743" w:hanging="743"/>
              <w:rPr>
                <w:rFonts w:asciiTheme="minorHAnsi" w:hAnsiTheme="minorHAnsi" w:cs="Arial"/>
              </w:rPr>
            </w:pPr>
            <w:r w:rsidRPr="00464835">
              <w:rPr>
                <w:rFonts w:asciiTheme="minorHAnsi" w:hAnsiTheme="minorHAnsi" w:cs="Arial"/>
              </w:rPr>
              <w:t xml:space="preserve">Applicable Quality </w:t>
            </w:r>
            <w:r w:rsidR="0076484A">
              <w:rPr>
                <w:rFonts w:asciiTheme="minorHAnsi" w:hAnsiTheme="minorHAnsi" w:cs="Arial"/>
              </w:rPr>
              <w:t>Requirements</w:t>
            </w:r>
          </w:p>
          <w:p w14:paraId="72F05844" w14:textId="77777777" w:rsidR="001C3578" w:rsidRPr="00464835" w:rsidRDefault="001C3578" w:rsidP="00464835">
            <w:pPr>
              <w:pStyle w:val="ListParagraph"/>
              <w:ind w:left="743"/>
              <w:rPr>
                <w:rFonts w:asciiTheme="minorHAnsi" w:hAnsiTheme="minorHAnsi" w:cs="Arial"/>
              </w:rPr>
            </w:pPr>
            <w:r w:rsidRPr="00464835">
              <w:rPr>
                <w:rFonts w:asciiTheme="minorHAnsi" w:hAnsiTheme="minorHAnsi" w:cs="Arial"/>
              </w:rPr>
              <w:t>Annual Submission</w:t>
            </w:r>
          </w:p>
          <w:p w14:paraId="09772311" w14:textId="77777777" w:rsidR="001C3578" w:rsidRDefault="001C3578" w:rsidP="00464835">
            <w:pPr>
              <w:pStyle w:val="ListParagraph"/>
              <w:ind w:left="743"/>
              <w:rPr>
                <w:rFonts w:asciiTheme="minorHAnsi" w:hAnsiTheme="minorHAnsi"/>
              </w:rPr>
            </w:pPr>
            <w:r w:rsidRPr="00464835">
              <w:rPr>
                <w:rFonts w:asciiTheme="minorHAnsi" w:hAnsiTheme="minorHAnsi" w:cs="Arial"/>
              </w:rPr>
              <w:t>•</w:t>
            </w:r>
            <w:r w:rsidR="009C799A">
              <w:rPr>
                <w:rFonts w:asciiTheme="minorHAnsi" w:hAnsiTheme="minorHAnsi"/>
              </w:rPr>
              <w:t xml:space="preserve"> Impact report on the effects of </w:t>
            </w:r>
            <w:r w:rsidR="00725FF1">
              <w:rPr>
                <w:rFonts w:asciiTheme="minorHAnsi" w:hAnsiTheme="minorHAnsi"/>
              </w:rPr>
              <w:t>the additional payments</w:t>
            </w:r>
          </w:p>
          <w:p w14:paraId="3A88E81E" w14:textId="77777777" w:rsidR="00725FF1" w:rsidRDefault="00725FF1" w:rsidP="00725FF1">
            <w:pPr>
              <w:pStyle w:val="ListParagraph"/>
              <w:ind w:left="743"/>
              <w:rPr>
                <w:rFonts w:asciiTheme="minorHAnsi" w:hAnsiTheme="minorHAnsi"/>
              </w:rPr>
            </w:pPr>
            <w:r w:rsidRPr="00464835">
              <w:rPr>
                <w:rFonts w:asciiTheme="minorHAnsi" w:hAnsiTheme="minorHAnsi" w:cs="Arial"/>
              </w:rPr>
              <w:t>•</w:t>
            </w:r>
            <w:r>
              <w:rPr>
                <w:rFonts w:asciiTheme="minorHAnsi" w:hAnsiTheme="minorHAnsi"/>
              </w:rPr>
              <w:t xml:space="preserve"> Incident Reporting</w:t>
            </w:r>
          </w:p>
          <w:p w14:paraId="313D8F6E" w14:textId="77777777" w:rsidR="00B80BBB" w:rsidRPr="00720D90" w:rsidRDefault="00725FF1" w:rsidP="00720D90">
            <w:pPr>
              <w:pStyle w:val="ListParagraph"/>
              <w:ind w:left="743"/>
              <w:rPr>
                <w:rFonts w:asciiTheme="minorHAnsi" w:hAnsiTheme="minorHAnsi"/>
              </w:rPr>
            </w:pPr>
            <w:r w:rsidRPr="00464835">
              <w:rPr>
                <w:rFonts w:asciiTheme="minorHAnsi" w:hAnsiTheme="minorHAnsi" w:cs="Arial"/>
              </w:rPr>
              <w:t>•</w:t>
            </w:r>
            <w:r>
              <w:rPr>
                <w:rFonts w:asciiTheme="minorHAnsi" w:hAnsiTheme="minorHAnsi"/>
              </w:rPr>
              <w:t xml:space="preserve"> Staff provider assessments</w:t>
            </w:r>
            <w:r w:rsidR="00720D90">
              <w:rPr>
                <w:rFonts w:asciiTheme="minorHAnsi" w:hAnsiTheme="minorHAnsi"/>
              </w:rPr>
              <w:br/>
            </w:r>
          </w:p>
          <w:p w14:paraId="21B44235" w14:textId="77777777" w:rsidR="001C3578" w:rsidRDefault="001C3578" w:rsidP="00FD389B">
            <w:pPr>
              <w:pStyle w:val="ListParagraph"/>
              <w:numPr>
                <w:ilvl w:val="1"/>
                <w:numId w:val="3"/>
              </w:numPr>
              <w:ind w:left="743" w:hanging="743"/>
              <w:rPr>
                <w:rFonts w:asciiTheme="minorHAnsi" w:hAnsiTheme="minorHAnsi" w:cs="Arial"/>
              </w:rPr>
            </w:pPr>
            <w:r w:rsidRPr="00464835">
              <w:rPr>
                <w:rFonts w:asciiTheme="minorHAnsi" w:hAnsiTheme="minorHAnsi" w:cs="Arial"/>
              </w:rPr>
              <w:t>Applicab</w:t>
            </w:r>
            <w:r w:rsidR="0076484A">
              <w:rPr>
                <w:rFonts w:asciiTheme="minorHAnsi" w:hAnsiTheme="minorHAnsi" w:cs="Arial"/>
              </w:rPr>
              <w:t xml:space="preserve">le CQUIN goals </w:t>
            </w:r>
          </w:p>
          <w:p w14:paraId="1B5CBD87" w14:textId="77777777" w:rsidR="001C3578" w:rsidRDefault="00612206" w:rsidP="00612206">
            <w:pPr>
              <w:pStyle w:val="ListParagraph"/>
              <w:ind w:left="743"/>
              <w:rPr>
                <w:rFonts w:asciiTheme="minorHAnsi" w:hAnsiTheme="minorHAnsi" w:cs="Arial"/>
              </w:rPr>
            </w:pPr>
            <w:r>
              <w:rPr>
                <w:rFonts w:asciiTheme="minorHAnsi" w:hAnsiTheme="minorHAnsi" w:cs="Arial"/>
              </w:rPr>
              <w:t>To be agreed upon contract award if considered applicable.</w:t>
            </w:r>
          </w:p>
          <w:p w14:paraId="4FDFA874" w14:textId="77777777" w:rsidR="00B80BBB" w:rsidRPr="00612206" w:rsidRDefault="00B80BBB" w:rsidP="00612206">
            <w:pPr>
              <w:pStyle w:val="ListParagraph"/>
              <w:ind w:left="743"/>
              <w:rPr>
                <w:rFonts w:asciiTheme="minorHAnsi" w:hAnsiTheme="minorHAnsi" w:cs="Arial"/>
              </w:rPr>
            </w:pPr>
          </w:p>
        </w:tc>
      </w:tr>
      <w:tr w:rsidR="001C3578" w:rsidRPr="00B5552C" w14:paraId="1BE8E707" w14:textId="77777777" w:rsidTr="005C20A6">
        <w:tc>
          <w:tcPr>
            <w:tcW w:w="9924" w:type="dxa"/>
            <w:shd w:val="clear" w:color="auto" w:fill="000000" w:themeFill="text1"/>
          </w:tcPr>
          <w:p w14:paraId="1EA43098" w14:textId="77777777" w:rsidR="001C3578" w:rsidRPr="005C20A6" w:rsidRDefault="001C3578" w:rsidP="00F30847">
            <w:pPr>
              <w:spacing w:after="0" w:line="276" w:lineRule="auto"/>
              <w:rPr>
                <w:rFonts w:ascii="Arial" w:hAnsi="Arial" w:cs="Arial"/>
                <w:b/>
                <w:color w:val="FFC000"/>
              </w:rPr>
            </w:pPr>
            <w:r w:rsidRPr="005C20A6">
              <w:rPr>
                <w:rFonts w:ascii="Arial" w:hAnsi="Arial" w:cs="Arial"/>
                <w:b/>
                <w:color w:val="FFC000"/>
              </w:rPr>
              <w:t>6.</w:t>
            </w:r>
            <w:r w:rsidRPr="005C20A6">
              <w:rPr>
                <w:rFonts w:ascii="Arial" w:hAnsi="Arial" w:cs="Arial"/>
                <w:b/>
                <w:color w:val="FFC000"/>
              </w:rPr>
              <w:tab/>
              <w:t>Location of Provider Premises</w:t>
            </w:r>
          </w:p>
        </w:tc>
      </w:tr>
      <w:tr w:rsidR="001C3578" w:rsidRPr="00512021" w14:paraId="1BC12562" w14:textId="77777777" w:rsidTr="005C20A6">
        <w:tc>
          <w:tcPr>
            <w:tcW w:w="9924" w:type="dxa"/>
            <w:tcBorders>
              <w:bottom w:val="single" w:sz="4" w:space="0" w:color="auto"/>
            </w:tcBorders>
            <w:shd w:val="clear" w:color="auto" w:fill="auto"/>
          </w:tcPr>
          <w:p w14:paraId="50F3A6AC" w14:textId="77777777" w:rsidR="001C3578" w:rsidRPr="00040DCB" w:rsidRDefault="001C3578" w:rsidP="00F30847">
            <w:pPr>
              <w:spacing w:after="0"/>
              <w:rPr>
                <w:rFonts w:cs="Arial"/>
                <w:szCs w:val="24"/>
              </w:rPr>
            </w:pPr>
          </w:p>
          <w:p w14:paraId="2E4DF7FE" w14:textId="77777777" w:rsidR="001C3578" w:rsidRPr="00040DCB" w:rsidRDefault="001C3578" w:rsidP="00F30847">
            <w:pPr>
              <w:spacing w:after="0"/>
              <w:rPr>
                <w:rFonts w:cs="Arial"/>
                <w:szCs w:val="24"/>
              </w:rPr>
            </w:pPr>
            <w:r w:rsidRPr="00040DCB">
              <w:rPr>
                <w:rFonts w:cs="Arial"/>
                <w:szCs w:val="24"/>
              </w:rPr>
              <w:t xml:space="preserve">6.1        The Provider’s </w:t>
            </w:r>
            <w:r w:rsidR="00B80BBB">
              <w:rPr>
                <w:rFonts w:cs="Arial"/>
                <w:szCs w:val="24"/>
              </w:rPr>
              <w:t>main p</w:t>
            </w:r>
            <w:r w:rsidRPr="00040DCB">
              <w:rPr>
                <w:rFonts w:cs="Arial"/>
                <w:szCs w:val="24"/>
              </w:rPr>
              <w:t>remises are located at:</w:t>
            </w:r>
          </w:p>
          <w:p w14:paraId="002F8725" w14:textId="77777777" w:rsidR="001C3578" w:rsidRPr="00040DCB" w:rsidRDefault="001C3578" w:rsidP="00F30847">
            <w:pPr>
              <w:spacing w:after="0"/>
              <w:rPr>
                <w:rFonts w:cs="Arial"/>
                <w:szCs w:val="24"/>
              </w:rPr>
            </w:pPr>
            <w:r w:rsidRPr="00040DCB">
              <w:rPr>
                <w:szCs w:val="24"/>
              </w:rPr>
              <w:t xml:space="preserve">              Name and Address of the GP Practice to be included</w:t>
            </w:r>
          </w:p>
          <w:p w14:paraId="3A604EF0" w14:textId="77777777" w:rsidR="001C3578" w:rsidRPr="00040DCB" w:rsidRDefault="001C3578" w:rsidP="00F30847">
            <w:pPr>
              <w:spacing w:after="0"/>
              <w:rPr>
                <w:rFonts w:cs="Arial"/>
                <w:szCs w:val="24"/>
              </w:rPr>
            </w:pPr>
          </w:p>
        </w:tc>
      </w:tr>
      <w:tr w:rsidR="001C3578" w:rsidRPr="00B5552C" w14:paraId="03A029F3" w14:textId="77777777" w:rsidTr="005C20A6">
        <w:tc>
          <w:tcPr>
            <w:tcW w:w="9924" w:type="dxa"/>
            <w:shd w:val="clear" w:color="auto" w:fill="000000" w:themeFill="text1"/>
          </w:tcPr>
          <w:p w14:paraId="5BC3DA72" w14:textId="77777777" w:rsidR="001C3578" w:rsidRPr="005C20A6" w:rsidRDefault="001C3578" w:rsidP="00F30847">
            <w:pPr>
              <w:spacing w:after="0" w:line="276" w:lineRule="auto"/>
              <w:rPr>
                <w:rFonts w:ascii="Arial" w:hAnsi="Arial" w:cs="Arial"/>
                <w:b/>
                <w:color w:val="FFC000"/>
              </w:rPr>
            </w:pPr>
            <w:r w:rsidRPr="005C20A6">
              <w:rPr>
                <w:rFonts w:ascii="Arial" w:hAnsi="Arial" w:cs="Arial"/>
                <w:b/>
                <w:color w:val="FFC000"/>
              </w:rPr>
              <w:t>7.</w:t>
            </w:r>
            <w:r w:rsidRPr="005C20A6">
              <w:rPr>
                <w:rFonts w:ascii="Arial" w:hAnsi="Arial" w:cs="Arial"/>
                <w:b/>
                <w:color w:val="FFC000"/>
              </w:rPr>
              <w:tab/>
              <w:t>Individual Service User Placement</w:t>
            </w:r>
          </w:p>
        </w:tc>
      </w:tr>
      <w:tr w:rsidR="001C3578" w:rsidRPr="00512021" w14:paraId="3A8ACB67" w14:textId="77777777" w:rsidTr="005C20A6">
        <w:tc>
          <w:tcPr>
            <w:tcW w:w="9924" w:type="dxa"/>
            <w:tcBorders>
              <w:bottom w:val="single" w:sz="4" w:space="0" w:color="auto"/>
            </w:tcBorders>
            <w:shd w:val="clear" w:color="auto" w:fill="auto"/>
          </w:tcPr>
          <w:p w14:paraId="3275FD49" w14:textId="77777777" w:rsidR="001C3578" w:rsidRPr="00040DCB" w:rsidRDefault="001C3578" w:rsidP="002078C5">
            <w:pPr>
              <w:spacing w:after="0"/>
              <w:rPr>
                <w:rFonts w:cs="Arial"/>
                <w:szCs w:val="24"/>
              </w:rPr>
            </w:pPr>
          </w:p>
          <w:p w14:paraId="7382A139" w14:textId="77777777" w:rsidR="001C3578" w:rsidRPr="00040DCB" w:rsidRDefault="00B80BBB" w:rsidP="002078C5">
            <w:pPr>
              <w:spacing w:after="0"/>
              <w:rPr>
                <w:rFonts w:cs="Arial"/>
                <w:szCs w:val="24"/>
              </w:rPr>
            </w:pPr>
            <w:r>
              <w:rPr>
                <w:rFonts w:cs="Arial"/>
                <w:szCs w:val="24"/>
              </w:rPr>
              <w:t>7.1        The Provider’s main p</w:t>
            </w:r>
            <w:r w:rsidR="001C3578" w:rsidRPr="00040DCB">
              <w:rPr>
                <w:rFonts w:cs="Arial"/>
                <w:szCs w:val="24"/>
              </w:rPr>
              <w:t>remises are located at:</w:t>
            </w:r>
          </w:p>
          <w:p w14:paraId="75700163" w14:textId="77777777" w:rsidR="001C3578" w:rsidRPr="00040DCB" w:rsidRDefault="001C3578" w:rsidP="002078C5">
            <w:pPr>
              <w:spacing w:after="0"/>
              <w:rPr>
                <w:rFonts w:cs="Arial"/>
                <w:szCs w:val="24"/>
              </w:rPr>
            </w:pPr>
            <w:r w:rsidRPr="00040DCB">
              <w:rPr>
                <w:szCs w:val="24"/>
              </w:rPr>
              <w:t xml:space="preserve">              </w:t>
            </w:r>
            <w:r>
              <w:t>Available for chosen service provider</w:t>
            </w:r>
          </w:p>
          <w:p w14:paraId="64F23291" w14:textId="77777777" w:rsidR="001C3578" w:rsidRPr="00040DCB" w:rsidRDefault="001C3578" w:rsidP="002078C5">
            <w:pPr>
              <w:spacing w:after="0"/>
              <w:rPr>
                <w:rFonts w:cs="Arial"/>
                <w:szCs w:val="24"/>
              </w:rPr>
            </w:pPr>
          </w:p>
        </w:tc>
      </w:tr>
      <w:tr w:rsidR="001C3578" w:rsidRPr="00512021" w14:paraId="0B36BBB6" w14:textId="77777777" w:rsidTr="005C20A6">
        <w:tc>
          <w:tcPr>
            <w:tcW w:w="9924" w:type="dxa"/>
            <w:shd w:val="clear" w:color="auto" w:fill="000000" w:themeFill="text1"/>
          </w:tcPr>
          <w:p w14:paraId="79AA0961" w14:textId="77777777" w:rsidR="001C3578" w:rsidRPr="005C20A6" w:rsidRDefault="001C3578" w:rsidP="002078C5">
            <w:pPr>
              <w:spacing w:after="0" w:line="276" w:lineRule="auto"/>
              <w:rPr>
                <w:rFonts w:ascii="Arial" w:hAnsi="Arial" w:cs="Arial"/>
                <w:b/>
                <w:color w:val="FFC000"/>
              </w:rPr>
            </w:pPr>
            <w:r w:rsidRPr="005C20A6">
              <w:rPr>
                <w:rFonts w:ascii="Arial" w:hAnsi="Arial" w:cs="Arial"/>
                <w:b/>
                <w:color w:val="FFC000"/>
              </w:rPr>
              <w:t>8.</w:t>
            </w:r>
            <w:r w:rsidRPr="005C20A6">
              <w:rPr>
                <w:rFonts w:ascii="Arial" w:hAnsi="Arial" w:cs="Arial"/>
                <w:b/>
                <w:color w:val="FFC000"/>
              </w:rPr>
              <w:tab/>
              <w:t>Tariff</w:t>
            </w:r>
          </w:p>
        </w:tc>
      </w:tr>
      <w:tr w:rsidR="001C3578" w:rsidRPr="00512021" w14:paraId="086AA303" w14:textId="77777777" w:rsidTr="005C20A6">
        <w:tc>
          <w:tcPr>
            <w:tcW w:w="9924" w:type="dxa"/>
            <w:tcBorders>
              <w:bottom w:val="single" w:sz="4" w:space="0" w:color="auto"/>
            </w:tcBorders>
            <w:shd w:val="clear" w:color="auto" w:fill="auto"/>
          </w:tcPr>
          <w:p w14:paraId="4DCBF721" w14:textId="77777777" w:rsidR="001C3578" w:rsidRPr="00040DCB" w:rsidRDefault="001C3578" w:rsidP="002078C5">
            <w:pPr>
              <w:spacing w:after="0"/>
              <w:rPr>
                <w:rFonts w:cs="Arial"/>
                <w:szCs w:val="24"/>
              </w:rPr>
            </w:pPr>
          </w:p>
          <w:p w14:paraId="24D487CE" w14:textId="77777777" w:rsidR="001C3578" w:rsidRPr="00A71154" w:rsidRDefault="001C3578" w:rsidP="00A71154">
            <w:pPr>
              <w:spacing w:after="0"/>
              <w:ind w:left="744" w:hanging="710"/>
              <w:rPr>
                <w:rFonts w:cs="Arial"/>
                <w:szCs w:val="24"/>
              </w:rPr>
            </w:pPr>
            <w:r>
              <w:rPr>
                <w:rFonts w:cs="Arial"/>
                <w:szCs w:val="24"/>
              </w:rPr>
              <w:t>8</w:t>
            </w:r>
            <w:r w:rsidRPr="00040DCB">
              <w:rPr>
                <w:rFonts w:cs="Arial"/>
                <w:szCs w:val="24"/>
              </w:rPr>
              <w:t xml:space="preserve">.1        </w:t>
            </w:r>
            <w:r w:rsidR="00720D90">
              <w:rPr>
                <w:rFonts w:cs="Arial"/>
                <w:szCs w:val="24"/>
              </w:rPr>
              <w:t xml:space="preserve">This service specification, in recognition of the additional work pressures identified at 3.1 above affecting small and isolated GP practices and upon the fulfilment of the criteria listed at 3.2 proposes to supplement payments </w:t>
            </w:r>
            <w:r w:rsidR="00303D4F">
              <w:rPr>
                <w:rFonts w:cs="Arial"/>
                <w:szCs w:val="24"/>
              </w:rPr>
              <w:t xml:space="preserve">to </w:t>
            </w:r>
            <w:r w:rsidR="00720D90">
              <w:rPr>
                <w:rFonts w:cs="Arial"/>
                <w:szCs w:val="24"/>
              </w:rPr>
              <w:t xml:space="preserve">a qualifying practice. </w:t>
            </w:r>
            <w:r w:rsidR="004D77F6">
              <w:rPr>
                <w:rFonts w:eastAsiaTheme="minorHAnsi" w:cs="Times New Roman"/>
                <w:szCs w:val="24"/>
                <w:lang w:val="en-GB" w:eastAsia="en-US"/>
              </w:rPr>
              <w:t xml:space="preserve"> </w:t>
            </w:r>
          </w:p>
        </w:tc>
      </w:tr>
      <w:tr w:rsidR="005C20A6" w:rsidRPr="00512021" w14:paraId="53459060" w14:textId="77777777" w:rsidTr="005C20A6">
        <w:tc>
          <w:tcPr>
            <w:tcW w:w="9924" w:type="dxa"/>
            <w:shd w:val="clear" w:color="auto" w:fill="000000" w:themeFill="text1"/>
          </w:tcPr>
          <w:p w14:paraId="7DFC4DE7" w14:textId="77777777" w:rsidR="005C20A6" w:rsidRPr="005C20A6" w:rsidRDefault="005C20A6" w:rsidP="007940F0">
            <w:pPr>
              <w:spacing w:after="0" w:line="276" w:lineRule="auto"/>
              <w:rPr>
                <w:rFonts w:ascii="Arial" w:hAnsi="Arial" w:cs="Arial"/>
                <w:b/>
                <w:color w:val="FFC000"/>
              </w:rPr>
            </w:pPr>
            <w:r>
              <w:rPr>
                <w:rFonts w:ascii="Arial" w:hAnsi="Arial" w:cs="Arial"/>
                <w:b/>
                <w:color w:val="FFC000"/>
              </w:rPr>
              <w:t>9.</w:t>
            </w:r>
            <w:r>
              <w:rPr>
                <w:rFonts w:ascii="Arial" w:hAnsi="Arial" w:cs="Arial"/>
                <w:b/>
                <w:color w:val="FFC000"/>
              </w:rPr>
              <w:tab/>
              <w:t>Key Performance Indicators</w:t>
            </w:r>
          </w:p>
        </w:tc>
      </w:tr>
      <w:tr w:rsidR="005C20A6" w:rsidRPr="00512021" w14:paraId="51D73579" w14:textId="77777777" w:rsidTr="008724C2">
        <w:tc>
          <w:tcPr>
            <w:tcW w:w="9924" w:type="dxa"/>
            <w:shd w:val="clear" w:color="auto" w:fill="auto"/>
          </w:tcPr>
          <w:p w14:paraId="2EC09DA6" w14:textId="77777777" w:rsidR="005C20A6" w:rsidRPr="00040DCB" w:rsidRDefault="005C20A6" w:rsidP="007940F0">
            <w:pPr>
              <w:spacing w:after="0"/>
              <w:rPr>
                <w:rFonts w:cs="Arial"/>
                <w:szCs w:val="24"/>
              </w:rPr>
            </w:pPr>
          </w:p>
          <w:p w14:paraId="2E6CBCED" w14:textId="77777777" w:rsidR="005C20A6" w:rsidRDefault="005C20A6" w:rsidP="007940F0">
            <w:pPr>
              <w:spacing w:after="0"/>
              <w:rPr>
                <w:rFonts w:cs="Arial"/>
                <w:szCs w:val="24"/>
              </w:rPr>
            </w:pPr>
            <w:r>
              <w:rPr>
                <w:rFonts w:cs="Arial"/>
                <w:szCs w:val="24"/>
              </w:rPr>
              <w:t>9.1        The performance of the service will be measured by:</w:t>
            </w:r>
          </w:p>
          <w:p w14:paraId="1C989EDA" w14:textId="77777777" w:rsidR="009C799A" w:rsidRPr="00231ADA" w:rsidRDefault="009F3946" w:rsidP="009C799A">
            <w:pPr>
              <w:spacing w:after="0"/>
              <w:ind w:left="1440" w:hanging="720"/>
              <w:rPr>
                <w:rFonts w:eastAsiaTheme="minorHAnsi" w:cs="Times New Roman"/>
                <w:szCs w:val="24"/>
                <w:lang w:val="en-GB" w:eastAsia="en-US"/>
              </w:rPr>
            </w:pPr>
            <w:r>
              <w:rPr>
                <w:rFonts w:cs="Arial"/>
                <w:szCs w:val="24"/>
              </w:rPr>
              <w:t xml:space="preserve"> </w:t>
            </w:r>
            <w:r w:rsidR="009C799A">
              <w:rPr>
                <w:rFonts w:eastAsiaTheme="minorHAnsi" w:cs="Times New Roman"/>
                <w:szCs w:val="24"/>
                <w:lang w:val="en-GB" w:eastAsia="en-US"/>
              </w:rPr>
              <w:t xml:space="preserve">•Impact report to the CCG </w:t>
            </w:r>
          </w:p>
          <w:p w14:paraId="2612C100" w14:textId="77777777" w:rsidR="009F3946" w:rsidRPr="00231ADA" w:rsidRDefault="009C799A" w:rsidP="00725FF1">
            <w:pPr>
              <w:spacing w:after="0"/>
              <w:ind w:left="1440" w:hanging="720"/>
              <w:rPr>
                <w:rFonts w:eastAsiaTheme="minorHAnsi" w:cs="Times New Roman"/>
                <w:szCs w:val="24"/>
                <w:lang w:val="en-GB" w:eastAsia="en-US"/>
              </w:rPr>
            </w:pPr>
            <w:r>
              <w:rPr>
                <w:rFonts w:eastAsiaTheme="minorHAnsi" w:cs="Times New Roman"/>
                <w:szCs w:val="24"/>
                <w:lang w:val="en-GB" w:eastAsia="en-US"/>
              </w:rPr>
              <w:t xml:space="preserve"> </w:t>
            </w:r>
            <w:r w:rsidR="00725FF1">
              <w:rPr>
                <w:rFonts w:eastAsiaTheme="minorHAnsi" w:cs="Times New Roman"/>
                <w:szCs w:val="24"/>
                <w:lang w:val="en-GB" w:eastAsia="en-US"/>
              </w:rPr>
              <w:t>•Incident reporting</w:t>
            </w:r>
          </w:p>
          <w:p w14:paraId="3882F27E" w14:textId="77777777" w:rsidR="000317B0" w:rsidRPr="00231ADA" w:rsidRDefault="009F3946" w:rsidP="000317B0">
            <w:pPr>
              <w:spacing w:after="0"/>
              <w:rPr>
                <w:rFonts w:eastAsiaTheme="minorHAnsi" w:cs="Times New Roman"/>
                <w:szCs w:val="24"/>
                <w:lang w:val="en-GB" w:eastAsia="en-US"/>
              </w:rPr>
            </w:pPr>
            <w:r>
              <w:rPr>
                <w:rFonts w:eastAsiaTheme="minorHAnsi" w:cs="Times New Roman"/>
                <w:szCs w:val="24"/>
                <w:lang w:val="en-GB" w:eastAsia="en-US"/>
              </w:rPr>
              <w:t xml:space="preserve">              •Staff / Provider assessments</w:t>
            </w:r>
          </w:p>
          <w:p w14:paraId="129DAF48" w14:textId="77777777" w:rsidR="000317B0" w:rsidRPr="00231ADA" w:rsidRDefault="000317B0" w:rsidP="000317B0">
            <w:pPr>
              <w:spacing w:after="0"/>
              <w:rPr>
                <w:rFonts w:eastAsiaTheme="minorHAnsi" w:cs="Times New Roman"/>
                <w:szCs w:val="24"/>
                <w:lang w:val="en-GB" w:eastAsia="en-US"/>
              </w:rPr>
            </w:pPr>
            <w:r>
              <w:rPr>
                <w:rFonts w:eastAsiaTheme="minorHAnsi" w:cs="Times New Roman"/>
                <w:szCs w:val="24"/>
                <w:lang w:val="en-GB" w:eastAsia="en-US"/>
              </w:rPr>
              <w:t xml:space="preserve">              •Practice list sizes</w:t>
            </w:r>
          </w:p>
          <w:p w14:paraId="465A1906" w14:textId="77777777" w:rsidR="000317B0" w:rsidRPr="00231ADA" w:rsidRDefault="000317B0" w:rsidP="000317B0">
            <w:pPr>
              <w:spacing w:after="0"/>
              <w:ind w:left="1440" w:hanging="720"/>
              <w:rPr>
                <w:rFonts w:eastAsiaTheme="minorHAnsi" w:cs="Times New Roman"/>
                <w:szCs w:val="24"/>
                <w:lang w:val="en-GB" w:eastAsia="en-US"/>
              </w:rPr>
            </w:pPr>
            <w:r>
              <w:rPr>
                <w:rFonts w:eastAsiaTheme="minorHAnsi" w:cs="Times New Roman"/>
                <w:szCs w:val="24"/>
                <w:lang w:val="en-GB" w:eastAsia="en-US"/>
              </w:rPr>
              <w:t xml:space="preserve"> •Availability of local services</w:t>
            </w:r>
          </w:p>
          <w:p w14:paraId="097EDA0B" w14:textId="77777777" w:rsidR="000317B0" w:rsidRDefault="000317B0" w:rsidP="000317B0">
            <w:pPr>
              <w:spacing w:after="0"/>
              <w:rPr>
                <w:rFonts w:eastAsiaTheme="minorHAnsi" w:cs="Times New Roman"/>
                <w:szCs w:val="24"/>
                <w:lang w:val="en-GB" w:eastAsia="en-US"/>
              </w:rPr>
            </w:pPr>
            <w:r>
              <w:rPr>
                <w:rFonts w:eastAsiaTheme="minorHAnsi" w:cs="Times New Roman"/>
                <w:szCs w:val="24"/>
                <w:lang w:val="en-GB" w:eastAsia="en-US"/>
              </w:rPr>
              <w:t xml:space="preserve">              •Continued assessment of isolated status</w:t>
            </w:r>
          </w:p>
          <w:p w14:paraId="627F89D2" w14:textId="77777777" w:rsidR="00612206" w:rsidRPr="00612206" w:rsidRDefault="00612206" w:rsidP="007940F0">
            <w:pPr>
              <w:spacing w:after="0"/>
              <w:rPr>
                <w:rFonts w:eastAsiaTheme="minorHAnsi" w:cs="Times New Roman"/>
                <w:szCs w:val="24"/>
                <w:lang w:val="en-GB" w:eastAsia="en-US"/>
              </w:rPr>
            </w:pPr>
          </w:p>
        </w:tc>
      </w:tr>
    </w:tbl>
    <w:p w14:paraId="482B4A48" w14:textId="77777777" w:rsidR="003207FA" w:rsidRPr="009D045D" w:rsidRDefault="003207FA">
      <w:pPr>
        <w:rPr>
          <w:rFonts w:ascii="Arial" w:hAnsi="Arial" w:cs="Arial"/>
          <w:sz w:val="20"/>
        </w:rPr>
      </w:pPr>
    </w:p>
    <w:sectPr w:rsidR="003207FA" w:rsidRPr="009D045D" w:rsidSect="00A92551">
      <w:headerReference w:type="even" r:id="rId14"/>
      <w:headerReference w:type="default" r:id="rId15"/>
      <w:footerReference w:type="even" r:id="rId16"/>
      <w:footerReference w:type="default" r:id="rId17"/>
      <w:headerReference w:type="first" r:id="rId18"/>
      <w:footerReference w:type="first" r:id="rId19"/>
      <w:pgSz w:w="11906" w:h="16838"/>
      <w:pgMar w:top="102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1905" w14:textId="77777777" w:rsidR="005C20A6" w:rsidRDefault="005C20A6" w:rsidP="005C20A6">
      <w:pPr>
        <w:spacing w:after="0"/>
      </w:pPr>
      <w:r>
        <w:separator/>
      </w:r>
    </w:p>
  </w:endnote>
  <w:endnote w:type="continuationSeparator" w:id="0">
    <w:p w14:paraId="7644B45F" w14:textId="77777777" w:rsidR="005C20A6" w:rsidRDefault="005C20A6" w:rsidP="005C20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B8883" w14:textId="77777777" w:rsidR="00A66361" w:rsidRDefault="00A66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109648"/>
      <w:docPartObj>
        <w:docPartGallery w:val="Page Numbers (Bottom of Page)"/>
        <w:docPartUnique/>
      </w:docPartObj>
    </w:sdtPr>
    <w:sdtEndPr>
      <w:rPr>
        <w:noProof/>
      </w:rPr>
    </w:sdtEndPr>
    <w:sdtContent>
      <w:p w14:paraId="03595089" w14:textId="77777777" w:rsidR="005C20A6" w:rsidRDefault="005C20A6">
        <w:pPr>
          <w:pStyle w:val="Footer"/>
          <w:jc w:val="right"/>
        </w:pPr>
        <w:r>
          <w:fldChar w:fldCharType="begin"/>
        </w:r>
        <w:r>
          <w:instrText xml:space="preserve"> PAGE   \* MERGEFORMAT </w:instrText>
        </w:r>
        <w:r>
          <w:fldChar w:fldCharType="separate"/>
        </w:r>
        <w:r w:rsidR="00091AF6">
          <w:rPr>
            <w:noProof/>
          </w:rPr>
          <w:t>4</w:t>
        </w:r>
        <w:r>
          <w:rPr>
            <w:noProof/>
          </w:rPr>
          <w:fldChar w:fldCharType="end"/>
        </w:r>
      </w:p>
    </w:sdtContent>
  </w:sdt>
  <w:p w14:paraId="14734674" w14:textId="77777777" w:rsidR="005C20A6" w:rsidRDefault="005C2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53E83" w14:textId="77777777" w:rsidR="00A66361" w:rsidRDefault="00A66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D9881" w14:textId="77777777" w:rsidR="005C20A6" w:rsidRDefault="005C20A6" w:rsidP="005C20A6">
      <w:pPr>
        <w:spacing w:after="0"/>
      </w:pPr>
      <w:r>
        <w:separator/>
      </w:r>
    </w:p>
  </w:footnote>
  <w:footnote w:type="continuationSeparator" w:id="0">
    <w:p w14:paraId="04513016" w14:textId="77777777" w:rsidR="005C20A6" w:rsidRDefault="005C20A6" w:rsidP="005C20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A53C0" w14:textId="77777777" w:rsidR="00A66361" w:rsidRDefault="00A66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784208"/>
      <w:docPartObj>
        <w:docPartGallery w:val="Watermarks"/>
        <w:docPartUnique/>
      </w:docPartObj>
    </w:sdtPr>
    <w:sdtEndPr/>
    <w:sdtContent>
      <w:p w14:paraId="4FB40550" w14:textId="77777777" w:rsidR="00A66361" w:rsidRDefault="005D6450">
        <w:pPr>
          <w:pStyle w:val="Header"/>
        </w:pPr>
        <w:r>
          <w:rPr>
            <w:noProof/>
            <w:lang w:eastAsia="zh-TW"/>
          </w:rPr>
          <w:pict w14:anchorId="7C7BD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AB56" w14:textId="77777777" w:rsidR="00A66361" w:rsidRDefault="00A66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3CD2"/>
    <w:multiLevelType w:val="hybridMultilevel"/>
    <w:tmpl w:val="3D08CECA"/>
    <w:lvl w:ilvl="0" w:tplc="9DD69D54">
      <w:start w:val="1"/>
      <w:numFmt w:val="lowerLetter"/>
      <w:lvlText w:val="%1)"/>
      <w:lvlJc w:val="left"/>
      <w:pPr>
        <w:ind w:left="1644" w:hanging="360"/>
      </w:pPr>
      <w:rPr>
        <w:rFonts w:hint="default"/>
      </w:r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 w15:restartNumberingAfterBreak="0">
    <w:nsid w:val="0DAD5D38"/>
    <w:multiLevelType w:val="hybridMultilevel"/>
    <w:tmpl w:val="72EE7144"/>
    <w:lvl w:ilvl="0" w:tplc="9A40F8B2">
      <w:start w:val="1"/>
      <w:numFmt w:val="lowerLetter"/>
      <w:lvlText w:val="%1)"/>
      <w:lvlJc w:val="left"/>
      <w:pPr>
        <w:ind w:left="1104" w:hanging="360"/>
      </w:pPr>
      <w:rPr>
        <w:rFonts w:asciiTheme="minorHAnsi" w:hAnsiTheme="minorHAnsi" w:cstheme="minorBidi" w:hint="default"/>
        <w:sz w:val="24"/>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2"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B0923"/>
    <w:multiLevelType w:val="hybridMultilevel"/>
    <w:tmpl w:val="658070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335925"/>
    <w:multiLevelType w:val="hybridMultilevel"/>
    <w:tmpl w:val="7158A220"/>
    <w:lvl w:ilvl="0" w:tplc="4C5A75F4">
      <w:start w:val="1"/>
      <w:numFmt w:val="lowerLetter"/>
      <w:lvlText w:val="%1)"/>
      <w:lvlJc w:val="left"/>
      <w:pPr>
        <w:ind w:left="1710" w:hanging="360"/>
      </w:pPr>
      <w:rPr>
        <w:rFonts w:cs="Arial" w:hint="default"/>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5" w15:restartNumberingAfterBreak="0">
    <w:nsid w:val="276C0A0C"/>
    <w:multiLevelType w:val="hybridMultilevel"/>
    <w:tmpl w:val="245A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A50397"/>
    <w:multiLevelType w:val="multilevel"/>
    <w:tmpl w:val="EE500852"/>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 w15:restartNumberingAfterBreak="0">
    <w:nsid w:val="4D910B0D"/>
    <w:multiLevelType w:val="hybridMultilevel"/>
    <w:tmpl w:val="2DB84E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9315D0"/>
    <w:multiLevelType w:val="hybridMultilevel"/>
    <w:tmpl w:val="78B40A1C"/>
    <w:lvl w:ilvl="0" w:tplc="54884264">
      <w:start w:val="1"/>
      <w:numFmt w:val="lowerLetter"/>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0"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086653"/>
    <w:multiLevelType w:val="multilevel"/>
    <w:tmpl w:val="B47EB3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10"/>
  </w:num>
  <w:num w:numId="4">
    <w:abstractNumId w:val="11"/>
  </w:num>
  <w:num w:numId="5">
    <w:abstractNumId w:val="5"/>
  </w:num>
  <w:num w:numId="6">
    <w:abstractNumId w:val="8"/>
  </w:num>
  <w:num w:numId="7">
    <w:abstractNumId w:val="1"/>
  </w:num>
  <w:num w:numId="8">
    <w:abstractNumId w:val="0"/>
  </w:num>
  <w:num w:numId="9">
    <w:abstractNumId w:val="3"/>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3MjU3MrAwMDSxNDJS0lEKTi0uzszPAykwrAUA91cVpywAAAA="/>
  </w:docVars>
  <w:rsids>
    <w:rsidRoot w:val="00FD389B"/>
    <w:rsid w:val="00003EFA"/>
    <w:rsid w:val="00025931"/>
    <w:rsid w:val="000317B0"/>
    <w:rsid w:val="000337F6"/>
    <w:rsid w:val="00040DCB"/>
    <w:rsid w:val="00063136"/>
    <w:rsid w:val="00091AF6"/>
    <w:rsid w:val="0013474D"/>
    <w:rsid w:val="00142935"/>
    <w:rsid w:val="001522CF"/>
    <w:rsid w:val="00176DE8"/>
    <w:rsid w:val="00191D9B"/>
    <w:rsid w:val="001C3578"/>
    <w:rsid w:val="00220E54"/>
    <w:rsid w:val="00231ADA"/>
    <w:rsid w:val="002A661F"/>
    <w:rsid w:val="002B056A"/>
    <w:rsid w:val="002D6525"/>
    <w:rsid w:val="00303D4F"/>
    <w:rsid w:val="003207FA"/>
    <w:rsid w:val="003408AB"/>
    <w:rsid w:val="00391E36"/>
    <w:rsid w:val="003D2C6C"/>
    <w:rsid w:val="003D7419"/>
    <w:rsid w:val="003E303F"/>
    <w:rsid w:val="003F2DED"/>
    <w:rsid w:val="00464835"/>
    <w:rsid w:val="00473A4E"/>
    <w:rsid w:val="0047710D"/>
    <w:rsid w:val="00497846"/>
    <w:rsid w:val="004A4BBE"/>
    <w:rsid w:val="004D77F6"/>
    <w:rsid w:val="004D7F33"/>
    <w:rsid w:val="004F6460"/>
    <w:rsid w:val="0055319F"/>
    <w:rsid w:val="005A1D3D"/>
    <w:rsid w:val="005C20A6"/>
    <w:rsid w:val="005D6450"/>
    <w:rsid w:val="00612206"/>
    <w:rsid w:val="006720C8"/>
    <w:rsid w:val="006A0B7C"/>
    <w:rsid w:val="006A7ADA"/>
    <w:rsid w:val="006B361C"/>
    <w:rsid w:val="006B7944"/>
    <w:rsid w:val="006C0539"/>
    <w:rsid w:val="00720D90"/>
    <w:rsid w:val="00725FF1"/>
    <w:rsid w:val="007310D4"/>
    <w:rsid w:val="007343DC"/>
    <w:rsid w:val="0074366A"/>
    <w:rsid w:val="0076484A"/>
    <w:rsid w:val="007761B2"/>
    <w:rsid w:val="007B25EC"/>
    <w:rsid w:val="007D1C16"/>
    <w:rsid w:val="007F2088"/>
    <w:rsid w:val="00816DC6"/>
    <w:rsid w:val="008724C2"/>
    <w:rsid w:val="008D27F3"/>
    <w:rsid w:val="00951ADA"/>
    <w:rsid w:val="00951D9D"/>
    <w:rsid w:val="00997B2F"/>
    <w:rsid w:val="009B684D"/>
    <w:rsid w:val="009C799A"/>
    <w:rsid w:val="009D045D"/>
    <w:rsid w:val="009F275E"/>
    <w:rsid w:val="009F3946"/>
    <w:rsid w:val="00A66361"/>
    <w:rsid w:val="00A71154"/>
    <w:rsid w:val="00A726E7"/>
    <w:rsid w:val="00A92551"/>
    <w:rsid w:val="00A93EE8"/>
    <w:rsid w:val="00AC0D17"/>
    <w:rsid w:val="00AC4CF9"/>
    <w:rsid w:val="00AC7B6B"/>
    <w:rsid w:val="00AE2D6C"/>
    <w:rsid w:val="00B618DA"/>
    <w:rsid w:val="00B61921"/>
    <w:rsid w:val="00B66E2D"/>
    <w:rsid w:val="00B80BBB"/>
    <w:rsid w:val="00BC49C2"/>
    <w:rsid w:val="00BD5BE8"/>
    <w:rsid w:val="00C04EBD"/>
    <w:rsid w:val="00C5354E"/>
    <w:rsid w:val="00C93A66"/>
    <w:rsid w:val="00CD4880"/>
    <w:rsid w:val="00D51630"/>
    <w:rsid w:val="00D843C7"/>
    <w:rsid w:val="00DB4529"/>
    <w:rsid w:val="00DD590C"/>
    <w:rsid w:val="00E6294D"/>
    <w:rsid w:val="00EA3F55"/>
    <w:rsid w:val="00FD389B"/>
    <w:rsid w:val="00FD6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65BE4FF2"/>
  <w15:docId w15:val="{4C0B4C9F-5A76-4E26-85DC-62535E22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9B"/>
    <w:pPr>
      <w:spacing w:line="240" w:lineRule="auto"/>
    </w:pPr>
    <w:rPr>
      <w:rFonts w:eastAsiaTheme="minorEastAsia"/>
      <w:sz w:val="24"/>
      <w:szCs w:val="20"/>
      <w:lang w:val="en-US" w:eastAsia="ja-JP"/>
    </w:rPr>
  </w:style>
  <w:style w:type="paragraph" w:styleId="Heading1">
    <w:name w:val="heading 1"/>
    <w:basedOn w:val="Normal"/>
    <w:next w:val="Normal"/>
    <w:link w:val="Heading1Char"/>
    <w:uiPriority w:val="9"/>
    <w:qFormat/>
    <w:rsid w:val="00FD389B"/>
    <w:pPr>
      <w:spacing w:after="0" w:line="660" w:lineRule="exact"/>
      <w:jc w:val="center"/>
      <w:outlineLvl w:val="0"/>
    </w:pPr>
    <w:rPr>
      <w:rFonts w:ascii="Arial" w:hAnsi="Arial" w:cs="Arial"/>
      <w:b/>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89B"/>
    <w:rPr>
      <w:rFonts w:ascii="Arial" w:eastAsiaTheme="minorEastAsia" w:hAnsi="Arial" w:cs="Arial"/>
      <w:b/>
      <w:sz w:val="28"/>
      <w:szCs w:val="28"/>
    </w:rPr>
  </w:style>
  <w:style w:type="table" w:styleId="TableGrid">
    <w:name w:val="Table Grid"/>
    <w:basedOn w:val="TableNormal"/>
    <w:uiPriority w:val="59"/>
    <w:rsid w:val="00FD38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89B"/>
    <w:pPr>
      <w:spacing w:after="0"/>
      <w:ind w:left="720"/>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DD59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90C"/>
    <w:rPr>
      <w:rFonts w:ascii="Tahoma" w:eastAsiaTheme="minorEastAsia" w:hAnsi="Tahoma" w:cs="Tahoma"/>
      <w:sz w:val="16"/>
      <w:szCs w:val="16"/>
      <w:lang w:val="en-US" w:eastAsia="ja-JP"/>
    </w:rPr>
  </w:style>
  <w:style w:type="paragraph" w:styleId="Header">
    <w:name w:val="header"/>
    <w:basedOn w:val="Normal"/>
    <w:link w:val="HeaderChar"/>
    <w:uiPriority w:val="99"/>
    <w:unhideWhenUsed/>
    <w:rsid w:val="005C20A6"/>
    <w:pPr>
      <w:tabs>
        <w:tab w:val="center" w:pos="4513"/>
        <w:tab w:val="right" w:pos="9026"/>
      </w:tabs>
      <w:spacing w:after="0"/>
    </w:pPr>
  </w:style>
  <w:style w:type="character" w:customStyle="1" w:styleId="HeaderChar">
    <w:name w:val="Header Char"/>
    <w:basedOn w:val="DefaultParagraphFont"/>
    <w:link w:val="Header"/>
    <w:uiPriority w:val="99"/>
    <w:rsid w:val="005C20A6"/>
    <w:rPr>
      <w:rFonts w:eastAsiaTheme="minorEastAsia"/>
      <w:sz w:val="24"/>
      <w:szCs w:val="20"/>
      <w:lang w:val="en-US" w:eastAsia="ja-JP"/>
    </w:rPr>
  </w:style>
  <w:style w:type="paragraph" w:styleId="Footer">
    <w:name w:val="footer"/>
    <w:basedOn w:val="Normal"/>
    <w:link w:val="FooterChar"/>
    <w:uiPriority w:val="99"/>
    <w:unhideWhenUsed/>
    <w:rsid w:val="005C20A6"/>
    <w:pPr>
      <w:tabs>
        <w:tab w:val="center" w:pos="4513"/>
        <w:tab w:val="right" w:pos="9026"/>
      </w:tabs>
      <w:spacing w:after="0"/>
    </w:pPr>
  </w:style>
  <w:style w:type="character" w:customStyle="1" w:styleId="FooterChar">
    <w:name w:val="Footer Char"/>
    <w:basedOn w:val="DefaultParagraphFont"/>
    <w:link w:val="Footer"/>
    <w:uiPriority w:val="99"/>
    <w:rsid w:val="005C20A6"/>
    <w:rPr>
      <w:rFonts w:eastAsiaTheme="minorEastAsia"/>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lcsab.proceduresonline.com/index.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panlancashirescb.proceduresonline.com/index.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A599A82D97D49A82CE401791AFF1F" ma:contentTypeVersion="139" ma:contentTypeDescription="Create a new document." ma:contentTypeScope="" ma:versionID="62633d87f341ed02543e04cc05c4b6de">
  <xsd:schema xmlns:xsd="http://www.w3.org/2001/XMLSchema" xmlns:xs="http://www.w3.org/2001/XMLSchema" xmlns:p="http://schemas.microsoft.com/office/2006/metadata/properties" xmlns:ns2="12819eb2-9bf4-42fd-bb60-dc9256fca03b" xmlns:ns3="a9b73d76-c8b3-44a1-a35d-816fd3c11910" targetNamespace="http://schemas.microsoft.com/office/2006/metadata/properties" ma:root="true" ma:fieldsID="9a79da0b95752a7df131013b0f54eea4" ns2:_="" ns3:_="">
    <xsd:import namespace="12819eb2-9bf4-42fd-bb60-dc9256fca03b"/>
    <xsd:import namespace="a9b73d76-c8b3-44a1-a35d-816fd3c119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9eb2-9bf4-42fd-bb60-dc9256fca0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73d76-c8b3-44a1-a35d-816fd3c119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2819eb2-9bf4-42fd-bb60-dc9256fca03b">PROC-472113121-256191</_dlc_DocId>
    <_dlc_DocIdUrl xmlns="12819eb2-9bf4-42fd-bb60-dc9256fca03b">
      <Url>https://csucloudservices.sharepoint.com/teams/proc/_layouts/15/DocIdRedir.aspx?ID=PROC-472113121-256191</Url>
      <Description>PROC-472113121-256191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47A7-5AA9-415B-8304-59D1E1540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9eb2-9bf4-42fd-bb60-dc9256fca03b"/>
    <ds:schemaRef ds:uri="a9b73d76-c8b3-44a1-a35d-816fd3c1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36947-51A2-41DE-9FEF-5719AB2200F7}">
  <ds:schemaRefs>
    <ds:schemaRef ds:uri="http://schemas.microsoft.com/sharepoint/events"/>
  </ds:schemaRefs>
</ds:datastoreItem>
</file>

<file path=customXml/itemProps3.xml><?xml version="1.0" encoding="utf-8"?>
<ds:datastoreItem xmlns:ds="http://schemas.openxmlformats.org/officeDocument/2006/customXml" ds:itemID="{C6F8FC18-14CD-438C-B181-1629EA54E98D}">
  <ds:schemaRefs>
    <ds:schemaRef ds:uri="http://schemas.microsoft.com/sharepoint/v3/contenttype/forms"/>
  </ds:schemaRefs>
</ds:datastoreItem>
</file>

<file path=customXml/itemProps4.xml><?xml version="1.0" encoding="utf-8"?>
<ds:datastoreItem xmlns:ds="http://schemas.openxmlformats.org/officeDocument/2006/customXml" ds:itemID="{DEC85813-0698-4136-BFF4-CDBA974EAB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3C46393-94FA-44FB-AA0F-CE2520F2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10957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Mather Fiona (LCSU)</dc:creator>
  <cp:lastModifiedBy>Paulo Cabral (MLCSU)</cp:lastModifiedBy>
  <cp:revision>2</cp:revision>
  <cp:lastPrinted>2017-03-13T08:46:00Z</cp:lastPrinted>
  <dcterms:created xsi:type="dcterms:W3CDTF">2019-08-08T08:16:00Z</dcterms:created>
  <dcterms:modified xsi:type="dcterms:W3CDTF">2019-08-08T08:16:00Z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0x010100901A599A82D97D49A82CE401791AFF1F</vt:lpwstr>
  </property>
  <property fmtid="{D5CDD505-2E9C-101B-9397-08002B2CF9AE}" pid="3" name="_dlc_DocIdItemGuid">
    <vt:lpwstr>fadd4255-6328-4eb8-840e-00f036f590cd</vt:lpwstr>
  </property>
</Properties>
</file>