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FE" w:rsidRDefault="00A562FE" w:rsidP="00A562FE">
      <w:pPr>
        <w:rPr>
          <w:rFonts w:ascii="Arial" w:hAnsi="Arial" w:cs="Arial"/>
          <w:b/>
          <w:sz w:val="32"/>
          <w:szCs w:val="32"/>
        </w:rPr>
      </w:pPr>
      <w:bookmarkStart w:id="0" w:name="_GoBack"/>
      <w:bookmarkEnd w:id="0"/>
    </w:p>
    <w:p w:rsidR="00A562FE" w:rsidRDefault="00A562FE" w:rsidP="00A562FE">
      <w:pPr>
        <w:jc w:val="center"/>
        <w:rPr>
          <w:rFonts w:ascii="Arial" w:hAnsi="Arial" w:cs="Arial"/>
          <w:b/>
          <w:sz w:val="32"/>
          <w:szCs w:val="32"/>
        </w:rPr>
      </w:pPr>
    </w:p>
    <w:p w:rsidR="00A562FE" w:rsidRDefault="00A562FE" w:rsidP="00A562FE">
      <w:pPr>
        <w:jc w:val="center"/>
        <w:rPr>
          <w:rFonts w:ascii="Arial" w:hAnsi="Arial" w:cs="Arial"/>
          <w:b/>
          <w:sz w:val="32"/>
          <w:szCs w:val="32"/>
        </w:rPr>
      </w:pPr>
      <w:r>
        <w:rPr>
          <w:rFonts w:ascii="Arial" w:hAnsi="Arial" w:cs="Arial"/>
          <w:b/>
          <w:sz w:val="32"/>
          <w:szCs w:val="32"/>
        </w:rPr>
        <w:t>Proposal document</w:t>
      </w:r>
    </w:p>
    <w:p w:rsidR="00A562FE" w:rsidRDefault="00A562FE" w:rsidP="00A562FE">
      <w:pPr>
        <w:jc w:val="center"/>
        <w:rPr>
          <w:rFonts w:ascii="Arial" w:hAnsi="Arial" w:cs="Arial"/>
          <w:b/>
          <w:sz w:val="32"/>
          <w:szCs w:val="32"/>
        </w:rPr>
      </w:pPr>
    </w:p>
    <w:p w:rsidR="00A562FE" w:rsidRDefault="00A562FE" w:rsidP="00A562FE">
      <w:pPr>
        <w:jc w:val="center"/>
        <w:rPr>
          <w:rFonts w:ascii="Arial" w:hAnsi="Arial" w:cs="Arial"/>
          <w:b/>
          <w:sz w:val="32"/>
          <w:szCs w:val="32"/>
        </w:rPr>
      </w:pPr>
    </w:p>
    <w:p w:rsidR="00A562FE" w:rsidRDefault="00A562FE" w:rsidP="00A562FE">
      <w:pPr>
        <w:jc w:val="center"/>
        <w:rPr>
          <w:rFonts w:ascii="Arial" w:hAnsi="Arial" w:cs="Arial"/>
          <w:b/>
          <w:sz w:val="40"/>
          <w:szCs w:val="40"/>
        </w:rPr>
      </w:pPr>
    </w:p>
    <w:p w:rsidR="00A562FE" w:rsidRDefault="00A562FE" w:rsidP="00A562FE">
      <w:pPr>
        <w:jc w:val="center"/>
        <w:rPr>
          <w:rFonts w:ascii="Arial" w:hAnsi="Arial" w:cs="Arial"/>
          <w:b/>
          <w:sz w:val="40"/>
          <w:szCs w:val="40"/>
        </w:rPr>
      </w:pPr>
    </w:p>
    <w:p w:rsidR="00A562FE" w:rsidRDefault="00A562FE" w:rsidP="00A562FE">
      <w:pPr>
        <w:jc w:val="center"/>
        <w:rPr>
          <w:rFonts w:ascii="Arial" w:hAnsi="Arial" w:cs="Arial"/>
          <w:b/>
          <w:sz w:val="40"/>
          <w:szCs w:val="40"/>
        </w:rPr>
      </w:pPr>
    </w:p>
    <w:p w:rsidR="00A562FE" w:rsidRPr="00AF59C8" w:rsidRDefault="00A562FE" w:rsidP="00A562FE">
      <w:pPr>
        <w:jc w:val="center"/>
        <w:rPr>
          <w:rFonts w:ascii="Arial" w:hAnsi="Arial" w:cs="Arial"/>
          <w:b/>
          <w:sz w:val="40"/>
          <w:szCs w:val="40"/>
        </w:rPr>
      </w:pPr>
      <w:r w:rsidRPr="00AF59C8">
        <w:rPr>
          <w:rFonts w:ascii="Arial" w:hAnsi="Arial" w:cs="Arial"/>
          <w:b/>
          <w:sz w:val="40"/>
          <w:szCs w:val="40"/>
        </w:rPr>
        <w:t>Advice Service Provision in</w:t>
      </w:r>
      <w:r>
        <w:rPr>
          <w:rFonts w:ascii="Arial" w:hAnsi="Arial" w:cs="Arial"/>
          <w:b/>
          <w:sz w:val="40"/>
          <w:szCs w:val="40"/>
        </w:rPr>
        <w:t xml:space="preserve"> the Rochford District</w:t>
      </w:r>
      <w:r w:rsidRPr="00AF59C8">
        <w:rPr>
          <w:rFonts w:ascii="Arial" w:hAnsi="Arial" w:cs="Arial"/>
          <w:b/>
          <w:sz w:val="40"/>
          <w:szCs w:val="40"/>
        </w:rPr>
        <w:t>:</w:t>
      </w:r>
    </w:p>
    <w:p w:rsidR="00A562FE" w:rsidRPr="00AF59C8" w:rsidRDefault="00A562FE" w:rsidP="00A562FE">
      <w:pPr>
        <w:jc w:val="center"/>
        <w:rPr>
          <w:rFonts w:ascii="Arial" w:hAnsi="Arial" w:cs="Arial"/>
          <w:b/>
          <w:sz w:val="40"/>
          <w:szCs w:val="40"/>
        </w:rPr>
      </w:pPr>
      <w:r w:rsidRPr="00AF59C8">
        <w:rPr>
          <w:rFonts w:ascii="Arial" w:hAnsi="Arial" w:cs="Arial"/>
          <w:b/>
          <w:sz w:val="40"/>
          <w:szCs w:val="40"/>
        </w:rPr>
        <w:t>Principles and features for the future</w:t>
      </w:r>
    </w:p>
    <w:p w:rsidR="00A562FE" w:rsidRPr="00AF59C8" w:rsidRDefault="00A562FE" w:rsidP="00A562FE">
      <w:pPr>
        <w:ind w:left="-567" w:right="-1"/>
        <w:jc w:val="center"/>
        <w:rPr>
          <w:rFonts w:ascii="Arial Black" w:hAnsi="Arial Black" w:cs="Arial"/>
          <w:sz w:val="48"/>
          <w:szCs w:val="48"/>
        </w:rPr>
      </w:pPr>
    </w:p>
    <w:p w:rsidR="00A562FE" w:rsidRPr="00DB0981" w:rsidRDefault="00A562FE" w:rsidP="00A562FE">
      <w:pPr>
        <w:ind w:left="-567" w:right="-1"/>
        <w:jc w:val="center"/>
        <w:rPr>
          <w:rFonts w:ascii="Arial" w:hAnsi="Arial" w:cs="Arial"/>
        </w:rPr>
      </w:pPr>
    </w:p>
    <w:p w:rsidR="00A562FE" w:rsidRDefault="00A562FE" w:rsidP="00A562FE">
      <w:pPr>
        <w:ind w:left="-567" w:right="-1"/>
        <w:jc w:val="center"/>
        <w:rPr>
          <w:rFonts w:ascii="Arial" w:hAnsi="Arial" w:cs="Arial"/>
        </w:rPr>
      </w:pPr>
    </w:p>
    <w:p w:rsidR="00A562FE" w:rsidRPr="00DB0981" w:rsidRDefault="00A562FE" w:rsidP="00A562FE">
      <w:pPr>
        <w:ind w:left="-567" w:right="-1"/>
        <w:jc w:val="center"/>
        <w:rPr>
          <w:rFonts w:ascii="Arial" w:hAnsi="Arial" w:cs="Arial"/>
        </w:rPr>
      </w:pPr>
    </w:p>
    <w:p w:rsidR="00A562FE" w:rsidRDefault="00A562FE" w:rsidP="00A562FE">
      <w:pPr>
        <w:jc w:val="cente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rPr>
          <w:rFonts w:ascii="Arial" w:hAnsi="Arial" w:cs="Arial"/>
          <w:sz w:val="32"/>
          <w:szCs w:val="32"/>
        </w:rPr>
      </w:pPr>
    </w:p>
    <w:p w:rsidR="00A562FE" w:rsidRPr="00AF59C8" w:rsidRDefault="00A562FE" w:rsidP="00A562FE">
      <w:pPr>
        <w:jc w:val="center"/>
        <w:rPr>
          <w:rFonts w:ascii="Arial" w:hAnsi="Arial" w:cs="Arial"/>
          <w:sz w:val="32"/>
          <w:szCs w:val="32"/>
        </w:rPr>
      </w:pPr>
    </w:p>
    <w:p w:rsidR="00A562FE" w:rsidRPr="00AF59C8"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sectPr w:rsidR="00A562FE" w:rsidSect="00AF59C8">
          <w:headerReference w:type="default" r:id="rId9"/>
          <w:footerReference w:type="even" r:id="rId10"/>
          <w:pgSz w:w="11906" w:h="16838"/>
          <w:pgMar w:top="1418" w:right="1134" w:bottom="1258" w:left="1134" w:header="709" w:footer="709" w:gutter="0"/>
          <w:cols w:space="708"/>
          <w:docGrid w:linePitch="360"/>
        </w:sect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Default="00A562FE" w:rsidP="00A562FE">
      <w:pPr>
        <w:rPr>
          <w:rFonts w:ascii="Arial" w:hAnsi="Arial" w:cs="Arial"/>
          <w:sz w:val="32"/>
          <w:szCs w:val="32"/>
        </w:rPr>
      </w:pPr>
    </w:p>
    <w:p w:rsidR="00A562FE" w:rsidRPr="00FD678E" w:rsidRDefault="00A562FE" w:rsidP="00A562FE">
      <w:pPr>
        <w:jc w:val="center"/>
        <w:rPr>
          <w:rFonts w:ascii="Arial" w:hAnsi="Arial" w:cs="Arial"/>
          <w:b/>
          <w:sz w:val="36"/>
          <w:szCs w:val="36"/>
        </w:rPr>
      </w:pPr>
      <w:r w:rsidRPr="00FD678E">
        <w:rPr>
          <w:rFonts w:ascii="Arial" w:hAnsi="Arial" w:cs="Arial"/>
          <w:b/>
          <w:sz w:val="36"/>
          <w:szCs w:val="36"/>
        </w:rPr>
        <w:t>Contents</w:t>
      </w:r>
    </w:p>
    <w:p w:rsidR="00A562FE" w:rsidRDefault="00A562FE" w:rsidP="00A562FE">
      <w:pPr>
        <w:jc w:val="right"/>
        <w:rPr>
          <w:rFonts w:ascii="Arial" w:hAnsi="Arial" w:cs="Arial"/>
          <w:b/>
          <w:sz w:val="32"/>
          <w:szCs w:val="32"/>
        </w:rPr>
      </w:pPr>
    </w:p>
    <w:p w:rsidR="00A562FE" w:rsidRDefault="00A562FE" w:rsidP="00A562FE">
      <w:pPr>
        <w:jc w:val="right"/>
        <w:rPr>
          <w:rFonts w:ascii="Arial" w:hAnsi="Arial" w:cs="Arial"/>
          <w:b/>
          <w:sz w:val="32"/>
          <w:szCs w:val="32"/>
        </w:rPr>
      </w:pPr>
    </w:p>
    <w:p w:rsidR="00A562FE" w:rsidRDefault="00A562FE" w:rsidP="00A562FE">
      <w:pPr>
        <w:jc w:val="right"/>
        <w:rPr>
          <w:rFonts w:ascii="Arial" w:hAnsi="Arial" w:cs="Arial"/>
          <w:b/>
          <w:sz w:val="32"/>
          <w:szCs w:val="3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gridCol w:w="900"/>
      </w:tblGrid>
      <w:tr w:rsidR="00A562FE" w:rsidRPr="00EB3C59" w:rsidTr="00BD7048">
        <w:tc>
          <w:tcPr>
            <w:tcW w:w="540" w:type="dxa"/>
            <w:tcBorders>
              <w:top w:val="nil"/>
              <w:left w:val="nil"/>
              <w:bottom w:val="nil"/>
              <w:right w:val="nil"/>
            </w:tcBorders>
            <w:shd w:val="clear" w:color="auto" w:fill="auto"/>
          </w:tcPr>
          <w:p w:rsidR="00A562FE" w:rsidRPr="00EB3C59" w:rsidRDefault="00A562FE" w:rsidP="00BD7048">
            <w:pPr>
              <w:jc w:val="right"/>
              <w:rPr>
                <w:rFonts w:ascii="Arial" w:hAnsi="Arial" w:cs="Arial"/>
                <w:b/>
                <w:sz w:val="32"/>
                <w:szCs w:val="32"/>
              </w:rPr>
            </w:pPr>
          </w:p>
        </w:tc>
        <w:tc>
          <w:tcPr>
            <w:tcW w:w="6120" w:type="dxa"/>
            <w:tcBorders>
              <w:top w:val="nil"/>
              <w:left w:val="nil"/>
              <w:bottom w:val="nil"/>
              <w:right w:val="nil"/>
            </w:tcBorders>
            <w:shd w:val="clear" w:color="auto" w:fill="auto"/>
          </w:tcPr>
          <w:p w:rsidR="00A562FE" w:rsidRPr="00EB3C59" w:rsidRDefault="00A562FE" w:rsidP="00BD7048">
            <w:pPr>
              <w:jc w:val="right"/>
              <w:rPr>
                <w:rFonts w:ascii="Arial" w:hAnsi="Arial" w:cs="Arial"/>
                <w:b/>
                <w:sz w:val="32"/>
                <w:szCs w:val="32"/>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rPr>
            </w:pPr>
            <w:r w:rsidRPr="00EB3C59">
              <w:rPr>
                <w:rFonts w:ascii="Arial" w:hAnsi="Arial" w:cs="Arial"/>
              </w:rPr>
              <w:t>Page</w:t>
            </w:r>
          </w:p>
        </w:tc>
      </w:tr>
      <w:tr w:rsidR="00A562FE" w:rsidRPr="00EB3C59" w:rsidTr="00BD7048">
        <w:tc>
          <w:tcPr>
            <w:tcW w:w="54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sidRPr="00EB3C59">
              <w:rPr>
                <w:rFonts w:ascii="Arial" w:hAnsi="Arial" w:cs="Arial"/>
                <w:sz w:val="28"/>
                <w:szCs w:val="28"/>
              </w:rPr>
              <w:t>1</w:t>
            </w:r>
            <w:r>
              <w:rPr>
                <w:rFonts w:ascii="Arial" w:hAnsi="Arial" w:cs="Arial"/>
                <w:sz w:val="28"/>
                <w:szCs w:val="28"/>
              </w:rPr>
              <w:t>.</w:t>
            </w:r>
          </w:p>
        </w:tc>
        <w:tc>
          <w:tcPr>
            <w:tcW w:w="612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sidRPr="00EB3C59">
              <w:rPr>
                <w:rFonts w:ascii="Arial" w:hAnsi="Arial" w:cs="Arial"/>
                <w:sz w:val="28"/>
                <w:szCs w:val="28"/>
              </w:rPr>
              <w:t>Introduction</w:t>
            </w:r>
          </w:p>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r>
              <w:rPr>
                <w:rFonts w:ascii="Arial" w:hAnsi="Arial" w:cs="Arial"/>
                <w:sz w:val="28"/>
                <w:szCs w:val="28"/>
              </w:rPr>
              <w:t>1</w:t>
            </w:r>
          </w:p>
        </w:tc>
      </w:tr>
      <w:tr w:rsidR="00A562FE" w:rsidRPr="00EB3C59" w:rsidTr="00BD7048">
        <w:tc>
          <w:tcPr>
            <w:tcW w:w="54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sidRPr="00EB3C59">
              <w:rPr>
                <w:rFonts w:ascii="Arial" w:hAnsi="Arial" w:cs="Arial"/>
                <w:sz w:val="28"/>
                <w:szCs w:val="28"/>
              </w:rPr>
              <w:t>2</w:t>
            </w:r>
            <w:r>
              <w:rPr>
                <w:rFonts w:ascii="Arial" w:hAnsi="Arial" w:cs="Arial"/>
                <w:sz w:val="28"/>
                <w:szCs w:val="28"/>
              </w:rPr>
              <w:t>.</w:t>
            </w:r>
          </w:p>
        </w:tc>
        <w:tc>
          <w:tcPr>
            <w:tcW w:w="612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sidRPr="00EB3C59">
              <w:rPr>
                <w:rFonts w:ascii="Arial" w:hAnsi="Arial" w:cs="Arial"/>
                <w:sz w:val="28"/>
                <w:szCs w:val="28"/>
              </w:rPr>
              <w:t>Background</w:t>
            </w:r>
          </w:p>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r>
              <w:rPr>
                <w:rFonts w:ascii="Arial" w:hAnsi="Arial" w:cs="Arial"/>
                <w:sz w:val="28"/>
                <w:szCs w:val="28"/>
              </w:rPr>
              <w:t>1</w:t>
            </w:r>
          </w:p>
        </w:tc>
      </w:tr>
      <w:tr w:rsidR="00A562FE" w:rsidRPr="00EB3C59" w:rsidTr="00BD7048">
        <w:tc>
          <w:tcPr>
            <w:tcW w:w="540" w:type="dxa"/>
            <w:tcBorders>
              <w:top w:val="nil"/>
              <w:left w:val="nil"/>
              <w:bottom w:val="nil"/>
              <w:right w:val="nil"/>
            </w:tcBorders>
            <w:shd w:val="clear" w:color="auto" w:fill="auto"/>
          </w:tcPr>
          <w:p w:rsidR="00A562FE" w:rsidRDefault="00A562FE" w:rsidP="00BD7048">
            <w:pPr>
              <w:rPr>
                <w:rFonts w:ascii="Arial" w:hAnsi="Arial" w:cs="Arial"/>
                <w:sz w:val="28"/>
                <w:szCs w:val="28"/>
              </w:rPr>
            </w:pPr>
            <w:r w:rsidRPr="00EB3C59">
              <w:rPr>
                <w:rFonts w:ascii="Arial" w:hAnsi="Arial" w:cs="Arial"/>
                <w:sz w:val="28"/>
                <w:szCs w:val="28"/>
              </w:rPr>
              <w:t>3</w:t>
            </w:r>
            <w:r>
              <w:rPr>
                <w:rFonts w:ascii="Arial" w:hAnsi="Arial" w:cs="Arial"/>
                <w:sz w:val="28"/>
                <w:szCs w:val="28"/>
              </w:rPr>
              <w:t>.</w:t>
            </w:r>
          </w:p>
          <w:p w:rsidR="00A562FE" w:rsidRDefault="00A562FE" w:rsidP="00BD7048">
            <w:pPr>
              <w:rPr>
                <w:rFonts w:ascii="Arial" w:hAnsi="Arial" w:cs="Arial"/>
                <w:sz w:val="28"/>
                <w:szCs w:val="28"/>
              </w:rPr>
            </w:pPr>
          </w:p>
          <w:p w:rsidR="00A562FE" w:rsidRDefault="00A562FE" w:rsidP="00BD7048">
            <w:pPr>
              <w:rPr>
                <w:rFonts w:ascii="Arial" w:hAnsi="Arial" w:cs="Arial"/>
                <w:sz w:val="28"/>
                <w:szCs w:val="28"/>
              </w:rPr>
            </w:pPr>
            <w:r>
              <w:rPr>
                <w:rFonts w:ascii="Arial" w:hAnsi="Arial" w:cs="Arial"/>
                <w:sz w:val="28"/>
                <w:szCs w:val="28"/>
              </w:rPr>
              <w:t>4.</w:t>
            </w:r>
          </w:p>
          <w:p w:rsidR="00A562FE" w:rsidRDefault="00A562FE" w:rsidP="00BD7048">
            <w:pPr>
              <w:rPr>
                <w:rFonts w:ascii="Arial" w:hAnsi="Arial" w:cs="Arial"/>
                <w:sz w:val="28"/>
                <w:szCs w:val="28"/>
              </w:rPr>
            </w:pPr>
          </w:p>
          <w:p w:rsidR="00A562FE" w:rsidRPr="006E5421" w:rsidRDefault="00A562FE" w:rsidP="00BD7048">
            <w:pPr>
              <w:rPr>
                <w:rFonts w:ascii="Arial" w:hAnsi="Arial" w:cs="Arial"/>
                <w:sz w:val="28"/>
                <w:szCs w:val="28"/>
              </w:rPr>
            </w:pPr>
            <w:r>
              <w:rPr>
                <w:rFonts w:ascii="Arial" w:hAnsi="Arial" w:cs="Arial"/>
                <w:sz w:val="28"/>
                <w:szCs w:val="28"/>
              </w:rPr>
              <w:t>5.</w:t>
            </w:r>
          </w:p>
        </w:tc>
        <w:tc>
          <w:tcPr>
            <w:tcW w:w="6120" w:type="dxa"/>
            <w:tcBorders>
              <w:top w:val="nil"/>
              <w:left w:val="nil"/>
              <w:bottom w:val="nil"/>
              <w:right w:val="nil"/>
            </w:tcBorders>
            <w:shd w:val="clear" w:color="auto" w:fill="auto"/>
          </w:tcPr>
          <w:p w:rsidR="00A562FE" w:rsidRDefault="00A562FE" w:rsidP="00BD7048">
            <w:pPr>
              <w:rPr>
                <w:rFonts w:ascii="Arial" w:hAnsi="Arial" w:cs="Arial"/>
                <w:sz w:val="28"/>
                <w:szCs w:val="28"/>
              </w:rPr>
            </w:pPr>
            <w:r>
              <w:rPr>
                <w:rFonts w:ascii="Arial" w:hAnsi="Arial" w:cs="Arial"/>
                <w:sz w:val="28"/>
                <w:szCs w:val="28"/>
              </w:rPr>
              <w:t>Needs analysis</w:t>
            </w:r>
          </w:p>
          <w:p w:rsidR="00A562FE" w:rsidRDefault="00A562FE" w:rsidP="00BD7048">
            <w:pPr>
              <w:rPr>
                <w:rFonts w:ascii="Arial" w:hAnsi="Arial" w:cs="Arial"/>
                <w:sz w:val="28"/>
                <w:szCs w:val="28"/>
              </w:rPr>
            </w:pPr>
          </w:p>
          <w:p w:rsidR="00A562FE" w:rsidRPr="00EB3C59" w:rsidRDefault="00A562FE" w:rsidP="00BD7048">
            <w:pPr>
              <w:rPr>
                <w:rFonts w:ascii="Arial" w:hAnsi="Arial" w:cs="Arial"/>
                <w:sz w:val="28"/>
                <w:szCs w:val="28"/>
              </w:rPr>
            </w:pPr>
            <w:r>
              <w:rPr>
                <w:rFonts w:ascii="Arial" w:hAnsi="Arial" w:cs="Arial"/>
                <w:sz w:val="28"/>
                <w:szCs w:val="28"/>
              </w:rPr>
              <w:t>Outcome of consultation</w:t>
            </w:r>
          </w:p>
          <w:p w:rsidR="00A562FE" w:rsidRDefault="00A562FE" w:rsidP="00BD7048">
            <w:pPr>
              <w:tabs>
                <w:tab w:val="left" w:pos="0"/>
              </w:tabs>
              <w:rPr>
                <w:rFonts w:ascii="Arial" w:hAnsi="Arial" w:cs="Arial"/>
                <w:sz w:val="28"/>
                <w:szCs w:val="28"/>
              </w:rPr>
            </w:pPr>
          </w:p>
          <w:p w:rsidR="00A562FE" w:rsidRPr="00EB3C59" w:rsidRDefault="00A562FE" w:rsidP="00BD7048">
            <w:pPr>
              <w:tabs>
                <w:tab w:val="left" w:pos="0"/>
              </w:tabs>
              <w:rPr>
                <w:rFonts w:ascii="Arial" w:hAnsi="Arial" w:cs="Arial"/>
                <w:sz w:val="28"/>
                <w:szCs w:val="28"/>
              </w:rPr>
            </w:pPr>
            <w:r w:rsidRPr="00EB3C59">
              <w:rPr>
                <w:rFonts w:ascii="Arial" w:hAnsi="Arial" w:cs="Arial"/>
                <w:sz w:val="28"/>
                <w:szCs w:val="28"/>
              </w:rPr>
              <w:t xml:space="preserve">Principles and features to guide the design of future advice delivery </w:t>
            </w:r>
          </w:p>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Default="00A562FE" w:rsidP="00BD7048">
            <w:pPr>
              <w:jc w:val="right"/>
              <w:rPr>
                <w:rFonts w:ascii="Arial" w:hAnsi="Arial" w:cs="Arial"/>
                <w:sz w:val="28"/>
                <w:szCs w:val="28"/>
              </w:rPr>
            </w:pPr>
            <w:r>
              <w:rPr>
                <w:rFonts w:ascii="Arial" w:hAnsi="Arial" w:cs="Arial"/>
                <w:sz w:val="28"/>
                <w:szCs w:val="28"/>
              </w:rPr>
              <w:t>5</w:t>
            </w:r>
          </w:p>
          <w:p w:rsidR="00A562FE" w:rsidRDefault="00A562FE" w:rsidP="00BD7048">
            <w:pPr>
              <w:jc w:val="right"/>
              <w:rPr>
                <w:rFonts w:ascii="Arial" w:hAnsi="Arial" w:cs="Arial"/>
                <w:sz w:val="28"/>
                <w:szCs w:val="28"/>
              </w:rPr>
            </w:pPr>
          </w:p>
          <w:p w:rsidR="00A562FE" w:rsidRDefault="00A562FE" w:rsidP="00BD7048">
            <w:pPr>
              <w:jc w:val="right"/>
              <w:rPr>
                <w:rFonts w:ascii="Arial" w:hAnsi="Arial" w:cs="Arial"/>
                <w:sz w:val="28"/>
                <w:szCs w:val="28"/>
              </w:rPr>
            </w:pPr>
            <w:r>
              <w:rPr>
                <w:rFonts w:ascii="Arial" w:hAnsi="Arial" w:cs="Arial"/>
                <w:sz w:val="28"/>
                <w:szCs w:val="28"/>
              </w:rPr>
              <w:t>18</w:t>
            </w:r>
          </w:p>
          <w:p w:rsidR="00A562FE" w:rsidRDefault="00A562FE" w:rsidP="00BD7048">
            <w:pPr>
              <w:jc w:val="right"/>
              <w:rPr>
                <w:rFonts w:ascii="Arial" w:hAnsi="Arial" w:cs="Arial"/>
                <w:sz w:val="28"/>
                <w:szCs w:val="28"/>
              </w:rPr>
            </w:pPr>
          </w:p>
          <w:p w:rsidR="00A562FE" w:rsidRPr="00EB3C59" w:rsidRDefault="00A562FE" w:rsidP="00BD7048">
            <w:pPr>
              <w:jc w:val="right"/>
              <w:rPr>
                <w:rFonts w:ascii="Arial" w:hAnsi="Arial" w:cs="Arial"/>
                <w:sz w:val="28"/>
                <w:szCs w:val="28"/>
              </w:rPr>
            </w:pPr>
            <w:r>
              <w:rPr>
                <w:rFonts w:ascii="Arial" w:hAnsi="Arial" w:cs="Arial"/>
                <w:sz w:val="28"/>
                <w:szCs w:val="28"/>
              </w:rPr>
              <w:t>23</w:t>
            </w:r>
          </w:p>
        </w:tc>
      </w:tr>
      <w:tr w:rsidR="00A562FE" w:rsidRPr="00EB3C59" w:rsidTr="00BD7048">
        <w:tc>
          <w:tcPr>
            <w:tcW w:w="54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Pr>
                <w:rFonts w:ascii="Arial" w:hAnsi="Arial" w:cs="Arial"/>
                <w:sz w:val="28"/>
                <w:szCs w:val="28"/>
              </w:rPr>
              <w:t>6.</w:t>
            </w:r>
          </w:p>
        </w:tc>
        <w:tc>
          <w:tcPr>
            <w:tcW w:w="612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Pr>
                <w:rFonts w:ascii="Arial" w:hAnsi="Arial" w:cs="Arial"/>
                <w:sz w:val="28"/>
                <w:szCs w:val="28"/>
              </w:rPr>
              <w:t>Next steps</w:t>
            </w: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r>
              <w:rPr>
                <w:rFonts w:ascii="Arial" w:hAnsi="Arial" w:cs="Arial"/>
                <w:sz w:val="28"/>
                <w:szCs w:val="28"/>
              </w:rPr>
              <w:t>25</w:t>
            </w:r>
          </w:p>
        </w:tc>
      </w:tr>
      <w:tr w:rsidR="00A562FE" w:rsidRPr="00EB3C59" w:rsidTr="00BD7048">
        <w:tc>
          <w:tcPr>
            <w:tcW w:w="540" w:type="dxa"/>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p>
        </w:tc>
        <w:tc>
          <w:tcPr>
            <w:tcW w:w="6120" w:type="dxa"/>
            <w:tcBorders>
              <w:top w:val="nil"/>
              <w:left w:val="nil"/>
              <w:bottom w:val="nil"/>
              <w:right w:val="nil"/>
            </w:tcBorders>
            <w:shd w:val="clear" w:color="auto" w:fill="auto"/>
          </w:tcPr>
          <w:p w:rsidR="00A562FE" w:rsidRPr="00EB3C59" w:rsidRDefault="00A562FE" w:rsidP="00BD7048">
            <w:pPr>
              <w:tabs>
                <w:tab w:val="left" w:pos="0"/>
              </w:tabs>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p>
        </w:tc>
      </w:tr>
      <w:tr w:rsidR="00A562FE" w:rsidRPr="00EB3C59" w:rsidTr="00BD7048">
        <w:tc>
          <w:tcPr>
            <w:tcW w:w="6660" w:type="dxa"/>
            <w:gridSpan w:val="2"/>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p>
        </w:tc>
      </w:tr>
      <w:tr w:rsidR="00A562FE" w:rsidRPr="00EB3C59" w:rsidTr="00BD7048">
        <w:tc>
          <w:tcPr>
            <w:tcW w:w="6660" w:type="dxa"/>
            <w:gridSpan w:val="2"/>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r>
              <w:rPr>
                <w:rFonts w:ascii="Arial" w:hAnsi="Arial" w:cs="Arial"/>
                <w:sz w:val="28"/>
                <w:szCs w:val="28"/>
              </w:rPr>
              <w:t xml:space="preserve">7. Further information </w:t>
            </w:r>
          </w:p>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r>
              <w:rPr>
                <w:rFonts w:ascii="Arial" w:hAnsi="Arial" w:cs="Arial"/>
                <w:sz w:val="28"/>
                <w:szCs w:val="28"/>
              </w:rPr>
              <w:t>25</w:t>
            </w:r>
          </w:p>
        </w:tc>
      </w:tr>
      <w:tr w:rsidR="00A562FE" w:rsidRPr="00EB3C59" w:rsidTr="00BD7048">
        <w:tc>
          <w:tcPr>
            <w:tcW w:w="6660" w:type="dxa"/>
            <w:gridSpan w:val="2"/>
            <w:tcBorders>
              <w:top w:val="nil"/>
              <w:left w:val="nil"/>
              <w:bottom w:val="nil"/>
              <w:right w:val="nil"/>
            </w:tcBorders>
            <w:shd w:val="clear" w:color="auto" w:fill="auto"/>
          </w:tcPr>
          <w:p w:rsidR="00A562FE" w:rsidRPr="00EB3C59" w:rsidRDefault="00A562FE" w:rsidP="00BD7048">
            <w:pPr>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p>
        </w:tc>
      </w:tr>
      <w:tr w:rsidR="00A562FE" w:rsidRPr="00EB3C59" w:rsidTr="00BD7048">
        <w:tc>
          <w:tcPr>
            <w:tcW w:w="6660" w:type="dxa"/>
            <w:gridSpan w:val="2"/>
            <w:tcBorders>
              <w:top w:val="nil"/>
              <w:left w:val="nil"/>
              <w:bottom w:val="nil"/>
              <w:right w:val="nil"/>
            </w:tcBorders>
            <w:shd w:val="clear" w:color="auto" w:fill="auto"/>
          </w:tcPr>
          <w:p w:rsidR="00A562FE" w:rsidRPr="00EB3C59" w:rsidRDefault="00A562FE" w:rsidP="00BD7048">
            <w:pPr>
              <w:ind w:left="1512" w:hanging="1512"/>
              <w:rPr>
                <w:rFonts w:ascii="Arial" w:hAnsi="Arial" w:cs="Arial"/>
                <w:sz w:val="28"/>
                <w:szCs w:val="28"/>
              </w:rPr>
            </w:pPr>
          </w:p>
          <w:p w:rsidR="00A562FE" w:rsidRPr="00EB3C59" w:rsidRDefault="00A562FE" w:rsidP="00BD7048">
            <w:pPr>
              <w:ind w:left="1512" w:hanging="1512"/>
              <w:rPr>
                <w:rFonts w:ascii="Arial" w:hAnsi="Arial" w:cs="Arial"/>
                <w:sz w:val="28"/>
                <w:szCs w:val="28"/>
              </w:rPr>
            </w:pPr>
          </w:p>
        </w:tc>
        <w:tc>
          <w:tcPr>
            <w:tcW w:w="900" w:type="dxa"/>
            <w:tcBorders>
              <w:top w:val="nil"/>
              <w:left w:val="nil"/>
              <w:bottom w:val="nil"/>
              <w:right w:val="nil"/>
            </w:tcBorders>
            <w:shd w:val="clear" w:color="auto" w:fill="auto"/>
          </w:tcPr>
          <w:p w:rsidR="00A562FE" w:rsidRPr="00EB3C59" w:rsidRDefault="00A562FE" w:rsidP="00BD7048">
            <w:pPr>
              <w:jc w:val="right"/>
              <w:rPr>
                <w:rFonts w:ascii="Arial" w:hAnsi="Arial" w:cs="Arial"/>
                <w:sz w:val="28"/>
                <w:szCs w:val="28"/>
              </w:rPr>
            </w:pPr>
          </w:p>
        </w:tc>
      </w:tr>
    </w:tbl>
    <w:p w:rsidR="00A562FE" w:rsidRDefault="00A562FE" w:rsidP="00A562FE">
      <w:pPr>
        <w:jc w:val="right"/>
        <w:rPr>
          <w:rFonts w:ascii="Arial" w:hAnsi="Arial" w:cs="Arial"/>
          <w:b/>
          <w:sz w:val="32"/>
          <w:szCs w:val="32"/>
        </w:rPr>
      </w:pPr>
    </w:p>
    <w:p w:rsidR="00A562FE" w:rsidRPr="00AF59C8" w:rsidRDefault="00A562FE" w:rsidP="00A562FE">
      <w:pPr>
        <w:rPr>
          <w:rFonts w:ascii="Arial" w:hAnsi="Arial" w:cs="Arial"/>
          <w:sz w:val="32"/>
          <w:szCs w:val="32"/>
        </w:rPr>
        <w:sectPr w:rsidR="00A562FE" w:rsidRPr="00AF59C8" w:rsidSect="00AF59C8">
          <w:footerReference w:type="default" r:id="rId11"/>
          <w:pgSz w:w="11906" w:h="16838"/>
          <w:pgMar w:top="1418" w:right="1134" w:bottom="1258" w:left="1134" w:header="709" w:footer="709" w:gutter="0"/>
          <w:cols w:space="708"/>
          <w:docGrid w:linePitch="360"/>
        </w:sectPr>
      </w:pPr>
    </w:p>
    <w:p w:rsidR="00A562FE" w:rsidRPr="00EA33A6" w:rsidRDefault="00A562FE" w:rsidP="00A562FE">
      <w:pPr>
        <w:jc w:val="center"/>
        <w:rPr>
          <w:rFonts w:ascii="Arial" w:hAnsi="Arial" w:cs="Arial"/>
          <w:b/>
        </w:rPr>
      </w:pPr>
      <w:r>
        <w:rPr>
          <w:rFonts w:ascii="Arial" w:hAnsi="Arial" w:cs="Arial"/>
          <w:b/>
        </w:rPr>
        <w:lastRenderedPageBreak/>
        <w:t>Advice Service Provision in Rochford District</w:t>
      </w:r>
      <w:r w:rsidRPr="00EA33A6">
        <w:rPr>
          <w:rFonts w:ascii="Arial" w:hAnsi="Arial" w:cs="Arial"/>
          <w:b/>
        </w:rPr>
        <w:t>:</w:t>
      </w:r>
    </w:p>
    <w:p w:rsidR="00A562FE" w:rsidRPr="00EA33A6" w:rsidRDefault="00A562FE" w:rsidP="00A562FE">
      <w:pPr>
        <w:jc w:val="center"/>
        <w:rPr>
          <w:rFonts w:ascii="Arial" w:hAnsi="Arial" w:cs="Arial"/>
        </w:rPr>
      </w:pPr>
      <w:r w:rsidRPr="00EA33A6">
        <w:rPr>
          <w:rFonts w:ascii="Arial" w:hAnsi="Arial" w:cs="Arial"/>
          <w:b/>
        </w:rPr>
        <w:t>Principles and features for the future</w:t>
      </w:r>
    </w:p>
    <w:p w:rsidR="00A562FE" w:rsidRPr="00EA33A6" w:rsidRDefault="00A562FE" w:rsidP="00A562FE">
      <w:pPr>
        <w:pBdr>
          <w:bottom w:val="single" w:sz="12" w:space="1" w:color="auto"/>
        </w:pBdr>
        <w:rPr>
          <w:rFonts w:ascii="Arial" w:hAnsi="Arial" w:cs="Arial"/>
          <w:b/>
        </w:rPr>
      </w:pPr>
    </w:p>
    <w:p w:rsidR="00A562FE" w:rsidRPr="00EA33A6" w:rsidRDefault="00A562FE" w:rsidP="00A562FE">
      <w:pPr>
        <w:pStyle w:val="Heading1"/>
        <w:tabs>
          <w:tab w:val="num" w:pos="0"/>
        </w:tabs>
        <w:spacing w:before="0" w:after="0"/>
        <w:rPr>
          <w:rFonts w:ascii="Arial" w:hAnsi="Arial" w:cs="Arial"/>
          <w:sz w:val="24"/>
          <w:szCs w:val="24"/>
        </w:rPr>
      </w:pPr>
    </w:p>
    <w:p w:rsidR="00A562FE" w:rsidRPr="00EA33A6" w:rsidRDefault="00A562FE" w:rsidP="00A562FE">
      <w:pPr>
        <w:pStyle w:val="Heading1"/>
        <w:tabs>
          <w:tab w:val="num" w:pos="0"/>
        </w:tabs>
        <w:spacing w:before="0" w:after="0"/>
        <w:rPr>
          <w:rFonts w:ascii="Arial" w:hAnsi="Arial" w:cs="Arial"/>
          <w:sz w:val="24"/>
          <w:szCs w:val="24"/>
        </w:rPr>
      </w:pPr>
      <w:r w:rsidRPr="00EA33A6">
        <w:rPr>
          <w:rFonts w:ascii="Arial" w:hAnsi="Arial" w:cs="Arial"/>
          <w:sz w:val="24"/>
          <w:szCs w:val="24"/>
        </w:rPr>
        <w:t>1       Introduction</w:t>
      </w:r>
    </w:p>
    <w:p w:rsidR="00A562FE" w:rsidRPr="00EA33A6" w:rsidRDefault="00A562FE" w:rsidP="00A562FE">
      <w:pPr>
        <w:pStyle w:val="Heading2"/>
        <w:numPr>
          <w:ilvl w:val="1"/>
          <w:numId w:val="9"/>
        </w:numPr>
        <w:spacing w:before="0" w:after="0"/>
        <w:rPr>
          <w:b w:val="0"/>
          <w:i w:val="0"/>
          <w:sz w:val="24"/>
          <w:szCs w:val="24"/>
        </w:rPr>
      </w:pPr>
      <w:r w:rsidRPr="00EA33A6">
        <w:rPr>
          <w:b w:val="0"/>
          <w:i w:val="0"/>
          <w:sz w:val="24"/>
          <w:szCs w:val="24"/>
        </w:rPr>
        <w:t xml:space="preserve">This document considers the need for advice services in </w:t>
      </w:r>
      <w:r>
        <w:rPr>
          <w:b w:val="0"/>
          <w:i w:val="0"/>
          <w:sz w:val="24"/>
          <w:szCs w:val="24"/>
        </w:rPr>
        <w:t>the Rochford District</w:t>
      </w:r>
      <w:r w:rsidRPr="00EA33A6">
        <w:rPr>
          <w:b w:val="0"/>
          <w:i w:val="0"/>
          <w:sz w:val="24"/>
          <w:szCs w:val="24"/>
        </w:rPr>
        <w:t xml:space="preserve"> </w:t>
      </w:r>
      <w:r>
        <w:rPr>
          <w:b w:val="0"/>
          <w:i w:val="0"/>
          <w:sz w:val="24"/>
          <w:szCs w:val="24"/>
        </w:rPr>
        <w:t xml:space="preserve">and how these </w:t>
      </w:r>
      <w:r w:rsidRPr="00EA33A6">
        <w:rPr>
          <w:b w:val="0"/>
          <w:i w:val="0"/>
          <w:sz w:val="24"/>
          <w:szCs w:val="24"/>
        </w:rPr>
        <w:t xml:space="preserve">services may be delivered most effectively in the medium term.  </w:t>
      </w:r>
    </w:p>
    <w:p w:rsidR="00A562FE" w:rsidRPr="00EA33A6" w:rsidRDefault="00A562FE" w:rsidP="00A562FE">
      <w:pPr>
        <w:pStyle w:val="Heading2"/>
        <w:spacing w:before="0" w:after="0"/>
        <w:ind w:left="570"/>
        <w:rPr>
          <w:b w:val="0"/>
          <w:i w:val="0"/>
          <w:sz w:val="24"/>
          <w:szCs w:val="24"/>
        </w:rPr>
      </w:pPr>
    </w:p>
    <w:p w:rsidR="00A562FE" w:rsidRPr="00EA33A6" w:rsidRDefault="00A562FE" w:rsidP="00A562FE">
      <w:pPr>
        <w:pStyle w:val="Heading2"/>
        <w:numPr>
          <w:ilvl w:val="1"/>
          <w:numId w:val="9"/>
        </w:numPr>
        <w:spacing w:before="0" w:after="0"/>
        <w:rPr>
          <w:b w:val="0"/>
          <w:i w:val="0"/>
          <w:sz w:val="24"/>
          <w:szCs w:val="24"/>
        </w:rPr>
      </w:pPr>
      <w:r w:rsidRPr="00EA33A6">
        <w:rPr>
          <w:b w:val="0"/>
          <w:i w:val="0"/>
          <w:sz w:val="24"/>
          <w:szCs w:val="24"/>
        </w:rPr>
        <w:t xml:space="preserve">This work directly supports </w:t>
      </w:r>
      <w:r>
        <w:rPr>
          <w:b w:val="0"/>
          <w:i w:val="0"/>
          <w:sz w:val="24"/>
          <w:szCs w:val="24"/>
        </w:rPr>
        <w:t>corporate themes</w:t>
      </w:r>
      <w:r w:rsidRPr="00EA33A6">
        <w:rPr>
          <w:b w:val="0"/>
          <w:i w:val="0"/>
          <w:sz w:val="24"/>
          <w:szCs w:val="24"/>
        </w:rPr>
        <w:t xml:space="preserve"> of:</w:t>
      </w:r>
    </w:p>
    <w:p w:rsidR="00A562FE" w:rsidRPr="008C7011" w:rsidRDefault="00A562FE" w:rsidP="00A562FE">
      <w:pPr>
        <w:pStyle w:val="Heading2"/>
        <w:numPr>
          <w:ilvl w:val="0"/>
          <w:numId w:val="10"/>
        </w:numPr>
        <w:spacing w:before="0" w:after="0"/>
        <w:rPr>
          <w:b w:val="0"/>
          <w:bCs w:val="0"/>
          <w:i w:val="0"/>
          <w:iCs w:val="0"/>
          <w:sz w:val="24"/>
          <w:szCs w:val="24"/>
        </w:rPr>
      </w:pPr>
      <w:r w:rsidRPr="008C7011">
        <w:rPr>
          <w:b w:val="0"/>
          <w:bCs w:val="0"/>
          <w:i w:val="0"/>
          <w:iCs w:val="0"/>
          <w:sz w:val="24"/>
          <w:szCs w:val="24"/>
        </w:rPr>
        <w:t>Place</w:t>
      </w:r>
    </w:p>
    <w:p w:rsidR="00A562FE" w:rsidRPr="008C7011" w:rsidRDefault="00A562FE" w:rsidP="00A562FE">
      <w:pPr>
        <w:numPr>
          <w:ilvl w:val="0"/>
          <w:numId w:val="10"/>
        </w:numPr>
        <w:rPr>
          <w:rFonts w:ascii="Arial" w:hAnsi="Arial" w:cs="Arial"/>
        </w:rPr>
      </w:pPr>
      <w:r w:rsidRPr="008C7011">
        <w:rPr>
          <w:rFonts w:ascii="Arial" w:hAnsi="Arial" w:cs="Arial"/>
        </w:rPr>
        <w:t>Homes</w:t>
      </w:r>
    </w:p>
    <w:p w:rsidR="00A562FE" w:rsidRPr="008C7011" w:rsidRDefault="00A562FE" w:rsidP="00A562FE">
      <w:pPr>
        <w:numPr>
          <w:ilvl w:val="0"/>
          <w:numId w:val="10"/>
        </w:numPr>
        <w:rPr>
          <w:rFonts w:ascii="Arial" w:hAnsi="Arial" w:cs="Arial"/>
        </w:rPr>
      </w:pPr>
      <w:r w:rsidRPr="008C7011">
        <w:rPr>
          <w:rFonts w:ascii="Arial" w:hAnsi="Arial" w:cs="Arial"/>
        </w:rPr>
        <w:t>Economic Growth</w:t>
      </w:r>
    </w:p>
    <w:p w:rsidR="00A562FE" w:rsidRPr="00EA33A6" w:rsidRDefault="00A562FE" w:rsidP="00A562FE">
      <w:pPr>
        <w:rPr>
          <w:rFonts w:ascii="Arial" w:hAnsi="Arial" w:cs="Arial"/>
        </w:rPr>
      </w:pPr>
    </w:p>
    <w:p w:rsidR="00A562FE" w:rsidRPr="00EA33A6" w:rsidRDefault="00A562FE" w:rsidP="00A562FE">
      <w:pPr>
        <w:ind w:left="360"/>
        <w:rPr>
          <w:rFonts w:ascii="Arial" w:hAnsi="Arial" w:cs="Arial"/>
        </w:rPr>
      </w:pPr>
      <w:r w:rsidRPr="00EA33A6">
        <w:rPr>
          <w:rFonts w:ascii="Arial" w:hAnsi="Arial" w:cs="Arial"/>
        </w:rPr>
        <w:t xml:space="preserve">It also </w:t>
      </w:r>
      <w:r>
        <w:rPr>
          <w:rFonts w:ascii="Arial" w:hAnsi="Arial" w:cs="Arial"/>
        </w:rPr>
        <w:t>helps to support our core values of:</w:t>
      </w:r>
    </w:p>
    <w:p w:rsidR="00A562FE" w:rsidRPr="00EA33A6" w:rsidRDefault="00A562FE" w:rsidP="00A562FE">
      <w:pPr>
        <w:numPr>
          <w:ilvl w:val="0"/>
          <w:numId w:val="11"/>
        </w:numPr>
        <w:ind w:left="1080"/>
        <w:rPr>
          <w:rFonts w:ascii="Arial" w:hAnsi="Arial" w:cs="Arial"/>
        </w:rPr>
      </w:pPr>
      <w:r>
        <w:rPr>
          <w:rFonts w:ascii="Arial" w:hAnsi="Arial" w:cs="Arial"/>
        </w:rPr>
        <w:t>Rising to the challenge</w:t>
      </w:r>
    </w:p>
    <w:p w:rsidR="00A562FE" w:rsidRPr="00EA33A6" w:rsidRDefault="00A562FE" w:rsidP="00A562FE">
      <w:pPr>
        <w:numPr>
          <w:ilvl w:val="0"/>
          <w:numId w:val="11"/>
        </w:numPr>
        <w:ind w:left="1080"/>
        <w:rPr>
          <w:rFonts w:ascii="Arial" w:hAnsi="Arial" w:cs="Arial"/>
        </w:rPr>
      </w:pPr>
      <w:r>
        <w:rPr>
          <w:rFonts w:ascii="Arial" w:hAnsi="Arial" w:cs="Arial"/>
        </w:rPr>
        <w:t>Delivering in unity</w:t>
      </w:r>
    </w:p>
    <w:p w:rsidR="00A562FE" w:rsidRPr="00EA33A6" w:rsidRDefault="00A562FE" w:rsidP="00A562FE">
      <w:pPr>
        <w:numPr>
          <w:ilvl w:val="0"/>
          <w:numId w:val="11"/>
        </w:numPr>
        <w:ind w:left="1080"/>
        <w:rPr>
          <w:rFonts w:ascii="Arial" w:hAnsi="Arial" w:cs="Arial"/>
        </w:rPr>
      </w:pPr>
      <w:r>
        <w:rPr>
          <w:rFonts w:ascii="Arial" w:hAnsi="Arial" w:cs="Arial"/>
        </w:rPr>
        <w:t>Committed to the community</w:t>
      </w:r>
    </w:p>
    <w:p w:rsidR="00A562FE" w:rsidRPr="00324980" w:rsidRDefault="00A562FE" w:rsidP="00A562FE">
      <w:pPr>
        <w:rPr>
          <w:rFonts w:ascii="Arial" w:hAnsi="Arial" w:cs="Arial"/>
        </w:rPr>
      </w:pPr>
    </w:p>
    <w:p w:rsidR="00A562FE" w:rsidRPr="00DC3FC9" w:rsidRDefault="00A562FE" w:rsidP="00A562FE">
      <w:pPr>
        <w:pStyle w:val="Heading2"/>
        <w:spacing w:before="0" w:after="0"/>
        <w:ind w:left="570"/>
        <w:rPr>
          <w:b w:val="0"/>
          <w:i w:val="0"/>
          <w:sz w:val="24"/>
          <w:szCs w:val="24"/>
        </w:rPr>
      </w:pPr>
      <w:r>
        <w:rPr>
          <w:b w:val="0"/>
          <w:i w:val="0"/>
          <w:sz w:val="24"/>
          <w:szCs w:val="24"/>
        </w:rPr>
        <w:t xml:space="preserve"> The </w:t>
      </w:r>
      <w:r w:rsidRPr="00DC3FC9">
        <w:rPr>
          <w:b w:val="0"/>
          <w:i w:val="0"/>
          <w:sz w:val="24"/>
          <w:szCs w:val="24"/>
        </w:rPr>
        <w:t>docum</w:t>
      </w:r>
      <w:r>
        <w:rPr>
          <w:b w:val="0"/>
          <w:i w:val="0"/>
          <w:sz w:val="24"/>
          <w:szCs w:val="24"/>
        </w:rPr>
        <w:t>ent is in four</w:t>
      </w:r>
      <w:r w:rsidRPr="00DC3FC9">
        <w:rPr>
          <w:b w:val="0"/>
          <w:i w:val="0"/>
          <w:sz w:val="24"/>
          <w:szCs w:val="24"/>
        </w:rPr>
        <w:t xml:space="preserve"> parts:</w:t>
      </w:r>
    </w:p>
    <w:p w:rsidR="00A562FE" w:rsidRPr="00DC3FC9" w:rsidRDefault="00A562FE" w:rsidP="00A562FE">
      <w:pPr>
        <w:pStyle w:val="Heading3"/>
        <w:numPr>
          <w:ilvl w:val="2"/>
          <w:numId w:val="3"/>
        </w:numPr>
        <w:tabs>
          <w:tab w:val="clear" w:pos="2160"/>
          <w:tab w:val="left" w:pos="540"/>
          <w:tab w:val="left" w:pos="900"/>
        </w:tabs>
        <w:ind w:left="900"/>
        <w:rPr>
          <w:b w:val="0"/>
          <w:sz w:val="24"/>
          <w:szCs w:val="24"/>
        </w:rPr>
      </w:pPr>
      <w:r w:rsidRPr="00DC3FC9">
        <w:rPr>
          <w:b w:val="0"/>
          <w:sz w:val="24"/>
          <w:szCs w:val="24"/>
        </w:rPr>
        <w:t xml:space="preserve">Background information, which defines what we mean by advice, describes the current position in </w:t>
      </w:r>
      <w:r>
        <w:rPr>
          <w:b w:val="0"/>
          <w:sz w:val="24"/>
          <w:szCs w:val="24"/>
        </w:rPr>
        <w:t>the District, and the services that are currently available.</w:t>
      </w:r>
    </w:p>
    <w:p w:rsidR="00A562FE" w:rsidRDefault="00A562FE" w:rsidP="00A562FE">
      <w:pPr>
        <w:pStyle w:val="Heading3"/>
        <w:numPr>
          <w:ilvl w:val="2"/>
          <w:numId w:val="3"/>
        </w:numPr>
        <w:tabs>
          <w:tab w:val="clear" w:pos="2160"/>
          <w:tab w:val="left" w:pos="540"/>
          <w:tab w:val="left" w:pos="900"/>
        </w:tabs>
        <w:ind w:left="900"/>
        <w:rPr>
          <w:b w:val="0"/>
          <w:sz w:val="24"/>
          <w:szCs w:val="24"/>
        </w:rPr>
      </w:pPr>
      <w:r w:rsidRPr="00DC3FC9">
        <w:rPr>
          <w:b w:val="0"/>
          <w:sz w:val="24"/>
          <w:szCs w:val="24"/>
        </w:rPr>
        <w:t>A needs analysis, which gathers information from a number of sources (national and local) to help identify the advice needs in</w:t>
      </w:r>
      <w:r>
        <w:rPr>
          <w:b w:val="0"/>
          <w:sz w:val="24"/>
          <w:szCs w:val="24"/>
        </w:rPr>
        <w:t xml:space="preserve"> the District</w:t>
      </w:r>
      <w:r w:rsidRPr="00DC3FC9">
        <w:rPr>
          <w:b w:val="0"/>
          <w:sz w:val="24"/>
          <w:szCs w:val="24"/>
        </w:rPr>
        <w:t>.  Sources quoted are referenced throughout the document.</w:t>
      </w:r>
    </w:p>
    <w:p w:rsidR="00A562FE" w:rsidRPr="006E5421" w:rsidRDefault="00A562FE" w:rsidP="00A562FE">
      <w:pPr>
        <w:pStyle w:val="Heading3"/>
        <w:numPr>
          <w:ilvl w:val="2"/>
          <w:numId w:val="3"/>
        </w:numPr>
        <w:tabs>
          <w:tab w:val="clear" w:pos="2160"/>
          <w:tab w:val="left" w:pos="540"/>
          <w:tab w:val="left" w:pos="900"/>
        </w:tabs>
        <w:ind w:left="900"/>
        <w:rPr>
          <w:b w:val="0"/>
          <w:sz w:val="24"/>
          <w:szCs w:val="24"/>
        </w:rPr>
      </w:pPr>
      <w:r w:rsidRPr="006E5421">
        <w:rPr>
          <w:b w:val="0"/>
          <w:sz w:val="24"/>
          <w:szCs w:val="24"/>
        </w:rPr>
        <w:t>Outcomes from our consultation with the community and stakeholders</w:t>
      </w:r>
    </w:p>
    <w:p w:rsidR="00A562FE" w:rsidRPr="00DC3FC9" w:rsidRDefault="00A562FE" w:rsidP="00A562FE">
      <w:pPr>
        <w:pStyle w:val="Heading3"/>
        <w:numPr>
          <w:ilvl w:val="2"/>
          <w:numId w:val="3"/>
        </w:numPr>
        <w:tabs>
          <w:tab w:val="clear" w:pos="2160"/>
          <w:tab w:val="left" w:pos="900"/>
        </w:tabs>
        <w:ind w:left="900"/>
        <w:rPr>
          <w:b w:val="0"/>
          <w:sz w:val="24"/>
          <w:szCs w:val="24"/>
        </w:rPr>
      </w:pPr>
      <w:r>
        <w:rPr>
          <w:b w:val="0"/>
          <w:sz w:val="24"/>
          <w:szCs w:val="24"/>
        </w:rPr>
        <w:t>The features and principles which will</w:t>
      </w:r>
      <w:r w:rsidRPr="00DC3FC9">
        <w:rPr>
          <w:b w:val="0"/>
          <w:sz w:val="24"/>
          <w:szCs w:val="24"/>
        </w:rPr>
        <w:t xml:space="preserve"> guide the </w:t>
      </w:r>
      <w:r>
        <w:rPr>
          <w:b w:val="0"/>
          <w:sz w:val="24"/>
          <w:szCs w:val="24"/>
        </w:rPr>
        <w:t>specification for future advice</w:t>
      </w:r>
      <w:r w:rsidRPr="00DC3FC9">
        <w:rPr>
          <w:b w:val="0"/>
          <w:sz w:val="24"/>
          <w:szCs w:val="24"/>
        </w:rPr>
        <w:t xml:space="preserve"> services in </w:t>
      </w:r>
      <w:r>
        <w:rPr>
          <w:b w:val="0"/>
          <w:sz w:val="24"/>
          <w:szCs w:val="24"/>
        </w:rPr>
        <w:t xml:space="preserve">the District </w:t>
      </w:r>
      <w:r w:rsidRPr="00DC3FC9">
        <w:rPr>
          <w:b w:val="0"/>
          <w:sz w:val="24"/>
          <w:szCs w:val="24"/>
        </w:rPr>
        <w:t>that draws on the evidence of the needs analysis</w:t>
      </w:r>
      <w:r>
        <w:rPr>
          <w:b w:val="0"/>
          <w:sz w:val="24"/>
          <w:szCs w:val="24"/>
        </w:rPr>
        <w:t xml:space="preserve"> and consultation responses</w:t>
      </w:r>
      <w:r w:rsidRPr="00DC3FC9">
        <w:rPr>
          <w:b w:val="0"/>
          <w:sz w:val="24"/>
          <w:szCs w:val="24"/>
        </w:rPr>
        <w:t>.</w:t>
      </w:r>
    </w:p>
    <w:p w:rsidR="00A562FE" w:rsidRPr="00DC3FC9" w:rsidRDefault="00A562FE" w:rsidP="00A562FE">
      <w:pPr>
        <w:ind w:left="1418"/>
        <w:rPr>
          <w:rFonts w:ascii="Arial" w:hAnsi="Arial" w:cs="Arial"/>
          <w:b/>
        </w:rPr>
      </w:pPr>
    </w:p>
    <w:p w:rsidR="00A562FE" w:rsidRDefault="00A562FE" w:rsidP="00A562FE">
      <w:pPr>
        <w:pStyle w:val="Heading1"/>
        <w:numPr>
          <w:ilvl w:val="0"/>
          <w:numId w:val="9"/>
        </w:numPr>
        <w:spacing w:before="0" w:after="0"/>
        <w:rPr>
          <w:rFonts w:ascii="Arial" w:hAnsi="Arial" w:cs="Arial"/>
          <w:sz w:val="24"/>
          <w:szCs w:val="24"/>
        </w:rPr>
      </w:pPr>
      <w:r w:rsidRPr="00DC3FC9">
        <w:rPr>
          <w:rFonts w:ascii="Arial" w:hAnsi="Arial" w:cs="Arial"/>
          <w:sz w:val="24"/>
          <w:szCs w:val="24"/>
        </w:rPr>
        <w:t>Background information</w:t>
      </w:r>
    </w:p>
    <w:p w:rsidR="00A562FE" w:rsidRPr="00EA33A6" w:rsidRDefault="00A562FE" w:rsidP="00A562FE">
      <w:pPr>
        <w:ind w:left="570"/>
      </w:pPr>
    </w:p>
    <w:p w:rsidR="00A562FE" w:rsidRPr="00DC3FC9" w:rsidRDefault="00A562FE" w:rsidP="00A562FE">
      <w:pPr>
        <w:pStyle w:val="Heading2"/>
        <w:numPr>
          <w:ilvl w:val="1"/>
          <w:numId w:val="0"/>
        </w:numPr>
        <w:tabs>
          <w:tab w:val="num" w:pos="0"/>
          <w:tab w:val="num" w:pos="576"/>
        </w:tabs>
        <w:spacing w:before="0" w:after="0"/>
        <w:rPr>
          <w:b w:val="0"/>
          <w:i w:val="0"/>
          <w:sz w:val="24"/>
          <w:szCs w:val="24"/>
        </w:rPr>
      </w:pPr>
      <w:r w:rsidRPr="00DC3FC9">
        <w:rPr>
          <w:b w:val="0"/>
          <w:i w:val="0"/>
          <w:sz w:val="24"/>
          <w:szCs w:val="24"/>
        </w:rPr>
        <w:t>2.1</w:t>
      </w:r>
      <w:r w:rsidRPr="00DC3FC9">
        <w:rPr>
          <w:b w:val="0"/>
          <w:i w:val="0"/>
          <w:sz w:val="24"/>
          <w:szCs w:val="24"/>
        </w:rPr>
        <w:tab/>
        <w:t xml:space="preserve">We recognise that there are lots of statutory, private and voluntary sector agencies </w:t>
      </w:r>
      <w:r w:rsidRPr="00DC3FC9">
        <w:rPr>
          <w:b w:val="0"/>
          <w:i w:val="0"/>
          <w:sz w:val="24"/>
          <w:szCs w:val="24"/>
        </w:rPr>
        <w:tab/>
        <w:t xml:space="preserve">that provide a range of types of information and advice alongside other services, </w:t>
      </w:r>
      <w:r w:rsidRPr="00DC3FC9">
        <w:rPr>
          <w:b w:val="0"/>
          <w:i w:val="0"/>
          <w:sz w:val="24"/>
          <w:szCs w:val="24"/>
        </w:rPr>
        <w:tab/>
        <w:t>some free of</w:t>
      </w:r>
      <w:r>
        <w:rPr>
          <w:b w:val="0"/>
          <w:i w:val="0"/>
          <w:sz w:val="24"/>
          <w:szCs w:val="24"/>
        </w:rPr>
        <w:t xml:space="preserve"> charge and others for a fee.  For the purpose of this document we are </w:t>
      </w:r>
      <w:r>
        <w:rPr>
          <w:b w:val="0"/>
          <w:i w:val="0"/>
          <w:sz w:val="24"/>
          <w:szCs w:val="24"/>
        </w:rPr>
        <w:tab/>
        <w:t>defining advice services as</w:t>
      </w:r>
      <w:r w:rsidRPr="00DC3FC9">
        <w:rPr>
          <w:b w:val="0"/>
          <w:i w:val="0"/>
          <w:sz w:val="24"/>
          <w:szCs w:val="24"/>
        </w:rPr>
        <w:t>:</w:t>
      </w:r>
    </w:p>
    <w:p w:rsidR="00A562FE" w:rsidRPr="00DC3FC9" w:rsidRDefault="00A562FE" w:rsidP="00A562FE">
      <w:pPr>
        <w:tabs>
          <w:tab w:val="num" w:pos="0"/>
        </w:tabs>
        <w:ind w:right="26"/>
        <w:rPr>
          <w:rFonts w:ascii="Arial" w:hAnsi="Arial" w:cs="Arial"/>
        </w:rPr>
      </w:pPr>
      <w:r>
        <w:rPr>
          <w:rFonts w:ascii="Arial" w:hAnsi="Arial" w:cs="Arial"/>
        </w:rPr>
        <w:tab/>
      </w:r>
      <w:r>
        <w:rPr>
          <w:rFonts w:ascii="Arial" w:hAnsi="Arial" w:cs="Arial"/>
        </w:rPr>
        <w:tab/>
      </w:r>
    </w:p>
    <w:p w:rsidR="00A562FE" w:rsidRPr="00DC3FC9" w:rsidRDefault="00A562FE" w:rsidP="00A562FE">
      <w:pPr>
        <w:tabs>
          <w:tab w:val="num" w:pos="900"/>
        </w:tabs>
        <w:ind w:left="900" w:right="638"/>
        <w:rPr>
          <w:rFonts w:ascii="Arial" w:hAnsi="Arial" w:cs="Arial"/>
          <w:i/>
        </w:rPr>
      </w:pPr>
      <w:r w:rsidRPr="00DC3FC9">
        <w:rPr>
          <w:rFonts w:ascii="Arial" w:hAnsi="Arial" w:cs="Arial"/>
          <w:i/>
        </w:rPr>
        <w:t xml:space="preserve">The provision of free, confidential and independent information, advice and representation to enable local people to exercise their rights and responsibilities in relation to legal and financial matters in the following areas of social welfare law: welfare benefits, debt, housing, employment, discrimination and immigration. </w:t>
      </w:r>
    </w:p>
    <w:p w:rsidR="00A562FE" w:rsidRPr="00DC3FC9" w:rsidRDefault="00A562FE" w:rsidP="00A562FE">
      <w:pPr>
        <w:pStyle w:val="Heading2"/>
        <w:tabs>
          <w:tab w:val="left" w:pos="0"/>
          <w:tab w:val="left" w:pos="540"/>
        </w:tabs>
        <w:spacing w:before="0" w:after="0"/>
        <w:rPr>
          <w:b w:val="0"/>
          <w:i w:val="0"/>
          <w:sz w:val="24"/>
          <w:szCs w:val="24"/>
        </w:rPr>
      </w:pPr>
      <w:r w:rsidRPr="00DC3FC9">
        <w:rPr>
          <w:b w:val="0"/>
          <w:i w:val="0"/>
          <w:sz w:val="24"/>
          <w:szCs w:val="24"/>
        </w:rPr>
        <w:tab/>
      </w:r>
      <w:r>
        <w:rPr>
          <w:b w:val="0"/>
          <w:i w:val="0"/>
          <w:sz w:val="24"/>
          <w:szCs w:val="24"/>
        </w:rPr>
        <w:tab/>
      </w:r>
      <w:r>
        <w:rPr>
          <w:b w:val="0"/>
          <w:i w:val="0"/>
          <w:sz w:val="24"/>
          <w:szCs w:val="24"/>
        </w:rPr>
        <w:tab/>
      </w:r>
    </w:p>
    <w:p w:rsidR="00A562FE" w:rsidRPr="00DC3FC9" w:rsidRDefault="00A562FE" w:rsidP="00A562FE">
      <w:pPr>
        <w:pStyle w:val="Heading2"/>
        <w:tabs>
          <w:tab w:val="left" w:pos="0"/>
          <w:tab w:val="left" w:pos="540"/>
        </w:tabs>
        <w:spacing w:before="0" w:after="0"/>
        <w:rPr>
          <w:b w:val="0"/>
          <w:i w:val="0"/>
          <w:sz w:val="24"/>
          <w:szCs w:val="24"/>
        </w:rPr>
      </w:pPr>
      <w:r w:rsidRPr="00DC3FC9">
        <w:rPr>
          <w:b w:val="0"/>
          <w:i w:val="0"/>
          <w:sz w:val="24"/>
          <w:szCs w:val="24"/>
        </w:rPr>
        <w:tab/>
        <w:t xml:space="preserve">These advice services may be delivered in person, by telephone or electronic </w:t>
      </w:r>
      <w:r w:rsidRPr="00DC3FC9">
        <w:rPr>
          <w:b w:val="0"/>
          <w:i w:val="0"/>
          <w:sz w:val="24"/>
          <w:szCs w:val="24"/>
        </w:rPr>
        <w:tab/>
        <w:t>communication such as email or the provision of self help materials.</w:t>
      </w:r>
    </w:p>
    <w:p w:rsidR="00A562FE" w:rsidRPr="00DC3FC9" w:rsidRDefault="00A562FE" w:rsidP="00A562FE">
      <w:pPr>
        <w:rPr>
          <w:rFonts w:ascii="Arial" w:hAnsi="Arial" w:cs="Arial"/>
        </w:rPr>
      </w:pPr>
    </w:p>
    <w:p w:rsidR="00A562FE" w:rsidRDefault="00A562FE" w:rsidP="00A562FE">
      <w:pPr>
        <w:pStyle w:val="Heading2"/>
        <w:numPr>
          <w:ilvl w:val="1"/>
          <w:numId w:val="8"/>
        </w:numPr>
        <w:spacing w:before="0" w:after="0"/>
        <w:rPr>
          <w:b w:val="0"/>
          <w:i w:val="0"/>
          <w:sz w:val="24"/>
          <w:szCs w:val="24"/>
        </w:rPr>
      </w:pPr>
      <w:r w:rsidRPr="00DC3FC9">
        <w:rPr>
          <w:b w:val="0"/>
          <w:i w:val="0"/>
          <w:sz w:val="24"/>
          <w:szCs w:val="24"/>
        </w:rPr>
        <w:lastRenderedPageBreak/>
        <w:t>We also recognise that in order to exercise their rig</w:t>
      </w:r>
      <w:r>
        <w:rPr>
          <w:b w:val="0"/>
          <w:i w:val="0"/>
          <w:sz w:val="24"/>
          <w:szCs w:val="24"/>
        </w:rPr>
        <w:t xml:space="preserve">hts and responsibilities some </w:t>
      </w:r>
      <w:r w:rsidRPr="00DC3FC9">
        <w:rPr>
          <w:b w:val="0"/>
          <w:i w:val="0"/>
          <w:sz w:val="24"/>
          <w:szCs w:val="24"/>
        </w:rPr>
        <w:t xml:space="preserve">people have advocacy needs.  These are defined </w:t>
      </w:r>
      <w:r>
        <w:rPr>
          <w:b w:val="0"/>
          <w:i w:val="0"/>
          <w:sz w:val="24"/>
          <w:szCs w:val="24"/>
        </w:rPr>
        <w:t xml:space="preserve">for the purposes of this document </w:t>
      </w:r>
      <w:r w:rsidRPr="00DC3FC9">
        <w:rPr>
          <w:b w:val="0"/>
          <w:i w:val="0"/>
          <w:sz w:val="24"/>
          <w:szCs w:val="24"/>
        </w:rPr>
        <w:t>as:</w:t>
      </w:r>
    </w:p>
    <w:p w:rsidR="00A562FE" w:rsidRPr="003647CB" w:rsidRDefault="00A562FE" w:rsidP="00A562FE">
      <w:pPr>
        <w:rPr>
          <w:rFonts w:ascii="Arial" w:hAnsi="Arial" w:cs="Arial"/>
        </w:rPr>
      </w:pPr>
      <w:r>
        <w:rPr>
          <w:rFonts w:ascii="Arial" w:hAnsi="Arial" w:cs="Arial"/>
        </w:rPr>
        <w:tab/>
      </w:r>
      <w:r>
        <w:rPr>
          <w:rFonts w:ascii="Arial" w:hAnsi="Arial" w:cs="Arial"/>
        </w:rPr>
        <w:tab/>
      </w:r>
      <w:r>
        <w:rPr>
          <w:rFonts w:ascii="Arial" w:hAnsi="Arial" w:cs="Arial"/>
        </w:rPr>
        <w:tab/>
      </w:r>
    </w:p>
    <w:p w:rsidR="00A562FE" w:rsidRPr="00DC3FC9" w:rsidRDefault="00A562FE" w:rsidP="00A562FE">
      <w:pPr>
        <w:ind w:left="900" w:right="26"/>
        <w:rPr>
          <w:rFonts w:ascii="Arial" w:hAnsi="Arial" w:cs="Arial"/>
          <w:i/>
        </w:rPr>
      </w:pPr>
      <w:r w:rsidRPr="00DC3FC9">
        <w:rPr>
          <w:rFonts w:ascii="Arial" w:hAnsi="Arial" w:cs="Arial"/>
          <w:i/>
        </w:rPr>
        <w:t xml:space="preserve">Support and intervention required from another individual in order to </w:t>
      </w:r>
    </w:p>
    <w:p w:rsidR="00A562FE" w:rsidRDefault="00A562FE" w:rsidP="00A562FE">
      <w:pPr>
        <w:ind w:left="900" w:right="26"/>
        <w:rPr>
          <w:rFonts w:ascii="Arial" w:hAnsi="Arial" w:cs="Arial"/>
          <w:i/>
        </w:rPr>
      </w:pPr>
      <w:r w:rsidRPr="00DC3FC9">
        <w:rPr>
          <w:rFonts w:ascii="Arial" w:hAnsi="Arial" w:cs="Arial"/>
          <w:i/>
        </w:rPr>
        <w:t>articulate needs or understand processe</w:t>
      </w:r>
      <w:r>
        <w:rPr>
          <w:rFonts w:ascii="Arial" w:hAnsi="Arial" w:cs="Arial"/>
          <w:i/>
        </w:rPr>
        <w:t>s and procedures in relation to a benefits, debt, housing, immigration, discrimination or employment issue</w:t>
      </w:r>
    </w:p>
    <w:p w:rsidR="00A562FE" w:rsidRPr="00DC3FC9" w:rsidRDefault="00A562FE" w:rsidP="00A562FE">
      <w:pPr>
        <w:tabs>
          <w:tab w:val="left" w:pos="540"/>
        </w:tabs>
        <w:ind w:right="26"/>
        <w:rPr>
          <w:rFonts w:ascii="Arial" w:hAnsi="Arial" w:cs="Arial"/>
        </w:rPr>
      </w:pPr>
    </w:p>
    <w:p w:rsidR="00A562FE" w:rsidRPr="00DC3FC9" w:rsidRDefault="00A562FE" w:rsidP="00A562FE">
      <w:pPr>
        <w:pStyle w:val="Heading2"/>
        <w:numPr>
          <w:ilvl w:val="1"/>
          <w:numId w:val="0"/>
        </w:numPr>
        <w:tabs>
          <w:tab w:val="num" w:pos="576"/>
        </w:tabs>
        <w:spacing w:before="0" w:after="0"/>
        <w:rPr>
          <w:b w:val="0"/>
          <w:i w:val="0"/>
          <w:sz w:val="24"/>
          <w:szCs w:val="24"/>
        </w:rPr>
      </w:pPr>
      <w:r w:rsidRPr="00DC3FC9">
        <w:rPr>
          <w:b w:val="0"/>
          <w:i w:val="0"/>
          <w:sz w:val="24"/>
          <w:szCs w:val="24"/>
        </w:rPr>
        <w:t>2.3</w:t>
      </w:r>
      <w:r w:rsidRPr="00DC3FC9">
        <w:rPr>
          <w:b w:val="0"/>
          <w:i w:val="0"/>
          <w:sz w:val="24"/>
          <w:szCs w:val="24"/>
        </w:rPr>
        <w:tab/>
      </w:r>
      <w:r w:rsidRPr="00DC3FC9">
        <w:rPr>
          <w:b w:val="0"/>
          <w:i w:val="0"/>
          <w:sz w:val="24"/>
          <w:szCs w:val="24"/>
        </w:rPr>
        <w:tab/>
        <w:t xml:space="preserve">Advice Services are important for individuals and for the Council.  Unexpected </w:t>
      </w:r>
      <w:r w:rsidRPr="00DC3FC9">
        <w:rPr>
          <w:b w:val="0"/>
          <w:i w:val="0"/>
          <w:sz w:val="24"/>
          <w:szCs w:val="24"/>
        </w:rPr>
        <w:tab/>
      </w:r>
      <w:r w:rsidRPr="00DC3FC9">
        <w:rPr>
          <w:b w:val="0"/>
          <w:i w:val="0"/>
          <w:sz w:val="24"/>
          <w:szCs w:val="24"/>
        </w:rPr>
        <w:tab/>
      </w:r>
      <w:r w:rsidRPr="00DC3FC9">
        <w:rPr>
          <w:b w:val="0"/>
          <w:i w:val="0"/>
          <w:sz w:val="24"/>
          <w:szCs w:val="24"/>
        </w:rPr>
        <w:tab/>
        <w:t xml:space="preserve">events, such as illness, redundancy, low income, can place people in situations </w:t>
      </w:r>
      <w:r w:rsidRPr="00DC3FC9">
        <w:rPr>
          <w:b w:val="0"/>
          <w:i w:val="0"/>
          <w:sz w:val="24"/>
          <w:szCs w:val="24"/>
        </w:rPr>
        <w:tab/>
      </w:r>
      <w:r w:rsidRPr="00DC3FC9">
        <w:rPr>
          <w:b w:val="0"/>
          <w:i w:val="0"/>
          <w:sz w:val="24"/>
          <w:szCs w:val="24"/>
        </w:rPr>
        <w:tab/>
      </w:r>
      <w:r w:rsidRPr="00DC3FC9">
        <w:rPr>
          <w:b w:val="0"/>
          <w:i w:val="0"/>
          <w:sz w:val="24"/>
          <w:szCs w:val="24"/>
        </w:rPr>
        <w:tab/>
        <w:t xml:space="preserve">where they need advice.  Without access to timely information, advice and guidance </w:t>
      </w:r>
    </w:p>
    <w:p w:rsidR="00A562FE" w:rsidRDefault="00A562FE" w:rsidP="00A562FE">
      <w:pPr>
        <w:pStyle w:val="Heading2"/>
        <w:numPr>
          <w:ilvl w:val="1"/>
          <w:numId w:val="0"/>
        </w:numPr>
        <w:tabs>
          <w:tab w:val="num" w:pos="576"/>
        </w:tabs>
        <w:spacing w:before="0" w:after="0"/>
        <w:ind w:left="720"/>
        <w:rPr>
          <w:b w:val="0"/>
          <w:i w:val="0"/>
          <w:sz w:val="24"/>
          <w:szCs w:val="24"/>
        </w:rPr>
      </w:pPr>
      <w:r w:rsidRPr="00DC3FC9">
        <w:rPr>
          <w:b w:val="0"/>
          <w:i w:val="0"/>
          <w:sz w:val="24"/>
          <w:szCs w:val="24"/>
        </w:rPr>
        <w:t>and, in some cases, more involved casework, many people are unable to manage their situation successfully.</w:t>
      </w:r>
    </w:p>
    <w:p w:rsidR="00A562FE" w:rsidRPr="0063603D" w:rsidRDefault="00A562FE" w:rsidP="00A562FE"/>
    <w:p w:rsidR="00A562FE" w:rsidRPr="00DC3FC9" w:rsidRDefault="00A562FE" w:rsidP="00A562FE">
      <w:pPr>
        <w:pStyle w:val="Heading2"/>
        <w:numPr>
          <w:ilvl w:val="1"/>
          <w:numId w:val="0"/>
        </w:numPr>
        <w:tabs>
          <w:tab w:val="num" w:pos="576"/>
        </w:tabs>
        <w:spacing w:before="0" w:after="0"/>
        <w:ind w:left="720"/>
        <w:rPr>
          <w:b w:val="0"/>
          <w:i w:val="0"/>
          <w:sz w:val="24"/>
          <w:szCs w:val="24"/>
        </w:rPr>
      </w:pPr>
      <w:r>
        <w:rPr>
          <w:b w:val="0"/>
          <w:i w:val="0"/>
          <w:sz w:val="24"/>
          <w:szCs w:val="24"/>
        </w:rPr>
        <w:t xml:space="preserve">If appropriate and timely advice is not available issues </w:t>
      </w:r>
      <w:r w:rsidRPr="00DC3FC9">
        <w:rPr>
          <w:b w:val="0"/>
          <w:i w:val="0"/>
          <w:sz w:val="24"/>
          <w:szCs w:val="24"/>
        </w:rPr>
        <w:t xml:space="preserve">can </w:t>
      </w:r>
      <w:r>
        <w:rPr>
          <w:b w:val="0"/>
          <w:i w:val="0"/>
          <w:sz w:val="24"/>
          <w:szCs w:val="24"/>
        </w:rPr>
        <w:t>escalate</w:t>
      </w:r>
      <w:r w:rsidRPr="00DC3FC9">
        <w:rPr>
          <w:b w:val="0"/>
          <w:i w:val="0"/>
          <w:sz w:val="24"/>
          <w:szCs w:val="24"/>
        </w:rPr>
        <w:t>, which may lead to more serious problems such as homelessness, ill-health, particularly mental ill health, and crime.  This creates problems and pressures, which imp</w:t>
      </w:r>
      <w:r>
        <w:rPr>
          <w:b w:val="0"/>
          <w:i w:val="0"/>
          <w:sz w:val="24"/>
          <w:szCs w:val="24"/>
        </w:rPr>
        <w:t xml:space="preserve">act on Council and other public </w:t>
      </w:r>
      <w:r w:rsidRPr="00DC3FC9">
        <w:rPr>
          <w:b w:val="0"/>
          <w:i w:val="0"/>
          <w:sz w:val="24"/>
          <w:szCs w:val="24"/>
        </w:rPr>
        <w:t xml:space="preserve">services.  The Advice Services Alliance argues in </w:t>
      </w:r>
      <w:r w:rsidRPr="00DC3FC9">
        <w:rPr>
          <w:b w:val="0"/>
          <w:sz w:val="24"/>
          <w:szCs w:val="24"/>
        </w:rPr>
        <w:t>The Case for Advice</w:t>
      </w:r>
      <w:r w:rsidRPr="00DC3FC9">
        <w:rPr>
          <w:b w:val="0"/>
          <w:i w:val="0"/>
          <w:sz w:val="24"/>
          <w:szCs w:val="24"/>
        </w:rPr>
        <w:t xml:space="preserve"> (2010) that advice has a positive impact on at least four areas of life:</w:t>
      </w:r>
    </w:p>
    <w:p w:rsidR="00A562FE" w:rsidRPr="00DC3FC9" w:rsidRDefault="00A562FE" w:rsidP="00A562FE">
      <w:pPr>
        <w:pStyle w:val="Heading2"/>
        <w:numPr>
          <w:ilvl w:val="1"/>
          <w:numId w:val="2"/>
        </w:numPr>
        <w:tabs>
          <w:tab w:val="left" w:pos="2700"/>
        </w:tabs>
        <w:spacing w:before="0" w:after="0"/>
        <w:ind w:left="357" w:firstLine="1983"/>
        <w:rPr>
          <w:b w:val="0"/>
          <w:i w:val="0"/>
          <w:sz w:val="24"/>
          <w:szCs w:val="24"/>
        </w:rPr>
      </w:pPr>
      <w:r w:rsidRPr="00DC3FC9">
        <w:rPr>
          <w:b w:val="0"/>
          <w:i w:val="0"/>
          <w:sz w:val="24"/>
          <w:szCs w:val="24"/>
        </w:rPr>
        <w:t>Health and well-being</w:t>
      </w:r>
    </w:p>
    <w:p w:rsidR="00A562FE" w:rsidRPr="00DC3FC9" w:rsidRDefault="00A562FE" w:rsidP="00A562FE">
      <w:pPr>
        <w:numPr>
          <w:ilvl w:val="0"/>
          <w:numId w:val="1"/>
        </w:numPr>
        <w:tabs>
          <w:tab w:val="clear" w:pos="3240"/>
        </w:tabs>
        <w:ind w:left="2700"/>
        <w:rPr>
          <w:rFonts w:ascii="Arial" w:hAnsi="Arial" w:cs="Arial"/>
        </w:rPr>
      </w:pPr>
      <w:r w:rsidRPr="00DC3FC9">
        <w:rPr>
          <w:rFonts w:ascii="Arial" w:hAnsi="Arial" w:cs="Arial"/>
        </w:rPr>
        <w:t>Creating opportunity</w:t>
      </w:r>
    </w:p>
    <w:p w:rsidR="00A562FE" w:rsidRPr="00DC3FC9" w:rsidRDefault="00A562FE" w:rsidP="00A562FE">
      <w:pPr>
        <w:numPr>
          <w:ilvl w:val="0"/>
          <w:numId w:val="1"/>
        </w:numPr>
        <w:tabs>
          <w:tab w:val="clear" w:pos="3240"/>
        </w:tabs>
        <w:ind w:left="2700"/>
        <w:rPr>
          <w:rFonts w:ascii="Arial" w:hAnsi="Arial" w:cs="Arial"/>
        </w:rPr>
      </w:pPr>
      <w:r w:rsidRPr="00DC3FC9">
        <w:rPr>
          <w:rFonts w:ascii="Arial" w:hAnsi="Arial" w:cs="Arial"/>
        </w:rPr>
        <w:t>Promoting fairness and overcoming disadvantage</w:t>
      </w:r>
    </w:p>
    <w:p w:rsidR="00A562FE" w:rsidRPr="00DC3FC9" w:rsidRDefault="00A562FE" w:rsidP="00A562FE">
      <w:pPr>
        <w:numPr>
          <w:ilvl w:val="0"/>
          <w:numId w:val="1"/>
        </w:numPr>
        <w:tabs>
          <w:tab w:val="clear" w:pos="3240"/>
        </w:tabs>
        <w:ind w:left="2700"/>
        <w:rPr>
          <w:rFonts w:ascii="Arial" w:hAnsi="Arial" w:cs="Arial"/>
        </w:rPr>
      </w:pPr>
      <w:r w:rsidRPr="00DC3FC9">
        <w:rPr>
          <w:rFonts w:ascii="Arial" w:hAnsi="Arial" w:cs="Arial"/>
        </w:rPr>
        <w:t>Improving public services and cutting waste</w:t>
      </w:r>
    </w:p>
    <w:p w:rsidR="00A562FE" w:rsidRDefault="00A562FE" w:rsidP="00A562FE">
      <w:pPr>
        <w:ind w:left="2340"/>
        <w:rPr>
          <w:rFonts w:ascii="Arial" w:hAnsi="Arial" w:cs="Arial"/>
        </w:rPr>
      </w:pPr>
    </w:p>
    <w:p w:rsidR="00A562FE" w:rsidRPr="008D3895" w:rsidRDefault="00A562FE" w:rsidP="00A562FE">
      <w:pPr>
        <w:numPr>
          <w:ilvl w:val="1"/>
          <w:numId w:val="12"/>
        </w:numPr>
        <w:rPr>
          <w:rFonts w:ascii="Arial" w:hAnsi="Arial" w:cs="Arial"/>
        </w:rPr>
      </w:pPr>
      <w:r w:rsidRPr="008D3895">
        <w:rPr>
          <w:rFonts w:ascii="Arial" w:hAnsi="Arial" w:cs="Arial"/>
        </w:rPr>
        <w:t>Existing Service Provision Local</w:t>
      </w:r>
    </w:p>
    <w:p w:rsidR="00A562FE" w:rsidRDefault="00A562FE" w:rsidP="00A562FE">
      <w:pPr>
        <w:ind w:left="570"/>
        <w:rPr>
          <w:rFonts w:ascii="Arial" w:hAnsi="Arial" w:cs="Arial"/>
          <w:b/>
        </w:rPr>
      </w:pPr>
    </w:p>
    <w:p w:rsidR="00A562FE" w:rsidRPr="0063603D" w:rsidRDefault="00A562FE" w:rsidP="00A562FE">
      <w:pPr>
        <w:ind w:left="570" w:firstLine="150"/>
        <w:rPr>
          <w:rFonts w:ascii="Arial" w:hAnsi="Arial" w:cs="Arial"/>
          <w:b/>
        </w:rPr>
      </w:pPr>
      <w:r>
        <w:rPr>
          <w:rFonts w:ascii="Arial" w:hAnsi="Arial" w:cs="Arial"/>
          <w:b/>
        </w:rPr>
        <w:t>Main provision</w:t>
      </w:r>
    </w:p>
    <w:p w:rsidR="00A562FE" w:rsidRDefault="00A562FE" w:rsidP="00A562FE">
      <w:pPr>
        <w:ind w:left="720" w:hanging="720"/>
        <w:rPr>
          <w:rFonts w:ascii="Arial" w:hAnsi="Arial" w:cs="Arial"/>
        </w:rPr>
      </w:pPr>
      <w:r w:rsidRPr="00DC3FC9">
        <w:rPr>
          <w:rFonts w:ascii="Arial" w:hAnsi="Arial" w:cs="Arial"/>
        </w:rPr>
        <w:tab/>
        <w:t xml:space="preserve">In </w:t>
      </w:r>
      <w:r>
        <w:rPr>
          <w:rFonts w:ascii="Arial" w:hAnsi="Arial" w:cs="Arial"/>
        </w:rPr>
        <w:t xml:space="preserve">the Rochford District the main provider of a local advice service is the Rochford &amp; Rayleigh Citizens Advice Bureau (CAB). </w:t>
      </w:r>
      <w:r w:rsidRPr="00DC3FC9">
        <w:rPr>
          <w:rFonts w:ascii="Arial" w:hAnsi="Arial" w:cs="Arial"/>
        </w:rPr>
        <w:t xml:space="preserve"> </w:t>
      </w:r>
      <w:r>
        <w:rPr>
          <w:rFonts w:ascii="Arial" w:hAnsi="Arial" w:cs="Arial"/>
        </w:rPr>
        <w:t>This service is delivered from premises in Back Lane, Rochford and in the Civic Suite, Rayleigh, supplied free of charge by the Council.</w:t>
      </w:r>
    </w:p>
    <w:p w:rsidR="00A562FE" w:rsidRDefault="00A562FE" w:rsidP="00A562FE">
      <w:pPr>
        <w:ind w:left="720" w:hanging="720"/>
        <w:rPr>
          <w:rFonts w:ascii="Arial" w:hAnsi="Arial" w:cs="Arial"/>
        </w:rPr>
      </w:pPr>
      <w:r>
        <w:rPr>
          <w:rFonts w:ascii="Arial" w:hAnsi="Arial" w:cs="Arial"/>
        </w:rPr>
        <w:tab/>
      </w:r>
    </w:p>
    <w:p w:rsidR="00A562FE" w:rsidRDefault="00A562FE" w:rsidP="00A562FE">
      <w:pPr>
        <w:ind w:left="720" w:hanging="720"/>
        <w:rPr>
          <w:rFonts w:ascii="Arial" w:hAnsi="Arial" w:cs="Arial"/>
        </w:rPr>
      </w:pPr>
      <w:r>
        <w:rPr>
          <w:rFonts w:ascii="Arial" w:hAnsi="Arial" w:cs="Arial"/>
        </w:rPr>
        <w:tab/>
        <w:t>The Rochford &amp; Rayleigh CAB are currently open to the public for 20 hours per week:</w:t>
      </w:r>
    </w:p>
    <w:p w:rsidR="00A562FE" w:rsidRPr="00614940" w:rsidRDefault="00A562FE" w:rsidP="00A562FE">
      <w:pPr>
        <w:pStyle w:val="NormalWeb"/>
        <w:shd w:val="clear" w:color="auto" w:fill="FFFFFF"/>
        <w:ind w:left="720"/>
        <w:rPr>
          <w:rFonts w:ascii="Arial" w:hAnsi="Arial" w:cs="Arial"/>
          <w:color w:val="000000"/>
        </w:rPr>
      </w:pPr>
      <w:r w:rsidRPr="00614940">
        <w:rPr>
          <w:rFonts w:ascii="Arial" w:hAnsi="Arial" w:cs="Arial"/>
          <w:b/>
          <w:bCs/>
          <w:color w:val="000000"/>
        </w:rPr>
        <w:t>Rochford Office</w:t>
      </w:r>
      <w:r w:rsidRPr="00614940">
        <w:rPr>
          <w:rFonts w:ascii="Arial" w:hAnsi="Arial" w:cs="Arial"/>
          <w:color w:val="000000"/>
        </w:rPr>
        <w:br/>
        <w:t>Tuesday</w:t>
      </w:r>
      <w:r>
        <w:rPr>
          <w:rFonts w:ascii="Arial" w:hAnsi="Arial" w:cs="Arial"/>
          <w:color w:val="000000"/>
        </w:rPr>
        <w:t xml:space="preserve"> 10am - 2pm</w:t>
      </w:r>
      <w:r>
        <w:rPr>
          <w:rFonts w:ascii="Arial" w:hAnsi="Arial" w:cs="Arial"/>
          <w:color w:val="000000"/>
        </w:rPr>
        <w:br/>
        <w:t>Thursday 10am - 2pm</w:t>
      </w:r>
    </w:p>
    <w:p w:rsidR="00A562FE" w:rsidRDefault="00A562FE" w:rsidP="00A562FE">
      <w:pPr>
        <w:shd w:val="clear" w:color="auto" w:fill="FFFFFF"/>
        <w:spacing w:afterAutospacing="1"/>
        <w:ind w:left="720"/>
        <w:rPr>
          <w:rFonts w:ascii="Arial" w:hAnsi="Arial" w:cs="Arial"/>
          <w:color w:val="000000"/>
        </w:rPr>
      </w:pPr>
      <w:r w:rsidRPr="00614940">
        <w:rPr>
          <w:rFonts w:ascii="Arial" w:hAnsi="Arial" w:cs="Arial"/>
          <w:b/>
          <w:bCs/>
          <w:color w:val="000000"/>
        </w:rPr>
        <w:t>Rayleigh Office</w:t>
      </w:r>
      <w:r w:rsidRPr="00614940">
        <w:rPr>
          <w:rFonts w:ascii="Arial" w:hAnsi="Arial" w:cs="Arial"/>
          <w:color w:val="000000"/>
        </w:rPr>
        <w:br/>
        <w:t>Monday 10am - 2pm</w:t>
      </w:r>
      <w:r w:rsidRPr="00614940">
        <w:rPr>
          <w:rFonts w:ascii="Arial" w:hAnsi="Arial" w:cs="Arial"/>
          <w:color w:val="000000"/>
        </w:rPr>
        <w:br/>
        <w:t>Thursd</w:t>
      </w:r>
      <w:r>
        <w:rPr>
          <w:rFonts w:ascii="Arial" w:hAnsi="Arial" w:cs="Arial"/>
          <w:color w:val="000000"/>
        </w:rPr>
        <w:t>ay 10am - 2pm</w:t>
      </w:r>
      <w:r>
        <w:rPr>
          <w:rFonts w:ascii="Arial" w:hAnsi="Arial" w:cs="Arial"/>
          <w:color w:val="000000"/>
        </w:rPr>
        <w:br/>
        <w:t>Friday 10am - 2pm</w:t>
      </w:r>
    </w:p>
    <w:p w:rsidR="00A562FE" w:rsidRPr="00C40047" w:rsidRDefault="00A562FE" w:rsidP="00A562FE">
      <w:pPr>
        <w:shd w:val="clear" w:color="auto" w:fill="FFFFFF"/>
        <w:spacing w:afterAutospacing="1"/>
        <w:ind w:left="720"/>
        <w:rPr>
          <w:rFonts w:ascii="Arial" w:hAnsi="Arial" w:cs="Arial"/>
          <w:color w:val="000000"/>
        </w:rPr>
      </w:pPr>
      <w:r w:rsidRPr="00C40047">
        <w:rPr>
          <w:rFonts w:ascii="Arial" w:hAnsi="Arial" w:cs="Arial"/>
          <w:bCs/>
          <w:color w:val="000000"/>
        </w:rPr>
        <w:t>Outreach sessions have also recently started in Hockley</w:t>
      </w:r>
      <w:r>
        <w:rPr>
          <w:rFonts w:ascii="Arial" w:hAnsi="Arial" w:cs="Arial"/>
          <w:bCs/>
          <w:color w:val="000000"/>
        </w:rPr>
        <w:t>, operating for two hours at least monthly.</w:t>
      </w:r>
    </w:p>
    <w:p w:rsidR="00A562FE" w:rsidRDefault="00A562FE" w:rsidP="00A562FE">
      <w:pPr>
        <w:rPr>
          <w:rFonts w:ascii="Arial" w:hAnsi="Arial" w:cs="Arial"/>
        </w:rPr>
      </w:pPr>
    </w:p>
    <w:p w:rsidR="00A562FE" w:rsidRPr="008D3895" w:rsidRDefault="00A562FE" w:rsidP="00A562FE">
      <w:pPr>
        <w:ind w:left="720" w:hanging="720"/>
        <w:rPr>
          <w:rFonts w:ascii="Arial" w:hAnsi="Arial" w:cs="Arial"/>
          <w:b/>
          <w:color w:val="FF0000"/>
        </w:rPr>
      </w:pPr>
      <w:r>
        <w:rPr>
          <w:rFonts w:ascii="Arial" w:hAnsi="Arial" w:cs="Arial"/>
        </w:rPr>
        <w:lastRenderedPageBreak/>
        <w:tab/>
      </w:r>
      <w:r w:rsidRPr="006E5421">
        <w:rPr>
          <w:rFonts w:ascii="Arial" w:hAnsi="Arial" w:cs="Arial"/>
          <w:b/>
        </w:rPr>
        <w:t xml:space="preserve">Other </w:t>
      </w:r>
      <w:r>
        <w:rPr>
          <w:rFonts w:ascii="Arial" w:hAnsi="Arial" w:cs="Arial"/>
          <w:b/>
        </w:rPr>
        <w:t>organisations offering advice in the District include</w:t>
      </w:r>
      <w:r w:rsidRPr="006E5421">
        <w:rPr>
          <w:rFonts w:ascii="Arial" w:hAnsi="Arial" w:cs="Arial"/>
          <w:b/>
        </w:rPr>
        <w:t>:</w:t>
      </w:r>
      <w:r>
        <w:rPr>
          <w:rFonts w:ascii="Arial" w:hAnsi="Arial" w:cs="Arial"/>
          <w:b/>
        </w:rPr>
        <w:t xml:space="preserve"> </w:t>
      </w:r>
      <w:r w:rsidRPr="00697080">
        <w:rPr>
          <w:rFonts w:ascii="Arial" w:hAnsi="Arial" w:cs="Arial"/>
        </w:rPr>
        <w:t>Age UK, Basildon Women’s Aid, DIAL</w:t>
      </w:r>
      <w:r>
        <w:rPr>
          <w:rFonts w:ascii="Arial" w:hAnsi="Arial" w:cs="Arial"/>
        </w:rPr>
        <w:t>, Community Church Rochford, Family Mosaic.</w:t>
      </w:r>
      <w:r w:rsidRPr="00697080">
        <w:rPr>
          <w:rFonts w:ascii="Arial" w:hAnsi="Arial" w:cs="Arial"/>
          <w:b/>
          <w:color w:val="FF0000"/>
        </w:rPr>
        <w:t xml:space="preserve"> </w:t>
      </w:r>
    </w:p>
    <w:p w:rsidR="00A562FE" w:rsidRDefault="00A562FE" w:rsidP="00A562FE">
      <w:pPr>
        <w:rPr>
          <w:rFonts w:ascii="Arial" w:hAnsi="Arial" w:cs="Arial"/>
          <w:b/>
          <w:color w:val="FF0000"/>
        </w:rPr>
      </w:pPr>
    </w:p>
    <w:p w:rsidR="00A562FE" w:rsidRPr="00942FEB" w:rsidRDefault="00A562FE" w:rsidP="00A562FE">
      <w:pPr>
        <w:numPr>
          <w:ilvl w:val="1"/>
          <w:numId w:val="12"/>
        </w:numPr>
        <w:rPr>
          <w:rFonts w:ascii="Arial" w:hAnsi="Arial" w:cs="Arial"/>
        </w:rPr>
      </w:pPr>
      <w:r>
        <w:rPr>
          <w:rFonts w:ascii="Arial" w:hAnsi="Arial" w:cs="Arial"/>
        </w:rPr>
        <w:t>Restricted funding for the Advice 360 project was secured for specialist debt, employment, housing and benefits advice but this falls outside of the core service. This funding was secured through the Big Lottery Advice Services Transition Fund and ends on 31 August 2015.  If sufficient funding is not available from other sources, the service will need to be run down prior to this date.</w:t>
      </w:r>
    </w:p>
    <w:p w:rsidR="00A562FE" w:rsidRPr="008D3895" w:rsidRDefault="00A562FE" w:rsidP="00A562FE">
      <w:pPr>
        <w:ind w:left="1440" w:hanging="720"/>
        <w:rPr>
          <w:rFonts w:ascii="Arial" w:hAnsi="Arial" w:cs="Arial"/>
          <w:b/>
          <w:color w:val="FF0000"/>
        </w:rPr>
      </w:pPr>
    </w:p>
    <w:p w:rsidR="00A562FE" w:rsidRDefault="00A562FE" w:rsidP="00A562FE">
      <w:pPr>
        <w:numPr>
          <w:ilvl w:val="1"/>
          <w:numId w:val="12"/>
        </w:numPr>
        <w:ind w:right="26"/>
        <w:rPr>
          <w:rFonts w:ascii="Arial" w:hAnsi="Arial" w:cs="Arial"/>
        </w:rPr>
      </w:pPr>
      <w:r w:rsidRPr="00DC3FC9">
        <w:rPr>
          <w:rFonts w:ascii="Arial" w:hAnsi="Arial" w:cs="Arial"/>
        </w:rPr>
        <w:t xml:space="preserve">The range of issues dealt with by the </w:t>
      </w:r>
      <w:r>
        <w:rPr>
          <w:rFonts w:ascii="Arial" w:hAnsi="Arial" w:cs="Arial"/>
        </w:rPr>
        <w:t xml:space="preserve">Rochford &amp; Rayleigh CAB </w:t>
      </w:r>
      <w:r w:rsidRPr="00DC3FC9">
        <w:rPr>
          <w:rFonts w:ascii="Arial" w:hAnsi="Arial" w:cs="Arial"/>
        </w:rPr>
        <w:t>is set out in the table below and shows that the ove</w:t>
      </w:r>
      <w:r>
        <w:rPr>
          <w:rFonts w:ascii="Arial" w:hAnsi="Arial" w:cs="Arial"/>
        </w:rPr>
        <w:t xml:space="preserve">rwhelming </w:t>
      </w:r>
      <w:r w:rsidRPr="00DC3FC9">
        <w:rPr>
          <w:rFonts w:ascii="Arial" w:hAnsi="Arial" w:cs="Arial"/>
        </w:rPr>
        <w:t xml:space="preserve">majority of casework concerns issues relating to welfare benefits and to debt. </w:t>
      </w:r>
    </w:p>
    <w:p w:rsidR="00A562FE" w:rsidRDefault="00A562FE" w:rsidP="00A562FE">
      <w:pPr>
        <w:ind w:left="570" w:right="26"/>
        <w:rPr>
          <w:rFonts w:ascii="Arial" w:hAnsi="Arial" w:cs="Arial"/>
        </w:rPr>
      </w:pPr>
      <w:r>
        <w:rPr>
          <w:rFonts w:ascii="Arial" w:hAnsi="Arial" w:cs="Arial"/>
        </w:rPr>
        <w:t xml:space="preserve"> </w:t>
      </w:r>
    </w:p>
    <w:p w:rsidR="00A562FE" w:rsidRDefault="00A562FE" w:rsidP="00A562FE">
      <w:pPr>
        <w:ind w:left="570" w:right="26"/>
        <w:rPr>
          <w:rFonts w:ascii="Arial" w:hAnsi="Arial" w:cs="Arial"/>
        </w:rPr>
      </w:pPr>
      <w:r>
        <w:rPr>
          <w:rFonts w:ascii="Arial" w:hAnsi="Arial" w:cs="Arial"/>
        </w:rPr>
        <w:t xml:space="preserve">The </w:t>
      </w:r>
      <w:r w:rsidRPr="00DC3FC9">
        <w:rPr>
          <w:rFonts w:ascii="Arial" w:hAnsi="Arial" w:cs="Arial"/>
        </w:rPr>
        <w:t>data suggests that advice services can play a ke</w:t>
      </w:r>
      <w:r>
        <w:rPr>
          <w:rFonts w:ascii="Arial" w:hAnsi="Arial" w:cs="Arial"/>
        </w:rPr>
        <w:t xml:space="preserve">y role in tackling poverty and </w:t>
      </w:r>
      <w:r w:rsidRPr="00DC3FC9">
        <w:rPr>
          <w:rFonts w:ascii="Arial" w:hAnsi="Arial" w:cs="Arial"/>
        </w:rPr>
        <w:t xml:space="preserve">increasing social justice by assisting local people on a </w:t>
      </w:r>
      <w:r>
        <w:rPr>
          <w:rFonts w:ascii="Arial" w:hAnsi="Arial" w:cs="Arial"/>
        </w:rPr>
        <w:t xml:space="preserve">low income to claim their full </w:t>
      </w:r>
      <w:r w:rsidRPr="00DC3FC9">
        <w:rPr>
          <w:rFonts w:ascii="Arial" w:hAnsi="Arial" w:cs="Arial"/>
        </w:rPr>
        <w:t>benefit entitl</w:t>
      </w:r>
      <w:r>
        <w:rPr>
          <w:rFonts w:ascii="Arial" w:hAnsi="Arial" w:cs="Arial"/>
        </w:rPr>
        <w:t>ements and manage their debts. Analysis of the data published by the Rochford and Rayleigh CAB for 2013/14 shows that the two main sources of advice issues are related to benefits and debt:</w:t>
      </w:r>
    </w:p>
    <w:p w:rsidR="00A562FE" w:rsidRPr="00DC3FC9" w:rsidRDefault="00A562FE" w:rsidP="00A562FE">
      <w:pPr>
        <w:ind w:left="570" w:right="26"/>
        <w:rPr>
          <w:rFonts w:ascii="Arial" w:hAnsi="Arial" w:cs="Arial"/>
        </w:rPr>
      </w:pPr>
    </w:p>
    <w:p w:rsidR="00A562FE" w:rsidRPr="00DC3FC9" w:rsidRDefault="00A562FE" w:rsidP="00A562FE">
      <w:pPr>
        <w:rPr>
          <w:rFonts w:ascii="Arial" w:hAnsi="Arial" w:cs="Arial"/>
          <w:b/>
        </w:rPr>
      </w:pPr>
      <w:r w:rsidRPr="00DC3FC9">
        <w:rPr>
          <w:rFonts w:ascii="Arial" w:hAnsi="Arial" w:cs="Arial"/>
        </w:rPr>
        <w:tab/>
      </w:r>
      <w:r>
        <w:rPr>
          <w:rFonts w:ascii="Arial" w:hAnsi="Arial" w:cs="Arial"/>
          <w:b/>
        </w:rPr>
        <w:t>Chart</w:t>
      </w:r>
      <w:r w:rsidRPr="00DC3FC9">
        <w:rPr>
          <w:rFonts w:ascii="Arial" w:hAnsi="Arial" w:cs="Arial"/>
          <w:b/>
        </w:rPr>
        <w:t xml:space="preserve"> 1</w:t>
      </w:r>
      <w:r>
        <w:rPr>
          <w:rFonts w:ascii="Arial" w:hAnsi="Arial" w:cs="Arial"/>
          <w:b/>
        </w:rPr>
        <w:t>:</w:t>
      </w:r>
      <w:r w:rsidRPr="00DC3FC9">
        <w:rPr>
          <w:rFonts w:ascii="Arial" w:hAnsi="Arial" w:cs="Arial"/>
          <w:b/>
        </w:rPr>
        <w:t xml:space="preserve"> </w:t>
      </w:r>
      <w:r>
        <w:rPr>
          <w:rFonts w:ascii="Arial" w:hAnsi="Arial" w:cs="Arial"/>
        </w:rPr>
        <w:t>Advice i</w:t>
      </w:r>
      <w:r w:rsidRPr="008F3CBB">
        <w:rPr>
          <w:rFonts w:ascii="Arial" w:hAnsi="Arial" w:cs="Arial"/>
        </w:rPr>
        <w:t>ssues</w:t>
      </w:r>
      <w:r w:rsidRPr="00DC3FC9">
        <w:rPr>
          <w:rFonts w:ascii="Arial" w:hAnsi="Arial" w:cs="Arial"/>
          <w:b/>
        </w:rPr>
        <w:t xml:space="preserve"> </w:t>
      </w:r>
      <w:r w:rsidRPr="008D3895">
        <w:rPr>
          <w:rFonts w:ascii="Arial" w:hAnsi="Arial" w:cs="Arial"/>
        </w:rPr>
        <w:t>handled by Rochford &amp; Rayleigh CAB</w:t>
      </w:r>
      <w:r>
        <w:rPr>
          <w:rFonts w:ascii="Arial" w:hAnsi="Arial" w:cs="Arial"/>
        </w:rPr>
        <w:t>, 2013/14</w:t>
      </w:r>
    </w:p>
    <w:p w:rsidR="00A562FE" w:rsidRPr="00DC3FC9" w:rsidRDefault="00A562FE" w:rsidP="00A562FE">
      <w:pPr>
        <w:ind w:left="993"/>
        <w:rPr>
          <w:rFonts w:ascii="Arial" w:hAnsi="Arial" w:cs="Arial"/>
          <w:b/>
        </w:rPr>
      </w:pPr>
    </w:p>
    <w:p w:rsidR="00A562FE" w:rsidRDefault="00A562FE" w:rsidP="00A562FE">
      <w:pPr>
        <w:pStyle w:val="Heading2"/>
        <w:numPr>
          <w:ilvl w:val="1"/>
          <w:numId w:val="0"/>
        </w:numPr>
        <w:spacing w:before="0" w:after="0"/>
        <w:rPr>
          <w:b w:val="0"/>
          <w:bCs w:val="0"/>
          <w:i w:val="0"/>
          <w:iCs w:val="0"/>
          <w:sz w:val="24"/>
          <w:szCs w:val="24"/>
        </w:rPr>
      </w:pPr>
      <w:r>
        <w:rPr>
          <w:b w:val="0"/>
          <w:bCs w:val="0"/>
          <w:i w:val="0"/>
          <w:iCs w:val="0"/>
          <w:sz w:val="24"/>
          <w:szCs w:val="24"/>
        </w:rPr>
        <w:tab/>
      </w:r>
      <w:r>
        <w:rPr>
          <w:b w:val="0"/>
          <w:bCs w:val="0"/>
          <w:i w:val="0"/>
          <w:iCs w:val="0"/>
          <w:sz w:val="24"/>
          <w:szCs w:val="24"/>
        </w:rPr>
        <w:tab/>
      </w:r>
      <w:r>
        <w:rPr>
          <w:b w:val="0"/>
          <w:bCs w:val="0"/>
          <w:i w:val="0"/>
          <w:iCs w:val="0"/>
          <w:noProof/>
          <w:sz w:val="24"/>
          <w:szCs w:val="24"/>
        </w:rPr>
        <w:drawing>
          <wp:inline distT="0" distB="0" distL="0" distR="0">
            <wp:extent cx="4572000" cy="440817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62FE" w:rsidRDefault="00A562FE" w:rsidP="00A562FE"/>
    <w:p w:rsidR="00A562FE" w:rsidRDefault="00A562FE" w:rsidP="00A562FE"/>
    <w:p w:rsidR="00A562FE" w:rsidRDefault="00A562FE" w:rsidP="00A562FE"/>
    <w:p w:rsidR="00A562FE" w:rsidRPr="002F5849" w:rsidRDefault="00A562FE" w:rsidP="00A562FE"/>
    <w:p w:rsidR="00A562FE" w:rsidRDefault="00A562FE" w:rsidP="00A562FE">
      <w:pPr>
        <w:pStyle w:val="Heading2"/>
        <w:numPr>
          <w:ilvl w:val="1"/>
          <w:numId w:val="0"/>
        </w:numPr>
        <w:spacing w:before="0" w:after="0"/>
        <w:ind w:left="720" w:hanging="720"/>
        <w:rPr>
          <w:b w:val="0"/>
          <w:i w:val="0"/>
          <w:sz w:val="24"/>
          <w:szCs w:val="24"/>
        </w:rPr>
      </w:pPr>
      <w:r>
        <w:rPr>
          <w:b w:val="0"/>
          <w:i w:val="0"/>
          <w:sz w:val="24"/>
          <w:szCs w:val="24"/>
        </w:rPr>
        <w:lastRenderedPageBreak/>
        <w:t>2.6</w:t>
      </w:r>
      <w:r w:rsidRPr="00DC3FC9">
        <w:rPr>
          <w:b w:val="0"/>
          <w:i w:val="0"/>
          <w:sz w:val="24"/>
          <w:szCs w:val="24"/>
        </w:rPr>
        <w:tab/>
        <w:t xml:space="preserve">The Council’s current </w:t>
      </w:r>
      <w:r>
        <w:rPr>
          <w:b w:val="0"/>
          <w:i w:val="0"/>
          <w:sz w:val="24"/>
          <w:szCs w:val="24"/>
        </w:rPr>
        <w:t xml:space="preserve">(2015/16) direct </w:t>
      </w:r>
      <w:r w:rsidRPr="00DC3FC9">
        <w:rPr>
          <w:b w:val="0"/>
          <w:i w:val="0"/>
          <w:sz w:val="24"/>
          <w:szCs w:val="24"/>
        </w:rPr>
        <w:t>investment in the voluntary advice sector is</w:t>
      </w:r>
      <w:r>
        <w:rPr>
          <w:b w:val="0"/>
          <w:i w:val="0"/>
          <w:sz w:val="24"/>
          <w:szCs w:val="24"/>
        </w:rPr>
        <w:t xml:space="preserve"> £67,000, which is paid as an annual grant to the Rochford &amp; Rayleigh CAB. T</w:t>
      </w:r>
      <w:r w:rsidRPr="008D3895">
        <w:rPr>
          <w:b w:val="0"/>
          <w:i w:val="0"/>
          <w:sz w:val="24"/>
          <w:szCs w:val="24"/>
        </w:rPr>
        <w:t xml:space="preserve">he Council provides help-in-kind to the </w:t>
      </w:r>
      <w:r>
        <w:rPr>
          <w:b w:val="0"/>
          <w:i w:val="0"/>
          <w:sz w:val="24"/>
          <w:szCs w:val="24"/>
        </w:rPr>
        <w:t>Rochford &amp; Rayleigh CAB</w:t>
      </w:r>
      <w:r w:rsidRPr="008D3895">
        <w:rPr>
          <w:b w:val="0"/>
          <w:i w:val="0"/>
          <w:sz w:val="24"/>
          <w:szCs w:val="24"/>
        </w:rPr>
        <w:t xml:space="preserve"> in the form of use of accommodation at the Civic Suite in Raylei</w:t>
      </w:r>
      <w:r>
        <w:rPr>
          <w:b w:val="0"/>
          <w:i w:val="0"/>
          <w:sz w:val="24"/>
          <w:szCs w:val="24"/>
        </w:rPr>
        <w:t>gh and in Back Lane, Rochford. 12</w:t>
      </w:r>
      <w:r w:rsidRPr="008D3895">
        <w:rPr>
          <w:b w:val="0"/>
          <w:i w:val="0"/>
          <w:sz w:val="24"/>
          <w:szCs w:val="24"/>
        </w:rPr>
        <w:t xml:space="preserve"> parking spaces are also provided. </w:t>
      </w:r>
    </w:p>
    <w:p w:rsidR="00A562FE" w:rsidRDefault="00A562FE" w:rsidP="00A562FE">
      <w:pPr>
        <w:pStyle w:val="Heading2"/>
        <w:numPr>
          <w:ilvl w:val="1"/>
          <w:numId w:val="0"/>
        </w:numPr>
        <w:spacing w:before="0" w:after="0"/>
        <w:ind w:left="720" w:hanging="720"/>
        <w:rPr>
          <w:b w:val="0"/>
          <w:i w:val="0"/>
          <w:sz w:val="24"/>
          <w:szCs w:val="24"/>
        </w:rPr>
      </w:pPr>
    </w:p>
    <w:p w:rsidR="00A562FE" w:rsidRPr="0014496C" w:rsidRDefault="00A562FE" w:rsidP="00A562FE">
      <w:pPr>
        <w:pStyle w:val="Heading2"/>
        <w:numPr>
          <w:ilvl w:val="1"/>
          <w:numId w:val="0"/>
        </w:numPr>
        <w:spacing w:before="0" w:after="0"/>
        <w:ind w:left="720" w:hanging="720"/>
        <w:rPr>
          <w:b w:val="0"/>
          <w:i w:val="0"/>
          <w:sz w:val="24"/>
          <w:szCs w:val="24"/>
        </w:rPr>
      </w:pPr>
      <w:r>
        <w:rPr>
          <w:b w:val="0"/>
          <w:i w:val="0"/>
          <w:sz w:val="24"/>
          <w:szCs w:val="24"/>
        </w:rPr>
        <w:t>2.7</w:t>
      </w:r>
      <w:r>
        <w:rPr>
          <w:b w:val="0"/>
          <w:i w:val="0"/>
          <w:sz w:val="24"/>
          <w:szCs w:val="24"/>
        </w:rPr>
        <w:tab/>
        <w:t xml:space="preserve">The Council also currently funds DIAL and Basildon Women’s Aid through its annual small grants scheme. </w:t>
      </w:r>
    </w:p>
    <w:p w:rsidR="00A562FE" w:rsidRDefault="00A562FE" w:rsidP="00A562FE">
      <w:pPr>
        <w:pStyle w:val="Heading2"/>
        <w:numPr>
          <w:ilvl w:val="1"/>
          <w:numId w:val="0"/>
        </w:numPr>
        <w:tabs>
          <w:tab w:val="left" w:pos="720"/>
        </w:tabs>
        <w:rPr>
          <w:b w:val="0"/>
          <w:i w:val="0"/>
          <w:sz w:val="24"/>
          <w:szCs w:val="24"/>
        </w:rPr>
      </w:pPr>
      <w:r>
        <w:rPr>
          <w:b w:val="0"/>
          <w:i w:val="0"/>
          <w:sz w:val="24"/>
          <w:szCs w:val="24"/>
        </w:rPr>
        <w:t>2.8</w:t>
      </w:r>
      <w:r>
        <w:rPr>
          <w:b w:val="0"/>
          <w:i w:val="0"/>
          <w:sz w:val="24"/>
          <w:szCs w:val="24"/>
        </w:rPr>
        <w:tab/>
      </w:r>
      <w:r w:rsidRPr="008B1FF3">
        <w:rPr>
          <w:b w:val="0"/>
          <w:i w:val="0"/>
          <w:sz w:val="24"/>
          <w:szCs w:val="24"/>
        </w:rPr>
        <w:t xml:space="preserve">To be effective in tackling poverty and increasing social justice, future advice </w:t>
      </w:r>
      <w:r w:rsidRPr="008B1FF3">
        <w:rPr>
          <w:b w:val="0"/>
          <w:i w:val="0"/>
          <w:sz w:val="24"/>
          <w:szCs w:val="24"/>
        </w:rPr>
        <w:tab/>
        <w:t xml:space="preserve">service delivery in the </w:t>
      </w:r>
      <w:r>
        <w:rPr>
          <w:b w:val="0"/>
          <w:i w:val="0"/>
          <w:sz w:val="24"/>
          <w:szCs w:val="24"/>
        </w:rPr>
        <w:t xml:space="preserve">District </w:t>
      </w:r>
      <w:r w:rsidRPr="008B1FF3">
        <w:rPr>
          <w:b w:val="0"/>
          <w:i w:val="0"/>
          <w:sz w:val="24"/>
          <w:szCs w:val="24"/>
        </w:rPr>
        <w:t>will have to address the two aims of</w:t>
      </w:r>
      <w:r>
        <w:rPr>
          <w:b w:val="0"/>
          <w:i w:val="0"/>
          <w:sz w:val="24"/>
          <w:szCs w:val="24"/>
        </w:rPr>
        <w:t>:</w:t>
      </w:r>
    </w:p>
    <w:p w:rsidR="00A562FE" w:rsidRDefault="00A562FE" w:rsidP="00A562FE">
      <w:pPr>
        <w:pStyle w:val="Heading2"/>
        <w:numPr>
          <w:ilvl w:val="0"/>
          <w:numId w:val="4"/>
        </w:numPr>
        <w:tabs>
          <w:tab w:val="clear" w:pos="3240"/>
          <w:tab w:val="num" w:pos="1440"/>
        </w:tabs>
        <w:ind w:left="1440"/>
        <w:rPr>
          <w:b w:val="0"/>
          <w:i w:val="0"/>
          <w:sz w:val="24"/>
          <w:szCs w:val="24"/>
        </w:rPr>
      </w:pPr>
      <w:r>
        <w:rPr>
          <w:b w:val="0"/>
          <w:i w:val="0"/>
          <w:sz w:val="24"/>
          <w:szCs w:val="24"/>
        </w:rPr>
        <w:t>being accessible to residents with advice needs.</w:t>
      </w:r>
      <w:r w:rsidRPr="00756642">
        <w:rPr>
          <w:b w:val="0"/>
          <w:i w:val="0"/>
          <w:sz w:val="24"/>
          <w:szCs w:val="24"/>
        </w:rPr>
        <w:t xml:space="preserve"> </w:t>
      </w:r>
    </w:p>
    <w:p w:rsidR="00A562FE" w:rsidRPr="00756642" w:rsidRDefault="00A562FE" w:rsidP="00A562FE">
      <w:pPr>
        <w:pStyle w:val="Heading2"/>
        <w:numPr>
          <w:ilvl w:val="0"/>
          <w:numId w:val="4"/>
        </w:numPr>
        <w:tabs>
          <w:tab w:val="clear" w:pos="3240"/>
          <w:tab w:val="num" w:pos="1440"/>
        </w:tabs>
        <w:ind w:left="1440"/>
        <w:rPr>
          <w:b w:val="0"/>
          <w:i w:val="0"/>
          <w:sz w:val="24"/>
          <w:szCs w:val="24"/>
        </w:rPr>
      </w:pPr>
      <w:r w:rsidRPr="00756642">
        <w:rPr>
          <w:b w:val="0"/>
          <w:i w:val="0"/>
          <w:sz w:val="24"/>
          <w:szCs w:val="24"/>
        </w:rPr>
        <w:t xml:space="preserve">targeting the most intensive advice support at those people with the most complex problems who are the least able to resolve the issue themselves. </w:t>
      </w:r>
    </w:p>
    <w:p w:rsidR="00A562FE" w:rsidRDefault="00A562FE" w:rsidP="00A562FE">
      <w:pPr>
        <w:pStyle w:val="Heading2"/>
        <w:spacing w:before="0" w:after="0"/>
        <w:ind w:left="720"/>
        <w:rPr>
          <w:b w:val="0"/>
          <w:i w:val="0"/>
          <w:sz w:val="24"/>
          <w:szCs w:val="24"/>
        </w:rPr>
      </w:pPr>
    </w:p>
    <w:p w:rsidR="00A562FE" w:rsidRPr="00DC3FC9" w:rsidRDefault="00A562FE" w:rsidP="00A562FE">
      <w:pPr>
        <w:pStyle w:val="Heading2"/>
        <w:spacing w:before="0" w:after="0"/>
        <w:ind w:left="720"/>
        <w:rPr>
          <w:b w:val="0"/>
          <w:i w:val="0"/>
          <w:sz w:val="24"/>
          <w:szCs w:val="24"/>
        </w:rPr>
      </w:pPr>
      <w:r>
        <w:rPr>
          <w:b w:val="0"/>
          <w:i w:val="0"/>
          <w:sz w:val="24"/>
          <w:szCs w:val="24"/>
        </w:rPr>
        <w:t>Future</w:t>
      </w:r>
      <w:r w:rsidRPr="00DC3FC9">
        <w:rPr>
          <w:b w:val="0"/>
          <w:i w:val="0"/>
          <w:sz w:val="24"/>
          <w:szCs w:val="24"/>
        </w:rPr>
        <w:t xml:space="preserve"> investment in advice </w:t>
      </w:r>
      <w:r>
        <w:rPr>
          <w:b w:val="0"/>
          <w:i w:val="0"/>
          <w:sz w:val="24"/>
          <w:szCs w:val="24"/>
        </w:rPr>
        <w:t xml:space="preserve">services </w:t>
      </w:r>
      <w:r w:rsidRPr="00DC3FC9">
        <w:rPr>
          <w:b w:val="0"/>
          <w:i w:val="0"/>
          <w:sz w:val="24"/>
          <w:szCs w:val="24"/>
        </w:rPr>
        <w:t xml:space="preserve">should be based on the above two aims. </w:t>
      </w:r>
    </w:p>
    <w:p w:rsidR="00A562FE" w:rsidRPr="00DC3FC9" w:rsidRDefault="00A562FE" w:rsidP="00A562FE"/>
    <w:p w:rsidR="00A562FE" w:rsidRDefault="00A562FE" w:rsidP="00A562FE">
      <w:pPr>
        <w:ind w:right="26"/>
        <w:rPr>
          <w:rFonts w:ascii="Arial" w:hAnsi="Arial" w:cs="Arial"/>
          <w:b/>
        </w:rPr>
      </w:pPr>
      <w:r w:rsidRPr="00DC3FC9">
        <w:rPr>
          <w:rFonts w:ascii="Arial" w:hAnsi="Arial" w:cs="Arial"/>
          <w:b/>
          <w:sz w:val="32"/>
          <w:szCs w:val="32"/>
        </w:rPr>
        <w:br w:type="page"/>
      </w:r>
      <w:r w:rsidRPr="00DC3FC9">
        <w:rPr>
          <w:rFonts w:ascii="Arial" w:hAnsi="Arial" w:cs="Arial"/>
          <w:b/>
        </w:rPr>
        <w:lastRenderedPageBreak/>
        <w:t>3         Needs analysis</w:t>
      </w:r>
    </w:p>
    <w:p w:rsidR="00A562FE" w:rsidRPr="00DC3FC9" w:rsidRDefault="00A562FE" w:rsidP="00A562FE">
      <w:pPr>
        <w:ind w:right="26"/>
        <w:rPr>
          <w:rFonts w:ascii="Arial" w:hAnsi="Arial" w:cs="Arial"/>
          <w:b/>
        </w:rPr>
      </w:pPr>
    </w:p>
    <w:p w:rsidR="00A562FE" w:rsidRPr="00DC3FC9" w:rsidRDefault="00A562FE" w:rsidP="00A562FE">
      <w:pPr>
        <w:numPr>
          <w:ilvl w:val="0"/>
          <w:numId w:val="5"/>
        </w:numPr>
        <w:ind w:right="26" w:hanging="720"/>
        <w:rPr>
          <w:rFonts w:ascii="Arial" w:hAnsi="Arial" w:cs="Arial"/>
        </w:rPr>
      </w:pPr>
      <w:r w:rsidRPr="00DC3FC9">
        <w:rPr>
          <w:rFonts w:ascii="Arial" w:hAnsi="Arial" w:cs="Arial"/>
        </w:rPr>
        <w:t xml:space="preserve">The purpose of this analysis is to consider the incidence in the local population of people in need of advice and to identify as far as possible where these people are located. </w:t>
      </w:r>
    </w:p>
    <w:p w:rsidR="00A562FE" w:rsidRPr="00DC3FC9" w:rsidRDefault="00A562FE" w:rsidP="00A562FE">
      <w:pPr>
        <w:ind w:right="26"/>
        <w:rPr>
          <w:rFonts w:ascii="Arial" w:hAnsi="Arial" w:cs="Arial"/>
        </w:rPr>
      </w:pPr>
    </w:p>
    <w:p w:rsidR="00A562FE" w:rsidRPr="00DC3FC9" w:rsidRDefault="00A562FE" w:rsidP="00A562FE">
      <w:pPr>
        <w:ind w:right="26" w:firstLine="720"/>
        <w:rPr>
          <w:rFonts w:ascii="Arial" w:hAnsi="Arial" w:cs="Arial"/>
        </w:rPr>
      </w:pPr>
      <w:r w:rsidRPr="00DC3FC9">
        <w:rPr>
          <w:rFonts w:ascii="Arial" w:hAnsi="Arial" w:cs="Arial"/>
        </w:rPr>
        <w:t>To do this we have looked at:</w:t>
      </w:r>
    </w:p>
    <w:p w:rsidR="00A562FE" w:rsidRDefault="00A562FE" w:rsidP="00A562FE">
      <w:pPr>
        <w:numPr>
          <w:ilvl w:val="0"/>
          <w:numId w:val="7"/>
        </w:numPr>
        <w:tabs>
          <w:tab w:val="clear" w:pos="3240"/>
          <w:tab w:val="left" w:pos="1620"/>
        </w:tabs>
        <w:ind w:right="26" w:hanging="1980"/>
        <w:rPr>
          <w:rFonts w:ascii="Arial" w:hAnsi="Arial" w:cs="Arial"/>
        </w:rPr>
      </w:pPr>
      <w:r w:rsidRPr="0014496C">
        <w:rPr>
          <w:rFonts w:ascii="Arial" w:hAnsi="Arial" w:cs="Arial"/>
        </w:rPr>
        <w:t xml:space="preserve">Monitoring data </w:t>
      </w:r>
      <w:r>
        <w:rPr>
          <w:rFonts w:ascii="Arial" w:hAnsi="Arial" w:cs="Arial"/>
        </w:rPr>
        <w:t xml:space="preserve">published by Advice Services </w:t>
      </w:r>
    </w:p>
    <w:p w:rsidR="00A562FE" w:rsidRPr="0014496C" w:rsidRDefault="00A562FE" w:rsidP="00A562FE">
      <w:pPr>
        <w:numPr>
          <w:ilvl w:val="0"/>
          <w:numId w:val="7"/>
        </w:numPr>
        <w:tabs>
          <w:tab w:val="clear" w:pos="3240"/>
          <w:tab w:val="left" w:pos="1620"/>
        </w:tabs>
        <w:ind w:right="26" w:hanging="1980"/>
        <w:rPr>
          <w:rFonts w:ascii="Arial" w:hAnsi="Arial" w:cs="Arial"/>
        </w:rPr>
      </w:pPr>
      <w:r>
        <w:rPr>
          <w:rFonts w:ascii="Arial" w:hAnsi="Arial" w:cs="Arial"/>
        </w:rPr>
        <w:t>P</w:t>
      </w:r>
      <w:r w:rsidRPr="0014496C">
        <w:rPr>
          <w:rFonts w:ascii="Arial" w:hAnsi="Arial" w:cs="Arial"/>
        </w:rPr>
        <w:t>opulation statistics</w:t>
      </w:r>
    </w:p>
    <w:p w:rsidR="00A562FE" w:rsidRDefault="00A562FE" w:rsidP="00A562FE">
      <w:pPr>
        <w:numPr>
          <w:ilvl w:val="0"/>
          <w:numId w:val="7"/>
        </w:numPr>
        <w:tabs>
          <w:tab w:val="clear" w:pos="3240"/>
          <w:tab w:val="left" w:pos="1620"/>
        </w:tabs>
        <w:ind w:right="26" w:hanging="1980"/>
        <w:rPr>
          <w:rFonts w:ascii="Arial" w:hAnsi="Arial" w:cs="Arial"/>
        </w:rPr>
      </w:pPr>
      <w:r w:rsidRPr="00DC3FC9">
        <w:rPr>
          <w:rFonts w:ascii="Arial" w:hAnsi="Arial" w:cs="Arial"/>
        </w:rPr>
        <w:t>Index of multiple deprivation</w:t>
      </w:r>
    </w:p>
    <w:p w:rsidR="00A562FE" w:rsidRDefault="00A562FE" w:rsidP="00A562FE">
      <w:pPr>
        <w:numPr>
          <w:ilvl w:val="0"/>
          <w:numId w:val="7"/>
        </w:numPr>
        <w:tabs>
          <w:tab w:val="clear" w:pos="3240"/>
          <w:tab w:val="left" w:pos="1620"/>
        </w:tabs>
        <w:ind w:right="26" w:hanging="1980"/>
        <w:rPr>
          <w:rFonts w:ascii="Arial" w:hAnsi="Arial" w:cs="Arial"/>
        </w:rPr>
      </w:pPr>
      <w:r>
        <w:rPr>
          <w:rFonts w:ascii="Arial" w:hAnsi="Arial" w:cs="Arial"/>
        </w:rPr>
        <w:t>Published data relating to health</w:t>
      </w:r>
    </w:p>
    <w:p w:rsidR="00A562FE" w:rsidRPr="00DC3FC9" w:rsidRDefault="00A562FE" w:rsidP="00A562FE">
      <w:pPr>
        <w:numPr>
          <w:ilvl w:val="0"/>
          <w:numId w:val="7"/>
        </w:numPr>
        <w:tabs>
          <w:tab w:val="clear" w:pos="3240"/>
          <w:tab w:val="left" w:pos="1620"/>
        </w:tabs>
        <w:ind w:right="26" w:hanging="1980"/>
        <w:rPr>
          <w:rFonts w:ascii="Arial" w:hAnsi="Arial" w:cs="Arial"/>
        </w:rPr>
      </w:pPr>
      <w:r>
        <w:rPr>
          <w:rFonts w:ascii="Arial" w:hAnsi="Arial" w:cs="Arial"/>
        </w:rPr>
        <w:t>Census data</w:t>
      </w:r>
    </w:p>
    <w:p w:rsidR="00A562FE" w:rsidRPr="00DC3FC9" w:rsidRDefault="00A562FE" w:rsidP="00A562FE">
      <w:pPr>
        <w:numPr>
          <w:ilvl w:val="0"/>
          <w:numId w:val="7"/>
        </w:numPr>
        <w:tabs>
          <w:tab w:val="clear" w:pos="3240"/>
          <w:tab w:val="left" w:pos="1620"/>
        </w:tabs>
        <w:ind w:left="1620" w:right="26"/>
        <w:rPr>
          <w:rFonts w:ascii="Arial" w:hAnsi="Arial" w:cs="Arial"/>
        </w:rPr>
      </w:pPr>
      <w:r w:rsidRPr="00DC3FC9">
        <w:rPr>
          <w:rFonts w:ascii="Arial" w:hAnsi="Arial" w:cs="Arial"/>
        </w:rPr>
        <w:t>Evidence relating to people on a low income including available data relating to means tested benefits</w:t>
      </w:r>
    </w:p>
    <w:p w:rsidR="00A562FE" w:rsidRPr="00DC3FC9" w:rsidRDefault="00A562FE" w:rsidP="00A562FE">
      <w:pPr>
        <w:numPr>
          <w:ilvl w:val="0"/>
          <w:numId w:val="7"/>
        </w:numPr>
        <w:tabs>
          <w:tab w:val="clear" w:pos="3240"/>
          <w:tab w:val="left" w:pos="1620"/>
        </w:tabs>
        <w:ind w:left="1440" w:right="26" w:hanging="180"/>
        <w:rPr>
          <w:rFonts w:ascii="Arial" w:hAnsi="Arial" w:cs="Arial"/>
        </w:rPr>
      </w:pPr>
      <w:r w:rsidRPr="00DC3FC9">
        <w:rPr>
          <w:rFonts w:ascii="Arial" w:hAnsi="Arial" w:cs="Arial"/>
        </w:rPr>
        <w:t>Access considerations</w:t>
      </w:r>
    </w:p>
    <w:p w:rsidR="00A562FE" w:rsidRPr="00DC3FC9" w:rsidRDefault="00A562FE" w:rsidP="00A562FE">
      <w:pPr>
        <w:ind w:right="26"/>
        <w:rPr>
          <w:rFonts w:ascii="Arial" w:hAnsi="Arial" w:cs="Arial"/>
        </w:rPr>
      </w:pPr>
    </w:p>
    <w:p w:rsidR="00A562FE" w:rsidRPr="008B1FF3" w:rsidRDefault="00A562FE" w:rsidP="00A562FE">
      <w:pPr>
        <w:ind w:left="720" w:right="26"/>
        <w:rPr>
          <w:rFonts w:ascii="Arial" w:hAnsi="Arial" w:cs="Arial"/>
        </w:rPr>
      </w:pPr>
      <w:r w:rsidRPr="00DC3FC9">
        <w:rPr>
          <w:rFonts w:ascii="Arial" w:hAnsi="Arial" w:cs="Arial"/>
          <w:b/>
        </w:rPr>
        <w:t xml:space="preserve">Low income </w:t>
      </w:r>
      <w:r w:rsidRPr="008B1FF3">
        <w:rPr>
          <w:rFonts w:ascii="Arial" w:hAnsi="Arial" w:cs="Arial"/>
        </w:rPr>
        <w:t>has been used as our measure to identify those people most likely to be in need of the kind of advice that fulfils the objective of tackling poverty and social justice.</w:t>
      </w:r>
    </w:p>
    <w:p w:rsidR="00A562FE" w:rsidRPr="00DC3FC9" w:rsidRDefault="00A562FE" w:rsidP="00A562FE">
      <w:pPr>
        <w:ind w:left="720" w:right="26"/>
        <w:rPr>
          <w:rFonts w:ascii="Arial" w:hAnsi="Arial" w:cs="Arial"/>
        </w:rPr>
      </w:pPr>
    </w:p>
    <w:p w:rsidR="00A562FE" w:rsidRPr="00803B2A" w:rsidRDefault="00A562FE" w:rsidP="00A562FE">
      <w:pPr>
        <w:numPr>
          <w:ilvl w:val="1"/>
          <w:numId w:val="6"/>
        </w:numPr>
        <w:tabs>
          <w:tab w:val="clear" w:pos="360"/>
          <w:tab w:val="num" w:pos="720"/>
        </w:tabs>
        <w:ind w:left="720" w:right="26" w:hanging="720"/>
        <w:rPr>
          <w:rFonts w:ascii="Arial" w:hAnsi="Arial" w:cs="Arial"/>
          <w:b/>
        </w:rPr>
      </w:pPr>
      <w:r w:rsidRPr="00803B2A">
        <w:rPr>
          <w:rFonts w:ascii="Arial" w:hAnsi="Arial" w:cs="Arial"/>
          <w:b/>
        </w:rPr>
        <w:t>Monitoring data</w:t>
      </w:r>
      <w:r>
        <w:rPr>
          <w:rFonts w:ascii="Arial" w:hAnsi="Arial" w:cs="Arial"/>
          <w:b/>
        </w:rPr>
        <w:t xml:space="preserve"> received from Advice Services</w:t>
      </w:r>
    </w:p>
    <w:p w:rsidR="00A562FE" w:rsidRDefault="00A562FE" w:rsidP="00A562FE">
      <w:pPr>
        <w:ind w:left="720" w:right="26"/>
        <w:rPr>
          <w:rFonts w:ascii="Arial" w:hAnsi="Arial" w:cs="Arial"/>
        </w:rPr>
      </w:pPr>
    </w:p>
    <w:p w:rsidR="00A562FE" w:rsidRDefault="00A562FE" w:rsidP="00A562FE">
      <w:pPr>
        <w:ind w:left="720" w:right="26"/>
        <w:rPr>
          <w:rFonts w:ascii="Arial" w:hAnsi="Arial" w:cs="Arial"/>
        </w:rPr>
      </w:pPr>
      <w:r>
        <w:rPr>
          <w:rFonts w:ascii="Arial" w:hAnsi="Arial" w:cs="Arial"/>
        </w:rPr>
        <w:t xml:space="preserve">According to the latest annual report (2013/14) from the Rochford and Rayleigh CAB, they had 9,963 interactions (face to face, by telephone, email etc.), with 2,568 clients to advise on 7,101 problems. </w:t>
      </w:r>
    </w:p>
    <w:p w:rsidR="00A562FE" w:rsidRDefault="00A562FE" w:rsidP="00A562FE">
      <w:pPr>
        <w:ind w:left="720" w:right="26"/>
        <w:rPr>
          <w:rFonts w:ascii="Arial" w:hAnsi="Arial" w:cs="Arial"/>
        </w:rPr>
      </w:pPr>
    </w:p>
    <w:p w:rsidR="00A562FE" w:rsidRPr="00DD11EF" w:rsidRDefault="00A562FE" w:rsidP="00A562FE">
      <w:pPr>
        <w:pStyle w:val="BodyTextIndent3"/>
        <w:ind w:hanging="180"/>
      </w:pPr>
      <w:r>
        <w:t>Under the terms of its current Service Level Agreement, the Rochford and Rayleigh CAB provides</w:t>
      </w:r>
      <w:r w:rsidRPr="00DD11EF">
        <w:t xml:space="preserve"> the following statistical information on a quarterly basis:</w:t>
      </w:r>
      <w:r>
        <w:t xml:space="preserve"> </w:t>
      </w:r>
    </w:p>
    <w:p w:rsidR="00A562FE" w:rsidRPr="00DD11EF" w:rsidRDefault="00A562FE" w:rsidP="00A562FE">
      <w:pPr>
        <w:pStyle w:val="BodyTextIndent3"/>
        <w:ind w:left="0" w:firstLine="0"/>
      </w:pPr>
    </w:p>
    <w:p w:rsidR="00A562FE" w:rsidRPr="00DD11EF" w:rsidRDefault="00A562FE" w:rsidP="00A562FE">
      <w:pPr>
        <w:pStyle w:val="BodyTextIndent3"/>
        <w:numPr>
          <w:ilvl w:val="0"/>
          <w:numId w:val="13"/>
        </w:numPr>
      </w:pPr>
      <w:r w:rsidRPr="00DD11EF">
        <w:t>Number of clients starting new enquires</w:t>
      </w:r>
    </w:p>
    <w:p w:rsidR="00A562FE" w:rsidRPr="00DD11EF" w:rsidRDefault="00A562FE" w:rsidP="00A562FE">
      <w:pPr>
        <w:pStyle w:val="BodyTextIndent3"/>
        <w:numPr>
          <w:ilvl w:val="0"/>
          <w:numId w:val="13"/>
        </w:numPr>
      </w:pPr>
      <w:r w:rsidRPr="00DD11EF">
        <w:t>Number of enquiries categorised for each core service</w:t>
      </w:r>
    </w:p>
    <w:p w:rsidR="00A562FE" w:rsidRPr="00DD11EF" w:rsidRDefault="00A562FE" w:rsidP="00A562FE">
      <w:pPr>
        <w:pStyle w:val="BodyTextIndent3"/>
        <w:numPr>
          <w:ilvl w:val="0"/>
          <w:numId w:val="13"/>
        </w:numPr>
      </w:pPr>
      <w:r w:rsidRPr="00DD11EF">
        <w:t>A breakdown of the age range of clients</w:t>
      </w:r>
      <w:r>
        <w:t xml:space="preserve"> (provided on an annual basis)</w:t>
      </w:r>
    </w:p>
    <w:p w:rsidR="00A562FE" w:rsidRPr="00DD11EF" w:rsidRDefault="00A562FE" w:rsidP="00A562FE">
      <w:pPr>
        <w:pStyle w:val="BodyTextIndent3"/>
        <w:numPr>
          <w:ilvl w:val="0"/>
          <w:numId w:val="13"/>
        </w:numPr>
      </w:pPr>
      <w:r w:rsidRPr="00DD11EF">
        <w:t>Number of hours provided by paid staff</w:t>
      </w:r>
    </w:p>
    <w:p w:rsidR="00A562FE" w:rsidRPr="00DD11EF" w:rsidRDefault="00A562FE" w:rsidP="00A562FE">
      <w:pPr>
        <w:pStyle w:val="BodyTextIndent3"/>
        <w:numPr>
          <w:ilvl w:val="0"/>
          <w:numId w:val="13"/>
        </w:numPr>
      </w:pPr>
      <w:r w:rsidRPr="00DD11EF">
        <w:t>Number of hours provided by volunteers</w:t>
      </w:r>
    </w:p>
    <w:p w:rsidR="00A562FE" w:rsidRPr="00DD11EF" w:rsidRDefault="00A562FE" w:rsidP="00A562FE">
      <w:pPr>
        <w:pStyle w:val="BodyTextIndent3"/>
        <w:numPr>
          <w:ilvl w:val="0"/>
          <w:numId w:val="13"/>
        </w:numPr>
      </w:pPr>
      <w:r w:rsidRPr="00DD11EF">
        <w:t>Results of customer satisfaction surveys</w:t>
      </w:r>
    </w:p>
    <w:p w:rsidR="00A562FE" w:rsidRDefault="00A562FE" w:rsidP="00A562FE">
      <w:pPr>
        <w:pStyle w:val="BodyTextIndent3"/>
        <w:numPr>
          <w:ilvl w:val="0"/>
          <w:numId w:val="13"/>
        </w:numPr>
        <w:rPr>
          <w:bCs/>
        </w:rPr>
      </w:pPr>
      <w:r w:rsidRPr="00DD11EF">
        <w:rPr>
          <w:bCs/>
        </w:rPr>
        <w:t xml:space="preserve">Potential benefit identified for clients </w:t>
      </w:r>
    </w:p>
    <w:p w:rsidR="00A562FE" w:rsidRPr="00F20172" w:rsidRDefault="00A562FE" w:rsidP="00A562FE">
      <w:pPr>
        <w:pStyle w:val="BodyTextIndent3"/>
        <w:numPr>
          <w:ilvl w:val="0"/>
          <w:numId w:val="13"/>
        </w:numPr>
        <w:rPr>
          <w:bCs/>
        </w:rPr>
      </w:pPr>
      <w:r w:rsidRPr="00F20172">
        <w:rPr>
          <w:bCs/>
        </w:rPr>
        <w:t xml:space="preserve">Council Tax debts </w:t>
      </w:r>
    </w:p>
    <w:p w:rsidR="00A562FE" w:rsidRPr="00F20172" w:rsidRDefault="00A562FE" w:rsidP="00A562FE">
      <w:pPr>
        <w:pStyle w:val="BodyTextIndent3"/>
        <w:numPr>
          <w:ilvl w:val="0"/>
          <w:numId w:val="13"/>
        </w:numPr>
        <w:rPr>
          <w:bCs/>
        </w:rPr>
      </w:pPr>
      <w:r w:rsidRPr="00F20172">
        <w:rPr>
          <w:bCs/>
        </w:rPr>
        <w:t>Council Tax and Housing benefit overpayments</w:t>
      </w:r>
    </w:p>
    <w:p w:rsidR="00A562FE" w:rsidRPr="00F20172" w:rsidRDefault="00A562FE" w:rsidP="00A562FE">
      <w:pPr>
        <w:numPr>
          <w:ilvl w:val="0"/>
          <w:numId w:val="13"/>
        </w:numPr>
        <w:rPr>
          <w:rFonts w:ascii="Arial" w:hAnsi="Arial" w:cs="Arial"/>
        </w:rPr>
      </w:pPr>
      <w:r w:rsidRPr="00F20172">
        <w:rPr>
          <w:rFonts w:ascii="Arial" w:hAnsi="Arial" w:cs="Arial"/>
        </w:rPr>
        <w:t>Universal Credit enquires</w:t>
      </w:r>
    </w:p>
    <w:p w:rsidR="00A562FE" w:rsidRPr="00DD11EF" w:rsidRDefault="00A562FE" w:rsidP="00A562FE">
      <w:pPr>
        <w:pStyle w:val="BodyTextIndent3"/>
        <w:numPr>
          <w:ilvl w:val="0"/>
          <w:numId w:val="13"/>
        </w:numPr>
      </w:pPr>
      <w:r w:rsidRPr="00DD11EF">
        <w:t>Summary of CAB participation in RDC programmes and initiatives</w:t>
      </w:r>
    </w:p>
    <w:p w:rsidR="00A562FE" w:rsidRPr="00DD11EF" w:rsidRDefault="00A562FE" w:rsidP="00A562FE">
      <w:pPr>
        <w:pStyle w:val="BodyTextIndent3"/>
        <w:numPr>
          <w:ilvl w:val="0"/>
          <w:numId w:val="13"/>
        </w:numPr>
      </w:pPr>
      <w:r w:rsidRPr="00DD11EF">
        <w:t>Number of actual homelessness</w:t>
      </w:r>
      <w:r>
        <w:t xml:space="preserve"> and reasons</w:t>
      </w:r>
    </w:p>
    <w:p w:rsidR="00A562FE" w:rsidRDefault="00A562FE" w:rsidP="00A562FE">
      <w:pPr>
        <w:pStyle w:val="BodyTextIndent3"/>
        <w:numPr>
          <w:ilvl w:val="0"/>
          <w:numId w:val="13"/>
        </w:numPr>
      </w:pPr>
      <w:r w:rsidRPr="00DD11EF">
        <w:t>Threatened homelessness</w:t>
      </w:r>
      <w:r>
        <w:t xml:space="preserve"> and reasons</w:t>
      </w:r>
    </w:p>
    <w:p w:rsidR="00A562FE" w:rsidRPr="00DD11EF" w:rsidRDefault="00A562FE" w:rsidP="00A562FE">
      <w:pPr>
        <w:pStyle w:val="BodyTextIndent3"/>
        <w:numPr>
          <w:ilvl w:val="0"/>
          <w:numId w:val="13"/>
        </w:numPr>
      </w:pPr>
      <w:r>
        <w:t xml:space="preserve">Food parcel enquiries </w:t>
      </w:r>
    </w:p>
    <w:p w:rsidR="00A562FE" w:rsidRPr="00DD11EF" w:rsidRDefault="00A562FE" w:rsidP="00A562FE">
      <w:pPr>
        <w:numPr>
          <w:ilvl w:val="0"/>
          <w:numId w:val="13"/>
        </w:numPr>
        <w:rPr>
          <w:rFonts w:ascii="Arial" w:eastAsia="Arial Unicode MS" w:hAnsi="Arial" w:cs="Arial"/>
        </w:rPr>
      </w:pPr>
      <w:r>
        <w:rPr>
          <w:rFonts w:ascii="Arial" w:hAnsi="Arial" w:cs="Arial"/>
        </w:rPr>
        <w:t>Access t</w:t>
      </w:r>
      <w:r w:rsidRPr="00DD11EF">
        <w:rPr>
          <w:rFonts w:ascii="Arial" w:hAnsi="Arial" w:cs="Arial"/>
        </w:rPr>
        <w:t>o and p</w:t>
      </w:r>
      <w:r>
        <w:rPr>
          <w:rFonts w:ascii="Arial" w:hAnsi="Arial" w:cs="Arial"/>
        </w:rPr>
        <w:t>rovision o</w:t>
      </w:r>
      <w:r w:rsidRPr="00DD11EF">
        <w:rPr>
          <w:rFonts w:ascii="Arial" w:hAnsi="Arial" w:cs="Arial"/>
        </w:rPr>
        <w:t>f Accommodation</w:t>
      </w:r>
    </w:p>
    <w:p w:rsidR="00A562FE" w:rsidRDefault="00A562FE" w:rsidP="00A562FE">
      <w:pPr>
        <w:numPr>
          <w:ilvl w:val="0"/>
          <w:numId w:val="13"/>
        </w:numPr>
        <w:ind w:right="26"/>
        <w:rPr>
          <w:rFonts w:ascii="Arial" w:hAnsi="Arial" w:cs="Arial"/>
        </w:rPr>
      </w:pPr>
      <w:r>
        <w:rPr>
          <w:rFonts w:ascii="Arial" w:hAnsi="Arial" w:cs="Arial"/>
        </w:rPr>
        <w:t>Environmental and neighbour i</w:t>
      </w:r>
      <w:r w:rsidRPr="00DD11EF">
        <w:rPr>
          <w:rFonts w:ascii="Arial" w:hAnsi="Arial" w:cs="Arial"/>
        </w:rPr>
        <w:t>ssue</w:t>
      </w:r>
      <w:r>
        <w:rPr>
          <w:rFonts w:ascii="Arial" w:hAnsi="Arial" w:cs="Arial"/>
        </w:rPr>
        <w:t>s</w:t>
      </w:r>
    </w:p>
    <w:p w:rsidR="00A562FE" w:rsidRDefault="00A562FE" w:rsidP="00A562FE">
      <w:pPr>
        <w:ind w:right="26"/>
        <w:rPr>
          <w:rFonts w:ascii="Arial" w:hAnsi="Arial" w:cs="Arial"/>
        </w:rPr>
      </w:pPr>
    </w:p>
    <w:p w:rsidR="00A562FE" w:rsidRDefault="00A562FE" w:rsidP="00A562FE">
      <w:pPr>
        <w:ind w:right="26"/>
        <w:rPr>
          <w:rFonts w:ascii="Arial" w:hAnsi="Arial" w:cs="Arial"/>
        </w:rPr>
      </w:pPr>
    </w:p>
    <w:p w:rsidR="00A562FE" w:rsidRDefault="00A562FE" w:rsidP="00A562FE">
      <w:pPr>
        <w:ind w:right="26"/>
        <w:rPr>
          <w:rFonts w:ascii="Arial" w:hAnsi="Arial" w:cs="Arial"/>
        </w:rPr>
      </w:pPr>
    </w:p>
    <w:p w:rsidR="00A562FE" w:rsidRDefault="00A562FE" w:rsidP="00A562FE">
      <w:pPr>
        <w:ind w:right="26"/>
        <w:rPr>
          <w:rFonts w:ascii="Arial" w:hAnsi="Arial" w:cs="Arial"/>
        </w:rPr>
      </w:pPr>
    </w:p>
    <w:p w:rsidR="00A562FE" w:rsidRPr="00697080" w:rsidRDefault="00A562FE" w:rsidP="00A562FE">
      <w:pPr>
        <w:ind w:right="26"/>
        <w:rPr>
          <w:rFonts w:ascii="Arial" w:hAnsi="Arial" w:cs="Arial"/>
        </w:rPr>
      </w:pPr>
    </w:p>
    <w:p w:rsidR="00A562FE" w:rsidRDefault="00A562FE" w:rsidP="00A562FE">
      <w:pPr>
        <w:numPr>
          <w:ilvl w:val="1"/>
          <w:numId w:val="6"/>
        </w:numPr>
        <w:ind w:right="26"/>
        <w:rPr>
          <w:rFonts w:ascii="Arial" w:hAnsi="Arial" w:cs="Arial"/>
          <w:b/>
        </w:rPr>
      </w:pPr>
      <w:r>
        <w:rPr>
          <w:rFonts w:ascii="Arial" w:hAnsi="Arial" w:cs="Arial"/>
          <w:b/>
        </w:rPr>
        <w:lastRenderedPageBreak/>
        <w:t xml:space="preserve">     District </w:t>
      </w:r>
      <w:r w:rsidRPr="00DC3FC9">
        <w:rPr>
          <w:rFonts w:ascii="Arial" w:hAnsi="Arial" w:cs="Arial"/>
          <w:b/>
        </w:rPr>
        <w:t>population</w:t>
      </w:r>
    </w:p>
    <w:p w:rsidR="00A562FE" w:rsidRDefault="00A562FE" w:rsidP="00A562FE">
      <w:pPr>
        <w:ind w:left="360" w:right="26"/>
        <w:rPr>
          <w:rFonts w:ascii="Arial" w:hAnsi="Arial" w:cs="Arial"/>
          <w:b/>
        </w:rPr>
      </w:pPr>
    </w:p>
    <w:p w:rsidR="00A562FE" w:rsidRPr="00814CE4" w:rsidRDefault="00A562FE" w:rsidP="00A562FE">
      <w:pPr>
        <w:rPr>
          <w:rFonts w:ascii="Arial" w:hAnsi="Arial" w:cs="Arial"/>
        </w:rPr>
      </w:pPr>
      <w:r w:rsidRPr="00814CE4">
        <w:rPr>
          <w:rFonts w:ascii="Arial" w:hAnsi="Arial" w:cs="Arial"/>
        </w:rPr>
        <w:t>The 2011 Census recorded a population of 83,287. Below is a breakdown of population by ward. Census data shows that Rochford Ward has the greatest population, followed by Hullbridge and Hockley Central. Barling and Sutton has the fewest residents.</w:t>
      </w:r>
    </w:p>
    <w:p w:rsidR="00A562FE" w:rsidRPr="00814CE4" w:rsidRDefault="00A562FE" w:rsidP="00A562FE">
      <w:pPr>
        <w:ind w:left="360" w:right="26"/>
        <w:rPr>
          <w:rFonts w:ascii="Arial" w:hAnsi="Arial" w:cs="Arial"/>
        </w:rPr>
      </w:pPr>
    </w:p>
    <w:p w:rsidR="00A562FE" w:rsidRDefault="00A562FE" w:rsidP="00A562FE">
      <w:pPr>
        <w:ind w:left="360" w:right="26"/>
        <w:rPr>
          <w:rFonts w:ascii="Arial" w:hAnsi="Arial" w:cs="Arial"/>
          <w:b/>
        </w:rPr>
      </w:pP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0"/>
        <w:gridCol w:w="5244"/>
      </w:tblGrid>
      <w:tr w:rsidR="00A562FE" w:rsidRPr="00855F08" w:rsidTr="00BD7048">
        <w:trPr>
          <w:tblHeader/>
        </w:trPr>
        <w:tc>
          <w:tcPr>
            <w:tcW w:w="4410"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814CE4" w:rsidRDefault="00A562FE" w:rsidP="00BD7048">
            <w:pPr>
              <w:spacing w:before="80" w:after="80"/>
              <w:ind w:left="90"/>
              <w:rPr>
                <w:rFonts w:ascii="Arial" w:hAnsi="Arial" w:cs="Arial"/>
                <w:b/>
                <w:color w:val="FFFFFF"/>
              </w:rPr>
            </w:pPr>
            <w:r w:rsidRPr="00814CE4">
              <w:rPr>
                <w:rFonts w:ascii="Arial" w:hAnsi="Arial" w:cs="Arial"/>
                <w:b/>
                <w:color w:val="FFFFFF"/>
              </w:rPr>
              <w:t xml:space="preserve">Ward </w:t>
            </w:r>
          </w:p>
        </w:tc>
        <w:tc>
          <w:tcPr>
            <w:tcW w:w="5244"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814CE4" w:rsidRDefault="00A562FE" w:rsidP="00BD7048">
            <w:pPr>
              <w:spacing w:before="80" w:after="80"/>
              <w:ind w:left="75"/>
              <w:rPr>
                <w:rFonts w:ascii="Arial" w:hAnsi="Arial" w:cs="Arial"/>
                <w:b/>
                <w:color w:val="FFFFFF"/>
              </w:rPr>
            </w:pPr>
            <w:r w:rsidRPr="00814CE4">
              <w:rPr>
                <w:rFonts w:ascii="Arial" w:hAnsi="Arial" w:cs="Arial"/>
                <w:b/>
                <w:color w:val="FFFFFF"/>
              </w:rPr>
              <w:t>Population (number) – All Persons (number)</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Ashingdon and Canewdon</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4514</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Barling and Sutton</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1876</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Downhall and Rawreth</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4843</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Foulness and Great Wakering</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5738</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Grange</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3739</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Hawkwell North</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4536</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Hawkwell South</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4249</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Hawkwell West</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4134</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Hockley Central</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6526</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Hockley North</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2120</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Hockley West</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2096</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Hullbridge</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6527</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Lodge</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4088</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Rayleigh Central</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4255</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Rochford (Ward)</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7695</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Sweyne Park</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4415</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 xml:space="preserve">Trinity </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3697</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Wheatley</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4191</w:t>
            </w:r>
          </w:p>
        </w:tc>
      </w:tr>
      <w:tr w:rsidR="00A562FE" w:rsidTr="00BD7048">
        <w:tc>
          <w:tcPr>
            <w:tcW w:w="4410"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ind w:left="90"/>
              <w:rPr>
                <w:rFonts w:ascii="Arial" w:hAnsi="Arial" w:cs="Arial"/>
              </w:rPr>
            </w:pPr>
            <w:r w:rsidRPr="00814CE4">
              <w:rPr>
                <w:rFonts w:ascii="Arial" w:hAnsi="Arial" w:cs="Arial"/>
              </w:rPr>
              <w:t>Whitehouse</w:t>
            </w:r>
          </w:p>
        </w:tc>
        <w:tc>
          <w:tcPr>
            <w:tcW w:w="5244" w:type="dxa"/>
            <w:tcBorders>
              <w:top w:val="outset" w:sz="6" w:space="0" w:color="auto"/>
              <w:left w:val="outset" w:sz="6" w:space="0" w:color="auto"/>
              <w:bottom w:val="outset" w:sz="6" w:space="0" w:color="auto"/>
              <w:right w:val="outset" w:sz="6" w:space="0" w:color="auto"/>
            </w:tcBorders>
            <w:vAlign w:val="center"/>
            <w:hideMark/>
          </w:tcPr>
          <w:p w:rsidR="00A562FE" w:rsidRPr="00814CE4" w:rsidRDefault="00A562FE" w:rsidP="00BD7048">
            <w:pPr>
              <w:spacing w:before="80" w:after="80"/>
              <w:jc w:val="center"/>
              <w:rPr>
                <w:rFonts w:ascii="Arial" w:hAnsi="Arial" w:cs="Arial"/>
              </w:rPr>
            </w:pPr>
            <w:r w:rsidRPr="00814CE4">
              <w:rPr>
                <w:rFonts w:ascii="Arial" w:hAnsi="Arial" w:cs="Arial"/>
              </w:rPr>
              <w:t>4048</w:t>
            </w:r>
          </w:p>
        </w:tc>
      </w:tr>
    </w:tbl>
    <w:p w:rsidR="00A562FE" w:rsidRPr="009D35BE" w:rsidRDefault="00A562FE" w:rsidP="00A562FE">
      <w:pPr>
        <w:spacing w:before="240"/>
        <w:rPr>
          <w:rFonts w:ascii="Arial" w:hAnsi="Arial" w:cs="Arial"/>
          <w:sz w:val="18"/>
          <w:szCs w:val="18"/>
        </w:rPr>
      </w:pPr>
      <w:r w:rsidRPr="009D35BE">
        <w:rPr>
          <w:rStyle w:val="Strong"/>
          <w:rFonts w:ascii="Arial" w:hAnsi="Arial" w:cs="Arial"/>
          <w:sz w:val="18"/>
          <w:szCs w:val="18"/>
        </w:rPr>
        <w:t>Source:</w:t>
      </w:r>
      <w:r w:rsidRPr="009D35BE">
        <w:rPr>
          <w:rFonts w:ascii="Arial" w:hAnsi="Arial" w:cs="Arial"/>
          <w:sz w:val="18"/>
          <w:szCs w:val="18"/>
        </w:rPr>
        <w:t xml:space="preserve"> Office for National Statistics (ONS) Census 2011.</w:t>
      </w:r>
    </w:p>
    <w:p w:rsidR="00A562FE" w:rsidRDefault="00A562FE" w:rsidP="00A562FE">
      <w:pPr>
        <w:ind w:right="26"/>
        <w:rPr>
          <w:rFonts w:ascii="Arial" w:hAnsi="Arial" w:cs="Arial"/>
        </w:rPr>
      </w:pPr>
    </w:p>
    <w:p w:rsidR="00A562FE" w:rsidRDefault="00A562FE" w:rsidP="00A562FE">
      <w:pPr>
        <w:ind w:right="26"/>
        <w:rPr>
          <w:rFonts w:ascii="Arial" w:hAnsi="Arial" w:cs="Arial"/>
        </w:rPr>
      </w:pPr>
    </w:p>
    <w:p w:rsidR="00A562FE" w:rsidRDefault="00A562FE" w:rsidP="00A562FE">
      <w:pPr>
        <w:ind w:right="26"/>
        <w:rPr>
          <w:rFonts w:ascii="Arial" w:hAnsi="Arial" w:cs="Arial"/>
        </w:rPr>
      </w:pPr>
      <w:r>
        <w:rPr>
          <w:rFonts w:ascii="Arial" w:hAnsi="Arial" w:cs="Arial"/>
        </w:rPr>
        <w:t>In terms of population growth, it is anticipated that the population of the District will grow from about 84,500 in 2014 to just under 87,000 in 2020.</w:t>
      </w:r>
    </w:p>
    <w:p w:rsidR="00A562FE" w:rsidRDefault="00A562FE" w:rsidP="00A562FE">
      <w:pPr>
        <w:ind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327"/>
      </w:tblGrid>
      <w:tr w:rsidR="00A562FE" w:rsidRPr="008640F5" w:rsidTr="00BD7048">
        <w:trPr>
          <w:trHeight w:val="270"/>
          <w:tblHeader/>
        </w:trPr>
        <w:tc>
          <w:tcPr>
            <w:tcW w:w="3123" w:type="dxa"/>
            <w:shd w:val="clear" w:color="auto" w:fill="E0E0E0"/>
          </w:tcPr>
          <w:p w:rsidR="00A562FE" w:rsidRPr="008640F5" w:rsidRDefault="00A562FE" w:rsidP="00BD7048">
            <w:pPr>
              <w:jc w:val="center"/>
              <w:rPr>
                <w:rFonts w:ascii="Arial" w:hAnsi="Arial" w:cs="Arial"/>
                <w:b/>
              </w:rPr>
            </w:pPr>
            <w:r w:rsidRPr="008640F5">
              <w:rPr>
                <w:rFonts w:ascii="Arial" w:hAnsi="Arial" w:cs="Arial"/>
                <w:b/>
              </w:rPr>
              <w:t>Year</w:t>
            </w:r>
          </w:p>
        </w:tc>
        <w:tc>
          <w:tcPr>
            <w:tcW w:w="6327" w:type="dxa"/>
            <w:tcBorders>
              <w:bottom w:val="single" w:sz="4" w:space="0" w:color="auto"/>
            </w:tcBorders>
            <w:shd w:val="clear" w:color="auto" w:fill="E0E0E0"/>
          </w:tcPr>
          <w:p w:rsidR="00A562FE" w:rsidRPr="008640F5" w:rsidRDefault="00A562FE" w:rsidP="00BD7048">
            <w:pPr>
              <w:jc w:val="center"/>
              <w:rPr>
                <w:rFonts w:ascii="Arial" w:hAnsi="Arial" w:cs="Arial"/>
                <w:b/>
              </w:rPr>
            </w:pPr>
            <w:r w:rsidRPr="008640F5">
              <w:rPr>
                <w:rFonts w:ascii="Arial" w:hAnsi="Arial" w:cs="Arial"/>
                <w:b/>
              </w:rPr>
              <w:t xml:space="preserve">Population </w:t>
            </w:r>
          </w:p>
        </w:tc>
      </w:tr>
      <w:tr w:rsidR="00A562FE" w:rsidRPr="00677C65" w:rsidTr="00BD7048">
        <w:trPr>
          <w:trHeight w:val="270"/>
        </w:trPr>
        <w:tc>
          <w:tcPr>
            <w:tcW w:w="3123" w:type="dxa"/>
            <w:tcBorders>
              <w:bottom w:val="single" w:sz="4" w:space="0" w:color="auto"/>
            </w:tcBorders>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2014</w:t>
            </w:r>
          </w:p>
        </w:tc>
        <w:tc>
          <w:tcPr>
            <w:tcW w:w="6327" w:type="dxa"/>
            <w:tcBorders>
              <w:bottom w:val="single" w:sz="4" w:space="0" w:color="auto"/>
            </w:tcBorders>
            <w:shd w:val="clear" w:color="auto" w:fill="auto"/>
            <w:vAlign w:val="center"/>
          </w:tcPr>
          <w:p w:rsidR="00A562FE" w:rsidRPr="00677C65" w:rsidRDefault="00A562FE" w:rsidP="00BD7048">
            <w:pPr>
              <w:jc w:val="center"/>
              <w:rPr>
                <w:rFonts w:ascii="Arial" w:hAnsi="Arial" w:cs="Arial"/>
              </w:rPr>
            </w:pPr>
            <w:r>
              <w:rPr>
                <w:rFonts w:ascii="Arial" w:hAnsi="Arial" w:cs="Arial"/>
              </w:rPr>
              <w:t>84,455</w:t>
            </w:r>
          </w:p>
        </w:tc>
      </w:tr>
      <w:tr w:rsidR="00A562FE" w:rsidRPr="00677C65" w:rsidTr="00BD7048">
        <w:trPr>
          <w:trHeight w:val="270"/>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lastRenderedPageBreak/>
              <w:t>2015</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84,815</w:t>
            </w:r>
          </w:p>
        </w:tc>
      </w:tr>
      <w:tr w:rsidR="00A562FE" w:rsidRPr="00677C65" w:rsidTr="00BD7048">
        <w:trPr>
          <w:trHeight w:val="270"/>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2016</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85,196</w:t>
            </w:r>
          </w:p>
        </w:tc>
      </w:tr>
      <w:tr w:rsidR="00A562FE" w:rsidRPr="00677C65" w:rsidTr="00BD7048">
        <w:trPr>
          <w:trHeight w:val="270"/>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2017</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85,586</w:t>
            </w:r>
          </w:p>
        </w:tc>
      </w:tr>
      <w:tr w:rsidR="00A562FE" w:rsidRPr="00677C65" w:rsidTr="00BD7048">
        <w:trPr>
          <w:trHeight w:val="270"/>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2018</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86,021</w:t>
            </w:r>
          </w:p>
        </w:tc>
      </w:tr>
      <w:tr w:rsidR="00A562FE" w:rsidRPr="00677C65" w:rsidTr="00BD7048">
        <w:trPr>
          <w:trHeight w:val="270"/>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2019</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86,464</w:t>
            </w:r>
          </w:p>
        </w:tc>
      </w:tr>
      <w:tr w:rsidR="00A562FE" w:rsidRPr="00677C65" w:rsidTr="00BD7048">
        <w:trPr>
          <w:trHeight w:val="285"/>
        </w:trPr>
        <w:tc>
          <w:tcPr>
            <w:tcW w:w="3123" w:type="dxa"/>
            <w:shd w:val="clear" w:color="auto" w:fill="auto"/>
            <w:vAlign w:val="center"/>
          </w:tcPr>
          <w:p w:rsidR="00A562FE" w:rsidRPr="00677C65" w:rsidRDefault="00A562FE" w:rsidP="00BD7048">
            <w:pPr>
              <w:jc w:val="center"/>
              <w:rPr>
                <w:rFonts w:ascii="Arial" w:hAnsi="Arial" w:cs="Arial"/>
              </w:rPr>
            </w:pPr>
            <w:r w:rsidRPr="00677C65">
              <w:rPr>
                <w:rFonts w:ascii="Arial" w:hAnsi="Arial" w:cs="Arial"/>
              </w:rPr>
              <w:t>2020</w:t>
            </w:r>
          </w:p>
        </w:tc>
        <w:tc>
          <w:tcPr>
            <w:tcW w:w="6327" w:type="dxa"/>
            <w:shd w:val="clear" w:color="auto" w:fill="auto"/>
            <w:vAlign w:val="center"/>
          </w:tcPr>
          <w:p w:rsidR="00A562FE" w:rsidRPr="00677C65" w:rsidRDefault="00A562FE" w:rsidP="00BD7048">
            <w:pPr>
              <w:jc w:val="center"/>
              <w:rPr>
                <w:rFonts w:ascii="Arial" w:hAnsi="Arial" w:cs="Arial"/>
              </w:rPr>
            </w:pPr>
            <w:r>
              <w:rPr>
                <w:rFonts w:ascii="Arial" w:hAnsi="Arial" w:cs="Arial"/>
              </w:rPr>
              <w:t>86,942</w:t>
            </w:r>
          </w:p>
        </w:tc>
      </w:tr>
    </w:tbl>
    <w:p w:rsidR="00A562FE" w:rsidRDefault="00A562FE" w:rsidP="00A562FE">
      <w:pPr>
        <w:ind w:right="26"/>
        <w:rPr>
          <w:rFonts w:ascii="Arial" w:hAnsi="Arial" w:cs="Arial"/>
        </w:rPr>
      </w:pPr>
    </w:p>
    <w:p w:rsidR="00A562FE" w:rsidRPr="002907D8" w:rsidRDefault="00A562FE" w:rsidP="00A562FE">
      <w:pPr>
        <w:rPr>
          <w:rFonts w:ascii="Arial" w:hAnsi="Arial" w:cs="Arial"/>
          <w:sz w:val="18"/>
          <w:szCs w:val="18"/>
        </w:rPr>
      </w:pPr>
      <w:r>
        <w:rPr>
          <w:rFonts w:ascii="Arial" w:hAnsi="Arial" w:cs="Arial"/>
          <w:b/>
          <w:sz w:val="18"/>
          <w:szCs w:val="18"/>
        </w:rPr>
        <w:t xml:space="preserve">Source: </w:t>
      </w:r>
      <w:hyperlink r:id="rId13" w:history="1">
        <w:r>
          <w:rPr>
            <w:rFonts w:ascii="Arial" w:hAnsi="Arial" w:cs="Arial"/>
            <w:sz w:val="18"/>
            <w:szCs w:val="18"/>
          </w:rPr>
          <w:t>Interim 2012</w:t>
        </w:r>
        <w:r w:rsidRPr="002907D8">
          <w:rPr>
            <w:rFonts w:ascii="Arial" w:hAnsi="Arial" w:cs="Arial"/>
            <w:sz w:val="18"/>
            <w:szCs w:val="18"/>
          </w:rPr>
          <w:t>-based subnational population projections with components of change (births, deaths and migration) for regions and local authorities in England)</w:t>
        </w:r>
      </w:hyperlink>
    </w:p>
    <w:p w:rsidR="00A562FE" w:rsidRDefault="00A562FE" w:rsidP="00A562FE">
      <w:pPr>
        <w:ind w:right="26"/>
        <w:rPr>
          <w:rFonts w:ascii="Arial" w:hAnsi="Arial" w:cs="Arial"/>
        </w:rPr>
      </w:pPr>
    </w:p>
    <w:p w:rsidR="00A562FE" w:rsidRDefault="00A562FE" w:rsidP="00A562FE">
      <w:pPr>
        <w:ind w:right="26"/>
        <w:rPr>
          <w:rFonts w:ascii="Arial" w:hAnsi="Arial" w:cs="Arial"/>
        </w:rPr>
      </w:pPr>
    </w:p>
    <w:p w:rsidR="00A562FE" w:rsidRPr="00DC3FC9" w:rsidRDefault="00A562FE" w:rsidP="00A562FE">
      <w:pPr>
        <w:ind w:right="26"/>
        <w:rPr>
          <w:rFonts w:ascii="Arial" w:hAnsi="Arial" w:cs="Arial"/>
        </w:rPr>
      </w:pPr>
    </w:p>
    <w:p w:rsidR="00A562FE" w:rsidRDefault="00A562FE" w:rsidP="00A562FE">
      <w:pPr>
        <w:numPr>
          <w:ilvl w:val="1"/>
          <w:numId w:val="6"/>
        </w:numPr>
        <w:ind w:right="26"/>
        <w:rPr>
          <w:rFonts w:ascii="Arial" w:hAnsi="Arial" w:cs="Arial"/>
          <w:b/>
        </w:rPr>
      </w:pPr>
      <w:r w:rsidRPr="00DC3FC9">
        <w:rPr>
          <w:rFonts w:ascii="Arial" w:hAnsi="Arial" w:cs="Arial"/>
          <w:b/>
        </w:rPr>
        <w:t>Index of Multiple Deprivation</w:t>
      </w:r>
    </w:p>
    <w:p w:rsidR="00A562FE" w:rsidRDefault="00A562FE" w:rsidP="00A562FE">
      <w:pPr>
        <w:ind w:right="26"/>
        <w:rPr>
          <w:rFonts w:ascii="Arial" w:hAnsi="Arial" w:cs="Arial"/>
          <w:b/>
        </w:rPr>
      </w:pPr>
    </w:p>
    <w:p w:rsidR="00A562FE" w:rsidRPr="00A31EBC" w:rsidRDefault="00A562FE" w:rsidP="00A562FE">
      <w:pPr>
        <w:pStyle w:val="Heading2"/>
        <w:spacing w:after="200"/>
        <w:rPr>
          <w:b w:val="0"/>
          <w:i w:val="0"/>
          <w:sz w:val="24"/>
          <w:szCs w:val="24"/>
        </w:rPr>
      </w:pPr>
      <w:r w:rsidRPr="00A31EBC">
        <w:rPr>
          <w:b w:val="0"/>
          <w:i w:val="0"/>
          <w:sz w:val="24"/>
          <w:szCs w:val="24"/>
        </w:rPr>
        <w:t>The map shows differences in deprivation levels in this area based on national quintiles (fifths) of the Index of Multiple Deprivation 2010 by Lower Super Output Area. The darkest coloured areas are some of the most deprived areas in England. Lines on the map represent electoral Wards.</w:t>
      </w:r>
      <w:r>
        <w:rPr>
          <w:b w:val="0"/>
          <w:i w:val="0"/>
          <w:sz w:val="24"/>
          <w:szCs w:val="24"/>
        </w:rPr>
        <w:t xml:space="preserve"> The District</w:t>
      </w:r>
      <w:r w:rsidRPr="00A31EBC">
        <w:rPr>
          <w:b w:val="0"/>
          <w:i w:val="0"/>
          <w:sz w:val="24"/>
          <w:szCs w:val="24"/>
        </w:rPr>
        <w:t xml:space="preserve"> is ranked 299 out of 326 authorities in England for deprivation (1 is the most deprived)</w:t>
      </w:r>
      <w:r w:rsidRPr="00A31EBC">
        <w:rPr>
          <w:rStyle w:val="FootnoteReference"/>
          <w:b w:val="0"/>
          <w:i w:val="0"/>
          <w:sz w:val="24"/>
          <w:szCs w:val="24"/>
        </w:rPr>
        <w:footnoteReference w:id="1"/>
      </w:r>
      <w:r w:rsidRPr="00A31EBC">
        <w:rPr>
          <w:b w:val="0"/>
          <w:i w:val="0"/>
          <w:sz w:val="24"/>
          <w:szCs w:val="24"/>
        </w:rPr>
        <w:t>.  Within the District itself, the wards of Ashingdon, Canewdon and Rochford are the most deprived.</w:t>
      </w:r>
    </w:p>
    <w:p w:rsidR="00A562FE" w:rsidRPr="00A31EBC" w:rsidRDefault="00A562FE" w:rsidP="00A562FE">
      <w:pPr>
        <w:ind w:right="26"/>
        <w:rPr>
          <w:rFonts w:ascii="Arial" w:hAnsi="Arial" w:cs="Arial"/>
          <w:b/>
        </w:rPr>
      </w:pPr>
    </w:p>
    <w:p w:rsidR="00A562FE" w:rsidRDefault="00A562FE" w:rsidP="00A562FE">
      <w:pPr>
        <w:ind w:left="360" w:right="26"/>
        <w:rPr>
          <w:rFonts w:ascii="Arial" w:hAnsi="Arial" w:cs="Arial"/>
          <w:b/>
        </w:rPr>
      </w:pPr>
    </w:p>
    <w:p w:rsidR="00A562FE" w:rsidRDefault="00A562FE" w:rsidP="00A562FE">
      <w:pPr>
        <w:ind w:left="360" w:right="26"/>
        <w:rPr>
          <w:rFonts w:ascii="Arial" w:hAnsi="Arial" w:cs="Arial"/>
          <w:b/>
        </w:rPr>
      </w:pPr>
    </w:p>
    <w:p w:rsidR="00A562FE" w:rsidRDefault="00A562FE" w:rsidP="00A562FE">
      <w:pPr>
        <w:ind w:left="360" w:right="26"/>
        <w:rPr>
          <w:rFonts w:ascii="Arial" w:hAnsi="Arial" w:cs="Arial"/>
          <w:b/>
        </w:rPr>
      </w:pPr>
      <w:r>
        <w:rPr>
          <w:rFonts w:ascii="Arial" w:hAnsi="Arial" w:cs="Arial"/>
          <w:b/>
          <w:noProof/>
        </w:rPr>
        <w:drawing>
          <wp:inline distT="0" distB="0" distL="0" distR="0">
            <wp:extent cx="5988685" cy="2983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8685" cy="2983865"/>
                    </a:xfrm>
                    <a:prstGeom prst="rect">
                      <a:avLst/>
                    </a:prstGeom>
                    <a:noFill/>
                  </pic:spPr>
                </pic:pic>
              </a:graphicData>
            </a:graphic>
          </wp:inline>
        </w:drawing>
      </w:r>
    </w:p>
    <w:p w:rsidR="00A562FE" w:rsidRDefault="00A562FE" w:rsidP="00A562FE">
      <w:pPr>
        <w:ind w:left="360" w:right="26"/>
        <w:rPr>
          <w:rFonts w:ascii="Arial" w:hAnsi="Arial" w:cs="Arial"/>
          <w:b/>
        </w:rPr>
      </w:pPr>
    </w:p>
    <w:p w:rsidR="00A562FE" w:rsidRDefault="00A562FE" w:rsidP="00A562FE">
      <w:pPr>
        <w:ind w:left="360" w:right="26"/>
        <w:rPr>
          <w:rFonts w:ascii="Arial" w:hAnsi="Arial" w:cs="Arial"/>
          <w:b/>
        </w:rPr>
      </w:pPr>
    </w:p>
    <w:p w:rsidR="00A562FE" w:rsidRDefault="00A562FE" w:rsidP="00A562FE">
      <w:pPr>
        <w:ind w:right="26"/>
        <w:rPr>
          <w:rFonts w:ascii="Arial" w:hAnsi="Arial" w:cs="Arial"/>
          <w:b/>
        </w:rPr>
      </w:pPr>
    </w:p>
    <w:p w:rsidR="00A562FE" w:rsidRDefault="00A562FE" w:rsidP="00A562FE">
      <w:pPr>
        <w:ind w:right="26"/>
        <w:rPr>
          <w:rFonts w:ascii="Arial" w:hAnsi="Arial" w:cs="Arial"/>
          <w:b/>
        </w:rPr>
      </w:pPr>
    </w:p>
    <w:p w:rsidR="00A562FE" w:rsidRDefault="00A562FE" w:rsidP="00A562FE">
      <w:pPr>
        <w:ind w:right="26"/>
        <w:rPr>
          <w:rFonts w:ascii="Arial" w:hAnsi="Arial" w:cs="Arial"/>
          <w:b/>
        </w:rPr>
      </w:pPr>
    </w:p>
    <w:p w:rsidR="00A562FE" w:rsidRDefault="00A562FE" w:rsidP="00A562FE">
      <w:pPr>
        <w:ind w:right="26"/>
        <w:rPr>
          <w:rFonts w:ascii="Arial" w:hAnsi="Arial" w:cs="Arial"/>
          <w:b/>
        </w:rPr>
      </w:pPr>
    </w:p>
    <w:p w:rsidR="00A562FE" w:rsidRDefault="00A562FE" w:rsidP="00A562FE">
      <w:pPr>
        <w:ind w:right="26"/>
        <w:rPr>
          <w:rFonts w:ascii="Arial" w:hAnsi="Arial" w:cs="Arial"/>
          <w:b/>
        </w:rPr>
      </w:pPr>
    </w:p>
    <w:p w:rsidR="00A562FE" w:rsidRDefault="00A562FE" w:rsidP="00A562FE">
      <w:pPr>
        <w:ind w:left="360" w:right="26"/>
        <w:rPr>
          <w:rFonts w:ascii="Arial" w:hAnsi="Arial" w:cs="Arial"/>
          <w:b/>
        </w:rPr>
      </w:pPr>
    </w:p>
    <w:p w:rsidR="00A562FE" w:rsidRDefault="00A562FE" w:rsidP="00A562FE">
      <w:pPr>
        <w:numPr>
          <w:ilvl w:val="1"/>
          <w:numId w:val="6"/>
        </w:numPr>
        <w:tabs>
          <w:tab w:val="left" w:pos="709"/>
        </w:tabs>
        <w:ind w:right="26"/>
        <w:rPr>
          <w:rFonts w:ascii="Arial" w:hAnsi="Arial" w:cs="Arial"/>
          <w:b/>
        </w:rPr>
      </w:pPr>
      <w:r>
        <w:rPr>
          <w:rFonts w:ascii="Arial" w:hAnsi="Arial" w:cs="Arial"/>
          <w:b/>
        </w:rPr>
        <w:tab/>
      </w:r>
      <w:r w:rsidRPr="00DC3FC9">
        <w:rPr>
          <w:rFonts w:ascii="Arial" w:hAnsi="Arial" w:cs="Arial"/>
          <w:b/>
        </w:rPr>
        <w:t>Ev</w:t>
      </w:r>
      <w:r>
        <w:rPr>
          <w:rFonts w:ascii="Arial" w:hAnsi="Arial" w:cs="Arial"/>
          <w:b/>
        </w:rPr>
        <w:t>idence relating to people on a l</w:t>
      </w:r>
      <w:r w:rsidRPr="00DC3FC9">
        <w:rPr>
          <w:rFonts w:ascii="Arial" w:hAnsi="Arial" w:cs="Arial"/>
          <w:b/>
        </w:rPr>
        <w:t>ow income</w:t>
      </w:r>
    </w:p>
    <w:p w:rsidR="00A562FE" w:rsidRDefault="00A562FE" w:rsidP="00A562FE">
      <w:pPr>
        <w:tabs>
          <w:tab w:val="left" w:pos="709"/>
        </w:tabs>
        <w:ind w:left="360" w:right="26"/>
        <w:rPr>
          <w:rFonts w:ascii="Arial" w:hAnsi="Arial" w:cs="Arial"/>
          <w:b/>
        </w:rPr>
      </w:pPr>
    </w:p>
    <w:p w:rsidR="00A562FE" w:rsidRPr="002D6B56" w:rsidRDefault="00A562FE" w:rsidP="00A562FE">
      <w:pPr>
        <w:tabs>
          <w:tab w:val="left" w:pos="900"/>
        </w:tabs>
        <w:rPr>
          <w:rFonts w:ascii="Arial" w:hAnsi="Arial" w:cs="Arial"/>
          <w:b/>
        </w:rPr>
      </w:pPr>
      <w:r w:rsidRPr="002D6B56">
        <w:rPr>
          <w:rFonts w:ascii="Arial" w:hAnsi="Arial" w:cs="Arial"/>
          <w:b/>
        </w:rPr>
        <w:t>Working age residents claiming key benefits</w:t>
      </w:r>
      <w:r>
        <w:rPr>
          <w:rFonts w:ascii="Arial" w:hAnsi="Arial" w:cs="Arial"/>
          <w:b/>
        </w:rPr>
        <w:t xml:space="preserve"> (May 2014)</w:t>
      </w:r>
    </w:p>
    <w:p w:rsidR="00A562FE" w:rsidRDefault="00A562FE" w:rsidP="00A562FE">
      <w:pPr>
        <w:shd w:val="clear" w:color="auto" w:fill="ECF1F4"/>
        <w:rPr>
          <w:rFonts w:ascii="Verdana" w:hAnsi="Verdana"/>
          <w:color w:val="0000B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1"/>
        <w:gridCol w:w="1234"/>
        <w:gridCol w:w="1127"/>
        <w:gridCol w:w="567"/>
        <w:gridCol w:w="1529"/>
      </w:tblGrid>
      <w:tr w:rsidR="00A562FE" w:rsidTr="00BD7048">
        <w:trPr>
          <w:tblCellSpacing w:w="15" w:type="dxa"/>
        </w:trPr>
        <w:tc>
          <w:tcPr>
            <w:tcW w:w="0" w:type="auto"/>
            <w:vAlign w:val="center"/>
            <w:hideMark/>
          </w:tcPr>
          <w:p w:rsidR="00A562FE" w:rsidRDefault="00A562FE" w:rsidP="00BD7048">
            <w:pPr>
              <w:jc w:val="center"/>
              <w:rPr>
                <w:rFonts w:ascii="Verdana" w:hAnsi="Verdana"/>
                <w:b/>
                <w:bCs/>
                <w:sz w:val="20"/>
                <w:szCs w:val="20"/>
              </w:rPr>
            </w:pPr>
          </w:p>
        </w:tc>
        <w:tc>
          <w:tcPr>
            <w:tcW w:w="0" w:type="auto"/>
            <w:vAlign w:val="center"/>
            <w:hideMark/>
          </w:tcPr>
          <w:p w:rsidR="00A562FE" w:rsidRPr="002D6B56" w:rsidRDefault="00A562FE" w:rsidP="00BD7048">
            <w:pPr>
              <w:jc w:val="center"/>
              <w:rPr>
                <w:rFonts w:ascii="Arial" w:hAnsi="Arial" w:cs="Arial"/>
                <w:b/>
                <w:bCs/>
              </w:rPr>
            </w:pPr>
            <w:r w:rsidRPr="002D6B56">
              <w:rPr>
                <w:rFonts w:ascii="Arial" w:hAnsi="Arial" w:cs="Arial"/>
                <w:b/>
                <w:bCs/>
              </w:rPr>
              <w:t>Rochford</w:t>
            </w:r>
            <w:r w:rsidRPr="002D6B56">
              <w:rPr>
                <w:rFonts w:ascii="Arial" w:hAnsi="Arial" w:cs="Arial"/>
                <w:b/>
                <w:bCs/>
              </w:rPr>
              <w:br/>
              <w:t>(numbers)</w:t>
            </w:r>
          </w:p>
        </w:tc>
        <w:tc>
          <w:tcPr>
            <w:tcW w:w="0" w:type="auto"/>
            <w:vAlign w:val="center"/>
            <w:hideMark/>
          </w:tcPr>
          <w:p w:rsidR="00A562FE" w:rsidRPr="002D6B56" w:rsidRDefault="00A562FE" w:rsidP="00BD7048">
            <w:pPr>
              <w:jc w:val="center"/>
              <w:rPr>
                <w:rFonts w:ascii="Arial" w:hAnsi="Arial" w:cs="Arial"/>
                <w:b/>
                <w:bCs/>
              </w:rPr>
            </w:pPr>
            <w:r w:rsidRPr="002D6B56">
              <w:rPr>
                <w:rFonts w:ascii="Arial" w:hAnsi="Arial" w:cs="Arial"/>
                <w:b/>
                <w:bCs/>
              </w:rPr>
              <w:t>Rochford</w:t>
            </w:r>
            <w:r w:rsidRPr="002D6B56">
              <w:rPr>
                <w:rFonts w:ascii="Arial" w:hAnsi="Arial" w:cs="Arial"/>
                <w:b/>
                <w:bCs/>
              </w:rPr>
              <w:br/>
              <w:t>(%)</w:t>
            </w:r>
          </w:p>
        </w:tc>
        <w:tc>
          <w:tcPr>
            <w:tcW w:w="0" w:type="auto"/>
            <w:vAlign w:val="center"/>
            <w:hideMark/>
          </w:tcPr>
          <w:p w:rsidR="00A562FE" w:rsidRPr="002D6B56" w:rsidRDefault="00A562FE" w:rsidP="00BD7048">
            <w:pPr>
              <w:jc w:val="center"/>
              <w:rPr>
                <w:rFonts w:ascii="Arial" w:hAnsi="Arial" w:cs="Arial"/>
                <w:b/>
                <w:bCs/>
              </w:rPr>
            </w:pPr>
            <w:r w:rsidRPr="002D6B56">
              <w:rPr>
                <w:rFonts w:ascii="Arial" w:hAnsi="Arial" w:cs="Arial"/>
                <w:b/>
                <w:bCs/>
              </w:rPr>
              <w:t>East</w:t>
            </w:r>
            <w:r w:rsidRPr="002D6B56">
              <w:rPr>
                <w:rFonts w:ascii="Arial" w:hAnsi="Arial" w:cs="Arial"/>
                <w:b/>
                <w:bCs/>
              </w:rPr>
              <w:br/>
              <w:t>(%)</w:t>
            </w:r>
          </w:p>
        </w:tc>
        <w:tc>
          <w:tcPr>
            <w:tcW w:w="0" w:type="auto"/>
            <w:vAlign w:val="center"/>
            <w:hideMark/>
          </w:tcPr>
          <w:p w:rsidR="00A562FE" w:rsidRPr="002D6B56" w:rsidRDefault="00A562FE" w:rsidP="00BD7048">
            <w:pPr>
              <w:jc w:val="center"/>
              <w:rPr>
                <w:rFonts w:ascii="Arial" w:hAnsi="Arial" w:cs="Arial"/>
                <w:b/>
                <w:bCs/>
              </w:rPr>
            </w:pPr>
            <w:r w:rsidRPr="002D6B56">
              <w:rPr>
                <w:rFonts w:ascii="Arial" w:hAnsi="Arial" w:cs="Arial"/>
                <w:b/>
                <w:bCs/>
              </w:rPr>
              <w:t>Great Britain</w:t>
            </w:r>
            <w:r w:rsidRPr="002D6B56">
              <w:rPr>
                <w:rFonts w:ascii="Arial" w:hAnsi="Arial" w:cs="Arial"/>
                <w:b/>
                <w:bCs/>
              </w:rPr>
              <w:br/>
              <w:t>(%)</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Total claimants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3,960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7.8</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10.4</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12.9</w:t>
            </w:r>
          </w:p>
        </w:tc>
      </w:tr>
      <w:tr w:rsidR="00A562FE" w:rsidTr="00BD7048">
        <w:trPr>
          <w:tblCellSpacing w:w="15" w:type="dxa"/>
        </w:trPr>
        <w:tc>
          <w:tcPr>
            <w:tcW w:w="0" w:type="auto"/>
            <w:gridSpan w:val="5"/>
            <w:vAlign w:val="center"/>
            <w:hideMark/>
          </w:tcPr>
          <w:p w:rsidR="00A562FE" w:rsidRPr="002D6B56" w:rsidRDefault="00A562FE" w:rsidP="00BD7048">
            <w:pPr>
              <w:rPr>
                <w:rFonts w:ascii="Arial" w:hAnsi="Arial" w:cs="Arial"/>
              </w:rPr>
            </w:pPr>
            <w:r w:rsidRPr="002D6B56">
              <w:rPr>
                <w:rFonts w:ascii="Arial" w:hAnsi="Arial" w:cs="Arial"/>
                <w:b/>
                <w:bCs/>
              </w:rPr>
              <w:t>By statistical group</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Job seekers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630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1.2</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1.8</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2.4</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ESA and incapacity benefits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1,730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3.4</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4.8</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6.2</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Lone parents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350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0.7</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1.2</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Carers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530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1.2</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1.4</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Others on income related benefits</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110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0.2</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0.3</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0.3</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Disabled</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520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1.2</w:t>
            </w:r>
          </w:p>
        </w:tc>
      </w:tr>
      <w:tr w:rsidR="00A562FE" w:rsidTr="00BD7048">
        <w:trPr>
          <w:trHeight w:val="50"/>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Bereaved</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0.2</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0.2</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0.2</w:t>
            </w:r>
          </w:p>
        </w:tc>
      </w:tr>
      <w:tr w:rsidR="00A562FE" w:rsidTr="00BD7048">
        <w:trPr>
          <w:tblCellSpacing w:w="15" w:type="dxa"/>
        </w:trPr>
        <w:tc>
          <w:tcPr>
            <w:tcW w:w="0" w:type="auto"/>
            <w:vAlign w:val="center"/>
            <w:hideMark/>
          </w:tcPr>
          <w:p w:rsidR="00A562FE" w:rsidRPr="002D6B56" w:rsidRDefault="00A562FE" w:rsidP="00BD7048">
            <w:pPr>
              <w:rPr>
                <w:rFonts w:ascii="Verdana" w:hAnsi="Verdana"/>
              </w:rPr>
            </w:pPr>
            <w:r w:rsidRPr="002D6B56">
              <w:rPr>
                <w:rFonts w:ascii="Verdana" w:hAnsi="Verdana"/>
              </w:rPr>
              <w:t>Key out-of-work benefits</w:t>
            </w:r>
            <w:r w:rsidRPr="002D6B56">
              <w:rPr>
                <w:rFonts w:ascii="Verdana" w:hAnsi="Verdana"/>
                <w:vertAlign w:val="superscript"/>
              </w:rPr>
              <w:t>†</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2,820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5.5</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8.0</w:t>
            </w:r>
          </w:p>
        </w:tc>
        <w:tc>
          <w:tcPr>
            <w:tcW w:w="0" w:type="auto"/>
            <w:vAlign w:val="center"/>
            <w:hideMark/>
          </w:tcPr>
          <w:p w:rsidR="00A562FE" w:rsidRPr="002D6B56" w:rsidRDefault="00A562FE" w:rsidP="00BD7048">
            <w:pPr>
              <w:rPr>
                <w:rFonts w:ascii="Arial" w:hAnsi="Arial" w:cs="Arial"/>
              </w:rPr>
            </w:pPr>
            <w:r w:rsidRPr="002D6B56">
              <w:rPr>
                <w:rFonts w:ascii="Arial" w:hAnsi="Arial" w:cs="Arial"/>
              </w:rPr>
              <w:t>10.2</w:t>
            </w:r>
          </w:p>
        </w:tc>
      </w:tr>
    </w:tbl>
    <w:p w:rsidR="00A562FE" w:rsidRDefault="00A562FE" w:rsidP="00A562FE">
      <w:pPr>
        <w:rPr>
          <w:rFonts w:ascii="Verdana" w:hAnsi="Verdana"/>
          <w:sz w:val="16"/>
          <w:szCs w:val="16"/>
        </w:rPr>
      </w:pPr>
      <w:r>
        <w:rPr>
          <w:rFonts w:ascii="Verdana" w:hAnsi="Verdana"/>
          <w:sz w:val="16"/>
          <w:szCs w:val="16"/>
        </w:rPr>
        <w:t>Source: DWP benefit claimants - working age client group</w:t>
      </w:r>
    </w:p>
    <w:p w:rsidR="00A562FE" w:rsidRDefault="00A562FE" w:rsidP="00A562FE">
      <w:pPr>
        <w:rPr>
          <w:rFonts w:ascii="Verdana" w:hAnsi="Verdana"/>
          <w:sz w:val="16"/>
          <w:szCs w:val="16"/>
        </w:rPr>
      </w:pPr>
    </w:p>
    <w:tbl>
      <w:tblPr>
        <w:tblW w:w="0" w:type="auto"/>
        <w:tblCellSpacing w:w="0" w:type="dxa"/>
        <w:tblCellMar>
          <w:left w:w="0" w:type="dxa"/>
          <w:right w:w="0" w:type="dxa"/>
        </w:tblCellMar>
        <w:tblLook w:val="04A0" w:firstRow="1" w:lastRow="0" w:firstColumn="1" w:lastColumn="0" w:noHBand="0" w:noVBand="1"/>
      </w:tblPr>
      <w:tblGrid>
        <w:gridCol w:w="448"/>
        <w:gridCol w:w="8964"/>
      </w:tblGrid>
      <w:tr w:rsidR="00A562FE" w:rsidTr="00BD7048">
        <w:trPr>
          <w:tblCellSpacing w:w="0" w:type="dxa"/>
        </w:trPr>
        <w:tc>
          <w:tcPr>
            <w:tcW w:w="0" w:type="auto"/>
            <w:vAlign w:val="center"/>
            <w:hideMark/>
          </w:tcPr>
          <w:p w:rsidR="00A562FE" w:rsidRDefault="00A562FE" w:rsidP="00BD7048">
            <w:pPr>
              <w:rPr>
                <w:rFonts w:ascii="Verdana" w:hAnsi="Verdana"/>
                <w:sz w:val="16"/>
                <w:szCs w:val="16"/>
              </w:rPr>
            </w:pPr>
            <w:r>
              <w:rPr>
                <w:rFonts w:ascii="Verdana" w:hAnsi="Verdana"/>
                <w:sz w:val="16"/>
                <w:szCs w:val="16"/>
              </w:rPr>
              <w:t>†</w:t>
            </w:r>
          </w:p>
        </w:tc>
        <w:tc>
          <w:tcPr>
            <w:tcW w:w="0" w:type="auto"/>
            <w:vAlign w:val="center"/>
            <w:hideMark/>
          </w:tcPr>
          <w:p w:rsidR="00A562FE" w:rsidRDefault="00A562FE" w:rsidP="00BD7048">
            <w:pPr>
              <w:rPr>
                <w:rFonts w:ascii="Verdana" w:hAnsi="Verdana"/>
                <w:sz w:val="16"/>
                <w:szCs w:val="16"/>
              </w:rPr>
            </w:pPr>
            <w:r>
              <w:rPr>
                <w:rFonts w:ascii="Verdana" w:hAnsi="Verdana"/>
                <w:sz w:val="16"/>
                <w:szCs w:val="16"/>
              </w:rPr>
              <w:t xml:space="preserve">Key out-of-work benefits includes the groups: job seekers, ESA and incapacity benefits, lone parents and others on income related benefits. </w:t>
            </w:r>
          </w:p>
        </w:tc>
      </w:tr>
      <w:tr w:rsidR="00A562FE" w:rsidTr="00BD7048">
        <w:trPr>
          <w:tblCellSpacing w:w="0" w:type="dxa"/>
        </w:trPr>
        <w:tc>
          <w:tcPr>
            <w:tcW w:w="0" w:type="auto"/>
            <w:vAlign w:val="center"/>
            <w:hideMark/>
          </w:tcPr>
          <w:p w:rsidR="00A562FE" w:rsidRDefault="00A562FE" w:rsidP="00BD7048">
            <w:pPr>
              <w:rPr>
                <w:rFonts w:ascii="Verdana" w:hAnsi="Verdana"/>
                <w:sz w:val="16"/>
                <w:szCs w:val="16"/>
              </w:rPr>
            </w:pPr>
            <w:r>
              <w:rPr>
                <w:rFonts w:ascii="Verdana" w:hAnsi="Verdana"/>
                <w:sz w:val="16"/>
                <w:szCs w:val="16"/>
              </w:rPr>
              <w:t xml:space="preserve">Note: </w:t>
            </w:r>
          </w:p>
        </w:tc>
        <w:tc>
          <w:tcPr>
            <w:tcW w:w="0" w:type="auto"/>
            <w:vAlign w:val="center"/>
            <w:hideMark/>
          </w:tcPr>
          <w:p w:rsidR="00A562FE" w:rsidRDefault="00A562FE" w:rsidP="00BD7048">
            <w:pPr>
              <w:rPr>
                <w:rFonts w:ascii="Verdana" w:hAnsi="Verdana"/>
                <w:sz w:val="16"/>
                <w:szCs w:val="16"/>
              </w:rPr>
            </w:pPr>
            <w:r>
              <w:rPr>
                <w:rFonts w:ascii="Verdana" w:hAnsi="Verdana"/>
                <w:sz w:val="16"/>
                <w:szCs w:val="16"/>
              </w:rPr>
              <w:t>% is a proportion of resident population of area aged 16-64</w:t>
            </w:r>
          </w:p>
        </w:tc>
      </w:tr>
    </w:tbl>
    <w:p w:rsidR="00A562FE" w:rsidRDefault="00A562FE" w:rsidP="00A562FE">
      <w:pPr>
        <w:tabs>
          <w:tab w:val="left" w:pos="709"/>
        </w:tabs>
        <w:ind w:right="26"/>
        <w:rPr>
          <w:rFonts w:ascii="Arial" w:hAnsi="Arial" w:cs="Arial"/>
          <w:b/>
        </w:rPr>
      </w:pPr>
    </w:p>
    <w:p w:rsidR="00A562FE" w:rsidRDefault="00A562FE" w:rsidP="00A562FE">
      <w:pPr>
        <w:tabs>
          <w:tab w:val="left" w:pos="709"/>
        </w:tabs>
        <w:ind w:right="26"/>
        <w:rPr>
          <w:rFonts w:ascii="Arial" w:hAnsi="Arial" w:cs="Arial"/>
        </w:rPr>
      </w:pPr>
      <w:r w:rsidRPr="00E222CE">
        <w:rPr>
          <w:rFonts w:ascii="Arial" w:hAnsi="Arial" w:cs="Arial"/>
        </w:rPr>
        <w:t>A recent survey</w:t>
      </w:r>
      <w:r>
        <w:rPr>
          <w:rFonts w:ascii="Arial" w:hAnsi="Arial" w:cs="Arial"/>
        </w:rPr>
        <w:t xml:space="preserve"> looking at the potential impact of Universal Credit implementation</w:t>
      </w:r>
      <w:r w:rsidRPr="00E222CE">
        <w:rPr>
          <w:rFonts w:ascii="Arial" w:hAnsi="Arial" w:cs="Arial"/>
        </w:rPr>
        <w:t xml:space="preserve"> </w:t>
      </w:r>
      <w:r>
        <w:rPr>
          <w:rFonts w:ascii="Arial" w:hAnsi="Arial" w:cs="Arial"/>
        </w:rPr>
        <w:t xml:space="preserve">conducted by the Revenues and Benefits team at Rochford Council found that 56% of respondents thought they would have to borrow money should there be changes to the amount of benefits that they receive. </w:t>
      </w:r>
    </w:p>
    <w:p w:rsidR="00A562FE" w:rsidRDefault="00A562FE" w:rsidP="00A562FE">
      <w:pPr>
        <w:tabs>
          <w:tab w:val="left" w:pos="709"/>
        </w:tabs>
        <w:ind w:right="26"/>
        <w:rPr>
          <w:rFonts w:ascii="Arial" w:hAnsi="Arial" w:cs="Arial"/>
        </w:rPr>
      </w:pPr>
    </w:p>
    <w:p w:rsidR="00A562FE" w:rsidRPr="00F21C8B" w:rsidRDefault="00A562FE" w:rsidP="00A562FE">
      <w:pPr>
        <w:tabs>
          <w:tab w:val="left" w:pos="709"/>
        </w:tabs>
        <w:ind w:right="26"/>
        <w:rPr>
          <w:rFonts w:ascii="Arial" w:hAnsi="Arial" w:cs="Arial"/>
        </w:rPr>
      </w:pPr>
      <w:r>
        <w:rPr>
          <w:rFonts w:ascii="Arial" w:hAnsi="Arial" w:cs="Arial"/>
        </w:rPr>
        <w:t>The t</w:t>
      </w:r>
      <w:r w:rsidRPr="00F21C8B">
        <w:rPr>
          <w:rFonts w:ascii="Arial" w:hAnsi="Arial" w:cs="Arial"/>
        </w:rPr>
        <w:t xml:space="preserve">able </w:t>
      </w:r>
      <w:r>
        <w:rPr>
          <w:rFonts w:ascii="Arial" w:hAnsi="Arial" w:cs="Arial"/>
        </w:rPr>
        <w:t>below shows</w:t>
      </w:r>
      <w:r w:rsidRPr="00F21C8B">
        <w:rPr>
          <w:rFonts w:ascii="Arial" w:hAnsi="Arial" w:cs="Arial"/>
        </w:rPr>
        <w:t xml:space="preserve"> the number of residents in receipt of Council Tax Support and Housing Benefit, split between working age and pensioners</w:t>
      </w:r>
      <w:r>
        <w:rPr>
          <w:rFonts w:ascii="Arial" w:hAnsi="Arial" w:cs="Arial"/>
        </w:rPr>
        <w:t>.</w:t>
      </w:r>
    </w:p>
    <w:p w:rsidR="00A562FE" w:rsidRDefault="00A562FE" w:rsidP="00A562FE">
      <w:pPr>
        <w:tabs>
          <w:tab w:val="left" w:pos="709"/>
        </w:tabs>
        <w:ind w:right="26"/>
        <w:rPr>
          <w:rFonts w:ascii="Arial" w:hAnsi="Arial" w:cs="Arial"/>
        </w:rPr>
      </w:pPr>
    </w:p>
    <w:p w:rsidR="00A562FE" w:rsidRPr="00E222CE" w:rsidRDefault="00A562FE" w:rsidP="00A562FE">
      <w:pPr>
        <w:tabs>
          <w:tab w:val="left" w:pos="709"/>
        </w:tabs>
        <w:ind w:right="26"/>
        <w:rPr>
          <w:rFonts w:ascii="Arial" w:hAnsi="Arial" w:cs="Arial"/>
        </w:rPr>
      </w:pPr>
      <w:r>
        <w:rPr>
          <w:noProof/>
        </w:rPr>
        <w:drawing>
          <wp:inline distT="0" distB="0" distL="0" distR="0">
            <wp:extent cx="6116320" cy="1759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1759585"/>
                    </a:xfrm>
                    <a:prstGeom prst="rect">
                      <a:avLst/>
                    </a:prstGeom>
                    <a:noFill/>
                    <a:ln>
                      <a:noFill/>
                    </a:ln>
                  </pic:spPr>
                </pic:pic>
              </a:graphicData>
            </a:graphic>
          </wp:inline>
        </w:drawing>
      </w:r>
    </w:p>
    <w:p w:rsidR="00A562FE" w:rsidRDefault="00A562FE" w:rsidP="00A562FE">
      <w:pPr>
        <w:tabs>
          <w:tab w:val="left" w:pos="709"/>
        </w:tabs>
        <w:ind w:right="26"/>
        <w:rPr>
          <w:rFonts w:ascii="Arial" w:hAnsi="Arial" w:cs="Arial"/>
          <w:b/>
        </w:rPr>
      </w:pPr>
    </w:p>
    <w:p w:rsidR="00A562FE" w:rsidRDefault="00A562FE" w:rsidP="00A562FE">
      <w:pPr>
        <w:tabs>
          <w:tab w:val="left" w:pos="709"/>
        </w:tabs>
        <w:ind w:left="360" w:right="26"/>
        <w:rPr>
          <w:rFonts w:ascii="Arial" w:hAnsi="Arial" w:cs="Arial"/>
          <w:b/>
        </w:rPr>
      </w:pPr>
      <w:r>
        <w:rPr>
          <w:rFonts w:ascii="Arial" w:hAnsi="Arial" w:cs="Arial"/>
          <w:b/>
        </w:rPr>
        <w:tab/>
      </w:r>
    </w:p>
    <w:p w:rsidR="00A562FE" w:rsidRPr="007E5AAB" w:rsidRDefault="00A562FE" w:rsidP="00A562FE">
      <w:pPr>
        <w:tabs>
          <w:tab w:val="left" w:pos="709"/>
        </w:tabs>
        <w:ind w:left="360" w:right="26"/>
        <w:rPr>
          <w:rFonts w:ascii="Arial" w:hAnsi="Arial" w:cs="Arial"/>
          <w:b/>
          <w:color w:val="FF0000"/>
        </w:rPr>
      </w:pPr>
    </w:p>
    <w:p w:rsidR="00A562FE" w:rsidRPr="00DC3FC9" w:rsidRDefault="00A562FE" w:rsidP="00A562FE">
      <w:pPr>
        <w:tabs>
          <w:tab w:val="left" w:pos="709"/>
        </w:tabs>
        <w:ind w:left="360" w:right="26" w:hanging="360"/>
        <w:rPr>
          <w:rFonts w:ascii="Arial" w:hAnsi="Arial" w:cs="Arial"/>
        </w:rPr>
      </w:pPr>
    </w:p>
    <w:p w:rsidR="00A562FE" w:rsidRDefault="00A562FE" w:rsidP="00A562FE">
      <w:pPr>
        <w:numPr>
          <w:ilvl w:val="1"/>
          <w:numId w:val="6"/>
        </w:numPr>
        <w:ind w:right="26"/>
        <w:rPr>
          <w:rFonts w:ascii="Arial" w:hAnsi="Arial" w:cs="Arial"/>
          <w:b/>
        </w:rPr>
      </w:pPr>
      <w:r>
        <w:rPr>
          <w:rFonts w:ascii="Arial" w:hAnsi="Arial" w:cs="Arial"/>
          <w:b/>
        </w:rPr>
        <w:t xml:space="preserve">     E</w:t>
      </w:r>
      <w:r w:rsidRPr="00803B2A">
        <w:rPr>
          <w:rFonts w:ascii="Arial" w:hAnsi="Arial" w:cs="Arial"/>
          <w:b/>
        </w:rPr>
        <w:t>thnicity (BME)</w:t>
      </w:r>
    </w:p>
    <w:p w:rsidR="00A562FE" w:rsidRDefault="00A562FE" w:rsidP="00A562FE">
      <w:pPr>
        <w:pStyle w:val="ListParagraph"/>
        <w:rPr>
          <w:rFonts w:ascii="Arial" w:hAnsi="Arial" w:cs="Arial"/>
          <w:b/>
        </w:rPr>
      </w:pPr>
    </w:p>
    <w:p w:rsidR="00A562FE" w:rsidRPr="00F21B14" w:rsidRDefault="00A562FE" w:rsidP="00A562FE">
      <w:pPr>
        <w:ind w:left="720" w:right="26"/>
        <w:rPr>
          <w:rFonts w:ascii="Arial" w:hAnsi="Arial" w:cs="Arial"/>
        </w:rPr>
      </w:pPr>
      <w:r w:rsidRPr="00F21B14">
        <w:rPr>
          <w:rFonts w:ascii="Arial" w:hAnsi="Arial" w:cs="Arial"/>
        </w:rPr>
        <w:t xml:space="preserve">The table below shows the </w:t>
      </w:r>
      <w:r>
        <w:rPr>
          <w:rFonts w:ascii="Arial" w:hAnsi="Arial" w:cs="Arial"/>
        </w:rPr>
        <w:t>ethnic make up of the District. The overwhelming majority of residents are White British, almost 96%.</w:t>
      </w:r>
    </w:p>
    <w:p w:rsidR="00A562FE" w:rsidRDefault="00A562FE" w:rsidP="00A562FE">
      <w:pPr>
        <w:pStyle w:val="ListParagraph"/>
        <w:rPr>
          <w:rFonts w:ascii="Arial" w:hAnsi="Arial" w:cs="Arial"/>
          <w:b/>
        </w:rPr>
      </w:pPr>
    </w:p>
    <w:p w:rsidR="00A562FE" w:rsidRDefault="00A562FE" w:rsidP="00A562FE">
      <w:pPr>
        <w:ind w:left="360" w:right="26"/>
        <w:rPr>
          <w:sz w:val="20"/>
          <w:szCs w:val="20"/>
        </w:rPr>
      </w:pPr>
      <w:r>
        <w:rPr>
          <w:rFonts w:ascii="Arial" w:hAnsi="Arial" w:cs="Arial"/>
          <w:b/>
        </w:rPr>
        <w:lastRenderedPageBreak/>
        <w:fldChar w:fldCharType="begin"/>
      </w:r>
      <w:r>
        <w:rPr>
          <w:rFonts w:ascii="Arial" w:hAnsi="Arial" w:cs="Arial"/>
          <w:b/>
        </w:rPr>
        <w:instrText xml:space="preserve"> LINK Excel.SheetBinaryMacroEnabled.12 "C:\\Users\\AndrewL\\AppData\\Local\\Microsoft\\Windows\\Temporary Internet Files\\Content.IE5\\98MD6W72\\dataset.csv" "dataset!R4C1:R22C2" \a \f 5 \h  \* MERGEFORMAT </w:instrText>
      </w:r>
      <w:r>
        <w:rPr>
          <w:rFonts w:ascii="Arial" w:hAnsi="Arial" w:cs="Arial"/>
          <w:b/>
        </w:rPr>
        <w:fldChar w:fldCharType="separate"/>
      </w:r>
    </w:p>
    <w:tbl>
      <w:tblPr>
        <w:tblW w:w="6957"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1337"/>
      </w:tblGrid>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b/>
              </w:rPr>
            </w:pPr>
            <w:r w:rsidRPr="00024DE3">
              <w:rPr>
                <w:rFonts w:ascii="Arial" w:hAnsi="Arial" w:cs="Arial"/>
                <w:b/>
              </w:rPr>
              <w:t>Rochford District Residents</w:t>
            </w:r>
          </w:p>
        </w:tc>
        <w:tc>
          <w:tcPr>
            <w:tcW w:w="1337" w:type="dxa"/>
            <w:shd w:val="clear" w:color="auto" w:fill="auto"/>
            <w:noWrap/>
            <w:hideMark/>
          </w:tcPr>
          <w:p w:rsidR="00A562FE" w:rsidRPr="00024DE3" w:rsidRDefault="00A562FE" w:rsidP="00BD7048">
            <w:pPr>
              <w:ind w:left="360" w:right="26"/>
              <w:rPr>
                <w:rFonts w:ascii="Arial" w:hAnsi="Arial" w:cs="Arial"/>
                <w:b/>
              </w:rPr>
            </w:pPr>
            <w:r w:rsidRPr="00024DE3">
              <w:rPr>
                <w:rFonts w:ascii="Arial" w:hAnsi="Arial" w:cs="Arial"/>
                <w:b/>
              </w:rPr>
              <w:t>83,287</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White; English/Welsh/Scottish/Northern Irish/British</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79,628</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White; Irish</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468</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White; Gypsy or Irish Traveller</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49</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White; Other White</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792</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Mixed/Multiple Ethnic Groups; White and Black Caribbean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296</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Mixed/Multiple Ethnic Groups; White and Black African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127</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Mixed/Multiple Ethnic Groups; White and Asian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304</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Mixed/Multiple Ethnic Groups; Other Mixed</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178</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Asian/Asian British; Indian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262</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Asian/Asian British; Pakistani</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42</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Asian/Asian British; Bangladeshi</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81</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Asian/Asian British; Chinese</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228</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Asian/Asian British; Other Asian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268</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Black/African/Caribbean/Black British; African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235</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Black/African/Caribbean/Black British; Caribbean</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95</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Black/African/Caribbean/Black British; Other Black</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103</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Other Ethnic Group; Arab</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40</w:t>
            </w:r>
          </w:p>
        </w:tc>
      </w:tr>
      <w:tr w:rsidR="00A562FE" w:rsidRPr="00024DE3" w:rsidTr="00BD7048">
        <w:trPr>
          <w:trHeight w:val="300"/>
        </w:trPr>
        <w:tc>
          <w:tcPr>
            <w:tcW w:w="5620"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Other Ethnic Group; Any Other Ethnic Group</w:t>
            </w:r>
          </w:p>
        </w:tc>
        <w:tc>
          <w:tcPr>
            <w:tcW w:w="1337" w:type="dxa"/>
            <w:shd w:val="clear" w:color="auto" w:fill="auto"/>
            <w:noWrap/>
            <w:hideMark/>
          </w:tcPr>
          <w:p w:rsidR="00A562FE" w:rsidRPr="00024DE3" w:rsidRDefault="00A562FE" w:rsidP="00BD7048">
            <w:pPr>
              <w:ind w:left="360" w:right="26"/>
              <w:rPr>
                <w:rFonts w:ascii="Arial" w:hAnsi="Arial" w:cs="Arial"/>
              </w:rPr>
            </w:pPr>
            <w:r w:rsidRPr="00024DE3">
              <w:rPr>
                <w:rFonts w:ascii="Arial" w:hAnsi="Arial" w:cs="Arial"/>
              </w:rPr>
              <w:t>91</w:t>
            </w:r>
          </w:p>
        </w:tc>
      </w:tr>
    </w:tbl>
    <w:p w:rsidR="00A562FE" w:rsidRPr="009D35BE" w:rsidRDefault="00A562FE" w:rsidP="00A562FE">
      <w:pPr>
        <w:spacing w:before="240"/>
        <w:rPr>
          <w:rFonts w:ascii="Arial" w:hAnsi="Arial" w:cs="Arial"/>
          <w:sz w:val="18"/>
          <w:szCs w:val="18"/>
        </w:rPr>
      </w:pPr>
      <w:r>
        <w:rPr>
          <w:rFonts w:ascii="Arial" w:hAnsi="Arial" w:cs="Arial"/>
          <w:b/>
        </w:rPr>
        <w:fldChar w:fldCharType="end"/>
      </w:r>
      <w:r>
        <w:rPr>
          <w:rFonts w:ascii="Arial" w:hAnsi="Arial" w:cs="Arial"/>
          <w:b/>
        </w:rPr>
        <w:tab/>
      </w:r>
      <w:r>
        <w:rPr>
          <w:rFonts w:ascii="Arial" w:hAnsi="Arial" w:cs="Arial"/>
          <w:b/>
        </w:rPr>
        <w:tab/>
      </w:r>
      <w:r w:rsidRPr="009D35BE">
        <w:rPr>
          <w:rStyle w:val="Strong"/>
          <w:rFonts w:ascii="Arial" w:hAnsi="Arial" w:cs="Arial"/>
          <w:sz w:val="18"/>
          <w:szCs w:val="18"/>
        </w:rPr>
        <w:t>Source:</w:t>
      </w:r>
      <w:r w:rsidRPr="009D35BE">
        <w:rPr>
          <w:rFonts w:ascii="Arial" w:hAnsi="Arial" w:cs="Arial"/>
          <w:sz w:val="18"/>
          <w:szCs w:val="18"/>
        </w:rPr>
        <w:t xml:space="preserve"> Office for National Statistics (ONS) Census 2011.</w:t>
      </w:r>
    </w:p>
    <w:p w:rsidR="00A562FE" w:rsidRPr="00F21B14" w:rsidRDefault="00A562FE" w:rsidP="00A562FE">
      <w:pPr>
        <w:ind w:left="360" w:right="26"/>
        <w:rPr>
          <w:rFonts w:ascii="Arial" w:hAnsi="Arial" w:cs="Arial"/>
          <w:sz w:val="18"/>
          <w:szCs w:val="18"/>
        </w:rPr>
      </w:pPr>
    </w:p>
    <w:p w:rsidR="00A562FE" w:rsidRPr="00DC3FC9" w:rsidRDefault="00A562FE" w:rsidP="00A562FE">
      <w:pPr>
        <w:rPr>
          <w:rFonts w:ascii="Arial" w:hAnsi="Arial" w:cs="Arial"/>
        </w:rPr>
      </w:pPr>
    </w:p>
    <w:p w:rsidR="00A562FE" w:rsidRDefault="00A562FE" w:rsidP="00A562FE">
      <w:pPr>
        <w:numPr>
          <w:ilvl w:val="1"/>
          <w:numId w:val="6"/>
        </w:numPr>
        <w:tabs>
          <w:tab w:val="left" w:pos="900"/>
        </w:tabs>
        <w:ind w:right="26"/>
        <w:rPr>
          <w:rFonts w:ascii="Arial" w:hAnsi="Arial" w:cs="Arial"/>
          <w:b/>
        </w:rPr>
      </w:pPr>
      <w:r>
        <w:rPr>
          <w:rFonts w:ascii="Arial" w:hAnsi="Arial" w:cs="Arial"/>
          <w:b/>
        </w:rPr>
        <w:t>Older p</w:t>
      </w:r>
      <w:r w:rsidRPr="00803B2A">
        <w:rPr>
          <w:rFonts w:ascii="Arial" w:hAnsi="Arial" w:cs="Arial"/>
          <w:b/>
        </w:rPr>
        <w:t>eople</w:t>
      </w:r>
      <w:r>
        <w:rPr>
          <w:rFonts w:ascii="Arial" w:hAnsi="Arial" w:cs="Arial"/>
          <w:b/>
        </w:rPr>
        <w:t xml:space="preserve"> </w:t>
      </w:r>
    </w:p>
    <w:p w:rsidR="00A562FE" w:rsidRDefault="00A562FE" w:rsidP="00A562FE">
      <w:pPr>
        <w:ind w:left="720" w:right="26"/>
        <w:rPr>
          <w:rFonts w:ascii="Arial" w:hAnsi="Arial" w:cs="Arial"/>
          <w:b/>
        </w:rPr>
      </w:pPr>
      <w:r>
        <w:rPr>
          <w:rFonts w:ascii="Arial" w:hAnsi="Arial" w:cs="Arial"/>
          <w:b/>
        </w:rPr>
        <w:tab/>
      </w:r>
    </w:p>
    <w:p w:rsidR="00A562FE" w:rsidRPr="00194893" w:rsidRDefault="00A562FE" w:rsidP="00A562FE">
      <w:pPr>
        <w:ind w:left="720"/>
        <w:rPr>
          <w:rFonts w:ascii="Arial" w:hAnsi="Arial" w:cs="Arial"/>
        </w:rPr>
      </w:pPr>
      <w:r w:rsidRPr="00F21B14">
        <w:rPr>
          <w:rFonts w:ascii="Arial" w:hAnsi="Arial" w:cs="Arial"/>
        </w:rPr>
        <w:t xml:space="preserve">The table below shows the </w:t>
      </w:r>
      <w:r>
        <w:rPr>
          <w:rFonts w:ascii="Arial" w:hAnsi="Arial" w:cs="Arial"/>
        </w:rPr>
        <w:t xml:space="preserve">number of older people residing in each ward of the District. </w:t>
      </w:r>
      <w:r w:rsidRPr="00194893">
        <w:rPr>
          <w:rFonts w:ascii="Arial" w:hAnsi="Arial" w:cs="Arial"/>
        </w:rPr>
        <w:t>Hullbridge Ward has the highest number of older people in the District.</w:t>
      </w:r>
    </w:p>
    <w:p w:rsidR="00A562FE" w:rsidRPr="00F21B14" w:rsidRDefault="00A562FE" w:rsidP="00A562FE">
      <w:pPr>
        <w:ind w:left="720" w:right="26"/>
        <w:rPr>
          <w:rFonts w:ascii="Arial" w:hAnsi="Arial" w:cs="Arial"/>
        </w:rPr>
      </w:pPr>
    </w:p>
    <w:p w:rsidR="00A562FE" w:rsidRDefault="00A562FE" w:rsidP="00A562FE">
      <w:pPr>
        <w:tabs>
          <w:tab w:val="left" w:pos="900"/>
        </w:tabs>
        <w:ind w:left="360" w:right="26"/>
        <w:rPr>
          <w:rFonts w:ascii="Arial" w:hAnsi="Arial" w:cs="Arial"/>
          <w:b/>
        </w:rPr>
      </w:pPr>
    </w:p>
    <w:p w:rsidR="00A562FE" w:rsidRDefault="00A562FE" w:rsidP="00A562FE">
      <w:pPr>
        <w:tabs>
          <w:tab w:val="left" w:pos="900"/>
        </w:tabs>
        <w:ind w:left="360" w:right="26"/>
        <w:rPr>
          <w:rFonts w:ascii="Arial" w:hAnsi="Arial" w:cs="Arial"/>
          <w:b/>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992"/>
        <w:gridCol w:w="850"/>
        <w:gridCol w:w="851"/>
        <w:gridCol w:w="850"/>
        <w:gridCol w:w="851"/>
        <w:gridCol w:w="850"/>
        <w:gridCol w:w="851"/>
        <w:gridCol w:w="709"/>
      </w:tblGrid>
      <w:tr w:rsidR="00A562FE" w:rsidRPr="007D3C68" w:rsidTr="00BD7048">
        <w:trPr>
          <w:cantSplit/>
          <w:tblHeader/>
        </w:trPr>
        <w:tc>
          <w:tcPr>
            <w:tcW w:w="1974" w:type="dxa"/>
            <w:shd w:val="clear" w:color="auto" w:fill="427730"/>
            <w:noWrap/>
            <w:vAlign w:val="center"/>
          </w:tcPr>
          <w:p w:rsidR="00A562FE" w:rsidRPr="00194893" w:rsidRDefault="00A562FE" w:rsidP="00BD7048">
            <w:pPr>
              <w:pStyle w:val="Single"/>
              <w:keepNext/>
              <w:keepLines/>
              <w:spacing w:before="80" w:after="80"/>
              <w:rPr>
                <w:b/>
                <w:color w:val="FFFFFF"/>
                <w:szCs w:val="24"/>
                <w:lang w:eastAsia="en-GB"/>
              </w:rPr>
            </w:pPr>
            <w:r w:rsidRPr="00194893">
              <w:rPr>
                <w:b/>
                <w:color w:val="FFFFFF"/>
                <w:szCs w:val="24"/>
                <w:lang w:eastAsia="en-GB"/>
              </w:rPr>
              <w:t>Ward</w:t>
            </w:r>
          </w:p>
        </w:tc>
        <w:tc>
          <w:tcPr>
            <w:tcW w:w="992" w:type="dxa"/>
            <w:shd w:val="clear" w:color="auto" w:fill="427730"/>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50-54</w:t>
            </w:r>
          </w:p>
        </w:tc>
        <w:tc>
          <w:tcPr>
            <w:tcW w:w="850"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55-59</w:t>
            </w:r>
          </w:p>
        </w:tc>
        <w:tc>
          <w:tcPr>
            <w:tcW w:w="851"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60-64</w:t>
            </w:r>
          </w:p>
        </w:tc>
        <w:tc>
          <w:tcPr>
            <w:tcW w:w="850"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65-69</w:t>
            </w:r>
          </w:p>
        </w:tc>
        <w:tc>
          <w:tcPr>
            <w:tcW w:w="851"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70-74</w:t>
            </w:r>
          </w:p>
        </w:tc>
        <w:tc>
          <w:tcPr>
            <w:tcW w:w="850"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75-79</w:t>
            </w:r>
          </w:p>
        </w:tc>
        <w:tc>
          <w:tcPr>
            <w:tcW w:w="851"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80-84</w:t>
            </w:r>
          </w:p>
        </w:tc>
        <w:tc>
          <w:tcPr>
            <w:tcW w:w="709" w:type="dxa"/>
            <w:shd w:val="clear" w:color="auto" w:fill="427730"/>
            <w:noWrap/>
            <w:vAlign w:val="center"/>
          </w:tcPr>
          <w:p w:rsidR="00A562FE" w:rsidRPr="00194893" w:rsidRDefault="00A562FE" w:rsidP="00BD7048">
            <w:pPr>
              <w:pStyle w:val="Single"/>
              <w:keepNext/>
              <w:keepLines/>
              <w:spacing w:before="80" w:after="80"/>
              <w:jc w:val="center"/>
              <w:rPr>
                <w:b/>
                <w:color w:val="FFFFFF"/>
                <w:szCs w:val="24"/>
                <w:lang w:eastAsia="en-GB"/>
              </w:rPr>
            </w:pPr>
            <w:r w:rsidRPr="00194893">
              <w:rPr>
                <w:b/>
                <w:color w:val="FFFFFF"/>
                <w:szCs w:val="24"/>
                <w:lang w:eastAsia="en-GB"/>
              </w:rPr>
              <w:t>85+</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keepNext/>
              <w:keepLines/>
              <w:spacing w:before="80" w:after="80"/>
              <w:rPr>
                <w:color w:val="FFFFFF"/>
                <w:sz w:val="20"/>
                <w:lang w:eastAsia="en-GB"/>
              </w:rPr>
            </w:pPr>
            <w:r w:rsidRPr="00194893">
              <w:rPr>
                <w:color w:val="FFFFFF"/>
                <w:sz w:val="20"/>
                <w:lang w:eastAsia="en-GB"/>
              </w:rPr>
              <w:t>Ashingdon and Canewdon</w:t>
            </w:r>
          </w:p>
        </w:tc>
        <w:tc>
          <w:tcPr>
            <w:tcW w:w="992" w:type="dxa"/>
            <w:vAlign w:val="center"/>
          </w:tcPr>
          <w:p w:rsidR="00A562FE" w:rsidRPr="00A108E4" w:rsidRDefault="00A562FE" w:rsidP="00BD7048">
            <w:pPr>
              <w:pStyle w:val="Single"/>
              <w:keepNext/>
              <w:keepLines/>
              <w:spacing w:before="80" w:after="80"/>
              <w:jc w:val="center"/>
              <w:rPr>
                <w:sz w:val="20"/>
              </w:rPr>
            </w:pPr>
            <w:r w:rsidRPr="00A108E4">
              <w:rPr>
                <w:sz w:val="20"/>
              </w:rPr>
              <w:t>343</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312</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360</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300</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181</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158</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128</w:t>
            </w:r>
          </w:p>
        </w:tc>
        <w:tc>
          <w:tcPr>
            <w:tcW w:w="709" w:type="dxa"/>
            <w:noWrap/>
            <w:vAlign w:val="center"/>
          </w:tcPr>
          <w:p w:rsidR="00A562FE" w:rsidRPr="00A108E4" w:rsidRDefault="00A562FE" w:rsidP="00BD7048">
            <w:pPr>
              <w:pStyle w:val="Single"/>
              <w:keepNext/>
              <w:keepLines/>
              <w:spacing w:before="80" w:after="80"/>
              <w:jc w:val="center"/>
              <w:rPr>
                <w:sz w:val="20"/>
              </w:rPr>
            </w:pPr>
            <w:r w:rsidRPr="00A108E4">
              <w:rPr>
                <w:sz w:val="20"/>
              </w:rPr>
              <w:t>111</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keepNext/>
              <w:keepLines/>
              <w:spacing w:before="80" w:after="80"/>
              <w:rPr>
                <w:color w:val="FFFFFF"/>
                <w:sz w:val="20"/>
                <w:lang w:eastAsia="en-GB"/>
              </w:rPr>
            </w:pPr>
            <w:r w:rsidRPr="00194893">
              <w:rPr>
                <w:color w:val="FFFFFF"/>
                <w:sz w:val="20"/>
                <w:lang w:eastAsia="en-GB"/>
              </w:rPr>
              <w:t>Barling and Sutton</w:t>
            </w:r>
          </w:p>
        </w:tc>
        <w:tc>
          <w:tcPr>
            <w:tcW w:w="992" w:type="dxa"/>
            <w:vAlign w:val="center"/>
          </w:tcPr>
          <w:p w:rsidR="00A562FE" w:rsidRPr="00A108E4" w:rsidRDefault="00A562FE" w:rsidP="00BD7048">
            <w:pPr>
              <w:pStyle w:val="Single"/>
              <w:keepNext/>
              <w:keepLines/>
              <w:spacing w:before="80" w:after="80"/>
              <w:jc w:val="center"/>
              <w:rPr>
                <w:sz w:val="20"/>
              </w:rPr>
            </w:pPr>
            <w:r w:rsidRPr="00A108E4">
              <w:rPr>
                <w:sz w:val="20"/>
              </w:rPr>
              <w:t>155</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135</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139</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111</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70</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60</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46</w:t>
            </w:r>
          </w:p>
        </w:tc>
        <w:tc>
          <w:tcPr>
            <w:tcW w:w="709" w:type="dxa"/>
            <w:noWrap/>
            <w:vAlign w:val="center"/>
          </w:tcPr>
          <w:p w:rsidR="00A562FE" w:rsidRPr="00A108E4" w:rsidRDefault="00A562FE" w:rsidP="00BD7048">
            <w:pPr>
              <w:pStyle w:val="Single"/>
              <w:keepNext/>
              <w:keepLines/>
              <w:spacing w:before="80" w:after="80"/>
              <w:jc w:val="center"/>
              <w:rPr>
                <w:sz w:val="20"/>
              </w:rPr>
            </w:pPr>
            <w:r w:rsidRPr="00A108E4">
              <w:rPr>
                <w:sz w:val="20"/>
              </w:rPr>
              <w:t>40</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keepNext/>
              <w:keepLines/>
              <w:spacing w:before="80" w:after="80"/>
              <w:rPr>
                <w:color w:val="FFFFFF"/>
                <w:sz w:val="20"/>
                <w:lang w:eastAsia="en-GB"/>
              </w:rPr>
            </w:pPr>
            <w:r w:rsidRPr="00194893">
              <w:rPr>
                <w:color w:val="FFFFFF"/>
                <w:sz w:val="20"/>
                <w:lang w:eastAsia="en-GB"/>
              </w:rPr>
              <w:t>Downhall and Rawreth</w:t>
            </w:r>
          </w:p>
        </w:tc>
        <w:tc>
          <w:tcPr>
            <w:tcW w:w="992" w:type="dxa"/>
            <w:vAlign w:val="center"/>
          </w:tcPr>
          <w:p w:rsidR="00A562FE" w:rsidRPr="00A108E4" w:rsidRDefault="00A562FE" w:rsidP="00BD7048">
            <w:pPr>
              <w:pStyle w:val="Single"/>
              <w:keepNext/>
              <w:keepLines/>
              <w:spacing w:before="80" w:after="80"/>
              <w:jc w:val="center"/>
              <w:rPr>
                <w:sz w:val="20"/>
              </w:rPr>
            </w:pPr>
            <w:r w:rsidRPr="00A108E4">
              <w:rPr>
                <w:sz w:val="20"/>
              </w:rPr>
              <w:t>376</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311</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337</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238</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187</w:t>
            </w:r>
          </w:p>
        </w:tc>
        <w:tc>
          <w:tcPr>
            <w:tcW w:w="850" w:type="dxa"/>
            <w:noWrap/>
            <w:vAlign w:val="center"/>
          </w:tcPr>
          <w:p w:rsidR="00A562FE" w:rsidRPr="00A108E4" w:rsidRDefault="00A562FE" w:rsidP="00BD7048">
            <w:pPr>
              <w:pStyle w:val="Single"/>
              <w:keepNext/>
              <w:keepLines/>
              <w:spacing w:before="80" w:after="80"/>
              <w:jc w:val="center"/>
              <w:rPr>
                <w:sz w:val="20"/>
              </w:rPr>
            </w:pPr>
            <w:r w:rsidRPr="00A108E4">
              <w:rPr>
                <w:sz w:val="20"/>
              </w:rPr>
              <w:t>130</w:t>
            </w:r>
          </w:p>
        </w:tc>
        <w:tc>
          <w:tcPr>
            <w:tcW w:w="851" w:type="dxa"/>
            <w:noWrap/>
            <w:vAlign w:val="center"/>
          </w:tcPr>
          <w:p w:rsidR="00A562FE" w:rsidRPr="00A108E4" w:rsidRDefault="00A562FE" w:rsidP="00BD7048">
            <w:pPr>
              <w:pStyle w:val="Single"/>
              <w:keepNext/>
              <w:keepLines/>
              <w:spacing w:before="80" w:after="80"/>
              <w:jc w:val="center"/>
              <w:rPr>
                <w:sz w:val="20"/>
              </w:rPr>
            </w:pPr>
            <w:r w:rsidRPr="00A108E4">
              <w:rPr>
                <w:sz w:val="20"/>
              </w:rPr>
              <w:t>106</w:t>
            </w:r>
          </w:p>
        </w:tc>
        <w:tc>
          <w:tcPr>
            <w:tcW w:w="709" w:type="dxa"/>
            <w:noWrap/>
            <w:vAlign w:val="center"/>
          </w:tcPr>
          <w:p w:rsidR="00A562FE" w:rsidRPr="00A108E4" w:rsidRDefault="00A562FE" w:rsidP="00BD7048">
            <w:pPr>
              <w:pStyle w:val="Single"/>
              <w:keepNext/>
              <w:keepLines/>
              <w:spacing w:before="80" w:after="80"/>
              <w:jc w:val="center"/>
              <w:rPr>
                <w:sz w:val="20"/>
              </w:rPr>
            </w:pPr>
            <w:r w:rsidRPr="00A108E4">
              <w:rPr>
                <w:sz w:val="20"/>
              </w:rPr>
              <w:t>80</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Foulness and Great Wakering</w:t>
            </w:r>
          </w:p>
        </w:tc>
        <w:tc>
          <w:tcPr>
            <w:tcW w:w="992" w:type="dxa"/>
            <w:vAlign w:val="center"/>
          </w:tcPr>
          <w:p w:rsidR="00A562FE" w:rsidRPr="00A108E4" w:rsidRDefault="00A562FE" w:rsidP="00BD7048">
            <w:pPr>
              <w:pStyle w:val="Single"/>
              <w:spacing w:before="80" w:after="80"/>
              <w:jc w:val="center"/>
              <w:rPr>
                <w:sz w:val="20"/>
              </w:rPr>
            </w:pPr>
            <w:r w:rsidRPr="00A108E4">
              <w:rPr>
                <w:sz w:val="20"/>
              </w:rPr>
              <w:t>437</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408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463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305</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226</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197</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138</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118</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Grange</w:t>
            </w:r>
          </w:p>
        </w:tc>
        <w:tc>
          <w:tcPr>
            <w:tcW w:w="992" w:type="dxa"/>
            <w:vAlign w:val="center"/>
          </w:tcPr>
          <w:p w:rsidR="00A562FE" w:rsidRPr="00A108E4" w:rsidRDefault="00A562FE" w:rsidP="00BD7048">
            <w:pPr>
              <w:pStyle w:val="Single"/>
              <w:spacing w:before="80" w:after="80"/>
              <w:jc w:val="center"/>
              <w:rPr>
                <w:sz w:val="20"/>
              </w:rPr>
            </w:pPr>
            <w:r w:rsidRPr="00A108E4">
              <w:rPr>
                <w:sz w:val="20"/>
              </w:rPr>
              <w:t>218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177</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192</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174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148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148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88</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81</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Hawkwell North</w:t>
            </w:r>
          </w:p>
        </w:tc>
        <w:tc>
          <w:tcPr>
            <w:tcW w:w="992" w:type="dxa"/>
            <w:vAlign w:val="center"/>
          </w:tcPr>
          <w:p w:rsidR="00A562FE" w:rsidRPr="00A108E4" w:rsidRDefault="00A562FE" w:rsidP="00BD7048">
            <w:pPr>
              <w:pStyle w:val="Single"/>
              <w:spacing w:before="80" w:after="80"/>
              <w:jc w:val="center"/>
              <w:rPr>
                <w:sz w:val="20"/>
              </w:rPr>
            </w:pPr>
            <w:r w:rsidRPr="00A108E4">
              <w:rPr>
                <w:sz w:val="20"/>
              </w:rPr>
              <w:t>372</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337</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335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257</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188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141</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80</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98</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lastRenderedPageBreak/>
              <w:t>Hawkwell South</w:t>
            </w:r>
          </w:p>
        </w:tc>
        <w:tc>
          <w:tcPr>
            <w:tcW w:w="992" w:type="dxa"/>
            <w:vAlign w:val="center"/>
          </w:tcPr>
          <w:p w:rsidR="00A562FE" w:rsidRPr="00A108E4" w:rsidRDefault="00A562FE" w:rsidP="00BD7048">
            <w:pPr>
              <w:pStyle w:val="Single"/>
              <w:spacing w:before="80" w:after="80"/>
              <w:jc w:val="center"/>
              <w:rPr>
                <w:sz w:val="20"/>
              </w:rPr>
            </w:pPr>
            <w:r w:rsidRPr="00A108E4">
              <w:rPr>
                <w:sz w:val="20"/>
              </w:rPr>
              <w:t>288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244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270</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246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201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234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147</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114</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Hawkwell West</w:t>
            </w:r>
          </w:p>
        </w:tc>
        <w:tc>
          <w:tcPr>
            <w:tcW w:w="992" w:type="dxa"/>
            <w:vAlign w:val="center"/>
          </w:tcPr>
          <w:p w:rsidR="00A562FE" w:rsidRPr="00A108E4" w:rsidRDefault="00A562FE" w:rsidP="00BD7048">
            <w:pPr>
              <w:pStyle w:val="Single"/>
              <w:spacing w:before="80" w:after="80"/>
              <w:jc w:val="center"/>
              <w:rPr>
                <w:sz w:val="20"/>
              </w:rPr>
            </w:pPr>
            <w:r w:rsidRPr="00A108E4">
              <w:rPr>
                <w:sz w:val="20"/>
              </w:rPr>
              <w:t>329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268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289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282</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213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162</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100</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89</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Hockley Central</w:t>
            </w:r>
          </w:p>
        </w:tc>
        <w:tc>
          <w:tcPr>
            <w:tcW w:w="992" w:type="dxa"/>
            <w:vAlign w:val="center"/>
          </w:tcPr>
          <w:p w:rsidR="00A562FE" w:rsidRPr="00A108E4" w:rsidRDefault="00A562FE" w:rsidP="00BD7048">
            <w:pPr>
              <w:pStyle w:val="Single"/>
              <w:spacing w:before="80" w:after="80"/>
              <w:jc w:val="center"/>
              <w:rPr>
                <w:sz w:val="20"/>
              </w:rPr>
            </w:pPr>
            <w:r w:rsidRPr="00A108E4">
              <w:rPr>
                <w:sz w:val="20"/>
              </w:rPr>
              <w:t>460</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396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433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429</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333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366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279</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219</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Hockley North</w:t>
            </w:r>
          </w:p>
        </w:tc>
        <w:tc>
          <w:tcPr>
            <w:tcW w:w="992" w:type="dxa"/>
            <w:vAlign w:val="center"/>
          </w:tcPr>
          <w:p w:rsidR="00A562FE" w:rsidRPr="00A108E4" w:rsidRDefault="00A562FE" w:rsidP="00BD7048">
            <w:pPr>
              <w:pStyle w:val="Single"/>
              <w:spacing w:before="80" w:after="80"/>
              <w:jc w:val="center"/>
              <w:rPr>
                <w:sz w:val="20"/>
              </w:rPr>
            </w:pPr>
            <w:r w:rsidRPr="00A108E4">
              <w:rPr>
                <w:sz w:val="20"/>
              </w:rPr>
              <w:t>163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156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171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132</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98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79</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52</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42</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Hockley West</w:t>
            </w:r>
          </w:p>
        </w:tc>
        <w:tc>
          <w:tcPr>
            <w:tcW w:w="992" w:type="dxa"/>
            <w:vAlign w:val="center"/>
          </w:tcPr>
          <w:p w:rsidR="00A562FE" w:rsidRPr="00A108E4" w:rsidRDefault="00A562FE" w:rsidP="00BD7048">
            <w:pPr>
              <w:pStyle w:val="Single"/>
              <w:spacing w:before="80" w:after="80"/>
              <w:jc w:val="center"/>
              <w:rPr>
                <w:sz w:val="20"/>
              </w:rPr>
            </w:pPr>
            <w:r w:rsidRPr="00A108E4">
              <w:rPr>
                <w:sz w:val="20"/>
              </w:rPr>
              <w:t>149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158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175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146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96</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79</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47</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26</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Hullbridge</w:t>
            </w:r>
          </w:p>
        </w:tc>
        <w:tc>
          <w:tcPr>
            <w:tcW w:w="992" w:type="dxa"/>
            <w:vAlign w:val="center"/>
          </w:tcPr>
          <w:p w:rsidR="00A562FE" w:rsidRPr="00A108E4" w:rsidRDefault="00A562FE" w:rsidP="00BD7048">
            <w:pPr>
              <w:pStyle w:val="Single"/>
              <w:spacing w:before="80" w:after="80"/>
              <w:jc w:val="center"/>
              <w:rPr>
                <w:sz w:val="20"/>
              </w:rPr>
            </w:pPr>
            <w:r w:rsidRPr="00A108E4">
              <w:rPr>
                <w:sz w:val="20"/>
              </w:rPr>
              <w:t>444</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466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672</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588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481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309</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186</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177</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Lodge</w:t>
            </w:r>
          </w:p>
        </w:tc>
        <w:tc>
          <w:tcPr>
            <w:tcW w:w="992" w:type="dxa"/>
            <w:vAlign w:val="center"/>
          </w:tcPr>
          <w:p w:rsidR="00A562FE" w:rsidRPr="00A108E4" w:rsidRDefault="00A562FE" w:rsidP="00BD7048">
            <w:pPr>
              <w:pStyle w:val="Single"/>
              <w:spacing w:before="80" w:after="80"/>
              <w:jc w:val="center"/>
              <w:rPr>
                <w:sz w:val="20"/>
              </w:rPr>
            </w:pPr>
            <w:r w:rsidRPr="00A108E4">
              <w:rPr>
                <w:sz w:val="20"/>
              </w:rPr>
              <w:t>299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270</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345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266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212</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180</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104</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70</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Rayleigh Central</w:t>
            </w:r>
          </w:p>
        </w:tc>
        <w:tc>
          <w:tcPr>
            <w:tcW w:w="992" w:type="dxa"/>
            <w:vAlign w:val="center"/>
          </w:tcPr>
          <w:p w:rsidR="00A562FE" w:rsidRPr="00A108E4" w:rsidRDefault="00A562FE" w:rsidP="00BD7048">
            <w:pPr>
              <w:pStyle w:val="Single"/>
              <w:spacing w:before="80" w:after="80"/>
              <w:jc w:val="center"/>
              <w:rPr>
                <w:sz w:val="20"/>
              </w:rPr>
            </w:pPr>
            <w:r w:rsidRPr="00A108E4">
              <w:rPr>
                <w:sz w:val="20"/>
              </w:rPr>
              <w:t>247</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286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334</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251</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231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195</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129</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125</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Rochford</w:t>
            </w:r>
          </w:p>
        </w:tc>
        <w:tc>
          <w:tcPr>
            <w:tcW w:w="992" w:type="dxa"/>
            <w:vAlign w:val="center"/>
          </w:tcPr>
          <w:p w:rsidR="00A562FE" w:rsidRPr="00A108E4" w:rsidRDefault="00A562FE" w:rsidP="00BD7048">
            <w:pPr>
              <w:pStyle w:val="Single"/>
              <w:spacing w:before="80" w:after="80"/>
              <w:jc w:val="center"/>
              <w:rPr>
                <w:sz w:val="20"/>
              </w:rPr>
            </w:pPr>
            <w:r w:rsidRPr="00A108E4">
              <w:rPr>
                <w:sz w:val="20"/>
              </w:rPr>
              <w:t>470</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441</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428</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364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303</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255</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203</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257</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Sweyne Park</w:t>
            </w:r>
          </w:p>
        </w:tc>
        <w:tc>
          <w:tcPr>
            <w:tcW w:w="992" w:type="dxa"/>
            <w:vAlign w:val="center"/>
          </w:tcPr>
          <w:p w:rsidR="00A562FE" w:rsidRPr="00A108E4" w:rsidRDefault="00A562FE" w:rsidP="00BD7048">
            <w:pPr>
              <w:pStyle w:val="Single"/>
              <w:spacing w:before="80" w:after="80"/>
              <w:jc w:val="center"/>
              <w:rPr>
                <w:sz w:val="20"/>
              </w:rPr>
            </w:pPr>
            <w:r w:rsidRPr="00A108E4">
              <w:rPr>
                <w:sz w:val="20"/>
              </w:rPr>
              <w:t>279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231</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255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188</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135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91</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80</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66</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Trinity</w:t>
            </w:r>
          </w:p>
        </w:tc>
        <w:tc>
          <w:tcPr>
            <w:tcW w:w="992" w:type="dxa"/>
            <w:vAlign w:val="center"/>
          </w:tcPr>
          <w:p w:rsidR="00A562FE" w:rsidRPr="00A108E4" w:rsidRDefault="00A562FE" w:rsidP="00BD7048">
            <w:pPr>
              <w:pStyle w:val="Single"/>
              <w:spacing w:before="80" w:after="80"/>
              <w:jc w:val="center"/>
              <w:rPr>
                <w:sz w:val="20"/>
              </w:rPr>
            </w:pPr>
            <w:r w:rsidRPr="00A108E4">
              <w:rPr>
                <w:sz w:val="20"/>
              </w:rPr>
              <w:t>231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222</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281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236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237</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244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122</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103</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Wheatley</w:t>
            </w:r>
          </w:p>
        </w:tc>
        <w:tc>
          <w:tcPr>
            <w:tcW w:w="992" w:type="dxa"/>
            <w:vAlign w:val="center"/>
          </w:tcPr>
          <w:p w:rsidR="00A562FE" w:rsidRPr="00A108E4" w:rsidRDefault="00A562FE" w:rsidP="00BD7048">
            <w:pPr>
              <w:pStyle w:val="Single"/>
              <w:spacing w:before="80" w:after="80"/>
              <w:jc w:val="center"/>
              <w:rPr>
                <w:sz w:val="20"/>
              </w:rPr>
            </w:pPr>
            <w:r w:rsidRPr="00A108E4">
              <w:rPr>
                <w:sz w:val="20"/>
              </w:rPr>
              <w:t>270</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245</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275</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250</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181</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184</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172</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156</w:t>
            </w:r>
          </w:p>
        </w:tc>
      </w:tr>
      <w:tr w:rsidR="00A562FE" w:rsidRPr="007D3C68" w:rsidTr="00BD7048">
        <w:trPr>
          <w:cantSplit/>
        </w:trPr>
        <w:tc>
          <w:tcPr>
            <w:tcW w:w="1974" w:type="dxa"/>
            <w:shd w:val="clear" w:color="auto" w:fill="427730"/>
            <w:noWrap/>
            <w:vAlign w:val="center"/>
          </w:tcPr>
          <w:p w:rsidR="00A562FE" w:rsidRPr="00194893" w:rsidRDefault="00A562FE" w:rsidP="00BD7048">
            <w:pPr>
              <w:pStyle w:val="Single"/>
              <w:spacing w:before="80" w:after="80"/>
              <w:rPr>
                <w:color w:val="FFFFFF"/>
                <w:sz w:val="20"/>
                <w:lang w:eastAsia="en-GB"/>
              </w:rPr>
            </w:pPr>
            <w:r w:rsidRPr="00194893">
              <w:rPr>
                <w:color w:val="FFFFFF"/>
                <w:sz w:val="20"/>
                <w:lang w:eastAsia="en-GB"/>
              </w:rPr>
              <w:t>Whitehouse</w:t>
            </w:r>
          </w:p>
        </w:tc>
        <w:tc>
          <w:tcPr>
            <w:tcW w:w="992" w:type="dxa"/>
            <w:vAlign w:val="center"/>
          </w:tcPr>
          <w:p w:rsidR="00A562FE" w:rsidRPr="00A108E4" w:rsidRDefault="00A562FE" w:rsidP="00BD7048">
            <w:pPr>
              <w:pStyle w:val="Single"/>
              <w:spacing w:before="80" w:after="80"/>
              <w:jc w:val="center"/>
              <w:rPr>
                <w:sz w:val="20"/>
              </w:rPr>
            </w:pPr>
            <w:r w:rsidRPr="00A108E4">
              <w:rPr>
                <w:sz w:val="20"/>
              </w:rPr>
              <w:t>249</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222</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307</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236</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194</w:t>
            </w:r>
          </w:p>
        </w:tc>
        <w:tc>
          <w:tcPr>
            <w:tcW w:w="850" w:type="dxa"/>
            <w:noWrap/>
            <w:vAlign w:val="center"/>
          </w:tcPr>
          <w:p w:rsidR="00A562FE" w:rsidRPr="00A108E4" w:rsidRDefault="00A562FE" w:rsidP="00BD7048">
            <w:pPr>
              <w:pStyle w:val="Single"/>
              <w:spacing w:before="80" w:after="80"/>
              <w:jc w:val="center"/>
              <w:rPr>
                <w:sz w:val="20"/>
              </w:rPr>
            </w:pPr>
            <w:r w:rsidRPr="00A108E4">
              <w:rPr>
                <w:sz w:val="20"/>
              </w:rPr>
              <w:t>213</w:t>
            </w:r>
          </w:p>
        </w:tc>
        <w:tc>
          <w:tcPr>
            <w:tcW w:w="851" w:type="dxa"/>
            <w:noWrap/>
            <w:vAlign w:val="center"/>
          </w:tcPr>
          <w:p w:rsidR="00A562FE" w:rsidRPr="00A108E4" w:rsidRDefault="00A562FE" w:rsidP="00BD7048">
            <w:pPr>
              <w:pStyle w:val="Single"/>
              <w:spacing w:before="80" w:after="80"/>
              <w:jc w:val="center"/>
              <w:rPr>
                <w:sz w:val="20"/>
              </w:rPr>
            </w:pPr>
            <w:r w:rsidRPr="00A108E4">
              <w:rPr>
                <w:sz w:val="20"/>
              </w:rPr>
              <w:t>203</w:t>
            </w:r>
          </w:p>
        </w:tc>
        <w:tc>
          <w:tcPr>
            <w:tcW w:w="709" w:type="dxa"/>
            <w:noWrap/>
            <w:vAlign w:val="center"/>
          </w:tcPr>
          <w:p w:rsidR="00A562FE" w:rsidRPr="00A108E4" w:rsidRDefault="00A562FE" w:rsidP="00BD7048">
            <w:pPr>
              <w:pStyle w:val="Single"/>
              <w:spacing w:before="80" w:after="80"/>
              <w:jc w:val="center"/>
              <w:rPr>
                <w:sz w:val="20"/>
              </w:rPr>
            </w:pPr>
            <w:r w:rsidRPr="00A108E4">
              <w:rPr>
                <w:sz w:val="20"/>
              </w:rPr>
              <w:t>168</w:t>
            </w:r>
          </w:p>
        </w:tc>
      </w:tr>
    </w:tbl>
    <w:p w:rsidR="00A562FE" w:rsidRPr="000925F6" w:rsidRDefault="00A562FE" w:rsidP="00A562FE">
      <w:pPr>
        <w:spacing w:before="240"/>
        <w:rPr>
          <w:rFonts w:ascii="Arial" w:hAnsi="Arial" w:cs="Arial"/>
          <w:sz w:val="18"/>
          <w:szCs w:val="18"/>
        </w:rPr>
      </w:pPr>
      <w:r>
        <w:rPr>
          <w:rFonts w:ascii="Arial" w:hAnsi="Arial" w:cs="Arial"/>
          <w:b/>
        </w:rPr>
        <w:tab/>
      </w:r>
      <w:r w:rsidRPr="009D35BE">
        <w:rPr>
          <w:rStyle w:val="Strong"/>
          <w:rFonts w:ascii="Arial" w:hAnsi="Arial" w:cs="Arial"/>
          <w:sz w:val="18"/>
          <w:szCs w:val="18"/>
        </w:rPr>
        <w:t>Source:</w:t>
      </w:r>
      <w:r w:rsidRPr="009D35BE">
        <w:rPr>
          <w:rFonts w:ascii="Arial" w:hAnsi="Arial" w:cs="Arial"/>
          <w:sz w:val="18"/>
          <w:szCs w:val="18"/>
        </w:rPr>
        <w:t xml:space="preserve"> Office for Nationa</w:t>
      </w:r>
      <w:r>
        <w:rPr>
          <w:rFonts w:ascii="Arial" w:hAnsi="Arial" w:cs="Arial"/>
          <w:sz w:val="18"/>
          <w:szCs w:val="18"/>
        </w:rPr>
        <w:t>l Statistics (ONS) Census 2011.</w:t>
      </w:r>
    </w:p>
    <w:p w:rsidR="00A562FE" w:rsidRDefault="00A562FE" w:rsidP="00A562FE">
      <w:pPr>
        <w:tabs>
          <w:tab w:val="left" w:pos="900"/>
        </w:tabs>
        <w:ind w:right="26"/>
        <w:rPr>
          <w:rFonts w:ascii="Arial" w:hAnsi="Arial" w:cs="Arial"/>
          <w:b/>
        </w:rPr>
      </w:pPr>
    </w:p>
    <w:p w:rsidR="00A562FE" w:rsidRDefault="00A562FE" w:rsidP="00A562FE">
      <w:pPr>
        <w:tabs>
          <w:tab w:val="left" w:pos="900"/>
        </w:tabs>
        <w:ind w:left="360" w:right="26"/>
        <w:rPr>
          <w:rFonts w:ascii="Arial" w:hAnsi="Arial" w:cs="Arial"/>
        </w:rPr>
      </w:pPr>
      <w:r w:rsidRPr="00194893">
        <w:rPr>
          <w:rFonts w:ascii="Arial" w:hAnsi="Arial" w:cs="Arial"/>
        </w:rPr>
        <w:t xml:space="preserve">The Council’s Ageing Population Strategy includes commitment to working with CAB, the organisation currently funded by the Council, to provide advice. </w:t>
      </w:r>
      <w:r>
        <w:rPr>
          <w:rFonts w:ascii="Arial" w:hAnsi="Arial" w:cs="Arial"/>
        </w:rPr>
        <w:t>This c</w:t>
      </w:r>
      <w:r w:rsidRPr="00194893">
        <w:rPr>
          <w:rFonts w:ascii="Arial" w:hAnsi="Arial" w:cs="Arial"/>
        </w:rPr>
        <w:t>ommitment to support advice provision to older people will continue post April 2016.</w:t>
      </w:r>
    </w:p>
    <w:p w:rsidR="00A562FE" w:rsidRDefault="00A562FE" w:rsidP="00A562FE">
      <w:pPr>
        <w:tabs>
          <w:tab w:val="left" w:pos="900"/>
        </w:tabs>
        <w:ind w:left="360" w:right="26"/>
        <w:rPr>
          <w:rFonts w:ascii="Arial" w:hAnsi="Arial" w:cs="Arial"/>
        </w:rPr>
      </w:pPr>
    </w:p>
    <w:p w:rsidR="00A562FE" w:rsidRPr="00584194" w:rsidRDefault="00A562FE" w:rsidP="00A562FE">
      <w:pPr>
        <w:autoSpaceDE w:val="0"/>
        <w:autoSpaceDN w:val="0"/>
        <w:adjustRightInd w:val="0"/>
        <w:rPr>
          <w:rFonts w:ascii="Cambria" w:hAnsi="Cambria" w:cs="Cambria"/>
          <w:color w:val="000000"/>
        </w:rPr>
      </w:pPr>
      <w:r w:rsidRPr="00584194">
        <w:rPr>
          <w:rFonts w:ascii="Arial" w:hAnsi="Arial" w:cs="Arial"/>
          <w:bCs/>
          <w:color w:val="000000"/>
        </w:rPr>
        <w:t xml:space="preserve">1,260 people aged over 65 in Rochford are thought to have dementia </w:t>
      </w:r>
    </w:p>
    <w:p w:rsidR="00A562FE" w:rsidRPr="00584194" w:rsidRDefault="00A562FE" w:rsidP="00A562FE">
      <w:pPr>
        <w:rPr>
          <w:rFonts w:ascii="Arial" w:hAnsi="Arial" w:cs="Arial"/>
          <w:color w:val="000000"/>
        </w:rPr>
      </w:pPr>
      <w:r w:rsidRPr="00584194">
        <w:rPr>
          <w:rFonts w:ascii="Arial" w:hAnsi="Arial" w:cs="Arial"/>
          <w:color w:val="000000"/>
        </w:rPr>
        <w:t>This figure is estimated to rise to 2,270 by 2030.</w:t>
      </w:r>
    </w:p>
    <w:p w:rsidR="00A562FE" w:rsidRDefault="00A562FE" w:rsidP="00A562FE">
      <w:pPr>
        <w:tabs>
          <w:tab w:val="left" w:pos="900"/>
        </w:tabs>
        <w:ind w:right="26"/>
        <w:rPr>
          <w:rFonts w:ascii="Arial" w:hAnsi="Arial" w:cs="Arial"/>
          <w:b/>
          <w:color w:val="FF0000"/>
        </w:rPr>
      </w:pPr>
    </w:p>
    <w:p w:rsidR="00A562FE" w:rsidRPr="00222BF2" w:rsidRDefault="00A562FE" w:rsidP="00A562FE">
      <w:pPr>
        <w:tabs>
          <w:tab w:val="left" w:pos="900"/>
        </w:tabs>
        <w:ind w:right="26"/>
        <w:rPr>
          <w:rFonts w:ascii="Arial" w:hAnsi="Arial" w:cs="Arial"/>
          <w:b/>
          <w:color w:val="FF0000"/>
        </w:rPr>
      </w:pPr>
      <w:r>
        <w:rPr>
          <w:noProof/>
        </w:rPr>
        <w:drawing>
          <wp:inline distT="0" distB="0" distL="0" distR="0">
            <wp:extent cx="4675505" cy="2734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7956" t="11530" r="5157" b="64909"/>
                    <a:stretch>
                      <a:fillRect/>
                    </a:stretch>
                  </pic:blipFill>
                  <pic:spPr bwMode="auto">
                    <a:xfrm>
                      <a:off x="0" y="0"/>
                      <a:ext cx="4675505" cy="2734310"/>
                    </a:xfrm>
                    <a:prstGeom prst="rect">
                      <a:avLst/>
                    </a:prstGeom>
                    <a:noFill/>
                    <a:ln>
                      <a:noFill/>
                    </a:ln>
                  </pic:spPr>
                </pic:pic>
              </a:graphicData>
            </a:graphic>
          </wp:inline>
        </w:drawing>
      </w:r>
    </w:p>
    <w:p w:rsidR="00A562FE" w:rsidRPr="00584194" w:rsidRDefault="00A562FE" w:rsidP="00A562FE">
      <w:pPr>
        <w:pStyle w:val="Default"/>
        <w:ind w:left="720"/>
        <w:rPr>
          <w:rFonts w:ascii="Cambria" w:hAnsi="Cambria" w:cs="Cambria"/>
          <w:sz w:val="60"/>
          <w:szCs w:val="60"/>
        </w:rPr>
      </w:pPr>
      <w:r>
        <w:rPr>
          <w:rFonts w:ascii="Arial" w:hAnsi="Arial" w:cs="Arial"/>
          <w:sz w:val="18"/>
          <w:szCs w:val="18"/>
        </w:rPr>
        <w:t xml:space="preserve">Source: Essex JSNA, Rochford District Profile, </w:t>
      </w:r>
      <w:hyperlink r:id="rId17" w:history="1">
        <w:r w:rsidRPr="003F444A">
          <w:rPr>
            <w:rStyle w:val="Hyperlink"/>
            <w:rFonts w:ascii="Arial" w:hAnsi="Arial" w:cs="Arial"/>
            <w:sz w:val="18"/>
            <w:szCs w:val="18"/>
          </w:rPr>
          <w:t>http://www.essexinsight.org.uk/Resource.aspx?GroupID=2&amp;ResourceID=382</w:t>
        </w:r>
      </w:hyperlink>
      <w:r>
        <w:rPr>
          <w:rFonts w:ascii="Arial" w:hAnsi="Arial" w:cs="Arial"/>
          <w:sz w:val="18"/>
          <w:szCs w:val="18"/>
        </w:rPr>
        <w:t xml:space="preserve"> </w:t>
      </w:r>
    </w:p>
    <w:p w:rsidR="00A562FE" w:rsidRPr="00194893" w:rsidRDefault="00A562FE" w:rsidP="00A562FE">
      <w:pPr>
        <w:tabs>
          <w:tab w:val="left" w:pos="900"/>
        </w:tabs>
        <w:ind w:left="360" w:right="26"/>
        <w:rPr>
          <w:rFonts w:ascii="Arial" w:hAnsi="Arial" w:cs="Arial"/>
        </w:rPr>
      </w:pPr>
    </w:p>
    <w:p w:rsidR="00A562FE" w:rsidRDefault="00A562FE" w:rsidP="00A562FE">
      <w:pPr>
        <w:tabs>
          <w:tab w:val="left" w:pos="900"/>
        </w:tabs>
        <w:ind w:left="900" w:right="26" w:hanging="900"/>
        <w:rPr>
          <w:rFonts w:ascii="Arial" w:hAnsi="Arial" w:cs="Arial"/>
        </w:rPr>
      </w:pPr>
      <w:r>
        <w:rPr>
          <w:rFonts w:ascii="Arial" w:hAnsi="Arial" w:cs="Arial"/>
        </w:rPr>
        <w:tab/>
      </w:r>
    </w:p>
    <w:p w:rsidR="00A562FE" w:rsidRDefault="00A562FE" w:rsidP="00A562FE">
      <w:pPr>
        <w:tabs>
          <w:tab w:val="left" w:pos="900"/>
        </w:tabs>
        <w:ind w:left="900" w:right="26" w:hanging="900"/>
        <w:rPr>
          <w:rFonts w:ascii="Arial" w:hAnsi="Arial" w:cs="Arial"/>
        </w:rPr>
      </w:pPr>
    </w:p>
    <w:p w:rsidR="00A562FE" w:rsidRDefault="00A562FE" w:rsidP="00A562FE">
      <w:pPr>
        <w:tabs>
          <w:tab w:val="left" w:pos="900"/>
        </w:tabs>
        <w:ind w:left="900" w:right="26" w:hanging="900"/>
        <w:rPr>
          <w:rFonts w:ascii="Arial" w:hAnsi="Arial" w:cs="Arial"/>
        </w:rPr>
      </w:pPr>
    </w:p>
    <w:p w:rsidR="00A562FE" w:rsidRPr="00803B2A" w:rsidRDefault="00A562FE" w:rsidP="00A562FE">
      <w:pPr>
        <w:tabs>
          <w:tab w:val="left" w:pos="900"/>
        </w:tabs>
        <w:ind w:left="900" w:right="26" w:hanging="900"/>
        <w:rPr>
          <w:rFonts w:ascii="Arial" w:hAnsi="Arial" w:cs="Arial"/>
        </w:rPr>
      </w:pPr>
    </w:p>
    <w:p w:rsidR="00A562FE" w:rsidRDefault="00A562FE" w:rsidP="00A562FE">
      <w:pPr>
        <w:numPr>
          <w:ilvl w:val="1"/>
          <w:numId w:val="6"/>
        </w:numPr>
        <w:tabs>
          <w:tab w:val="left" w:pos="900"/>
        </w:tabs>
        <w:rPr>
          <w:rFonts w:ascii="Arial" w:hAnsi="Arial" w:cs="Arial"/>
          <w:b/>
          <w:szCs w:val="22"/>
        </w:rPr>
      </w:pPr>
      <w:r>
        <w:rPr>
          <w:rFonts w:ascii="Arial" w:hAnsi="Arial" w:cs="Arial"/>
          <w:b/>
          <w:szCs w:val="22"/>
        </w:rPr>
        <w:t>General Health and Disability</w:t>
      </w:r>
    </w:p>
    <w:p w:rsidR="00A562FE" w:rsidRDefault="00A562FE" w:rsidP="00A562FE">
      <w:pPr>
        <w:tabs>
          <w:tab w:val="left" w:pos="900"/>
        </w:tabs>
        <w:ind w:left="360"/>
        <w:rPr>
          <w:rFonts w:ascii="Arial" w:hAnsi="Arial" w:cs="Arial"/>
          <w:b/>
          <w:szCs w:val="22"/>
        </w:rPr>
      </w:pPr>
    </w:p>
    <w:p w:rsidR="00A562FE" w:rsidRDefault="00A562FE" w:rsidP="00A562FE">
      <w:pPr>
        <w:rPr>
          <w:rFonts w:ascii="Arial" w:hAnsi="Arial" w:cs="Arial"/>
        </w:rPr>
      </w:pPr>
      <w:r w:rsidRPr="009D35BE">
        <w:rPr>
          <w:rFonts w:ascii="Arial" w:hAnsi="Arial" w:cs="Arial"/>
        </w:rPr>
        <w:t>The Census 2011 included a question asking people to rate their general health as either ‘Good’, ‘Moderate’, ‘Bad’, or ‘Very Bad’. The table below shows that Rochford Ward has the highest percentage of people that describe their health as ‘Bad’ or ‘Very Bad’. Hockley West has the fewest.</w:t>
      </w:r>
    </w:p>
    <w:p w:rsidR="00A562FE" w:rsidRPr="009D35BE" w:rsidRDefault="00A562FE" w:rsidP="00A562FE">
      <w:pPr>
        <w:rPr>
          <w:rFonts w:ascii="Arial" w:hAnsi="Arial" w:cs="Arial"/>
        </w:rPr>
      </w:pP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4"/>
        <w:gridCol w:w="5670"/>
      </w:tblGrid>
      <w:tr w:rsidR="00A562FE" w:rsidRPr="001E5505" w:rsidTr="00BD7048">
        <w:trPr>
          <w:tblHeader/>
        </w:trPr>
        <w:tc>
          <w:tcPr>
            <w:tcW w:w="3984"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1E5505" w:rsidRDefault="00A562FE" w:rsidP="00BD7048">
            <w:pPr>
              <w:spacing w:before="80" w:after="80"/>
              <w:ind w:left="90"/>
              <w:rPr>
                <w:rFonts w:ascii="Arial" w:hAnsi="Arial" w:cs="Arial"/>
                <w:b/>
                <w:color w:val="FFFFFF"/>
              </w:rPr>
            </w:pPr>
            <w:r w:rsidRPr="001E5505">
              <w:rPr>
                <w:rFonts w:ascii="Arial" w:hAnsi="Arial" w:cs="Arial"/>
                <w:b/>
                <w:color w:val="FFFFFF"/>
              </w:rPr>
              <w:t>Ward</w:t>
            </w:r>
          </w:p>
        </w:tc>
        <w:tc>
          <w:tcPr>
            <w:tcW w:w="5670"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1E5505" w:rsidRDefault="00A562FE" w:rsidP="00BD7048">
            <w:pPr>
              <w:spacing w:before="80" w:after="80"/>
              <w:ind w:left="165"/>
              <w:jc w:val="center"/>
              <w:rPr>
                <w:rFonts w:ascii="Arial" w:hAnsi="Arial" w:cs="Arial"/>
                <w:b/>
                <w:color w:val="FFFFFF"/>
              </w:rPr>
            </w:pPr>
            <w:r w:rsidRPr="001E5505">
              <w:rPr>
                <w:rFonts w:ascii="Arial" w:hAnsi="Arial" w:cs="Arial"/>
                <w:b/>
                <w:color w:val="FFFFFF"/>
              </w:rPr>
              <w:t>% of Total Population Bad/Very Bad Health</w:t>
            </w:r>
          </w:p>
        </w:tc>
      </w:tr>
      <w:tr w:rsidR="00A562FE" w:rsidRPr="001E5505"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Ashingdon and Canewdon</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3.9</w:t>
            </w:r>
          </w:p>
        </w:tc>
      </w:tr>
      <w:tr w:rsidR="00A562FE" w:rsidRPr="001E5505"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Barling and Sutton</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3.8</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Downhall and Rawreth</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2.9</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Foulness and Great Wakering</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4.8</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Grange</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3.5</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North</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3.6</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South</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5.0</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West</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3.7</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Central</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4.4</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North</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3.6</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West</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2.6</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Hullbridge</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5.2</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Lodge</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3.6</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Rayleigh Central</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4.5</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Rochford (Ward)</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6.0</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Sweyne Park</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3.6</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Trinity</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5.1</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Wheatley</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4.3</w:t>
            </w:r>
          </w:p>
        </w:tc>
      </w:tr>
      <w:tr w:rsidR="00A562FE" w:rsidTr="00BD7048">
        <w:tc>
          <w:tcPr>
            <w:tcW w:w="3984"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Whitehouse</w:t>
            </w:r>
          </w:p>
        </w:tc>
        <w:tc>
          <w:tcPr>
            <w:tcW w:w="5670"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sidRPr="001E5505">
              <w:rPr>
                <w:rFonts w:ascii="Arial" w:hAnsi="Arial" w:cs="Arial"/>
                <w:color w:val="000000"/>
              </w:rPr>
              <w:t>4.6</w:t>
            </w:r>
          </w:p>
        </w:tc>
      </w:tr>
    </w:tbl>
    <w:p w:rsidR="00A562FE" w:rsidRPr="009D35BE" w:rsidRDefault="00A562FE" w:rsidP="00A562FE">
      <w:pPr>
        <w:spacing w:before="240" w:after="120"/>
        <w:rPr>
          <w:rFonts w:ascii="Arial" w:hAnsi="Arial" w:cs="Arial"/>
          <w:sz w:val="20"/>
          <w:szCs w:val="20"/>
        </w:rPr>
      </w:pPr>
      <w:r w:rsidRPr="009D35BE">
        <w:rPr>
          <w:rStyle w:val="Strong"/>
          <w:rFonts w:ascii="Arial" w:hAnsi="Arial" w:cs="Arial"/>
          <w:sz w:val="20"/>
          <w:szCs w:val="20"/>
        </w:rPr>
        <w:t>Source:</w:t>
      </w:r>
      <w:r w:rsidRPr="009D35BE">
        <w:rPr>
          <w:rFonts w:ascii="Arial" w:hAnsi="Arial" w:cs="Arial"/>
          <w:sz w:val="20"/>
          <w:szCs w:val="20"/>
        </w:rPr>
        <w:t xml:space="preserve"> Office for National Statistics (ONS) Census 2011.</w:t>
      </w:r>
    </w:p>
    <w:p w:rsidR="00A562FE" w:rsidRDefault="00A562FE" w:rsidP="00A562FE">
      <w:pPr>
        <w:rPr>
          <w:rFonts w:cs="Arial"/>
          <w:b/>
        </w:rPr>
      </w:pPr>
    </w:p>
    <w:p w:rsidR="00A562FE" w:rsidRPr="00B63789" w:rsidRDefault="00A562FE" w:rsidP="00A562FE">
      <w:pPr>
        <w:rPr>
          <w:rFonts w:ascii="Arial" w:hAnsi="Arial" w:cs="Arial"/>
        </w:rPr>
      </w:pPr>
      <w:r>
        <w:rPr>
          <w:rFonts w:ascii="Arial" w:hAnsi="Arial" w:cs="Arial"/>
        </w:rPr>
        <w:t>The t</w:t>
      </w:r>
      <w:r w:rsidRPr="00B63789">
        <w:rPr>
          <w:rFonts w:ascii="Arial" w:hAnsi="Arial" w:cs="Arial"/>
        </w:rPr>
        <w:t xml:space="preserve">able </w:t>
      </w:r>
      <w:r>
        <w:rPr>
          <w:rFonts w:ascii="Arial" w:hAnsi="Arial" w:cs="Arial"/>
        </w:rPr>
        <w:t>below shows</w:t>
      </w:r>
      <w:r w:rsidRPr="00B63789">
        <w:rPr>
          <w:rFonts w:ascii="Arial" w:hAnsi="Arial" w:cs="Arial"/>
        </w:rPr>
        <w:t xml:space="preserve"> the number of residents claiming Disability Living Allowance by Ward (May 2014)</w:t>
      </w:r>
      <w:r>
        <w:rPr>
          <w:rFonts w:ascii="Arial" w:hAnsi="Arial" w:cs="Arial"/>
        </w:rPr>
        <w:t>. Rochford Ward has the highest number, Hockley West has the fewest.</w:t>
      </w:r>
    </w:p>
    <w:p w:rsidR="00A562FE" w:rsidRDefault="00A562FE" w:rsidP="00A562FE">
      <w:pPr>
        <w:rPr>
          <w:rFonts w:cs="Arial"/>
          <w:b/>
        </w:rPr>
      </w:pPr>
    </w:p>
    <w:p w:rsidR="00A562FE" w:rsidRDefault="00A562FE" w:rsidP="00A562FE">
      <w:r>
        <w:rPr>
          <w:noProof/>
        </w:rPr>
        <w:lastRenderedPageBreak/>
        <w:drawing>
          <wp:inline distT="0" distB="0" distL="0" distR="0">
            <wp:extent cx="2889885" cy="41840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9885" cy="4184015"/>
                    </a:xfrm>
                    <a:prstGeom prst="rect">
                      <a:avLst/>
                    </a:prstGeom>
                    <a:noFill/>
                    <a:ln>
                      <a:noFill/>
                    </a:ln>
                  </pic:spPr>
                </pic:pic>
              </a:graphicData>
            </a:graphic>
          </wp:inline>
        </w:drawing>
      </w:r>
    </w:p>
    <w:p w:rsidR="00A562FE" w:rsidRDefault="00A562FE" w:rsidP="00A562FE">
      <w:pPr>
        <w:spacing w:before="240" w:after="120"/>
        <w:rPr>
          <w:rFonts w:ascii="Arial" w:hAnsi="Arial" w:cs="Arial"/>
          <w:sz w:val="20"/>
          <w:szCs w:val="20"/>
        </w:rPr>
      </w:pPr>
      <w:r w:rsidRPr="009D35BE">
        <w:rPr>
          <w:rStyle w:val="Strong"/>
          <w:rFonts w:ascii="Arial" w:hAnsi="Arial" w:cs="Arial"/>
          <w:sz w:val="20"/>
          <w:szCs w:val="20"/>
        </w:rPr>
        <w:t>Source:</w:t>
      </w:r>
      <w:r w:rsidRPr="009D35BE">
        <w:rPr>
          <w:rFonts w:ascii="Arial" w:hAnsi="Arial" w:cs="Arial"/>
          <w:sz w:val="20"/>
          <w:szCs w:val="20"/>
        </w:rPr>
        <w:t xml:space="preserve"> </w:t>
      </w:r>
      <w:r>
        <w:rPr>
          <w:rFonts w:ascii="Arial" w:hAnsi="Arial" w:cs="Arial"/>
          <w:sz w:val="20"/>
          <w:szCs w:val="20"/>
        </w:rPr>
        <w:t xml:space="preserve">Nomis web </w:t>
      </w:r>
      <w:hyperlink r:id="rId19" w:history="1">
        <w:r w:rsidRPr="000E0B8E">
          <w:rPr>
            <w:rStyle w:val="Hyperlink"/>
            <w:rFonts w:ascii="Arial" w:hAnsi="Arial" w:cs="Arial"/>
            <w:sz w:val="20"/>
            <w:szCs w:val="20"/>
          </w:rPr>
          <w:t>http://www.nomisweb.co.uk/</w:t>
        </w:r>
      </w:hyperlink>
      <w:r>
        <w:rPr>
          <w:rFonts w:ascii="Arial" w:hAnsi="Arial" w:cs="Arial"/>
          <w:sz w:val="20"/>
          <w:szCs w:val="20"/>
        </w:rPr>
        <w:t xml:space="preserve"> </w:t>
      </w:r>
    </w:p>
    <w:p w:rsidR="00A562FE" w:rsidRDefault="00A562FE" w:rsidP="00A562FE">
      <w:pPr>
        <w:rPr>
          <w:rFonts w:ascii="Arial" w:hAnsi="Arial" w:cs="Arial"/>
        </w:rPr>
      </w:pPr>
    </w:p>
    <w:p w:rsidR="00A562FE" w:rsidRDefault="00A562FE" w:rsidP="00A562FE">
      <w:pPr>
        <w:rPr>
          <w:rFonts w:ascii="Arial" w:hAnsi="Arial" w:cs="Arial"/>
        </w:rPr>
      </w:pPr>
      <w:r>
        <w:rPr>
          <w:rFonts w:ascii="Arial" w:hAnsi="Arial" w:cs="Arial"/>
        </w:rPr>
        <w:t>Rochford performs</w:t>
      </w:r>
      <w:r w:rsidRPr="00C2632C">
        <w:rPr>
          <w:rFonts w:ascii="Arial" w:hAnsi="Arial" w:cs="Arial"/>
        </w:rPr>
        <w:t xml:space="preserve"> well across a range of health and wellbeing indicators, me</w:t>
      </w:r>
      <w:r>
        <w:rPr>
          <w:rFonts w:ascii="Arial" w:hAnsi="Arial" w:cs="Arial"/>
        </w:rPr>
        <w:t xml:space="preserve">aning that the vast majority of </w:t>
      </w:r>
      <w:r w:rsidRPr="00C2632C">
        <w:rPr>
          <w:rFonts w:ascii="Arial" w:hAnsi="Arial" w:cs="Arial"/>
        </w:rPr>
        <w:t>our residents live healthy, active and prosperous lives. Resi</w:t>
      </w:r>
      <w:r>
        <w:rPr>
          <w:rFonts w:ascii="Arial" w:hAnsi="Arial" w:cs="Arial"/>
        </w:rPr>
        <w:t xml:space="preserve">dents tend to </w:t>
      </w:r>
      <w:r w:rsidRPr="00C2632C">
        <w:rPr>
          <w:rFonts w:ascii="Arial" w:hAnsi="Arial" w:cs="Arial"/>
        </w:rPr>
        <w:t xml:space="preserve">make positive lifestyles choices, </w:t>
      </w:r>
      <w:r>
        <w:rPr>
          <w:rFonts w:ascii="Arial" w:hAnsi="Arial" w:cs="Arial"/>
        </w:rPr>
        <w:t>for example,</w:t>
      </w:r>
      <w:r w:rsidRPr="00C2632C">
        <w:rPr>
          <w:rFonts w:ascii="Arial" w:hAnsi="Arial" w:cs="Arial"/>
        </w:rPr>
        <w:t xml:space="preserve"> levels of smoking and substanc</w:t>
      </w:r>
      <w:r>
        <w:rPr>
          <w:rFonts w:ascii="Arial" w:hAnsi="Arial" w:cs="Arial"/>
        </w:rPr>
        <w:t xml:space="preserve">e misuse are in line with the national averages. However, Rochford does have some health and wellbeing problems affecting our residents. The Public Health England Health Profile 2014 and most recent Joint Strategic Needs Assessment for both areas highlight the following issues as being priorities: </w:t>
      </w:r>
    </w:p>
    <w:p w:rsidR="00A562FE" w:rsidRDefault="00A562FE" w:rsidP="00A562FE">
      <w:pPr>
        <w:rPr>
          <w:rFonts w:ascii="Arial" w:hAnsi="Arial" w:cs="Arial"/>
        </w:rPr>
      </w:pPr>
    </w:p>
    <w:p w:rsidR="00A562FE" w:rsidRPr="00B12268" w:rsidRDefault="00A562FE" w:rsidP="00A562FE">
      <w:pPr>
        <w:pStyle w:val="ListParagraph"/>
        <w:numPr>
          <w:ilvl w:val="0"/>
          <w:numId w:val="19"/>
        </w:numPr>
        <w:spacing w:line="276" w:lineRule="auto"/>
        <w:contextualSpacing/>
        <w:rPr>
          <w:rFonts w:ascii="Arial" w:hAnsi="Arial" w:cs="Arial"/>
        </w:rPr>
      </w:pPr>
      <w:r>
        <w:rPr>
          <w:rFonts w:ascii="Arial" w:hAnsi="Arial" w:cs="Arial"/>
        </w:rPr>
        <w:t>Obesity and adult physical activity</w:t>
      </w:r>
    </w:p>
    <w:p w:rsidR="00A562FE" w:rsidRDefault="00A562FE" w:rsidP="00A562FE">
      <w:pPr>
        <w:pStyle w:val="ListParagraph"/>
        <w:numPr>
          <w:ilvl w:val="0"/>
          <w:numId w:val="19"/>
        </w:numPr>
        <w:spacing w:line="276" w:lineRule="auto"/>
        <w:contextualSpacing/>
        <w:rPr>
          <w:rFonts w:ascii="Arial" w:hAnsi="Arial" w:cs="Arial"/>
        </w:rPr>
      </w:pPr>
      <w:r>
        <w:rPr>
          <w:rFonts w:ascii="Arial" w:hAnsi="Arial" w:cs="Arial"/>
        </w:rPr>
        <w:t>Dementia and vulnerable older people</w:t>
      </w:r>
    </w:p>
    <w:p w:rsidR="00A562FE" w:rsidRDefault="00A562FE" w:rsidP="00A562FE">
      <w:pPr>
        <w:pStyle w:val="ListParagraph"/>
        <w:numPr>
          <w:ilvl w:val="0"/>
          <w:numId w:val="19"/>
        </w:numPr>
        <w:spacing w:line="276" w:lineRule="auto"/>
        <w:contextualSpacing/>
        <w:rPr>
          <w:rFonts w:ascii="Arial" w:hAnsi="Arial" w:cs="Arial"/>
        </w:rPr>
      </w:pPr>
      <w:r>
        <w:rPr>
          <w:rFonts w:ascii="Arial" w:hAnsi="Arial" w:cs="Arial"/>
        </w:rPr>
        <w:t xml:space="preserve">Long term chronic conditions e.g. diabetes </w:t>
      </w:r>
    </w:p>
    <w:p w:rsidR="00A562FE" w:rsidRPr="00972608" w:rsidRDefault="00A562FE" w:rsidP="00A562FE">
      <w:pPr>
        <w:pStyle w:val="ListParagraph"/>
        <w:numPr>
          <w:ilvl w:val="0"/>
          <w:numId w:val="19"/>
        </w:numPr>
        <w:spacing w:line="276" w:lineRule="auto"/>
        <w:contextualSpacing/>
        <w:rPr>
          <w:rFonts w:ascii="Arial" w:hAnsi="Arial" w:cs="Arial"/>
        </w:rPr>
      </w:pPr>
      <w:r>
        <w:rPr>
          <w:rFonts w:ascii="Arial" w:hAnsi="Arial" w:cs="Arial"/>
        </w:rPr>
        <w:t>Support to young people who are NEET</w:t>
      </w:r>
    </w:p>
    <w:p w:rsidR="00A562FE" w:rsidRDefault="00A562FE" w:rsidP="00A562FE">
      <w:pPr>
        <w:rPr>
          <w:rFonts w:ascii="Arial" w:hAnsi="Arial" w:cs="Arial"/>
        </w:rPr>
      </w:pPr>
    </w:p>
    <w:p w:rsidR="00A562FE" w:rsidRPr="00685AC0" w:rsidRDefault="00A562FE" w:rsidP="00A562FE">
      <w:pPr>
        <w:rPr>
          <w:rFonts w:ascii="Arial" w:hAnsi="Arial" w:cs="Arial"/>
        </w:rPr>
      </w:pPr>
      <w:r>
        <w:rPr>
          <w:rFonts w:ascii="Arial" w:hAnsi="Arial" w:cs="Arial"/>
        </w:rPr>
        <w:t xml:space="preserve">These issues are not </w:t>
      </w:r>
      <w:r w:rsidRPr="00C2632C">
        <w:rPr>
          <w:rFonts w:ascii="Arial" w:hAnsi="Arial" w:cs="Arial"/>
        </w:rPr>
        <w:t>only detrimental to the health and wellbeing of residents and th</w:t>
      </w:r>
      <w:r>
        <w:rPr>
          <w:rFonts w:ascii="Arial" w:hAnsi="Arial" w:cs="Arial"/>
        </w:rPr>
        <w:t xml:space="preserve">eir families but can impact the </w:t>
      </w:r>
      <w:r w:rsidRPr="00C2632C">
        <w:rPr>
          <w:rFonts w:ascii="Arial" w:hAnsi="Arial" w:cs="Arial"/>
        </w:rPr>
        <w:t>whole community.</w:t>
      </w:r>
      <w:r>
        <w:rPr>
          <w:rFonts w:ascii="Arial" w:hAnsi="Arial" w:cs="Arial"/>
        </w:rPr>
        <w:t xml:space="preserve"> </w:t>
      </w:r>
    </w:p>
    <w:p w:rsidR="00A562FE" w:rsidRDefault="00A562FE" w:rsidP="00A562FE">
      <w:pPr>
        <w:pStyle w:val="Heading1"/>
        <w:numPr>
          <w:ilvl w:val="1"/>
          <w:numId w:val="6"/>
        </w:numPr>
        <w:rPr>
          <w:rFonts w:ascii="Arial" w:hAnsi="Arial" w:cs="Arial"/>
          <w:sz w:val="24"/>
          <w:szCs w:val="24"/>
        </w:rPr>
      </w:pPr>
      <w:bookmarkStart w:id="1" w:name="_Toc393977535"/>
      <w:r w:rsidRPr="009D35BE">
        <w:rPr>
          <w:rFonts w:ascii="Arial" w:hAnsi="Arial" w:cs="Arial"/>
          <w:sz w:val="24"/>
          <w:szCs w:val="24"/>
        </w:rPr>
        <w:t>Tenure</w:t>
      </w:r>
      <w:bookmarkEnd w:id="1"/>
      <w:r w:rsidRPr="009D35BE">
        <w:rPr>
          <w:rFonts w:ascii="Arial" w:hAnsi="Arial" w:cs="Arial"/>
          <w:sz w:val="24"/>
          <w:szCs w:val="24"/>
        </w:rPr>
        <w:t xml:space="preserve"> </w:t>
      </w:r>
    </w:p>
    <w:p w:rsidR="00A562FE" w:rsidRPr="00D3243A" w:rsidRDefault="00A562FE" w:rsidP="00A562FE"/>
    <w:p w:rsidR="00A562FE" w:rsidRDefault="00A562FE" w:rsidP="00A562FE">
      <w:pPr>
        <w:rPr>
          <w:rFonts w:ascii="Arial" w:hAnsi="Arial" w:cs="Arial"/>
        </w:rPr>
      </w:pPr>
      <w:r w:rsidRPr="009D35BE">
        <w:rPr>
          <w:rFonts w:ascii="Arial" w:hAnsi="Arial" w:cs="Arial"/>
        </w:rPr>
        <w:t xml:space="preserve">The table below shows the tenure of properties within the District. Hockley West has the highest percentage of owned properties (either outright or mortgaged). Rochford Ward has the highest number of social rented properties. Hawkwell South has the highest percentage of private rented properties. </w:t>
      </w:r>
    </w:p>
    <w:p w:rsidR="00A562FE" w:rsidRPr="009D35BE" w:rsidRDefault="00A562FE" w:rsidP="00A562FE">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gridCol w:w="1559"/>
        <w:gridCol w:w="1418"/>
        <w:gridCol w:w="1275"/>
      </w:tblGrid>
      <w:tr w:rsidR="00A562FE" w:rsidRPr="00E71DC9" w:rsidTr="00BD7048">
        <w:trPr>
          <w:trHeight w:val="300"/>
          <w:tblHeader/>
        </w:trPr>
        <w:tc>
          <w:tcPr>
            <w:tcW w:w="3936" w:type="dxa"/>
            <w:shd w:val="clear" w:color="auto" w:fill="427730"/>
            <w:noWrap/>
            <w:vAlign w:val="center"/>
            <w:hideMark/>
          </w:tcPr>
          <w:p w:rsidR="00A562FE" w:rsidRPr="00B23DA8" w:rsidRDefault="00A562FE" w:rsidP="00BD7048">
            <w:pPr>
              <w:spacing w:before="80" w:after="80"/>
              <w:rPr>
                <w:rFonts w:ascii="Arial" w:hAnsi="Arial" w:cs="Arial"/>
                <w:b/>
                <w:color w:val="FFFFFF"/>
              </w:rPr>
            </w:pPr>
            <w:r w:rsidRPr="00B23DA8">
              <w:rPr>
                <w:rFonts w:ascii="Arial" w:hAnsi="Arial" w:cs="Arial"/>
                <w:b/>
                <w:color w:val="FFFFFF"/>
              </w:rPr>
              <w:lastRenderedPageBreak/>
              <w:t>Ward</w:t>
            </w:r>
          </w:p>
        </w:tc>
        <w:tc>
          <w:tcPr>
            <w:tcW w:w="1559" w:type="dxa"/>
            <w:shd w:val="clear" w:color="auto" w:fill="427730"/>
            <w:noWrap/>
            <w:vAlign w:val="center"/>
            <w:hideMark/>
          </w:tcPr>
          <w:p w:rsidR="00A562FE" w:rsidRPr="00B23DA8" w:rsidRDefault="00A562FE" w:rsidP="00BD7048">
            <w:pPr>
              <w:spacing w:before="80" w:after="80"/>
              <w:jc w:val="center"/>
              <w:rPr>
                <w:rFonts w:ascii="Arial" w:hAnsi="Arial" w:cs="Arial"/>
                <w:b/>
                <w:color w:val="FFFFFF"/>
              </w:rPr>
            </w:pPr>
            <w:r w:rsidRPr="00B23DA8">
              <w:rPr>
                <w:rFonts w:ascii="Arial" w:hAnsi="Arial" w:cs="Arial"/>
                <w:b/>
                <w:color w:val="FFFFFF"/>
              </w:rPr>
              <w:t>% Owned</w:t>
            </w:r>
            <w:r>
              <w:rPr>
                <w:rFonts w:ascii="Arial" w:hAnsi="Arial" w:cs="Arial"/>
                <w:b/>
                <w:color w:val="FFFFFF"/>
              </w:rPr>
              <w:t xml:space="preserve"> </w:t>
            </w:r>
            <w:r w:rsidRPr="00C20C31">
              <w:rPr>
                <w:rFonts w:ascii="Arial" w:hAnsi="Arial" w:cs="Arial"/>
                <w:b/>
                <w:color w:val="FFFFFF"/>
                <w:sz w:val="16"/>
                <w:szCs w:val="16"/>
              </w:rPr>
              <w:t>(including with mortgage)</w:t>
            </w:r>
          </w:p>
        </w:tc>
        <w:tc>
          <w:tcPr>
            <w:tcW w:w="1559" w:type="dxa"/>
            <w:shd w:val="clear" w:color="auto" w:fill="427730"/>
            <w:noWrap/>
            <w:vAlign w:val="center"/>
            <w:hideMark/>
          </w:tcPr>
          <w:p w:rsidR="00A562FE" w:rsidRPr="00B23DA8" w:rsidRDefault="00A562FE" w:rsidP="00BD7048">
            <w:pPr>
              <w:spacing w:before="80" w:after="80"/>
              <w:jc w:val="center"/>
              <w:rPr>
                <w:rFonts w:ascii="Arial" w:hAnsi="Arial" w:cs="Arial"/>
                <w:b/>
                <w:color w:val="FFFFFF"/>
              </w:rPr>
            </w:pPr>
            <w:r w:rsidRPr="00B23DA8">
              <w:rPr>
                <w:rFonts w:ascii="Arial" w:hAnsi="Arial" w:cs="Arial"/>
                <w:b/>
                <w:color w:val="FFFFFF"/>
              </w:rPr>
              <w:t>% Social rented</w:t>
            </w:r>
          </w:p>
        </w:tc>
        <w:tc>
          <w:tcPr>
            <w:tcW w:w="1418" w:type="dxa"/>
            <w:shd w:val="clear" w:color="auto" w:fill="427730"/>
            <w:noWrap/>
            <w:vAlign w:val="center"/>
            <w:hideMark/>
          </w:tcPr>
          <w:p w:rsidR="00A562FE" w:rsidRPr="00B23DA8" w:rsidRDefault="00A562FE" w:rsidP="00BD7048">
            <w:pPr>
              <w:spacing w:before="80" w:after="80"/>
              <w:jc w:val="center"/>
              <w:rPr>
                <w:rFonts w:ascii="Arial" w:hAnsi="Arial" w:cs="Arial"/>
                <w:b/>
                <w:color w:val="FFFFFF"/>
              </w:rPr>
            </w:pPr>
            <w:r w:rsidRPr="00B23DA8">
              <w:rPr>
                <w:rFonts w:ascii="Arial" w:hAnsi="Arial" w:cs="Arial"/>
                <w:b/>
                <w:color w:val="FFFFFF"/>
              </w:rPr>
              <w:t>% Private rented</w:t>
            </w:r>
          </w:p>
        </w:tc>
        <w:tc>
          <w:tcPr>
            <w:tcW w:w="1275" w:type="dxa"/>
            <w:shd w:val="clear" w:color="auto" w:fill="427730"/>
            <w:noWrap/>
            <w:vAlign w:val="center"/>
            <w:hideMark/>
          </w:tcPr>
          <w:p w:rsidR="00A562FE" w:rsidRPr="00B23DA8" w:rsidRDefault="00A562FE" w:rsidP="00BD7048">
            <w:pPr>
              <w:spacing w:before="80" w:after="80"/>
              <w:jc w:val="center"/>
              <w:rPr>
                <w:rFonts w:ascii="Arial" w:hAnsi="Arial" w:cs="Arial"/>
                <w:b/>
                <w:color w:val="FFFFFF"/>
              </w:rPr>
            </w:pPr>
            <w:r w:rsidRPr="00B23DA8">
              <w:rPr>
                <w:rFonts w:ascii="Arial" w:hAnsi="Arial" w:cs="Arial"/>
                <w:b/>
                <w:color w:val="FFFFFF"/>
              </w:rPr>
              <w:t>% Other</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Ashingdon and Canewdon</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82.5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7.1</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8.4</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2.0</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Barling and Sutton</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81.5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5.5</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11.8</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1.1</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Downhall and Rawreth</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90.1</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3.4</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5.7</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0.8</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Foulness and Great Wakering</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73.2</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12.6</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10.5</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1.5</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Grange</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33.9</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1.4</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4.5</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0.6</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Hawkwell North</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89.5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3.2</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6.2</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1.1</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Hawkwell South</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79.5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3.7</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15.8</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1.0</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Hawkwell West</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93.2</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1.5</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4.7</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0.6</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Hockley Central</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85.1</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5.5</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8.5</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0.9</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Hockley North</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89.2</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5.6</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4.8</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0.4</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Hockley West</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95.3</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0.4</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3.6</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0.6</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Hullbridge</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90.7</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2.7</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5.6</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0.9</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Lodge</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91.4</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2.3</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5.5</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0.8</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Rayleigh Central</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86.4</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8.1</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4.9</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0.6</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Rochford</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60.4</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24.5</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13.7</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1.4</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Sweyne Park</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76.8</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13.7</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8.6</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0.9</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Trinity</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92.7</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2.7</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4.2</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0.4</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Wheatley</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80.5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8.3</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10.3</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0.9</w:t>
            </w:r>
          </w:p>
        </w:tc>
      </w:tr>
      <w:tr w:rsidR="00A562FE" w:rsidRPr="00695210" w:rsidTr="00BD7048">
        <w:trPr>
          <w:trHeight w:val="300"/>
        </w:trPr>
        <w:tc>
          <w:tcPr>
            <w:tcW w:w="3936" w:type="dxa"/>
            <w:shd w:val="clear" w:color="auto" w:fill="auto"/>
            <w:noWrap/>
            <w:hideMark/>
          </w:tcPr>
          <w:p w:rsidR="00A562FE" w:rsidRPr="00B23DA8" w:rsidRDefault="00A562FE" w:rsidP="00BD7048">
            <w:pPr>
              <w:spacing w:before="80" w:after="80"/>
              <w:rPr>
                <w:rFonts w:ascii="Arial" w:hAnsi="Arial" w:cs="Arial"/>
              </w:rPr>
            </w:pPr>
            <w:r w:rsidRPr="00B23DA8">
              <w:rPr>
                <w:rFonts w:ascii="Arial" w:hAnsi="Arial" w:cs="Arial"/>
              </w:rPr>
              <w:t>Whitehouse</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80.5</w:t>
            </w:r>
          </w:p>
        </w:tc>
        <w:tc>
          <w:tcPr>
            <w:tcW w:w="1559"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9.3</w:t>
            </w:r>
          </w:p>
        </w:tc>
        <w:tc>
          <w:tcPr>
            <w:tcW w:w="1418"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8.9</w:t>
            </w:r>
          </w:p>
        </w:tc>
        <w:tc>
          <w:tcPr>
            <w:tcW w:w="1275" w:type="dxa"/>
            <w:shd w:val="clear" w:color="auto" w:fill="auto"/>
            <w:noWrap/>
            <w:hideMark/>
          </w:tcPr>
          <w:p w:rsidR="00A562FE" w:rsidRPr="00B23DA8" w:rsidRDefault="00A562FE" w:rsidP="00BD7048">
            <w:pPr>
              <w:spacing w:before="80" w:after="80"/>
              <w:jc w:val="center"/>
              <w:rPr>
                <w:rFonts w:ascii="Arial" w:hAnsi="Arial" w:cs="Arial"/>
              </w:rPr>
            </w:pPr>
            <w:r w:rsidRPr="00B23DA8">
              <w:rPr>
                <w:rFonts w:ascii="Arial" w:hAnsi="Arial" w:cs="Arial"/>
              </w:rPr>
              <w:t>1.4</w:t>
            </w:r>
          </w:p>
        </w:tc>
      </w:tr>
    </w:tbl>
    <w:p w:rsidR="00A562FE" w:rsidRDefault="00A562FE" w:rsidP="00A562FE">
      <w:pPr>
        <w:spacing w:before="240"/>
        <w:rPr>
          <w:rFonts w:ascii="Arial" w:hAnsi="Arial" w:cs="Arial"/>
          <w:sz w:val="18"/>
          <w:szCs w:val="18"/>
        </w:rPr>
      </w:pPr>
      <w:r w:rsidRPr="009D35BE">
        <w:rPr>
          <w:rStyle w:val="Strong"/>
          <w:rFonts w:ascii="Arial" w:hAnsi="Arial" w:cs="Arial"/>
          <w:sz w:val="18"/>
          <w:szCs w:val="18"/>
        </w:rPr>
        <w:t>Source:</w:t>
      </w:r>
      <w:r w:rsidRPr="009D35BE">
        <w:rPr>
          <w:rFonts w:ascii="Arial" w:hAnsi="Arial" w:cs="Arial"/>
          <w:sz w:val="18"/>
          <w:szCs w:val="18"/>
        </w:rPr>
        <w:t xml:space="preserve"> Office for National Statistics (ONS) Census 2011.</w:t>
      </w:r>
    </w:p>
    <w:p w:rsidR="00A562FE" w:rsidRPr="009D35BE" w:rsidRDefault="00A562FE" w:rsidP="00A562FE">
      <w:pPr>
        <w:spacing w:before="240"/>
        <w:rPr>
          <w:rFonts w:ascii="Arial" w:hAnsi="Arial" w:cs="Arial"/>
          <w:sz w:val="18"/>
          <w:szCs w:val="18"/>
        </w:rPr>
      </w:pPr>
    </w:p>
    <w:p w:rsidR="00A562FE" w:rsidRDefault="00A562FE" w:rsidP="00A562FE">
      <w:pPr>
        <w:numPr>
          <w:ilvl w:val="1"/>
          <w:numId w:val="15"/>
        </w:numPr>
        <w:tabs>
          <w:tab w:val="left" w:pos="900"/>
        </w:tabs>
        <w:rPr>
          <w:rFonts w:ascii="Arial" w:hAnsi="Arial" w:cs="Arial"/>
          <w:b/>
          <w:szCs w:val="22"/>
        </w:rPr>
      </w:pPr>
      <w:r>
        <w:rPr>
          <w:rFonts w:ascii="Arial" w:hAnsi="Arial" w:cs="Arial"/>
          <w:b/>
          <w:szCs w:val="22"/>
        </w:rPr>
        <w:t>Employment</w:t>
      </w:r>
    </w:p>
    <w:p w:rsidR="00A562FE" w:rsidRDefault="00A562FE" w:rsidP="00A562FE">
      <w:pPr>
        <w:tabs>
          <w:tab w:val="left" w:pos="900"/>
        </w:tabs>
        <w:ind w:left="465"/>
        <w:rPr>
          <w:rFonts w:ascii="Arial" w:hAnsi="Arial" w:cs="Arial"/>
          <w:b/>
          <w:szCs w:val="22"/>
        </w:rPr>
      </w:pPr>
    </w:p>
    <w:p w:rsidR="00A562FE" w:rsidRDefault="00A562FE" w:rsidP="00A562FE">
      <w:pPr>
        <w:rPr>
          <w:rFonts w:ascii="Arial" w:hAnsi="Arial" w:cs="Arial"/>
        </w:rPr>
      </w:pPr>
      <w:r w:rsidRPr="00E35598">
        <w:rPr>
          <w:rFonts w:ascii="Arial" w:hAnsi="Arial" w:cs="Arial"/>
        </w:rPr>
        <w:t xml:space="preserve">This table shows how the JSA claimants per Rochford District Ward compare with each other. Rochford Ward has the highest percentage of JSA claimants. </w:t>
      </w:r>
    </w:p>
    <w:p w:rsidR="00A562FE" w:rsidRPr="00E35598" w:rsidRDefault="00A562FE" w:rsidP="00A562FE">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496"/>
        <w:gridCol w:w="3543"/>
      </w:tblGrid>
      <w:tr w:rsidR="00A562FE" w:rsidRPr="00E71DC9" w:rsidTr="00BD7048">
        <w:trPr>
          <w:cantSplit/>
          <w:tblHeader/>
        </w:trPr>
        <w:tc>
          <w:tcPr>
            <w:tcW w:w="3708" w:type="dxa"/>
            <w:shd w:val="clear" w:color="auto" w:fill="427730"/>
          </w:tcPr>
          <w:p w:rsidR="00A562FE" w:rsidRPr="00E35598" w:rsidRDefault="00A562FE" w:rsidP="00BD7048">
            <w:pPr>
              <w:pStyle w:val="NoSpacing"/>
              <w:spacing w:before="80" w:after="80"/>
              <w:rPr>
                <w:rFonts w:cs="Arial"/>
                <w:b/>
                <w:color w:val="FFFFFF"/>
              </w:rPr>
            </w:pPr>
            <w:r w:rsidRPr="00E35598">
              <w:rPr>
                <w:rFonts w:cs="Arial"/>
                <w:b/>
                <w:color w:val="FFFFFF"/>
              </w:rPr>
              <w:t>Ward</w:t>
            </w:r>
          </w:p>
        </w:tc>
        <w:tc>
          <w:tcPr>
            <w:tcW w:w="2496" w:type="dxa"/>
            <w:shd w:val="clear" w:color="auto" w:fill="427730"/>
          </w:tcPr>
          <w:p w:rsidR="00A562FE" w:rsidRPr="00E35598" w:rsidRDefault="00A562FE" w:rsidP="00BD7048">
            <w:pPr>
              <w:pStyle w:val="NoSpacing"/>
              <w:spacing w:before="80" w:after="80"/>
              <w:jc w:val="center"/>
              <w:rPr>
                <w:rFonts w:cs="Arial"/>
                <w:b/>
                <w:color w:val="FFFFFF"/>
              </w:rPr>
            </w:pPr>
            <w:r w:rsidRPr="00E35598">
              <w:rPr>
                <w:rFonts w:cs="Arial"/>
                <w:b/>
                <w:color w:val="FFFFFF"/>
              </w:rPr>
              <w:t>JSA Claimants</w:t>
            </w:r>
          </w:p>
        </w:tc>
        <w:tc>
          <w:tcPr>
            <w:tcW w:w="3543" w:type="dxa"/>
            <w:shd w:val="clear" w:color="auto" w:fill="427730"/>
          </w:tcPr>
          <w:p w:rsidR="00A562FE" w:rsidRPr="00E35598" w:rsidRDefault="00A562FE" w:rsidP="00BD7048">
            <w:pPr>
              <w:pStyle w:val="NoSpacing"/>
              <w:spacing w:before="80" w:after="80"/>
              <w:jc w:val="center"/>
              <w:rPr>
                <w:rFonts w:cs="Arial"/>
                <w:b/>
                <w:color w:val="FFFFFF"/>
              </w:rPr>
            </w:pPr>
            <w:r w:rsidRPr="00E35598">
              <w:rPr>
                <w:rFonts w:cs="Arial"/>
                <w:b/>
                <w:color w:val="FFFFFF"/>
              </w:rPr>
              <w:t>% Working Age Population</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b/>
              </w:rPr>
            </w:pPr>
            <w:r w:rsidRPr="0026510C">
              <w:rPr>
                <w:rFonts w:cs="Arial"/>
                <w:b/>
              </w:rPr>
              <w:t>Rochford District</w:t>
            </w:r>
          </w:p>
        </w:tc>
        <w:tc>
          <w:tcPr>
            <w:tcW w:w="2496" w:type="dxa"/>
            <w:shd w:val="clear" w:color="auto" w:fill="auto"/>
            <w:vAlign w:val="center"/>
          </w:tcPr>
          <w:p w:rsidR="00A562FE" w:rsidRPr="0026510C" w:rsidRDefault="00A562FE" w:rsidP="00BD7048">
            <w:pPr>
              <w:pStyle w:val="NoSpacing"/>
              <w:spacing w:before="80" w:after="80"/>
              <w:jc w:val="center"/>
              <w:rPr>
                <w:rFonts w:cs="Arial"/>
                <w:b/>
                <w:bCs/>
              </w:rPr>
            </w:pPr>
            <w:r>
              <w:rPr>
                <w:rFonts w:cs="Arial"/>
                <w:b/>
                <w:bCs/>
              </w:rPr>
              <w:t>522</w:t>
            </w:r>
          </w:p>
        </w:tc>
        <w:tc>
          <w:tcPr>
            <w:tcW w:w="3543" w:type="dxa"/>
            <w:shd w:val="clear" w:color="auto" w:fill="auto"/>
            <w:vAlign w:val="center"/>
          </w:tcPr>
          <w:p w:rsidR="00A562FE" w:rsidRPr="0026510C" w:rsidRDefault="00A562FE" w:rsidP="00BD7048">
            <w:pPr>
              <w:pStyle w:val="NoSpacing"/>
              <w:spacing w:before="80" w:after="80"/>
              <w:jc w:val="center"/>
              <w:rPr>
                <w:rFonts w:cs="Arial"/>
                <w:b/>
                <w:bCs/>
              </w:rPr>
            </w:pPr>
            <w:r>
              <w:rPr>
                <w:rFonts w:cs="Arial"/>
                <w:b/>
                <w:bCs/>
              </w:rPr>
              <w:t>1.0</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Ashingdon and</w:t>
            </w:r>
            <w:r w:rsidRPr="0026510C">
              <w:rPr>
                <w:rFonts w:cs="Arial"/>
              </w:rPr>
              <w:t xml:space="preserve"> Canewdon</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28</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1.0</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Barling and</w:t>
            </w:r>
            <w:r w:rsidRPr="0026510C">
              <w:rPr>
                <w:rFonts w:cs="Arial"/>
              </w:rPr>
              <w:t xml:space="preserve"> Sutton</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12</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1.0</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Downhall and</w:t>
            </w:r>
            <w:r w:rsidRPr="0026510C">
              <w:rPr>
                <w:rFonts w:cs="Arial"/>
              </w:rPr>
              <w:t xml:space="preserve"> Rawreth</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29</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0.9</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lastRenderedPageBreak/>
              <w:t>Foulness and</w:t>
            </w:r>
            <w:r w:rsidRPr="0026510C">
              <w:rPr>
                <w:rFonts w:cs="Arial"/>
              </w:rPr>
              <w:t xml:space="preserve"> Great Wakering</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34</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0.9</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Grange</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27</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1.2</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Hawkwell North</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23</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0.8</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Hawkwell South</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39</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1.5</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Hawkwell West</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23</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0.9</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Hockley Central</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30</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0.8</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Hockley North</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7</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0.5</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Hockley West</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6</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0.5</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Hullbridge</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39</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1.0</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Lodge</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20</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0.8</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Rayleigh Central</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28</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1.1</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Rochford</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83</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1.7</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sidRPr="0026510C">
              <w:rPr>
                <w:rFonts w:cs="Arial"/>
              </w:rPr>
              <w:t>Sweyne Park</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38</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1.3</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Trinity</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14</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0.7</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Wheatley</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32</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1.3</w:t>
            </w:r>
          </w:p>
        </w:tc>
      </w:tr>
      <w:tr w:rsidR="00A562FE" w:rsidRPr="0026510C" w:rsidTr="00BD7048">
        <w:tc>
          <w:tcPr>
            <w:tcW w:w="3708" w:type="dxa"/>
            <w:shd w:val="clear" w:color="auto" w:fill="auto"/>
          </w:tcPr>
          <w:p w:rsidR="00A562FE" w:rsidRPr="0026510C" w:rsidRDefault="00A562FE" w:rsidP="00BD7048">
            <w:pPr>
              <w:pStyle w:val="NoSpacing"/>
              <w:spacing w:before="80" w:after="80"/>
              <w:rPr>
                <w:rFonts w:cs="Arial"/>
              </w:rPr>
            </w:pPr>
            <w:r>
              <w:rPr>
                <w:rFonts w:cs="Arial"/>
              </w:rPr>
              <w:t>Whitehouse</w:t>
            </w:r>
          </w:p>
        </w:tc>
        <w:tc>
          <w:tcPr>
            <w:tcW w:w="2496" w:type="dxa"/>
            <w:shd w:val="clear" w:color="auto" w:fill="auto"/>
            <w:vAlign w:val="center"/>
          </w:tcPr>
          <w:p w:rsidR="00A562FE" w:rsidRPr="0026510C" w:rsidRDefault="00A562FE" w:rsidP="00BD7048">
            <w:pPr>
              <w:pStyle w:val="NoSpacing"/>
              <w:spacing w:before="80" w:after="80"/>
              <w:jc w:val="center"/>
              <w:rPr>
                <w:rFonts w:cs="Arial"/>
              </w:rPr>
            </w:pPr>
            <w:r>
              <w:rPr>
                <w:rFonts w:cs="Arial"/>
              </w:rPr>
              <w:t>10</w:t>
            </w:r>
          </w:p>
        </w:tc>
        <w:tc>
          <w:tcPr>
            <w:tcW w:w="3543" w:type="dxa"/>
            <w:shd w:val="clear" w:color="auto" w:fill="auto"/>
            <w:vAlign w:val="center"/>
          </w:tcPr>
          <w:p w:rsidR="00A562FE" w:rsidRPr="0026510C" w:rsidRDefault="00A562FE" w:rsidP="00BD7048">
            <w:pPr>
              <w:pStyle w:val="NoSpacing"/>
              <w:spacing w:before="80" w:after="80"/>
              <w:jc w:val="center"/>
              <w:rPr>
                <w:rFonts w:cs="Arial"/>
              </w:rPr>
            </w:pPr>
            <w:r>
              <w:rPr>
                <w:rFonts w:cs="Arial"/>
              </w:rPr>
              <w:t>0.4</w:t>
            </w:r>
          </w:p>
        </w:tc>
      </w:tr>
    </w:tbl>
    <w:p w:rsidR="00A562FE" w:rsidRPr="00674160" w:rsidRDefault="00A562FE" w:rsidP="00A562FE">
      <w:pPr>
        <w:spacing w:before="240"/>
        <w:rPr>
          <w:sz w:val="20"/>
          <w:szCs w:val="20"/>
        </w:rPr>
      </w:pPr>
      <w:r w:rsidRPr="00674160">
        <w:rPr>
          <w:b/>
          <w:sz w:val="20"/>
          <w:szCs w:val="20"/>
        </w:rPr>
        <w:t>Source:</w:t>
      </w:r>
      <w:r>
        <w:rPr>
          <w:sz w:val="20"/>
          <w:szCs w:val="20"/>
        </w:rPr>
        <w:t xml:space="preserve"> Nomis Web Feb 2015.</w:t>
      </w:r>
    </w:p>
    <w:p w:rsidR="00A562FE" w:rsidRPr="00E35598" w:rsidRDefault="00A562FE" w:rsidP="00A562FE">
      <w:pPr>
        <w:rPr>
          <w:rFonts w:cs="Arial"/>
          <w:b/>
        </w:rPr>
      </w:pPr>
    </w:p>
    <w:p w:rsidR="00A562FE" w:rsidRDefault="00A562FE" w:rsidP="00A562FE">
      <w:pPr>
        <w:rPr>
          <w:rFonts w:ascii="Arial" w:hAnsi="Arial" w:cs="Arial"/>
        </w:rPr>
      </w:pPr>
      <w:r w:rsidRPr="00E35598">
        <w:rPr>
          <w:rFonts w:ascii="Arial" w:hAnsi="Arial" w:cs="Arial"/>
        </w:rPr>
        <w:t>The Census 2011 recorded that Rochford Ward had the highest percentage of unemployed people. Hockley West had the fewest.</w:t>
      </w:r>
    </w:p>
    <w:p w:rsidR="00A562FE" w:rsidRPr="00E35598" w:rsidRDefault="00A562FE" w:rsidP="00A562FE">
      <w:pPr>
        <w:rPr>
          <w:rFonts w:ascii="Arial" w:hAnsi="Arial" w:cs="Arial"/>
        </w:rPr>
      </w:pP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5"/>
        <w:gridCol w:w="4959"/>
      </w:tblGrid>
      <w:tr w:rsidR="00A562FE" w:rsidRPr="00E35598" w:rsidTr="00BD7048">
        <w:trPr>
          <w:tblHeader/>
        </w:trPr>
        <w:tc>
          <w:tcPr>
            <w:tcW w:w="4695"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E35598" w:rsidRDefault="00A562FE" w:rsidP="00BD7048">
            <w:pPr>
              <w:spacing w:before="80" w:after="80"/>
              <w:ind w:left="90"/>
              <w:rPr>
                <w:rFonts w:ascii="Arial" w:hAnsi="Arial" w:cs="Arial"/>
                <w:b/>
                <w:color w:val="FFFFFF"/>
              </w:rPr>
            </w:pPr>
            <w:r w:rsidRPr="00E35598">
              <w:rPr>
                <w:rFonts w:ascii="Arial" w:hAnsi="Arial" w:cs="Arial"/>
                <w:b/>
                <w:color w:val="FFFFFF"/>
              </w:rPr>
              <w:t xml:space="preserve">Ward </w:t>
            </w:r>
          </w:p>
        </w:tc>
        <w:tc>
          <w:tcPr>
            <w:tcW w:w="4959"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E35598" w:rsidRDefault="00A562FE" w:rsidP="00BD7048">
            <w:pPr>
              <w:spacing w:before="80" w:after="80"/>
              <w:ind w:left="75"/>
              <w:jc w:val="center"/>
              <w:rPr>
                <w:rFonts w:ascii="Arial" w:hAnsi="Arial" w:cs="Arial"/>
                <w:b/>
                <w:color w:val="FFFFFF"/>
              </w:rPr>
            </w:pPr>
            <w:r w:rsidRPr="00E35598">
              <w:rPr>
                <w:rFonts w:ascii="Arial" w:hAnsi="Arial" w:cs="Arial"/>
                <w:b/>
                <w:color w:val="FFFFFF"/>
              </w:rPr>
              <w:t>% Population Aged 16-74</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Ashingdon and Canewdon</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3.1</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Barling and Sutton</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2.9</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Downhall and Rawreth</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2.2</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Foulness and Great Wakering</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3.7</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Grange</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3.4</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Hawkwell North</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2.4</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Hawkwell South</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3.6</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Hawkwell West</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2.7</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Hockley Central</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2.7</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lastRenderedPageBreak/>
              <w:t>Hockley North</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2.7</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Hockley West</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1.9</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Hullbridge</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3.0</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Lodge</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2.4</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Rayleigh Central</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2.8</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Rochford (ward)</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4.0</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Sweyne Park</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3.7</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 xml:space="preserve">Trinity </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2.3</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Wheatley</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3.5</w:t>
            </w:r>
          </w:p>
        </w:tc>
      </w:tr>
      <w:tr w:rsidR="00A562FE" w:rsidRPr="00E35598" w:rsidTr="00BD7048">
        <w:tc>
          <w:tcPr>
            <w:tcW w:w="4695" w:type="dxa"/>
            <w:tcBorders>
              <w:top w:val="outset" w:sz="6" w:space="0" w:color="auto"/>
              <w:left w:val="outset" w:sz="6" w:space="0" w:color="auto"/>
              <w:bottom w:val="outset" w:sz="6" w:space="0" w:color="auto"/>
              <w:right w:val="outset" w:sz="6" w:space="0" w:color="auto"/>
            </w:tcBorders>
            <w:vAlign w:val="center"/>
          </w:tcPr>
          <w:p w:rsidR="00A562FE" w:rsidRPr="00E35598" w:rsidRDefault="00A562FE" w:rsidP="00BD7048">
            <w:pPr>
              <w:spacing w:before="80" w:after="80"/>
              <w:ind w:left="90"/>
              <w:rPr>
                <w:rFonts w:ascii="Arial" w:hAnsi="Arial" w:cs="Arial"/>
              </w:rPr>
            </w:pPr>
            <w:r w:rsidRPr="00E35598">
              <w:rPr>
                <w:rFonts w:ascii="Arial" w:hAnsi="Arial" w:cs="Arial"/>
              </w:rPr>
              <w:t>Whitehouse</w:t>
            </w:r>
          </w:p>
        </w:tc>
        <w:tc>
          <w:tcPr>
            <w:tcW w:w="4959" w:type="dxa"/>
            <w:tcBorders>
              <w:top w:val="outset" w:sz="6" w:space="0" w:color="auto"/>
              <w:left w:val="outset" w:sz="6" w:space="0" w:color="auto"/>
              <w:bottom w:val="outset" w:sz="6" w:space="0" w:color="auto"/>
              <w:right w:val="outset" w:sz="6" w:space="0" w:color="auto"/>
            </w:tcBorders>
            <w:vAlign w:val="bottom"/>
          </w:tcPr>
          <w:p w:rsidR="00A562FE" w:rsidRPr="00E35598" w:rsidRDefault="00A562FE" w:rsidP="00BD7048">
            <w:pPr>
              <w:spacing w:before="80" w:after="80"/>
              <w:jc w:val="center"/>
              <w:rPr>
                <w:rFonts w:ascii="Arial" w:hAnsi="Arial" w:cs="Arial"/>
                <w:color w:val="000000"/>
              </w:rPr>
            </w:pPr>
            <w:r w:rsidRPr="00E35598">
              <w:rPr>
                <w:rFonts w:ascii="Arial" w:hAnsi="Arial" w:cs="Arial"/>
                <w:color w:val="000000"/>
              </w:rPr>
              <w:t>2.9</w:t>
            </w:r>
          </w:p>
        </w:tc>
      </w:tr>
    </w:tbl>
    <w:p w:rsidR="00A562FE" w:rsidRPr="00AA40C0" w:rsidRDefault="00A562FE" w:rsidP="00A562FE">
      <w:pPr>
        <w:spacing w:before="240"/>
        <w:rPr>
          <w:sz w:val="20"/>
          <w:szCs w:val="20"/>
        </w:rPr>
      </w:pPr>
      <w:r w:rsidRPr="00674160">
        <w:rPr>
          <w:rStyle w:val="Strong"/>
          <w:sz w:val="20"/>
          <w:szCs w:val="20"/>
        </w:rPr>
        <w:t>Source:</w:t>
      </w:r>
      <w:r w:rsidRPr="00674160">
        <w:rPr>
          <w:sz w:val="20"/>
          <w:szCs w:val="20"/>
        </w:rPr>
        <w:t xml:space="preserve"> Office for National Statistics (ONS) Census 2011</w:t>
      </w:r>
      <w:r>
        <w:rPr>
          <w:sz w:val="20"/>
          <w:szCs w:val="20"/>
        </w:rPr>
        <w:t>.</w:t>
      </w:r>
    </w:p>
    <w:p w:rsidR="00A562FE" w:rsidRDefault="00A562FE" w:rsidP="00A562FE">
      <w:pPr>
        <w:tabs>
          <w:tab w:val="left" w:pos="900"/>
        </w:tabs>
        <w:rPr>
          <w:rFonts w:ascii="Arial" w:hAnsi="Arial" w:cs="Arial"/>
          <w:b/>
          <w:szCs w:val="22"/>
        </w:rPr>
      </w:pPr>
    </w:p>
    <w:p w:rsidR="00A562FE" w:rsidRDefault="00A562FE" w:rsidP="00A562FE">
      <w:pPr>
        <w:tabs>
          <w:tab w:val="left" w:pos="900"/>
        </w:tabs>
        <w:rPr>
          <w:rFonts w:ascii="Arial" w:hAnsi="Arial" w:cs="Arial"/>
          <w:b/>
          <w:szCs w:val="22"/>
        </w:rPr>
      </w:pPr>
      <w:r>
        <w:rPr>
          <w:rFonts w:ascii="Arial" w:hAnsi="Arial" w:cs="Arial"/>
          <w:b/>
          <w:szCs w:val="22"/>
        </w:rPr>
        <w:t>Rochford Council Homelessness Statistics 2013/14</w:t>
      </w:r>
    </w:p>
    <w:p w:rsidR="00A562FE" w:rsidRDefault="00A562FE" w:rsidP="00A562FE">
      <w:pPr>
        <w:tabs>
          <w:tab w:val="left" w:pos="900"/>
        </w:tabs>
        <w:rPr>
          <w:rFonts w:ascii="Arial" w:hAnsi="Arial" w:cs="Arial"/>
          <w:b/>
          <w:szCs w:val="22"/>
        </w:rPr>
      </w:pPr>
    </w:p>
    <w:p w:rsidR="00A562FE" w:rsidRPr="00020776" w:rsidRDefault="00A562FE" w:rsidP="00A562FE">
      <w:pPr>
        <w:rPr>
          <w:rFonts w:ascii="Arial" w:hAnsi="Arial" w:cs="Arial"/>
        </w:rPr>
      </w:pPr>
      <w:r w:rsidRPr="00020776">
        <w:rPr>
          <w:rFonts w:ascii="Arial" w:hAnsi="Arial" w:cs="Arial"/>
        </w:rPr>
        <w:t>Homeless decision full duty = 69</w:t>
      </w:r>
    </w:p>
    <w:p w:rsidR="00A562FE" w:rsidRPr="00020776" w:rsidRDefault="00A562FE" w:rsidP="00A562FE">
      <w:pPr>
        <w:rPr>
          <w:rFonts w:ascii="Arial" w:hAnsi="Arial" w:cs="Arial"/>
        </w:rPr>
      </w:pPr>
      <w:r w:rsidRPr="00020776">
        <w:rPr>
          <w:rFonts w:ascii="Arial" w:hAnsi="Arial" w:cs="Arial"/>
        </w:rPr>
        <w:t>Total homeless app</w:t>
      </w:r>
      <w:r>
        <w:rPr>
          <w:rFonts w:ascii="Arial" w:hAnsi="Arial" w:cs="Arial"/>
        </w:rPr>
        <w:t>lication</w:t>
      </w:r>
      <w:r w:rsidRPr="00020776">
        <w:rPr>
          <w:rFonts w:ascii="Arial" w:hAnsi="Arial" w:cs="Arial"/>
        </w:rPr>
        <w:t>s (including those under duty) = 133</w:t>
      </w:r>
    </w:p>
    <w:p w:rsidR="00A562FE" w:rsidRDefault="00A562FE" w:rsidP="00A562FE">
      <w:pPr>
        <w:rPr>
          <w:rFonts w:ascii="Arial" w:hAnsi="Arial" w:cs="Arial"/>
        </w:rPr>
      </w:pPr>
      <w:r>
        <w:rPr>
          <w:rFonts w:ascii="Arial" w:hAnsi="Arial" w:cs="Arial"/>
        </w:rPr>
        <w:t xml:space="preserve">Homeless </w:t>
      </w:r>
      <w:r w:rsidRPr="00020776">
        <w:rPr>
          <w:rFonts w:ascii="Arial" w:hAnsi="Arial" w:cs="Arial"/>
        </w:rPr>
        <w:t>Prevention</w:t>
      </w:r>
      <w:r>
        <w:rPr>
          <w:rFonts w:ascii="Arial" w:hAnsi="Arial" w:cs="Arial"/>
        </w:rPr>
        <w:t xml:space="preserve"> Enquiries</w:t>
      </w:r>
      <w:r w:rsidRPr="00020776">
        <w:rPr>
          <w:rFonts w:ascii="Arial" w:hAnsi="Arial" w:cs="Arial"/>
        </w:rPr>
        <w:t xml:space="preserve"> = 13</w:t>
      </w:r>
    </w:p>
    <w:p w:rsidR="00A562FE" w:rsidRDefault="00A562FE" w:rsidP="00A562FE">
      <w:pPr>
        <w:rPr>
          <w:rFonts w:ascii="Arial" w:hAnsi="Arial" w:cs="Arial"/>
        </w:rPr>
      </w:pPr>
    </w:p>
    <w:p w:rsidR="00A562FE" w:rsidRPr="00020776" w:rsidRDefault="00A562FE" w:rsidP="00A562FE">
      <w:pPr>
        <w:rPr>
          <w:rFonts w:ascii="Arial" w:hAnsi="Arial" w:cs="Arial"/>
        </w:rPr>
      </w:pPr>
      <w:r w:rsidRPr="00020776">
        <w:rPr>
          <w:rFonts w:ascii="Arial" w:hAnsi="Arial" w:cs="Arial"/>
        </w:rPr>
        <w:t>Housing advice enquiry’s = 658</w:t>
      </w:r>
    </w:p>
    <w:p w:rsidR="00A562FE" w:rsidRDefault="00A562FE" w:rsidP="00A562FE">
      <w:pPr>
        <w:tabs>
          <w:tab w:val="left" w:pos="900"/>
        </w:tabs>
        <w:rPr>
          <w:rFonts w:ascii="Arial" w:hAnsi="Arial" w:cs="Arial"/>
          <w:szCs w:val="22"/>
        </w:rPr>
      </w:pPr>
    </w:p>
    <w:p w:rsidR="00A562FE" w:rsidRPr="00020776" w:rsidRDefault="00A562FE" w:rsidP="00A562FE">
      <w:pPr>
        <w:tabs>
          <w:tab w:val="left" w:pos="900"/>
        </w:tabs>
        <w:rPr>
          <w:rFonts w:ascii="Arial" w:hAnsi="Arial" w:cs="Arial"/>
          <w:szCs w:val="22"/>
        </w:rPr>
      </w:pPr>
    </w:p>
    <w:p w:rsidR="00A562FE" w:rsidRPr="002C379E" w:rsidRDefault="00A562FE" w:rsidP="00A562FE">
      <w:pPr>
        <w:numPr>
          <w:ilvl w:val="1"/>
          <w:numId w:val="15"/>
        </w:numPr>
        <w:tabs>
          <w:tab w:val="left" w:pos="900"/>
        </w:tabs>
        <w:rPr>
          <w:rFonts w:ascii="Arial" w:hAnsi="Arial" w:cs="Arial"/>
          <w:b/>
        </w:rPr>
      </w:pPr>
      <w:r>
        <w:rPr>
          <w:rFonts w:ascii="Arial" w:hAnsi="Arial" w:cs="Arial"/>
          <w:b/>
          <w:szCs w:val="22"/>
        </w:rPr>
        <w:t>Families and children</w:t>
      </w:r>
    </w:p>
    <w:p w:rsidR="00A562FE" w:rsidRDefault="00A562FE" w:rsidP="00A562FE">
      <w:pPr>
        <w:tabs>
          <w:tab w:val="left" w:pos="900"/>
        </w:tabs>
        <w:rPr>
          <w:rFonts w:ascii="Arial" w:hAnsi="Arial" w:cs="Arial"/>
          <w:b/>
          <w:szCs w:val="22"/>
        </w:rPr>
      </w:pPr>
    </w:p>
    <w:p w:rsidR="00A562FE" w:rsidRDefault="00A562FE" w:rsidP="00A562FE">
      <w:pPr>
        <w:tabs>
          <w:tab w:val="left" w:pos="900"/>
        </w:tabs>
        <w:rPr>
          <w:rFonts w:ascii="Arial" w:hAnsi="Arial" w:cs="Arial"/>
          <w:szCs w:val="22"/>
        </w:rPr>
      </w:pPr>
      <w:r w:rsidRPr="002C379E">
        <w:rPr>
          <w:rFonts w:ascii="Arial" w:hAnsi="Arial" w:cs="Arial"/>
          <w:szCs w:val="22"/>
        </w:rPr>
        <w:t>The percentage of children living in low income households in the District is 11.4%</w:t>
      </w:r>
      <w:r>
        <w:rPr>
          <w:rFonts w:ascii="Arial" w:hAnsi="Arial" w:cs="Arial"/>
          <w:szCs w:val="22"/>
        </w:rPr>
        <w:t xml:space="preserve"> - 16.7% is the East of England average.</w:t>
      </w:r>
      <w:r>
        <w:rPr>
          <w:rStyle w:val="FootnoteReference"/>
          <w:rFonts w:ascii="Arial" w:hAnsi="Arial" w:cs="Arial"/>
          <w:szCs w:val="22"/>
        </w:rPr>
        <w:footnoteReference w:id="2"/>
      </w:r>
    </w:p>
    <w:p w:rsidR="00A562FE" w:rsidRDefault="00A562FE" w:rsidP="00A562FE">
      <w:pPr>
        <w:tabs>
          <w:tab w:val="left" w:pos="900"/>
        </w:tabs>
        <w:rPr>
          <w:rFonts w:ascii="Arial" w:hAnsi="Arial" w:cs="Arial"/>
          <w:szCs w:val="22"/>
        </w:rPr>
      </w:pPr>
    </w:p>
    <w:p w:rsidR="00A562FE" w:rsidRPr="002C379E" w:rsidRDefault="00A562FE" w:rsidP="00A562FE">
      <w:pPr>
        <w:tabs>
          <w:tab w:val="left" w:pos="900"/>
        </w:tabs>
        <w:rPr>
          <w:rFonts w:ascii="Arial" w:hAnsi="Arial" w:cs="Arial"/>
        </w:rPr>
      </w:pPr>
      <w:r>
        <w:rPr>
          <w:rFonts w:ascii="Arial" w:hAnsi="Arial" w:cs="Arial"/>
          <w:szCs w:val="22"/>
        </w:rPr>
        <w:t>8% of primary school children and 7% of secondary school children receive Free School Meals. The Essex highest figure is in Tendring, 21% primary and 16% secondary.</w:t>
      </w:r>
      <w:r>
        <w:rPr>
          <w:rStyle w:val="FootnoteReference"/>
          <w:rFonts w:ascii="Arial" w:hAnsi="Arial" w:cs="Arial"/>
          <w:szCs w:val="22"/>
        </w:rPr>
        <w:footnoteReference w:id="3"/>
      </w:r>
    </w:p>
    <w:p w:rsidR="00A562FE" w:rsidRDefault="00A562FE" w:rsidP="00A562FE">
      <w:pPr>
        <w:tabs>
          <w:tab w:val="left" w:pos="900"/>
        </w:tabs>
        <w:rPr>
          <w:rFonts w:ascii="Arial" w:hAnsi="Arial" w:cs="Arial"/>
          <w:b/>
        </w:rPr>
      </w:pPr>
    </w:p>
    <w:p w:rsidR="00A562FE" w:rsidRPr="002D6B56" w:rsidRDefault="00A562FE" w:rsidP="00A562FE">
      <w:pPr>
        <w:tabs>
          <w:tab w:val="left" w:pos="900"/>
        </w:tabs>
        <w:rPr>
          <w:rFonts w:ascii="Arial" w:hAnsi="Arial" w:cs="Arial"/>
        </w:rPr>
      </w:pPr>
      <w:r>
        <w:rPr>
          <w:rFonts w:ascii="Arial" w:hAnsi="Arial" w:cs="Arial"/>
        </w:rPr>
        <w:t xml:space="preserve">The table below shows Rochford (ward) and Foulness and Great Wakering have the highest number of lone parent households with dependent children. Hockley West has the fewest. </w:t>
      </w:r>
    </w:p>
    <w:p w:rsidR="00A562FE" w:rsidRPr="00803B2A" w:rsidRDefault="00A562FE" w:rsidP="00A562FE">
      <w:pPr>
        <w:tabs>
          <w:tab w:val="left" w:pos="900"/>
        </w:tabs>
        <w:ind w:left="360"/>
        <w:rPr>
          <w:rFonts w:ascii="Arial" w:hAnsi="Arial" w:cs="Arial"/>
          <w:b/>
        </w:rPr>
      </w:pPr>
      <w:r>
        <w:rPr>
          <w:rFonts w:ascii="Arial" w:hAnsi="Arial" w:cs="Arial"/>
          <w:b/>
        </w:rPr>
        <w:t xml:space="preserve"> </w:t>
      </w: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5409"/>
      </w:tblGrid>
      <w:tr w:rsidR="00A562FE" w:rsidRPr="001E5505" w:rsidTr="00BD7048">
        <w:trPr>
          <w:tblHeader/>
        </w:trPr>
        <w:tc>
          <w:tcPr>
            <w:tcW w:w="4245"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1E5505" w:rsidRDefault="00A562FE" w:rsidP="00BD7048">
            <w:pPr>
              <w:spacing w:before="80" w:after="80"/>
              <w:ind w:left="90"/>
              <w:rPr>
                <w:rFonts w:ascii="Arial" w:hAnsi="Arial" w:cs="Arial"/>
                <w:b/>
                <w:color w:val="FFFFFF"/>
              </w:rPr>
            </w:pPr>
            <w:r w:rsidRPr="001E5505">
              <w:rPr>
                <w:rFonts w:ascii="Arial" w:hAnsi="Arial" w:cs="Arial"/>
                <w:b/>
                <w:color w:val="FFFFFF"/>
              </w:rPr>
              <w:t>Ward</w:t>
            </w:r>
          </w:p>
        </w:tc>
        <w:tc>
          <w:tcPr>
            <w:tcW w:w="5409" w:type="dxa"/>
            <w:tcBorders>
              <w:top w:val="outset" w:sz="6" w:space="0" w:color="auto"/>
              <w:left w:val="outset" w:sz="6" w:space="0" w:color="auto"/>
              <w:bottom w:val="outset" w:sz="6" w:space="0" w:color="auto"/>
              <w:right w:val="outset" w:sz="6" w:space="0" w:color="auto"/>
            </w:tcBorders>
            <w:shd w:val="clear" w:color="auto" w:fill="427730"/>
            <w:vAlign w:val="center"/>
            <w:hideMark/>
          </w:tcPr>
          <w:p w:rsidR="00A562FE" w:rsidRPr="001E5505" w:rsidRDefault="00A562FE" w:rsidP="00BD7048">
            <w:pPr>
              <w:spacing w:before="80" w:after="80"/>
              <w:ind w:left="165"/>
              <w:jc w:val="center"/>
              <w:rPr>
                <w:rFonts w:ascii="Arial" w:hAnsi="Arial" w:cs="Arial"/>
                <w:b/>
                <w:color w:val="FFFFFF"/>
              </w:rPr>
            </w:pPr>
            <w:r>
              <w:rPr>
                <w:rFonts w:ascii="Arial" w:hAnsi="Arial" w:cs="Arial"/>
                <w:b/>
                <w:color w:val="FFFFFF"/>
              </w:rPr>
              <w:t xml:space="preserve">Number of households containing a lone parent with dependent children </w:t>
            </w:r>
          </w:p>
        </w:tc>
      </w:tr>
      <w:tr w:rsidR="00A562FE" w:rsidRPr="001E5505"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Ashingdon and Canewdon</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75</w:t>
            </w:r>
          </w:p>
        </w:tc>
      </w:tr>
      <w:tr w:rsidR="00A562FE" w:rsidRPr="001E5505"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lastRenderedPageBreak/>
              <w:t>Barling and Sutton</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28</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Downhall and Rawreth</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60</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Foulness and Great Wakering</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138</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Grange</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59</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North</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65</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South</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80</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Hawkwell West</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65</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Central</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99</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North</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28</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Hockley West</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24</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Hullbridge</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90</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Lodge</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53</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Rayleigh Central</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59</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Rochford (Ward)</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317</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Sweyne Park</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106</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Trinity</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46</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Wheatley</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78</w:t>
            </w:r>
          </w:p>
        </w:tc>
      </w:tr>
      <w:tr w:rsidR="00A562FE" w:rsidTr="00BD7048">
        <w:tc>
          <w:tcPr>
            <w:tcW w:w="4245" w:type="dxa"/>
            <w:tcBorders>
              <w:top w:val="outset" w:sz="6" w:space="0" w:color="auto"/>
              <w:left w:val="outset" w:sz="6" w:space="0" w:color="auto"/>
              <w:bottom w:val="outset" w:sz="6" w:space="0" w:color="auto"/>
              <w:right w:val="outset" w:sz="6" w:space="0" w:color="auto"/>
            </w:tcBorders>
            <w:vAlign w:val="center"/>
            <w:hideMark/>
          </w:tcPr>
          <w:p w:rsidR="00A562FE" w:rsidRPr="001E5505" w:rsidRDefault="00A562FE" w:rsidP="00BD7048">
            <w:pPr>
              <w:spacing w:before="80" w:after="80"/>
              <w:ind w:left="90"/>
              <w:rPr>
                <w:rFonts w:ascii="Arial" w:hAnsi="Arial" w:cs="Arial"/>
              </w:rPr>
            </w:pPr>
            <w:r w:rsidRPr="001E5505">
              <w:rPr>
                <w:rFonts w:ascii="Arial" w:hAnsi="Arial" w:cs="Arial"/>
              </w:rPr>
              <w:t>Whitehouse</w:t>
            </w:r>
          </w:p>
        </w:tc>
        <w:tc>
          <w:tcPr>
            <w:tcW w:w="5409" w:type="dxa"/>
            <w:tcBorders>
              <w:top w:val="outset" w:sz="6" w:space="0" w:color="auto"/>
              <w:left w:val="outset" w:sz="6" w:space="0" w:color="auto"/>
              <w:bottom w:val="outset" w:sz="6" w:space="0" w:color="auto"/>
              <w:right w:val="outset" w:sz="6" w:space="0" w:color="auto"/>
            </w:tcBorders>
            <w:vAlign w:val="bottom"/>
          </w:tcPr>
          <w:p w:rsidR="00A562FE" w:rsidRPr="001E5505" w:rsidRDefault="00A562FE" w:rsidP="00BD7048">
            <w:pPr>
              <w:spacing w:before="80" w:after="80"/>
              <w:ind w:left="165"/>
              <w:jc w:val="center"/>
              <w:rPr>
                <w:rFonts w:ascii="Arial" w:hAnsi="Arial" w:cs="Arial"/>
                <w:color w:val="000000"/>
              </w:rPr>
            </w:pPr>
            <w:r>
              <w:rPr>
                <w:rFonts w:ascii="Arial" w:hAnsi="Arial" w:cs="Arial"/>
                <w:color w:val="000000"/>
              </w:rPr>
              <w:t>70</w:t>
            </w:r>
          </w:p>
        </w:tc>
      </w:tr>
    </w:tbl>
    <w:p w:rsidR="00A562FE" w:rsidRPr="009D35BE" w:rsidRDefault="00A562FE" w:rsidP="00A562FE">
      <w:pPr>
        <w:spacing w:before="240"/>
        <w:rPr>
          <w:rFonts w:ascii="Arial" w:hAnsi="Arial" w:cs="Arial"/>
          <w:sz w:val="18"/>
          <w:szCs w:val="18"/>
        </w:rPr>
      </w:pPr>
      <w:r w:rsidRPr="009D35BE">
        <w:rPr>
          <w:rStyle w:val="Strong"/>
          <w:rFonts w:ascii="Arial" w:hAnsi="Arial" w:cs="Arial"/>
          <w:sz w:val="18"/>
          <w:szCs w:val="18"/>
        </w:rPr>
        <w:t>Source:</w:t>
      </w:r>
      <w:r w:rsidRPr="009D35BE">
        <w:rPr>
          <w:rFonts w:ascii="Arial" w:hAnsi="Arial" w:cs="Arial"/>
          <w:sz w:val="18"/>
          <w:szCs w:val="18"/>
        </w:rPr>
        <w:t xml:space="preserve"> Office for National Statistics (ONS) Census 2011.</w:t>
      </w:r>
    </w:p>
    <w:p w:rsidR="00A562FE" w:rsidRDefault="00A562FE" w:rsidP="00A562FE">
      <w:pPr>
        <w:tabs>
          <w:tab w:val="left" w:pos="900"/>
        </w:tabs>
        <w:rPr>
          <w:rFonts w:ascii="Arial" w:hAnsi="Arial" w:cs="Arial"/>
          <w:b/>
          <w:color w:val="FF0000"/>
        </w:rPr>
      </w:pPr>
    </w:p>
    <w:p w:rsidR="00A562FE" w:rsidRDefault="00A562FE" w:rsidP="00A562FE">
      <w:pPr>
        <w:tabs>
          <w:tab w:val="left" w:pos="900"/>
        </w:tabs>
        <w:rPr>
          <w:rFonts w:ascii="Arial" w:hAnsi="Arial" w:cs="Arial"/>
          <w:b/>
          <w:color w:val="FF0000"/>
        </w:rPr>
      </w:pPr>
    </w:p>
    <w:p w:rsidR="00A562FE" w:rsidRDefault="00A562FE" w:rsidP="00A562FE">
      <w:pPr>
        <w:tabs>
          <w:tab w:val="left" w:pos="900"/>
        </w:tabs>
        <w:rPr>
          <w:rFonts w:ascii="Arial" w:hAnsi="Arial" w:cs="Arial"/>
          <w:b/>
          <w:color w:val="FF0000"/>
        </w:rPr>
      </w:pPr>
    </w:p>
    <w:p w:rsidR="00A562FE" w:rsidRPr="002D6B56" w:rsidRDefault="00A562FE" w:rsidP="00A562FE">
      <w:pPr>
        <w:tabs>
          <w:tab w:val="left" w:pos="900"/>
        </w:tabs>
        <w:rPr>
          <w:rFonts w:ascii="Arial" w:hAnsi="Arial" w:cs="Arial"/>
          <w:b/>
          <w:color w:val="FF0000"/>
        </w:rPr>
      </w:pPr>
    </w:p>
    <w:p w:rsidR="00A562FE" w:rsidRDefault="00A562FE" w:rsidP="00A562FE">
      <w:pPr>
        <w:numPr>
          <w:ilvl w:val="1"/>
          <w:numId w:val="15"/>
        </w:numPr>
        <w:rPr>
          <w:rFonts w:ascii="Arial" w:hAnsi="Arial" w:cs="Arial"/>
          <w:b/>
          <w:color w:val="000000"/>
        </w:rPr>
      </w:pPr>
      <w:r w:rsidRPr="00E35598">
        <w:rPr>
          <w:rFonts w:ascii="Arial" w:hAnsi="Arial" w:cs="Arial"/>
          <w:b/>
          <w:color w:val="000000"/>
        </w:rPr>
        <w:t>Fuel poverty</w:t>
      </w:r>
      <w:r w:rsidRPr="00E35598">
        <w:rPr>
          <w:rFonts w:ascii="Arial" w:hAnsi="Arial" w:cs="Arial"/>
          <w:b/>
          <w:color w:val="000000"/>
        </w:rPr>
        <w:tab/>
      </w:r>
      <w:r>
        <w:rPr>
          <w:rFonts w:ascii="Arial" w:hAnsi="Arial" w:cs="Arial"/>
          <w:b/>
          <w:color w:val="000000"/>
        </w:rPr>
        <w:t>by lower super output area</w:t>
      </w:r>
    </w:p>
    <w:p w:rsidR="00A562FE" w:rsidRDefault="00A562FE" w:rsidP="00A562FE">
      <w:pPr>
        <w:ind w:left="360"/>
        <w:rPr>
          <w:rFonts w:ascii="Arial" w:hAnsi="Arial" w:cs="Arial"/>
          <w:b/>
          <w:color w:val="000000"/>
        </w:rPr>
      </w:pPr>
    </w:p>
    <w:p w:rsidR="00A562FE" w:rsidRPr="00E35598" w:rsidRDefault="00A562FE" w:rsidP="00A562FE">
      <w:pPr>
        <w:rPr>
          <w:rFonts w:ascii="Arial" w:hAnsi="Arial" w:cs="Arial"/>
          <w:b/>
        </w:rPr>
      </w:pPr>
      <w:r w:rsidRPr="00E35598">
        <w:rPr>
          <w:rFonts w:ascii="Arial" w:hAnsi="Arial" w:cs="Arial"/>
        </w:rPr>
        <w:t xml:space="preserve">A household is said to be in fuel poverty if it needs to spend more than 10% of its income on fuel to maintain a satisfactory heating regime. Three of Rochford’s 53 LSOAs are in the 10% most at risk of experiencing fuel poverty in Essex; these are the wards of Foulness and Great Wakering, Ashingdon and Canewdon and Barling and Sutton. </w:t>
      </w:r>
    </w:p>
    <w:p w:rsidR="00A562FE" w:rsidRDefault="00A562FE" w:rsidP="00A562FE">
      <w:pPr>
        <w:ind w:left="360"/>
        <w:rPr>
          <w:rFonts w:ascii="Arial" w:hAnsi="Arial" w:cs="Arial"/>
          <w:b/>
          <w:color w:val="000000"/>
        </w:rPr>
      </w:pPr>
    </w:p>
    <w:p w:rsidR="00A562FE" w:rsidRDefault="00A562FE" w:rsidP="00A562FE">
      <w:pPr>
        <w:ind w:left="360"/>
        <w:rPr>
          <w:rFonts w:ascii="Arial" w:hAnsi="Arial" w:cs="Arial"/>
          <w:b/>
          <w:color w:val="000000"/>
        </w:rPr>
      </w:pPr>
    </w:p>
    <w:p w:rsidR="00A562FE" w:rsidRDefault="00A562FE" w:rsidP="00A562FE">
      <w:pPr>
        <w:ind w:left="360"/>
        <w:rPr>
          <w:rFonts w:ascii="Arial" w:hAnsi="Arial" w:cs="Arial"/>
          <w:b/>
          <w:color w:val="000000"/>
        </w:rPr>
      </w:pPr>
      <w:r>
        <w:rPr>
          <w:noProof/>
        </w:rPr>
        <w:lastRenderedPageBreak/>
        <w:drawing>
          <wp:inline distT="0" distB="0" distL="0" distR="0">
            <wp:extent cx="6116320" cy="3924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3924935"/>
                    </a:xfrm>
                    <a:prstGeom prst="rect">
                      <a:avLst/>
                    </a:prstGeom>
                    <a:noFill/>
                    <a:ln>
                      <a:noFill/>
                    </a:ln>
                  </pic:spPr>
                </pic:pic>
              </a:graphicData>
            </a:graphic>
          </wp:inline>
        </w:drawing>
      </w:r>
    </w:p>
    <w:p w:rsidR="00A562FE" w:rsidRDefault="00A562FE" w:rsidP="00A562FE">
      <w:pPr>
        <w:ind w:left="360"/>
        <w:rPr>
          <w:rFonts w:ascii="Arial" w:hAnsi="Arial" w:cs="Arial"/>
          <w:b/>
          <w:color w:val="000000"/>
        </w:rPr>
      </w:pPr>
    </w:p>
    <w:p w:rsidR="00A562FE" w:rsidRPr="00E35598" w:rsidRDefault="00A562FE" w:rsidP="00A562FE">
      <w:pPr>
        <w:ind w:left="360"/>
        <w:rPr>
          <w:rFonts w:ascii="Arial" w:hAnsi="Arial" w:cs="Arial"/>
          <w:b/>
        </w:rPr>
      </w:pPr>
    </w:p>
    <w:p w:rsidR="00A562FE" w:rsidRPr="00DC3FC9" w:rsidRDefault="00A562FE" w:rsidP="00A562FE">
      <w:pPr>
        <w:rPr>
          <w:rFonts w:ascii="Arial" w:hAnsi="Arial" w:cs="Arial"/>
          <w:color w:val="000000"/>
        </w:rPr>
      </w:pPr>
    </w:p>
    <w:p w:rsidR="00A562FE" w:rsidRPr="00584194" w:rsidRDefault="00A562FE" w:rsidP="00A562FE">
      <w:pPr>
        <w:numPr>
          <w:ilvl w:val="1"/>
          <w:numId w:val="15"/>
        </w:numPr>
        <w:tabs>
          <w:tab w:val="left" w:pos="900"/>
        </w:tabs>
        <w:ind w:right="26"/>
        <w:rPr>
          <w:rFonts w:ascii="Arial" w:hAnsi="Arial" w:cs="Arial"/>
          <w:b/>
        </w:rPr>
      </w:pPr>
      <w:r w:rsidRPr="00584194">
        <w:rPr>
          <w:rFonts w:ascii="Arial" w:hAnsi="Arial" w:cs="Arial"/>
          <w:b/>
        </w:rPr>
        <w:t xml:space="preserve">Mental health </w:t>
      </w:r>
    </w:p>
    <w:p w:rsidR="00A562FE" w:rsidRDefault="00A562FE" w:rsidP="00A562FE">
      <w:pPr>
        <w:tabs>
          <w:tab w:val="left" w:pos="900"/>
        </w:tabs>
        <w:ind w:right="26"/>
        <w:rPr>
          <w:rFonts w:ascii="Arial" w:hAnsi="Arial" w:cs="Arial"/>
          <w:b/>
          <w:color w:val="FF0000"/>
        </w:rPr>
      </w:pPr>
    </w:p>
    <w:p w:rsidR="00A562FE" w:rsidRDefault="00A562FE" w:rsidP="00A562FE">
      <w:pPr>
        <w:autoSpaceDE w:val="0"/>
        <w:autoSpaceDN w:val="0"/>
        <w:adjustRightInd w:val="0"/>
        <w:ind w:left="720"/>
        <w:rPr>
          <w:rFonts w:ascii="Arial" w:hAnsi="Arial" w:cs="Arial"/>
          <w:bCs/>
          <w:color w:val="000000"/>
        </w:rPr>
      </w:pPr>
      <w:r>
        <w:rPr>
          <w:rFonts w:ascii="Arial" w:hAnsi="Arial" w:cs="Arial"/>
          <w:bCs/>
          <w:color w:val="000000"/>
        </w:rPr>
        <w:t>In the Castle Point &amp; Rochford Clinical Commissioning Group area 3.4% of people completing the GP patient survey report a long term mental health problem. The England average is 4.5%.</w:t>
      </w:r>
      <w:r>
        <w:rPr>
          <w:rStyle w:val="FootnoteReference"/>
          <w:rFonts w:ascii="Arial" w:hAnsi="Arial" w:cs="Arial"/>
          <w:bCs/>
          <w:color w:val="000000"/>
        </w:rPr>
        <w:footnoteReference w:id="4"/>
      </w:r>
    </w:p>
    <w:p w:rsidR="00A562FE" w:rsidRDefault="00A562FE" w:rsidP="00A562FE">
      <w:pPr>
        <w:autoSpaceDE w:val="0"/>
        <w:autoSpaceDN w:val="0"/>
        <w:adjustRightInd w:val="0"/>
        <w:ind w:left="720"/>
        <w:rPr>
          <w:rFonts w:ascii="Arial" w:hAnsi="Arial" w:cs="Arial"/>
          <w:bCs/>
          <w:color w:val="000000"/>
        </w:rPr>
      </w:pPr>
    </w:p>
    <w:p w:rsidR="00A562FE" w:rsidRDefault="00A562FE" w:rsidP="00A562FE">
      <w:pPr>
        <w:autoSpaceDE w:val="0"/>
        <w:autoSpaceDN w:val="0"/>
        <w:adjustRightInd w:val="0"/>
        <w:ind w:left="720"/>
        <w:rPr>
          <w:rFonts w:ascii="Arial" w:hAnsi="Arial" w:cs="Arial"/>
          <w:bCs/>
          <w:color w:val="000000"/>
        </w:rPr>
      </w:pPr>
      <w:r>
        <w:rPr>
          <w:rFonts w:ascii="Arial" w:hAnsi="Arial" w:cs="Arial"/>
          <w:bCs/>
          <w:color w:val="000000"/>
        </w:rPr>
        <w:t>The estimated incidence of psychosis per 100,000 people aged 16-64 is 15.9 in the District, with 19.9 being the East of England score.</w:t>
      </w:r>
      <w:r>
        <w:rPr>
          <w:rStyle w:val="FootnoteReference"/>
          <w:rFonts w:ascii="Arial" w:hAnsi="Arial" w:cs="Arial"/>
          <w:bCs/>
          <w:color w:val="000000"/>
        </w:rPr>
        <w:footnoteReference w:id="5"/>
      </w:r>
      <w:r>
        <w:rPr>
          <w:rFonts w:ascii="Arial" w:hAnsi="Arial" w:cs="Arial"/>
          <w:bCs/>
          <w:color w:val="000000"/>
        </w:rPr>
        <w:t xml:space="preserve"> </w:t>
      </w:r>
    </w:p>
    <w:p w:rsidR="00A562FE" w:rsidRDefault="00A562FE" w:rsidP="00A562FE">
      <w:pPr>
        <w:autoSpaceDE w:val="0"/>
        <w:autoSpaceDN w:val="0"/>
        <w:adjustRightInd w:val="0"/>
        <w:ind w:left="720"/>
        <w:rPr>
          <w:rFonts w:ascii="Arial" w:hAnsi="Arial" w:cs="Arial"/>
          <w:bCs/>
          <w:color w:val="000000"/>
        </w:rPr>
      </w:pPr>
    </w:p>
    <w:p w:rsidR="00A562FE" w:rsidRPr="00C97348" w:rsidRDefault="00A562FE" w:rsidP="00A562FE">
      <w:pPr>
        <w:autoSpaceDE w:val="0"/>
        <w:autoSpaceDN w:val="0"/>
        <w:adjustRightInd w:val="0"/>
        <w:ind w:left="720"/>
        <w:rPr>
          <w:rFonts w:ascii="Arial" w:hAnsi="Arial" w:cs="Arial"/>
          <w:bCs/>
          <w:color w:val="FF0000"/>
        </w:rPr>
      </w:pPr>
      <w:r>
        <w:rPr>
          <w:rFonts w:ascii="Arial" w:hAnsi="Arial" w:cs="Arial"/>
          <w:bCs/>
          <w:color w:val="000000"/>
        </w:rPr>
        <w:t>One of the main mental health charities in the area (South East &amp; Central Essex Mind) dealt with the following number of people in the Rochford District post code areas from January 2014 to January 2015.</w:t>
      </w:r>
    </w:p>
    <w:p w:rsidR="00A562FE" w:rsidRDefault="00A562FE" w:rsidP="00A562FE"/>
    <w:p w:rsidR="00A562FE" w:rsidRPr="00195B73" w:rsidRDefault="00A562FE" w:rsidP="00A562FE">
      <w:pPr>
        <w:ind w:left="720"/>
        <w:rPr>
          <w:rFonts w:ascii="Arial" w:hAnsi="Arial" w:cs="Arial"/>
        </w:rPr>
      </w:pPr>
      <w:r>
        <w:rPr>
          <w:rFonts w:ascii="Arial" w:hAnsi="Arial" w:cs="Arial"/>
        </w:rPr>
        <w:t>SS3</w:t>
      </w:r>
      <w:r>
        <w:rPr>
          <w:rFonts w:ascii="Arial" w:hAnsi="Arial" w:cs="Arial"/>
        </w:rPr>
        <w:tab/>
      </w:r>
      <w:r>
        <w:rPr>
          <w:rFonts w:ascii="Arial" w:hAnsi="Arial" w:cs="Arial"/>
        </w:rPr>
        <w:tab/>
      </w:r>
      <w:r w:rsidRPr="00195B73">
        <w:rPr>
          <w:rFonts w:ascii="Arial" w:hAnsi="Arial" w:cs="Arial"/>
        </w:rPr>
        <w:t>38</w:t>
      </w:r>
    </w:p>
    <w:p w:rsidR="00A562FE" w:rsidRPr="00195B73" w:rsidRDefault="00A562FE" w:rsidP="00A562FE">
      <w:pPr>
        <w:ind w:left="720"/>
        <w:rPr>
          <w:rFonts w:ascii="Arial" w:hAnsi="Arial" w:cs="Arial"/>
        </w:rPr>
      </w:pPr>
      <w:r>
        <w:rPr>
          <w:rFonts w:ascii="Arial" w:hAnsi="Arial" w:cs="Arial"/>
        </w:rPr>
        <w:t>SS4</w:t>
      </w:r>
      <w:r>
        <w:rPr>
          <w:rFonts w:ascii="Arial" w:hAnsi="Arial" w:cs="Arial"/>
        </w:rPr>
        <w:tab/>
      </w:r>
      <w:r>
        <w:rPr>
          <w:rFonts w:ascii="Arial" w:hAnsi="Arial" w:cs="Arial"/>
        </w:rPr>
        <w:tab/>
      </w:r>
      <w:r w:rsidRPr="00195B73">
        <w:rPr>
          <w:rFonts w:ascii="Arial" w:hAnsi="Arial" w:cs="Arial"/>
        </w:rPr>
        <w:t>19</w:t>
      </w:r>
    </w:p>
    <w:p w:rsidR="00A562FE" w:rsidRPr="00195B73" w:rsidRDefault="00A562FE" w:rsidP="00A562FE">
      <w:pPr>
        <w:ind w:left="720"/>
        <w:rPr>
          <w:rFonts w:ascii="Arial" w:hAnsi="Arial" w:cs="Arial"/>
        </w:rPr>
      </w:pPr>
      <w:r>
        <w:rPr>
          <w:rFonts w:ascii="Arial" w:hAnsi="Arial" w:cs="Arial"/>
        </w:rPr>
        <w:t>SS5</w:t>
      </w:r>
      <w:r>
        <w:rPr>
          <w:rFonts w:ascii="Arial" w:hAnsi="Arial" w:cs="Arial"/>
        </w:rPr>
        <w:tab/>
      </w:r>
      <w:r>
        <w:rPr>
          <w:rFonts w:ascii="Arial" w:hAnsi="Arial" w:cs="Arial"/>
        </w:rPr>
        <w:tab/>
      </w:r>
      <w:r w:rsidRPr="00195B73">
        <w:rPr>
          <w:rFonts w:ascii="Arial" w:hAnsi="Arial" w:cs="Arial"/>
        </w:rPr>
        <w:t>24</w:t>
      </w:r>
    </w:p>
    <w:p w:rsidR="00A562FE" w:rsidRPr="00195B73" w:rsidRDefault="00A562FE" w:rsidP="00A562FE">
      <w:pPr>
        <w:ind w:left="720"/>
        <w:rPr>
          <w:rFonts w:ascii="Arial" w:hAnsi="Arial" w:cs="Arial"/>
        </w:rPr>
      </w:pPr>
      <w:r>
        <w:rPr>
          <w:rFonts w:ascii="Arial" w:hAnsi="Arial" w:cs="Arial"/>
        </w:rPr>
        <w:t>SS6</w:t>
      </w:r>
      <w:r>
        <w:rPr>
          <w:rFonts w:ascii="Arial" w:hAnsi="Arial" w:cs="Arial"/>
        </w:rPr>
        <w:tab/>
      </w:r>
      <w:r>
        <w:rPr>
          <w:rFonts w:ascii="Arial" w:hAnsi="Arial" w:cs="Arial"/>
        </w:rPr>
        <w:tab/>
      </w:r>
      <w:r w:rsidRPr="00195B73">
        <w:rPr>
          <w:rFonts w:ascii="Arial" w:hAnsi="Arial" w:cs="Arial"/>
        </w:rPr>
        <w:t>7</w:t>
      </w:r>
    </w:p>
    <w:p w:rsidR="00A562FE" w:rsidRPr="00D50BBC" w:rsidRDefault="00A562FE" w:rsidP="00A562FE">
      <w:pPr>
        <w:ind w:left="720"/>
        <w:rPr>
          <w:b/>
        </w:rPr>
      </w:pPr>
      <w:r w:rsidRPr="00D50BBC">
        <w:rPr>
          <w:rFonts w:ascii="Arial" w:hAnsi="Arial" w:cs="Arial"/>
          <w:b/>
        </w:rPr>
        <w:t xml:space="preserve">Total </w:t>
      </w:r>
      <w:r w:rsidRPr="00D50BBC">
        <w:rPr>
          <w:rFonts w:ascii="Arial" w:hAnsi="Arial" w:cs="Arial"/>
          <w:b/>
        </w:rPr>
        <w:tab/>
      </w:r>
      <w:r w:rsidRPr="00D50BBC">
        <w:rPr>
          <w:rFonts w:ascii="Arial" w:hAnsi="Arial" w:cs="Arial"/>
          <w:b/>
        </w:rPr>
        <w:tab/>
        <w:t>88</w:t>
      </w:r>
    </w:p>
    <w:p w:rsidR="00A562FE" w:rsidRDefault="00A562FE" w:rsidP="00A562FE">
      <w:pPr>
        <w:autoSpaceDE w:val="0"/>
        <w:autoSpaceDN w:val="0"/>
        <w:adjustRightInd w:val="0"/>
        <w:ind w:left="720"/>
        <w:rPr>
          <w:rFonts w:ascii="Arial" w:hAnsi="Arial" w:cs="Arial"/>
          <w:bCs/>
          <w:color w:val="000000"/>
        </w:rPr>
      </w:pPr>
    </w:p>
    <w:p w:rsidR="00A562FE" w:rsidRDefault="00A562FE" w:rsidP="00A562FE">
      <w:pPr>
        <w:autoSpaceDE w:val="0"/>
        <w:autoSpaceDN w:val="0"/>
        <w:adjustRightInd w:val="0"/>
        <w:rPr>
          <w:rFonts w:ascii="Arial" w:hAnsi="Arial" w:cs="Arial"/>
          <w:bCs/>
          <w:color w:val="000000"/>
        </w:rPr>
      </w:pPr>
    </w:p>
    <w:p w:rsidR="00A562FE" w:rsidRDefault="00A562FE" w:rsidP="00A562FE">
      <w:pPr>
        <w:tabs>
          <w:tab w:val="left" w:pos="900"/>
        </w:tabs>
        <w:ind w:right="26"/>
        <w:rPr>
          <w:rFonts w:ascii="Arial" w:hAnsi="Arial" w:cs="Arial"/>
          <w:b/>
        </w:rPr>
      </w:pPr>
    </w:p>
    <w:p w:rsidR="00A562FE" w:rsidRDefault="00A562FE" w:rsidP="00A562FE">
      <w:pPr>
        <w:tabs>
          <w:tab w:val="left" w:pos="900"/>
        </w:tabs>
        <w:ind w:left="993" w:right="26" w:hanging="993"/>
        <w:rPr>
          <w:rFonts w:ascii="Arial" w:hAnsi="Arial" w:cs="Arial"/>
          <w:b/>
        </w:rPr>
      </w:pPr>
      <w:r>
        <w:rPr>
          <w:rFonts w:ascii="Arial" w:hAnsi="Arial" w:cs="Arial"/>
          <w:b/>
        </w:rPr>
        <w:lastRenderedPageBreak/>
        <w:t>4.</w:t>
      </w:r>
      <w:r>
        <w:rPr>
          <w:rFonts w:ascii="Arial" w:hAnsi="Arial" w:cs="Arial"/>
          <w:b/>
        </w:rPr>
        <w:tab/>
        <w:t>Consultation – Our approach</w:t>
      </w:r>
    </w:p>
    <w:p w:rsidR="00A562FE" w:rsidRDefault="00A562FE" w:rsidP="00A562FE">
      <w:pPr>
        <w:tabs>
          <w:tab w:val="left" w:pos="900"/>
        </w:tabs>
        <w:ind w:left="993" w:right="26" w:hanging="993"/>
        <w:rPr>
          <w:rFonts w:ascii="Arial" w:hAnsi="Arial" w:cs="Arial"/>
          <w:b/>
        </w:rPr>
      </w:pPr>
    </w:p>
    <w:p w:rsidR="00A562FE" w:rsidRDefault="00A562FE" w:rsidP="00A562FE">
      <w:pPr>
        <w:tabs>
          <w:tab w:val="left" w:pos="900"/>
        </w:tabs>
        <w:ind w:left="993" w:right="26" w:hanging="993"/>
        <w:rPr>
          <w:rFonts w:ascii="Arial" w:hAnsi="Arial" w:cs="Arial"/>
        </w:rPr>
      </w:pPr>
      <w:r>
        <w:rPr>
          <w:rFonts w:ascii="Arial" w:hAnsi="Arial" w:cs="Arial"/>
          <w:b/>
        </w:rPr>
        <w:tab/>
      </w:r>
      <w:r>
        <w:rPr>
          <w:rFonts w:ascii="Arial" w:hAnsi="Arial" w:cs="Arial"/>
        </w:rPr>
        <w:t>A public consultation was open between mid January  and early April which sought to gain an insight into how local residents access local advice services and their experiences of these services. The survey was made accessible in both online (facilitated by Essex CC) and hard copy. Relevant local community organisations and businesses were contacted to ensure their service users / customers were able to participate. The Council’s Have Your Say Group were also consulted. A partner / stakeholder consultation was also opened at the same time.</w:t>
      </w:r>
    </w:p>
    <w:p w:rsidR="00A562FE" w:rsidRDefault="00A562FE" w:rsidP="00A562FE">
      <w:pPr>
        <w:tabs>
          <w:tab w:val="left" w:pos="900"/>
        </w:tabs>
        <w:ind w:left="993" w:right="26" w:hanging="993"/>
        <w:rPr>
          <w:rFonts w:ascii="Arial" w:hAnsi="Arial" w:cs="Arial"/>
        </w:rPr>
      </w:pPr>
    </w:p>
    <w:p w:rsidR="00A562FE" w:rsidRDefault="00A562FE" w:rsidP="00A562FE">
      <w:pPr>
        <w:tabs>
          <w:tab w:val="left" w:pos="900"/>
        </w:tabs>
        <w:ind w:left="993" w:right="26" w:hanging="993"/>
        <w:rPr>
          <w:rFonts w:ascii="Arial" w:hAnsi="Arial" w:cs="Arial"/>
        </w:rPr>
      </w:pPr>
      <w:r>
        <w:rPr>
          <w:rFonts w:ascii="Arial" w:hAnsi="Arial" w:cs="Arial"/>
        </w:rPr>
        <w:tab/>
        <w:t xml:space="preserve">The key findings from the consultation are provided in the next section. </w:t>
      </w:r>
    </w:p>
    <w:p w:rsidR="00A562FE" w:rsidRDefault="00A562FE" w:rsidP="00A562FE">
      <w:pPr>
        <w:tabs>
          <w:tab w:val="left" w:pos="900"/>
        </w:tabs>
        <w:ind w:left="993" w:right="26" w:hanging="993"/>
        <w:rPr>
          <w:rFonts w:ascii="Arial" w:hAnsi="Arial" w:cs="Arial"/>
        </w:rPr>
      </w:pPr>
    </w:p>
    <w:p w:rsidR="00A562FE" w:rsidRPr="00397D91" w:rsidRDefault="00A562FE" w:rsidP="00A562FE">
      <w:pPr>
        <w:tabs>
          <w:tab w:val="left" w:pos="900"/>
        </w:tabs>
        <w:ind w:left="993" w:right="26" w:hanging="993"/>
        <w:rPr>
          <w:rFonts w:ascii="Arial" w:hAnsi="Arial" w:cs="Arial"/>
        </w:rPr>
      </w:pPr>
      <w:r>
        <w:rPr>
          <w:rFonts w:ascii="Arial" w:hAnsi="Arial" w:cs="Arial"/>
        </w:rPr>
        <w:tab/>
        <w:t>A stakeholder event was also held in early April to allow interested organisation to learn more about the process and to feed in any further comments. The event was attended by 7 local organisations.</w:t>
      </w:r>
      <w:r>
        <w:rPr>
          <w:rFonts w:ascii="Arial" w:hAnsi="Arial" w:cs="Arial"/>
        </w:rPr>
        <w:tab/>
        <w:t xml:space="preserve"> </w:t>
      </w:r>
    </w:p>
    <w:p w:rsidR="00A562FE" w:rsidRPr="00DC3FC9" w:rsidRDefault="00A562FE" w:rsidP="00A562FE">
      <w:pPr>
        <w:tabs>
          <w:tab w:val="left" w:pos="900"/>
        </w:tabs>
        <w:ind w:left="993" w:right="26" w:hanging="993"/>
        <w:rPr>
          <w:rFonts w:ascii="Arial" w:hAnsi="Arial" w:cs="Arial"/>
          <w:b/>
        </w:rPr>
      </w:pPr>
    </w:p>
    <w:p w:rsidR="00A562FE" w:rsidRDefault="00A562FE" w:rsidP="00A562FE">
      <w:pPr>
        <w:rPr>
          <w:rFonts w:ascii="Arial" w:hAnsi="Arial" w:cs="Arial"/>
          <w:b/>
        </w:rPr>
      </w:pPr>
      <w:r w:rsidRPr="00803B2A">
        <w:rPr>
          <w:rFonts w:ascii="Arial" w:hAnsi="Arial" w:cs="Arial"/>
          <w:b/>
        </w:rPr>
        <w:t>4.1</w:t>
      </w:r>
      <w:r w:rsidRPr="00803B2A">
        <w:rPr>
          <w:rFonts w:ascii="Arial" w:hAnsi="Arial" w:cs="Arial"/>
          <w:b/>
        </w:rPr>
        <w:tab/>
        <w:t>Key outcomes of consultation</w:t>
      </w:r>
    </w:p>
    <w:p w:rsidR="00A562FE" w:rsidRDefault="00A562FE" w:rsidP="00A562FE">
      <w:pPr>
        <w:rPr>
          <w:rFonts w:ascii="Arial" w:hAnsi="Arial" w:cs="Arial"/>
          <w:b/>
          <w:color w:val="FF0000"/>
        </w:rPr>
      </w:pPr>
      <w:r>
        <w:rPr>
          <w:rFonts w:ascii="Arial" w:hAnsi="Arial" w:cs="Arial"/>
          <w:b/>
        </w:rPr>
        <w:tab/>
      </w:r>
    </w:p>
    <w:p w:rsidR="00A562FE" w:rsidRDefault="00A562FE" w:rsidP="00A562FE">
      <w:pPr>
        <w:rPr>
          <w:rFonts w:ascii="Arial" w:hAnsi="Arial" w:cs="Arial"/>
          <w:b/>
        </w:rPr>
      </w:pPr>
      <w:r>
        <w:rPr>
          <w:rFonts w:ascii="Arial" w:hAnsi="Arial" w:cs="Arial"/>
          <w:b/>
          <w:color w:val="FF0000"/>
        </w:rPr>
        <w:tab/>
      </w:r>
      <w:r w:rsidRPr="00DD68FE">
        <w:rPr>
          <w:rFonts w:ascii="Arial" w:hAnsi="Arial" w:cs="Arial"/>
          <w:b/>
        </w:rPr>
        <w:t>Public consultation</w:t>
      </w:r>
      <w:r>
        <w:rPr>
          <w:rFonts w:ascii="Arial" w:hAnsi="Arial" w:cs="Arial"/>
        </w:rPr>
        <w:t xml:space="preserve"> – total number of responses </w:t>
      </w:r>
      <w:r w:rsidRPr="003A5B0C">
        <w:rPr>
          <w:rFonts w:ascii="Arial" w:hAnsi="Arial" w:cs="Arial"/>
        </w:rPr>
        <w:t xml:space="preserve">received </w:t>
      </w:r>
      <w:r>
        <w:rPr>
          <w:rFonts w:ascii="Arial" w:hAnsi="Arial" w:cs="Arial"/>
          <w:b/>
        </w:rPr>
        <w:t>247.</w:t>
      </w:r>
    </w:p>
    <w:p w:rsidR="00A562FE" w:rsidRDefault="00A562FE" w:rsidP="00A562FE">
      <w:pPr>
        <w:rPr>
          <w:rFonts w:ascii="Arial" w:hAnsi="Arial" w:cs="Arial"/>
          <w:b/>
        </w:rPr>
      </w:pPr>
    </w:p>
    <w:p w:rsidR="00A562FE" w:rsidRPr="00F64DDE" w:rsidRDefault="00A562FE" w:rsidP="00A562FE">
      <w:pPr>
        <w:ind w:left="720"/>
        <w:rPr>
          <w:rFonts w:ascii="Arial" w:hAnsi="Arial" w:cs="Arial"/>
          <w:color w:val="FF0000"/>
        </w:rPr>
      </w:pPr>
      <w:r>
        <w:rPr>
          <w:rFonts w:ascii="Arial" w:hAnsi="Arial" w:cs="Arial"/>
        </w:rPr>
        <w:t>Multiple</w:t>
      </w:r>
      <w:r w:rsidRPr="00F64DDE">
        <w:rPr>
          <w:rFonts w:ascii="Arial" w:hAnsi="Arial" w:cs="Arial"/>
        </w:rPr>
        <w:t xml:space="preserve"> response</w:t>
      </w:r>
      <w:r>
        <w:rPr>
          <w:rFonts w:ascii="Arial" w:hAnsi="Arial" w:cs="Arial"/>
        </w:rPr>
        <w:t>s were received from every ward</w:t>
      </w:r>
      <w:r w:rsidRPr="00F64DDE">
        <w:rPr>
          <w:rFonts w:ascii="Arial" w:hAnsi="Arial" w:cs="Arial"/>
        </w:rPr>
        <w:t xml:space="preserve">. The wards with the highest return </w:t>
      </w:r>
      <w:r>
        <w:rPr>
          <w:rFonts w:ascii="Arial" w:hAnsi="Arial" w:cs="Arial"/>
        </w:rPr>
        <w:t>were Rochford, Rayleigh Central and Ashingdon and Canewdon.</w:t>
      </w:r>
    </w:p>
    <w:p w:rsidR="00A562FE" w:rsidRDefault="00A562FE" w:rsidP="00A562FE">
      <w:pPr>
        <w:rPr>
          <w:rFonts w:ascii="Arial" w:hAnsi="Arial" w:cs="Arial"/>
          <w:color w:val="FF0000"/>
        </w:rPr>
      </w:pPr>
      <w:r>
        <w:rPr>
          <w:rFonts w:ascii="Arial" w:hAnsi="Arial" w:cs="Arial"/>
          <w:color w:val="FF0000"/>
        </w:rPr>
        <w:tab/>
      </w:r>
    </w:p>
    <w:p w:rsidR="00A562FE" w:rsidRDefault="00A562FE" w:rsidP="00A562FE">
      <w:pPr>
        <w:rPr>
          <w:rFonts w:ascii="Arial" w:hAnsi="Arial" w:cs="Arial"/>
        </w:rPr>
      </w:pPr>
      <w:r>
        <w:rPr>
          <w:rFonts w:ascii="Arial" w:hAnsi="Arial" w:cs="Arial"/>
          <w:color w:val="FF0000"/>
        </w:rPr>
        <w:tab/>
      </w:r>
      <w:r w:rsidRPr="00DD68FE">
        <w:rPr>
          <w:rFonts w:ascii="Arial" w:hAnsi="Arial" w:cs="Arial"/>
        </w:rPr>
        <w:t xml:space="preserve">Top </w:t>
      </w:r>
      <w:r>
        <w:rPr>
          <w:rFonts w:ascii="Arial" w:hAnsi="Arial" w:cs="Arial"/>
        </w:rPr>
        <w:t>5 issues that residents sought advice on in the last 12 months were:</w:t>
      </w:r>
    </w:p>
    <w:p w:rsidR="00A562FE" w:rsidRDefault="00A562FE" w:rsidP="00A562FE">
      <w:pPr>
        <w:rPr>
          <w:rFonts w:ascii="Arial" w:hAnsi="Arial" w:cs="Arial"/>
        </w:rPr>
      </w:pPr>
      <w:r>
        <w:rPr>
          <w:rFonts w:ascii="Arial" w:hAnsi="Arial" w:cs="Arial"/>
        </w:rPr>
        <w:tab/>
      </w:r>
      <w:r>
        <w:rPr>
          <w:rFonts w:ascii="Arial" w:hAnsi="Arial" w:cs="Arial"/>
        </w:rPr>
        <w:tab/>
        <w:t>1. Welfare benefits</w:t>
      </w:r>
    </w:p>
    <w:p w:rsidR="00A562FE" w:rsidRDefault="00A562FE" w:rsidP="00A562FE">
      <w:pPr>
        <w:rPr>
          <w:rFonts w:ascii="Arial" w:hAnsi="Arial" w:cs="Arial"/>
        </w:rPr>
      </w:pPr>
      <w:r>
        <w:rPr>
          <w:rFonts w:ascii="Arial" w:hAnsi="Arial" w:cs="Arial"/>
        </w:rPr>
        <w:tab/>
      </w:r>
      <w:r>
        <w:rPr>
          <w:rFonts w:ascii="Arial" w:hAnsi="Arial" w:cs="Arial"/>
        </w:rPr>
        <w:tab/>
        <w:t>2. Debt advice and budgeting</w:t>
      </w:r>
    </w:p>
    <w:p w:rsidR="00A562FE" w:rsidRDefault="00A562FE" w:rsidP="00A562FE">
      <w:pPr>
        <w:rPr>
          <w:rFonts w:ascii="Arial" w:hAnsi="Arial" w:cs="Arial"/>
        </w:rPr>
      </w:pPr>
      <w:r>
        <w:rPr>
          <w:rFonts w:ascii="Arial" w:hAnsi="Arial" w:cs="Arial"/>
        </w:rPr>
        <w:tab/>
      </w:r>
      <w:r>
        <w:rPr>
          <w:rFonts w:ascii="Arial" w:hAnsi="Arial" w:cs="Arial"/>
        </w:rPr>
        <w:tab/>
        <w:t>3. Employment</w:t>
      </w:r>
    </w:p>
    <w:p w:rsidR="00A562FE" w:rsidRDefault="00A562FE" w:rsidP="00A562FE">
      <w:pPr>
        <w:rPr>
          <w:rFonts w:ascii="Arial" w:hAnsi="Arial" w:cs="Arial"/>
        </w:rPr>
      </w:pPr>
      <w:r>
        <w:rPr>
          <w:rFonts w:ascii="Arial" w:hAnsi="Arial" w:cs="Arial"/>
        </w:rPr>
        <w:tab/>
      </w:r>
      <w:r>
        <w:rPr>
          <w:rFonts w:ascii="Arial" w:hAnsi="Arial" w:cs="Arial"/>
        </w:rPr>
        <w:tab/>
        <w:t>4. Family and personal matters</w:t>
      </w:r>
    </w:p>
    <w:p w:rsidR="00A562FE" w:rsidRDefault="00A562FE" w:rsidP="00A562FE">
      <w:pPr>
        <w:rPr>
          <w:rFonts w:ascii="Arial" w:hAnsi="Arial" w:cs="Arial"/>
        </w:rPr>
      </w:pPr>
      <w:r>
        <w:rPr>
          <w:rFonts w:ascii="Arial" w:hAnsi="Arial" w:cs="Arial"/>
        </w:rPr>
        <w:tab/>
      </w:r>
      <w:r>
        <w:rPr>
          <w:rFonts w:ascii="Arial" w:hAnsi="Arial" w:cs="Arial"/>
        </w:rPr>
        <w:tab/>
        <w:t xml:space="preserve">5. Housing and homelessness </w:t>
      </w:r>
    </w:p>
    <w:p w:rsidR="00A562FE" w:rsidRDefault="00A562FE" w:rsidP="00A562FE">
      <w:pPr>
        <w:rPr>
          <w:rFonts w:ascii="Arial" w:hAnsi="Arial" w:cs="Arial"/>
        </w:rPr>
      </w:pPr>
    </w:p>
    <w:p w:rsidR="00A562FE" w:rsidRDefault="00A562FE" w:rsidP="00A562FE">
      <w:pPr>
        <w:ind w:left="720"/>
        <w:rPr>
          <w:rFonts w:ascii="Arial" w:hAnsi="Arial" w:cs="Arial"/>
        </w:rPr>
      </w:pPr>
      <w:r>
        <w:rPr>
          <w:rFonts w:ascii="Arial" w:hAnsi="Arial" w:cs="Arial"/>
        </w:rPr>
        <w:t>Of those who recently sought advice most did this face to face 77.7%, 11.8% used the internet, 4.2% used the telephone and 1.4% used email. 4.9% did not respond.</w:t>
      </w:r>
    </w:p>
    <w:p w:rsidR="00A562FE" w:rsidRDefault="00A562FE" w:rsidP="00A562FE">
      <w:pPr>
        <w:ind w:left="720"/>
        <w:rPr>
          <w:rFonts w:ascii="Arial" w:hAnsi="Arial" w:cs="Arial"/>
        </w:rPr>
      </w:pPr>
    </w:p>
    <w:p w:rsidR="00A562FE" w:rsidRDefault="00A562FE" w:rsidP="00A562FE">
      <w:pPr>
        <w:ind w:left="720"/>
        <w:rPr>
          <w:rFonts w:ascii="Arial" w:hAnsi="Arial" w:cs="Arial"/>
        </w:rPr>
      </w:pPr>
      <w:r>
        <w:rPr>
          <w:rFonts w:ascii="Arial" w:hAnsi="Arial" w:cs="Arial"/>
        </w:rPr>
        <w:t>Most of the respondents’ preference for seeking advice is through face to face, followed by telephone, internet then email</w:t>
      </w:r>
    </w:p>
    <w:p w:rsidR="00A562FE" w:rsidRDefault="00A562FE" w:rsidP="00A562FE">
      <w:pPr>
        <w:ind w:left="720"/>
        <w:rPr>
          <w:rFonts w:ascii="Arial" w:hAnsi="Arial" w:cs="Arial"/>
        </w:rPr>
      </w:pPr>
    </w:p>
    <w:p w:rsidR="00A562FE" w:rsidRDefault="00A562FE" w:rsidP="00A562FE">
      <w:pPr>
        <w:ind w:left="720"/>
        <w:rPr>
          <w:rFonts w:ascii="Arial" w:hAnsi="Arial" w:cs="Arial"/>
        </w:rPr>
      </w:pPr>
      <w:r>
        <w:rPr>
          <w:rFonts w:ascii="Arial" w:hAnsi="Arial" w:cs="Arial"/>
        </w:rPr>
        <w:t>The majority of respondents felt that the advice they had received over the last few months had been to an excellent or very good standard. Similarly the majority of respondents felt access to advice services has been very easy or easy.</w:t>
      </w:r>
    </w:p>
    <w:p w:rsidR="00A562FE" w:rsidRDefault="00A562FE" w:rsidP="00A562FE">
      <w:pPr>
        <w:ind w:left="720"/>
        <w:rPr>
          <w:rFonts w:ascii="Arial" w:hAnsi="Arial" w:cs="Arial"/>
        </w:rPr>
      </w:pPr>
    </w:p>
    <w:p w:rsidR="00A562FE" w:rsidRDefault="00A562FE" w:rsidP="00A562FE">
      <w:pPr>
        <w:ind w:left="720"/>
        <w:rPr>
          <w:rFonts w:ascii="Arial" w:hAnsi="Arial" w:cs="Arial"/>
        </w:rPr>
      </w:pPr>
      <w:r>
        <w:rPr>
          <w:rFonts w:ascii="Arial" w:hAnsi="Arial" w:cs="Arial"/>
        </w:rPr>
        <w:t>When asked what aspects should be provided in a future advice service there was a clear preference for the following:</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Walk in service open during working week</w:t>
      </w:r>
      <w:r>
        <w:rPr>
          <w:rStyle w:val="normal1"/>
          <w:rFonts w:ascii="Arial" w:hAnsi="Arial" w:cs="Arial"/>
        </w:rPr>
        <w:t xml:space="preserve"> (137</w:t>
      </w:r>
      <w:r w:rsidRPr="00623703">
        <w:rPr>
          <w:rStyle w:val="normal1"/>
          <w:rFonts w:ascii="Arial" w:hAnsi="Arial" w:cs="Arial"/>
        </w:rPr>
        <w:t xml:space="preserve"> responses)</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A website that is easy to use with information that is easy to find</w:t>
      </w:r>
      <w:r>
        <w:rPr>
          <w:rStyle w:val="normal1"/>
          <w:rFonts w:ascii="Arial" w:hAnsi="Arial" w:cs="Arial"/>
        </w:rPr>
        <w:t xml:space="preserve"> (113</w:t>
      </w:r>
      <w:r w:rsidRPr="00623703">
        <w:rPr>
          <w:rStyle w:val="normal1"/>
          <w:rFonts w:ascii="Arial" w:hAnsi="Arial" w:cs="Arial"/>
        </w:rPr>
        <w:t xml:space="preserve"> responses)</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Telephone access during working week</w:t>
      </w:r>
      <w:r>
        <w:rPr>
          <w:rStyle w:val="normal1"/>
          <w:rFonts w:ascii="Arial" w:hAnsi="Arial" w:cs="Arial"/>
        </w:rPr>
        <w:t xml:space="preserve"> (101</w:t>
      </w:r>
      <w:r w:rsidRPr="00623703">
        <w:rPr>
          <w:rStyle w:val="normal1"/>
          <w:rFonts w:ascii="Arial" w:hAnsi="Arial" w:cs="Arial"/>
        </w:rPr>
        <w:t xml:space="preserve"> responses)</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An advice service located in Rayleigh</w:t>
      </w:r>
      <w:r>
        <w:rPr>
          <w:rStyle w:val="normal1"/>
          <w:rFonts w:ascii="Arial" w:hAnsi="Arial" w:cs="Arial"/>
        </w:rPr>
        <w:t xml:space="preserve"> (95</w:t>
      </w:r>
      <w:r w:rsidRPr="00623703">
        <w:rPr>
          <w:rStyle w:val="normal1"/>
          <w:rFonts w:ascii="Arial" w:hAnsi="Arial" w:cs="Arial"/>
        </w:rPr>
        <w:t xml:space="preserve"> responses)</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An advice service located in Rochford</w:t>
      </w:r>
      <w:r>
        <w:rPr>
          <w:rStyle w:val="normal1"/>
          <w:rFonts w:ascii="Arial" w:hAnsi="Arial" w:cs="Arial"/>
        </w:rPr>
        <w:t xml:space="preserve"> (90</w:t>
      </w:r>
      <w:r w:rsidRPr="00623703">
        <w:rPr>
          <w:rStyle w:val="normal1"/>
          <w:rFonts w:ascii="Arial" w:hAnsi="Arial" w:cs="Arial"/>
        </w:rPr>
        <w:t xml:space="preserve"> responses)</w:t>
      </w:r>
    </w:p>
    <w:p w:rsidR="00A562FE" w:rsidRPr="00623703" w:rsidRDefault="00A562FE" w:rsidP="00A562FE">
      <w:pPr>
        <w:numPr>
          <w:ilvl w:val="0"/>
          <w:numId w:val="17"/>
        </w:numPr>
        <w:rPr>
          <w:rStyle w:val="normal1"/>
          <w:rFonts w:ascii="Arial" w:hAnsi="Arial" w:cs="Arial"/>
          <w:color w:val="auto"/>
        </w:rPr>
      </w:pPr>
      <w:r w:rsidRPr="00623703">
        <w:rPr>
          <w:rStyle w:val="normal1"/>
          <w:rFonts w:ascii="Arial" w:hAnsi="Arial" w:cs="Arial"/>
        </w:rPr>
        <w:t>An Appointment System</w:t>
      </w:r>
      <w:r>
        <w:rPr>
          <w:rStyle w:val="normal1"/>
          <w:rFonts w:ascii="Arial" w:hAnsi="Arial" w:cs="Arial"/>
        </w:rPr>
        <w:t xml:space="preserve"> (73</w:t>
      </w:r>
      <w:r w:rsidRPr="00623703">
        <w:rPr>
          <w:rStyle w:val="normal1"/>
          <w:rFonts w:ascii="Arial" w:hAnsi="Arial" w:cs="Arial"/>
        </w:rPr>
        <w:t xml:space="preserve"> responses)</w:t>
      </w:r>
    </w:p>
    <w:p w:rsidR="00A562FE" w:rsidRDefault="00A562FE" w:rsidP="00A562FE">
      <w:pPr>
        <w:rPr>
          <w:rStyle w:val="normal1"/>
          <w:rFonts w:ascii="Arial" w:hAnsi="Arial" w:cs="Arial"/>
          <w:color w:val="auto"/>
        </w:rPr>
      </w:pPr>
    </w:p>
    <w:p w:rsidR="00A562FE" w:rsidRDefault="00A562FE" w:rsidP="00A562FE">
      <w:pPr>
        <w:ind w:left="720"/>
        <w:rPr>
          <w:rStyle w:val="normal1"/>
          <w:rFonts w:ascii="Arial" w:hAnsi="Arial" w:cs="Arial"/>
          <w:color w:val="auto"/>
        </w:rPr>
      </w:pPr>
      <w:r>
        <w:rPr>
          <w:rStyle w:val="normal1"/>
          <w:rFonts w:ascii="Arial" w:hAnsi="Arial" w:cs="Arial"/>
          <w:color w:val="auto"/>
        </w:rPr>
        <w:t>An preference for having an outreach service was given for the following locations: Ashingdon, Hullbridge, Canewdon.</w:t>
      </w:r>
    </w:p>
    <w:p w:rsidR="00A562FE" w:rsidRDefault="00A562FE" w:rsidP="00A562FE">
      <w:pPr>
        <w:ind w:left="720"/>
        <w:rPr>
          <w:rStyle w:val="normal1"/>
          <w:rFonts w:ascii="Arial" w:hAnsi="Arial" w:cs="Arial"/>
          <w:color w:val="auto"/>
        </w:rPr>
      </w:pPr>
    </w:p>
    <w:p w:rsidR="00A562FE" w:rsidRDefault="00A562FE" w:rsidP="00A562FE">
      <w:pPr>
        <w:ind w:left="720"/>
        <w:rPr>
          <w:rStyle w:val="normal1"/>
          <w:rFonts w:ascii="Arial" w:hAnsi="Arial" w:cs="Arial"/>
          <w:color w:val="auto"/>
        </w:rPr>
      </w:pPr>
      <w:r>
        <w:rPr>
          <w:rStyle w:val="normal1"/>
          <w:rFonts w:ascii="Arial" w:hAnsi="Arial" w:cs="Arial"/>
          <w:color w:val="auto"/>
        </w:rPr>
        <w:lastRenderedPageBreak/>
        <w:t>Respondents preferred method for seeking future advice was in person followed by the internet, then telephone and email.</w:t>
      </w:r>
    </w:p>
    <w:p w:rsidR="00A562FE" w:rsidRDefault="00A562FE" w:rsidP="00A562FE">
      <w:pPr>
        <w:ind w:left="720"/>
        <w:rPr>
          <w:rStyle w:val="normal1"/>
          <w:rFonts w:ascii="Arial" w:hAnsi="Arial" w:cs="Arial"/>
          <w:color w:val="auto"/>
        </w:rPr>
      </w:pPr>
    </w:p>
    <w:p w:rsidR="00A562FE" w:rsidRDefault="00A562FE" w:rsidP="00A562FE">
      <w:pPr>
        <w:ind w:left="720"/>
        <w:rPr>
          <w:rStyle w:val="normal1"/>
          <w:rFonts w:ascii="Arial" w:hAnsi="Arial" w:cs="Arial"/>
          <w:color w:val="auto"/>
        </w:rPr>
      </w:pPr>
      <w:r>
        <w:rPr>
          <w:rStyle w:val="normal1"/>
          <w:rFonts w:ascii="Arial" w:hAnsi="Arial" w:cs="Arial"/>
          <w:color w:val="auto"/>
        </w:rPr>
        <w:t>In the general comments section there was recognition of the value of the current advice service being provided. Comments were also made on:</w:t>
      </w:r>
    </w:p>
    <w:p w:rsidR="00A562FE" w:rsidRDefault="00A562FE" w:rsidP="00A562FE">
      <w:pPr>
        <w:numPr>
          <w:ilvl w:val="0"/>
          <w:numId w:val="18"/>
        </w:numPr>
        <w:rPr>
          <w:rStyle w:val="normal1"/>
          <w:rFonts w:ascii="Arial" w:hAnsi="Arial" w:cs="Arial"/>
          <w:color w:val="auto"/>
        </w:rPr>
      </w:pPr>
      <w:r>
        <w:rPr>
          <w:rStyle w:val="normal1"/>
          <w:rFonts w:ascii="Arial" w:hAnsi="Arial" w:cs="Arial"/>
          <w:color w:val="auto"/>
        </w:rPr>
        <w:t>The need for future providers to be trustworthy and have a good reputation</w:t>
      </w:r>
    </w:p>
    <w:p w:rsidR="00A562FE" w:rsidRDefault="00A562FE" w:rsidP="00A562FE">
      <w:pPr>
        <w:numPr>
          <w:ilvl w:val="0"/>
          <w:numId w:val="18"/>
        </w:numPr>
        <w:rPr>
          <w:rStyle w:val="normal1"/>
          <w:rFonts w:ascii="Arial" w:hAnsi="Arial" w:cs="Arial"/>
          <w:color w:val="auto"/>
        </w:rPr>
      </w:pPr>
      <w:r>
        <w:rPr>
          <w:rStyle w:val="normal1"/>
          <w:rFonts w:ascii="Arial" w:hAnsi="Arial" w:cs="Arial"/>
          <w:color w:val="auto"/>
        </w:rPr>
        <w:t>The importance of offering a variety of methods for seeking advice in an area as diverse as the Rochford District</w:t>
      </w:r>
    </w:p>
    <w:p w:rsidR="00A562FE" w:rsidRPr="00CA1E17" w:rsidRDefault="00A562FE" w:rsidP="00A562FE">
      <w:pPr>
        <w:numPr>
          <w:ilvl w:val="0"/>
          <w:numId w:val="18"/>
        </w:numPr>
        <w:rPr>
          <w:rStyle w:val="normal1"/>
          <w:rFonts w:ascii="Arial" w:hAnsi="Arial" w:cs="Arial"/>
          <w:color w:val="auto"/>
        </w:rPr>
      </w:pPr>
      <w:r>
        <w:rPr>
          <w:rStyle w:val="normal1"/>
          <w:rFonts w:ascii="Arial" w:hAnsi="Arial" w:cs="Arial"/>
          <w:color w:val="auto"/>
        </w:rPr>
        <w:t xml:space="preserve">Face to face should always be offered, particularly for complicated problems </w:t>
      </w:r>
    </w:p>
    <w:p w:rsidR="00A562FE" w:rsidRDefault="00A562FE" w:rsidP="00A562FE">
      <w:pPr>
        <w:numPr>
          <w:ilvl w:val="0"/>
          <w:numId w:val="18"/>
        </w:numPr>
        <w:rPr>
          <w:rStyle w:val="normal1"/>
          <w:rFonts w:ascii="Arial" w:hAnsi="Arial" w:cs="Arial"/>
          <w:color w:val="auto"/>
        </w:rPr>
      </w:pPr>
      <w:r>
        <w:rPr>
          <w:rStyle w:val="normal1"/>
          <w:rFonts w:ascii="Arial" w:hAnsi="Arial" w:cs="Arial"/>
          <w:color w:val="auto"/>
        </w:rPr>
        <w:t xml:space="preserve">The nature of the advice being sought should dictate what method of advice is pursued </w:t>
      </w:r>
    </w:p>
    <w:p w:rsidR="00A562FE" w:rsidRDefault="00A562FE" w:rsidP="00A562FE">
      <w:pPr>
        <w:numPr>
          <w:ilvl w:val="0"/>
          <w:numId w:val="18"/>
        </w:numPr>
        <w:rPr>
          <w:rStyle w:val="normal1"/>
          <w:rFonts w:ascii="Arial" w:hAnsi="Arial" w:cs="Arial"/>
          <w:color w:val="auto"/>
        </w:rPr>
      </w:pPr>
      <w:r>
        <w:rPr>
          <w:rStyle w:val="normal1"/>
          <w:rFonts w:ascii="Arial" w:hAnsi="Arial" w:cs="Arial"/>
          <w:color w:val="auto"/>
        </w:rPr>
        <w:t>Advice services need to be promoted better.</w:t>
      </w:r>
    </w:p>
    <w:p w:rsidR="00A562FE" w:rsidRDefault="00A562FE" w:rsidP="00A562FE">
      <w:pPr>
        <w:rPr>
          <w:rStyle w:val="normal1"/>
          <w:rFonts w:ascii="Arial" w:hAnsi="Arial" w:cs="Arial"/>
          <w:color w:val="auto"/>
        </w:rPr>
      </w:pPr>
    </w:p>
    <w:p w:rsidR="00A562FE" w:rsidRPr="00616413" w:rsidRDefault="00A562FE" w:rsidP="00A562FE">
      <w:pPr>
        <w:ind w:left="720"/>
        <w:rPr>
          <w:rFonts w:ascii="Arial" w:hAnsi="Arial" w:cs="Arial"/>
        </w:rPr>
      </w:pPr>
      <w:r>
        <w:rPr>
          <w:rFonts w:ascii="Arial" w:hAnsi="Arial" w:cs="Arial"/>
          <w:b/>
        </w:rPr>
        <w:t>Stakeholder</w:t>
      </w:r>
      <w:r w:rsidRPr="00DD68FE">
        <w:rPr>
          <w:rFonts w:ascii="Arial" w:hAnsi="Arial" w:cs="Arial"/>
          <w:b/>
        </w:rPr>
        <w:t xml:space="preserve"> consultation</w:t>
      </w:r>
      <w:r>
        <w:rPr>
          <w:rFonts w:ascii="Arial" w:hAnsi="Arial" w:cs="Arial"/>
        </w:rPr>
        <w:t xml:space="preserve"> – total number of responses received </w:t>
      </w:r>
      <w:r>
        <w:rPr>
          <w:rFonts w:ascii="Arial" w:hAnsi="Arial" w:cs="Arial"/>
          <w:b/>
        </w:rPr>
        <w:t>6</w:t>
      </w:r>
      <w:r w:rsidRPr="003A5B0C">
        <w:rPr>
          <w:rFonts w:ascii="Arial" w:hAnsi="Arial" w:cs="Arial"/>
          <w:b/>
        </w:rPr>
        <w:t>.</w:t>
      </w:r>
      <w:r>
        <w:rPr>
          <w:rFonts w:ascii="Arial" w:hAnsi="Arial" w:cs="Arial"/>
          <w:b/>
        </w:rPr>
        <w:t xml:space="preserve"> </w:t>
      </w:r>
      <w:r>
        <w:rPr>
          <w:rFonts w:ascii="Arial" w:hAnsi="Arial" w:cs="Arial"/>
        </w:rPr>
        <w:t>A summary of responses is provided below.</w:t>
      </w:r>
    </w:p>
    <w:p w:rsidR="00A562FE" w:rsidRDefault="00A562FE" w:rsidP="00A562FE">
      <w:pPr>
        <w:ind w:left="72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17"/>
        <w:gridCol w:w="1406"/>
        <w:gridCol w:w="1250"/>
        <w:gridCol w:w="1239"/>
        <w:gridCol w:w="1339"/>
      </w:tblGrid>
      <w:tr w:rsidR="00A562FE" w:rsidRPr="00462974" w:rsidTr="00BD7048">
        <w:trPr>
          <w:tblHeader/>
        </w:trPr>
        <w:tc>
          <w:tcPr>
            <w:tcW w:w="1550" w:type="dxa"/>
            <w:tcBorders>
              <w:bottom w:val="single" w:sz="4" w:space="0" w:color="auto"/>
            </w:tcBorders>
            <w:shd w:val="clear" w:color="auto" w:fill="808080"/>
          </w:tcPr>
          <w:p w:rsidR="00A562FE" w:rsidRPr="00462974" w:rsidRDefault="00A562FE" w:rsidP="00BD7048">
            <w:pPr>
              <w:rPr>
                <w:rStyle w:val="normal1"/>
                <w:rFonts w:ascii="Arial" w:hAnsi="Arial" w:cs="Arial"/>
                <w:color w:val="auto"/>
                <w:sz w:val="20"/>
                <w:szCs w:val="20"/>
              </w:rPr>
            </w:pPr>
          </w:p>
        </w:tc>
        <w:tc>
          <w:tcPr>
            <w:tcW w:w="1317"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Family Mosaic</w:t>
            </w:r>
          </w:p>
        </w:tc>
        <w:tc>
          <w:tcPr>
            <w:tcW w:w="1406"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SE Essex Advocacy for Older People</w:t>
            </w:r>
          </w:p>
        </w:tc>
        <w:tc>
          <w:tcPr>
            <w:tcW w:w="12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Essex Libraries</w:t>
            </w:r>
          </w:p>
        </w:tc>
        <w:tc>
          <w:tcPr>
            <w:tcW w:w="1239"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DIAL</w:t>
            </w:r>
          </w:p>
        </w:tc>
        <w:tc>
          <w:tcPr>
            <w:tcW w:w="1339"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Community Church Rochford</w:t>
            </w:r>
          </w:p>
        </w:tc>
      </w:tr>
      <w:tr w:rsidR="00A562FE" w:rsidRPr="00462974" w:rsidTr="00BD7048">
        <w:tc>
          <w:tcPr>
            <w:tcW w:w="15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 xml:space="preserve">Q1. What advice services should be provided? e.g. </w:t>
            </w:r>
            <w:r w:rsidRPr="00462974">
              <w:rPr>
                <w:rFonts w:ascii="Arial" w:hAnsi="Arial" w:cs="Arial"/>
                <w:sz w:val="20"/>
                <w:szCs w:val="20"/>
              </w:rPr>
              <w:t>Council Tax, general debt advice and budgeting welfare benefits, employment, housing and homelessness, family and personal matters, taxes, disability, immigration and nationality, health, education, discrimination</w:t>
            </w:r>
            <w:r w:rsidRPr="00462974">
              <w:rPr>
                <w:rStyle w:val="normal1"/>
                <w:rFonts w:ascii="Arial" w:hAnsi="Arial" w:cs="Arial"/>
                <w:color w:val="auto"/>
                <w:sz w:val="20"/>
                <w:szCs w:val="20"/>
              </w:rPr>
              <w:t xml:space="preserve"> </w:t>
            </w:r>
          </w:p>
        </w:tc>
        <w:tc>
          <w:tcPr>
            <w:tcW w:w="1317"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Agree with examples provided. cut in legal aid there is a need for specialised legal support, similar to what the Advice 360 project offers.</w:t>
            </w:r>
          </w:p>
        </w:tc>
        <w:tc>
          <w:tcPr>
            <w:tcW w:w="1406"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Offer to extend their service to Rochford District.</w:t>
            </w:r>
          </w:p>
          <w:p w:rsidR="00A562FE" w:rsidRPr="00462974" w:rsidRDefault="00A562FE" w:rsidP="00BD7048">
            <w:pPr>
              <w:rPr>
                <w:rStyle w:val="normal1"/>
                <w:rFonts w:ascii="Arial" w:hAnsi="Arial" w:cs="Arial"/>
                <w:color w:val="auto"/>
                <w:sz w:val="20"/>
                <w:szCs w:val="20"/>
              </w:rPr>
            </w:pPr>
          </w:p>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Service includes: debt and finance, housing, residential care, welfare benefits, appeals service.</w:t>
            </w:r>
          </w:p>
        </w:tc>
        <w:tc>
          <w:tcPr>
            <w:tcW w:w="1250"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Agree with examples provided. Should be available to all residents.</w:t>
            </w:r>
          </w:p>
        </w:tc>
        <w:tc>
          <w:tcPr>
            <w:tcW w:w="12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Agree with examples provided. Possibly information on local social activities.</w:t>
            </w:r>
          </w:p>
        </w:tc>
        <w:tc>
          <w:tcPr>
            <w:tcW w:w="13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Agree with examples provided.</w:t>
            </w:r>
          </w:p>
        </w:tc>
      </w:tr>
      <w:tr w:rsidR="00A562FE" w:rsidRPr="00462974" w:rsidTr="00BD7048">
        <w:tc>
          <w:tcPr>
            <w:tcW w:w="15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Q2. Where should services be offered</w:t>
            </w:r>
          </w:p>
        </w:tc>
        <w:tc>
          <w:tcPr>
            <w:tcW w:w="1317"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Rayleigh and Rochford</w:t>
            </w:r>
          </w:p>
        </w:tc>
        <w:tc>
          <w:tcPr>
            <w:tcW w:w="1406"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 focus should be on the over 60 year olds.</w:t>
            </w:r>
          </w:p>
        </w:tc>
        <w:tc>
          <w:tcPr>
            <w:tcW w:w="1250"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 xml:space="preserve">Use of libraries, council offices and community centres should be considered. </w:t>
            </w:r>
          </w:p>
        </w:tc>
        <w:tc>
          <w:tcPr>
            <w:tcW w:w="12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Throughout the District. Outreach in rural areas. In towns the service needs to be delivered from fully accessible locations. Utilising libraries where possible</w:t>
            </w:r>
          </w:p>
        </w:tc>
        <w:tc>
          <w:tcPr>
            <w:tcW w:w="13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In each town in District using multiple outlets in each town.</w:t>
            </w:r>
          </w:p>
        </w:tc>
      </w:tr>
      <w:tr w:rsidR="00A562FE" w:rsidRPr="00462974" w:rsidTr="00BD7048">
        <w:tc>
          <w:tcPr>
            <w:tcW w:w="15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 xml:space="preserve">Q3. How should services be </w:t>
            </w:r>
            <w:r w:rsidRPr="00462974">
              <w:rPr>
                <w:rStyle w:val="normal1"/>
                <w:rFonts w:ascii="Arial" w:hAnsi="Arial" w:cs="Arial"/>
                <w:color w:val="auto"/>
                <w:sz w:val="20"/>
                <w:szCs w:val="20"/>
              </w:rPr>
              <w:lastRenderedPageBreak/>
              <w:t>provided?</w:t>
            </w:r>
          </w:p>
        </w:tc>
        <w:tc>
          <w:tcPr>
            <w:tcW w:w="1317"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lastRenderedPageBreak/>
              <w:t xml:space="preserve">Face to face / webchat </w:t>
            </w:r>
          </w:p>
        </w:tc>
        <w:tc>
          <w:tcPr>
            <w:tcW w:w="1406"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 xml:space="preserve">One to one, phone and email, form </w:t>
            </w:r>
            <w:r w:rsidRPr="00462974">
              <w:rPr>
                <w:rStyle w:val="normal1"/>
                <w:rFonts w:ascii="Arial" w:hAnsi="Arial" w:cs="Arial"/>
                <w:color w:val="auto"/>
                <w:sz w:val="20"/>
                <w:szCs w:val="20"/>
              </w:rPr>
              <w:lastRenderedPageBreak/>
              <w:t>filling service.</w:t>
            </w:r>
          </w:p>
        </w:tc>
        <w:tc>
          <w:tcPr>
            <w:tcW w:w="1250"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lastRenderedPageBreak/>
              <w:t xml:space="preserve">Face to face, phone, </w:t>
            </w:r>
            <w:r w:rsidRPr="00462974">
              <w:rPr>
                <w:rStyle w:val="normal1"/>
                <w:rFonts w:ascii="Arial" w:hAnsi="Arial" w:cs="Arial"/>
                <w:color w:val="auto"/>
                <w:sz w:val="20"/>
                <w:szCs w:val="20"/>
              </w:rPr>
              <w:lastRenderedPageBreak/>
              <w:t xml:space="preserve">website, email, post, webchat </w:t>
            </w:r>
          </w:p>
        </w:tc>
        <w:tc>
          <w:tcPr>
            <w:tcW w:w="12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lastRenderedPageBreak/>
              <w:t xml:space="preserve">Face to face, phone, </w:t>
            </w:r>
            <w:r w:rsidRPr="00462974">
              <w:rPr>
                <w:rStyle w:val="normal1"/>
                <w:rFonts w:ascii="Arial" w:hAnsi="Arial" w:cs="Arial"/>
                <w:color w:val="auto"/>
                <w:sz w:val="20"/>
                <w:szCs w:val="20"/>
              </w:rPr>
              <w:lastRenderedPageBreak/>
              <w:t xml:space="preserve">website, email, post webchat, text for hearing impaired and language line for non-English speakers. </w:t>
            </w:r>
          </w:p>
        </w:tc>
        <w:tc>
          <w:tcPr>
            <w:tcW w:w="13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lastRenderedPageBreak/>
              <w:t xml:space="preserve">Face to face, phone, website, </w:t>
            </w:r>
            <w:r w:rsidRPr="00462974">
              <w:rPr>
                <w:rStyle w:val="normal1"/>
                <w:rFonts w:ascii="Arial" w:hAnsi="Arial" w:cs="Arial"/>
                <w:color w:val="auto"/>
                <w:sz w:val="20"/>
                <w:szCs w:val="20"/>
              </w:rPr>
              <w:lastRenderedPageBreak/>
              <w:t>email, post webchat.</w:t>
            </w:r>
          </w:p>
        </w:tc>
      </w:tr>
      <w:tr w:rsidR="00A562FE" w:rsidRPr="00462974" w:rsidTr="00BD7048">
        <w:tc>
          <w:tcPr>
            <w:tcW w:w="15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lastRenderedPageBreak/>
              <w:t>Q4. When should services be provided?</w:t>
            </w:r>
          </w:p>
        </w:tc>
        <w:tc>
          <w:tcPr>
            <w:tcW w:w="1317"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By appointment and drop in. Weekend opening would be good.</w:t>
            </w:r>
          </w:p>
        </w:tc>
        <w:tc>
          <w:tcPr>
            <w:tcW w:w="1406"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Implications of advice that should be provided under the Care Act needs consideration</w:t>
            </w:r>
          </w:p>
        </w:tc>
        <w:tc>
          <w:tcPr>
            <w:tcW w:w="1250"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Email, webchat and website 24/7. Face to face and phone every day during working hours. If library used to deliver, this service could be offered on Saturday’s too.</w:t>
            </w:r>
          </w:p>
        </w:tc>
        <w:tc>
          <w:tcPr>
            <w:tcW w:w="12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Monday – Friday. Perhaps one evening per week and some Saturday mornings.</w:t>
            </w:r>
          </w:p>
        </w:tc>
        <w:tc>
          <w:tcPr>
            <w:tcW w:w="13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As much flexibility as possible should be included. Appointment should be available where extended coverage cannot be provided.</w:t>
            </w:r>
          </w:p>
        </w:tc>
      </w:tr>
      <w:tr w:rsidR="00A562FE" w:rsidRPr="00462974" w:rsidTr="00BD7048">
        <w:tc>
          <w:tcPr>
            <w:tcW w:w="1550" w:type="dxa"/>
            <w:shd w:val="clear" w:color="auto" w:fill="D9D9D9"/>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Q5 Any other comments</w:t>
            </w:r>
          </w:p>
        </w:tc>
        <w:tc>
          <w:tcPr>
            <w:tcW w:w="1317"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No</w:t>
            </w:r>
          </w:p>
        </w:tc>
        <w:tc>
          <w:tcPr>
            <w:tcW w:w="1406"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 xml:space="preserve">Further description of service offered </w:t>
            </w:r>
          </w:p>
        </w:tc>
        <w:tc>
          <w:tcPr>
            <w:tcW w:w="1250"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No</w:t>
            </w:r>
          </w:p>
        </w:tc>
        <w:tc>
          <w:tcPr>
            <w:tcW w:w="12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Needs to be a multi-agency approach to achieve best value and best outcomes.</w:t>
            </w:r>
          </w:p>
        </w:tc>
        <w:tc>
          <w:tcPr>
            <w:tcW w:w="1339" w:type="dxa"/>
            <w:shd w:val="clear" w:color="auto" w:fill="auto"/>
          </w:tcPr>
          <w:p w:rsidR="00A562FE" w:rsidRPr="00462974" w:rsidRDefault="00A562FE" w:rsidP="00BD7048">
            <w:pPr>
              <w:rPr>
                <w:rStyle w:val="normal1"/>
                <w:rFonts w:ascii="Arial" w:hAnsi="Arial" w:cs="Arial"/>
                <w:color w:val="auto"/>
                <w:sz w:val="20"/>
                <w:szCs w:val="20"/>
              </w:rPr>
            </w:pPr>
            <w:r w:rsidRPr="00462974">
              <w:rPr>
                <w:rStyle w:val="normal1"/>
                <w:rFonts w:ascii="Arial" w:hAnsi="Arial" w:cs="Arial"/>
                <w:color w:val="auto"/>
                <w:sz w:val="20"/>
                <w:szCs w:val="20"/>
              </w:rPr>
              <w:t>This organisation provides advice services with limited take up. Would welcome an integrated approach.</w:t>
            </w:r>
          </w:p>
        </w:tc>
      </w:tr>
    </w:tbl>
    <w:p w:rsidR="00A562FE" w:rsidRDefault="00A562FE" w:rsidP="00A562FE">
      <w:pPr>
        <w:rPr>
          <w:rFonts w:ascii="Arial" w:hAnsi="Arial" w:cs="Arial"/>
          <w:b/>
        </w:rPr>
      </w:pPr>
    </w:p>
    <w:p w:rsidR="00A562FE" w:rsidRDefault="00A562FE" w:rsidP="00A562FE">
      <w:pPr>
        <w:rPr>
          <w:rFonts w:ascii="Arial" w:hAnsi="Arial" w:cs="Arial"/>
          <w:b/>
        </w:rPr>
      </w:pPr>
    </w:p>
    <w:p w:rsidR="00A562FE" w:rsidRDefault="00A562FE" w:rsidP="00A562FE">
      <w:pPr>
        <w:rPr>
          <w:rFonts w:ascii="Arial" w:hAnsi="Arial" w:cs="Arial"/>
        </w:rPr>
      </w:pPr>
      <w:r>
        <w:rPr>
          <w:rFonts w:ascii="Arial" w:hAnsi="Arial" w:cs="Arial"/>
        </w:rPr>
        <w:t>Rochford and Rayleigh CAB gave a comprehensive response to the survey. See below:</w:t>
      </w:r>
    </w:p>
    <w:p w:rsidR="00A562FE" w:rsidRDefault="00A562FE" w:rsidP="00A562FE">
      <w:pPr>
        <w:rPr>
          <w:rFonts w:ascii="Arial" w:hAnsi="Arial" w:cs="Arial"/>
        </w:rPr>
      </w:pPr>
    </w:p>
    <w:p w:rsidR="00A562FE" w:rsidRPr="00F63BB0" w:rsidRDefault="00A562FE" w:rsidP="00A562FE">
      <w:pPr>
        <w:pStyle w:val="Single"/>
        <w:rPr>
          <w:rFonts w:cs="Arial"/>
          <w:noProof/>
          <w:sz w:val="20"/>
        </w:rPr>
      </w:pPr>
      <w:r w:rsidRPr="00F63BB0">
        <w:rPr>
          <w:rFonts w:cs="Arial"/>
          <w:b/>
          <w:sz w:val="20"/>
        </w:rPr>
        <w:t xml:space="preserve">Q1. </w:t>
      </w:r>
      <w:r w:rsidRPr="00F63BB0">
        <w:rPr>
          <w:rFonts w:cs="Arial"/>
          <w:sz w:val="20"/>
        </w:rPr>
        <w:t xml:space="preserve">Rochford &amp; Rayleigh Citizens Advice Bureau deals with issues on all the areas stated above demonstrating the need for the full range of areas to be covered.  </w:t>
      </w:r>
      <w:r w:rsidRPr="00F63BB0">
        <w:rPr>
          <w:rFonts w:cs="Arial"/>
          <w:noProof/>
          <w:sz w:val="20"/>
        </w:rPr>
        <w:t xml:space="preserve">Problems are interrelated - eg relationship breakdown is seldom the sole problem.  Relationship breakdown causes issues relating to a client's housing, employment, debt, benefits etc.  A  holistic service deals with all the issues, not just the presenting issue in isolation.  Dealing with the one issue would not solve the underlying problems.  In addition, the provision of advice on discrimination issues is vital. Through research undertaken by Citizens Advice, (Stand up for Equality 2012-15) there is a need to develop advice services in areas where equality and greatest need intersect, where people's rights are most at threat and where they have least access and face barriers to advice.  </w:t>
      </w:r>
    </w:p>
    <w:p w:rsidR="00A562FE" w:rsidRPr="00F63BB0" w:rsidRDefault="00A562FE" w:rsidP="00A562FE">
      <w:pPr>
        <w:pStyle w:val="Single"/>
        <w:rPr>
          <w:rFonts w:cs="Arial"/>
          <w:noProof/>
          <w:sz w:val="20"/>
        </w:rPr>
      </w:pPr>
    </w:p>
    <w:p w:rsidR="00A562FE" w:rsidRPr="00F63BB0" w:rsidRDefault="00A562FE" w:rsidP="00A562FE">
      <w:pPr>
        <w:pStyle w:val="Single"/>
        <w:rPr>
          <w:rFonts w:cs="Arial"/>
          <w:noProof/>
          <w:sz w:val="20"/>
        </w:rPr>
      </w:pPr>
      <w:r w:rsidRPr="00F63BB0">
        <w:rPr>
          <w:rFonts w:cs="Arial"/>
          <w:noProof/>
          <w:sz w:val="20"/>
        </w:rPr>
        <w:t xml:space="preserve">1st April 2013 - 31st March 2014 we helped 2568 clients with 7101 issues.  The issues generated 9963 contacts i.e. work we have done on behalf of our clients.  The top five subject areas we dealt with during </w:t>
      </w:r>
      <w:r w:rsidRPr="00F63BB0">
        <w:rPr>
          <w:rFonts w:cs="Arial"/>
          <w:noProof/>
          <w:sz w:val="20"/>
        </w:rPr>
        <w:lastRenderedPageBreak/>
        <w:t>this period were benefits and tax credits, debt, employment, housing and relationship and family issues.  These make up 83% of our enquiries.  Being able to identlfy and help with other issues that have a bearing on the main subject areas is essential and need to be tackled in a co-ordinated way.   We are finding that problems are becoming more complex as different pressures come to bear, which means that an integrated, holistic approach to advice is important.  The need for full advice appointments lasting approx 1 hour after an initial assessment is increasing.  Client satisfaction is continually monitored to ensure we meet the needs of clients.</w:t>
      </w:r>
    </w:p>
    <w:p w:rsidR="00A562FE" w:rsidRPr="00F63BB0" w:rsidRDefault="00A562FE" w:rsidP="00A562FE">
      <w:pPr>
        <w:pStyle w:val="Single"/>
        <w:rPr>
          <w:rFonts w:cs="Arial"/>
          <w:noProof/>
          <w:sz w:val="20"/>
        </w:rPr>
      </w:pPr>
    </w:p>
    <w:p w:rsidR="00A562FE" w:rsidRPr="00F63BB0" w:rsidRDefault="00A562FE" w:rsidP="00A562FE">
      <w:pPr>
        <w:pStyle w:val="Single"/>
        <w:rPr>
          <w:rFonts w:cs="Arial"/>
          <w:noProof/>
          <w:sz w:val="20"/>
        </w:rPr>
      </w:pPr>
      <w:r w:rsidRPr="00F63BB0">
        <w:rPr>
          <w:rFonts w:cs="Arial"/>
          <w:noProof/>
          <w:sz w:val="20"/>
        </w:rPr>
        <w:t>Access to County wide initiatives are available locally through working in partnership with other bureaux in Essex eg Home visits by bureau volunteers/staff for completion of complex benefit forms through Essex County Council Financial Assessors and Benefit Advisers, collection points at both offices for Essential Living Fund Allpay cards.  Access to national initiatives such as Pension Wise guidance is also important for the benefit of residents.</w:t>
      </w:r>
    </w:p>
    <w:p w:rsidR="00A562FE" w:rsidRPr="00F63BB0" w:rsidRDefault="00A562FE" w:rsidP="00A562FE">
      <w:pPr>
        <w:pStyle w:val="Single"/>
        <w:rPr>
          <w:rFonts w:cs="Arial"/>
          <w:noProof/>
          <w:sz w:val="20"/>
        </w:rPr>
      </w:pPr>
    </w:p>
    <w:p w:rsidR="00A562FE" w:rsidRPr="00F63BB0" w:rsidRDefault="00A562FE" w:rsidP="00A562FE">
      <w:pPr>
        <w:pStyle w:val="Single"/>
        <w:rPr>
          <w:rFonts w:cs="Arial"/>
          <w:noProof/>
          <w:sz w:val="20"/>
        </w:rPr>
      </w:pPr>
      <w:r w:rsidRPr="00F63BB0">
        <w:rPr>
          <w:rFonts w:cs="Arial"/>
          <w:noProof/>
          <w:sz w:val="20"/>
        </w:rPr>
        <w:t xml:space="preserve">This will become ever more important as welfare reforms continue plus the possibility of further interest rate increases put pressure on already stretched household budgets.  </w:t>
      </w:r>
    </w:p>
    <w:p w:rsidR="00A562FE" w:rsidRPr="00F63BB0" w:rsidRDefault="00A562FE" w:rsidP="00A562FE">
      <w:pPr>
        <w:pStyle w:val="Single"/>
        <w:rPr>
          <w:rFonts w:cs="Arial"/>
          <w:noProof/>
          <w:sz w:val="20"/>
        </w:rPr>
      </w:pPr>
    </w:p>
    <w:p w:rsidR="00A562FE" w:rsidRPr="00F63BB0" w:rsidRDefault="00A562FE" w:rsidP="00A562FE">
      <w:pPr>
        <w:pStyle w:val="Single"/>
        <w:rPr>
          <w:rFonts w:cs="Arial"/>
          <w:noProof/>
          <w:sz w:val="20"/>
        </w:rPr>
      </w:pPr>
      <w:r w:rsidRPr="00F63BB0">
        <w:rPr>
          <w:rFonts w:cs="Arial"/>
          <w:noProof/>
          <w:sz w:val="20"/>
        </w:rPr>
        <w:t xml:space="preserve">First hand information of how policies and practices affect client's lives is used as evidence (anonymously) to campaign for change.  Hence one person's contact with the bureau can affect many more people's lives for good.  Research into issues affecting the local community contributes to the local authority's plans.  This primary evidence enables a quick response to local advice needs.  </w:t>
      </w:r>
    </w:p>
    <w:p w:rsidR="00A562FE" w:rsidRPr="00F63BB0" w:rsidRDefault="00A562FE" w:rsidP="00A562FE">
      <w:pPr>
        <w:pStyle w:val="Single"/>
        <w:rPr>
          <w:rFonts w:cs="Arial"/>
          <w:noProof/>
          <w:sz w:val="20"/>
        </w:rPr>
      </w:pPr>
    </w:p>
    <w:p w:rsidR="00A562FE" w:rsidRDefault="00A562FE" w:rsidP="00A562FE">
      <w:pPr>
        <w:rPr>
          <w:rFonts w:ascii="Arial" w:hAnsi="Arial" w:cs="Arial"/>
          <w:noProof/>
          <w:sz w:val="20"/>
          <w:szCs w:val="20"/>
        </w:rPr>
      </w:pPr>
      <w:r w:rsidRPr="00F63BB0">
        <w:rPr>
          <w:rFonts w:ascii="Arial" w:hAnsi="Arial" w:cs="Arial"/>
          <w:noProof/>
          <w:sz w:val="20"/>
          <w:szCs w:val="20"/>
        </w:rPr>
        <w:t>Advice given must be quality assured so residents can be confident in the advice they receive.</w:t>
      </w:r>
    </w:p>
    <w:p w:rsidR="00A562FE" w:rsidRDefault="00A562FE" w:rsidP="00A562FE">
      <w:pPr>
        <w:rPr>
          <w:rFonts w:ascii="Arial" w:hAnsi="Arial" w:cs="Arial"/>
          <w:noProof/>
          <w:sz w:val="20"/>
          <w:szCs w:val="20"/>
        </w:rPr>
      </w:pPr>
    </w:p>
    <w:p w:rsidR="00A562FE" w:rsidRPr="00F63BB0" w:rsidRDefault="00A562FE" w:rsidP="00A562FE">
      <w:pPr>
        <w:pStyle w:val="Single"/>
        <w:rPr>
          <w:rFonts w:cs="Arial"/>
          <w:noProof/>
          <w:sz w:val="20"/>
        </w:rPr>
      </w:pPr>
      <w:r w:rsidRPr="00F63BB0">
        <w:rPr>
          <w:rFonts w:cs="Arial"/>
          <w:b/>
          <w:noProof/>
          <w:sz w:val="20"/>
        </w:rPr>
        <w:t>Q2</w:t>
      </w:r>
      <w:r>
        <w:rPr>
          <w:rFonts w:cs="Arial"/>
          <w:b/>
          <w:noProof/>
          <w:sz w:val="20"/>
        </w:rPr>
        <w:t>.</w:t>
      </w:r>
      <w:r w:rsidRPr="00F63BB0">
        <w:rPr>
          <w:rFonts w:cs="Arial"/>
          <w:b/>
          <w:noProof/>
          <w:sz w:val="20"/>
        </w:rPr>
        <w:t xml:space="preserve"> </w:t>
      </w:r>
      <w:r w:rsidRPr="00F63BB0">
        <w:rPr>
          <w:rFonts w:cs="Arial"/>
          <w:sz w:val="20"/>
        </w:rPr>
        <w:t xml:space="preserve">Existing </w:t>
      </w:r>
      <w:r w:rsidRPr="00F63BB0">
        <w:rPr>
          <w:rFonts w:cs="Arial"/>
          <w:noProof/>
          <w:sz w:val="20"/>
        </w:rPr>
        <w:t>clients who indicated their address in the first six months of 2014-15 were from the following areas:</w:t>
      </w:r>
    </w:p>
    <w:p w:rsidR="00A562FE" w:rsidRPr="00F63BB0" w:rsidRDefault="00A562FE" w:rsidP="00A562FE">
      <w:pPr>
        <w:pStyle w:val="Single"/>
        <w:rPr>
          <w:rFonts w:cs="Arial"/>
          <w:noProof/>
          <w:sz w:val="20"/>
        </w:rPr>
      </w:pPr>
      <w:r w:rsidRPr="00F63BB0">
        <w:rPr>
          <w:rFonts w:cs="Arial"/>
          <w:noProof/>
          <w:sz w:val="20"/>
        </w:rPr>
        <w:t>Rayleigh</w:t>
      </w:r>
      <w:r w:rsidRPr="00F63BB0">
        <w:rPr>
          <w:rFonts w:cs="Arial"/>
          <w:noProof/>
          <w:sz w:val="20"/>
        </w:rPr>
        <w:tab/>
        <w:t>40% (highest population in the District)</w:t>
      </w:r>
    </w:p>
    <w:p w:rsidR="00A562FE" w:rsidRPr="00F63BB0" w:rsidRDefault="00A562FE" w:rsidP="00A562FE">
      <w:pPr>
        <w:pStyle w:val="Single"/>
        <w:rPr>
          <w:rFonts w:cs="Arial"/>
          <w:noProof/>
          <w:sz w:val="20"/>
        </w:rPr>
      </w:pPr>
      <w:r w:rsidRPr="00F63BB0">
        <w:rPr>
          <w:rFonts w:cs="Arial"/>
          <w:noProof/>
          <w:sz w:val="20"/>
        </w:rPr>
        <w:t>Hawkwell</w:t>
      </w:r>
      <w:r w:rsidRPr="00F63BB0">
        <w:rPr>
          <w:rFonts w:cs="Arial"/>
          <w:noProof/>
          <w:sz w:val="20"/>
        </w:rPr>
        <w:tab/>
        <w:t>15%</w:t>
      </w:r>
    </w:p>
    <w:p w:rsidR="00A562FE" w:rsidRPr="00F63BB0" w:rsidRDefault="00A562FE" w:rsidP="00A562FE">
      <w:pPr>
        <w:pStyle w:val="Single"/>
        <w:rPr>
          <w:rFonts w:cs="Arial"/>
          <w:noProof/>
          <w:sz w:val="20"/>
        </w:rPr>
      </w:pPr>
      <w:r w:rsidRPr="00F63BB0">
        <w:rPr>
          <w:rFonts w:cs="Arial"/>
          <w:noProof/>
          <w:sz w:val="20"/>
        </w:rPr>
        <w:t>Hockley</w:t>
      </w:r>
      <w:r>
        <w:rPr>
          <w:rFonts w:cs="Arial"/>
          <w:noProof/>
          <w:sz w:val="20"/>
        </w:rPr>
        <w:tab/>
      </w:r>
      <w:r w:rsidRPr="00F63BB0">
        <w:rPr>
          <w:rFonts w:cs="Arial"/>
          <w:noProof/>
          <w:sz w:val="20"/>
        </w:rPr>
        <w:tab/>
        <w:t>8%</w:t>
      </w:r>
    </w:p>
    <w:p w:rsidR="00A562FE" w:rsidRPr="00F63BB0" w:rsidRDefault="00A562FE" w:rsidP="00A562FE">
      <w:pPr>
        <w:pStyle w:val="Single"/>
        <w:rPr>
          <w:rFonts w:cs="Arial"/>
          <w:noProof/>
          <w:sz w:val="20"/>
        </w:rPr>
      </w:pPr>
      <w:r w:rsidRPr="00F63BB0">
        <w:rPr>
          <w:rFonts w:cs="Arial"/>
          <w:noProof/>
          <w:sz w:val="20"/>
        </w:rPr>
        <w:t>Hullbridge</w:t>
      </w:r>
      <w:r w:rsidRPr="00F63BB0">
        <w:rPr>
          <w:rFonts w:cs="Arial"/>
          <w:noProof/>
          <w:sz w:val="20"/>
        </w:rPr>
        <w:tab/>
        <w:t>7%</w:t>
      </w:r>
    </w:p>
    <w:p w:rsidR="00A562FE" w:rsidRPr="00F63BB0" w:rsidRDefault="00A562FE" w:rsidP="00A562FE">
      <w:pPr>
        <w:pStyle w:val="Single"/>
        <w:rPr>
          <w:rFonts w:cs="Arial"/>
          <w:noProof/>
          <w:sz w:val="20"/>
        </w:rPr>
      </w:pPr>
      <w:r w:rsidRPr="00F63BB0">
        <w:rPr>
          <w:rFonts w:cs="Arial"/>
          <w:noProof/>
          <w:sz w:val="20"/>
        </w:rPr>
        <w:t>Rochford</w:t>
      </w:r>
      <w:r w:rsidRPr="00F63BB0">
        <w:rPr>
          <w:rFonts w:cs="Arial"/>
          <w:noProof/>
          <w:sz w:val="20"/>
        </w:rPr>
        <w:tab/>
        <w:t>23% (areas of deprivation)</w:t>
      </w:r>
    </w:p>
    <w:p w:rsidR="00A562FE" w:rsidRPr="00F63BB0" w:rsidRDefault="00A562FE" w:rsidP="00A562FE">
      <w:pPr>
        <w:pStyle w:val="Single"/>
        <w:rPr>
          <w:rFonts w:cs="Arial"/>
          <w:noProof/>
          <w:sz w:val="20"/>
        </w:rPr>
      </w:pPr>
      <w:r w:rsidRPr="00F63BB0">
        <w:rPr>
          <w:rFonts w:cs="Arial"/>
          <w:noProof/>
          <w:sz w:val="20"/>
        </w:rPr>
        <w:t>Great Wakering 5%</w:t>
      </w:r>
    </w:p>
    <w:p w:rsidR="00A562FE" w:rsidRPr="00F63BB0" w:rsidRDefault="00A562FE" w:rsidP="00A562FE">
      <w:pPr>
        <w:pStyle w:val="Single"/>
        <w:rPr>
          <w:rFonts w:cs="Arial"/>
          <w:noProof/>
          <w:sz w:val="20"/>
        </w:rPr>
      </w:pPr>
    </w:p>
    <w:p w:rsidR="00A562FE" w:rsidRPr="00F63BB0" w:rsidRDefault="00A562FE" w:rsidP="00A562FE">
      <w:pPr>
        <w:pStyle w:val="Single"/>
        <w:rPr>
          <w:rFonts w:cs="Arial"/>
          <w:noProof/>
          <w:sz w:val="20"/>
        </w:rPr>
      </w:pPr>
      <w:r w:rsidRPr="00F63BB0">
        <w:rPr>
          <w:rFonts w:cs="Arial"/>
          <w:noProof/>
          <w:sz w:val="20"/>
        </w:rPr>
        <w:t>The geography of the area is such that the two main centres in the District - Rochford and  Rayleigh have good or reasonable transport links.  The Local Authority have their offices in these two locations so having access to face to face advice in the same areas supports the local authority.  The primary area of deprivation in the district is in Rochford.  Approx 1 in 8 households from this ward used the services of the bureau in 2013/14.</w:t>
      </w:r>
    </w:p>
    <w:p w:rsidR="00A562FE" w:rsidRPr="00F63BB0" w:rsidRDefault="00A562FE" w:rsidP="00A562FE">
      <w:pPr>
        <w:pStyle w:val="Single"/>
        <w:rPr>
          <w:rFonts w:cs="Arial"/>
          <w:noProof/>
          <w:sz w:val="20"/>
        </w:rPr>
      </w:pPr>
    </w:p>
    <w:p w:rsidR="00A562FE" w:rsidRDefault="00A562FE" w:rsidP="00A562FE">
      <w:pPr>
        <w:rPr>
          <w:rFonts w:ascii="Arial" w:hAnsi="Arial" w:cs="Arial"/>
          <w:noProof/>
          <w:sz w:val="20"/>
          <w:szCs w:val="20"/>
        </w:rPr>
      </w:pPr>
      <w:r w:rsidRPr="00F63BB0">
        <w:rPr>
          <w:rFonts w:ascii="Arial" w:hAnsi="Arial" w:cs="Arial"/>
          <w:noProof/>
          <w:sz w:val="20"/>
          <w:szCs w:val="20"/>
        </w:rPr>
        <w:t>Outreaches have been and are being trialled as part of a larger project.  From the evidence gathered to date, residents are willing to travel to the main centres in Rochford and Rayleigh to access face to face advice or use other means to access advice such as telephone or the internet. Our biannual client satisfaction surveys have regularly demonstrated such willingness.</w:t>
      </w:r>
    </w:p>
    <w:p w:rsidR="00A562FE" w:rsidRDefault="00A562FE" w:rsidP="00A562FE">
      <w:pPr>
        <w:rPr>
          <w:rFonts w:ascii="Arial" w:hAnsi="Arial" w:cs="Arial"/>
          <w:noProof/>
          <w:sz w:val="20"/>
          <w:szCs w:val="20"/>
        </w:rPr>
      </w:pPr>
    </w:p>
    <w:p w:rsidR="00A562FE" w:rsidRPr="00F63BB0" w:rsidRDefault="00A562FE" w:rsidP="00A562FE">
      <w:pPr>
        <w:pStyle w:val="Single"/>
        <w:rPr>
          <w:rFonts w:cs="Arial"/>
          <w:noProof/>
          <w:sz w:val="20"/>
        </w:rPr>
      </w:pPr>
      <w:r w:rsidRPr="00F63BB0">
        <w:rPr>
          <w:rFonts w:cs="Arial"/>
          <w:b/>
          <w:noProof/>
          <w:sz w:val="20"/>
        </w:rPr>
        <w:t xml:space="preserve">Q3. </w:t>
      </w:r>
      <w:r w:rsidRPr="00F63BB0">
        <w:rPr>
          <w:rFonts w:cs="Arial"/>
          <w:noProof/>
          <w:sz w:val="20"/>
        </w:rPr>
        <w:t xml:space="preserve">Citizens Advice carried out research in Autumn 2014 into what people wanted from our advice service.  This was research carried out amongst those who had accessed the service and those who had not used the bureau before.  42% said they wanted to be able to contact the bureau easily by phone, 20% wanted a high street location within easy travel of home or work, 14% being able to contact the organisation by email and 11% wanted the person spoken to to be based in the local area.  This indicates that having a variety of ways to access advice is important.  Not one channel is appropriate to everyone or for every situation but having the range enables more people to access advice in a way that suits them eg the surgance in use of social media is attractive to younger people.  Traditionally the percentage of younger people using our service is low.  In 2013/14 approx 23% of our clients were under 34.  The 35 - 49 age group made up 30%.  Increased use of technology is important: resources have been secured (2015/16) to deliver web chat.  Those with complex issues, mental health needs etc find it easier to speak with someone face to face. More can be done in these situations face to face than by other means.  If we need to see paperwork it is much easier face to face.  The interpersonal skills used in face to face enable exploring and resolving of issues which may not be picked up with other communication methods.  </w:t>
      </w:r>
    </w:p>
    <w:p w:rsidR="00A562FE" w:rsidRPr="00F63BB0" w:rsidRDefault="00A562FE" w:rsidP="00A562FE">
      <w:pPr>
        <w:pStyle w:val="Single"/>
        <w:rPr>
          <w:rFonts w:cs="Arial"/>
          <w:noProof/>
          <w:sz w:val="20"/>
        </w:rPr>
      </w:pPr>
    </w:p>
    <w:p w:rsidR="00A562FE" w:rsidRDefault="00A562FE" w:rsidP="00A562FE">
      <w:pPr>
        <w:rPr>
          <w:rFonts w:ascii="Arial" w:hAnsi="Arial" w:cs="Arial"/>
          <w:sz w:val="20"/>
          <w:szCs w:val="20"/>
        </w:rPr>
      </w:pPr>
      <w:r w:rsidRPr="00F63BB0">
        <w:rPr>
          <w:rFonts w:ascii="Arial" w:hAnsi="Arial" w:cs="Arial"/>
          <w:sz w:val="20"/>
          <w:szCs w:val="20"/>
        </w:rPr>
        <w:t xml:space="preserve">In our semi rural area, having the variety of means of accessing advice is essential.  Those unable to access public transport either due to the cost, availability or not having their own transport rely on </w:t>
      </w:r>
      <w:r w:rsidRPr="00F63BB0">
        <w:rPr>
          <w:rFonts w:ascii="Arial" w:hAnsi="Arial" w:cs="Arial"/>
          <w:sz w:val="20"/>
          <w:szCs w:val="20"/>
        </w:rPr>
        <w:lastRenderedPageBreak/>
        <w:t>technology to engage in local services.  Having access to the variety of channels provided by Citizens Advice will actually allow access to advice for some of the most vulnerable.</w:t>
      </w:r>
    </w:p>
    <w:p w:rsidR="00A562FE" w:rsidRDefault="00A562FE" w:rsidP="00A562FE">
      <w:pPr>
        <w:rPr>
          <w:rFonts w:ascii="Arial" w:hAnsi="Arial" w:cs="Arial"/>
          <w:sz w:val="20"/>
          <w:szCs w:val="20"/>
        </w:rPr>
      </w:pPr>
    </w:p>
    <w:p w:rsidR="00A562FE" w:rsidRPr="00D522FA" w:rsidRDefault="00A562FE" w:rsidP="00A562FE">
      <w:pPr>
        <w:pStyle w:val="Single"/>
        <w:rPr>
          <w:rFonts w:cs="Arial"/>
          <w:sz w:val="20"/>
        </w:rPr>
      </w:pPr>
      <w:r w:rsidRPr="00D522FA">
        <w:rPr>
          <w:rFonts w:cs="Arial"/>
          <w:b/>
          <w:sz w:val="20"/>
        </w:rPr>
        <w:t xml:space="preserve">Q4. </w:t>
      </w:r>
      <w:r w:rsidRPr="00D522FA">
        <w:rPr>
          <w:rFonts w:cs="Arial"/>
          <w:sz w:val="20"/>
        </w:rPr>
        <w:t xml:space="preserve">Ideally these services should be provided every day of the week.  Citizens Advice research, previously mentioned, found that 16% wanted a service that was also open at weekends.  </w:t>
      </w:r>
    </w:p>
    <w:p w:rsidR="00A562FE" w:rsidRPr="00D522FA" w:rsidRDefault="00A562FE" w:rsidP="00A562FE">
      <w:pPr>
        <w:pStyle w:val="Single"/>
        <w:rPr>
          <w:rFonts w:cs="Arial"/>
          <w:sz w:val="20"/>
        </w:rPr>
      </w:pPr>
    </w:p>
    <w:p w:rsidR="00A562FE" w:rsidRDefault="00A562FE" w:rsidP="00A562FE">
      <w:pPr>
        <w:rPr>
          <w:rFonts w:ascii="Arial" w:hAnsi="Arial" w:cs="Arial"/>
          <w:noProof/>
          <w:sz w:val="20"/>
          <w:szCs w:val="20"/>
        </w:rPr>
      </w:pPr>
      <w:r w:rsidRPr="00D522FA">
        <w:rPr>
          <w:rFonts w:ascii="Arial" w:hAnsi="Arial" w:cs="Arial"/>
          <w:noProof/>
          <w:sz w:val="20"/>
          <w:szCs w:val="20"/>
        </w:rPr>
        <w:t xml:space="preserve">It will obviously be necessary to balance resources (including funding) in relation to demand and availability of staff.  </w:t>
      </w:r>
    </w:p>
    <w:p w:rsidR="00A562FE" w:rsidRDefault="00A562FE" w:rsidP="00A562FE">
      <w:pPr>
        <w:rPr>
          <w:rFonts w:ascii="Arial" w:hAnsi="Arial" w:cs="Arial"/>
          <w:noProof/>
          <w:sz w:val="20"/>
          <w:szCs w:val="20"/>
        </w:rPr>
      </w:pPr>
    </w:p>
    <w:p w:rsidR="00A562FE" w:rsidRPr="00D522FA" w:rsidRDefault="00A562FE" w:rsidP="00A562FE">
      <w:pPr>
        <w:pStyle w:val="Single"/>
        <w:rPr>
          <w:sz w:val="20"/>
        </w:rPr>
      </w:pPr>
      <w:r w:rsidRPr="00D522FA">
        <w:rPr>
          <w:rFonts w:cs="Arial"/>
          <w:b/>
          <w:noProof/>
          <w:sz w:val="20"/>
        </w:rPr>
        <w:t xml:space="preserve">Q5. </w:t>
      </w:r>
      <w:r w:rsidRPr="00D522FA">
        <w:rPr>
          <w:sz w:val="20"/>
        </w:rPr>
        <w:t>Social Value - value for money</w:t>
      </w:r>
    </w:p>
    <w:p w:rsidR="00A562FE" w:rsidRPr="00D522FA" w:rsidRDefault="00A562FE" w:rsidP="00A562FE">
      <w:pPr>
        <w:pStyle w:val="Single"/>
        <w:rPr>
          <w:sz w:val="20"/>
        </w:rPr>
      </w:pPr>
      <w:r w:rsidRPr="00D522FA">
        <w:rPr>
          <w:sz w:val="20"/>
        </w:rPr>
        <w:t xml:space="preserve">A voluntary advice service can provide value for money as they use highly trained volunteers to deliver advice for the core service supported by competent supervisors and management team.  Our volunteers (approx 70) contributed in excess of £240,000 value to the organisation in 2013/14.  </w:t>
      </w:r>
    </w:p>
    <w:p w:rsidR="00A562FE" w:rsidRPr="00D522FA" w:rsidRDefault="00A562FE" w:rsidP="00A562FE">
      <w:pPr>
        <w:pStyle w:val="Single"/>
        <w:rPr>
          <w:sz w:val="20"/>
        </w:rPr>
      </w:pPr>
      <w:r w:rsidRPr="00D522FA">
        <w:rPr>
          <w:sz w:val="20"/>
        </w:rPr>
        <w:t>Volunteering is also an value to the volunteers.  We continually invest in volunteers' recruitment, development and management. By ensuring they are supportive and constructive environments, bureaux enable a range of people with different skills and backgrounds to volunteer.  We help to develop individuals' personal abilities, and the way that they feel about themselves, their skills and their community. With a wide range of roles and opportunities available, we provide volunteers with comprehensive training and valuable work experience, enabling people to increase their skills, confidence and employability – therefore contributing to the local economy</w:t>
      </w:r>
    </w:p>
    <w:p w:rsidR="00A562FE" w:rsidRPr="00D522FA" w:rsidRDefault="00A562FE" w:rsidP="00A562FE">
      <w:pPr>
        <w:pStyle w:val="Single"/>
        <w:rPr>
          <w:sz w:val="20"/>
        </w:rPr>
      </w:pPr>
    </w:p>
    <w:p w:rsidR="00A562FE" w:rsidRPr="00D522FA" w:rsidRDefault="00A562FE" w:rsidP="00A562FE">
      <w:pPr>
        <w:pStyle w:val="Single"/>
        <w:rPr>
          <w:sz w:val="20"/>
        </w:rPr>
      </w:pPr>
      <w:r w:rsidRPr="00D522FA">
        <w:rPr>
          <w:sz w:val="20"/>
        </w:rPr>
        <w:t xml:space="preserve">Value to society </w:t>
      </w:r>
    </w:p>
    <w:p w:rsidR="00A562FE" w:rsidRPr="00D522FA" w:rsidRDefault="00A562FE" w:rsidP="00A562FE">
      <w:pPr>
        <w:pStyle w:val="Single"/>
        <w:rPr>
          <w:sz w:val="20"/>
        </w:rPr>
      </w:pPr>
      <w:r w:rsidRPr="00D522FA">
        <w:rPr>
          <w:sz w:val="20"/>
        </w:rPr>
        <w:t>The service has additional benefits for society through happier, healthier and more productive citizens.  Local Citizens Advice bureaux have the support of a national body whose research and information helps supply both national and local governments with details of the effects that current policies and actions have on the vulnerable members of society.</w:t>
      </w:r>
    </w:p>
    <w:p w:rsidR="00A562FE" w:rsidRPr="00D522FA" w:rsidRDefault="00A562FE" w:rsidP="00A562FE">
      <w:pPr>
        <w:pStyle w:val="Single"/>
        <w:rPr>
          <w:sz w:val="20"/>
        </w:rPr>
      </w:pPr>
      <w:r w:rsidRPr="00D522FA">
        <w:rPr>
          <w:sz w:val="20"/>
        </w:rPr>
        <w:tab/>
      </w:r>
    </w:p>
    <w:p w:rsidR="00A562FE" w:rsidRPr="00D522FA" w:rsidRDefault="00A562FE" w:rsidP="00A562FE">
      <w:pPr>
        <w:pStyle w:val="Single"/>
        <w:rPr>
          <w:sz w:val="20"/>
        </w:rPr>
      </w:pPr>
      <w:r w:rsidRPr="00D522FA">
        <w:rPr>
          <w:sz w:val="20"/>
        </w:rPr>
        <w:t xml:space="preserve">Value to communities </w:t>
      </w:r>
    </w:p>
    <w:p w:rsidR="00A562FE" w:rsidRPr="00D522FA" w:rsidRDefault="00A562FE" w:rsidP="00A562FE">
      <w:pPr>
        <w:pStyle w:val="Single"/>
        <w:rPr>
          <w:sz w:val="20"/>
        </w:rPr>
      </w:pPr>
      <w:r w:rsidRPr="00D522FA">
        <w:rPr>
          <w:sz w:val="20"/>
        </w:rPr>
        <w:t xml:space="preserve">By strengthening communities and bringing people closer together, this improves social cohesion and gives people a greater stake in their local area.  Partnerships have been formed with local organisations and a number have referred their service users to us who require advice that is outside their remit. </w:t>
      </w:r>
    </w:p>
    <w:p w:rsidR="00A562FE" w:rsidRPr="00D522FA" w:rsidRDefault="00A562FE" w:rsidP="00A562FE">
      <w:pPr>
        <w:pStyle w:val="Single"/>
        <w:rPr>
          <w:sz w:val="20"/>
        </w:rPr>
      </w:pPr>
    </w:p>
    <w:p w:rsidR="00A562FE" w:rsidRPr="00D522FA" w:rsidRDefault="00A562FE" w:rsidP="00A562FE">
      <w:pPr>
        <w:pStyle w:val="Single"/>
        <w:rPr>
          <w:sz w:val="20"/>
        </w:rPr>
      </w:pPr>
      <w:r w:rsidRPr="00D522FA">
        <w:rPr>
          <w:sz w:val="20"/>
        </w:rPr>
        <w:t>Specialist advice is currently available which is beyond the remit of a generalist advice service.  We continually seek funding to enable residents to access this level of advice.</w:t>
      </w:r>
    </w:p>
    <w:p w:rsidR="00A562FE" w:rsidRPr="00D522FA" w:rsidRDefault="00A562FE" w:rsidP="00A562FE">
      <w:pPr>
        <w:pStyle w:val="Single"/>
        <w:rPr>
          <w:sz w:val="20"/>
        </w:rPr>
      </w:pPr>
    </w:p>
    <w:p w:rsidR="00A562FE" w:rsidRPr="00D522FA" w:rsidRDefault="00A562FE" w:rsidP="00A562FE">
      <w:pPr>
        <w:pStyle w:val="Single"/>
        <w:rPr>
          <w:sz w:val="20"/>
        </w:rPr>
      </w:pPr>
      <w:r w:rsidRPr="00D522FA">
        <w:rPr>
          <w:sz w:val="20"/>
        </w:rPr>
        <w:t xml:space="preserve">Citizens Advice is a known and trusted brand.  Our advice service is quality assured (The Advice Quality Standard being a benchmark for quality in service provision and advice) so residents and stakeholders can have confidence in the service.  This means we can be consistent in meeting the needs of diverse groups.  Tools provided by Citizens Advice enable us to continually keep up to date with changing legislation etc.  We have high levels of data protection and every member of staff, including volunteers, is trained and regularly retrained in information assurance. </w:t>
      </w:r>
    </w:p>
    <w:p w:rsidR="00A562FE" w:rsidRPr="00D522FA" w:rsidRDefault="00A562FE" w:rsidP="00A562FE">
      <w:pPr>
        <w:pStyle w:val="Single"/>
        <w:rPr>
          <w:sz w:val="20"/>
        </w:rPr>
      </w:pPr>
    </w:p>
    <w:p w:rsidR="00A562FE" w:rsidRPr="00D522FA" w:rsidRDefault="00A562FE" w:rsidP="00A562FE">
      <w:pPr>
        <w:pStyle w:val="Single"/>
        <w:rPr>
          <w:noProof/>
          <w:sz w:val="20"/>
        </w:rPr>
      </w:pPr>
      <w:r w:rsidRPr="00D522FA">
        <w:rPr>
          <w:noProof/>
          <w:sz w:val="20"/>
        </w:rPr>
        <w:t>Funding provided by Rochford Dictrict Council contributes towards the core cost.  The current levels of service cannot be provided solely with this funding.  We are able to secure other funding, albeit at a much lower level than the local authority's contribution, to provide additional services. (£24k 2013/14 unrestricted towards the core service, further restricted funding for projects was secured which contributed in part to the core costs)</w:t>
      </w:r>
    </w:p>
    <w:p w:rsidR="00A562FE" w:rsidRPr="00D522FA" w:rsidRDefault="00A562FE" w:rsidP="00A562FE">
      <w:pPr>
        <w:rPr>
          <w:rFonts w:ascii="Arial" w:hAnsi="Arial" w:cs="Arial"/>
          <w:b/>
          <w:sz w:val="20"/>
          <w:szCs w:val="20"/>
        </w:rPr>
      </w:pPr>
    </w:p>
    <w:p w:rsidR="00A562FE" w:rsidRDefault="00A562FE" w:rsidP="00A562FE">
      <w:pPr>
        <w:rPr>
          <w:rFonts w:ascii="Arial" w:hAnsi="Arial" w:cs="Arial"/>
          <w:b/>
        </w:rPr>
      </w:pPr>
    </w:p>
    <w:p w:rsidR="00A562FE" w:rsidRDefault="00A562FE" w:rsidP="00A562FE">
      <w:pPr>
        <w:rPr>
          <w:rFonts w:ascii="Arial" w:hAnsi="Arial" w:cs="Arial"/>
          <w:b/>
        </w:rPr>
      </w:pPr>
    </w:p>
    <w:p w:rsidR="00A562FE" w:rsidRDefault="00A562FE" w:rsidP="00A562FE">
      <w:pPr>
        <w:rPr>
          <w:rFonts w:ascii="Arial" w:hAnsi="Arial" w:cs="Arial"/>
          <w:b/>
        </w:rPr>
      </w:pPr>
    </w:p>
    <w:p w:rsidR="00A562FE" w:rsidRDefault="00A562FE" w:rsidP="00A562FE">
      <w:pPr>
        <w:tabs>
          <w:tab w:val="left" w:pos="0"/>
        </w:tabs>
        <w:rPr>
          <w:rFonts w:ascii="Arial" w:hAnsi="Arial" w:cs="Arial"/>
          <w:b/>
        </w:rPr>
      </w:pPr>
      <w:r w:rsidRPr="00397D91">
        <w:rPr>
          <w:rFonts w:ascii="Arial" w:hAnsi="Arial" w:cs="Arial"/>
          <w:b/>
        </w:rPr>
        <w:t>5.</w:t>
      </w:r>
      <w:r>
        <w:rPr>
          <w:rFonts w:ascii="Arial" w:hAnsi="Arial" w:cs="Arial"/>
          <w:sz w:val="28"/>
          <w:szCs w:val="28"/>
        </w:rPr>
        <w:tab/>
      </w:r>
      <w:r w:rsidRPr="00324980">
        <w:rPr>
          <w:rFonts w:ascii="Arial" w:hAnsi="Arial" w:cs="Arial"/>
          <w:b/>
        </w:rPr>
        <w:t xml:space="preserve">Principles and features to guide the design of future advice delivery </w:t>
      </w:r>
    </w:p>
    <w:p w:rsidR="00A562FE" w:rsidRDefault="00A562FE" w:rsidP="00A562FE">
      <w:pPr>
        <w:tabs>
          <w:tab w:val="left" w:pos="0"/>
        </w:tabs>
        <w:rPr>
          <w:rFonts w:ascii="Arial" w:hAnsi="Arial" w:cs="Arial"/>
          <w:b/>
        </w:rPr>
      </w:pPr>
    </w:p>
    <w:p w:rsidR="00A562FE" w:rsidRPr="00BE5AF4" w:rsidRDefault="00A562FE" w:rsidP="00A562FE">
      <w:pPr>
        <w:numPr>
          <w:ilvl w:val="0"/>
          <w:numId w:val="14"/>
        </w:numPr>
        <w:rPr>
          <w:rFonts w:ascii="Arial" w:hAnsi="Arial" w:cs="Arial"/>
        </w:rPr>
      </w:pPr>
      <w:r w:rsidRPr="00BE5AF4">
        <w:rPr>
          <w:rFonts w:ascii="Arial" w:hAnsi="Arial" w:cs="Arial"/>
          <w:b/>
          <w:bCs/>
        </w:rPr>
        <w:t>Planning for future known changes within the District</w:t>
      </w:r>
      <w:r>
        <w:rPr>
          <w:rFonts w:ascii="Arial" w:hAnsi="Arial" w:cs="Arial"/>
        </w:rPr>
        <w:t xml:space="preserve"> -</w:t>
      </w:r>
      <w:r w:rsidRPr="00BE5AF4">
        <w:rPr>
          <w:rFonts w:ascii="Arial" w:hAnsi="Arial" w:cs="Arial"/>
        </w:rPr>
        <w:t xml:space="preserve"> such as demographic changes.</w:t>
      </w:r>
    </w:p>
    <w:p w:rsidR="00A562FE" w:rsidRPr="00BE5AF4" w:rsidRDefault="00A562FE" w:rsidP="00A562FE">
      <w:pPr>
        <w:numPr>
          <w:ilvl w:val="0"/>
          <w:numId w:val="14"/>
        </w:numPr>
        <w:rPr>
          <w:rFonts w:ascii="Arial" w:hAnsi="Arial" w:cs="Arial"/>
        </w:rPr>
      </w:pPr>
      <w:r w:rsidRPr="00BE5AF4">
        <w:rPr>
          <w:rFonts w:ascii="Arial" w:hAnsi="Arial" w:cs="Arial"/>
          <w:b/>
          <w:bCs/>
        </w:rPr>
        <w:t>Promoting, encouraging and enabling Digital Inclusion</w:t>
      </w:r>
      <w:r w:rsidRPr="00BE5AF4">
        <w:rPr>
          <w:rFonts w:ascii="Arial" w:hAnsi="Arial" w:cs="Arial"/>
        </w:rPr>
        <w:t xml:space="preserve"> - Identifying opportunities to utilise technology, and to encourage greater use of digital channels.</w:t>
      </w:r>
    </w:p>
    <w:p w:rsidR="00A562FE" w:rsidRPr="00BE5AF4" w:rsidRDefault="00A562FE" w:rsidP="00A562FE">
      <w:pPr>
        <w:numPr>
          <w:ilvl w:val="0"/>
          <w:numId w:val="14"/>
        </w:numPr>
        <w:rPr>
          <w:rFonts w:ascii="Arial" w:hAnsi="Arial" w:cs="Arial"/>
        </w:rPr>
      </w:pPr>
      <w:r w:rsidRPr="00BE5AF4">
        <w:rPr>
          <w:rFonts w:ascii="Arial" w:hAnsi="Arial" w:cs="Arial"/>
          <w:b/>
          <w:bCs/>
        </w:rPr>
        <w:lastRenderedPageBreak/>
        <w:t>Encouraging Self Help</w:t>
      </w:r>
      <w:r>
        <w:rPr>
          <w:rFonts w:ascii="Arial" w:hAnsi="Arial" w:cs="Arial"/>
          <w:b/>
          <w:bCs/>
        </w:rPr>
        <w:t xml:space="preserve"> </w:t>
      </w:r>
      <w:r w:rsidRPr="00BE5AF4">
        <w:rPr>
          <w:rFonts w:ascii="Arial" w:hAnsi="Arial" w:cs="Arial"/>
        </w:rPr>
        <w:t>- Greater emphasis on actively supporting customers to develop and enhance key skills such money management, to encourage a greater degree of self help for those that are able to do so, whilst continuing to support those that cannot.</w:t>
      </w:r>
    </w:p>
    <w:p w:rsidR="00A562FE" w:rsidRPr="00BE5AF4" w:rsidRDefault="00A562FE" w:rsidP="00A562FE">
      <w:pPr>
        <w:numPr>
          <w:ilvl w:val="0"/>
          <w:numId w:val="14"/>
        </w:numPr>
        <w:rPr>
          <w:rFonts w:ascii="Arial" w:hAnsi="Arial" w:cs="Arial"/>
        </w:rPr>
      </w:pPr>
      <w:r w:rsidRPr="00BE5AF4">
        <w:rPr>
          <w:rFonts w:ascii="Arial" w:hAnsi="Arial" w:cs="Arial"/>
          <w:b/>
          <w:bCs/>
        </w:rPr>
        <w:t>Delivering High Quality Services that achieve the best value for money</w:t>
      </w:r>
      <w:r>
        <w:rPr>
          <w:rFonts w:ascii="Arial" w:hAnsi="Arial" w:cs="Arial"/>
          <w:b/>
          <w:bCs/>
        </w:rPr>
        <w:t xml:space="preserve"> </w:t>
      </w:r>
      <w:r w:rsidRPr="00BE5AF4">
        <w:rPr>
          <w:rFonts w:ascii="Arial" w:hAnsi="Arial" w:cs="Arial"/>
        </w:rPr>
        <w:t xml:space="preserve">- with face to face services being the most expensive way to deliver services, the Provider will need to show that they are maximising the opportunities to use other less expensive channels for delivering services, including greater use of telephone and e-mail. </w:t>
      </w:r>
    </w:p>
    <w:p w:rsidR="00A562FE" w:rsidRPr="00BE5AF4" w:rsidRDefault="00A562FE" w:rsidP="00A562FE">
      <w:pPr>
        <w:numPr>
          <w:ilvl w:val="0"/>
          <w:numId w:val="14"/>
        </w:numPr>
        <w:rPr>
          <w:rFonts w:ascii="Arial" w:hAnsi="Arial" w:cs="Arial"/>
        </w:rPr>
      </w:pPr>
      <w:r w:rsidRPr="00BE5AF4">
        <w:rPr>
          <w:rFonts w:ascii="Arial" w:hAnsi="Arial" w:cs="Arial"/>
          <w:b/>
          <w:bCs/>
        </w:rPr>
        <w:t>Maximising the opportunities for securing external funding</w:t>
      </w:r>
      <w:r>
        <w:rPr>
          <w:rFonts w:ascii="Arial" w:hAnsi="Arial" w:cs="Arial"/>
          <w:b/>
          <w:bCs/>
        </w:rPr>
        <w:t xml:space="preserve"> </w:t>
      </w:r>
      <w:r>
        <w:rPr>
          <w:rFonts w:ascii="Arial" w:hAnsi="Arial" w:cs="Arial"/>
        </w:rPr>
        <w:t>-</w:t>
      </w:r>
      <w:r w:rsidRPr="00BE5AF4">
        <w:rPr>
          <w:rFonts w:ascii="Arial" w:hAnsi="Arial" w:cs="Arial"/>
        </w:rPr>
        <w:t xml:space="preserve"> having a clear strategy for minimising reliance on Council funding, and demonstrating achievements in securing funding.</w:t>
      </w:r>
    </w:p>
    <w:p w:rsidR="00A562FE" w:rsidRPr="00BE5AF4" w:rsidRDefault="00A562FE" w:rsidP="00A562FE">
      <w:pPr>
        <w:numPr>
          <w:ilvl w:val="0"/>
          <w:numId w:val="14"/>
        </w:numPr>
        <w:rPr>
          <w:rFonts w:ascii="Arial" w:hAnsi="Arial" w:cs="Arial"/>
        </w:rPr>
      </w:pPr>
      <w:r w:rsidRPr="00BE5AF4">
        <w:rPr>
          <w:rFonts w:ascii="Arial" w:hAnsi="Arial" w:cs="Arial"/>
          <w:b/>
          <w:bCs/>
        </w:rPr>
        <w:t>Maximising opportunities for working with partners</w:t>
      </w:r>
      <w:r>
        <w:rPr>
          <w:rFonts w:ascii="Arial" w:hAnsi="Arial" w:cs="Arial"/>
          <w:b/>
          <w:bCs/>
        </w:rPr>
        <w:t xml:space="preserve"> </w:t>
      </w:r>
      <w:r>
        <w:rPr>
          <w:rFonts w:ascii="Arial" w:hAnsi="Arial" w:cs="Arial"/>
        </w:rPr>
        <w:t>- recent funding through the Cabinet Office has developed</w:t>
      </w:r>
      <w:r w:rsidRPr="00BE5AF4">
        <w:rPr>
          <w:rFonts w:ascii="Arial" w:hAnsi="Arial" w:cs="Arial"/>
        </w:rPr>
        <w:t xml:space="preserve"> opportunities to ensure advice services are co-ordinated with partners to provide the highest quality, and greatest value for money.  This will be increasingly important as Universal Credit starts to roll out, and local partnerships to support customer through the changes will be essential.</w:t>
      </w:r>
    </w:p>
    <w:p w:rsidR="00A562FE" w:rsidRPr="00BE5AF4" w:rsidRDefault="00A562FE" w:rsidP="00A562FE">
      <w:pPr>
        <w:numPr>
          <w:ilvl w:val="0"/>
          <w:numId w:val="14"/>
        </w:numPr>
        <w:rPr>
          <w:rFonts w:ascii="Arial" w:hAnsi="Arial" w:cs="Arial"/>
        </w:rPr>
      </w:pPr>
      <w:r w:rsidRPr="00BE5AF4">
        <w:rPr>
          <w:rFonts w:ascii="Arial" w:hAnsi="Arial" w:cs="Arial"/>
          <w:b/>
          <w:bCs/>
        </w:rPr>
        <w:t>Adding value and enhancing the services delivered by the Council</w:t>
      </w:r>
      <w:r>
        <w:rPr>
          <w:rFonts w:ascii="Arial" w:hAnsi="Arial" w:cs="Arial"/>
          <w:b/>
          <w:bCs/>
        </w:rPr>
        <w:t xml:space="preserve"> </w:t>
      </w:r>
      <w:r w:rsidRPr="002A3C86">
        <w:rPr>
          <w:rFonts w:ascii="Arial" w:hAnsi="Arial" w:cs="Arial"/>
          <w:bCs/>
        </w:rPr>
        <w:t>-</w:t>
      </w:r>
      <w:r w:rsidRPr="002A3C86">
        <w:rPr>
          <w:rFonts w:ascii="Arial" w:hAnsi="Arial" w:cs="Arial"/>
        </w:rPr>
        <w:t xml:space="preserve"> </w:t>
      </w:r>
      <w:r w:rsidRPr="00BE5AF4">
        <w:rPr>
          <w:rFonts w:ascii="Arial" w:hAnsi="Arial" w:cs="Arial"/>
        </w:rPr>
        <w:t>avoiding any duplication of services, and working positively and effectively with Officers to achieve the best outcome for customers.</w:t>
      </w:r>
    </w:p>
    <w:p w:rsidR="00A562FE" w:rsidRPr="00BE5AF4" w:rsidRDefault="00A562FE" w:rsidP="00A562FE">
      <w:pPr>
        <w:numPr>
          <w:ilvl w:val="0"/>
          <w:numId w:val="14"/>
        </w:numPr>
        <w:rPr>
          <w:rFonts w:ascii="Arial" w:hAnsi="Arial" w:cs="Arial"/>
        </w:rPr>
      </w:pPr>
      <w:r w:rsidRPr="00BE5AF4">
        <w:rPr>
          <w:rFonts w:ascii="Arial" w:hAnsi="Arial" w:cs="Arial"/>
          <w:b/>
          <w:bCs/>
        </w:rPr>
        <w:t>Focused on outcomes</w:t>
      </w:r>
      <w:r>
        <w:rPr>
          <w:rFonts w:ascii="Arial" w:hAnsi="Arial" w:cs="Arial"/>
        </w:rPr>
        <w:t xml:space="preserve"> -</w:t>
      </w:r>
      <w:r w:rsidRPr="00BE5AF4">
        <w:rPr>
          <w:rFonts w:ascii="Arial" w:hAnsi="Arial" w:cs="Arial"/>
        </w:rPr>
        <w:t xml:space="preserve"> being able to demonstrate the value to both the</w:t>
      </w:r>
      <w:r>
        <w:rPr>
          <w:rFonts w:ascii="Arial" w:hAnsi="Arial" w:cs="Arial"/>
        </w:rPr>
        <w:t xml:space="preserve"> individuals receiving help</w:t>
      </w:r>
      <w:r w:rsidRPr="00BE5AF4">
        <w:rPr>
          <w:rFonts w:ascii="Arial" w:hAnsi="Arial" w:cs="Arial"/>
        </w:rPr>
        <w:t xml:space="preserve"> and </w:t>
      </w:r>
      <w:r>
        <w:rPr>
          <w:rFonts w:ascii="Arial" w:hAnsi="Arial" w:cs="Arial"/>
        </w:rPr>
        <w:t xml:space="preserve">to </w:t>
      </w:r>
      <w:r w:rsidRPr="00BE5AF4">
        <w:rPr>
          <w:rFonts w:ascii="Arial" w:hAnsi="Arial" w:cs="Arial"/>
        </w:rPr>
        <w:t>the wider community</w:t>
      </w:r>
      <w:r>
        <w:rPr>
          <w:rFonts w:ascii="Arial" w:hAnsi="Arial" w:cs="Arial"/>
        </w:rPr>
        <w:t>.</w:t>
      </w:r>
    </w:p>
    <w:p w:rsidR="00A562FE" w:rsidRPr="00324980" w:rsidRDefault="00A562FE" w:rsidP="00A562FE">
      <w:pPr>
        <w:tabs>
          <w:tab w:val="left" w:pos="0"/>
        </w:tabs>
        <w:rPr>
          <w:rFonts w:ascii="Arial" w:hAnsi="Arial" w:cs="Arial"/>
          <w:b/>
        </w:rPr>
      </w:pPr>
    </w:p>
    <w:p w:rsidR="00A562FE" w:rsidRPr="00324980" w:rsidRDefault="00A562FE" w:rsidP="00A562FE">
      <w:pPr>
        <w:rPr>
          <w:rFonts w:ascii="Arial" w:hAnsi="Arial" w:cs="Arial"/>
          <w:b/>
        </w:rPr>
      </w:pPr>
    </w:p>
    <w:p w:rsidR="00A562FE" w:rsidRDefault="00A562FE" w:rsidP="00A562FE">
      <w:pPr>
        <w:rPr>
          <w:rFonts w:ascii="Arial" w:hAnsi="Arial" w:cs="Arial"/>
          <w:b/>
        </w:rPr>
      </w:pPr>
      <w:r w:rsidRPr="00324980">
        <w:rPr>
          <w:rFonts w:ascii="Arial" w:hAnsi="Arial" w:cs="Arial"/>
          <w:b/>
        </w:rPr>
        <w:t>5.1</w:t>
      </w:r>
      <w:r w:rsidRPr="00324980">
        <w:rPr>
          <w:rFonts w:ascii="Arial" w:hAnsi="Arial" w:cs="Arial"/>
          <w:b/>
        </w:rPr>
        <w:tab/>
        <w:t>Our Key drivers</w:t>
      </w:r>
    </w:p>
    <w:p w:rsidR="00A562FE" w:rsidRDefault="00A562FE" w:rsidP="00A562FE">
      <w:pPr>
        <w:rPr>
          <w:rFonts w:ascii="Arial" w:hAnsi="Arial" w:cs="Arial"/>
          <w:b/>
        </w:rPr>
      </w:pPr>
    </w:p>
    <w:p w:rsidR="00A562FE" w:rsidRDefault="00A562FE" w:rsidP="00A562FE">
      <w:pPr>
        <w:autoSpaceDE w:val="0"/>
        <w:autoSpaceDN w:val="0"/>
        <w:adjustRightInd w:val="0"/>
        <w:ind w:left="720"/>
        <w:rPr>
          <w:rFonts w:ascii="Arial" w:hAnsi="Arial" w:cs="Arial"/>
          <w:color w:val="231F20"/>
        </w:rPr>
      </w:pPr>
      <w:r>
        <w:rPr>
          <w:rFonts w:ascii="ArialMT" w:hAnsi="ArialMT" w:cs="ArialMT"/>
          <w:color w:val="231F20"/>
        </w:rPr>
        <w:t>The Council’s current Corporate Plan runs from 2014-17. Over this period we</w:t>
      </w:r>
      <w:r w:rsidRPr="00222BF2">
        <w:rPr>
          <w:rFonts w:ascii="ArialMT" w:hAnsi="ArialMT" w:cs="ArialMT"/>
          <w:color w:val="231F20"/>
        </w:rPr>
        <w:t xml:space="preserve"> will continue to improve our </w:t>
      </w:r>
      <w:r w:rsidRPr="00222BF2">
        <w:rPr>
          <w:rFonts w:ascii="Arial" w:hAnsi="Arial" w:cs="Arial"/>
          <w:color w:val="231F20"/>
        </w:rPr>
        <w:t>services to local communities and enhance the difference we</w:t>
      </w:r>
      <w:r>
        <w:rPr>
          <w:rFonts w:ascii="ArialMT" w:hAnsi="ArialMT" w:cs="ArialMT"/>
          <w:color w:val="231F20"/>
          <w:sz w:val="23"/>
          <w:szCs w:val="23"/>
        </w:rPr>
        <w:t xml:space="preserve"> </w:t>
      </w:r>
      <w:r w:rsidRPr="00222BF2">
        <w:rPr>
          <w:rFonts w:ascii="Arial" w:hAnsi="Arial" w:cs="Arial"/>
          <w:color w:val="231F20"/>
        </w:rPr>
        <w:t>can make to the local economy and the environment. Three</w:t>
      </w:r>
      <w:r>
        <w:rPr>
          <w:rFonts w:ascii="ArialMT" w:hAnsi="ArialMT" w:cs="ArialMT"/>
          <w:color w:val="231F20"/>
          <w:sz w:val="23"/>
          <w:szCs w:val="23"/>
        </w:rPr>
        <w:t xml:space="preserve"> </w:t>
      </w:r>
      <w:r w:rsidRPr="00222BF2">
        <w:rPr>
          <w:rFonts w:ascii="Arial" w:hAnsi="Arial" w:cs="Arial"/>
          <w:color w:val="231F20"/>
        </w:rPr>
        <w:t>themes have been identified which will act as the focus for this</w:t>
      </w:r>
      <w:r>
        <w:rPr>
          <w:rFonts w:ascii="ArialMT" w:hAnsi="ArialMT" w:cs="ArialMT"/>
          <w:color w:val="231F20"/>
          <w:sz w:val="23"/>
          <w:szCs w:val="23"/>
        </w:rPr>
        <w:t xml:space="preserve"> </w:t>
      </w:r>
      <w:r w:rsidRPr="00222BF2">
        <w:rPr>
          <w:rFonts w:ascii="Arial" w:hAnsi="Arial" w:cs="Arial"/>
          <w:color w:val="231F20"/>
        </w:rPr>
        <w:t xml:space="preserve">improvement – </w:t>
      </w:r>
      <w:r w:rsidRPr="00222BF2">
        <w:rPr>
          <w:rFonts w:ascii="Arial" w:hAnsi="Arial" w:cs="Arial"/>
          <w:b/>
          <w:color w:val="231F20"/>
        </w:rPr>
        <w:t>Place, Homes and Economic Growth</w:t>
      </w:r>
      <w:r w:rsidRPr="00222BF2">
        <w:rPr>
          <w:rFonts w:ascii="Arial" w:hAnsi="Arial" w:cs="Arial"/>
          <w:color w:val="231F20"/>
        </w:rPr>
        <w:t xml:space="preserve">. </w:t>
      </w:r>
    </w:p>
    <w:p w:rsidR="00A562FE" w:rsidRDefault="00A562FE" w:rsidP="00A562FE">
      <w:pPr>
        <w:autoSpaceDE w:val="0"/>
        <w:autoSpaceDN w:val="0"/>
        <w:adjustRightInd w:val="0"/>
        <w:ind w:left="720"/>
        <w:rPr>
          <w:rFonts w:ascii="ArialMT" w:hAnsi="ArialMT" w:cs="ArialMT"/>
          <w:color w:val="231F20"/>
          <w:sz w:val="23"/>
          <w:szCs w:val="23"/>
        </w:rPr>
      </w:pPr>
    </w:p>
    <w:p w:rsidR="00A562FE" w:rsidRPr="00F80733" w:rsidRDefault="00A562FE" w:rsidP="00A562FE">
      <w:pPr>
        <w:autoSpaceDE w:val="0"/>
        <w:autoSpaceDN w:val="0"/>
        <w:adjustRightInd w:val="0"/>
        <w:ind w:left="720"/>
        <w:rPr>
          <w:rFonts w:ascii="Arial" w:hAnsi="Arial" w:cs="Arial"/>
          <w:color w:val="231F20"/>
        </w:rPr>
      </w:pPr>
      <w:r>
        <w:rPr>
          <w:rFonts w:ascii="Arial" w:hAnsi="Arial" w:cs="Arial"/>
          <w:color w:val="231F20"/>
        </w:rPr>
        <w:t xml:space="preserve">A robust advice service, particularly for the most vulnerable, will allow the council to offer support to residents on a range of issues, but particularly in relation to personal finances and housing. </w:t>
      </w:r>
    </w:p>
    <w:p w:rsidR="00A562FE" w:rsidRPr="00324980" w:rsidRDefault="00A562FE" w:rsidP="00A562FE">
      <w:pPr>
        <w:rPr>
          <w:rFonts w:ascii="Arial" w:hAnsi="Arial" w:cs="Arial"/>
          <w:b/>
        </w:rPr>
      </w:pPr>
    </w:p>
    <w:p w:rsidR="00A562FE" w:rsidRDefault="00A562FE" w:rsidP="00A562FE">
      <w:pPr>
        <w:rPr>
          <w:rFonts w:ascii="Arial" w:hAnsi="Arial" w:cs="Arial"/>
          <w:b/>
        </w:rPr>
      </w:pPr>
      <w:r w:rsidRPr="00324980">
        <w:rPr>
          <w:rFonts w:ascii="Arial" w:hAnsi="Arial" w:cs="Arial"/>
          <w:b/>
        </w:rPr>
        <w:t>5.2</w:t>
      </w:r>
      <w:r w:rsidRPr="00324980">
        <w:rPr>
          <w:rFonts w:ascii="Arial" w:hAnsi="Arial" w:cs="Arial"/>
          <w:b/>
        </w:rPr>
        <w:tab/>
      </w:r>
      <w:r w:rsidRPr="00165DE4">
        <w:rPr>
          <w:rFonts w:ascii="Arial" w:hAnsi="Arial" w:cs="Arial"/>
          <w:b/>
        </w:rPr>
        <w:t>Financial</w:t>
      </w:r>
      <w:r w:rsidRPr="00324980">
        <w:rPr>
          <w:rFonts w:ascii="Arial" w:hAnsi="Arial" w:cs="Arial"/>
          <w:b/>
        </w:rPr>
        <w:t xml:space="preserve"> context</w:t>
      </w:r>
    </w:p>
    <w:p w:rsidR="00A562FE" w:rsidRDefault="00A562FE" w:rsidP="00A562FE">
      <w:pPr>
        <w:rPr>
          <w:rFonts w:ascii="Arial" w:hAnsi="Arial" w:cs="Arial"/>
          <w:b/>
        </w:rPr>
      </w:pPr>
    </w:p>
    <w:p w:rsidR="00A562FE" w:rsidRDefault="00A562FE" w:rsidP="00A562FE">
      <w:pPr>
        <w:autoSpaceDE w:val="0"/>
        <w:autoSpaceDN w:val="0"/>
        <w:adjustRightInd w:val="0"/>
        <w:ind w:left="720"/>
        <w:rPr>
          <w:rFonts w:ascii="MetaNormal-Roman" w:hAnsi="MetaNormal-Roman" w:cs="MetaNormal-Roman"/>
        </w:rPr>
      </w:pPr>
      <w:r>
        <w:rPr>
          <w:rFonts w:ascii="MetaNormal-Roman" w:hAnsi="MetaNormal-Roman" w:cs="MetaNormal-Roman"/>
        </w:rPr>
        <w:t>The reality of deficit reduction means that much of the public sector, and local government especially, has had to find new and innovative ways of working to ensure that budget targets are met. Despite these pressures, in recent years Rochford Council has continued to support its voluntary and community sector awarding over £100,000 of grants annually. Over £70,000 was given to local advice providers in 2015/16, with the local CAB receiving £67,000.</w:t>
      </w:r>
    </w:p>
    <w:p w:rsidR="00A562FE" w:rsidRDefault="00A562FE" w:rsidP="00A562FE">
      <w:pPr>
        <w:autoSpaceDE w:val="0"/>
        <w:autoSpaceDN w:val="0"/>
        <w:adjustRightInd w:val="0"/>
        <w:ind w:left="720"/>
        <w:rPr>
          <w:rFonts w:ascii="MetaNormal-Roman" w:hAnsi="MetaNormal-Roman" w:cs="MetaNormal-Roman"/>
        </w:rPr>
      </w:pPr>
    </w:p>
    <w:p w:rsidR="00A562FE" w:rsidRDefault="00A562FE" w:rsidP="00A562FE">
      <w:pPr>
        <w:autoSpaceDE w:val="0"/>
        <w:autoSpaceDN w:val="0"/>
        <w:adjustRightInd w:val="0"/>
        <w:ind w:left="720"/>
        <w:rPr>
          <w:rFonts w:ascii="MetaNormal-Roman" w:hAnsi="MetaNormal-Roman" w:cs="MetaNormal-Roman"/>
        </w:rPr>
      </w:pPr>
      <w:r>
        <w:rPr>
          <w:rFonts w:ascii="MetaNormal-Roman" w:hAnsi="MetaNormal-Roman" w:cs="MetaNormal-Roman"/>
        </w:rPr>
        <w:t>Essex County Council has agreed to joint commission on this project.</w:t>
      </w:r>
    </w:p>
    <w:p w:rsidR="00A562FE" w:rsidRPr="00324980" w:rsidRDefault="00A562FE" w:rsidP="00A562FE">
      <w:pPr>
        <w:rPr>
          <w:rFonts w:ascii="Arial" w:hAnsi="Arial" w:cs="Arial"/>
          <w:b/>
        </w:rPr>
      </w:pPr>
    </w:p>
    <w:p w:rsidR="00A562FE" w:rsidRDefault="00A562FE" w:rsidP="00A562FE">
      <w:pPr>
        <w:rPr>
          <w:rFonts w:ascii="Arial" w:hAnsi="Arial" w:cs="Arial"/>
          <w:b/>
        </w:rPr>
      </w:pPr>
      <w:r>
        <w:rPr>
          <w:rFonts w:ascii="Arial" w:hAnsi="Arial" w:cs="Arial"/>
          <w:b/>
        </w:rPr>
        <w:t>5.3</w:t>
      </w:r>
      <w:r>
        <w:rPr>
          <w:rFonts w:ascii="Arial" w:hAnsi="Arial" w:cs="Arial"/>
          <w:b/>
        </w:rPr>
        <w:tab/>
        <w:t>Access to services and out</w:t>
      </w:r>
      <w:r w:rsidRPr="00324980">
        <w:rPr>
          <w:rFonts w:ascii="Arial" w:hAnsi="Arial" w:cs="Arial"/>
          <w:b/>
        </w:rPr>
        <w:t>reach facilities</w:t>
      </w:r>
    </w:p>
    <w:p w:rsidR="00A562FE" w:rsidRDefault="00A562FE" w:rsidP="00A562FE">
      <w:pPr>
        <w:rPr>
          <w:rFonts w:ascii="Arial" w:hAnsi="Arial" w:cs="Arial"/>
          <w:b/>
        </w:rPr>
      </w:pPr>
    </w:p>
    <w:p w:rsidR="00A562FE" w:rsidRDefault="00A562FE" w:rsidP="00A562FE">
      <w:pPr>
        <w:ind w:left="720"/>
        <w:rPr>
          <w:rFonts w:ascii="Arial" w:hAnsi="Arial" w:cs="Arial"/>
          <w:color w:val="FF0000"/>
        </w:rPr>
      </w:pPr>
      <w:r>
        <w:rPr>
          <w:rFonts w:ascii="Arial" w:hAnsi="Arial" w:cs="Arial"/>
        </w:rPr>
        <w:t>Advice services have historically been delivered from two sites, one in Rochford and one in Rayleigh.</w:t>
      </w:r>
      <w:r w:rsidRPr="00E02225">
        <w:rPr>
          <w:rFonts w:ascii="Arial" w:hAnsi="Arial" w:cs="Arial"/>
        </w:rPr>
        <w:t xml:space="preserve"> The Council will discuss accommodation options with the </w:t>
      </w:r>
      <w:r w:rsidRPr="00E02225">
        <w:rPr>
          <w:rFonts w:ascii="Arial" w:hAnsi="Arial" w:cs="Arial"/>
        </w:rPr>
        <w:lastRenderedPageBreak/>
        <w:t>new Provider prior to the start of the contract. Accommodation at the Civic Suite, Rayleigh and Back Lane, Rochford (currently occupied by the Rochford &amp; Rayleigh CAB) is available should it be decided that this is the most effective way to deliver the service based on identified need.</w:t>
      </w:r>
      <w:r w:rsidRPr="00E02225">
        <w:t xml:space="preserve"> </w:t>
      </w:r>
      <w:r w:rsidRPr="00E02225">
        <w:rPr>
          <w:rFonts w:ascii="Arial" w:hAnsi="Arial" w:cs="Arial"/>
        </w:rPr>
        <w:t>The intention is that there will be more emphasis on outreach, developing partnerships with parish councils, local libraries and community organisations in the District.</w:t>
      </w:r>
      <w:r>
        <w:rPr>
          <w:rFonts w:ascii="Arial" w:hAnsi="Arial" w:cs="Arial"/>
          <w:color w:val="FF0000"/>
        </w:rPr>
        <w:t xml:space="preserve"> </w:t>
      </w:r>
    </w:p>
    <w:p w:rsidR="00A562FE" w:rsidRPr="00324980" w:rsidRDefault="00A562FE" w:rsidP="00A562FE">
      <w:pPr>
        <w:rPr>
          <w:rFonts w:ascii="Arial" w:hAnsi="Arial" w:cs="Arial"/>
          <w:b/>
        </w:rPr>
      </w:pPr>
    </w:p>
    <w:p w:rsidR="00A562FE" w:rsidRDefault="00A562FE" w:rsidP="00A562FE">
      <w:pPr>
        <w:ind w:left="720" w:hanging="720"/>
        <w:rPr>
          <w:rFonts w:ascii="Arial" w:hAnsi="Arial" w:cs="Arial"/>
        </w:rPr>
      </w:pPr>
      <w:r w:rsidRPr="00324980">
        <w:rPr>
          <w:rFonts w:ascii="Arial" w:hAnsi="Arial" w:cs="Arial"/>
          <w:b/>
        </w:rPr>
        <w:t>5.4</w:t>
      </w:r>
      <w:r w:rsidRPr="00324980">
        <w:rPr>
          <w:rFonts w:ascii="Arial" w:hAnsi="Arial" w:cs="Arial"/>
          <w:b/>
        </w:rPr>
        <w:tab/>
        <w:t>Type of service to be provided – general</w:t>
      </w:r>
      <w:r>
        <w:rPr>
          <w:rFonts w:ascii="Arial" w:hAnsi="Arial" w:cs="Arial"/>
          <w:b/>
        </w:rPr>
        <w:t xml:space="preserve"> / specialist</w:t>
      </w:r>
    </w:p>
    <w:p w:rsidR="00A562FE" w:rsidRDefault="00A562FE" w:rsidP="00A562FE">
      <w:pPr>
        <w:ind w:left="720" w:hanging="720"/>
        <w:rPr>
          <w:rFonts w:ascii="Arial" w:hAnsi="Arial" w:cs="Arial"/>
        </w:rPr>
      </w:pPr>
    </w:p>
    <w:p w:rsidR="00A562FE" w:rsidRPr="006D779E" w:rsidRDefault="00A562FE" w:rsidP="00A562FE">
      <w:pPr>
        <w:ind w:left="720"/>
        <w:rPr>
          <w:rFonts w:ascii="Arial" w:hAnsi="Arial" w:cs="Arial"/>
        </w:rPr>
      </w:pPr>
      <w:r>
        <w:rPr>
          <w:rFonts w:ascii="Arial" w:hAnsi="Arial" w:cs="Arial"/>
        </w:rPr>
        <w:t>C</w:t>
      </w:r>
      <w:r w:rsidRPr="006D779E">
        <w:rPr>
          <w:rFonts w:ascii="Arial" w:hAnsi="Arial" w:cs="Arial"/>
        </w:rPr>
        <w:t xml:space="preserve">urrent funding </w:t>
      </w:r>
      <w:r>
        <w:rPr>
          <w:rFonts w:ascii="Arial" w:hAnsi="Arial" w:cs="Arial"/>
        </w:rPr>
        <w:t xml:space="preserve">to the Rochford &amp; Rayleigh CAB </w:t>
      </w:r>
      <w:r w:rsidRPr="006D779E">
        <w:rPr>
          <w:rFonts w:ascii="Arial" w:hAnsi="Arial" w:cs="Arial"/>
        </w:rPr>
        <w:t>only covers a core service of general advice. Specialist advice is gained through</w:t>
      </w:r>
      <w:r>
        <w:rPr>
          <w:rFonts w:ascii="Arial" w:hAnsi="Arial" w:cs="Arial"/>
        </w:rPr>
        <w:t xml:space="preserve"> separate</w:t>
      </w:r>
      <w:r w:rsidRPr="006D779E">
        <w:rPr>
          <w:rFonts w:ascii="Arial" w:hAnsi="Arial" w:cs="Arial"/>
        </w:rPr>
        <w:t xml:space="preserve"> project funding</w:t>
      </w:r>
      <w:r>
        <w:rPr>
          <w:rFonts w:ascii="Arial" w:hAnsi="Arial" w:cs="Arial"/>
        </w:rPr>
        <w:t>. The commissioned service will continue with this arrangement.</w:t>
      </w:r>
    </w:p>
    <w:p w:rsidR="00A562FE" w:rsidRPr="002B560C" w:rsidRDefault="00A562FE" w:rsidP="00A562FE">
      <w:pPr>
        <w:ind w:left="720" w:hanging="720"/>
        <w:rPr>
          <w:rFonts w:ascii="Arial" w:hAnsi="Arial" w:cs="Arial"/>
          <w:b/>
          <w:color w:val="FF0000"/>
        </w:rPr>
      </w:pPr>
    </w:p>
    <w:p w:rsidR="00A562FE" w:rsidRPr="00324980" w:rsidRDefault="00A562FE" w:rsidP="00A562FE">
      <w:pPr>
        <w:rPr>
          <w:rFonts w:ascii="Arial" w:hAnsi="Arial" w:cs="Arial"/>
          <w:b/>
        </w:rPr>
      </w:pPr>
    </w:p>
    <w:p w:rsidR="00A562FE" w:rsidRDefault="00A562FE" w:rsidP="00A562FE">
      <w:pPr>
        <w:tabs>
          <w:tab w:val="left" w:pos="720"/>
          <w:tab w:val="left" w:pos="2595"/>
        </w:tabs>
        <w:rPr>
          <w:rFonts w:ascii="Arial" w:hAnsi="Arial" w:cs="Arial"/>
          <w:b/>
        </w:rPr>
      </w:pPr>
      <w:r w:rsidRPr="00803B2A">
        <w:rPr>
          <w:rFonts w:ascii="Arial" w:hAnsi="Arial" w:cs="Arial"/>
          <w:b/>
        </w:rPr>
        <w:t>5.5</w:t>
      </w:r>
      <w:r w:rsidRPr="00803B2A">
        <w:rPr>
          <w:rFonts w:ascii="Arial" w:hAnsi="Arial" w:cs="Arial"/>
          <w:b/>
        </w:rPr>
        <w:tab/>
        <w:t>Telephone advice and the Internet</w:t>
      </w:r>
    </w:p>
    <w:p w:rsidR="00A562FE" w:rsidRDefault="00A562FE" w:rsidP="00A562FE">
      <w:pPr>
        <w:tabs>
          <w:tab w:val="left" w:pos="720"/>
          <w:tab w:val="left" w:pos="2595"/>
        </w:tabs>
        <w:rPr>
          <w:rFonts w:ascii="Arial" w:hAnsi="Arial" w:cs="Arial"/>
          <w:b/>
        </w:rPr>
      </w:pPr>
    </w:p>
    <w:p w:rsidR="00A562FE" w:rsidRPr="00BE5AF4" w:rsidRDefault="00A562FE" w:rsidP="00A562FE">
      <w:pPr>
        <w:ind w:left="720"/>
        <w:rPr>
          <w:rFonts w:ascii="Arial" w:hAnsi="Arial" w:cs="Arial"/>
        </w:rPr>
      </w:pPr>
      <w:r>
        <w:rPr>
          <w:rFonts w:ascii="Arial" w:hAnsi="Arial" w:cs="Arial"/>
        </w:rPr>
        <w:t>W</w:t>
      </w:r>
      <w:r w:rsidRPr="00BE5AF4">
        <w:rPr>
          <w:rFonts w:ascii="Arial" w:hAnsi="Arial" w:cs="Arial"/>
        </w:rPr>
        <w:t xml:space="preserve">ith face to face services being the most expensive way to deliver services, the Provider will need to show that they are maximising the opportunities to use other less expensive channels for delivering services, including greater use of telephone and e-mail. </w:t>
      </w:r>
    </w:p>
    <w:p w:rsidR="00A562FE" w:rsidRDefault="00A562FE" w:rsidP="00A562FE">
      <w:pPr>
        <w:tabs>
          <w:tab w:val="left" w:pos="720"/>
          <w:tab w:val="left" w:pos="2595"/>
        </w:tabs>
        <w:rPr>
          <w:rFonts w:ascii="Arial" w:hAnsi="Arial" w:cs="Arial"/>
          <w:b/>
        </w:rPr>
      </w:pPr>
    </w:p>
    <w:p w:rsidR="00A562FE" w:rsidRPr="00803B2A" w:rsidRDefault="00A562FE" w:rsidP="00A562FE">
      <w:pPr>
        <w:tabs>
          <w:tab w:val="left" w:pos="720"/>
          <w:tab w:val="left" w:pos="2595"/>
        </w:tabs>
        <w:rPr>
          <w:rFonts w:ascii="Arial" w:hAnsi="Arial" w:cs="Arial"/>
          <w:b/>
        </w:rPr>
      </w:pPr>
    </w:p>
    <w:p w:rsidR="00A562FE" w:rsidRDefault="00A562FE" w:rsidP="00A562FE">
      <w:pPr>
        <w:rPr>
          <w:rFonts w:ascii="Arial" w:hAnsi="Arial" w:cs="Arial"/>
          <w:b/>
        </w:rPr>
      </w:pPr>
      <w:r>
        <w:rPr>
          <w:rFonts w:ascii="Arial" w:hAnsi="Arial" w:cs="Arial"/>
          <w:b/>
        </w:rPr>
        <w:t>5.6</w:t>
      </w:r>
      <w:r w:rsidRPr="00324980">
        <w:rPr>
          <w:rFonts w:ascii="Arial" w:hAnsi="Arial" w:cs="Arial"/>
          <w:b/>
        </w:rPr>
        <w:tab/>
        <w:t>Language and communication</w:t>
      </w:r>
    </w:p>
    <w:p w:rsidR="00A562FE" w:rsidRDefault="00A562FE" w:rsidP="00A562FE">
      <w:pPr>
        <w:rPr>
          <w:rFonts w:ascii="Arial" w:hAnsi="Arial" w:cs="Arial"/>
          <w:b/>
        </w:rPr>
      </w:pPr>
    </w:p>
    <w:p w:rsidR="00A562FE" w:rsidRPr="002215D3" w:rsidRDefault="00A562FE" w:rsidP="00A562FE">
      <w:pPr>
        <w:autoSpaceDE w:val="0"/>
        <w:autoSpaceDN w:val="0"/>
        <w:adjustRightInd w:val="0"/>
        <w:ind w:left="720"/>
        <w:rPr>
          <w:rFonts w:ascii="TT2941o00" w:hAnsi="TT2941o00" w:cs="TT2941o00"/>
        </w:rPr>
      </w:pPr>
      <w:r>
        <w:rPr>
          <w:rFonts w:ascii="TT2941o00" w:hAnsi="TT2941o00" w:cs="TT2941o00"/>
        </w:rPr>
        <w:t>The future Provider will need to be mindful of the needs of people for whom English is not the first language; who have low levels of literacy and numeracy; who have disabilities including sensory impairments and those who come from groups with protected characteristics under the Equality Act 2010 and will endeavour to accommodate their needs and provide them with the best possible service, to include as far as resources allow the use of interpreters and translation services as required.</w:t>
      </w:r>
    </w:p>
    <w:p w:rsidR="00A562FE" w:rsidRDefault="00A562FE" w:rsidP="00A562FE">
      <w:pPr>
        <w:rPr>
          <w:rFonts w:ascii="Arial" w:hAnsi="Arial" w:cs="Arial"/>
          <w:b/>
        </w:rPr>
      </w:pPr>
    </w:p>
    <w:p w:rsidR="00A562FE" w:rsidRDefault="00A562FE" w:rsidP="00A562FE">
      <w:pPr>
        <w:rPr>
          <w:rFonts w:ascii="Arial" w:hAnsi="Arial" w:cs="Arial"/>
          <w:b/>
          <w:color w:val="FF0000"/>
        </w:rPr>
      </w:pPr>
      <w:r>
        <w:rPr>
          <w:rFonts w:ascii="Arial" w:hAnsi="Arial" w:cs="Arial"/>
          <w:b/>
        </w:rPr>
        <w:t>5.7</w:t>
      </w:r>
      <w:r>
        <w:rPr>
          <w:rFonts w:ascii="Arial" w:hAnsi="Arial" w:cs="Arial"/>
          <w:b/>
        </w:rPr>
        <w:tab/>
        <w:t xml:space="preserve">Quality of Advice </w:t>
      </w:r>
    </w:p>
    <w:p w:rsidR="00A562FE" w:rsidRDefault="00A562FE" w:rsidP="00A562FE">
      <w:pPr>
        <w:rPr>
          <w:rFonts w:ascii="Arial" w:hAnsi="Arial" w:cs="Arial"/>
          <w:b/>
          <w:color w:val="FF0000"/>
        </w:rPr>
      </w:pPr>
    </w:p>
    <w:p w:rsidR="00A562FE" w:rsidRDefault="00A562FE" w:rsidP="00A562FE">
      <w:pPr>
        <w:autoSpaceDE w:val="0"/>
        <w:autoSpaceDN w:val="0"/>
        <w:adjustRightInd w:val="0"/>
        <w:ind w:left="720"/>
        <w:rPr>
          <w:rFonts w:ascii="TT2941o00" w:hAnsi="TT2941o00" w:cs="TT2941o00"/>
        </w:rPr>
      </w:pPr>
      <w:r>
        <w:rPr>
          <w:rFonts w:ascii="TT2941o00" w:hAnsi="TT2941o00" w:cs="TT2941o00"/>
        </w:rPr>
        <w:t>The future Provider will operate the core service to the Advice Quality Standard for ‘general help’ level services. The quality scheme for advice services is set nationally by the Legal Services Commission and audits are carried out regularly.</w:t>
      </w:r>
    </w:p>
    <w:p w:rsidR="00A562FE" w:rsidRDefault="00A562FE" w:rsidP="00A562FE">
      <w:pPr>
        <w:autoSpaceDE w:val="0"/>
        <w:autoSpaceDN w:val="0"/>
        <w:adjustRightInd w:val="0"/>
        <w:ind w:left="720"/>
        <w:rPr>
          <w:rFonts w:ascii="TT2941o00" w:hAnsi="TT2941o00" w:cs="TT2941o00"/>
        </w:rPr>
      </w:pPr>
    </w:p>
    <w:p w:rsidR="00A562FE" w:rsidRPr="002215D3" w:rsidRDefault="00A562FE" w:rsidP="00A562FE">
      <w:pPr>
        <w:autoSpaceDE w:val="0"/>
        <w:autoSpaceDN w:val="0"/>
        <w:adjustRightInd w:val="0"/>
        <w:ind w:left="720"/>
        <w:rPr>
          <w:rFonts w:ascii="TT2941o00" w:hAnsi="TT2941o00" w:cs="TT2941o00"/>
        </w:rPr>
      </w:pPr>
      <w:r>
        <w:rPr>
          <w:rFonts w:ascii="TT2941o00" w:hAnsi="TT2941o00" w:cs="TT2941o00"/>
        </w:rPr>
        <w:t>The quality of advice given and record-keeping of all paid staff and volunteers who advise the public will be monitored by the future Provider on a frequent and regular basis.</w:t>
      </w:r>
    </w:p>
    <w:p w:rsidR="00A562FE" w:rsidRDefault="00A562FE" w:rsidP="00A562FE">
      <w:pPr>
        <w:rPr>
          <w:rFonts w:ascii="Arial" w:hAnsi="Arial" w:cs="Arial"/>
          <w:b/>
          <w:color w:val="FF0000"/>
        </w:rPr>
      </w:pPr>
    </w:p>
    <w:p w:rsidR="00A562FE" w:rsidRDefault="00A562FE" w:rsidP="00A562FE">
      <w:pPr>
        <w:rPr>
          <w:rFonts w:ascii="Arial" w:hAnsi="Arial" w:cs="Arial"/>
          <w:b/>
          <w:color w:val="FF0000"/>
        </w:rPr>
      </w:pPr>
    </w:p>
    <w:p w:rsidR="00A562FE" w:rsidRPr="003836A0" w:rsidRDefault="00A562FE" w:rsidP="00A562FE">
      <w:pPr>
        <w:rPr>
          <w:rFonts w:ascii="Arial" w:hAnsi="Arial" w:cs="Arial"/>
          <w:b/>
          <w:color w:val="FF0000"/>
        </w:rPr>
      </w:pPr>
    </w:p>
    <w:p w:rsidR="00A562FE" w:rsidRPr="00582133" w:rsidRDefault="00A562FE" w:rsidP="00A562FE">
      <w:pPr>
        <w:rPr>
          <w:rFonts w:ascii="Arial" w:hAnsi="Arial" w:cs="Arial"/>
          <w:b/>
        </w:rPr>
      </w:pPr>
      <w:r>
        <w:rPr>
          <w:rFonts w:ascii="Arial" w:hAnsi="Arial" w:cs="Arial"/>
          <w:b/>
        </w:rPr>
        <w:t>6.</w:t>
      </w:r>
      <w:r>
        <w:rPr>
          <w:rFonts w:ascii="Arial" w:hAnsi="Arial" w:cs="Arial"/>
          <w:b/>
        </w:rPr>
        <w:tab/>
        <w:t>Next steps</w:t>
      </w:r>
    </w:p>
    <w:p w:rsidR="00A562FE" w:rsidRDefault="00A562FE" w:rsidP="00A562FE">
      <w:pPr>
        <w:ind w:left="720"/>
        <w:rPr>
          <w:rFonts w:ascii="Arial" w:hAnsi="Arial" w:cs="Arial"/>
        </w:rPr>
      </w:pPr>
    </w:p>
    <w:p w:rsidR="00A562FE" w:rsidRPr="001B10F4" w:rsidRDefault="00A562FE" w:rsidP="00A562FE">
      <w:pPr>
        <w:ind w:left="720"/>
        <w:rPr>
          <w:rFonts w:ascii="Arial" w:hAnsi="Arial" w:cs="Arial"/>
        </w:rPr>
      </w:pPr>
      <w:r>
        <w:rPr>
          <w:rFonts w:ascii="Arial" w:hAnsi="Arial" w:cs="Arial"/>
        </w:rPr>
        <w:t>A detailed specification will be prepared based on the information contained within this document to allow the commissioning of advice services for the Rochford District from April 2016 for three years. The award of the contract should be completed by December 2015.</w:t>
      </w:r>
    </w:p>
    <w:p w:rsidR="00A562FE" w:rsidRDefault="00A562FE" w:rsidP="00A562FE">
      <w:pPr>
        <w:rPr>
          <w:rFonts w:ascii="Arial" w:hAnsi="Arial" w:cs="Arial"/>
          <w:b/>
        </w:rPr>
      </w:pPr>
    </w:p>
    <w:p w:rsidR="00A562FE" w:rsidRDefault="00A562FE" w:rsidP="00A562FE">
      <w:pPr>
        <w:rPr>
          <w:rFonts w:ascii="Arial" w:hAnsi="Arial" w:cs="Arial"/>
          <w:b/>
        </w:rPr>
      </w:pPr>
      <w:r>
        <w:rPr>
          <w:rFonts w:ascii="Arial" w:hAnsi="Arial" w:cs="Arial"/>
          <w:b/>
        </w:rPr>
        <w:lastRenderedPageBreak/>
        <w:tab/>
      </w:r>
    </w:p>
    <w:p w:rsidR="00A562FE" w:rsidRPr="0052353C" w:rsidRDefault="00A562FE" w:rsidP="00A562FE">
      <w:pPr>
        <w:rPr>
          <w:rFonts w:ascii="Arial" w:hAnsi="Arial" w:cs="Arial"/>
          <w:b/>
        </w:rPr>
      </w:pPr>
      <w:r>
        <w:rPr>
          <w:rFonts w:ascii="Arial" w:hAnsi="Arial" w:cs="Arial"/>
          <w:b/>
        </w:rPr>
        <w:tab/>
      </w:r>
    </w:p>
    <w:p w:rsidR="00A562FE" w:rsidRPr="006D779E" w:rsidRDefault="00A562FE" w:rsidP="00A562FE">
      <w:pPr>
        <w:ind w:right="26"/>
        <w:rPr>
          <w:rFonts w:ascii="Arial" w:hAnsi="Arial" w:cs="Arial"/>
          <w:b/>
        </w:rPr>
      </w:pPr>
      <w:r>
        <w:rPr>
          <w:rFonts w:ascii="Arial" w:hAnsi="Arial" w:cs="Arial"/>
          <w:b/>
        </w:rPr>
        <w:t xml:space="preserve">Further information </w:t>
      </w:r>
    </w:p>
    <w:p w:rsidR="00A562FE" w:rsidRDefault="00A562FE" w:rsidP="00A562FE">
      <w:pPr>
        <w:ind w:right="26"/>
        <w:rPr>
          <w:rFonts w:ascii="Arial" w:hAnsi="Arial" w:cs="Arial"/>
          <w:b/>
          <w:color w:val="FF0000"/>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A562FE" w:rsidRPr="00EB3C59" w:rsidTr="00BD7048">
        <w:tc>
          <w:tcPr>
            <w:tcW w:w="8930" w:type="dxa"/>
            <w:tcBorders>
              <w:top w:val="nil"/>
              <w:left w:val="nil"/>
              <w:bottom w:val="nil"/>
              <w:right w:val="nil"/>
            </w:tcBorders>
            <w:shd w:val="clear" w:color="auto" w:fill="auto"/>
          </w:tcPr>
          <w:p w:rsidR="00A562FE" w:rsidRPr="006D779E" w:rsidRDefault="00A562FE" w:rsidP="00BD7048">
            <w:pPr>
              <w:rPr>
                <w:rFonts w:ascii="Arial" w:hAnsi="Arial" w:cs="Arial"/>
              </w:rPr>
            </w:pPr>
          </w:p>
        </w:tc>
      </w:tr>
      <w:tr w:rsidR="00A562FE" w:rsidRPr="00EB3C59" w:rsidTr="00BD7048">
        <w:tc>
          <w:tcPr>
            <w:tcW w:w="8930" w:type="dxa"/>
            <w:tcBorders>
              <w:top w:val="nil"/>
              <w:left w:val="nil"/>
              <w:bottom w:val="nil"/>
              <w:right w:val="nil"/>
            </w:tcBorders>
            <w:shd w:val="clear" w:color="auto" w:fill="auto"/>
          </w:tcPr>
          <w:p w:rsidR="00A562FE" w:rsidRDefault="00A562FE" w:rsidP="00BD7048">
            <w:pPr>
              <w:numPr>
                <w:ilvl w:val="1"/>
                <w:numId w:val="1"/>
              </w:numPr>
              <w:rPr>
                <w:rFonts w:ascii="Arial" w:hAnsi="Arial" w:cs="Arial"/>
              </w:rPr>
            </w:pPr>
            <w:r>
              <w:rPr>
                <w:rFonts w:ascii="Arial" w:hAnsi="Arial" w:cs="Arial"/>
              </w:rPr>
              <w:t xml:space="preserve">Rochford District </w:t>
            </w:r>
            <w:r w:rsidRPr="006D779E">
              <w:rPr>
                <w:rFonts w:ascii="Arial" w:hAnsi="Arial" w:cs="Arial"/>
              </w:rPr>
              <w:t>Ward Profiles</w:t>
            </w:r>
          </w:p>
          <w:p w:rsidR="00A562FE" w:rsidRPr="006D779E" w:rsidRDefault="00A562FE" w:rsidP="00BD7048">
            <w:pPr>
              <w:rPr>
                <w:rFonts w:ascii="Arial" w:hAnsi="Arial" w:cs="Arial"/>
              </w:rPr>
            </w:pPr>
            <w:hyperlink r:id="rId21" w:history="1">
              <w:r w:rsidRPr="006E0553">
                <w:rPr>
                  <w:rStyle w:val="Hyperlink"/>
                  <w:rFonts w:ascii="Arial" w:hAnsi="Arial" w:cs="Arial"/>
                </w:rPr>
                <w:t>http://www.rochford.gov.uk/council_and_democracy/rochford_district_area_profile</w:t>
              </w:r>
            </w:hyperlink>
            <w:r>
              <w:rPr>
                <w:rFonts w:ascii="Arial" w:hAnsi="Arial" w:cs="Arial"/>
              </w:rPr>
              <w:t xml:space="preserve"> </w:t>
            </w:r>
          </w:p>
          <w:p w:rsidR="00A562FE" w:rsidRPr="006D779E" w:rsidRDefault="00A562FE" w:rsidP="00BD7048">
            <w:pPr>
              <w:rPr>
                <w:rFonts w:ascii="Arial" w:hAnsi="Arial" w:cs="Arial"/>
              </w:rPr>
            </w:pPr>
          </w:p>
        </w:tc>
      </w:tr>
      <w:tr w:rsidR="00A562FE" w:rsidRPr="00EB3C59" w:rsidTr="00BD7048">
        <w:tc>
          <w:tcPr>
            <w:tcW w:w="8930" w:type="dxa"/>
            <w:tcBorders>
              <w:top w:val="nil"/>
              <w:left w:val="nil"/>
              <w:bottom w:val="nil"/>
              <w:right w:val="nil"/>
            </w:tcBorders>
            <w:shd w:val="clear" w:color="auto" w:fill="auto"/>
          </w:tcPr>
          <w:p w:rsidR="00A562FE" w:rsidRPr="006D779E" w:rsidRDefault="00A562FE" w:rsidP="00BD7048">
            <w:pPr>
              <w:rPr>
                <w:rFonts w:ascii="Arial" w:hAnsi="Arial" w:cs="Arial"/>
              </w:rPr>
            </w:pPr>
          </w:p>
        </w:tc>
      </w:tr>
      <w:tr w:rsidR="00A562FE" w:rsidRPr="00EB3C59" w:rsidTr="00BD7048">
        <w:tc>
          <w:tcPr>
            <w:tcW w:w="8930" w:type="dxa"/>
            <w:tcBorders>
              <w:top w:val="nil"/>
              <w:left w:val="nil"/>
              <w:bottom w:val="nil"/>
              <w:right w:val="nil"/>
            </w:tcBorders>
            <w:shd w:val="clear" w:color="auto" w:fill="auto"/>
          </w:tcPr>
          <w:p w:rsidR="00A562FE" w:rsidRDefault="00A562FE" w:rsidP="00BD7048">
            <w:pPr>
              <w:numPr>
                <w:ilvl w:val="1"/>
                <w:numId w:val="1"/>
              </w:numPr>
              <w:rPr>
                <w:rFonts w:ascii="Arial" w:hAnsi="Arial" w:cs="Arial"/>
              </w:rPr>
            </w:pPr>
            <w:r w:rsidRPr="006D779E">
              <w:rPr>
                <w:rFonts w:ascii="Arial" w:hAnsi="Arial" w:cs="Arial"/>
              </w:rPr>
              <w:t xml:space="preserve">  </w:t>
            </w:r>
            <w:r>
              <w:rPr>
                <w:rFonts w:ascii="Arial" w:hAnsi="Arial" w:cs="Arial"/>
              </w:rPr>
              <w:t xml:space="preserve">Rochford District </w:t>
            </w:r>
            <w:r w:rsidRPr="006D779E">
              <w:rPr>
                <w:rFonts w:ascii="Arial" w:hAnsi="Arial" w:cs="Arial"/>
              </w:rPr>
              <w:t>J</w:t>
            </w:r>
            <w:r>
              <w:rPr>
                <w:rFonts w:ascii="Arial" w:hAnsi="Arial" w:cs="Arial"/>
              </w:rPr>
              <w:t xml:space="preserve">oint </w:t>
            </w:r>
            <w:r w:rsidRPr="006D779E">
              <w:rPr>
                <w:rFonts w:ascii="Arial" w:hAnsi="Arial" w:cs="Arial"/>
              </w:rPr>
              <w:t>S</w:t>
            </w:r>
            <w:r>
              <w:rPr>
                <w:rFonts w:ascii="Arial" w:hAnsi="Arial" w:cs="Arial"/>
              </w:rPr>
              <w:t xml:space="preserve">trategic </w:t>
            </w:r>
            <w:r w:rsidRPr="006D779E">
              <w:rPr>
                <w:rFonts w:ascii="Arial" w:hAnsi="Arial" w:cs="Arial"/>
              </w:rPr>
              <w:t>N</w:t>
            </w:r>
            <w:r>
              <w:rPr>
                <w:rFonts w:ascii="Arial" w:hAnsi="Arial" w:cs="Arial"/>
              </w:rPr>
              <w:t xml:space="preserve">eeds </w:t>
            </w:r>
            <w:r w:rsidRPr="006D779E">
              <w:rPr>
                <w:rFonts w:ascii="Arial" w:hAnsi="Arial" w:cs="Arial"/>
              </w:rPr>
              <w:t>A</w:t>
            </w:r>
            <w:r>
              <w:rPr>
                <w:rFonts w:ascii="Arial" w:hAnsi="Arial" w:cs="Arial"/>
              </w:rPr>
              <w:t>ssessment</w:t>
            </w:r>
            <w:r w:rsidRPr="006D779E">
              <w:rPr>
                <w:rFonts w:ascii="Arial" w:hAnsi="Arial" w:cs="Arial"/>
              </w:rPr>
              <w:t xml:space="preserve"> Data</w:t>
            </w:r>
          </w:p>
          <w:p w:rsidR="00A562FE" w:rsidRDefault="00A562FE" w:rsidP="00BD7048">
            <w:pPr>
              <w:ind w:left="1512" w:hanging="1512"/>
              <w:rPr>
                <w:rFonts w:ascii="Arial" w:hAnsi="Arial" w:cs="Arial"/>
              </w:rPr>
            </w:pPr>
            <w:hyperlink r:id="rId22" w:history="1">
              <w:r w:rsidRPr="006E0553">
                <w:rPr>
                  <w:rStyle w:val="Hyperlink"/>
                  <w:rFonts w:ascii="Arial" w:hAnsi="Arial" w:cs="Arial"/>
                </w:rPr>
                <w:t>http://www.essexinsight.org.uk/Resource.aspx?ResourceID=382</w:t>
              </w:r>
            </w:hyperlink>
            <w:r>
              <w:rPr>
                <w:rFonts w:ascii="Arial" w:hAnsi="Arial" w:cs="Arial"/>
              </w:rPr>
              <w:t xml:space="preserve"> </w:t>
            </w:r>
          </w:p>
          <w:p w:rsidR="00A562FE" w:rsidRDefault="00A562FE" w:rsidP="00BD7048">
            <w:pPr>
              <w:ind w:left="1512" w:hanging="1512"/>
              <w:rPr>
                <w:rFonts w:ascii="Arial" w:hAnsi="Arial" w:cs="Arial"/>
              </w:rPr>
            </w:pPr>
          </w:p>
          <w:p w:rsidR="00A562FE" w:rsidRDefault="00A562FE" w:rsidP="00BD7048">
            <w:pPr>
              <w:rPr>
                <w:rFonts w:ascii="Arial" w:hAnsi="Arial" w:cs="Arial"/>
              </w:rPr>
            </w:pPr>
          </w:p>
          <w:p w:rsidR="00A562FE" w:rsidRDefault="00A562FE" w:rsidP="00BD7048">
            <w:pPr>
              <w:numPr>
                <w:ilvl w:val="1"/>
                <w:numId w:val="1"/>
              </w:numPr>
              <w:rPr>
                <w:rFonts w:ascii="Arial" w:hAnsi="Arial" w:cs="Arial"/>
                <w:color w:val="FF0000"/>
              </w:rPr>
            </w:pPr>
            <w:r w:rsidRPr="006D779E">
              <w:rPr>
                <w:rFonts w:ascii="Arial" w:hAnsi="Arial" w:cs="Arial"/>
              </w:rPr>
              <w:t xml:space="preserve"> Public Health England Health Profile – Rochford District</w:t>
            </w:r>
            <w:r>
              <w:rPr>
                <w:rFonts w:ascii="Arial" w:hAnsi="Arial" w:cs="Arial"/>
                <w:color w:val="FF0000"/>
              </w:rPr>
              <w:t xml:space="preserve"> </w:t>
            </w:r>
          </w:p>
          <w:p w:rsidR="00A562FE" w:rsidRPr="006D779E" w:rsidRDefault="00A562FE" w:rsidP="00BD7048">
            <w:pPr>
              <w:ind w:left="1512" w:hanging="1512"/>
              <w:rPr>
                <w:rFonts w:ascii="Arial" w:hAnsi="Arial" w:cs="Arial"/>
              </w:rPr>
            </w:pPr>
            <w:hyperlink r:id="rId23" w:history="1">
              <w:r w:rsidRPr="006E0553">
                <w:rPr>
                  <w:rStyle w:val="Hyperlink"/>
                  <w:rFonts w:ascii="Arial" w:hAnsi="Arial" w:cs="Arial"/>
                </w:rPr>
                <w:t>http://www.apho.org.uk/resource/item.aspx?RID=142268</w:t>
              </w:r>
            </w:hyperlink>
            <w:r>
              <w:rPr>
                <w:rFonts w:ascii="Arial" w:hAnsi="Arial" w:cs="Arial"/>
              </w:rPr>
              <w:t xml:space="preserve"> </w:t>
            </w:r>
          </w:p>
          <w:p w:rsidR="00A562FE" w:rsidRPr="006D779E" w:rsidRDefault="00A562FE" w:rsidP="00BD7048">
            <w:pPr>
              <w:ind w:left="1512" w:hanging="1512"/>
              <w:rPr>
                <w:rFonts w:ascii="Arial" w:hAnsi="Arial" w:cs="Arial"/>
              </w:rPr>
            </w:pPr>
          </w:p>
          <w:p w:rsidR="00A562FE" w:rsidRPr="006D779E" w:rsidRDefault="00A562FE" w:rsidP="00BD7048">
            <w:pPr>
              <w:ind w:left="1512" w:hanging="1512"/>
              <w:rPr>
                <w:rFonts w:ascii="Arial" w:hAnsi="Arial" w:cs="Arial"/>
              </w:rPr>
            </w:pPr>
          </w:p>
        </w:tc>
      </w:tr>
    </w:tbl>
    <w:p w:rsidR="00A562FE" w:rsidRPr="00DD34BE" w:rsidRDefault="00A562FE" w:rsidP="00A562FE">
      <w:pPr>
        <w:ind w:right="26"/>
        <w:rPr>
          <w:rFonts w:ascii="Arial" w:hAnsi="Arial" w:cs="Arial"/>
          <w:b/>
          <w:color w:val="FF0000"/>
        </w:rPr>
        <w:sectPr w:rsidR="00A562FE" w:rsidRPr="00DD34BE" w:rsidSect="00017FB3">
          <w:headerReference w:type="default" r:id="rId24"/>
          <w:footerReference w:type="default" r:id="rId25"/>
          <w:pgSz w:w="11906" w:h="16838"/>
          <w:pgMar w:top="1418" w:right="1247" w:bottom="1247" w:left="1247" w:header="709" w:footer="709" w:gutter="0"/>
          <w:pgNumType w:start="1"/>
          <w:cols w:space="708"/>
          <w:docGrid w:linePitch="360"/>
        </w:sectPr>
      </w:pPr>
    </w:p>
    <w:p w:rsidR="00A562FE" w:rsidRPr="00DF0C79" w:rsidRDefault="00A562FE" w:rsidP="00A562FE">
      <w:pPr>
        <w:tabs>
          <w:tab w:val="left" w:pos="709"/>
        </w:tabs>
        <w:ind w:right="26"/>
      </w:pPr>
    </w:p>
    <w:p w:rsidR="00C727B8" w:rsidRDefault="00C727B8"/>
    <w:sectPr w:rsidR="00C727B8" w:rsidSect="003559BB">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FE" w:rsidRDefault="00A562FE" w:rsidP="00A562FE">
      <w:r>
        <w:separator/>
      </w:r>
    </w:p>
  </w:endnote>
  <w:endnote w:type="continuationSeparator" w:id="0">
    <w:p w:rsidR="00A562FE" w:rsidRDefault="00A562FE" w:rsidP="00A5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BBKLG+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TT2941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E" w:rsidRDefault="00A562FE" w:rsidP="00AF59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62FE" w:rsidRDefault="00A56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E" w:rsidRDefault="00A56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E" w:rsidRPr="00AF59C8" w:rsidRDefault="00A562FE" w:rsidP="002B1B62">
    <w:pPr>
      <w:pStyle w:val="Footer"/>
      <w:framePr w:wrap="around" w:vAnchor="text" w:hAnchor="margin" w:xAlign="center" w:y="1"/>
      <w:rPr>
        <w:rStyle w:val="PageNumber"/>
        <w:rFonts w:ascii="Arial" w:hAnsi="Arial" w:cs="Arial"/>
      </w:rPr>
    </w:pPr>
    <w:r w:rsidRPr="00AF59C8">
      <w:rPr>
        <w:rStyle w:val="PageNumber"/>
        <w:rFonts w:ascii="Arial" w:hAnsi="Arial" w:cs="Arial"/>
      </w:rPr>
      <w:fldChar w:fldCharType="begin"/>
    </w:r>
    <w:r w:rsidRPr="00AF59C8">
      <w:rPr>
        <w:rStyle w:val="PageNumber"/>
        <w:rFonts w:ascii="Arial" w:hAnsi="Arial" w:cs="Arial"/>
      </w:rPr>
      <w:instrText xml:space="preserve">PAGE  </w:instrText>
    </w:r>
    <w:r w:rsidRPr="00AF59C8">
      <w:rPr>
        <w:rStyle w:val="PageNumber"/>
        <w:rFonts w:ascii="Arial" w:hAnsi="Arial" w:cs="Arial"/>
      </w:rPr>
      <w:fldChar w:fldCharType="separate"/>
    </w:r>
    <w:r>
      <w:rPr>
        <w:rStyle w:val="PageNumber"/>
        <w:rFonts w:ascii="Arial" w:hAnsi="Arial" w:cs="Arial"/>
        <w:noProof/>
      </w:rPr>
      <w:t>1</w:t>
    </w:r>
    <w:r w:rsidRPr="00AF59C8">
      <w:rPr>
        <w:rStyle w:val="PageNumber"/>
        <w:rFonts w:ascii="Arial" w:hAnsi="Arial" w:cs="Arial"/>
      </w:rPr>
      <w:fldChar w:fldCharType="end"/>
    </w:r>
  </w:p>
  <w:p w:rsidR="00A562FE" w:rsidRPr="000B694F" w:rsidRDefault="00A562FE">
    <w:pPr>
      <w:pStyle w:val="Footer"/>
      <w:rPr>
        <w:rFonts w:ascii="Arial" w:hAnsi="Arial" w:cs="Arial"/>
        <w:sz w:val="16"/>
        <w:szCs w:val="16"/>
      </w:rPr>
    </w:pPr>
    <w:r w:rsidRPr="000B694F">
      <w:rPr>
        <w:rFonts w:ascii="Arial" w:hAnsi="Arial" w:cs="Arial"/>
        <w:sz w:val="16"/>
        <w:szCs w:val="16"/>
      </w:rPr>
      <w:t>PD v1.1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FE" w:rsidRDefault="00A562FE" w:rsidP="00A562FE">
      <w:r>
        <w:separator/>
      </w:r>
    </w:p>
  </w:footnote>
  <w:footnote w:type="continuationSeparator" w:id="0">
    <w:p w:rsidR="00A562FE" w:rsidRDefault="00A562FE" w:rsidP="00A562FE">
      <w:r>
        <w:continuationSeparator/>
      </w:r>
    </w:p>
  </w:footnote>
  <w:footnote w:id="1">
    <w:p w:rsidR="00A562FE" w:rsidRPr="00AB6181" w:rsidRDefault="00A562FE" w:rsidP="00A562FE">
      <w:pPr>
        <w:pStyle w:val="FootnoteText"/>
      </w:pPr>
      <w:r w:rsidRPr="003E5D5A">
        <w:rPr>
          <w:rStyle w:val="FootnoteReference"/>
        </w:rPr>
        <w:footnoteRef/>
      </w:r>
      <w:r w:rsidRPr="003E5D5A">
        <w:t xml:space="preserve"> </w:t>
      </w:r>
      <w:r w:rsidRPr="00B41C53">
        <w:rPr>
          <w:rFonts w:ascii="Arial" w:hAnsi="Arial" w:cs="Arial"/>
        </w:rPr>
        <w:t>The English Indices of Deprivation 2010</w:t>
      </w:r>
    </w:p>
  </w:footnote>
  <w:footnote w:id="2">
    <w:p w:rsidR="00A562FE" w:rsidRDefault="00A562FE" w:rsidP="00A562FE">
      <w:pPr>
        <w:pStyle w:val="FootnoteText"/>
      </w:pPr>
      <w:r>
        <w:rPr>
          <w:rStyle w:val="FootnoteReference"/>
        </w:rPr>
        <w:footnoteRef/>
      </w:r>
      <w:r>
        <w:t xml:space="preserve"> </w:t>
      </w:r>
      <w:hyperlink r:id="rId1" w:history="1">
        <w:r w:rsidRPr="003F444A">
          <w:rPr>
            <w:rStyle w:val="Hyperlink"/>
          </w:rPr>
          <w:t>http://fingertips.phe.org.uk/profile-group/mental-health/profile/severe-mental-illness/data#gid/8000027/pat/6/ati/101/page/0/par/E12000006/are/E07000200</w:t>
        </w:r>
      </w:hyperlink>
      <w:r>
        <w:t xml:space="preserve"> 2011 figures</w:t>
      </w:r>
    </w:p>
  </w:footnote>
  <w:footnote w:id="3">
    <w:p w:rsidR="00A562FE" w:rsidRDefault="00A562FE" w:rsidP="00A562FE">
      <w:pPr>
        <w:pStyle w:val="FootnoteText"/>
      </w:pPr>
      <w:r>
        <w:rPr>
          <w:rStyle w:val="FootnoteReference"/>
        </w:rPr>
        <w:footnoteRef/>
      </w:r>
      <w:r>
        <w:t xml:space="preserve"> JSNA District Profile </w:t>
      </w:r>
      <w:hyperlink r:id="rId2" w:history="1">
        <w:r w:rsidRPr="003F444A">
          <w:rPr>
            <w:rStyle w:val="Hyperlink"/>
          </w:rPr>
          <w:t>http://www.essexinsight.org.uk/Resource.aspx?GroupID=2&amp;ResourceID=382</w:t>
        </w:r>
      </w:hyperlink>
      <w:r>
        <w:t xml:space="preserve"> </w:t>
      </w:r>
    </w:p>
  </w:footnote>
  <w:footnote w:id="4">
    <w:p w:rsidR="00A562FE" w:rsidRDefault="00A562FE" w:rsidP="00A562FE">
      <w:pPr>
        <w:pStyle w:val="FootnoteText"/>
      </w:pPr>
      <w:r>
        <w:rPr>
          <w:rStyle w:val="FootnoteReference"/>
        </w:rPr>
        <w:footnoteRef/>
      </w:r>
      <w:r>
        <w:t xml:space="preserve"> </w:t>
      </w:r>
      <w:hyperlink r:id="rId3" w:history="1">
        <w:r w:rsidRPr="003F444A">
          <w:rPr>
            <w:rStyle w:val="Hyperlink"/>
          </w:rPr>
          <w:t>http://fingertips.phe.org.uk/profile-group/mental-health/profile/cmhp/data#gid/8000053/pat/44/ati/19/page/0/par/E40000002/are/E38000007</w:t>
        </w:r>
      </w:hyperlink>
      <w:r>
        <w:t xml:space="preserve"> </w:t>
      </w:r>
    </w:p>
  </w:footnote>
  <w:footnote w:id="5">
    <w:p w:rsidR="00A562FE" w:rsidRDefault="00A562FE" w:rsidP="00A562FE">
      <w:pPr>
        <w:pStyle w:val="FootnoteText"/>
      </w:pPr>
      <w:r>
        <w:rPr>
          <w:rStyle w:val="FootnoteReference"/>
        </w:rPr>
        <w:footnoteRef/>
      </w:r>
      <w:r>
        <w:t xml:space="preserve"> </w:t>
      </w:r>
      <w:hyperlink r:id="rId4" w:history="1">
        <w:r w:rsidRPr="003F444A">
          <w:rPr>
            <w:rStyle w:val="Hyperlink"/>
          </w:rPr>
          <w:t>http://fingertips.phe.org.uk/profile-group/mental-health/profile/severe-mental-illness/data#gid/8000030/pat/6/ati/101/page/0/par/E12000006/are/E07000200</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E" w:rsidRDefault="00A56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FE" w:rsidRPr="006961A7" w:rsidRDefault="00A562FE" w:rsidP="006961A7">
    <w:pPr>
      <w:pStyle w:val="Header"/>
      <w:jc w:val="right"/>
      <w:rPr>
        <w:rFonts w:ascii="Arial" w:hAnsi="Arial" w:cs="Arial"/>
        <w:sz w:val="20"/>
        <w:szCs w:val="20"/>
      </w:rPr>
    </w:pPr>
    <w:r>
      <w:rPr>
        <w:rFonts w:ascii="Arial" w:hAnsi="Arial" w:cs="Arial"/>
        <w:sz w:val="20"/>
        <w:szCs w:val="20"/>
      </w:rPr>
      <w:t>Proposal</w:t>
    </w:r>
    <w:r w:rsidRPr="006961A7">
      <w:rPr>
        <w:rFonts w:ascii="Arial" w:hAnsi="Arial" w:cs="Arial"/>
        <w:sz w:val="20"/>
        <w:szCs w:val="20"/>
      </w:rPr>
      <w:t xml:space="preserv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61C"/>
    <w:multiLevelType w:val="multilevel"/>
    <w:tmpl w:val="ECD65760"/>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3473FF"/>
    <w:multiLevelType w:val="hybridMultilevel"/>
    <w:tmpl w:val="80940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143570"/>
    <w:multiLevelType w:val="hybridMultilevel"/>
    <w:tmpl w:val="6FA46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3D7660F"/>
    <w:multiLevelType w:val="multilevel"/>
    <w:tmpl w:val="EA80D118"/>
    <w:lvl w:ilvl="0">
      <w:start w:val="1"/>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
    <w:nsid w:val="19FE5F36"/>
    <w:multiLevelType w:val="hybridMultilevel"/>
    <w:tmpl w:val="2C5E74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066A30"/>
    <w:multiLevelType w:val="hybridMultilevel"/>
    <w:tmpl w:val="EE909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1C03EC"/>
    <w:multiLevelType w:val="hybridMultilevel"/>
    <w:tmpl w:val="3678E91C"/>
    <w:lvl w:ilvl="0" w:tplc="1D327930">
      <w:start w:val="1"/>
      <w:numFmt w:val="bullet"/>
      <w:lvlText w:val=""/>
      <w:lvlJc w:val="left"/>
      <w:pPr>
        <w:tabs>
          <w:tab w:val="num" w:pos="3240"/>
        </w:tabs>
        <w:ind w:left="32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3B2140"/>
    <w:multiLevelType w:val="hybridMultilevel"/>
    <w:tmpl w:val="779E8240"/>
    <w:lvl w:ilvl="0" w:tplc="2890A6CE">
      <w:start w:val="1"/>
      <w:numFmt w:val="bullet"/>
      <w:lvlText w:val=""/>
      <w:lvlJc w:val="left"/>
      <w:pPr>
        <w:tabs>
          <w:tab w:val="num" w:pos="3240"/>
        </w:tabs>
        <w:ind w:left="32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0A97F35"/>
    <w:multiLevelType w:val="multilevel"/>
    <w:tmpl w:val="DF9ACCA6"/>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4933287"/>
    <w:multiLevelType w:val="hybridMultilevel"/>
    <w:tmpl w:val="2FD0A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1B6243F"/>
    <w:multiLevelType w:val="hybridMultilevel"/>
    <w:tmpl w:val="2918CA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nsid w:val="5B1B690E"/>
    <w:multiLevelType w:val="hybridMultilevel"/>
    <w:tmpl w:val="8B1C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80299D"/>
    <w:multiLevelType w:val="multilevel"/>
    <w:tmpl w:val="2AA2CC4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AA1577"/>
    <w:multiLevelType w:val="hybridMultilevel"/>
    <w:tmpl w:val="8B7A510E"/>
    <w:lvl w:ilvl="0" w:tplc="2890A6CE">
      <w:start w:val="1"/>
      <w:numFmt w:val="bullet"/>
      <w:lvlText w:val=""/>
      <w:lvlJc w:val="left"/>
      <w:pPr>
        <w:tabs>
          <w:tab w:val="num" w:pos="3240"/>
        </w:tabs>
        <w:ind w:left="3240" w:hanging="360"/>
      </w:pPr>
      <w:rPr>
        <w:rFonts w:ascii="Symbol" w:hAnsi="Symbol" w:hint="default"/>
        <w:sz w:val="20"/>
      </w:rPr>
    </w:lvl>
    <w:lvl w:ilvl="1" w:tplc="D88AC182">
      <w:start w:val="1"/>
      <w:numFmt w:val="decimal"/>
      <w:lvlText w:val="%2."/>
      <w:lvlJc w:val="left"/>
      <w:pPr>
        <w:tabs>
          <w:tab w:val="num" w:pos="1980"/>
        </w:tabs>
        <w:ind w:left="1980" w:hanging="360"/>
      </w:pPr>
      <w:rPr>
        <w:rFonts w:hint="default"/>
        <w:color w:val="auto"/>
        <w:sz w:val="20"/>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Wingdings"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Wingdings"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nsid w:val="6E9B704F"/>
    <w:multiLevelType w:val="hybridMultilevel"/>
    <w:tmpl w:val="603EC17C"/>
    <w:lvl w:ilvl="0" w:tplc="1D327930">
      <w:start w:val="1"/>
      <w:numFmt w:val="bullet"/>
      <w:lvlText w:val=""/>
      <w:lvlJc w:val="left"/>
      <w:pPr>
        <w:tabs>
          <w:tab w:val="num" w:pos="3240"/>
        </w:tabs>
        <w:ind w:left="324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Wingdings" w:hint="default"/>
      </w:rPr>
    </w:lvl>
    <w:lvl w:ilvl="2" w:tplc="1D327930">
      <w:start w:val="1"/>
      <w:numFmt w:val="bullet"/>
      <w:lvlText w:val=""/>
      <w:lvlJc w:val="left"/>
      <w:pPr>
        <w:tabs>
          <w:tab w:val="num" w:pos="2160"/>
        </w:tabs>
        <w:ind w:left="2160" w:hanging="360"/>
      </w:pPr>
      <w:rPr>
        <w:rFonts w:ascii="Symbol" w:hAnsi="Symbol" w:hint="default"/>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0803206"/>
    <w:multiLevelType w:val="hybridMultilevel"/>
    <w:tmpl w:val="BFE082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nsid w:val="777D5181"/>
    <w:multiLevelType w:val="multilevel"/>
    <w:tmpl w:val="66BA71E6"/>
    <w:lvl w:ilvl="0">
      <w:start w:val="2"/>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C7729BA"/>
    <w:multiLevelType w:val="multilevel"/>
    <w:tmpl w:val="DD2C7D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DD53A7"/>
    <w:multiLevelType w:val="multilevel"/>
    <w:tmpl w:val="9B0E04D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4"/>
  </w:num>
  <w:num w:numId="4">
    <w:abstractNumId w:val="7"/>
  </w:num>
  <w:num w:numId="5">
    <w:abstractNumId w:val="3"/>
  </w:num>
  <w:num w:numId="6">
    <w:abstractNumId w:val="17"/>
  </w:num>
  <w:num w:numId="7">
    <w:abstractNumId w:val="6"/>
  </w:num>
  <w:num w:numId="8">
    <w:abstractNumId w:val="12"/>
  </w:num>
  <w:num w:numId="9">
    <w:abstractNumId w:val="18"/>
  </w:num>
  <w:num w:numId="10">
    <w:abstractNumId w:val="10"/>
  </w:num>
  <w:num w:numId="11">
    <w:abstractNumId w:val="15"/>
  </w:num>
  <w:num w:numId="12">
    <w:abstractNumId w:val="16"/>
  </w:num>
  <w:num w:numId="13">
    <w:abstractNumId w:val="4"/>
  </w:num>
  <w:num w:numId="14">
    <w:abstractNumId w:val="11"/>
  </w:num>
  <w:num w:numId="15">
    <w:abstractNumId w:val="0"/>
  </w:num>
  <w:num w:numId="16">
    <w:abstractNumId w:val="9"/>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FE"/>
    <w:rsid w:val="00A562FE"/>
    <w:rsid w:val="00C7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F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62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562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62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62FE"/>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A562F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A562F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A562FE"/>
    <w:pPr>
      <w:tabs>
        <w:tab w:val="num" w:pos="1296"/>
      </w:tabs>
      <w:spacing w:before="240" w:after="60"/>
      <w:ind w:left="1296" w:hanging="1296"/>
      <w:outlineLvl w:val="6"/>
    </w:pPr>
  </w:style>
  <w:style w:type="paragraph" w:styleId="Heading8">
    <w:name w:val="heading 8"/>
    <w:basedOn w:val="Normal"/>
    <w:next w:val="Normal"/>
    <w:link w:val="Heading8Char"/>
    <w:qFormat/>
    <w:rsid w:val="00A562FE"/>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A562FE"/>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62FE"/>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A562FE"/>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A562F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562F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562FE"/>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A562FE"/>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562F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562F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562FE"/>
    <w:rPr>
      <w:rFonts w:ascii="Arial" w:eastAsia="Times New Roman" w:hAnsi="Arial" w:cs="Arial"/>
      <w:lang w:eastAsia="en-GB"/>
    </w:rPr>
  </w:style>
  <w:style w:type="paragraph" w:styleId="Header">
    <w:name w:val="header"/>
    <w:basedOn w:val="Normal"/>
    <w:link w:val="HeaderChar"/>
    <w:rsid w:val="00A562FE"/>
    <w:pPr>
      <w:tabs>
        <w:tab w:val="center" w:pos="4153"/>
        <w:tab w:val="right" w:pos="8306"/>
      </w:tabs>
    </w:pPr>
  </w:style>
  <w:style w:type="character" w:customStyle="1" w:styleId="HeaderChar">
    <w:name w:val="Header Char"/>
    <w:basedOn w:val="DefaultParagraphFont"/>
    <w:link w:val="Header"/>
    <w:rsid w:val="00A562FE"/>
    <w:rPr>
      <w:rFonts w:ascii="Times New Roman" w:eastAsia="Times New Roman" w:hAnsi="Times New Roman" w:cs="Times New Roman"/>
      <w:sz w:val="24"/>
      <w:szCs w:val="24"/>
      <w:lang w:eastAsia="en-GB"/>
    </w:rPr>
  </w:style>
  <w:style w:type="paragraph" w:styleId="Footer">
    <w:name w:val="footer"/>
    <w:basedOn w:val="Normal"/>
    <w:link w:val="FooterChar"/>
    <w:rsid w:val="00A562FE"/>
    <w:pPr>
      <w:tabs>
        <w:tab w:val="center" w:pos="4153"/>
        <w:tab w:val="right" w:pos="8306"/>
      </w:tabs>
    </w:pPr>
  </w:style>
  <w:style w:type="character" w:customStyle="1" w:styleId="FooterChar">
    <w:name w:val="Footer Char"/>
    <w:basedOn w:val="DefaultParagraphFont"/>
    <w:link w:val="Footer"/>
    <w:rsid w:val="00A562FE"/>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562FE"/>
    <w:rPr>
      <w:sz w:val="20"/>
      <w:szCs w:val="20"/>
    </w:rPr>
  </w:style>
  <w:style w:type="character" w:customStyle="1" w:styleId="FootnoteTextChar">
    <w:name w:val="Footnote Text Char"/>
    <w:basedOn w:val="DefaultParagraphFont"/>
    <w:link w:val="FootnoteText"/>
    <w:semiHidden/>
    <w:rsid w:val="00A562FE"/>
    <w:rPr>
      <w:rFonts w:ascii="Times New Roman" w:eastAsia="Times New Roman" w:hAnsi="Times New Roman" w:cs="Times New Roman"/>
      <w:sz w:val="20"/>
      <w:szCs w:val="20"/>
      <w:lang w:eastAsia="en-GB"/>
    </w:rPr>
  </w:style>
  <w:style w:type="character" w:styleId="FootnoteReference">
    <w:name w:val="footnote reference"/>
    <w:semiHidden/>
    <w:rsid w:val="00A562FE"/>
    <w:rPr>
      <w:vertAlign w:val="superscript"/>
    </w:rPr>
  </w:style>
  <w:style w:type="paragraph" w:customStyle="1" w:styleId="Default">
    <w:name w:val="Default"/>
    <w:rsid w:val="00A562FE"/>
    <w:pPr>
      <w:autoSpaceDE w:val="0"/>
      <w:autoSpaceDN w:val="0"/>
      <w:adjustRightInd w:val="0"/>
      <w:spacing w:after="0" w:line="240" w:lineRule="auto"/>
    </w:pPr>
    <w:rPr>
      <w:rFonts w:ascii="PBBKLG+Arial" w:eastAsia="Times New Roman" w:hAnsi="PBBKLG+Arial" w:cs="PBBKLG+Arial"/>
      <w:color w:val="000000"/>
      <w:sz w:val="24"/>
      <w:szCs w:val="24"/>
      <w:lang w:eastAsia="en-GB"/>
    </w:rPr>
  </w:style>
  <w:style w:type="character" w:styleId="PageNumber">
    <w:name w:val="page number"/>
    <w:basedOn w:val="DefaultParagraphFont"/>
    <w:rsid w:val="00A562FE"/>
  </w:style>
  <w:style w:type="character" w:styleId="Emphasis">
    <w:name w:val="Emphasis"/>
    <w:uiPriority w:val="20"/>
    <w:qFormat/>
    <w:rsid w:val="00A562FE"/>
    <w:rPr>
      <w:i/>
      <w:iCs/>
    </w:rPr>
  </w:style>
  <w:style w:type="table" w:styleId="TableGrid">
    <w:name w:val="Table Grid"/>
    <w:basedOn w:val="TableNormal"/>
    <w:uiPriority w:val="59"/>
    <w:rsid w:val="00A562F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562FE"/>
    <w:rPr>
      <w:rFonts w:cs="Times New Roman"/>
      <w:color w:val="0000FF"/>
      <w:u w:val="single"/>
    </w:rPr>
  </w:style>
  <w:style w:type="paragraph" w:styleId="NormalWeb">
    <w:name w:val="Normal (Web)"/>
    <w:basedOn w:val="Normal"/>
    <w:uiPriority w:val="99"/>
    <w:rsid w:val="00A562FE"/>
    <w:pPr>
      <w:spacing w:before="100" w:beforeAutospacing="1" w:after="100" w:afterAutospacing="1"/>
    </w:pPr>
  </w:style>
  <w:style w:type="paragraph" w:styleId="BalloonText">
    <w:name w:val="Balloon Text"/>
    <w:basedOn w:val="Normal"/>
    <w:link w:val="BalloonTextChar"/>
    <w:rsid w:val="00A562FE"/>
    <w:rPr>
      <w:rFonts w:ascii="Tahoma" w:hAnsi="Tahoma" w:cs="Tahoma"/>
      <w:sz w:val="16"/>
      <w:szCs w:val="16"/>
    </w:rPr>
  </w:style>
  <w:style w:type="character" w:customStyle="1" w:styleId="BalloonTextChar">
    <w:name w:val="Balloon Text Char"/>
    <w:basedOn w:val="DefaultParagraphFont"/>
    <w:link w:val="BalloonText"/>
    <w:rsid w:val="00A562FE"/>
    <w:rPr>
      <w:rFonts w:ascii="Tahoma" w:eastAsia="Times New Roman" w:hAnsi="Tahoma" w:cs="Tahoma"/>
      <w:sz w:val="16"/>
      <w:szCs w:val="16"/>
      <w:lang w:eastAsia="en-GB"/>
    </w:rPr>
  </w:style>
  <w:style w:type="character" w:styleId="Strong">
    <w:name w:val="Strong"/>
    <w:uiPriority w:val="22"/>
    <w:qFormat/>
    <w:rsid w:val="00A562FE"/>
    <w:rPr>
      <w:b/>
      <w:bCs/>
    </w:rPr>
  </w:style>
  <w:style w:type="paragraph" w:styleId="BodyTextIndent3">
    <w:name w:val="Body Text Indent 3"/>
    <w:basedOn w:val="Normal"/>
    <w:link w:val="BodyTextIndent3Char"/>
    <w:rsid w:val="00A562FE"/>
    <w:pPr>
      <w:ind w:left="900" w:hanging="900"/>
      <w:jc w:val="both"/>
    </w:pPr>
    <w:rPr>
      <w:rFonts w:ascii="Arial" w:hAnsi="Arial" w:cs="Arial"/>
      <w:lang w:eastAsia="en-US"/>
    </w:rPr>
  </w:style>
  <w:style w:type="character" w:customStyle="1" w:styleId="BodyTextIndent3Char">
    <w:name w:val="Body Text Indent 3 Char"/>
    <w:basedOn w:val="DefaultParagraphFont"/>
    <w:link w:val="BodyTextIndent3"/>
    <w:rsid w:val="00A562FE"/>
    <w:rPr>
      <w:rFonts w:ascii="Arial" w:eastAsia="Times New Roman" w:hAnsi="Arial" w:cs="Arial"/>
      <w:sz w:val="24"/>
      <w:szCs w:val="24"/>
    </w:rPr>
  </w:style>
  <w:style w:type="paragraph" w:styleId="ListParagraph">
    <w:name w:val="List Paragraph"/>
    <w:basedOn w:val="Normal"/>
    <w:uiPriority w:val="34"/>
    <w:qFormat/>
    <w:rsid w:val="00A562FE"/>
    <w:pPr>
      <w:ind w:left="720"/>
    </w:pPr>
  </w:style>
  <w:style w:type="paragraph" w:customStyle="1" w:styleId="Single">
    <w:name w:val="Single"/>
    <w:basedOn w:val="Normal"/>
    <w:rsid w:val="00A562FE"/>
    <w:rPr>
      <w:rFonts w:ascii="Arial" w:hAnsi="Arial"/>
      <w:szCs w:val="20"/>
      <w:lang w:eastAsia="en-US"/>
    </w:rPr>
  </w:style>
  <w:style w:type="paragraph" w:styleId="NoSpacing">
    <w:name w:val="No Spacing"/>
    <w:uiPriority w:val="1"/>
    <w:qFormat/>
    <w:rsid w:val="00A562FE"/>
    <w:pPr>
      <w:spacing w:after="0" w:line="240" w:lineRule="auto"/>
    </w:pPr>
    <w:rPr>
      <w:rFonts w:ascii="Arial" w:eastAsia="Times New Roman" w:hAnsi="Arial" w:cs="Times New Roman"/>
      <w:sz w:val="24"/>
      <w:szCs w:val="24"/>
    </w:rPr>
  </w:style>
  <w:style w:type="character" w:customStyle="1" w:styleId="normal1">
    <w:name w:val="normal1"/>
    <w:rsid w:val="00A562FE"/>
    <w:rPr>
      <w:rFonts w:ascii="Verdana" w:hAnsi="Verdana" w:hint="default"/>
      <w:b w:val="0"/>
      <w:bCs w:val="0"/>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F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62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562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62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62FE"/>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A562F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A562F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A562FE"/>
    <w:pPr>
      <w:tabs>
        <w:tab w:val="num" w:pos="1296"/>
      </w:tabs>
      <w:spacing w:before="240" w:after="60"/>
      <w:ind w:left="1296" w:hanging="1296"/>
      <w:outlineLvl w:val="6"/>
    </w:pPr>
  </w:style>
  <w:style w:type="paragraph" w:styleId="Heading8">
    <w:name w:val="heading 8"/>
    <w:basedOn w:val="Normal"/>
    <w:next w:val="Normal"/>
    <w:link w:val="Heading8Char"/>
    <w:qFormat/>
    <w:rsid w:val="00A562FE"/>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A562FE"/>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62FE"/>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A562FE"/>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A562F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562F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562FE"/>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A562FE"/>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562F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562F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562FE"/>
    <w:rPr>
      <w:rFonts w:ascii="Arial" w:eastAsia="Times New Roman" w:hAnsi="Arial" w:cs="Arial"/>
      <w:lang w:eastAsia="en-GB"/>
    </w:rPr>
  </w:style>
  <w:style w:type="paragraph" w:styleId="Header">
    <w:name w:val="header"/>
    <w:basedOn w:val="Normal"/>
    <w:link w:val="HeaderChar"/>
    <w:rsid w:val="00A562FE"/>
    <w:pPr>
      <w:tabs>
        <w:tab w:val="center" w:pos="4153"/>
        <w:tab w:val="right" w:pos="8306"/>
      </w:tabs>
    </w:pPr>
  </w:style>
  <w:style w:type="character" w:customStyle="1" w:styleId="HeaderChar">
    <w:name w:val="Header Char"/>
    <w:basedOn w:val="DefaultParagraphFont"/>
    <w:link w:val="Header"/>
    <w:rsid w:val="00A562FE"/>
    <w:rPr>
      <w:rFonts w:ascii="Times New Roman" w:eastAsia="Times New Roman" w:hAnsi="Times New Roman" w:cs="Times New Roman"/>
      <w:sz w:val="24"/>
      <w:szCs w:val="24"/>
      <w:lang w:eastAsia="en-GB"/>
    </w:rPr>
  </w:style>
  <w:style w:type="paragraph" w:styleId="Footer">
    <w:name w:val="footer"/>
    <w:basedOn w:val="Normal"/>
    <w:link w:val="FooterChar"/>
    <w:rsid w:val="00A562FE"/>
    <w:pPr>
      <w:tabs>
        <w:tab w:val="center" w:pos="4153"/>
        <w:tab w:val="right" w:pos="8306"/>
      </w:tabs>
    </w:pPr>
  </w:style>
  <w:style w:type="character" w:customStyle="1" w:styleId="FooterChar">
    <w:name w:val="Footer Char"/>
    <w:basedOn w:val="DefaultParagraphFont"/>
    <w:link w:val="Footer"/>
    <w:rsid w:val="00A562FE"/>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562FE"/>
    <w:rPr>
      <w:sz w:val="20"/>
      <w:szCs w:val="20"/>
    </w:rPr>
  </w:style>
  <w:style w:type="character" w:customStyle="1" w:styleId="FootnoteTextChar">
    <w:name w:val="Footnote Text Char"/>
    <w:basedOn w:val="DefaultParagraphFont"/>
    <w:link w:val="FootnoteText"/>
    <w:semiHidden/>
    <w:rsid w:val="00A562FE"/>
    <w:rPr>
      <w:rFonts w:ascii="Times New Roman" w:eastAsia="Times New Roman" w:hAnsi="Times New Roman" w:cs="Times New Roman"/>
      <w:sz w:val="20"/>
      <w:szCs w:val="20"/>
      <w:lang w:eastAsia="en-GB"/>
    </w:rPr>
  </w:style>
  <w:style w:type="character" w:styleId="FootnoteReference">
    <w:name w:val="footnote reference"/>
    <w:semiHidden/>
    <w:rsid w:val="00A562FE"/>
    <w:rPr>
      <w:vertAlign w:val="superscript"/>
    </w:rPr>
  </w:style>
  <w:style w:type="paragraph" w:customStyle="1" w:styleId="Default">
    <w:name w:val="Default"/>
    <w:rsid w:val="00A562FE"/>
    <w:pPr>
      <w:autoSpaceDE w:val="0"/>
      <w:autoSpaceDN w:val="0"/>
      <w:adjustRightInd w:val="0"/>
      <w:spacing w:after="0" w:line="240" w:lineRule="auto"/>
    </w:pPr>
    <w:rPr>
      <w:rFonts w:ascii="PBBKLG+Arial" w:eastAsia="Times New Roman" w:hAnsi="PBBKLG+Arial" w:cs="PBBKLG+Arial"/>
      <w:color w:val="000000"/>
      <w:sz w:val="24"/>
      <w:szCs w:val="24"/>
      <w:lang w:eastAsia="en-GB"/>
    </w:rPr>
  </w:style>
  <w:style w:type="character" w:styleId="PageNumber">
    <w:name w:val="page number"/>
    <w:basedOn w:val="DefaultParagraphFont"/>
    <w:rsid w:val="00A562FE"/>
  </w:style>
  <w:style w:type="character" w:styleId="Emphasis">
    <w:name w:val="Emphasis"/>
    <w:uiPriority w:val="20"/>
    <w:qFormat/>
    <w:rsid w:val="00A562FE"/>
    <w:rPr>
      <w:i/>
      <w:iCs/>
    </w:rPr>
  </w:style>
  <w:style w:type="table" w:styleId="TableGrid">
    <w:name w:val="Table Grid"/>
    <w:basedOn w:val="TableNormal"/>
    <w:uiPriority w:val="59"/>
    <w:rsid w:val="00A562F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562FE"/>
    <w:rPr>
      <w:rFonts w:cs="Times New Roman"/>
      <w:color w:val="0000FF"/>
      <w:u w:val="single"/>
    </w:rPr>
  </w:style>
  <w:style w:type="paragraph" w:styleId="NormalWeb">
    <w:name w:val="Normal (Web)"/>
    <w:basedOn w:val="Normal"/>
    <w:uiPriority w:val="99"/>
    <w:rsid w:val="00A562FE"/>
    <w:pPr>
      <w:spacing w:before="100" w:beforeAutospacing="1" w:after="100" w:afterAutospacing="1"/>
    </w:pPr>
  </w:style>
  <w:style w:type="paragraph" w:styleId="BalloonText">
    <w:name w:val="Balloon Text"/>
    <w:basedOn w:val="Normal"/>
    <w:link w:val="BalloonTextChar"/>
    <w:rsid w:val="00A562FE"/>
    <w:rPr>
      <w:rFonts w:ascii="Tahoma" w:hAnsi="Tahoma" w:cs="Tahoma"/>
      <w:sz w:val="16"/>
      <w:szCs w:val="16"/>
    </w:rPr>
  </w:style>
  <w:style w:type="character" w:customStyle="1" w:styleId="BalloonTextChar">
    <w:name w:val="Balloon Text Char"/>
    <w:basedOn w:val="DefaultParagraphFont"/>
    <w:link w:val="BalloonText"/>
    <w:rsid w:val="00A562FE"/>
    <w:rPr>
      <w:rFonts w:ascii="Tahoma" w:eastAsia="Times New Roman" w:hAnsi="Tahoma" w:cs="Tahoma"/>
      <w:sz w:val="16"/>
      <w:szCs w:val="16"/>
      <w:lang w:eastAsia="en-GB"/>
    </w:rPr>
  </w:style>
  <w:style w:type="character" w:styleId="Strong">
    <w:name w:val="Strong"/>
    <w:uiPriority w:val="22"/>
    <w:qFormat/>
    <w:rsid w:val="00A562FE"/>
    <w:rPr>
      <w:b/>
      <w:bCs/>
    </w:rPr>
  </w:style>
  <w:style w:type="paragraph" w:styleId="BodyTextIndent3">
    <w:name w:val="Body Text Indent 3"/>
    <w:basedOn w:val="Normal"/>
    <w:link w:val="BodyTextIndent3Char"/>
    <w:rsid w:val="00A562FE"/>
    <w:pPr>
      <w:ind w:left="900" w:hanging="900"/>
      <w:jc w:val="both"/>
    </w:pPr>
    <w:rPr>
      <w:rFonts w:ascii="Arial" w:hAnsi="Arial" w:cs="Arial"/>
      <w:lang w:eastAsia="en-US"/>
    </w:rPr>
  </w:style>
  <w:style w:type="character" w:customStyle="1" w:styleId="BodyTextIndent3Char">
    <w:name w:val="Body Text Indent 3 Char"/>
    <w:basedOn w:val="DefaultParagraphFont"/>
    <w:link w:val="BodyTextIndent3"/>
    <w:rsid w:val="00A562FE"/>
    <w:rPr>
      <w:rFonts w:ascii="Arial" w:eastAsia="Times New Roman" w:hAnsi="Arial" w:cs="Arial"/>
      <w:sz w:val="24"/>
      <w:szCs w:val="24"/>
    </w:rPr>
  </w:style>
  <w:style w:type="paragraph" w:styleId="ListParagraph">
    <w:name w:val="List Paragraph"/>
    <w:basedOn w:val="Normal"/>
    <w:uiPriority w:val="34"/>
    <w:qFormat/>
    <w:rsid w:val="00A562FE"/>
    <w:pPr>
      <w:ind w:left="720"/>
    </w:pPr>
  </w:style>
  <w:style w:type="paragraph" w:customStyle="1" w:styleId="Single">
    <w:name w:val="Single"/>
    <w:basedOn w:val="Normal"/>
    <w:rsid w:val="00A562FE"/>
    <w:rPr>
      <w:rFonts w:ascii="Arial" w:hAnsi="Arial"/>
      <w:szCs w:val="20"/>
      <w:lang w:eastAsia="en-US"/>
    </w:rPr>
  </w:style>
  <w:style w:type="paragraph" w:styleId="NoSpacing">
    <w:name w:val="No Spacing"/>
    <w:uiPriority w:val="1"/>
    <w:qFormat/>
    <w:rsid w:val="00A562FE"/>
    <w:pPr>
      <w:spacing w:after="0" w:line="240" w:lineRule="auto"/>
    </w:pPr>
    <w:rPr>
      <w:rFonts w:ascii="Arial" w:eastAsia="Times New Roman" w:hAnsi="Arial" w:cs="Times New Roman"/>
      <w:sz w:val="24"/>
      <w:szCs w:val="24"/>
    </w:rPr>
  </w:style>
  <w:style w:type="character" w:customStyle="1" w:styleId="normal1">
    <w:name w:val="normal1"/>
    <w:rsid w:val="00A562FE"/>
    <w:rPr>
      <w:rFonts w:ascii="Verdana" w:hAnsi="Verdana" w:hint="default"/>
      <w:b w:val="0"/>
      <w:b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gov.uk/ons/rel/snpp/sub-national-population-projections/Interim-2011-based/rft-table-5.xls"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chford.gov.uk/council_and_democracy/rochford_district_area_profile"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essexinsight.org.uk/Resource.aspx?GroupID=2&amp;ResourceID=38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apho.org.uk/resource/item.aspx?RID=142268" TargetMode="External"/><Relationship Id="rId10" Type="http://schemas.openxmlformats.org/officeDocument/2006/relationships/footer" Target="footer1.xml"/><Relationship Id="rId19" Type="http://schemas.openxmlformats.org/officeDocument/2006/relationships/hyperlink" Target="http://www.nomisweb.co.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www.essexinsight.org.uk/Resource.aspx?ResourceID=38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ingertips.phe.org.uk/profile-group/mental-health/profile/cmhp/data#gid/8000053/pat/44/ati/19/page/0/par/E40000002/are/E38000007" TargetMode="External"/><Relationship Id="rId2" Type="http://schemas.openxmlformats.org/officeDocument/2006/relationships/hyperlink" Target="http://www.essexinsight.org.uk/Resource.aspx?GroupID=2&amp;ResourceID=382" TargetMode="External"/><Relationship Id="rId1" Type="http://schemas.openxmlformats.org/officeDocument/2006/relationships/hyperlink" Target="http://fingertips.phe.org.uk/profile-group/mental-health/profile/severe-mental-illness/data#gid/8000027/pat/6/ati/101/page/0/par/E12000006/are/E07000200" TargetMode="External"/><Relationship Id="rId4" Type="http://schemas.openxmlformats.org/officeDocument/2006/relationships/hyperlink" Target="http://fingertips.phe.org.uk/profile-group/mental-health/profile/severe-mental-illness/data#gid/8000030/pat/6/ati/101/page/0/par/E12000006/are/E0700020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5319148936171"/>
          <c:y val="0.29359823399558499"/>
          <c:w val="0.4"/>
          <c:h val="0.41501103752759383"/>
        </c:manualLayout>
      </c:layout>
      <c:pieChart>
        <c:varyColors val="1"/>
        <c:ser>
          <c:idx val="0"/>
          <c:order val="0"/>
          <c:tx>
            <c:strRef>
              <c:f>Sheet1!$A$2</c:f>
              <c:strCache>
                <c:ptCount val="1"/>
              </c:strCache>
            </c:strRef>
          </c:tx>
          <c:spPr>
            <a:solidFill>
              <a:srgbClr val="9999FF"/>
            </a:solidFill>
            <a:ln w="12694">
              <a:solidFill>
                <a:srgbClr val="000000"/>
              </a:solidFill>
              <a:prstDash val="solid"/>
            </a:ln>
          </c:spPr>
          <c:dPt>
            <c:idx val="0"/>
            <c:bubble3D val="0"/>
          </c:dPt>
          <c:dPt>
            <c:idx val="1"/>
            <c:bubble3D val="0"/>
            <c:spPr>
              <a:solidFill>
                <a:srgbClr val="993366"/>
              </a:solidFill>
              <a:ln w="12694">
                <a:solidFill>
                  <a:srgbClr val="000000"/>
                </a:solidFill>
                <a:prstDash val="solid"/>
              </a:ln>
            </c:spPr>
          </c:dPt>
          <c:dPt>
            <c:idx val="2"/>
            <c:bubble3D val="0"/>
            <c:spPr>
              <a:solidFill>
                <a:srgbClr val="FFFFCC"/>
              </a:solidFill>
              <a:ln w="12694">
                <a:solidFill>
                  <a:srgbClr val="000000"/>
                </a:solidFill>
                <a:prstDash val="solid"/>
              </a:ln>
            </c:spPr>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Pt>
            <c:idx val="5"/>
            <c:bubble3D val="0"/>
            <c:spPr>
              <a:solidFill>
                <a:srgbClr val="FF8080"/>
              </a:solidFill>
              <a:ln w="12694">
                <a:solidFill>
                  <a:srgbClr val="000000"/>
                </a:solidFill>
                <a:prstDash val="solid"/>
              </a:ln>
            </c:spPr>
          </c:dPt>
          <c:dPt>
            <c:idx val="6"/>
            <c:bubble3D val="0"/>
            <c:spPr>
              <a:solidFill>
                <a:srgbClr val="0066CC"/>
              </a:solidFill>
              <a:ln w="12694">
                <a:solidFill>
                  <a:srgbClr val="000000"/>
                </a:solidFill>
                <a:prstDash val="solid"/>
              </a:ln>
            </c:spPr>
          </c:dPt>
          <c:dPt>
            <c:idx val="7"/>
            <c:bubble3D val="0"/>
            <c:spPr>
              <a:solidFill>
                <a:srgbClr val="CCCCFF"/>
              </a:solidFill>
              <a:ln w="12694">
                <a:solidFill>
                  <a:srgbClr val="000000"/>
                </a:solidFill>
                <a:prstDash val="solid"/>
              </a:ln>
            </c:spPr>
          </c:dPt>
          <c:dPt>
            <c:idx val="8"/>
            <c:bubble3D val="0"/>
            <c:spPr>
              <a:solidFill>
                <a:srgbClr val="000080"/>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Sheet1!$B$1:$J$1</c:f>
              <c:strCache>
                <c:ptCount val="9"/>
                <c:pt idx="0">
                  <c:v>Benefits</c:v>
                </c:pt>
                <c:pt idx="1">
                  <c:v>Consumer goods and services</c:v>
                </c:pt>
                <c:pt idx="2">
                  <c:v>Debt</c:v>
                </c:pt>
                <c:pt idx="3">
                  <c:v>Employment</c:v>
                </c:pt>
                <c:pt idx="4">
                  <c:v>Housing</c:v>
                </c:pt>
                <c:pt idx="5">
                  <c:v>Legal</c:v>
                </c:pt>
                <c:pt idx="6">
                  <c:v>Relationships and family</c:v>
                </c:pt>
                <c:pt idx="7">
                  <c:v>Utilities &amp; communications</c:v>
                </c:pt>
                <c:pt idx="8">
                  <c:v>Other</c:v>
                </c:pt>
              </c:strCache>
            </c:strRef>
          </c:cat>
          <c:val>
            <c:numRef>
              <c:f>Sheet1!$B$2:$J$2</c:f>
              <c:numCache>
                <c:formatCode>0%</c:formatCode>
                <c:ptCount val="9"/>
                <c:pt idx="0">
                  <c:v>0.34</c:v>
                </c:pt>
                <c:pt idx="1">
                  <c:v>0.03</c:v>
                </c:pt>
                <c:pt idx="2">
                  <c:v>0.18</c:v>
                </c:pt>
                <c:pt idx="3">
                  <c:v>0.09</c:v>
                </c:pt>
                <c:pt idx="4">
                  <c:v>0.1</c:v>
                </c:pt>
                <c:pt idx="5">
                  <c:v>0.05</c:v>
                </c:pt>
                <c:pt idx="6">
                  <c:v>0.11</c:v>
                </c:pt>
                <c:pt idx="7">
                  <c:v>0.03</c:v>
                </c:pt>
                <c:pt idx="8">
                  <c:v>7.0000000000000007E-2</c:v>
                </c:pt>
              </c:numCache>
            </c:numRef>
          </c:val>
        </c:ser>
        <c:ser>
          <c:idx val="1"/>
          <c:order val="1"/>
          <c:tx>
            <c:strRef>
              <c:f>Sheet1!$A$3</c:f>
              <c:strCache>
                <c:ptCount val="1"/>
              </c:strCache>
            </c:strRef>
          </c:tx>
          <c:spPr>
            <a:solidFill>
              <a:srgbClr val="993366"/>
            </a:solidFill>
            <a:ln w="12694">
              <a:solidFill>
                <a:srgbClr val="000000"/>
              </a:solidFill>
              <a:prstDash val="solid"/>
            </a:ln>
          </c:spPr>
          <c:dPt>
            <c:idx val="0"/>
            <c:bubble3D val="0"/>
            <c:spPr>
              <a:solidFill>
                <a:srgbClr val="9999FF"/>
              </a:solidFill>
              <a:ln w="12694">
                <a:solidFill>
                  <a:srgbClr val="000000"/>
                </a:solidFill>
                <a:prstDash val="solid"/>
              </a:ln>
            </c:spPr>
          </c:dPt>
          <c:dPt>
            <c:idx val="1"/>
            <c:bubble3D val="0"/>
          </c:dPt>
          <c:dPt>
            <c:idx val="2"/>
            <c:bubble3D val="0"/>
            <c:spPr>
              <a:solidFill>
                <a:srgbClr val="FFFFCC"/>
              </a:solidFill>
              <a:ln w="12694">
                <a:solidFill>
                  <a:srgbClr val="000000"/>
                </a:solidFill>
                <a:prstDash val="solid"/>
              </a:ln>
            </c:spPr>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Pt>
            <c:idx val="5"/>
            <c:bubble3D val="0"/>
            <c:spPr>
              <a:solidFill>
                <a:srgbClr val="FF8080"/>
              </a:solidFill>
              <a:ln w="12694">
                <a:solidFill>
                  <a:srgbClr val="000000"/>
                </a:solidFill>
                <a:prstDash val="solid"/>
              </a:ln>
            </c:spPr>
          </c:dPt>
          <c:dPt>
            <c:idx val="6"/>
            <c:bubble3D val="0"/>
            <c:spPr>
              <a:solidFill>
                <a:srgbClr val="0066CC"/>
              </a:solidFill>
              <a:ln w="12694">
                <a:solidFill>
                  <a:srgbClr val="000000"/>
                </a:solidFill>
                <a:prstDash val="solid"/>
              </a:ln>
            </c:spPr>
          </c:dPt>
          <c:dPt>
            <c:idx val="7"/>
            <c:bubble3D val="0"/>
            <c:spPr>
              <a:solidFill>
                <a:srgbClr val="CCCCFF"/>
              </a:solidFill>
              <a:ln w="12694">
                <a:solidFill>
                  <a:srgbClr val="000000"/>
                </a:solidFill>
                <a:prstDash val="solid"/>
              </a:ln>
            </c:spPr>
          </c:dPt>
          <c:dPt>
            <c:idx val="8"/>
            <c:bubble3D val="0"/>
            <c:spPr>
              <a:solidFill>
                <a:srgbClr val="000080"/>
              </a:solidFill>
              <a:ln w="12694">
                <a:solidFill>
                  <a:srgbClr val="000000"/>
                </a:solidFill>
                <a:prstDash val="solid"/>
              </a:ln>
            </c:spPr>
          </c:dPt>
          <c:cat>
            <c:strRef>
              <c:f>Sheet1!$B$1:$J$1</c:f>
              <c:strCache>
                <c:ptCount val="9"/>
                <c:pt idx="0">
                  <c:v>Benefits</c:v>
                </c:pt>
                <c:pt idx="1">
                  <c:v>Consumer goods and services</c:v>
                </c:pt>
                <c:pt idx="2">
                  <c:v>Debt</c:v>
                </c:pt>
                <c:pt idx="3">
                  <c:v>Employment</c:v>
                </c:pt>
                <c:pt idx="4">
                  <c:v>Housing</c:v>
                </c:pt>
                <c:pt idx="5">
                  <c:v>Legal</c:v>
                </c:pt>
                <c:pt idx="6">
                  <c:v>Relationships and family</c:v>
                </c:pt>
                <c:pt idx="7">
                  <c:v>Utilities &amp; communications</c:v>
                </c:pt>
                <c:pt idx="8">
                  <c:v>Other</c:v>
                </c:pt>
              </c:strCache>
            </c:strRef>
          </c:cat>
          <c:val>
            <c:numRef>
              <c:f>Sheet1!$B$3:$J$3</c:f>
              <c:numCache>
                <c:formatCode>General</c:formatCode>
                <c:ptCount val="9"/>
              </c:numCache>
            </c:numRef>
          </c:val>
        </c:ser>
        <c:ser>
          <c:idx val="2"/>
          <c:order val="2"/>
          <c:tx>
            <c:strRef>
              <c:f>Sheet1!$A$4</c:f>
              <c:strCache>
                <c:ptCount val="1"/>
              </c:strCache>
            </c:strRef>
          </c:tx>
          <c:spPr>
            <a:solidFill>
              <a:srgbClr val="FFFFCC"/>
            </a:solidFill>
            <a:ln w="12694">
              <a:solidFill>
                <a:srgbClr val="000000"/>
              </a:solidFill>
              <a:prstDash val="solid"/>
            </a:ln>
          </c:spPr>
          <c:dPt>
            <c:idx val="0"/>
            <c:bubble3D val="0"/>
            <c:spPr>
              <a:solidFill>
                <a:srgbClr val="9999FF"/>
              </a:solidFill>
              <a:ln w="12694">
                <a:solidFill>
                  <a:srgbClr val="000000"/>
                </a:solidFill>
                <a:prstDash val="solid"/>
              </a:ln>
            </c:spPr>
          </c:dPt>
          <c:dPt>
            <c:idx val="1"/>
            <c:bubble3D val="0"/>
            <c:spPr>
              <a:solidFill>
                <a:srgbClr val="993366"/>
              </a:solidFill>
              <a:ln w="12694">
                <a:solidFill>
                  <a:srgbClr val="000000"/>
                </a:solidFill>
                <a:prstDash val="solid"/>
              </a:ln>
            </c:spPr>
          </c:dPt>
          <c:dPt>
            <c:idx val="2"/>
            <c:bubble3D val="0"/>
          </c:dPt>
          <c:dPt>
            <c:idx val="3"/>
            <c:bubble3D val="0"/>
            <c:spPr>
              <a:solidFill>
                <a:srgbClr val="CCFFFF"/>
              </a:solidFill>
              <a:ln w="12694">
                <a:solidFill>
                  <a:srgbClr val="000000"/>
                </a:solidFill>
                <a:prstDash val="solid"/>
              </a:ln>
            </c:spPr>
          </c:dPt>
          <c:dPt>
            <c:idx val="4"/>
            <c:bubble3D val="0"/>
            <c:spPr>
              <a:solidFill>
                <a:srgbClr val="660066"/>
              </a:solidFill>
              <a:ln w="12694">
                <a:solidFill>
                  <a:srgbClr val="000000"/>
                </a:solidFill>
                <a:prstDash val="solid"/>
              </a:ln>
            </c:spPr>
          </c:dPt>
          <c:dPt>
            <c:idx val="5"/>
            <c:bubble3D val="0"/>
            <c:spPr>
              <a:solidFill>
                <a:srgbClr val="FF8080"/>
              </a:solidFill>
              <a:ln w="12694">
                <a:solidFill>
                  <a:srgbClr val="000000"/>
                </a:solidFill>
                <a:prstDash val="solid"/>
              </a:ln>
            </c:spPr>
          </c:dPt>
          <c:dPt>
            <c:idx val="6"/>
            <c:bubble3D val="0"/>
            <c:spPr>
              <a:solidFill>
                <a:srgbClr val="0066CC"/>
              </a:solidFill>
              <a:ln w="12694">
                <a:solidFill>
                  <a:srgbClr val="000000"/>
                </a:solidFill>
                <a:prstDash val="solid"/>
              </a:ln>
            </c:spPr>
          </c:dPt>
          <c:dPt>
            <c:idx val="7"/>
            <c:bubble3D val="0"/>
            <c:spPr>
              <a:solidFill>
                <a:srgbClr val="CCCCFF"/>
              </a:solidFill>
              <a:ln w="12694">
                <a:solidFill>
                  <a:srgbClr val="000000"/>
                </a:solidFill>
                <a:prstDash val="solid"/>
              </a:ln>
            </c:spPr>
          </c:dPt>
          <c:dPt>
            <c:idx val="8"/>
            <c:bubble3D val="0"/>
            <c:spPr>
              <a:solidFill>
                <a:srgbClr val="000080"/>
              </a:solidFill>
              <a:ln w="12694">
                <a:solidFill>
                  <a:srgbClr val="000000"/>
                </a:solidFill>
                <a:prstDash val="solid"/>
              </a:ln>
            </c:spPr>
          </c:dPt>
          <c:cat>
            <c:strRef>
              <c:f>Sheet1!$B$1:$J$1</c:f>
              <c:strCache>
                <c:ptCount val="9"/>
                <c:pt idx="0">
                  <c:v>Benefits</c:v>
                </c:pt>
                <c:pt idx="1">
                  <c:v>Consumer goods and services</c:v>
                </c:pt>
                <c:pt idx="2">
                  <c:v>Debt</c:v>
                </c:pt>
                <c:pt idx="3">
                  <c:v>Employment</c:v>
                </c:pt>
                <c:pt idx="4">
                  <c:v>Housing</c:v>
                </c:pt>
                <c:pt idx="5">
                  <c:v>Legal</c:v>
                </c:pt>
                <c:pt idx="6">
                  <c:v>Relationships and family</c:v>
                </c:pt>
                <c:pt idx="7">
                  <c:v>Utilities &amp; communications</c:v>
                </c:pt>
                <c:pt idx="8">
                  <c:v>Other</c:v>
                </c:pt>
              </c:strCache>
            </c:strRef>
          </c:cat>
          <c:val>
            <c:numRef>
              <c:f>Sheet1!$B$4:$J$4</c:f>
              <c:numCache>
                <c:formatCode>General</c:formatCode>
                <c:ptCount val="9"/>
              </c:numCache>
            </c:numRef>
          </c:val>
        </c:ser>
        <c:dLbls>
          <c:showLegendKey val="0"/>
          <c:showVal val="0"/>
          <c:showCatName val="0"/>
          <c:showSerName val="0"/>
          <c:showPercent val="0"/>
          <c:showBubbleSize val="0"/>
          <c:showLeaderLines val="1"/>
        </c:dLbls>
        <c:firstSliceAng val="0"/>
      </c:pieChart>
      <c:spPr>
        <a:solidFill>
          <a:srgbClr val="C0C0C0"/>
        </a:solidFill>
        <a:ln w="12694">
          <a:solidFill>
            <a:srgbClr val="808080"/>
          </a:solidFill>
          <a:prstDash val="solid"/>
        </a:ln>
      </c:spPr>
    </c:plotArea>
    <c:legend>
      <c:legendPos val="r"/>
      <c:layout>
        <c:manualLayout>
          <c:xMode val="edge"/>
          <c:yMode val="edge"/>
          <c:x val="0.68297872340425536"/>
          <c:y val="7.0640176600441501E-2"/>
          <c:w val="0.30851063829787234"/>
          <c:h val="0.85651214128035325"/>
        </c:manualLayout>
      </c:layout>
      <c:overlay val="0"/>
      <c:spPr>
        <a:noFill/>
        <a:ln w="3174">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6D64-FBFE-41EC-A588-D88BD96F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5C04B151</Template>
  <TotalTime>1</TotalTime>
  <Pages>28</Pages>
  <Words>6146</Words>
  <Characters>35033</Characters>
  <Application>Microsoft Office Word</Application>
  <DocSecurity>0</DocSecurity>
  <Lines>291</Lines>
  <Paragraphs>82</Paragraphs>
  <ScaleCrop>false</ScaleCrop>
  <Company/>
  <LinksUpToDate>false</LinksUpToDate>
  <CharactersWithSpaces>41097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Lowing</dc:creator>
  <cp:lastModifiedBy>Andrew Lowing</cp:lastModifiedBy>
  <cp:revision>1</cp:revision>
  <dcterms:created xsi:type="dcterms:W3CDTF">2015-08-04T13:23:00Z</dcterms:created>
  <dcterms:modified xsi:type="dcterms:W3CDTF">2015-08-04T13:24:00Z</dcterms:modified>
</cp:coreProperties>
</file>