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692213" w:rsidRDefault="00544E7F">
      <w:pPr>
        <w:rPr>
          <w:i/>
          <w:color w:val="FF0000"/>
        </w:rPr>
      </w:pPr>
      <w:r w:rsidRPr="00544E7F">
        <w:rPr>
          <w:i/>
          <w:color w:val="FF0000"/>
        </w:rPr>
        <w:t>Greenways Phase 1 – Porous Surface Installation contract</w:t>
      </w:r>
    </w:p>
    <w:p w:rsidR="00544E7F" w:rsidRDefault="00544E7F"/>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CD3923" w:rsidRPr="002C4161" w:rsidTr="00692213">
        <w:tc>
          <w:tcPr>
            <w:tcW w:w="675" w:type="dxa"/>
          </w:tcPr>
          <w:p w:rsidR="00CD3923" w:rsidRPr="002C4161" w:rsidRDefault="00CD3923">
            <w:r w:rsidRPr="002C4161">
              <w:t>1</w:t>
            </w:r>
          </w:p>
        </w:tc>
        <w:tc>
          <w:tcPr>
            <w:tcW w:w="1191" w:type="dxa"/>
          </w:tcPr>
          <w:p w:rsidR="00CD3923" w:rsidRPr="00CA09F7" w:rsidRDefault="009E3F66" w:rsidP="003F2C96">
            <w:r>
              <w:t>18/04/17</w:t>
            </w:r>
          </w:p>
        </w:tc>
        <w:tc>
          <w:tcPr>
            <w:tcW w:w="6039" w:type="dxa"/>
          </w:tcPr>
          <w:p w:rsidR="00CD3923" w:rsidRPr="00CA09F7" w:rsidRDefault="009E3F66" w:rsidP="009E3F66">
            <w:pPr>
              <w:rPr>
                <w:rFonts w:eastAsia="Times New Roman" w:cs="Arial"/>
              </w:rPr>
            </w:pPr>
            <w:r>
              <w:rPr>
                <w:color w:val="0B0C0C"/>
                <w:lang w:val="en"/>
              </w:rPr>
              <w:t>Will the main contractor have storage areas set in different locations along the route</w:t>
            </w:r>
            <w:r w:rsidR="00655ACD">
              <w:rPr>
                <w:color w:val="0B0C0C"/>
                <w:lang w:val="en"/>
              </w:rPr>
              <w:t>?</w:t>
            </w:r>
          </w:p>
        </w:tc>
        <w:tc>
          <w:tcPr>
            <w:tcW w:w="5528" w:type="dxa"/>
          </w:tcPr>
          <w:p w:rsidR="00CD3923" w:rsidRPr="00CA09F7" w:rsidRDefault="003A532F" w:rsidP="00D42F0C">
            <w:pPr>
              <w:ind w:left="360"/>
              <w:rPr>
                <w:color w:val="FF0000"/>
              </w:rPr>
            </w:pPr>
            <w:r>
              <w:rPr>
                <w:color w:val="FF0000"/>
              </w:rPr>
              <w:t>The main contractor has yet to be appointed but it was outlined in the main tender that their duties were to closely liaise with the surfacing contractor and supervise the final surfacing works. This will have to be agreed as part of the methodology with the main contractor upon both appointments.</w:t>
            </w:r>
          </w:p>
        </w:tc>
        <w:tc>
          <w:tcPr>
            <w:tcW w:w="1276" w:type="dxa"/>
          </w:tcPr>
          <w:p w:rsidR="00CD3923" w:rsidRPr="002C4161" w:rsidRDefault="009E3F66" w:rsidP="00891463">
            <w:pPr>
              <w:rPr>
                <w:color w:val="FF0000"/>
              </w:rPr>
            </w:pPr>
            <w:r>
              <w:rPr>
                <w:color w:val="FF0000"/>
              </w:rPr>
              <w:t>20/04/17</w:t>
            </w:r>
          </w:p>
        </w:tc>
      </w:tr>
      <w:tr w:rsidR="00CA09F7" w:rsidRPr="002C4161" w:rsidTr="00692213">
        <w:tc>
          <w:tcPr>
            <w:tcW w:w="675" w:type="dxa"/>
          </w:tcPr>
          <w:p w:rsidR="00CA09F7" w:rsidRPr="002C4161" w:rsidRDefault="00CA09F7">
            <w:r>
              <w:t>2</w:t>
            </w:r>
          </w:p>
        </w:tc>
        <w:tc>
          <w:tcPr>
            <w:tcW w:w="1191" w:type="dxa"/>
          </w:tcPr>
          <w:p w:rsidR="00CA09F7" w:rsidRPr="00CA09F7" w:rsidRDefault="009E3F66" w:rsidP="003F2C96">
            <w:r>
              <w:t>18/04/17</w:t>
            </w:r>
          </w:p>
        </w:tc>
        <w:tc>
          <w:tcPr>
            <w:tcW w:w="6039" w:type="dxa"/>
          </w:tcPr>
          <w:p w:rsidR="00CA09F7" w:rsidRPr="00CA09F7" w:rsidRDefault="009E3F66" w:rsidP="00CA09F7">
            <w:pPr>
              <w:rPr>
                <w:rFonts w:eastAsia="Times New Roman" w:cs="Arial"/>
              </w:rPr>
            </w:pPr>
            <w:r>
              <w:rPr>
                <w:rFonts w:eastAsia="Times New Roman" w:cs="Arial"/>
              </w:rPr>
              <w:t>Will the main contractor be supplying the plant and vehicles to move the material to the installation location?</w:t>
            </w:r>
          </w:p>
        </w:tc>
        <w:tc>
          <w:tcPr>
            <w:tcW w:w="5528" w:type="dxa"/>
          </w:tcPr>
          <w:p w:rsidR="00CA09F7" w:rsidRPr="00CA09F7" w:rsidRDefault="003A532F" w:rsidP="00D42F0C">
            <w:pPr>
              <w:ind w:left="360"/>
              <w:rPr>
                <w:color w:val="FF0000"/>
              </w:rPr>
            </w:pPr>
            <w:r>
              <w:rPr>
                <w:color w:val="FF0000"/>
              </w:rPr>
              <w:t>See above</w:t>
            </w:r>
          </w:p>
        </w:tc>
        <w:tc>
          <w:tcPr>
            <w:tcW w:w="1276" w:type="dxa"/>
          </w:tcPr>
          <w:p w:rsidR="00CA09F7" w:rsidRPr="002C4161" w:rsidRDefault="009E3F66" w:rsidP="003F2C96">
            <w:pPr>
              <w:rPr>
                <w:color w:val="FF0000"/>
              </w:rPr>
            </w:pPr>
            <w:r>
              <w:rPr>
                <w:color w:val="FF0000"/>
              </w:rPr>
              <w:t>20/04/17</w:t>
            </w:r>
          </w:p>
        </w:tc>
      </w:tr>
      <w:tr w:rsidR="00195600" w:rsidRPr="002C4161" w:rsidTr="00692213">
        <w:tc>
          <w:tcPr>
            <w:tcW w:w="675" w:type="dxa"/>
          </w:tcPr>
          <w:p w:rsidR="00195600" w:rsidRDefault="00195600">
            <w:r>
              <w:t>3</w:t>
            </w:r>
          </w:p>
        </w:tc>
        <w:tc>
          <w:tcPr>
            <w:tcW w:w="1191" w:type="dxa"/>
          </w:tcPr>
          <w:p w:rsidR="00195600" w:rsidRPr="00CA09F7" w:rsidRDefault="009E3F66" w:rsidP="003F2C96">
            <w:r>
              <w:t>18/04/17</w:t>
            </w:r>
          </w:p>
        </w:tc>
        <w:tc>
          <w:tcPr>
            <w:tcW w:w="6039" w:type="dxa"/>
          </w:tcPr>
          <w:p w:rsidR="00195600" w:rsidRPr="00CA09F7" w:rsidRDefault="009E3F66" w:rsidP="00CA09F7">
            <w:pPr>
              <w:rPr>
                <w:rFonts w:eastAsia="Times New Roman" w:cs="Arial"/>
              </w:rPr>
            </w:pPr>
            <w:r>
              <w:rPr>
                <w:rFonts w:eastAsia="Times New Roman" w:cs="Arial"/>
              </w:rPr>
              <w:t>Will the main contractor be securing the site at the end of each day? If yes, how will it be secure?</w:t>
            </w:r>
          </w:p>
        </w:tc>
        <w:tc>
          <w:tcPr>
            <w:tcW w:w="5528" w:type="dxa"/>
          </w:tcPr>
          <w:p w:rsidR="00195600" w:rsidRDefault="003A532F" w:rsidP="003A532F">
            <w:pPr>
              <w:ind w:left="360"/>
              <w:rPr>
                <w:color w:val="FF0000"/>
              </w:rPr>
            </w:pPr>
            <w:r>
              <w:rPr>
                <w:color w:val="FF0000"/>
              </w:rPr>
              <w:t>As a competent contractor we would expect the site to be secure, especially in the location of the works near California County Park and the FBC Centre. This was also highlighted in the main tender; however</w:t>
            </w:r>
            <w:r w:rsidR="00544E7F">
              <w:rPr>
                <w:color w:val="FF0000"/>
              </w:rPr>
              <w:t>,</w:t>
            </w:r>
            <w:r>
              <w:rPr>
                <w:color w:val="FF0000"/>
              </w:rPr>
              <w:t xml:space="preserve"> at this stage</w:t>
            </w:r>
            <w:r w:rsidR="00544E7F">
              <w:rPr>
                <w:color w:val="FF0000"/>
              </w:rPr>
              <w:t>,</w:t>
            </w:r>
            <w:r>
              <w:rPr>
                <w:color w:val="FF0000"/>
              </w:rPr>
              <w:t xml:space="preserve"> we do not know the strategy for the site. </w:t>
            </w:r>
          </w:p>
        </w:tc>
        <w:tc>
          <w:tcPr>
            <w:tcW w:w="1276" w:type="dxa"/>
          </w:tcPr>
          <w:p w:rsidR="00195600" w:rsidRDefault="009E3F66" w:rsidP="003F2C96">
            <w:pPr>
              <w:rPr>
                <w:color w:val="FF0000"/>
              </w:rPr>
            </w:pPr>
            <w:r>
              <w:rPr>
                <w:color w:val="FF0000"/>
              </w:rPr>
              <w:t>20/04/17</w:t>
            </w:r>
          </w:p>
        </w:tc>
      </w:tr>
      <w:tr w:rsidR="00656E81" w:rsidRPr="002C4161" w:rsidTr="00692213">
        <w:tc>
          <w:tcPr>
            <w:tcW w:w="675" w:type="dxa"/>
          </w:tcPr>
          <w:p w:rsidR="00656E81" w:rsidRDefault="00656E81">
            <w:r>
              <w:t>4</w:t>
            </w:r>
          </w:p>
        </w:tc>
        <w:tc>
          <w:tcPr>
            <w:tcW w:w="1191" w:type="dxa"/>
          </w:tcPr>
          <w:p w:rsidR="00656E81" w:rsidRDefault="00656E81" w:rsidP="003F2C96">
            <w:r>
              <w:t>20/04/17</w:t>
            </w:r>
          </w:p>
        </w:tc>
        <w:tc>
          <w:tcPr>
            <w:tcW w:w="6039" w:type="dxa"/>
          </w:tcPr>
          <w:p w:rsidR="00656E81" w:rsidRDefault="00656E81" w:rsidP="00CA09F7">
            <w:pPr>
              <w:rPr>
                <w:rFonts w:eastAsia="Times New Roman" w:cs="Arial"/>
              </w:rPr>
            </w:pPr>
            <w:r>
              <w:rPr>
                <w:rFonts w:ascii="Calibri" w:hAnsi="Calibri"/>
                <w:color w:val="000000"/>
              </w:rPr>
              <w:t>Could you please provide colour detail regarding the stone specification? Is there a spec</w:t>
            </w:r>
            <w:bookmarkStart w:id="0" w:name="_GoBack"/>
            <w:bookmarkEnd w:id="0"/>
            <w:r>
              <w:rPr>
                <w:rFonts w:ascii="Calibri" w:hAnsi="Calibri"/>
                <w:color w:val="000000"/>
              </w:rPr>
              <w:t>ific supplier where the 'stone age bronze' coloured stone can be obtained</w:t>
            </w:r>
          </w:p>
        </w:tc>
        <w:tc>
          <w:tcPr>
            <w:tcW w:w="5528" w:type="dxa"/>
          </w:tcPr>
          <w:p w:rsidR="00656E81" w:rsidRDefault="00656E81" w:rsidP="003A532F">
            <w:pPr>
              <w:ind w:left="360"/>
              <w:rPr>
                <w:color w:val="FF0000"/>
              </w:rPr>
            </w:pPr>
            <w:r>
              <w:rPr>
                <w:color w:val="FF0000"/>
              </w:rPr>
              <w:t>The colour stated is stone age bronze but this is the name from a specific product stated on the drawings</w:t>
            </w:r>
            <w:r w:rsidR="00544E7F">
              <w:rPr>
                <w:color w:val="FF0000"/>
              </w:rPr>
              <w:t>,</w:t>
            </w:r>
            <w:r>
              <w:rPr>
                <w:color w:val="FF0000"/>
              </w:rPr>
              <w:t xml:space="preserve"> which has been previously used on other similar schemes.  The given colour can be similar</w:t>
            </w:r>
            <w:r w:rsidR="00544E7F">
              <w:rPr>
                <w:color w:val="FF0000"/>
              </w:rPr>
              <w:t>,</w:t>
            </w:r>
            <w:r>
              <w:rPr>
                <w:color w:val="FF0000"/>
              </w:rPr>
              <w:t xml:space="preserve"> which should be a golden stone in nature but suitable for a porous material use.</w:t>
            </w:r>
          </w:p>
        </w:tc>
        <w:tc>
          <w:tcPr>
            <w:tcW w:w="1276" w:type="dxa"/>
          </w:tcPr>
          <w:p w:rsidR="00656E81" w:rsidRDefault="00656E81" w:rsidP="003F2C96">
            <w:pPr>
              <w:rPr>
                <w:color w:val="FF0000"/>
              </w:rPr>
            </w:pPr>
            <w:r>
              <w:rPr>
                <w:color w:val="FF0000"/>
              </w:rPr>
              <w:t>21/04/17</w:t>
            </w:r>
          </w:p>
          <w:p w:rsidR="00656E81" w:rsidRDefault="00656E81" w:rsidP="003F2C96">
            <w:pPr>
              <w:rPr>
                <w:color w:val="FF0000"/>
              </w:rPr>
            </w:pPr>
          </w:p>
        </w:tc>
      </w:tr>
    </w:tbl>
    <w:p w:rsidR="00051F26" w:rsidRDefault="00051F26"/>
    <w:sectPr w:rsidR="00051F26" w:rsidSect="00692213">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245"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544E7F">
      <w:fldChar w:fldCharType="begin"/>
    </w:r>
    <w:r w:rsidR="00544E7F">
      <w:instrText xml:space="preserve"> NUMPAGES \* MERGEFORMAT \* MERGEFORMAT </w:instrText>
    </w:r>
    <w:r w:rsidR="00544E7F">
      <w:fldChar w:fldCharType="separate"/>
    </w:r>
    <w:r w:rsidR="00AB4F75">
      <w:rPr>
        <w:noProof/>
      </w:rPr>
      <w:t>1</w:t>
    </w:r>
    <w:r w:rsidR="00544E7F">
      <w:rPr>
        <w:noProof/>
      </w:rPr>
      <w:fldChar w:fldCharType="end"/>
    </w:r>
  </w:p>
  <w:p w:rsidR="007D5240" w:rsidRPr="007D5240" w:rsidRDefault="007D5240" w:rsidP="007D5240">
    <w:pPr>
      <w:pStyle w:val="Footer"/>
      <w:jc w:val="center"/>
    </w:pPr>
    <w:r>
      <w:t xml:space="preserve">PROTECTIVE MARKING: </w:t>
    </w:r>
    <w:r w:rsidR="00544E7F">
      <w:fldChar w:fldCharType="begin"/>
    </w:r>
    <w:r w:rsidR="00544E7F">
      <w:instrText xml:space="preserve"> DOCPROPERTY ClassificationName \* MERGEFORMAT \* MERGEFORMAT </w:instrText>
    </w:r>
    <w:r w:rsidR="00544E7F">
      <w:fldChar w:fldCharType="separate"/>
    </w:r>
    <w:r w:rsidR="00AB4F75">
      <w:t>UNCLASSIFIED</w:t>
    </w:r>
    <w:r w:rsidR="00544E7F">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544E7F">
      <w:rPr>
        <w:noProof/>
      </w:rPr>
      <w:t>1</w:t>
    </w:r>
    <w:r>
      <w:fldChar w:fldCharType="end"/>
    </w:r>
    <w:r>
      <w:t xml:space="preserve"> of </w:t>
    </w:r>
    <w:r w:rsidR="00544E7F">
      <w:fldChar w:fldCharType="begin"/>
    </w:r>
    <w:r w:rsidR="00544E7F">
      <w:instrText xml:space="preserve"> NUMPAGES \* MERGEFORMAT \* MERGEFORMAT </w:instrText>
    </w:r>
    <w:r w:rsidR="00544E7F">
      <w:fldChar w:fldCharType="separate"/>
    </w:r>
    <w:r w:rsidR="00544E7F">
      <w:rPr>
        <w:noProof/>
      </w:rPr>
      <w:t>1</w:t>
    </w:r>
    <w:r w:rsidR="00544E7F">
      <w:rPr>
        <w:noProof/>
      </w:rPr>
      <w:fldChar w:fldCharType="end"/>
    </w:r>
  </w:p>
  <w:p w:rsidR="007D5240" w:rsidRPr="007D5240" w:rsidRDefault="007D5240" w:rsidP="007D5240">
    <w:pPr>
      <w:pStyle w:val="Footer"/>
      <w:jc w:val="center"/>
    </w:pPr>
    <w:r>
      <w:t xml:space="preserve">PROTECTIVE MARKING: </w:t>
    </w:r>
    <w:r w:rsidR="00544E7F">
      <w:fldChar w:fldCharType="begin"/>
    </w:r>
    <w:r w:rsidR="00544E7F">
      <w:instrText xml:space="preserve"> DOCPROPERTY ClassificationName \* MERGEFORMAT \* MERGEFORMAT </w:instrText>
    </w:r>
    <w:r w:rsidR="00544E7F">
      <w:fldChar w:fldCharType="separate"/>
    </w:r>
    <w:r w:rsidR="00AB4F75">
      <w:t>UNCLASSIFIED</w:t>
    </w:r>
    <w:r w:rsidR="00544E7F">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544E7F">
      <w:fldChar w:fldCharType="begin"/>
    </w:r>
    <w:r w:rsidR="00544E7F">
      <w:instrText xml:space="preserve"> NUMPAGES \* MER</w:instrText>
    </w:r>
    <w:r w:rsidR="00544E7F">
      <w:instrText xml:space="preserve">GEFORMAT \* MERGEFORMAT </w:instrText>
    </w:r>
    <w:r w:rsidR="00544E7F">
      <w:fldChar w:fldCharType="separate"/>
    </w:r>
    <w:r w:rsidR="00AB4F75">
      <w:rPr>
        <w:noProof/>
      </w:rPr>
      <w:t>1</w:t>
    </w:r>
    <w:r w:rsidR="00544E7F">
      <w:rPr>
        <w:noProof/>
      </w:rPr>
      <w:fldChar w:fldCharType="end"/>
    </w:r>
  </w:p>
  <w:p w:rsidR="007D5240" w:rsidRPr="007D5240" w:rsidRDefault="007D5240" w:rsidP="007D5240">
    <w:pPr>
      <w:pStyle w:val="Footer"/>
      <w:jc w:val="center"/>
    </w:pPr>
    <w:r>
      <w:t xml:space="preserve">PROTECTIVE MARKING: </w:t>
    </w:r>
    <w:r w:rsidR="00544E7F">
      <w:fldChar w:fldCharType="begin"/>
    </w:r>
    <w:r w:rsidR="00544E7F">
      <w:instrText xml:space="preserve"> DOCPROPERTY ClassificationName \* MERGEFORMAT \* MERGEFORMAT </w:instrText>
    </w:r>
    <w:r w:rsidR="00544E7F">
      <w:fldChar w:fldCharType="separate"/>
    </w:r>
    <w:r w:rsidR="00AB4F75">
      <w:t>UNCLASSIFIED</w:t>
    </w:r>
    <w:r w:rsidR="00544E7F">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26"/>
    <w:rsid w:val="00005F18"/>
    <w:rsid w:val="00012474"/>
    <w:rsid w:val="00051F26"/>
    <w:rsid w:val="00072146"/>
    <w:rsid w:val="00077979"/>
    <w:rsid w:val="000C635A"/>
    <w:rsid w:val="000F3642"/>
    <w:rsid w:val="000F525F"/>
    <w:rsid w:val="00135E47"/>
    <w:rsid w:val="00144323"/>
    <w:rsid w:val="00195600"/>
    <w:rsid w:val="00262F61"/>
    <w:rsid w:val="002B362B"/>
    <w:rsid w:val="002C4161"/>
    <w:rsid w:val="0033542A"/>
    <w:rsid w:val="003429A8"/>
    <w:rsid w:val="003A532F"/>
    <w:rsid w:val="003D34E6"/>
    <w:rsid w:val="003F2C96"/>
    <w:rsid w:val="004217CD"/>
    <w:rsid w:val="00422F0F"/>
    <w:rsid w:val="00450D8E"/>
    <w:rsid w:val="00476100"/>
    <w:rsid w:val="00484612"/>
    <w:rsid w:val="004D4B66"/>
    <w:rsid w:val="00544E7F"/>
    <w:rsid w:val="005D2CEE"/>
    <w:rsid w:val="00655ACD"/>
    <w:rsid w:val="00656E81"/>
    <w:rsid w:val="00692213"/>
    <w:rsid w:val="00730E28"/>
    <w:rsid w:val="007D5240"/>
    <w:rsid w:val="007E6187"/>
    <w:rsid w:val="00891463"/>
    <w:rsid w:val="008E7E4A"/>
    <w:rsid w:val="00937D34"/>
    <w:rsid w:val="009624D8"/>
    <w:rsid w:val="00993930"/>
    <w:rsid w:val="009E3F66"/>
    <w:rsid w:val="00AB4F75"/>
    <w:rsid w:val="00B036AD"/>
    <w:rsid w:val="00B051FB"/>
    <w:rsid w:val="00CA09F7"/>
    <w:rsid w:val="00CD3923"/>
    <w:rsid w:val="00CF67EF"/>
    <w:rsid w:val="00D42F0C"/>
    <w:rsid w:val="00D54594"/>
    <w:rsid w:val="00DE6302"/>
    <w:rsid w:val="00E552AB"/>
    <w:rsid w:val="00EA033F"/>
    <w:rsid w:val="00EE7C06"/>
    <w:rsid w:val="00F32847"/>
    <w:rsid w:val="00F41D66"/>
    <w:rsid w:val="00FB7AB2"/>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FEE6"/>
  <w15:docId w15:val="{2FCA54DF-DF38-402B-A5BA-9AABB9F7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Richard Turner (Procurement)</cp:lastModifiedBy>
  <cp:revision>6</cp:revision>
  <dcterms:created xsi:type="dcterms:W3CDTF">2017-04-20T08:22:00Z</dcterms:created>
  <dcterms:modified xsi:type="dcterms:W3CDTF">2017-04-21T11:37:00Z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