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10" w:rsidRPr="00CD7E15" w:rsidRDefault="00260910" w:rsidP="00193B6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103"/>
      </w:tblGrid>
      <w:tr w:rsidR="00260910" w:rsidRPr="00CD7E15" w:rsidTr="00E41215">
        <w:tc>
          <w:tcPr>
            <w:tcW w:w="2943" w:type="dxa"/>
            <w:shd w:val="clear" w:color="auto" w:fill="EEECE1" w:themeFill="background2"/>
          </w:tcPr>
          <w:p w:rsidR="00260910" w:rsidRPr="00CD7E15" w:rsidRDefault="00260910" w:rsidP="00260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5103" w:type="dxa"/>
          </w:tcPr>
          <w:p w:rsidR="00260910" w:rsidRPr="008C7E10" w:rsidRDefault="00A6298D" w:rsidP="008C7E10">
            <w:pPr>
              <w:tabs>
                <w:tab w:val="center" w:pos="2443"/>
                <w:tab w:val="left" w:pos="338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Programme Management Improvement in Areas 3 &amp; 4</w:t>
            </w:r>
          </w:p>
        </w:tc>
      </w:tr>
      <w:tr w:rsidR="00760FEF" w:rsidRPr="00CD7E15" w:rsidTr="00E41215">
        <w:tc>
          <w:tcPr>
            <w:tcW w:w="2943" w:type="dxa"/>
            <w:shd w:val="clear" w:color="auto" w:fill="EEECE1" w:themeFill="background2"/>
          </w:tcPr>
          <w:p w:rsidR="00760FEF" w:rsidRPr="00CD7E15" w:rsidRDefault="00760FEF" w:rsidP="00260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Team Name</w:t>
            </w:r>
          </w:p>
        </w:tc>
        <w:tc>
          <w:tcPr>
            <w:tcW w:w="5103" w:type="dxa"/>
          </w:tcPr>
          <w:p w:rsidR="00760FEF" w:rsidRPr="00CD7E15" w:rsidRDefault="00A6298D" w:rsidP="008C7E10">
            <w:pPr>
              <w:tabs>
                <w:tab w:val="center" w:pos="2443"/>
                <w:tab w:val="left" w:pos="338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Operations</w:t>
            </w:r>
          </w:p>
        </w:tc>
      </w:tr>
      <w:tr w:rsidR="00260910" w:rsidRPr="00CD7E15" w:rsidTr="00E41215">
        <w:tc>
          <w:tcPr>
            <w:tcW w:w="2943" w:type="dxa"/>
            <w:shd w:val="clear" w:color="auto" w:fill="EEECE1" w:themeFill="background2"/>
          </w:tcPr>
          <w:p w:rsidR="00260910" w:rsidRPr="00CD7E15" w:rsidRDefault="00260910" w:rsidP="00260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Service Lead</w:t>
            </w:r>
          </w:p>
        </w:tc>
        <w:tc>
          <w:tcPr>
            <w:tcW w:w="5103" w:type="dxa"/>
          </w:tcPr>
          <w:p w:rsidR="00260910" w:rsidRPr="006676AA" w:rsidRDefault="006676AA" w:rsidP="008C7E10">
            <w:pPr>
              <w:tabs>
                <w:tab w:val="center" w:pos="2443"/>
                <w:tab w:val="left" w:pos="338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676AA">
              <w:rPr>
                <w:rFonts w:ascii="Arial" w:hAnsi="Arial" w:cs="Arial"/>
                <w:i/>
                <w:color w:val="FF0000"/>
                <w:sz w:val="22"/>
                <w:szCs w:val="22"/>
              </w:rPr>
              <w:t>Redacted</w:t>
            </w:r>
          </w:p>
        </w:tc>
      </w:tr>
      <w:tr w:rsidR="00260910" w:rsidRPr="00CD7E15" w:rsidTr="00AB6B33">
        <w:trPr>
          <w:trHeight w:val="62"/>
        </w:trPr>
        <w:tc>
          <w:tcPr>
            <w:tcW w:w="2943" w:type="dxa"/>
            <w:shd w:val="clear" w:color="auto" w:fill="EEECE1" w:themeFill="background2"/>
          </w:tcPr>
          <w:p w:rsidR="00260910" w:rsidRPr="00CD7E15" w:rsidRDefault="00260910" w:rsidP="00260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Procurement Lead</w:t>
            </w:r>
          </w:p>
        </w:tc>
        <w:tc>
          <w:tcPr>
            <w:tcW w:w="5103" w:type="dxa"/>
          </w:tcPr>
          <w:p w:rsidR="00260910" w:rsidRPr="00CD7E15" w:rsidRDefault="006676AA" w:rsidP="008C7E10">
            <w:pPr>
              <w:tabs>
                <w:tab w:val="center" w:pos="2443"/>
                <w:tab w:val="left" w:pos="338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676AA">
              <w:rPr>
                <w:rFonts w:ascii="Arial" w:hAnsi="Arial" w:cs="Arial"/>
                <w:i/>
                <w:color w:val="FF0000"/>
                <w:sz w:val="22"/>
                <w:szCs w:val="22"/>
              </w:rPr>
              <w:t>Redacted</w:t>
            </w:r>
            <w:bookmarkStart w:id="0" w:name="_GoBack"/>
            <w:bookmarkEnd w:id="0"/>
          </w:p>
        </w:tc>
      </w:tr>
      <w:tr w:rsidR="00260910" w:rsidRPr="00CD7E15" w:rsidTr="00E41215">
        <w:tc>
          <w:tcPr>
            <w:tcW w:w="2943" w:type="dxa"/>
            <w:shd w:val="clear" w:color="auto" w:fill="EEECE1" w:themeFill="background2"/>
          </w:tcPr>
          <w:p w:rsidR="00260910" w:rsidRPr="00CD7E15" w:rsidRDefault="00260910" w:rsidP="00260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5103" w:type="dxa"/>
          </w:tcPr>
          <w:p w:rsidR="00260910" w:rsidRPr="00CD7E15" w:rsidRDefault="00A6298D" w:rsidP="008C7E10">
            <w:pPr>
              <w:tabs>
                <w:tab w:val="center" w:pos="2443"/>
                <w:tab w:val="left" w:pos="338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 March 2018</w:t>
            </w:r>
            <w:r w:rsidR="0087692B">
              <w:rPr>
                <w:rFonts w:ascii="Arial" w:hAnsi="Arial" w:cs="Arial"/>
                <w:b/>
                <w:sz w:val="22"/>
                <w:szCs w:val="22"/>
              </w:rPr>
              <w:t xml:space="preserve"> re-submitted 9 May 2018</w:t>
            </w:r>
          </w:p>
        </w:tc>
      </w:tr>
    </w:tbl>
    <w:p w:rsidR="00260910" w:rsidRPr="00CD7E15" w:rsidRDefault="00260910" w:rsidP="00193B6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260910" w:rsidRPr="00CD7E15" w:rsidTr="002D2FBC">
        <w:tc>
          <w:tcPr>
            <w:tcW w:w="9570" w:type="dxa"/>
            <w:gridSpan w:val="2"/>
            <w:shd w:val="clear" w:color="auto" w:fill="1F497D" w:themeFill="text2"/>
          </w:tcPr>
          <w:p w:rsidR="00E41215" w:rsidRPr="00CD7E15" w:rsidRDefault="00260910" w:rsidP="0026091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A:  BUSINESS SPECIFICATION: </w:t>
            </w:r>
          </w:p>
          <w:p w:rsidR="00260910" w:rsidRPr="00CD7E15" w:rsidRDefault="00260910" w:rsidP="0026091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(completed by Service</w:t>
            </w:r>
            <w:r w:rsidR="00F55C6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Lead</w:t>
            </w:r>
            <w:r w:rsidRPr="00CD7E1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  <w:p w:rsidR="00260910" w:rsidRPr="00CD7E15" w:rsidRDefault="00260910" w:rsidP="002609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910" w:rsidRPr="00CD7E15" w:rsidTr="002D2FBC">
        <w:tc>
          <w:tcPr>
            <w:tcW w:w="2376" w:type="dxa"/>
            <w:shd w:val="clear" w:color="auto" w:fill="EEECE1" w:themeFill="background2"/>
          </w:tcPr>
          <w:p w:rsidR="00260910" w:rsidRPr="00CD7E15" w:rsidRDefault="00260910" w:rsidP="00E41215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Business Need</w:t>
            </w:r>
          </w:p>
        </w:tc>
        <w:tc>
          <w:tcPr>
            <w:tcW w:w="7194" w:type="dxa"/>
          </w:tcPr>
          <w:p w:rsidR="00015CC3" w:rsidRPr="007C0D01" w:rsidRDefault="00015CC3" w:rsidP="00B141D3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AC3" w:rsidRDefault="006966A9" w:rsidP="00B141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asset maintenance and effective capital renewal plan i</w:t>
            </w:r>
            <w:r w:rsidR="00B141D3" w:rsidRPr="007C0D01">
              <w:rPr>
                <w:rFonts w:ascii="Arial" w:hAnsi="Arial" w:cs="Arial"/>
                <w:sz w:val="22"/>
                <w:szCs w:val="22"/>
              </w:rPr>
              <w:t>n the South East Region, in particular Area 4,</w:t>
            </w:r>
            <w:r>
              <w:t xml:space="preserve"> </w:t>
            </w:r>
            <w:r w:rsidRPr="006966A9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205AC3">
              <w:rPr>
                <w:rFonts w:ascii="Arial" w:hAnsi="Arial" w:cs="Arial"/>
                <w:sz w:val="22"/>
                <w:szCs w:val="22"/>
              </w:rPr>
              <w:t>failing to meet efficiency targets largely as result of poor planning resulting in rework and delays.</w:t>
            </w:r>
          </w:p>
          <w:p w:rsidR="00205AC3" w:rsidRDefault="00205AC3" w:rsidP="00B141D3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B45" w:rsidRDefault="00205AC3" w:rsidP="00015CC3">
            <w:pPr>
              <w:rPr>
                <w:rFonts w:ascii="Arial" w:hAnsi="Arial" w:cs="Arial"/>
                <w:sz w:val="22"/>
                <w:szCs w:val="22"/>
              </w:rPr>
            </w:pPr>
            <w:r w:rsidRPr="00205AC3">
              <w:rPr>
                <w:rFonts w:ascii="Arial" w:hAnsi="Arial" w:cs="Arial"/>
                <w:sz w:val="22"/>
                <w:szCs w:val="22"/>
              </w:rPr>
              <w:t xml:space="preserve">Operational </w:t>
            </w:r>
            <w:r w:rsidR="00015CC3" w:rsidRPr="00205AC3">
              <w:rPr>
                <w:rFonts w:ascii="Arial" w:hAnsi="Arial" w:cs="Arial"/>
                <w:sz w:val="22"/>
                <w:szCs w:val="22"/>
              </w:rPr>
              <w:t>A</w:t>
            </w:r>
            <w:r w:rsidRPr="00205AC3">
              <w:rPr>
                <w:rFonts w:ascii="Arial" w:hAnsi="Arial" w:cs="Arial"/>
                <w:sz w:val="22"/>
                <w:szCs w:val="22"/>
              </w:rPr>
              <w:t xml:space="preserve">nalysis </w:t>
            </w:r>
            <w:r>
              <w:rPr>
                <w:rFonts w:ascii="Arial" w:hAnsi="Arial" w:cs="Arial"/>
                <w:sz w:val="22"/>
                <w:szCs w:val="22"/>
              </w:rPr>
              <w:t>has identified the causal factors to comprise of ;</w:t>
            </w:r>
          </w:p>
          <w:p w:rsidR="003D1B45" w:rsidRDefault="003D1B45" w:rsidP="00015CC3">
            <w:pPr>
              <w:rPr>
                <w:rFonts w:ascii="Arial" w:hAnsi="Arial" w:cs="Arial"/>
                <w:sz w:val="22"/>
                <w:szCs w:val="22"/>
              </w:rPr>
            </w:pPr>
          </w:p>
          <w:p w:rsidR="00237D92" w:rsidRDefault="00237D92" w:rsidP="00987C8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Unclear and inconsistent processes</w:t>
            </w:r>
          </w:p>
          <w:p w:rsidR="00015CC3" w:rsidRDefault="00237D92" w:rsidP="00987C8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Lack of systematic approach </w:t>
            </w:r>
          </w:p>
          <w:p w:rsidR="00156A11" w:rsidRDefault="00156A11" w:rsidP="00237D92">
            <w:pPr>
              <w:spacing w:after="160" w:line="259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giving rise to </w:t>
            </w:r>
            <w:r w:rsidR="00237D92">
              <w:rPr>
                <w:rFonts w:ascii="Arial" w:hAnsi="Arial" w:cs="Arial"/>
              </w:rPr>
              <w:t xml:space="preserve"> </w:t>
            </w:r>
          </w:p>
          <w:p w:rsidR="00156A11" w:rsidRDefault="00237D92" w:rsidP="00156A1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56A11">
              <w:rPr>
                <w:rFonts w:ascii="Arial" w:hAnsi="Arial" w:cs="Arial"/>
              </w:rPr>
              <w:t xml:space="preserve">poor time </w:t>
            </w:r>
            <w:r w:rsidR="00156A11">
              <w:rPr>
                <w:rFonts w:ascii="Arial" w:hAnsi="Arial" w:cs="Arial"/>
              </w:rPr>
              <w:t>management</w:t>
            </w:r>
          </w:p>
          <w:p w:rsidR="00156A11" w:rsidRDefault="00156A11" w:rsidP="00156A1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</w:p>
          <w:p w:rsidR="00015CC3" w:rsidRPr="00156A11" w:rsidRDefault="00156A11" w:rsidP="00156A1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conflictual relationships </w:t>
            </w:r>
          </w:p>
          <w:p w:rsidR="00B141D3" w:rsidRPr="007C0D01" w:rsidRDefault="00B141D3" w:rsidP="00C7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03" w:rsidRPr="00CD7E15" w:rsidTr="002D2FBC">
        <w:tc>
          <w:tcPr>
            <w:tcW w:w="2376" w:type="dxa"/>
            <w:shd w:val="clear" w:color="auto" w:fill="EEECE1" w:themeFill="background2"/>
          </w:tcPr>
          <w:p w:rsidR="00730C03" w:rsidRPr="00CD7E15" w:rsidRDefault="00730C03" w:rsidP="007D4D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Supplier</w:t>
            </w:r>
          </w:p>
        </w:tc>
        <w:tc>
          <w:tcPr>
            <w:tcW w:w="7194" w:type="dxa"/>
          </w:tcPr>
          <w:p w:rsidR="00730C03" w:rsidRPr="007C0D01" w:rsidRDefault="00A6298D" w:rsidP="00A629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D01">
              <w:rPr>
                <w:rFonts w:ascii="Arial" w:hAnsi="Arial" w:cs="Arial"/>
                <w:sz w:val="22"/>
                <w:szCs w:val="22"/>
              </w:rPr>
              <w:t>Managementors</w:t>
            </w:r>
            <w:proofErr w:type="spellEnd"/>
            <w:r w:rsidRPr="007C0D01">
              <w:rPr>
                <w:rFonts w:ascii="Arial" w:hAnsi="Arial" w:cs="Arial"/>
                <w:sz w:val="22"/>
                <w:szCs w:val="22"/>
              </w:rPr>
              <w:t xml:space="preserve"> Limited</w:t>
            </w:r>
          </w:p>
        </w:tc>
      </w:tr>
      <w:tr w:rsidR="00260910" w:rsidRPr="00CD7E15" w:rsidTr="002D2FBC">
        <w:tc>
          <w:tcPr>
            <w:tcW w:w="2376" w:type="dxa"/>
            <w:shd w:val="clear" w:color="auto" w:fill="EEECE1" w:themeFill="background2"/>
          </w:tcPr>
          <w:p w:rsidR="00260910" w:rsidRPr="00CD7E15" w:rsidRDefault="00260910" w:rsidP="007D4D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Contract Specification</w:t>
            </w:r>
          </w:p>
        </w:tc>
        <w:tc>
          <w:tcPr>
            <w:tcW w:w="7194" w:type="dxa"/>
          </w:tcPr>
          <w:p w:rsidR="007C0D01" w:rsidRPr="007C0D01" w:rsidRDefault="007C0D01" w:rsidP="00236520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:rsidR="00015CC3" w:rsidRPr="007C0D01" w:rsidRDefault="00015CC3" w:rsidP="00015CC3">
            <w:pPr>
              <w:rPr>
                <w:rFonts w:ascii="Arial" w:hAnsi="Arial" w:cs="Arial"/>
                <w:sz w:val="22"/>
                <w:szCs w:val="22"/>
              </w:rPr>
            </w:pPr>
            <w:r w:rsidRPr="007C0D01">
              <w:rPr>
                <w:rFonts w:ascii="Arial" w:hAnsi="Arial" w:cs="Arial"/>
                <w:sz w:val="22"/>
                <w:szCs w:val="22"/>
              </w:rPr>
              <w:t xml:space="preserve">The purpose of the </w:t>
            </w:r>
            <w:r w:rsidR="00156A11">
              <w:rPr>
                <w:rFonts w:ascii="Arial" w:hAnsi="Arial" w:cs="Arial"/>
                <w:sz w:val="22"/>
                <w:szCs w:val="22"/>
              </w:rPr>
              <w:t>assignment</w:t>
            </w:r>
            <w:r w:rsidRPr="007C0D01">
              <w:rPr>
                <w:rFonts w:ascii="Arial" w:hAnsi="Arial" w:cs="Arial"/>
                <w:sz w:val="22"/>
                <w:szCs w:val="22"/>
              </w:rPr>
              <w:t xml:space="preserve"> will be for </w:t>
            </w:r>
            <w:proofErr w:type="spellStart"/>
            <w:r w:rsidRPr="007C0D01">
              <w:rPr>
                <w:rFonts w:ascii="Arial" w:hAnsi="Arial" w:cs="Arial"/>
                <w:sz w:val="22"/>
                <w:szCs w:val="22"/>
              </w:rPr>
              <w:t>Managementors</w:t>
            </w:r>
            <w:proofErr w:type="spellEnd"/>
            <w:r w:rsidRPr="007C0D01">
              <w:rPr>
                <w:rFonts w:ascii="Arial" w:hAnsi="Arial" w:cs="Arial"/>
                <w:sz w:val="22"/>
                <w:szCs w:val="22"/>
              </w:rPr>
              <w:t xml:space="preserve"> to undertake a</w:t>
            </w:r>
            <w:r w:rsidR="00BC49EA">
              <w:rPr>
                <w:rFonts w:ascii="Arial" w:hAnsi="Arial" w:cs="Arial"/>
                <w:sz w:val="22"/>
                <w:szCs w:val="22"/>
              </w:rPr>
              <w:t>n</w:t>
            </w:r>
            <w:r w:rsidRPr="007C0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49EA">
              <w:rPr>
                <w:rFonts w:ascii="Arial" w:hAnsi="Arial" w:cs="Arial"/>
                <w:sz w:val="22"/>
                <w:szCs w:val="22"/>
              </w:rPr>
              <w:t>operational</w:t>
            </w:r>
            <w:r w:rsidRPr="007C0D01">
              <w:rPr>
                <w:rFonts w:ascii="Arial" w:hAnsi="Arial" w:cs="Arial"/>
                <w:sz w:val="22"/>
                <w:szCs w:val="22"/>
              </w:rPr>
              <w:t xml:space="preserve"> improvement project within the South East Region that will </w:t>
            </w:r>
            <w:r w:rsidR="00156A11">
              <w:rPr>
                <w:rFonts w:ascii="Arial" w:hAnsi="Arial" w:cs="Arial"/>
                <w:sz w:val="22"/>
                <w:szCs w:val="22"/>
              </w:rPr>
              <w:t>engage the principal contractor (</w:t>
            </w:r>
            <w:r w:rsidRPr="007C0D01">
              <w:rPr>
                <w:rFonts w:ascii="Arial" w:hAnsi="Arial" w:cs="Arial"/>
                <w:sz w:val="22"/>
                <w:szCs w:val="22"/>
              </w:rPr>
              <w:t>A-One+</w:t>
            </w:r>
            <w:r w:rsidR="00156A11">
              <w:rPr>
                <w:rFonts w:ascii="Arial" w:hAnsi="Arial" w:cs="Arial"/>
                <w:sz w:val="22"/>
                <w:szCs w:val="22"/>
              </w:rPr>
              <w:t>)</w:t>
            </w:r>
            <w:r w:rsidRPr="007C0D0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56A11">
              <w:rPr>
                <w:rFonts w:ascii="Arial" w:hAnsi="Arial" w:cs="Arial"/>
                <w:sz w:val="22"/>
                <w:szCs w:val="22"/>
              </w:rPr>
              <w:t xml:space="preserve">the appropriate </w:t>
            </w:r>
            <w:r w:rsidRPr="007C0D01">
              <w:rPr>
                <w:rFonts w:ascii="Arial" w:hAnsi="Arial" w:cs="Arial"/>
                <w:sz w:val="22"/>
                <w:szCs w:val="22"/>
              </w:rPr>
              <w:t>HE</w:t>
            </w:r>
            <w:r w:rsidR="00156A11">
              <w:rPr>
                <w:rFonts w:ascii="Arial" w:hAnsi="Arial" w:cs="Arial"/>
                <w:sz w:val="22"/>
                <w:szCs w:val="22"/>
              </w:rPr>
              <w:t xml:space="preserve"> personnel. </w:t>
            </w:r>
          </w:p>
          <w:p w:rsidR="00015CC3" w:rsidRPr="007C0D01" w:rsidRDefault="00015CC3" w:rsidP="00015CC3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C3" w:rsidRDefault="00156A11" w:rsidP="00015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 project  of short duration</w:t>
            </w:r>
            <w:r w:rsidR="0087692B">
              <w:rPr>
                <w:rFonts w:ascii="Arial" w:hAnsi="Arial" w:cs="Arial"/>
                <w:sz w:val="22"/>
                <w:szCs w:val="22"/>
              </w:rPr>
              <w:t xml:space="preserve"> approximately eight weeks 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engage </w:t>
            </w:r>
            <w:r w:rsidR="00015CC3" w:rsidRPr="007C0D01">
              <w:rPr>
                <w:rFonts w:ascii="Arial" w:hAnsi="Arial" w:cs="Arial"/>
                <w:sz w:val="22"/>
                <w:szCs w:val="22"/>
              </w:rPr>
              <w:t>with the HE team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</w:t>
            </w:r>
            <w:r w:rsidR="00BC49EA">
              <w:rPr>
                <w:rFonts w:ascii="Arial" w:hAnsi="Arial" w:cs="Arial"/>
                <w:sz w:val="22"/>
                <w:szCs w:val="22"/>
              </w:rPr>
              <w:t xml:space="preserve">-One </w:t>
            </w: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015CC3" w:rsidRPr="007C0D01">
              <w:rPr>
                <w:rFonts w:ascii="Arial" w:hAnsi="Arial" w:cs="Arial"/>
                <w:sz w:val="22"/>
                <w:szCs w:val="22"/>
              </w:rPr>
              <w:t xml:space="preserve"> to develop </w:t>
            </w:r>
            <w:r w:rsidR="00BC49EA">
              <w:rPr>
                <w:rFonts w:ascii="Arial" w:hAnsi="Arial" w:cs="Arial"/>
                <w:sz w:val="22"/>
                <w:szCs w:val="22"/>
              </w:rPr>
              <w:t>improved</w:t>
            </w:r>
            <w:r w:rsidR="00015CC3" w:rsidRPr="007C0D01">
              <w:rPr>
                <w:rFonts w:ascii="Arial" w:hAnsi="Arial" w:cs="Arial"/>
                <w:sz w:val="22"/>
                <w:szCs w:val="22"/>
              </w:rPr>
              <w:t xml:space="preserve"> ways of working, ensuring efficient end to end processes and an effective management operating system.</w:t>
            </w:r>
          </w:p>
          <w:p w:rsidR="00BC49EA" w:rsidRPr="007C0D01" w:rsidRDefault="00BC49EA" w:rsidP="00015CC3">
            <w:pPr>
              <w:rPr>
                <w:rFonts w:ascii="Arial" w:hAnsi="Arial" w:cs="Arial"/>
                <w:sz w:val="22"/>
                <w:szCs w:val="22"/>
              </w:rPr>
            </w:pPr>
          </w:p>
          <w:p w:rsidR="001B6E7C" w:rsidRPr="00DA72E0" w:rsidRDefault="00015CC3" w:rsidP="00BC49EA">
            <w:pPr>
              <w:rPr>
                <w:rFonts w:ascii="Arial" w:hAnsi="Arial" w:cs="Arial"/>
                <w:sz w:val="22"/>
                <w:szCs w:val="22"/>
              </w:rPr>
            </w:pPr>
            <w:r w:rsidRPr="007C0D01">
              <w:rPr>
                <w:rFonts w:ascii="Arial" w:hAnsi="Arial" w:cs="Arial"/>
                <w:sz w:val="22"/>
                <w:szCs w:val="22"/>
              </w:rPr>
              <w:t xml:space="preserve">This will help to ensure that the Area 4 team (HE and A-One+) delivers the planned renewal programme for 2018/19 on time and to cost while </w:t>
            </w:r>
            <w:r w:rsidR="00BC49EA">
              <w:rPr>
                <w:rFonts w:ascii="Arial" w:hAnsi="Arial" w:cs="Arial"/>
                <w:sz w:val="22"/>
                <w:szCs w:val="22"/>
              </w:rPr>
              <w:t>achieving</w:t>
            </w:r>
            <w:r w:rsidRPr="007C0D01">
              <w:rPr>
                <w:rFonts w:ascii="Arial" w:hAnsi="Arial" w:cs="Arial"/>
                <w:sz w:val="22"/>
                <w:szCs w:val="22"/>
              </w:rPr>
              <w:t xml:space="preserve"> targeted levels of efficiency.</w:t>
            </w:r>
          </w:p>
        </w:tc>
      </w:tr>
      <w:tr w:rsidR="00260910" w:rsidRPr="00CD7E15" w:rsidTr="007D4DC0">
        <w:trPr>
          <w:trHeight w:val="321"/>
        </w:trPr>
        <w:tc>
          <w:tcPr>
            <w:tcW w:w="2376" w:type="dxa"/>
            <w:shd w:val="clear" w:color="auto" w:fill="EEECE1" w:themeFill="background2"/>
          </w:tcPr>
          <w:p w:rsidR="00260910" w:rsidRPr="00CD7E15" w:rsidRDefault="00260910" w:rsidP="007D4D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Contract Term</w:t>
            </w:r>
          </w:p>
        </w:tc>
        <w:tc>
          <w:tcPr>
            <w:tcW w:w="7194" w:type="dxa"/>
          </w:tcPr>
          <w:p w:rsidR="00260910" w:rsidRPr="007C0D01" w:rsidRDefault="00B141D3" w:rsidP="003D5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D01">
              <w:rPr>
                <w:rFonts w:ascii="Arial" w:hAnsi="Arial" w:cs="Arial"/>
                <w:sz w:val="22"/>
                <w:szCs w:val="22"/>
              </w:rPr>
              <w:t>8 weeks</w:t>
            </w:r>
          </w:p>
        </w:tc>
      </w:tr>
      <w:tr w:rsidR="00260910" w:rsidRPr="00CD7E15" w:rsidTr="002D2FBC">
        <w:tc>
          <w:tcPr>
            <w:tcW w:w="2376" w:type="dxa"/>
            <w:shd w:val="clear" w:color="auto" w:fill="EEECE1" w:themeFill="background2"/>
          </w:tcPr>
          <w:p w:rsidR="00260910" w:rsidRPr="00CD7E15" w:rsidRDefault="00260910" w:rsidP="007D4D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Contract Budget</w:t>
            </w:r>
            <w:r w:rsidR="00760FEF" w:rsidRPr="00CD7E15">
              <w:rPr>
                <w:rFonts w:ascii="Arial" w:hAnsi="Arial" w:cs="Arial"/>
                <w:b/>
                <w:sz w:val="22"/>
                <w:szCs w:val="22"/>
              </w:rPr>
              <w:t xml:space="preserve"> &amp; Funding</w:t>
            </w:r>
          </w:p>
        </w:tc>
        <w:tc>
          <w:tcPr>
            <w:tcW w:w="7194" w:type="dxa"/>
          </w:tcPr>
          <w:p w:rsidR="00C73E64" w:rsidRPr="007C0D01" w:rsidRDefault="00C73E64" w:rsidP="00A85D9A">
            <w:pPr>
              <w:rPr>
                <w:rFonts w:ascii="Arial" w:hAnsi="Arial" w:cs="Arial"/>
                <w:sz w:val="22"/>
                <w:szCs w:val="22"/>
              </w:rPr>
            </w:pPr>
          </w:p>
          <w:p w:rsidR="00B141D3" w:rsidRPr="007C0D01" w:rsidRDefault="00236520" w:rsidP="0087692B">
            <w:pPr>
              <w:rPr>
                <w:rFonts w:ascii="Arial" w:hAnsi="Arial" w:cs="Arial"/>
                <w:sz w:val="22"/>
                <w:szCs w:val="22"/>
              </w:rPr>
            </w:pPr>
            <w:r w:rsidRPr="007C0D01">
              <w:rPr>
                <w:rFonts w:ascii="Arial" w:hAnsi="Arial" w:cs="Arial"/>
                <w:sz w:val="22"/>
                <w:szCs w:val="22"/>
              </w:rPr>
              <w:t>£</w:t>
            </w:r>
            <w:r w:rsidR="0087692B">
              <w:rPr>
                <w:rFonts w:ascii="Arial" w:hAnsi="Arial" w:cs="Arial"/>
                <w:sz w:val="22"/>
                <w:szCs w:val="22"/>
              </w:rPr>
              <w:t>1</w:t>
            </w:r>
            <w:r w:rsidR="00B141D3" w:rsidRPr="007C0D01">
              <w:rPr>
                <w:rFonts w:ascii="Arial" w:hAnsi="Arial" w:cs="Arial"/>
                <w:sz w:val="22"/>
                <w:szCs w:val="22"/>
              </w:rPr>
              <w:t>8</w:t>
            </w:r>
            <w:r w:rsidR="0087692B">
              <w:rPr>
                <w:rFonts w:ascii="Arial" w:hAnsi="Arial" w:cs="Arial"/>
                <w:sz w:val="22"/>
                <w:szCs w:val="22"/>
              </w:rPr>
              <w:t>7</w:t>
            </w:r>
            <w:r w:rsidR="00B141D3" w:rsidRPr="007C0D01">
              <w:rPr>
                <w:rFonts w:ascii="Arial" w:hAnsi="Arial" w:cs="Arial"/>
                <w:sz w:val="22"/>
                <w:szCs w:val="22"/>
              </w:rPr>
              <w:t>,000</w:t>
            </w:r>
            <w:r w:rsidR="00C74B65" w:rsidRPr="007C0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1D3" w:rsidRPr="007C0D01">
              <w:rPr>
                <w:rFonts w:ascii="Arial" w:hAnsi="Arial" w:cs="Arial"/>
                <w:sz w:val="22"/>
                <w:szCs w:val="22"/>
              </w:rPr>
              <w:t>plus expenses (£1</w:t>
            </w:r>
            <w:r w:rsidR="0087692B">
              <w:rPr>
                <w:rFonts w:ascii="Arial" w:hAnsi="Arial" w:cs="Arial"/>
                <w:sz w:val="22"/>
                <w:szCs w:val="22"/>
              </w:rPr>
              <w:t>1</w:t>
            </w:r>
            <w:r w:rsidR="00B141D3" w:rsidRPr="007C0D01">
              <w:rPr>
                <w:rFonts w:ascii="Arial" w:hAnsi="Arial" w:cs="Arial"/>
                <w:sz w:val="22"/>
                <w:szCs w:val="22"/>
              </w:rPr>
              <w:t>k)</w:t>
            </w:r>
          </w:p>
        </w:tc>
      </w:tr>
      <w:tr w:rsidR="00260910" w:rsidRPr="00CD7E15" w:rsidTr="002D2FBC">
        <w:tc>
          <w:tcPr>
            <w:tcW w:w="2376" w:type="dxa"/>
            <w:shd w:val="clear" w:color="auto" w:fill="EEECE1" w:themeFill="background2"/>
          </w:tcPr>
          <w:p w:rsidR="00260910" w:rsidRPr="00CD7E15" w:rsidRDefault="00260910" w:rsidP="00E41215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Business STA Justification</w:t>
            </w:r>
          </w:p>
        </w:tc>
        <w:tc>
          <w:tcPr>
            <w:tcW w:w="7194" w:type="dxa"/>
          </w:tcPr>
          <w:p w:rsidR="007C0D01" w:rsidRDefault="007C0D01" w:rsidP="007C0D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D01" w:rsidRPr="00BC49EA" w:rsidRDefault="007C0D01" w:rsidP="007C0D01">
            <w:pPr>
              <w:rPr>
                <w:rFonts w:ascii="Arial" w:hAnsi="Arial" w:cs="Arial"/>
                <w:sz w:val="22"/>
                <w:szCs w:val="22"/>
              </w:rPr>
            </w:pPr>
            <w:r w:rsidRPr="007C0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49EA">
              <w:rPr>
                <w:rFonts w:ascii="Arial" w:hAnsi="Arial" w:cs="Arial"/>
                <w:sz w:val="22"/>
                <w:szCs w:val="22"/>
              </w:rPr>
              <w:t>Managementors</w:t>
            </w:r>
            <w:proofErr w:type="spellEnd"/>
            <w:r w:rsidRPr="00BC49EA">
              <w:rPr>
                <w:rFonts w:ascii="Arial" w:hAnsi="Arial" w:cs="Arial"/>
                <w:sz w:val="22"/>
                <w:szCs w:val="22"/>
              </w:rPr>
              <w:t xml:space="preserve"> Ltd</w:t>
            </w:r>
            <w:r w:rsidR="00BC49EA">
              <w:rPr>
                <w:rFonts w:ascii="Arial" w:hAnsi="Arial" w:cs="Arial"/>
                <w:sz w:val="22"/>
                <w:szCs w:val="22"/>
              </w:rPr>
              <w:t xml:space="preserve"> has a proven methodology based on the principles of project management that will ;</w:t>
            </w:r>
          </w:p>
          <w:p w:rsidR="007C0D01" w:rsidRPr="007C0D01" w:rsidRDefault="007C0D01" w:rsidP="007C0D01">
            <w:pPr>
              <w:rPr>
                <w:rFonts w:ascii="Arial" w:hAnsi="Arial" w:cs="Arial"/>
                <w:sz w:val="22"/>
                <w:szCs w:val="22"/>
              </w:rPr>
            </w:pPr>
          </w:p>
          <w:p w:rsidR="007C0D01" w:rsidRPr="007C0D01" w:rsidRDefault="00FA04B3" w:rsidP="007C0D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BC49EA">
              <w:rPr>
                <w:rFonts w:ascii="Arial" w:hAnsi="Arial" w:cs="Arial"/>
              </w:rPr>
              <w:t xml:space="preserve">ddress </w:t>
            </w:r>
            <w:r w:rsidR="007C0D01" w:rsidRPr="007C0D01">
              <w:rPr>
                <w:rFonts w:ascii="Arial" w:hAnsi="Arial" w:cs="Arial"/>
              </w:rPr>
              <w:t xml:space="preserve">the end to end process across HE and A-One+ </w:t>
            </w:r>
          </w:p>
          <w:p w:rsidR="00BC49EA" w:rsidRDefault="00FA04B3" w:rsidP="007C0D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C0D01" w:rsidRPr="007C0D01">
              <w:rPr>
                <w:rFonts w:ascii="Arial" w:hAnsi="Arial" w:cs="Arial"/>
              </w:rPr>
              <w:t>evelop a detailed project plan to address the under</w:t>
            </w:r>
            <w:r w:rsidR="00811D49">
              <w:rPr>
                <w:rFonts w:ascii="Arial" w:hAnsi="Arial" w:cs="Arial"/>
              </w:rPr>
              <w:t>-</w:t>
            </w:r>
            <w:r w:rsidR="007C0D01" w:rsidRPr="007C0D01">
              <w:rPr>
                <w:rFonts w:ascii="Arial" w:hAnsi="Arial" w:cs="Arial"/>
              </w:rPr>
              <w:t xml:space="preserve"> performance.</w:t>
            </w:r>
          </w:p>
          <w:p w:rsidR="00CD7E15" w:rsidRPr="00DA72E0" w:rsidRDefault="00BC49EA" w:rsidP="00BC49E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active behaviours rather than a passive approach</w:t>
            </w:r>
          </w:p>
        </w:tc>
      </w:tr>
    </w:tbl>
    <w:p w:rsidR="003B137E" w:rsidRPr="00CD7E15" w:rsidRDefault="003B137E" w:rsidP="00707DF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260910" w:rsidRPr="00CD7E15" w:rsidTr="002D2FBC">
        <w:tc>
          <w:tcPr>
            <w:tcW w:w="9570" w:type="dxa"/>
            <w:gridSpan w:val="2"/>
            <w:shd w:val="clear" w:color="auto" w:fill="1F497D" w:themeFill="text2"/>
          </w:tcPr>
          <w:p w:rsidR="00E41215" w:rsidRPr="00CD7E15" w:rsidRDefault="00260910" w:rsidP="00376A0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B:  PROCUREMENT  SPECIFICATION: </w:t>
            </w:r>
          </w:p>
          <w:p w:rsidR="00260910" w:rsidRPr="00CD7E15" w:rsidRDefault="00260910" w:rsidP="00376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(completed by Procurement Lead)</w:t>
            </w:r>
          </w:p>
        </w:tc>
      </w:tr>
      <w:tr w:rsidR="0048698C" w:rsidRPr="00CD7E15" w:rsidTr="002D2FBC">
        <w:tc>
          <w:tcPr>
            <w:tcW w:w="2376" w:type="dxa"/>
            <w:shd w:val="clear" w:color="auto" w:fill="EEECE1" w:themeFill="background2"/>
          </w:tcPr>
          <w:p w:rsidR="0048698C" w:rsidRPr="00CD7E15" w:rsidRDefault="0048698C" w:rsidP="00376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98C" w:rsidRPr="00CD7E15" w:rsidRDefault="0048698C" w:rsidP="00376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E15">
              <w:rPr>
                <w:rFonts w:ascii="Arial" w:hAnsi="Arial" w:cs="Arial"/>
                <w:b/>
                <w:sz w:val="22"/>
                <w:szCs w:val="22"/>
              </w:rPr>
              <w:t>Value For Money</w:t>
            </w:r>
          </w:p>
        </w:tc>
        <w:tc>
          <w:tcPr>
            <w:tcW w:w="7194" w:type="dxa"/>
          </w:tcPr>
          <w:p w:rsidR="009F3256" w:rsidRPr="007C0D01" w:rsidRDefault="00BC49EA" w:rsidP="00811D49">
            <w:pPr>
              <w:tabs>
                <w:tab w:val="left" w:pos="56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Managementors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are specialists in this area with a proven methodology that will a</w:t>
            </w:r>
            <w:r w:rsidR="001B09BC" w:rsidRPr="007C0D01">
              <w:rPr>
                <w:rFonts w:ascii="Arial" w:hAnsi="Arial" w:cs="Arial"/>
                <w:sz w:val="22"/>
                <w:szCs w:val="22"/>
              </w:rPr>
              <w:t xml:space="preserve">void extra cost that would be attributable to bringing in alternative </w:t>
            </w:r>
            <w:r w:rsidR="00811D49">
              <w:rPr>
                <w:rFonts w:ascii="Arial" w:hAnsi="Arial" w:cs="Arial"/>
                <w:sz w:val="22"/>
                <w:szCs w:val="22"/>
              </w:rPr>
              <w:t>professionals</w:t>
            </w:r>
            <w:r w:rsidR="001B09BC" w:rsidRPr="007C0D01">
              <w:rPr>
                <w:rFonts w:ascii="Arial" w:hAnsi="Arial" w:cs="Arial"/>
                <w:sz w:val="22"/>
                <w:szCs w:val="22"/>
              </w:rPr>
              <w:t xml:space="preserve"> unfamiliar with the project.</w:t>
            </w:r>
            <w:r w:rsidR="00DA72E0">
              <w:rPr>
                <w:rFonts w:ascii="Arial" w:hAnsi="Arial" w:cs="Arial"/>
                <w:sz w:val="22"/>
                <w:szCs w:val="22"/>
              </w:rPr>
              <w:t xml:space="preserve"> The rates offered are in line with market rates via our own</w:t>
            </w:r>
            <w:r w:rsidR="00811D49">
              <w:rPr>
                <w:rFonts w:ascii="Arial" w:hAnsi="Arial" w:cs="Arial"/>
                <w:sz w:val="22"/>
                <w:szCs w:val="22"/>
              </w:rPr>
              <w:t xml:space="preserve"> Specialist and </w:t>
            </w:r>
            <w:r w:rsidR="00DA72E0">
              <w:rPr>
                <w:rFonts w:ascii="Arial" w:hAnsi="Arial" w:cs="Arial"/>
                <w:sz w:val="22"/>
                <w:szCs w:val="22"/>
              </w:rPr>
              <w:t>Technical</w:t>
            </w:r>
            <w:r w:rsidR="00811D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72E0">
              <w:rPr>
                <w:rFonts w:ascii="Arial" w:hAnsi="Arial" w:cs="Arial"/>
                <w:sz w:val="22"/>
                <w:szCs w:val="22"/>
              </w:rPr>
              <w:t xml:space="preserve">Frameworks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those </w:t>
            </w:r>
            <w:r w:rsidR="00811D49">
              <w:rPr>
                <w:rFonts w:ascii="Arial" w:hAnsi="Arial" w:cs="Arial"/>
                <w:sz w:val="22"/>
                <w:szCs w:val="22"/>
              </w:rPr>
              <w:t>accessible through</w:t>
            </w:r>
            <w:r w:rsidR="00240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72E0">
              <w:rPr>
                <w:rFonts w:ascii="Arial" w:hAnsi="Arial" w:cs="Arial"/>
                <w:sz w:val="22"/>
                <w:szCs w:val="22"/>
              </w:rPr>
              <w:t>CCS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8698C" w:rsidRPr="00CD7E15" w:rsidTr="00F20351">
        <w:trPr>
          <w:trHeight w:val="920"/>
        </w:trPr>
        <w:tc>
          <w:tcPr>
            <w:tcW w:w="2376" w:type="dxa"/>
            <w:shd w:val="clear" w:color="auto" w:fill="EEECE1" w:themeFill="background2"/>
          </w:tcPr>
          <w:p w:rsidR="0048698C" w:rsidRPr="00CD7E15" w:rsidRDefault="0048698C" w:rsidP="00376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98C" w:rsidRPr="009F3256" w:rsidRDefault="0048698C" w:rsidP="00376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256">
              <w:rPr>
                <w:rFonts w:ascii="Arial" w:hAnsi="Arial" w:cs="Arial"/>
                <w:b/>
                <w:sz w:val="22"/>
                <w:szCs w:val="22"/>
              </w:rPr>
              <w:t>Procurement Risk</w:t>
            </w:r>
          </w:p>
        </w:tc>
        <w:tc>
          <w:tcPr>
            <w:tcW w:w="7194" w:type="dxa"/>
          </w:tcPr>
          <w:p w:rsidR="00811D49" w:rsidRDefault="00811D49" w:rsidP="00BC4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91411" w:rsidRPr="007C0D01" w:rsidRDefault="00DA72E0" w:rsidP="00BC4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a very low risk of challenge given that this work is valued at a sub-OJEU level</w:t>
            </w:r>
            <w:r w:rsidR="00BC49E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55A65" w:rsidRPr="00CD7E15" w:rsidTr="00F20351">
        <w:trPr>
          <w:trHeight w:val="920"/>
        </w:trPr>
        <w:tc>
          <w:tcPr>
            <w:tcW w:w="2376" w:type="dxa"/>
            <w:shd w:val="clear" w:color="auto" w:fill="EEECE1" w:themeFill="background2"/>
          </w:tcPr>
          <w:p w:rsidR="00C55A65" w:rsidRDefault="00C55A65" w:rsidP="00376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5A65" w:rsidRPr="00CD7E15" w:rsidRDefault="00C55A65" w:rsidP="00376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7194" w:type="dxa"/>
          </w:tcPr>
          <w:p w:rsidR="00C55A65" w:rsidRPr="007C0D01" w:rsidRDefault="004319EC" w:rsidP="008769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approve this STA for</w:t>
            </w:r>
            <w:r w:rsidR="00BF497A" w:rsidRPr="007C0D0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3C65" w:rsidRPr="007C0D01">
              <w:rPr>
                <w:rFonts w:ascii="Arial" w:hAnsi="Arial" w:cs="Arial"/>
                <w:sz w:val="22"/>
                <w:szCs w:val="22"/>
              </w:rPr>
              <w:t>Managementors</w:t>
            </w:r>
            <w:proofErr w:type="spellEnd"/>
            <w:r w:rsidR="001A3C65" w:rsidRPr="007C0D01">
              <w:rPr>
                <w:rFonts w:ascii="Arial" w:hAnsi="Arial" w:cs="Arial"/>
                <w:sz w:val="22"/>
                <w:szCs w:val="22"/>
              </w:rPr>
              <w:t xml:space="preserve"> Ltd</w:t>
            </w:r>
            <w:r w:rsidR="001B6E7C" w:rsidRPr="007C0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C65" w:rsidRPr="007C0D01">
              <w:rPr>
                <w:rFonts w:ascii="Arial" w:hAnsi="Arial" w:cs="Arial"/>
                <w:sz w:val="22"/>
                <w:szCs w:val="22"/>
              </w:rPr>
              <w:t>to undertake a</w:t>
            </w:r>
            <w:r>
              <w:rPr>
                <w:rFonts w:ascii="Arial" w:hAnsi="Arial" w:cs="Arial"/>
                <w:sz w:val="22"/>
                <w:szCs w:val="22"/>
              </w:rPr>
              <w:t xml:space="preserve">n operational </w:t>
            </w:r>
            <w:r w:rsidR="001A3C65" w:rsidRPr="007C0D01">
              <w:rPr>
                <w:rFonts w:ascii="Arial" w:hAnsi="Arial" w:cs="Arial"/>
                <w:sz w:val="22"/>
                <w:szCs w:val="22"/>
              </w:rPr>
              <w:t>improvement project within the South East Region</w:t>
            </w:r>
            <w:r w:rsidR="00266EFC" w:rsidRPr="007C0D01">
              <w:rPr>
                <w:rFonts w:ascii="Arial" w:hAnsi="Arial" w:cs="Arial"/>
                <w:sz w:val="22"/>
                <w:szCs w:val="22"/>
              </w:rPr>
              <w:t xml:space="preserve"> for a period of 8</w:t>
            </w:r>
            <w:r w:rsidR="00BF497A" w:rsidRPr="007C0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6EFC" w:rsidRPr="007C0D01">
              <w:rPr>
                <w:rFonts w:ascii="Arial" w:hAnsi="Arial" w:cs="Arial"/>
                <w:sz w:val="22"/>
                <w:szCs w:val="22"/>
              </w:rPr>
              <w:t>weeks to up to a maximum value of £</w:t>
            </w:r>
            <w:r w:rsidR="0087692B">
              <w:rPr>
                <w:rFonts w:ascii="Arial" w:hAnsi="Arial" w:cs="Arial"/>
                <w:sz w:val="22"/>
                <w:szCs w:val="22"/>
              </w:rPr>
              <w:t>1</w:t>
            </w:r>
            <w:r w:rsidR="00266EFC" w:rsidRPr="007C0D01">
              <w:rPr>
                <w:rFonts w:ascii="Arial" w:hAnsi="Arial" w:cs="Arial"/>
                <w:sz w:val="22"/>
                <w:szCs w:val="22"/>
              </w:rPr>
              <w:t>9</w:t>
            </w:r>
            <w:r w:rsidR="0087692B">
              <w:rPr>
                <w:rFonts w:ascii="Arial" w:hAnsi="Arial" w:cs="Arial"/>
                <w:sz w:val="22"/>
                <w:szCs w:val="22"/>
              </w:rPr>
              <w:t>8</w:t>
            </w:r>
            <w:r w:rsidR="00266EFC" w:rsidRPr="007C0D01">
              <w:rPr>
                <w:rFonts w:ascii="Arial" w:hAnsi="Arial" w:cs="Arial"/>
                <w:sz w:val="22"/>
                <w:szCs w:val="22"/>
              </w:rPr>
              <w:t>,000.</w:t>
            </w:r>
          </w:p>
        </w:tc>
      </w:tr>
    </w:tbl>
    <w:p w:rsidR="00BB48A6" w:rsidRDefault="00BB48A6" w:rsidP="00C73E64">
      <w:pPr>
        <w:rPr>
          <w:rFonts w:ascii="Arial" w:hAnsi="Arial" w:cs="Arial"/>
          <w:sz w:val="22"/>
          <w:szCs w:val="2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4"/>
        <w:gridCol w:w="4898"/>
      </w:tblGrid>
      <w:tr w:rsidR="00DA72E0" w:rsidRPr="00DA72E0" w:rsidTr="00495751">
        <w:tc>
          <w:tcPr>
            <w:tcW w:w="9242" w:type="dxa"/>
            <w:gridSpan w:val="2"/>
            <w:shd w:val="clear" w:color="auto" w:fill="1F497D" w:themeFill="text2"/>
          </w:tcPr>
          <w:p w:rsidR="00DA72E0" w:rsidRPr="00DA72E0" w:rsidRDefault="00DA72E0" w:rsidP="00DA7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2E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C:  APPROVAL &amp; GOVERNANCE</w:t>
            </w:r>
          </w:p>
        </w:tc>
      </w:tr>
      <w:tr w:rsidR="00DA72E0" w:rsidRPr="00DA72E0" w:rsidTr="00495751">
        <w:trPr>
          <w:trHeight w:val="533"/>
        </w:trPr>
        <w:tc>
          <w:tcPr>
            <w:tcW w:w="4344" w:type="dxa"/>
            <w:vMerge w:val="restart"/>
          </w:tcPr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E0">
              <w:rPr>
                <w:rFonts w:ascii="Arial" w:hAnsi="Arial" w:cs="Arial"/>
                <w:b/>
                <w:sz w:val="20"/>
                <w:szCs w:val="20"/>
              </w:rPr>
              <w:t xml:space="preserve">Procurement Delivery Lead </w:t>
            </w:r>
          </w:p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E0">
              <w:rPr>
                <w:rFonts w:ascii="Arial" w:hAnsi="Arial" w:cs="Arial"/>
                <w:sz w:val="20"/>
                <w:szCs w:val="20"/>
              </w:rPr>
              <w:t xml:space="preserve">Must confirm the following before forwarding to the Head of Procurement Delivery </w:t>
            </w:r>
          </w:p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:rsidR="00DA72E0" w:rsidRPr="00DA72E0" w:rsidRDefault="00DA72E0" w:rsidP="00DA72E0">
            <w:pPr>
              <w:rPr>
                <w:rFonts w:ascii="Arial" w:hAnsi="Arial" w:cs="Arial"/>
                <w:sz w:val="20"/>
                <w:szCs w:val="20"/>
              </w:rPr>
            </w:pPr>
            <w:r w:rsidRPr="00DA72E0">
              <w:rPr>
                <w:rFonts w:ascii="Arial" w:hAnsi="Arial" w:cs="Arial"/>
                <w:sz w:val="20"/>
                <w:szCs w:val="20"/>
              </w:rPr>
              <w:t>IDC/Business Case approval received</w:t>
            </w:r>
          </w:p>
        </w:tc>
      </w:tr>
      <w:tr w:rsidR="00DA72E0" w:rsidRPr="00DA72E0" w:rsidTr="00495751">
        <w:trPr>
          <w:trHeight w:val="339"/>
        </w:trPr>
        <w:tc>
          <w:tcPr>
            <w:tcW w:w="4344" w:type="dxa"/>
            <w:vMerge/>
          </w:tcPr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8" w:type="dxa"/>
          </w:tcPr>
          <w:p w:rsidR="00DA72E0" w:rsidRPr="00DA72E0" w:rsidRDefault="00DA72E0" w:rsidP="00DA72E0">
            <w:pPr>
              <w:rPr>
                <w:rFonts w:ascii="Arial" w:hAnsi="Arial" w:cs="Arial"/>
                <w:sz w:val="20"/>
                <w:szCs w:val="20"/>
              </w:rPr>
            </w:pPr>
            <w:r w:rsidRPr="00DA72E0">
              <w:rPr>
                <w:rFonts w:ascii="Arial" w:hAnsi="Arial" w:cs="Arial"/>
                <w:sz w:val="20"/>
                <w:szCs w:val="20"/>
              </w:rPr>
              <w:t>All alternative routes/strategies  have been fully explored</w:t>
            </w:r>
          </w:p>
        </w:tc>
      </w:tr>
      <w:tr w:rsidR="00DA72E0" w:rsidRPr="00DA72E0" w:rsidTr="00495751">
        <w:trPr>
          <w:trHeight w:val="398"/>
        </w:trPr>
        <w:tc>
          <w:tcPr>
            <w:tcW w:w="4344" w:type="dxa"/>
            <w:vMerge w:val="restart"/>
          </w:tcPr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E0">
              <w:rPr>
                <w:rFonts w:ascii="Arial" w:hAnsi="Arial" w:cs="Arial"/>
                <w:b/>
                <w:sz w:val="20"/>
                <w:szCs w:val="20"/>
              </w:rPr>
              <w:t>Head of Procurement Delivery Validation</w:t>
            </w:r>
          </w:p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E0">
              <w:rPr>
                <w:rFonts w:ascii="Arial" w:hAnsi="Arial" w:cs="Arial"/>
                <w:sz w:val="20"/>
                <w:szCs w:val="20"/>
              </w:rPr>
              <w:t>Must confirm the following before forwarding to relevant Director for Contractual Approval</w:t>
            </w:r>
          </w:p>
        </w:tc>
        <w:tc>
          <w:tcPr>
            <w:tcW w:w="4898" w:type="dxa"/>
          </w:tcPr>
          <w:p w:rsidR="00DA72E0" w:rsidRPr="00DA72E0" w:rsidRDefault="00DA72E0" w:rsidP="00DA7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72E0">
              <w:rPr>
                <w:rFonts w:ascii="Arial" w:hAnsi="Arial" w:cs="Arial"/>
                <w:color w:val="000000" w:themeColor="text1"/>
                <w:sz w:val="20"/>
                <w:szCs w:val="20"/>
              </w:rPr>
              <w:t>Quality Assurance of the STA Approval Request</w:t>
            </w:r>
          </w:p>
        </w:tc>
      </w:tr>
      <w:tr w:rsidR="00DA72E0" w:rsidRPr="00DA72E0" w:rsidTr="00495751">
        <w:trPr>
          <w:trHeight w:val="397"/>
        </w:trPr>
        <w:tc>
          <w:tcPr>
            <w:tcW w:w="4344" w:type="dxa"/>
            <w:vMerge/>
          </w:tcPr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8" w:type="dxa"/>
          </w:tcPr>
          <w:p w:rsidR="00DA72E0" w:rsidRPr="00DA72E0" w:rsidRDefault="00DA72E0" w:rsidP="00DA7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72E0">
              <w:rPr>
                <w:rFonts w:ascii="Arial" w:hAnsi="Arial" w:cs="Arial"/>
                <w:color w:val="000000" w:themeColor="text1"/>
                <w:sz w:val="20"/>
                <w:szCs w:val="20"/>
              </w:rPr>
              <w:t>Validate the information within Section B</w:t>
            </w:r>
          </w:p>
        </w:tc>
      </w:tr>
      <w:tr w:rsidR="00DA72E0" w:rsidRPr="00DA72E0" w:rsidTr="00495751">
        <w:tc>
          <w:tcPr>
            <w:tcW w:w="4344" w:type="dxa"/>
            <w:shd w:val="clear" w:color="auto" w:fill="auto"/>
          </w:tcPr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E0">
              <w:rPr>
                <w:rFonts w:ascii="Arial" w:hAnsi="Arial" w:cs="Arial"/>
                <w:b/>
                <w:sz w:val="20"/>
                <w:szCs w:val="20"/>
              </w:rPr>
              <w:t>Procurement Director Approval</w:t>
            </w:r>
          </w:p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E0">
              <w:rPr>
                <w:rFonts w:ascii="Arial" w:hAnsi="Arial" w:cs="Arial"/>
                <w:sz w:val="20"/>
                <w:szCs w:val="20"/>
              </w:rPr>
              <w:t>Must approve all STA’s &lt;£50k</w:t>
            </w:r>
          </w:p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8" w:type="dxa"/>
            <w:shd w:val="clear" w:color="auto" w:fill="auto"/>
          </w:tcPr>
          <w:p w:rsidR="00DA72E0" w:rsidRPr="00DA72E0" w:rsidRDefault="00DA72E0" w:rsidP="00DA72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A72E0" w:rsidRPr="00DA72E0" w:rsidTr="00495751">
        <w:tc>
          <w:tcPr>
            <w:tcW w:w="4344" w:type="dxa"/>
            <w:shd w:val="clear" w:color="auto" w:fill="auto"/>
          </w:tcPr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E0">
              <w:rPr>
                <w:rFonts w:ascii="Arial" w:hAnsi="Arial" w:cs="Arial"/>
                <w:b/>
                <w:sz w:val="20"/>
                <w:szCs w:val="20"/>
              </w:rPr>
              <w:t>C&amp;P Executive Director Approval</w:t>
            </w:r>
          </w:p>
          <w:p w:rsidR="00DA72E0" w:rsidRPr="00DA72E0" w:rsidRDefault="00DA72E0" w:rsidP="00DA72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E0">
              <w:rPr>
                <w:rFonts w:ascii="Arial" w:hAnsi="Arial" w:cs="Arial"/>
                <w:sz w:val="20"/>
                <w:szCs w:val="20"/>
              </w:rPr>
              <w:t>Must approve all STA’s &gt;£50k</w:t>
            </w:r>
          </w:p>
        </w:tc>
        <w:tc>
          <w:tcPr>
            <w:tcW w:w="4898" w:type="dxa"/>
            <w:shd w:val="clear" w:color="auto" w:fill="auto"/>
          </w:tcPr>
          <w:p w:rsidR="00DA72E0" w:rsidRPr="00DA72E0" w:rsidRDefault="00DA72E0" w:rsidP="00DA72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DA72E0" w:rsidRPr="00CD7E15" w:rsidRDefault="00DA72E0" w:rsidP="00C73E64">
      <w:pPr>
        <w:rPr>
          <w:rFonts w:ascii="Arial" w:hAnsi="Arial" w:cs="Arial"/>
          <w:sz w:val="22"/>
          <w:szCs w:val="22"/>
          <w:lang w:val="en-NZ"/>
        </w:rPr>
      </w:pPr>
    </w:p>
    <w:sectPr w:rsidR="00DA72E0" w:rsidRPr="00CD7E15" w:rsidSect="00DF6D07">
      <w:headerReference w:type="default" r:id="rId9"/>
      <w:footerReference w:type="default" r:id="rId10"/>
      <w:footerReference w:type="first" r:id="rId11"/>
      <w:pgSz w:w="11906" w:h="16838" w:code="9"/>
      <w:pgMar w:top="140" w:right="1134" w:bottom="1134" w:left="1418" w:header="720" w:footer="1418" w:gutter="0"/>
      <w:paperSrc w:first="4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72" w:rsidRDefault="00D96D72">
      <w:r>
        <w:separator/>
      </w:r>
    </w:p>
  </w:endnote>
  <w:endnote w:type="continuationSeparator" w:id="0">
    <w:p w:rsidR="00D96D72" w:rsidRDefault="00D9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31" w:rsidRPr="00774AF4" w:rsidRDefault="00251F31" w:rsidP="006676AA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F5A1EF" wp14:editId="7952387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2" name="Picture 2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24C5975" wp14:editId="2610DAD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3" name="Picture 3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8FF56" wp14:editId="4158892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51F31" w:rsidRPr="006D362A" w:rsidRDefault="00251F31" w:rsidP="00251F31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251F31" w:rsidRPr="006D362A" w:rsidRDefault="00251F31" w:rsidP="00251F31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251F31" w:rsidRPr="006D362A" w:rsidRDefault="00251F31" w:rsidP="00251F31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251F31" w:rsidRPr="006D362A" w:rsidRDefault="00251F31" w:rsidP="00251F31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251F31" w:rsidRPr="006D362A" w:rsidRDefault="00251F31" w:rsidP="00251F31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251F31" w:rsidRPr="006D362A" w:rsidRDefault="00251F31" w:rsidP="00251F31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676AA">
      <w:t>Redacted under Section 40 of the FOI Act (2000)</w:t>
    </w:r>
  </w:p>
  <w:p w:rsidR="0013631C" w:rsidRPr="00251F31" w:rsidRDefault="0013631C" w:rsidP="00251F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C" w:rsidRDefault="00D96D7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E445B">
      <w:rPr>
        <w:noProof/>
      </w:rPr>
      <w:t>STA -Korn Ferry Group Ltd.docx</w:t>
    </w:r>
    <w:r>
      <w:rPr>
        <w:noProof/>
      </w:rPr>
      <w:fldChar w:fldCharType="end"/>
    </w:r>
  </w:p>
  <w:p w:rsidR="0013631C" w:rsidRDefault="0013631C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E445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72" w:rsidRDefault="00D96D72">
      <w:r>
        <w:separator/>
      </w:r>
    </w:p>
  </w:footnote>
  <w:footnote w:type="continuationSeparator" w:id="0">
    <w:p w:rsidR="00D96D72" w:rsidRDefault="00D96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C" w:rsidRDefault="002D2FBC">
    <w:pPr>
      <w:pStyle w:val="Header"/>
    </w:pPr>
    <w:r w:rsidRPr="009460F4">
      <w:rPr>
        <w:rFonts w:ascii="Arial" w:hAnsi="Arial" w:cs="Arial"/>
        <w:b/>
        <w:noProof/>
        <w:sz w:val="22"/>
        <w:szCs w:val="22"/>
        <w:lang w:eastAsia="en-GB"/>
      </w:rPr>
      <w:drawing>
        <wp:anchor distT="0" distB="0" distL="114300" distR="114300" simplePos="0" relativeHeight="251663360" behindDoc="1" locked="0" layoutInCell="1" allowOverlap="1" wp14:anchorId="4CF53622" wp14:editId="762A9DD3">
          <wp:simplePos x="0" y="0"/>
          <wp:positionH relativeFrom="column">
            <wp:posOffset>-307975</wp:posOffset>
          </wp:positionH>
          <wp:positionV relativeFrom="paragraph">
            <wp:posOffset>-377825</wp:posOffset>
          </wp:positionV>
          <wp:extent cx="2050473" cy="574963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0473" cy="574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FBC" w:rsidRDefault="002D2FBC" w:rsidP="002D2FBC">
    <w:pPr>
      <w:ind w:left="1360" w:firstLine="680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SINGLE TENDER ACTION</w:t>
    </w:r>
  </w:p>
  <w:p w:rsidR="0013631C" w:rsidRDefault="00700730" w:rsidP="002D2FBC">
    <w:pPr>
      <w:jc w:val="right"/>
    </w:pPr>
    <w:r>
      <w:rPr>
        <w:rFonts w:ascii="Arial" w:hAnsi="Arial" w:cs="Arial"/>
        <w:b/>
        <w:sz w:val="28"/>
        <w:szCs w:val="28"/>
      </w:rPr>
      <w:t>REPORT</w:t>
    </w:r>
  </w:p>
  <w:p w:rsidR="0013631C" w:rsidRDefault="001363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E7B"/>
    <w:multiLevelType w:val="hybridMultilevel"/>
    <w:tmpl w:val="2A0ED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82341"/>
    <w:multiLevelType w:val="hybridMultilevel"/>
    <w:tmpl w:val="3626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E2DDE"/>
    <w:multiLevelType w:val="hybridMultilevel"/>
    <w:tmpl w:val="E5FEC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63"/>
    <w:rsid w:val="00015CC3"/>
    <w:rsid w:val="00032FCD"/>
    <w:rsid w:val="000470BD"/>
    <w:rsid w:val="0005426C"/>
    <w:rsid w:val="0005751E"/>
    <w:rsid w:val="00060A34"/>
    <w:rsid w:val="000639B7"/>
    <w:rsid w:val="00075A51"/>
    <w:rsid w:val="0008745A"/>
    <w:rsid w:val="00097BB7"/>
    <w:rsid w:val="000A54CC"/>
    <w:rsid w:val="000B16EA"/>
    <w:rsid w:val="000B1A5D"/>
    <w:rsid w:val="000B2944"/>
    <w:rsid w:val="000B2F9A"/>
    <w:rsid w:val="000B3920"/>
    <w:rsid w:val="000B5932"/>
    <w:rsid w:val="000B5A86"/>
    <w:rsid w:val="000F0730"/>
    <w:rsid w:val="000F1417"/>
    <w:rsid w:val="00107DEE"/>
    <w:rsid w:val="0011442D"/>
    <w:rsid w:val="0012256A"/>
    <w:rsid w:val="00132A14"/>
    <w:rsid w:val="00134A8D"/>
    <w:rsid w:val="0013631C"/>
    <w:rsid w:val="00141A07"/>
    <w:rsid w:val="00141A4E"/>
    <w:rsid w:val="00156A11"/>
    <w:rsid w:val="00161A92"/>
    <w:rsid w:val="0016639F"/>
    <w:rsid w:val="001755D9"/>
    <w:rsid w:val="00193B63"/>
    <w:rsid w:val="001943A5"/>
    <w:rsid w:val="001A0B05"/>
    <w:rsid w:val="001A3C65"/>
    <w:rsid w:val="001A3CD6"/>
    <w:rsid w:val="001A5867"/>
    <w:rsid w:val="001A6C66"/>
    <w:rsid w:val="001B09BC"/>
    <w:rsid w:val="001B452A"/>
    <w:rsid w:val="001B6E7C"/>
    <w:rsid w:val="001D4DA6"/>
    <w:rsid w:val="001D655A"/>
    <w:rsid w:val="001D694F"/>
    <w:rsid w:val="001E4119"/>
    <w:rsid w:val="001E763A"/>
    <w:rsid w:val="001F7BB0"/>
    <w:rsid w:val="00205034"/>
    <w:rsid w:val="00205378"/>
    <w:rsid w:val="00205AC3"/>
    <w:rsid w:val="00206B46"/>
    <w:rsid w:val="00213748"/>
    <w:rsid w:val="0021476A"/>
    <w:rsid w:val="00233237"/>
    <w:rsid w:val="00236520"/>
    <w:rsid w:val="00237D92"/>
    <w:rsid w:val="002406DA"/>
    <w:rsid w:val="00244C96"/>
    <w:rsid w:val="00251F31"/>
    <w:rsid w:val="00260910"/>
    <w:rsid w:val="0026268E"/>
    <w:rsid w:val="00263D4B"/>
    <w:rsid w:val="00265015"/>
    <w:rsid w:val="00266EFC"/>
    <w:rsid w:val="002701C2"/>
    <w:rsid w:val="00274F7F"/>
    <w:rsid w:val="002753FC"/>
    <w:rsid w:val="00292A0C"/>
    <w:rsid w:val="002A747D"/>
    <w:rsid w:val="002C12A9"/>
    <w:rsid w:val="002C463D"/>
    <w:rsid w:val="002C5BD1"/>
    <w:rsid w:val="002D09B8"/>
    <w:rsid w:val="002D2FBC"/>
    <w:rsid w:val="002D32DE"/>
    <w:rsid w:val="002E10C2"/>
    <w:rsid w:val="002E5F00"/>
    <w:rsid w:val="002F52B7"/>
    <w:rsid w:val="003047D6"/>
    <w:rsid w:val="00306652"/>
    <w:rsid w:val="00313A1C"/>
    <w:rsid w:val="003323B1"/>
    <w:rsid w:val="00336061"/>
    <w:rsid w:val="00336A2E"/>
    <w:rsid w:val="00336C27"/>
    <w:rsid w:val="00347074"/>
    <w:rsid w:val="0035411A"/>
    <w:rsid w:val="00364873"/>
    <w:rsid w:val="003669A4"/>
    <w:rsid w:val="003712DE"/>
    <w:rsid w:val="0037288B"/>
    <w:rsid w:val="00375CFE"/>
    <w:rsid w:val="003766DF"/>
    <w:rsid w:val="00376DA5"/>
    <w:rsid w:val="003828C8"/>
    <w:rsid w:val="00383CBE"/>
    <w:rsid w:val="003862AB"/>
    <w:rsid w:val="003867D5"/>
    <w:rsid w:val="003A75DE"/>
    <w:rsid w:val="003B045F"/>
    <w:rsid w:val="003B0AD5"/>
    <w:rsid w:val="003B137E"/>
    <w:rsid w:val="003B23E0"/>
    <w:rsid w:val="003B7BB3"/>
    <w:rsid w:val="003C1198"/>
    <w:rsid w:val="003C340C"/>
    <w:rsid w:val="003D1B45"/>
    <w:rsid w:val="003D457B"/>
    <w:rsid w:val="003D5ACF"/>
    <w:rsid w:val="003D5F10"/>
    <w:rsid w:val="003E03BB"/>
    <w:rsid w:val="003E1354"/>
    <w:rsid w:val="003E3ABD"/>
    <w:rsid w:val="004053B9"/>
    <w:rsid w:val="00407DA9"/>
    <w:rsid w:val="00421CFD"/>
    <w:rsid w:val="004319EC"/>
    <w:rsid w:val="0044263C"/>
    <w:rsid w:val="004475F3"/>
    <w:rsid w:val="00453F51"/>
    <w:rsid w:val="00464563"/>
    <w:rsid w:val="00465050"/>
    <w:rsid w:val="00470582"/>
    <w:rsid w:val="00470A51"/>
    <w:rsid w:val="004832D1"/>
    <w:rsid w:val="0048698C"/>
    <w:rsid w:val="004A08EF"/>
    <w:rsid w:val="004A45FE"/>
    <w:rsid w:val="004A4D07"/>
    <w:rsid w:val="004B1C7B"/>
    <w:rsid w:val="004B3201"/>
    <w:rsid w:val="004B6564"/>
    <w:rsid w:val="004B73E4"/>
    <w:rsid w:val="004C148E"/>
    <w:rsid w:val="004C255D"/>
    <w:rsid w:val="004C71B6"/>
    <w:rsid w:val="004E2F2A"/>
    <w:rsid w:val="004F242D"/>
    <w:rsid w:val="004F5E29"/>
    <w:rsid w:val="00502EAB"/>
    <w:rsid w:val="00503C8A"/>
    <w:rsid w:val="005167F2"/>
    <w:rsid w:val="00533D11"/>
    <w:rsid w:val="00541713"/>
    <w:rsid w:val="005576A1"/>
    <w:rsid w:val="0056091A"/>
    <w:rsid w:val="00567D41"/>
    <w:rsid w:val="0057655A"/>
    <w:rsid w:val="00582549"/>
    <w:rsid w:val="005874B7"/>
    <w:rsid w:val="00591896"/>
    <w:rsid w:val="00594685"/>
    <w:rsid w:val="005B775C"/>
    <w:rsid w:val="005D0976"/>
    <w:rsid w:val="005D66EB"/>
    <w:rsid w:val="005F2CBA"/>
    <w:rsid w:val="005F3A55"/>
    <w:rsid w:val="00601C34"/>
    <w:rsid w:val="00606F5C"/>
    <w:rsid w:val="0061686C"/>
    <w:rsid w:val="006338C8"/>
    <w:rsid w:val="00645955"/>
    <w:rsid w:val="00651B2F"/>
    <w:rsid w:val="006656D4"/>
    <w:rsid w:val="006676AA"/>
    <w:rsid w:val="00677293"/>
    <w:rsid w:val="006778D7"/>
    <w:rsid w:val="00690491"/>
    <w:rsid w:val="00691411"/>
    <w:rsid w:val="0069548B"/>
    <w:rsid w:val="006966A9"/>
    <w:rsid w:val="00697ACA"/>
    <w:rsid w:val="006A3BD8"/>
    <w:rsid w:val="006A3E41"/>
    <w:rsid w:val="006C25C1"/>
    <w:rsid w:val="006D656B"/>
    <w:rsid w:val="006D663F"/>
    <w:rsid w:val="006F0AA0"/>
    <w:rsid w:val="006F5CFB"/>
    <w:rsid w:val="006F62EF"/>
    <w:rsid w:val="00700730"/>
    <w:rsid w:val="007053A6"/>
    <w:rsid w:val="00707DF0"/>
    <w:rsid w:val="00713433"/>
    <w:rsid w:val="007202FB"/>
    <w:rsid w:val="007231D1"/>
    <w:rsid w:val="00730352"/>
    <w:rsid w:val="00730A11"/>
    <w:rsid w:val="00730C03"/>
    <w:rsid w:val="00734DEF"/>
    <w:rsid w:val="007531F2"/>
    <w:rsid w:val="00755EDD"/>
    <w:rsid w:val="00756B75"/>
    <w:rsid w:val="0076033B"/>
    <w:rsid w:val="00760FEF"/>
    <w:rsid w:val="007956B3"/>
    <w:rsid w:val="007A4AD1"/>
    <w:rsid w:val="007B3BCD"/>
    <w:rsid w:val="007B4F58"/>
    <w:rsid w:val="007C0D01"/>
    <w:rsid w:val="007C6A42"/>
    <w:rsid w:val="007D4DC0"/>
    <w:rsid w:val="007D532B"/>
    <w:rsid w:val="007E373A"/>
    <w:rsid w:val="007E445B"/>
    <w:rsid w:val="007F6F72"/>
    <w:rsid w:val="007F70D7"/>
    <w:rsid w:val="00803B31"/>
    <w:rsid w:val="008108B9"/>
    <w:rsid w:val="00811D49"/>
    <w:rsid w:val="00815F67"/>
    <w:rsid w:val="0082797B"/>
    <w:rsid w:val="008301CE"/>
    <w:rsid w:val="00835AA4"/>
    <w:rsid w:val="00836813"/>
    <w:rsid w:val="008414EA"/>
    <w:rsid w:val="008468F3"/>
    <w:rsid w:val="0085223A"/>
    <w:rsid w:val="008566B5"/>
    <w:rsid w:val="0085783D"/>
    <w:rsid w:val="00862DC7"/>
    <w:rsid w:val="0087110A"/>
    <w:rsid w:val="0087692B"/>
    <w:rsid w:val="00880312"/>
    <w:rsid w:val="00880784"/>
    <w:rsid w:val="00891CE8"/>
    <w:rsid w:val="00892C7E"/>
    <w:rsid w:val="008977C6"/>
    <w:rsid w:val="008B36E7"/>
    <w:rsid w:val="008B4941"/>
    <w:rsid w:val="008B5C0D"/>
    <w:rsid w:val="008C77F1"/>
    <w:rsid w:val="008C7E10"/>
    <w:rsid w:val="008E296D"/>
    <w:rsid w:val="008E3694"/>
    <w:rsid w:val="0090716A"/>
    <w:rsid w:val="00913AED"/>
    <w:rsid w:val="00920210"/>
    <w:rsid w:val="00922002"/>
    <w:rsid w:val="00922296"/>
    <w:rsid w:val="00925AE5"/>
    <w:rsid w:val="00944956"/>
    <w:rsid w:val="009460F4"/>
    <w:rsid w:val="00953821"/>
    <w:rsid w:val="00964FEB"/>
    <w:rsid w:val="00970627"/>
    <w:rsid w:val="00974F5F"/>
    <w:rsid w:val="00982C1E"/>
    <w:rsid w:val="0098342E"/>
    <w:rsid w:val="00987C85"/>
    <w:rsid w:val="00993420"/>
    <w:rsid w:val="009A3C19"/>
    <w:rsid w:val="009A499E"/>
    <w:rsid w:val="009F3256"/>
    <w:rsid w:val="009F75C4"/>
    <w:rsid w:val="00A04A5C"/>
    <w:rsid w:val="00A1031C"/>
    <w:rsid w:val="00A16089"/>
    <w:rsid w:val="00A26AFD"/>
    <w:rsid w:val="00A3346D"/>
    <w:rsid w:val="00A35310"/>
    <w:rsid w:val="00A3554C"/>
    <w:rsid w:val="00A54C20"/>
    <w:rsid w:val="00A57E1C"/>
    <w:rsid w:val="00A610C7"/>
    <w:rsid w:val="00A62480"/>
    <w:rsid w:val="00A6298D"/>
    <w:rsid w:val="00A62A25"/>
    <w:rsid w:val="00A654A1"/>
    <w:rsid w:val="00A667D0"/>
    <w:rsid w:val="00A73D69"/>
    <w:rsid w:val="00A85CD4"/>
    <w:rsid w:val="00A85D9A"/>
    <w:rsid w:val="00A87529"/>
    <w:rsid w:val="00A93C19"/>
    <w:rsid w:val="00A9534A"/>
    <w:rsid w:val="00A95462"/>
    <w:rsid w:val="00AA1BF5"/>
    <w:rsid w:val="00AA3EC4"/>
    <w:rsid w:val="00AA6847"/>
    <w:rsid w:val="00AB1A62"/>
    <w:rsid w:val="00AB1E47"/>
    <w:rsid w:val="00AB6B33"/>
    <w:rsid w:val="00AD7795"/>
    <w:rsid w:val="00AE1DF5"/>
    <w:rsid w:val="00AE4DAD"/>
    <w:rsid w:val="00AF03AD"/>
    <w:rsid w:val="00B02494"/>
    <w:rsid w:val="00B05E9B"/>
    <w:rsid w:val="00B141D3"/>
    <w:rsid w:val="00B224D0"/>
    <w:rsid w:val="00B25A15"/>
    <w:rsid w:val="00B34804"/>
    <w:rsid w:val="00B34C65"/>
    <w:rsid w:val="00B3596B"/>
    <w:rsid w:val="00B37006"/>
    <w:rsid w:val="00B41F2A"/>
    <w:rsid w:val="00B57EE5"/>
    <w:rsid w:val="00B6542F"/>
    <w:rsid w:val="00B659E3"/>
    <w:rsid w:val="00B7753B"/>
    <w:rsid w:val="00B822AF"/>
    <w:rsid w:val="00B94022"/>
    <w:rsid w:val="00B97C40"/>
    <w:rsid w:val="00B97E0C"/>
    <w:rsid w:val="00BA03CD"/>
    <w:rsid w:val="00BA4FA9"/>
    <w:rsid w:val="00BB48A6"/>
    <w:rsid w:val="00BB5E95"/>
    <w:rsid w:val="00BC3F4A"/>
    <w:rsid w:val="00BC49EA"/>
    <w:rsid w:val="00BD015E"/>
    <w:rsid w:val="00BD222B"/>
    <w:rsid w:val="00BE0643"/>
    <w:rsid w:val="00BF497A"/>
    <w:rsid w:val="00BF4A80"/>
    <w:rsid w:val="00C04E57"/>
    <w:rsid w:val="00C11338"/>
    <w:rsid w:val="00C3604A"/>
    <w:rsid w:val="00C4304B"/>
    <w:rsid w:val="00C44E46"/>
    <w:rsid w:val="00C45C0B"/>
    <w:rsid w:val="00C4633B"/>
    <w:rsid w:val="00C509BE"/>
    <w:rsid w:val="00C51756"/>
    <w:rsid w:val="00C55A65"/>
    <w:rsid w:val="00C56781"/>
    <w:rsid w:val="00C667E8"/>
    <w:rsid w:val="00C71E67"/>
    <w:rsid w:val="00C73E64"/>
    <w:rsid w:val="00C74B65"/>
    <w:rsid w:val="00C84542"/>
    <w:rsid w:val="00C85CBE"/>
    <w:rsid w:val="00CA69FF"/>
    <w:rsid w:val="00CA718D"/>
    <w:rsid w:val="00CA78F8"/>
    <w:rsid w:val="00CB58CC"/>
    <w:rsid w:val="00CC5DA5"/>
    <w:rsid w:val="00CD081C"/>
    <w:rsid w:val="00CD0F8E"/>
    <w:rsid w:val="00CD6F6E"/>
    <w:rsid w:val="00CD7E15"/>
    <w:rsid w:val="00CE0713"/>
    <w:rsid w:val="00CE14AA"/>
    <w:rsid w:val="00CF5BC0"/>
    <w:rsid w:val="00CF7BD4"/>
    <w:rsid w:val="00D0269E"/>
    <w:rsid w:val="00D12891"/>
    <w:rsid w:val="00D13FD3"/>
    <w:rsid w:val="00D229A9"/>
    <w:rsid w:val="00D34BF2"/>
    <w:rsid w:val="00D35533"/>
    <w:rsid w:val="00D40FDE"/>
    <w:rsid w:val="00D51836"/>
    <w:rsid w:val="00D775BF"/>
    <w:rsid w:val="00D913F8"/>
    <w:rsid w:val="00D91D5F"/>
    <w:rsid w:val="00D95894"/>
    <w:rsid w:val="00D96D72"/>
    <w:rsid w:val="00DA09E1"/>
    <w:rsid w:val="00DA72E0"/>
    <w:rsid w:val="00DB3A2E"/>
    <w:rsid w:val="00DC1C39"/>
    <w:rsid w:val="00DC574B"/>
    <w:rsid w:val="00DC6A7B"/>
    <w:rsid w:val="00DC7ED1"/>
    <w:rsid w:val="00DD1748"/>
    <w:rsid w:val="00DD44E2"/>
    <w:rsid w:val="00DE757B"/>
    <w:rsid w:val="00DF3A0E"/>
    <w:rsid w:val="00DF6D07"/>
    <w:rsid w:val="00E03623"/>
    <w:rsid w:val="00E04802"/>
    <w:rsid w:val="00E41215"/>
    <w:rsid w:val="00E433F7"/>
    <w:rsid w:val="00E50081"/>
    <w:rsid w:val="00E506EE"/>
    <w:rsid w:val="00E638D0"/>
    <w:rsid w:val="00E73628"/>
    <w:rsid w:val="00E7504C"/>
    <w:rsid w:val="00E77CF4"/>
    <w:rsid w:val="00E8560B"/>
    <w:rsid w:val="00E864B3"/>
    <w:rsid w:val="00EA0D82"/>
    <w:rsid w:val="00EA115B"/>
    <w:rsid w:val="00EA21DD"/>
    <w:rsid w:val="00EB1D24"/>
    <w:rsid w:val="00EB38C9"/>
    <w:rsid w:val="00EB3D24"/>
    <w:rsid w:val="00EC30BC"/>
    <w:rsid w:val="00ED0BDB"/>
    <w:rsid w:val="00EE14EC"/>
    <w:rsid w:val="00EE2635"/>
    <w:rsid w:val="00F07393"/>
    <w:rsid w:val="00F11006"/>
    <w:rsid w:val="00F11917"/>
    <w:rsid w:val="00F1582A"/>
    <w:rsid w:val="00F20351"/>
    <w:rsid w:val="00F26F97"/>
    <w:rsid w:val="00F27EDC"/>
    <w:rsid w:val="00F34749"/>
    <w:rsid w:val="00F4121B"/>
    <w:rsid w:val="00F45FA8"/>
    <w:rsid w:val="00F50496"/>
    <w:rsid w:val="00F55C6F"/>
    <w:rsid w:val="00F6510C"/>
    <w:rsid w:val="00F71D81"/>
    <w:rsid w:val="00F96D66"/>
    <w:rsid w:val="00FA04B3"/>
    <w:rsid w:val="00FA670B"/>
    <w:rsid w:val="00FB546D"/>
    <w:rsid w:val="00FC57DA"/>
    <w:rsid w:val="00FC749F"/>
    <w:rsid w:val="00FD10E8"/>
    <w:rsid w:val="00FD52D8"/>
    <w:rsid w:val="00FD5F80"/>
    <w:rsid w:val="00FD7568"/>
    <w:rsid w:val="00FE06E5"/>
    <w:rsid w:val="00FE52B4"/>
    <w:rsid w:val="00FF085E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E7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7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ghtGrid-Accent5">
    <w:name w:val="Light Grid Accent 5"/>
    <w:basedOn w:val="TableNormal"/>
    <w:uiPriority w:val="62"/>
    <w:rsid w:val="00713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eGrid">
    <w:name w:val="Table Grid"/>
    <w:basedOn w:val="TableNormal"/>
    <w:rsid w:val="00F2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E036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BB5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E9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5946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4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46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685"/>
    <w:rPr>
      <w:b/>
      <w:bCs/>
      <w:lang w:eastAsia="en-US"/>
    </w:rPr>
  </w:style>
  <w:style w:type="character" w:styleId="Hyperlink">
    <w:name w:val="Hyperlink"/>
    <w:basedOn w:val="DefaultParagraphFont"/>
    <w:rsid w:val="006338C8"/>
    <w:rPr>
      <w:color w:val="0000FF" w:themeColor="hyperlink"/>
      <w:u w:val="single"/>
    </w:rPr>
  </w:style>
  <w:style w:type="paragraph" w:customStyle="1" w:styleId="Body">
    <w:name w:val="Body"/>
    <w:rsid w:val="008414E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BB48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E13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E7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7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ghtGrid-Accent5">
    <w:name w:val="Light Grid Accent 5"/>
    <w:basedOn w:val="TableNormal"/>
    <w:uiPriority w:val="62"/>
    <w:rsid w:val="00713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eGrid">
    <w:name w:val="Table Grid"/>
    <w:basedOn w:val="TableNormal"/>
    <w:rsid w:val="00F2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E036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BB5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E9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5946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4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46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685"/>
    <w:rPr>
      <w:b/>
      <w:bCs/>
      <w:lang w:eastAsia="en-US"/>
    </w:rPr>
  </w:style>
  <w:style w:type="character" w:styleId="Hyperlink">
    <w:name w:val="Hyperlink"/>
    <w:basedOn w:val="DefaultParagraphFont"/>
    <w:rsid w:val="006338C8"/>
    <w:rPr>
      <w:color w:val="0000FF" w:themeColor="hyperlink"/>
      <w:u w:val="single"/>
    </w:rPr>
  </w:style>
  <w:style w:type="paragraph" w:customStyle="1" w:styleId="Body">
    <w:name w:val="Body"/>
    <w:rsid w:val="008414E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BB48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E1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2DEB-BF9C-4F3C-B027-DA841B8A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B17DCAD7.dotm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2018-05-16T13:35:00Z</dcterms:created>
  <dcterms:modified xsi:type="dcterms:W3CDTF">2018-05-16T13:35:00Z</dcterms:modified>
</cp:coreProperties>
</file>