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7FC14258"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D34AB3">
        <w:rPr>
          <w:rFonts w:cs="Arial"/>
          <w:b/>
          <w:sz w:val="36"/>
          <w:szCs w:val="36"/>
        </w:rPr>
        <w:t xml:space="preserve">Interacting risks </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753E528E"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50FFC">
        <w:rPr>
          <w:rFonts w:cs="Arial"/>
          <w:color w:val="FF0000"/>
          <w:sz w:val="36"/>
          <w:szCs w:val="36"/>
        </w:rPr>
        <w:t>GH/0718[2]</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E84140" w:rsidRDefault="00E84140" w:rsidP="003E5C19">
                            <w:pPr>
                              <w:pStyle w:val="Norma"/>
                              <w:jc w:val="center"/>
                              <w:rPr>
                                <w:b/>
                                <w:sz w:val="28"/>
                                <w:szCs w:val="28"/>
                              </w:rPr>
                            </w:pPr>
                          </w:p>
                          <w:p w14:paraId="5EA87636" w14:textId="77777777" w:rsidR="00E84140" w:rsidRDefault="00E84140" w:rsidP="003E5C19">
                            <w:pPr>
                              <w:pStyle w:val="Norma"/>
                              <w:jc w:val="center"/>
                              <w:rPr>
                                <w:b/>
                                <w:sz w:val="28"/>
                                <w:szCs w:val="28"/>
                              </w:rPr>
                            </w:pPr>
                          </w:p>
                          <w:p w14:paraId="5EA87637" w14:textId="77777777" w:rsidR="00E84140" w:rsidRPr="003E5C19" w:rsidRDefault="00E84140" w:rsidP="003E5C19">
                            <w:pPr>
                              <w:pStyle w:val="Norma"/>
                              <w:jc w:val="center"/>
                              <w:rPr>
                                <w:rFonts w:cs="Arial"/>
                                <w:b/>
                                <w:sz w:val="36"/>
                                <w:szCs w:val="36"/>
                              </w:rPr>
                            </w:pPr>
                            <w:r w:rsidRPr="003E5C19">
                              <w:rPr>
                                <w:b/>
                                <w:sz w:val="36"/>
                                <w:szCs w:val="36"/>
                              </w:rPr>
                              <w:t>Specification of Requirements</w:t>
                            </w:r>
                          </w:p>
                          <w:p w14:paraId="5EA87638" w14:textId="77777777" w:rsidR="00E84140" w:rsidRDefault="00E84140">
                            <w:pPr>
                              <w:pStyle w:val="Norma"/>
                            </w:pPr>
                          </w:p>
                          <w:p w14:paraId="5EA87639" w14:textId="77777777" w:rsidR="00E84140" w:rsidRDefault="00E84140">
                            <w:pPr>
                              <w:pStyle w:val="Norma"/>
                            </w:pPr>
                          </w:p>
                          <w:p w14:paraId="5EA8763A" w14:textId="1056155C" w:rsidR="00E84140" w:rsidRPr="005C4A3B" w:rsidRDefault="00E84140"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Pr>
                                <w:rFonts w:cs="Arial"/>
                                <w:color w:val="000000" w:themeColor="text1"/>
                                <w:sz w:val="24"/>
                                <w:szCs w:val="24"/>
                              </w:rPr>
                              <w:t>Interacting risks</w:t>
                            </w:r>
                          </w:p>
                          <w:p w14:paraId="5EA8763B" w14:textId="04E5CE6A" w:rsidR="00E84140" w:rsidRPr="005C4A3B" w:rsidRDefault="00E84140" w:rsidP="00405192">
                            <w:pPr>
                              <w:pStyle w:val="Norma"/>
                              <w:rPr>
                                <w:rFonts w:cs="Arial"/>
                                <w:sz w:val="24"/>
                                <w:szCs w:val="24"/>
                              </w:rPr>
                            </w:pPr>
                            <w:r w:rsidRPr="005C4A3B">
                              <w:rPr>
                                <w:rFonts w:cs="Arial"/>
                                <w:sz w:val="24"/>
                                <w:szCs w:val="24"/>
                              </w:rPr>
                              <w:t xml:space="preserve">Tender Reference Number: </w:t>
                            </w:r>
                            <w:r w:rsidR="00950FFC">
                              <w:rPr>
                                <w:rFonts w:cs="Arial"/>
                                <w:color w:val="FF0000"/>
                                <w:sz w:val="36"/>
                                <w:szCs w:val="36"/>
                              </w:rPr>
                              <w:t>GH/0718[2]</w:t>
                            </w:r>
                          </w:p>
                          <w:p w14:paraId="5EA8763D" w14:textId="042870D4" w:rsidR="00E84140" w:rsidRPr="005C4A3B" w:rsidRDefault="00E84140" w:rsidP="00790CE1">
                            <w:pPr>
                              <w:pStyle w:val="Norma"/>
                              <w:rPr>
                                <w:rFonts w:cs="Arial"/>
                                <w:color w:val="000000" w:themeColor="text1"/>
                                <w:sz w:val="24"/>
                                <w:szCs w:val="24"/>
                              </w:rPr>
                            </w:pPr>
                            <w:r w:rsidRPr="005C4A3B">
                              <w:rPr>
                                <w:rFonts w:cs="Arial"/>
                                <w:sz w:val="24"/>
                                <w:szCs w:val="24"/>
                              </w:rPr>
                              <w:t xml:space="preserve">Deadline for Tender Responses: </w:t>
                            </w:r>
                            <w:r>
                              <w:rPr>
                                <w:rFonts w:cs="Arial"/>
                                <w:color w:val="000000" w:themeColor="text1"/>
                                <w:sz w:val="24"/>
                                <w:szCs w:val="24"/>
                              </w:rPr>
                              <w:t>24</w:t>
                            </w:r>
                            <w:r w:rsidRPr="00C253CA">
                              <w:rPr>
                                <w:rFonts w:cs="Arial"/>
                                <w:color w:val="000000" w:themeColor="text1"/>
                                <w:sz w:val="24"/>
                                <w:szCs w:val="24"/>
                                <w:vertAlign w:val="superscript"/>
                              </w:rPr>
                              <w:t>th</w:t>
                            </w:r>
                            <w:r>
                              <w:rPr>
                                <w:rFonts w:cs="Arial"/>
                                <w:color w:val="000000" w:themeColor="text1"/>
                                <w:sz w:val="24"/>
                                <w:szCs w:val="24"/>
                              </w:rPr>
                              <w:t xml:space="preserve"> September 2018</w:t>
                            </w:r>
                          </w:p>
                          <w:p w14:paraId="5EA8763E" w14:textId="77777777" w:rsidR="00E84140" w:rsidRDefault="00E84140" w:rsidP="00790CE1">
                            <w:pPr>
                              <w:pStyle w:val="Norma"/>
                              <w:rPr>
                                <w:rFonts w:cs="Arial"/>
                              </w:rPr>
                            </w:pPr>
                          </w:p>
                          <w:p w14:paraId="5EA8763F" w14:textId="77777777" w:rsidR="00E84140" w:rsidRPr="0000739E" w:rsidRDefault="00E84140" w:rsidP="00790CE1">
                            <w:pPr>
                              <w:pStyle w:val="Norma"/>
                              <w:rPr>
                                <w:rFonts w:cs="Arial"/>
                              </w:rPr>
                            </w:pPr>
                          </w:p>
                          <w:p w14:paraId="5EA87640" w14:textId="77777777" w:rsidR="00E84140" w:rsidRDefault="00E84140">
                            <w:pPr>
                              <w:pStyle w:val="Norma"/>
                            </w:pPr>
                          </w:p>
                          <w:p w14:paraId="5EA87641" w14:textId="77777777" w:rsidR="00E84140" w:rsidRDefault="00E84140">
                            <w:pPr>
                              <w:pStyle w:val="Norma"/>
                            </w:pPr>
                          </w:p>
                          <w:p w14:paraId="5EA87642" w14:textId="77777777" w:rsidR="00E84140" w:rsidRDefault="00E84140">
                            <w:pPr>
                              <w:pStyle w:val="Norma"/>
                            </w:pPr>
                          </w:p>
                          <w:p w14:paraId="5EA87643" w14:textId="77777777" w:rsidR="00E84140" w:rsidRDefault="00E8414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E84140" w:rsidRDefault="00E84140" w:rsidP="003E5C19">
                      <w:pPr>
                        <w:pStyle w:val="Norma"/>
                        <w:jc w:val="center"/>
                        <w:rPr>
                          <w:b/>
                          <w:sz w:val="28"/>
                          <w:szCs w:val="28"/>
                        </w:rPr>
                      </w:pPr>
                    </w:p>
                    <w:p w14:paraId="5EA87636" w14:textId="77777777" w:rsidR="00E84140" w:rsidRDefault="00E84140" w:rsidP="003E5C19">
                      <w:pPr>
                        <w:pStyle w:val="Norma"/>
                        <w:jc w:val="center"/>
                        <w:rPr>
                          <w:b/>
                          <w:sz w:val="28"/>
                          <w:szCs w:val="28"/>
                        </w:rPr>
                      </w:pPr>
                    </w:p>
                    <w:p w14:paraId="5EA87637" w14:textId="77777777" w:rsidR="00E84140" w:rsidRPr="003E5C19" w:rsidRDefault="00E84140" w:rsidP="003E5C19">
                      <w:pPr>
                        <w:pStyle w:val="Norma"/>
                        <w:jc w:val="center"/>
                        <w:rPr>
                          <w:rFonts w:cs="Arial"/>
                          <w:b/>
                          <w:sz w:val="36"/>
                          <w:szCs w:val="36"/>
                        </w:rPr>
                      </w:pPr>
                      <w:r w:rsidRPr="003E5C19">
                        <w:rPr>
                          <w:b/>
                          <w:sz w:val="36"/>
                          <w:szCs w:val="36"/>
                        </w:rPr>
                        <w:t>Specification of Requirements</w:t>
                      </w:r>
                    </w:p>
                    <w:p w14:paraId="5EA87638" w14:textId="77777777" w:rsidR="00E84140" w:rsidRDefault="00E84140">
                      <w:pPr>
                        <w:pStyle w:val="Norma"/>
                      </w:pPr>
                    </w:p>
                    <w:p w14:paraId="5EA87639" w14:textId="77777777" w:rsidR="00E84140" w:rsidRDefault="00E84140">
                      <w:pPr>
                        <w:pStyle w:val="Norma"/>
                      </w:pPr>
                    </w:p>
                    <w:p w14:paraId="5EA8763A" w14:textId="1056155C" w:rsidR="00E84140" w:rsidRPr="005C4A3B" w:rsidRDefault="00E84140"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Pr>
                          <w:rFonts w:cs="Arial"/>
                          <w:color w:val="000000" w:themeColor="text1"/>
                          <w:sz w:val="24"/>
                          <w:szCs w:val="24"/>
                        </w:rPr>
                        <w:t>Interacting risks</w:t>
                      </w:r>
                    </w:p>
                    <w:p w14:paraId="5EA8763B" w14:textId="04E5CE6A" w:rsidR="00E84140" w:rsidRPr="005C4A3B" w:rsidRDefault="00E84140" w:rsidP="00405192">
                      <w:pPr>
                        <w:pStyle w:val="Norma"/>
                        <w:rPr>
                          <w:rFonts w:cs="Arial"/>
                          <w:sz w:val="24"/>
                          <w:szCs w:val="24"/>
                        </w:rPr>
                      </w:pPr>
                      <w:r w:rsidRPr="005C4A3B">
                        <w:rPr>
                          <w:rFonts w:cs="Arial"/>
                          <w:sz w:val="24"/>
                          <w:szCs w:val="24"/>
                        </w:rPr>
                        <w:t xml:space="preserve">Tender Reference Number: </w:t>
                      </w:r>
                      <w:r w:rsidR="00950FFC">
                        <w:rPr>
                          <w:rFonts w:cs="Arial"/>
                          <w:color w:val="FF0000"/>
                          <w:sz w:val="36"/>
                          <w:szCs w:val="36"/>
                        </w:rPr>
                        <w:t>GH/0718[2]</w:t>
                      </w:r>
                    </w:p>
                    <w:p w14:paraId="5EA8763D" w14:textId="042870D4" w:rsidR="00E84140" w:rsidRPr="005C4A3B" w:rsidRDefault="00E84140" w:rsidP="00790CE1">
                      <w:pPr>
                        <w:pStyle w:val="Norma"/>
                        <w:rPr>
                          <w:rFonts w:cs="Arial"/>
                          <w:color w:val="000000" w:themeColor="text1"/>
                          <w:sz w:val="24"/>
                          <w:szCs w:val="24"/>
                        </w:rPr>
                      </w:pPr>
                      <w:r w:rsidRPr="005C4A3B">
                        <w:rPr>
                          <w:rFonts w:cs="Arial"/>
                          <w:sz w:val="24"/>
                          <w:szCs w:val="24"/>
                        </w:rPr>
                        <w:t xml:space="preserve">Deadline for Tender Responses: </w:t>
                      </w:r>
                      <w:r>
                        <w:rPr>
                          <w:rFonts w:cs="Arial"/>
                          <w:color w:val="000000" w:themeColor="text1"/>
                          <w:sz w:val="24"/>
                          <w:szCs w:val="24"/>
                        </w:rPr>
                        <w:t>24</w:t>
                      </w:r>
                      <w:r w:rsidRPr="00C253CA">
                        <w:rPr>
                          <w:rFonts w:cs="Arial"/>
                          <w:color w:val="000000" w:themeColor="text1"/>
                          <w:sz w:val="24"/>
                          <w:szCs w:val="24"/>
                          <w:vertAlign w:val="superscript"/>
                        </w:rPr>
                        <w:t>th</w:t>
                      </w:r>
                      <w:r>
                        <w:rPr>
                          <w:rFonts w:cs="Arial"/>
                          <w:color w:val="000000" w:themeColor="text1"/>
                          <w:sz w:val="24"/>
                          <w:szCs w:val="24"/>
                        </w:rPr>
                        <w:t xml:space="preserve"> September 2018</w:t>
                      </w:r>
                    </w:p>
                    <w:p w14:paraId="5EA8763E" w14:textId="77777777" w:rsidR="00E84140" w:rsidRDefault="00E84140" w:rsidP="00790CE1">
                      <w:pPr>
                        <w:pStyle w:val="Norma"/>
                        <w:rPr>
                          <w:rFonts w:cs="Arial"/>
                        </w:rPr>
                      </w:pPr>
                    </w:p>
                    <w:p w14:paraId="5EA8763F" w14:textId="77777777" w:rsidR="00E84140" w:rsidRPr="0000739E" w:rsidRDefault="00E84140" w:rsidP="00790CE1">
                      <w:pPr>
                        <w:pStyle w:val="Norma"/>
                        <w:rPr>
                          <w:rFonts w:cs="Arial"/>
                        </w:rPr>
                      </w:pPr>
                    </w:p>
                    <w:p w14:paraId="5EA87640" w14:textId="77777777" w:rsidR="00E84140" w:rsidRDefault="00E84140">
                      <w:pPr>
                        <w:pStyle w:val="Norma"/>
                      </w:pPr>
                    </w:p>
                    <w:p w14:paraId="5EA87641" w14:textId="77777777" w:rsidR="00E84140" w:rsidRDefault="00E84140">
                      <w:pPr>
                        <w:pStyle w:val="Norma"/>
                      </w:pPr>
                    </w:p>
                    <w:p w14:paraId="5EA87642" w14:textId="77777777" w:rsidR="00E84140" w:rsidRDefault="00E84140">
                      <w:pPr>
                        <w:pStyle w:val="Norma"/>
                      </w:pPr>
                    </w:p>
                    <w:p w14:paraId="5EA87643" w14:textId="77777777" w:rsidR="00E84140" w:rsidRDefault="00E8414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bookmarkStart w:id="2" w:name="_GoBack"/>
      <w:bookmarkEnd w:id="2"/>
    </w:p>
    <w:p w14:paraId="2F3110F3" w14:textId="77777777" w:rsidR="00461719"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61719" w:rsidRPr="00CC7971">
        <w:rPr>
          <w:rFonts w:cs="Arial"/>
          <w:noProof/>
        </w:rPr>
        <w:t>1.</w:t>
      </w:r>
      <w:r w:rsidR="00461719">
        <w:rPr>
          <w:rFonts w:asciiTheme="minorHAnsi" w:eastAsiaTheme="minorEastAsia" w:hAnsiTheme="minorHAnsi" w:cstheme="minorBidi"/>
          <w:noProof/>
        </w:rPr>
        <w:tab/>
      </w:r>
      <w:r w:rsidR="00461719" w:rsidRPr="00CC7971">
        <w:rPr>
          <w:rFonts w:cs="Arial"/>
          <w:noProof/>
        </w:rPr>
        <w:t>Introduction and summary of requirements / Preamble</w:t>
      </w:r>
      <w:r w:rsidR="00461719">
        <w:rPr>
          <w:noProof/>
        </w:rPr>
        <w:tab/>
      </w:r>
      <w:r w:rsidR="00461719">
        <w:rPr>
          <w:noProof/>
        </w:rPr>
        <w:fldChar w:fldCharType="begin"/>
      </w:r>
      <w:r w:rsidR="00461719">
        <w:rPr>
          <w:noProof/>
        </w:rPr>
        <w:instrText xml:space="preserve"> PAGEREF _Toc520710307 \h </w:instrText>
      </w:r>
      <w:r w:rsidR="00461719">
        <w:rPr>
          <w:noProof/>
        </w:rPr>
      </w:r>
      <w:r w:rsidR="00461719">
        <w:rPr>
          <w:noProof/>
        </w:rPr>
        <w:fldChar w:fldCharType="separate"/>
      </w:r>
      <w:r w:rsidR="00461719">
        <w:rPr>
          <w:noProof/>
        </w:rPr>
        <w:t>3</w:t>
      </w:r>
      <w:r w:rsidR="00461719">
        <w:rPr>
          <w:noProof/>
        </w:rPr>
        <w:fldChar w:fldCharType="end"/>
      </w:r>
    </w:p>
    <w:p w14:paraId="0863FD58" w14:textId="77777777" w:rsidR="00461719" w:rsidRDefault="00461719">
      <w:pPr>
        <w:pStyle w:val="TOC1"/>
        <w:rPr>
          <w:rFonts w:asciiTheme="minorHAnsi" w:eastAsiaTheme="minorEastAsia" w:hAnsiTheme="minorHAnsi" w:cstheme="minorBidi"/>
          <w:noProof/>
        </w:rPr>
      </w:pPr>
      <w:r w:rsidRPr="00CC7971">
        <w:rPr>
          <w:rFonts w:cs="Arial"/>
          <w:noProof/>
        </w:rPr>
        <w:t>2.</w:t>
      </w:r>
      <w:r>
        <w:rPr>
          <w:rFonts w:asciiTheme="minorHAnsi" w:eastAsiaTheme="minorEastAsia" w:hAnsiTheme="minorHAnsi" w:cstheme="minorBidi"/>
          <w:noProof/>
        </w:rPr>
        <w:tab/>
      </w:r>
      <w:r w:rsidRPr="00CC7971">
        <w:rPr>
          <w:rFonts w:cs="Arial"/>
          <w:noProof/>
        </w:rPr>
        <w:t>Background</w:t>
      </w:r>
      <w:r>
        <w:rPr>
          <w:noProof/>
        </w:rPr>
        <w:tab/>
      </w:r>
      <w:r>
        <w:rPr>
          <w:noProof/>
        </w:rPr>
        <w:fldChar w:fldCharType="begin"/>
      </w:r>
      <w:r>
        <w:rPr>
          <w:noProof/>
        </w:rPr>
        <w:instrText xml:space="preserve"> PAGEREF _Toc520710308 \h </w:instrText>
      </w:r>
      <w:r>
        <w:rPr>
          <w:noProof/>
        </w:rPr>
      </w:r>
      <w:r>
        <w:rPr>
          <w:noProof/>
        </w:rPr>
        <w:fldChar w:fldCharType="separate"/>
      </w:r>
      <w:r>
        <w:rPr>
          <w:noProof/>
        </w:rPr>
        <w:t>3</w:t>
      </w:r>
      <w:r>
        <w:rPr>
          <w:noProof/>
        </w:rPr>
        <w:fldChar w:fldCharType="end"/>
      </w:r>
    </w:p>
    <w:p w14:paraId="7EFABBE2" w14:textId="77777777" w:rsidR="00461719" w:rsidRDefault="00461719">
      <w:pPr>
        <w:pStyle w:val="TOC1"/>
        <w:rPr>
          <w:rFonts w:asciiTheme="minorHAnsi" w:eastAsiaTheme="minorEastAsia" w:hAnsiTheme="minorHAnsi" w:cstheme="minorBidi"/>
          <w:noProof/>
        </w:rPr>
      </w:pPr>
      <w:r w:rsidRPr="00CC7971">
        <w:rPr>
          <w:rFonts w:cs="Arial"/>
          <w:noProof/>
        </w:rPr>
        <w:t>3.</w:t>
      </w:r>
      <w:r>
        <w:rPr>
          <w:rFonts w:asciiTheme="minorHAnsi" w:eastAsiaTheme="minorEastAsia" w:hAnsiTheme="minorHAnsi" w:cstheme="minorBidi"/>
          <w:noProof/>
        </w:rPr>
        <w:tab/>
      </w:r>
      <w:r w:rsidRPr="00CC7971">
        <w:rPr>
          <w:rFonts w:cs="Arial"/>
          <w:noProof/>
        </w:rPr>
        <w:t>Aims and Objectives</w:t>
      </w:r>
      <w:r>
        <w:rPr>
          <w:noProof/>
        </w:rPr>
        <w:tab/>
      </w:r>
      <w:r>
        <w:rPr>
          <w:noProof/>
        </w:rPr>
        <w:fldChar w:fldCharType="begin"/>
      </w:r>
      <w:r>
        <w:rPr>
          <w:noProof/>
        </w:rPr>
        <w:instrText xml:space="preserve"> PAGEREF _Toc520710309 \h </w:instrText>
      </w:r>
      <w:r>
        <w:rPr>
          <w:noProof/>
        </w:rPr>
      </w:r>
      <w:r>
        <w:rPr>
          <w:noProof/>
        </w:rPr>
        <w:fldChar w:fldCharType="separate"/>
      </w:r>
      <w:r>
        <w:rPr>
          <w:noProof/>
        </w:rPr>
        <w:t>4</w:t>
      </w:r>
      <w:r>
        <w:rPr>
          <w:noProof/>
        </w:rPr>
        <w:fldChar w:fldCharType="end"/>
      </w:r>
    </w:p>
    <w:p w14:paraId="7406BFAA" w14:textId="77777777" w:rsidR="00461719" w:rsidRDefault="00461719">
      <w:pPr>
        <w:pStyle w:val="TOC1"/>
        <w:rPr>
          <w:rFonts w:asciiTheme="minorHAnsi" w:eastAsiaTheme="minorEastAsia" w:hAnsiTheme="minorHAnsi" w:cstheme="minorBidi"/>
          <w:noProof/>
        </w:rPr>
      </w:pPr>
      <w:r w:rsidRPr="00CC7971">
        <w:rPr>
          <w:rFonts w:cs="Arial"/>
          <w:noProof/>
        </w:rPr>
        <w:t>4</w:t>
      </w:r>
      <w:r>
        <w:rPr>
          <w:rFonts w:asciiTheme="minorHAnsi" w:eastAsiaTheme="minorEastAsia" w:hAnsiTheme="minorHAnsi" w:cstheme="minorBidi"/>
          <w:noProof/>
        </w:rPr>
        <w:tab/>
      </w:r>
      <w:r w:rsidRPr="00CC7971">
        <w:rPr>
          <w:rFonts w:cs="Arial"/>
          <w:noProof/>
        </w:rPr>
        <w:t>Methodology</w:t>
      </w:r>
      <w:r>
        <w:rPr>
          <w:noProof/>
        </w:rPr>
        <w:tab/>
      </w:r>
      <w:r>
        <w:rPr>
          <w:noProof/>
        </w:rPr>
        <w:fldChar w:fldCharType="begin"/>
      </w:r>
      <w:r>
        <w:rPr>
          <w:noProof/>
        </w:rPr>
        <w:instrText xml:space="preserve"> PAGEREF _Toc520710310 \h </w:instrText>
      </w:r>
      <w:r>
        <w:rPr>
          <w:noProof/>
        </w:rPr>
      </w:r>
      <w:r>
        <w:rPr>
          <w:noProof/>
        </w:rPr>
        <w:fldChar w:fldCharType="separate"/>
      </w:r>
      <w:r>
        <w:rPr>
          <w:noProof/>
        </w:rPr>
        <w:t>4</w:t>
      </w:r>
      <w:r>
        <w:rPr>
          <w:noProof/>
        </w:rPr>
        <w:fldChar w:fldCharType="end"/>
      </w:r>
    </w:p>
    <w:p w14:paraId="41F3D29F" w14:textId="77777777" w:rsidR="00461719" w:rsidRDefault="00461719">
      <w:pPr>
        <w:pStyle w:val="TOC1"/>
        <w:rPr>
          <w:rFonts w:asciiTheme="minorHAnsi" w:eastAsiaTheme="minorEastAsia" w:hAnsiTheme="minorHAnsi" w:cstheme="minorBidi"/>
          <w:noProof/>
        </w:rPr>
      </w:pPr>
      <w:r w:rsidRPr="00CC7971">
        <w:rPr>
          <w:rFonts w:cs="Arial"/>
          <w:noProof/>
        </w:rPr>
        <w:t>5</w:t>
      </w:r>
      <w:r>
        <w:rPr>
          <w:rFonts w:asciiTheme="minorHAnsi" w:eastAsiaTheme="minorEastAsia" w:hAnsiTheme="minorHAnsi" w:cstheme="minorBidi"/>
          <w:noProof/>
        </w:rPr>
        <w:tab/>
      </w:r>
      <w:r w:rsidRPr="00CC7971">
        <w:rPr>
          <w:rFonts w:cs="Arial"/>
          <w:noProof/>
        </w:rPr>
        <w:t>Outputs Required</w:t>
      </w:r>
      <w:r>
        <w:rPr>
          <w:noProof/>
        </w:rPr>
        <w:tab/>
      </w:r>
      <w:r>
        <w:rPr>
          <w:noProof/>
        </w:rPr>
        <w:fldChar w:fldCharType="begin"/>
      </w:r>
      <w:r>
        <w:rPr>
          <w:noProof/>
        </w:rPr>
        <w:instrText xml:space="preserve"> PAGEREF _Toc520710311 \h </w:instrText>
      </w:r>
      <w:r>
        <w:rPr>
          <w:noProof/>
        </w:rPr>
      </w:r>
      <w:r>
        <w:rPr>
          <w:noProof/>
        </w:rPr>
        <w:fldChar w:fldCharType="separate"/>
      </w:r>
      <w:r>
        <w:rPr>
          <w:noProof/>
        </w:rPr>
        <w:t>5</w:t>
      </w:r>
      <w:r>
        <w:rPr>
          <w:noProof/>
        </w:rPr>
        <w:fldChar w:fldCharType="end"/>
      </w:r>
    </w:p>
    <w:p w14:paraId="41E3ECF6" w14:textId="77777777" w:rsidR="00461719" w:rsidRDefault="00461719">
      <w:pPr>
        <w:pStyle w:val="TOC1"/>
        <w:rPr>
          <w:rFonts w:asciiTheme="minorHAnsi" w:eastAsiaTheme="minorEastAsia" w:hAnsiTheme="minorHAnsi" w:cstheme="minorBidi"/>
          <w:noProof/>
        </w:rPr>
      </w:pPr>
      <w:r w:rsidRPr="00CC7971">
        <w:rPr>
          <w:rFonts w:cs="Arial"/>
          <w:noProof/>
        </w:rPr>
        <w:t>6</w:t>
      </w:r>
      <w:r>
        <w:rPr>
          <w:rFonts w:asciiTheme="minorHAnsi" w:eastAsiaTheme="minorEastAsia" w:hAnsiTheme="minorHAnsi" w:cstheme="minorBidi"/>
          <w:noProof/>
        </w:rPr>
        <w:tab/>
      </w:r>
      <w:r w:rsidRPr="00CC7971">
        <w:rPr>
          <w:rFonts w:cs="Arial"/>
          <w:noProof/>
        </w:rPr>
        <w:t>Ownership and Publication</w:t>
      </w:r>
      <w:r>
        <w:rPr>
          <w:noProof/>
        </w:rPr>
        <w:tab/>
      </w:r>
      <w:r>
        <w:rPr>
          <w:noProof/>
        </w:rPr>
        <w:fldChar w:fldCharType="begin"/>
      </w:r>
      <w:r>
        <w:rPr>
          <w:noProof/>
        </w:rPr>
        <w:instrText xml:space="preserve"> PAGEREF _Toc520710312 \h </w:instrText>
      </w:r>
      <w:r>
        <w:rPr>
          <w:noProof/>
        </w:rPr>
      </w:r>
      <w:r>
        <w:rPr>
          <w:noProof/>
        </w:rPr>
        <w:fldChar w:fldCharType="separate"/>
      </w:r>
      <w:r>
        <w:rPr>
          <w:noProof/>
        </w:rPr>
        <w:t>6</w:t>
      </w:r>
      <w:r>
        <w:rPr>
          <w:noProof/>
        </w:rPr>
        <w:fldChar w:fldCharType="end"/>
      </w:r>
    </w:p>
    <w:p w14:paraId="600672FB" w14:textId="77777777" w:rsidR="00461719" w:rsidRDefault="00461719">
      <w:pPr>
        <w:pStyle w:val="TOC1"/>
        <w:rPr>
          <w:rFonts w:asciiTheme="minorHAnsi" w:eastAsiaTheme="minorEastAsia" w:hAnsiTheme="minorHAnsi" w:cstheme="minorBidi"/>
          <w:noProof/>
        </w:rPr>
      </w:pPr>
      <w:r w:rsidRPr="00CC7971">
        <w:rPr>
          <w:rFonts w:cs="Arial"/>
          <w:noProof/>
        </w:rPr>
        <w:t>7</w:t>
      </w:r>
      <w:r>
        <w:rPr>
          <w:rFonts w:asciiTheme="minorHAnsi" w:eastAsiaTheme="minorEastAsia" w:hAnsiTheme="minorHAnsi" w:cstheme="minorBidi"/>
          <w:noProof/>
        </w:rPr>
        <w:tab/>
      </w:r>
      <w:r w:rsidRPr="00CC7971">
        <w:rPr>
          <w:rFonts w:cs="Arial"/>
          <w:noProof/>
        </w:rPr>
        <w:t>Quality Assurance</w:t>
      </w:r>
      <w:r>
        <w:rPr>
          <w:noProof/>
        </w:rPr>
        <w:tab/>
      </w:r>
      <w:r>
        <w:rPr>
          <w:noProof/>
        </w:rPr>
        <w:fldChar w:fldCharType="begin"/>
      </w:r>
      <w:r>
        <w:rPr>
          <w:noProof/>
        </w:rPr>
        <w:instrText xml:space="preserve"> PAGEREF _Toc520710313 \h </w:instrText>
      </w:r>
      <w:r>
        <w:rPr>
          <w:noProof/>
        </w:rPr>
      </w:r>
      <w:r>
        <w:rPr>
          <w:noProof/>
        </w:rPr>
        <w:fldChar w:fldCharType="separate"/>
      </w:r>
      <w:r>
        <w:rPr>
          <w:noProof/>
        </w:rPr>
        <w:t>6</w:t>
      </w:r>
      <w:r>
        <w:rPr>
          <w:noProof/>
        </w:rPr>
        <w:fldChar w:fldCharType="end"/>
      </w:r>
    </w:p>
    <w:p w14:paraId="7275EA50" w14:textId="77777777" w:rsidR="00461719" w:rsidRDefault="00461719">
      <w:pPr>
        <w:pStyle w:val="TOC1"/>
        <w:rPr>
          <w:rFonts w:asciiTheme="minorHAnsi" w:eastAsiaTheme="minorEastAsia" w:hAnsiTheme="minorHAnsi" w:cstheme="minorBidi"/>
          <w:noProof/>
        </w:rPr>
      </w:pPr>
      <w:r w:rsidRPr="00CC7971">
        <w:rPr>
          <w:rFonts w:cs="Arial"/>
          <w:noProof/>
        </w:rPr>
        <w:t>8</w:t>
      </w:r>
      <w:r>
        <w:rPr>
          <w:rFonts w:asciiTheme="minorHAnsi" w:eastAsiaTheme="minorEastAsia" w:hAnsiTheme="minorHAnsi" w:cstheme="minorBidi"/>
          <w:noProof/>
        </w:rPr>
        <w:tab/>
      </w:r>
      <w:r w:rsidRPr="00CC7971">
        <w:rPr>
          <w:rFonts w:cs="Arial"/>
          <w:noProof/>
        </w:rPr>
        <w:t>Timetable</w:t>
      </w:r>
      <w:r>
        <w:rPr>
          <w:noProof/>
        </w:rPr>
        <w:tab/>
      </w:r>
      <w:r>
        <w:rPr>
          <w:noProof/>
        </w:rPr>
        <w:fldChar w:fldCharType="begin"/>
      </w:r>
      <w:r>
        <w:rPr>
          <w:noProof/>
        </w:rPr>
        <w:instrText xml:space="preserve"> PAGEREF _Toc520710314 \h </w:instrText>
      </w:r>
      <w:r>
        <w:rPr>
          <w:noProof/>
        </w:rPr>
      </w:r>
      <w:r>
        <w:rPr>
          <w:noProof/>
        </w:rPr>
        <w:fldChar w:fldCharType="separate"/>
      </w:r>
      <w:r>
        <w:rPr>
          <w:noProof/>
        </w:rPr>
        <w:t>6</w:t>
      </w:r>
      <w:r>
        <w:rPr>
          <w:noProof/>
        </w:rPr>
        <w:fldChar w:fldCharType="end"/>
      </w:r>
    </w:p>
    <w:p w14:paraId="2718F32E" w14:textId="77777777" w:rsidR="00461719" w:rsidRDefault="00461719">
      <w:pPr>
        <w:pStyle w:val="TOC1"/>
        <w:rPr>
          <w:rFonts w:asciiTheme="minorHAnsi" w:eastAsiaTheme="minorEastAsia" w:hAnsiTheme="minorHAnsi" w:cstheme="minorBidi"/>
          <w:noProof/>
        </w:rPr>
      </w:pPr>
      <w:r w:rsidRPr="00CC7971">
        <w:rPr>
          <w:rFonts w:cs="Arial"/>
          <w:noProof/>
        </w:rPr>
        <w:t>9</w:t>
      </w:r>
      <w:r>
        <w:rPr>
          <w:rFonts w:asciiTheme="minorHAnsi" w:eastAsiaTheme="minorEastAsia" w:hAnsiTheme="minorHAnsi" w:cstheme="minorBidi"/>
          <w:noProof/>
        </w:rPr>
        <w:tab/>
      </w:r>
      <w:r w:rsidRPr="00CC7971">
        <w:rPr>
          <w:rFonts w:cs="Arial"/>
          <w:noProof/>
        </w:rPr>
        <w:t>Challenges</w:t>
      </w:r>
      <w:r>
        <w:rPr>
          <w:noProof/>
        </w:rPr>
        <w:tab/>
      </w:r>
      <w:r>
        <w:rPr>
          <w:noProof/>
        </w:rPr>
        <w:fldChar w:fldCharType="begin"/>
      </w:r>
      <w:r>
        <w:rPr>
          <w:noProof/>
        </w:rPr>
        <w:instrText xml:space="preserve"> PAGEREF _Toc520710316 \h </w:instrText>
      </w:r>
      <w:r>
        <w:rPr>
          <w:noProof/>
        </w:rPr>
      </w:r>
      <w:r>
        <w:rPr>
          <w:noProof/>
        </w:rPr>
        <w:fldChar w:fldCharType="separate"/>
      </w:r>
      <w:r>
        <w:rPr>
          <w:noProof/>
        </w:rPr>
        <w:t>7</w:t>
      </w:r>
      <w:r>
        <w:rPr>
          <w:noProof/>
        </w:rPr>
        <w:fldChar w:fldCharType="end"/>
      </w:r>
    </w:p>
    <w:p w14:paraId="0335E99B" w14:textId="77777777" w:rsidR="00461719" w:rsidRDefault="00461719">
      <w:pPr>
        <w:pStyle w:val="TOC1"/>
        <w:rPr>
          <w:rFonts w:asciiTheme="minorHAnsi" w:eastAsiaTheme="minorEastAsia" w:hAnsiTheme="minorHAnsi" w:cstheme="minorBidi"/>
          <w:noProof/>
        </w:rPr>
      </w:pPr>
      <w:r w:rsidRPr="00CC7971">
        <w:rPr>
          <w:rFonts w:cs="Arial"/>
          <w:noProof/>
        </w:rPr>
        <w:t>10</w:t>
      </w:r>
      <w:r>
        <w:rPr>
          <w:rFonts w:asciiTheme="minorHAnsi" w:eastAsiaTheme="minorEastAsia" w:hAnsiTheme="minorHAnsi" w:cstheme="minorBidi"/>
          <w:noProof/>
        </w:rPr>
        <w:tab/>
      </w:r>
      <w:r w:rsidRPr="00CC7971">
        <w:rPr>
          <w:rFonts w:cs="Arial"/>
          <w:noProof/>
        </w:rPr>
        <w:t>Ethics</w:t>
      </w:r>
      <w:r>
        <w:rPr>
          <w:noProof/>
        </w:rPr>
        <w:tab/>
      </w:r>
      <w:r>
        <w:rPr>
          <w:noProof/>
        </w:rPr>
        <w:fldChar w:fldCharType="begin"/>
      </w:r>
      <w:r>
        <w:rPr>
          <w:noProof/>
        </w:rPr>
        <w:instrText xml:space="preserve"> PAGEREF _Toc520710317 \h </w:instrText>
      </w:r>
      <w:r>
        <w:rPr>
          <w:noProof/>
        </w:rPr>
      </w:r>
      <w:r>
        <w:rPr>
          <w:noProof/>
        </w:rPr>
        <w:fldChar w:fldCharType="separate"/>
      </w:r>
      <w:r>
        <w:rPr>
          <w:noProof/>
        </w:rPr>
        <w:t>7</w:t>
      </w:r>
      <w:r>
        <w:rPr>
          <w:noProof/>
        </w:rPr>
        <w:fldChar w:fldCharType="end"/>
      </w:r>
    </w:p>
    <w:p w14:paraId="464F9422" w14:textId="77777777" w:rsidR="00461719" w:rsidRDefault="00461719">
      <w:pPr>
        <w:pStyle w:val="TOC1"/>
        <w:rPr>
          <w:rFonts w:asciiTheme="minorHAnsi" w:eastAsiaTheme="minorEastAsia" w:hAnsiTheme="minorHAnsi" w:cstheme="minorBidi"/>
          <w:noProof/>
        </w:rPr>
      </w:pPr>
      <w:r w:rsidRPr="00CC7971">
        <w:rPr>
          <w:rFonts w:cs="Arial"/>
          <w:noProof/>
        </w:rPr>
        <w:t>11</w:t>
      </w:r>
      <w:r>
        <w:rPr>
          <w:rFonts w:asciiTheme="minorHAnsi" w:eastAsiaTheme="minorEastAsia" w:hAnsiTheme="minorHAnsi" w:cstheme="minorBidi"/>
          <w:noProof/>
        </w:rPr>
        <w:tab/>
      </w:r>
      <w:r w:rsidRPr="00CC7971">
        <w:rPr>
          <w:rFonts w:cs="Arial"/>
          <w:noProof/>
        </w:rPr>
        <w:t>Working Arrangements</w:t>
      </w:r>
      <w:r>
        <w:rPr>
          <w:noProof/>
        </w:rPr>
        <w:tab/>
      </w:r>
      <w:r>
        <w:rPr>
          <w:noProof/>
        </w:rPr>
        <w:fldChar w:fldCharType="begin"/>
      </w:r>
      <w:r>
        <w:rPr>
          <w:noProof/>
        </w:rPr>
        <w:instrText xml:space="preserve"> PAGEREF _Toc520710318 \h </w:instrText>
      </w:r>
      <w:r>
        <w:rPr>
          <w:noProof/>
        </w:rPr>
      </w:r>
      <w:r>
        <w:rPr>
          <w:noProof/>
        </w:rPr>
        <w:fldChar w:fldCharType="separate"/>
      </w:r>
      <w:r>
        <w:rPr>
          <w:noProof/>
        </w:rPr>
        <w:t>8</w:t>
      </w:r>
      <w:r>
        <w:rPr>
          <w:noProof/>
        </w:rPr>
        <w:fldChar w:fldCharType="end"/>
      </w:r>
    </w:p>
    <w:p w14:paraId="75F2B85D" w14:textId="77777777" w:rsidR="00461719" w:rsidRDefault="00461719">
      <w:pPr>
        <w:pStyle w:val="TOC1"/>
        <w:rPr>
          <w:rFonts w:asciiTheme="minorHAnsi" w:eastAsiaTheme="minorEastAsia" w:hAnsiTheme="minorHAnsi" w:cstheme="minorBidi"/>
          <w:noProof/>
        </w:rPr>
      </w:pPr>
      <w:r w:rsidRPr="00CC7971">
        <w:rPr>
          <w:rFonts w:cs="Arial"/>
          <w:noProof/>
        </w:rPr>
        <w:t>12</w:t>
      </w:r>
      <w:r>
        <w:rPr>
          <w:rFonts w:asciiTheme="minorHAnsi" w:eastAsiaTheme="minorEastAsia" w:hAnsiTheme="minorHAnsi" w:cstheme="minorBidi"/>
          <w:noProof/>
        </w:rPr>
        <w:tab/>
      </w:r>
      <w:r w:rsidRPr="00CC7971">
        <w:rPr>
          <w:rFonts w:cs="Arial"/>
          <w:noProof/>
        </w:rPr>
        <w:t>Skills and experience</w:t>
      </w:r>
      <w:r>
        <w:rPr>
          <w:noProof/>
        </w:rPr>
        <w:tab/>
      </w:r>
      <w:r>
        <w:rPr>
          <w:noProof/>
        </w:rPr>
        <w:fldChar w:fldCharType="begin"/>
      </w:r>
      <w:r>
        <w:rPr>
          <w:noProof/>
        </w:rPr>
        <w:instrText xml:space="preserve"> PAGEREF _Toc520710319 \h </w:instrText>
      </w:r>
      <w:r>
        <w:rPr>
          <w:noProof/>
        </w:rPr>
      </w:r>
      <w:r>
        <w:rPr>
          <w:noProof/>
        </w:rPr>
        <w:fldChar w:fldCharType="separate"/>
      </w:r>
      <w:r>
        <w:rPr>
          <w:noProof/>
        </w:rPr>
        <w:t>8</w:t>
      </w:r>
      <w:r>
        <w:rPr>
          <w:noProof/>
        </w:rPr>
        <w:fldChar w:fldCharType="end"/>
      </w:r>
    </w:p>
    <w:p w14:paraId="7B97BAB9" w14:textId="77777777" w:rsidR="00461719" w:rsidRDefault="00461719">
      <w:pPr>
        <w:pStyle w:val="TOC1"/>
        <w:rPr>
          <w:rFonts w:asciiTheme="minorHAnsi" w:eastAsiaTheme="minorEastAsia" w:hAnsiTheme="minorHAnsi" w:cstheme="minorBidi"/>
          <w:noProof/>
        </w:rPr>
      </w:pPr>
      <w:r w:rsidRPr="00CC7971">
        <w:rPr>
          <w:rFonts w:cs="Arial"/>
          <w:noProof/>
        </w:rPr>
        <w:t>13</w:t>
      </w:r>
      <w:r>
        <w:rPr>
          <w:rFonts w:asciiTheme="minorHAnsi" w:eastAsiaTheme="minorEastAsia" w:hAnsiTheme="minorHAnsi" w:cstheme="minorBidi"/>
          <w:noProof/>
        </w:rPr>
        <w:tab/>
      </w:r>
      <w:r w:rsidRPr="00CC7971">
        <w:rPr>
          <w:rFonts w:cs="Arial"/>
          <w:noProof/>
        </w:rPr>
        <w:t>Consortium Bids</w:t>
      </w:r>
      <w:r>
        <w:rPr>
          <w:noProof/>
        </w:rPr>
        <w:tab/>
      </w:r>
      <w:r>
        <w:rPr>
          <w:noProof/>
        </w:rPr>
        <w:fldChar w:fldCharType="begin"/>
      </w:r>
      <w:r>
        <w:rPr>
          <w:noProof/>
        </w:rPr>
        <w:instrText xml:space="preserve"> PAGEREF _Toc520710320 \h </w:instrText>
      </w:r>
      <w:r>
        <w:rPr>
          <w:noProof/>
        </w:rPr>
      </w:r>
      <w:r>
        <w:rPr>
          <w:noProof/>
        </w:rPr>
        <w:fldChar w:fldCharType="separate"/>
      </w:r>
      <w:r>
        <w:rPr>
          <w:noProof/>
        </w:rPr>
        <w:t>8</w:t>
      </w:r>
      <w:r>
        <w:rPr>
          <w:noProof/>
        </w:rPr>
        <w:fldChar w:fldCharType="end"/>
      </w:r>
    </w:p>
    <w:p w14:paraId="06E33DA0" w14:textId="77777777" w:rsidR="00461719" w:rsidRDefault="00461719">
      <w:pPr>
        <w:pStyle w:val="TOC1"/>
        <w:rPr>
          <w:rFonts w:asciiTheme="minorHAnsi" w:eastAsiaTheme="minorEastAsia" w:hAnsiTheme="minorHAnsi" w:cstheme="minorBidi"/>
          <w:noProof/>
        </w:rPr>
      </w:pPr>
      <w:r w:rsidRPr="00CC7971">
        <w:rPr>
          <w:rFonts w:cs="Arial"/>
          <w:noProof/>
        </w:rPr>
        <w:t>14</w:t>
      </w:r>
      <w:r>
        <w:rPr>
          <w:rFonts w:asciiTheme="minorHAnsi" w:eastAsiaTheme="minorEastAsia" w:hAnsiTheme="minorHAnsi" w:cstheme="minorBidi"/>
          <w:noProof/>
        </w:rPr>
        <w:tab/>
      </w:r>
      <w:r w:rsidRPr="00CC7971">
        <w:rPr>
          <w:rFonts w:cs="Arial"/>
          <w:noProof/>
        </w:rPr>
        <w:t>Budget</w:t>
      </w:r>
      <w:r>
        <w:rPr>
          <w:noProof/>
        </w:rPr>
        <w:tab/>
      </w:r>
      <w:r>
        <w:rPr>
          <w:noProof/>
        </w:rPr>
        <w:fldChar w:fldCharType="begin"/>
      </w:r>
      <w:r>
        <w:rPr>
          <w:noProof/>
        </w:rPr>
        <w:instrText xml:space="preserve"> PAGEREF _Toc520710321 \h </w:instrText>
      </w:r>
      <w:r>
        <w:rPr>
          <w:noProof/>
        </w:rPr>
      </w:r>
      <w:r>
        <w:rPr>
          <w:noProof/>
        </w:rPr>
        <w:fldChar w:fldCharType="separate"/>
      </w:r>
      <w:r>
        <w:rPr>
          <w:noProof/>
        </w:rPr>
        <w:t>9</w:t>
      </w:r>
      <w:r>
        <w:rPr>
          <w:noProof/>
        </w:rPr>
        <w:fldChar w:fldCharType="end"/>
      </w:r>
    </w:p>
    <w:p w14:paraId="56BFE4B0" w14:textId="77777777" w:rsidR="00461719" w:rsidRDefault="00461719">
      <w:pPr>
        <w:pStyle w:val="TOC1"/>
        <w:rPr>
          <w:rFonts w:asciiTheme="minorHAnsi" w:eastAsiaTheme="minorEastAsia" w:hAnsiTheme="minorHAnsi" w:cstheme="minorBidi"/>
          <w:noProof/>
        </w:rPr>
      </w:pPr>
      <w:r w:rsidRPr="00CC7971">
        <w:rPr>
          <w:rFonts w:cs="Arial"/>
          <w:noProof/>
        </w:rPr>
        <w:t>15</w:t>
      </w:r>
      <w:r>
        <w:rPr>
          <w:rFonts w:asciiTheme="minorHAnsi" w:eastAsiaTheme="minorEastAsia" w:hAnsiTheme="minorHAnsi" w:cstheme="minorBidi"/>
          <w:noProof/>
        </w:rPr>
        <w:tab/>
      </w:r>
      <w:r w:rsidRPr="00CC7971">
        <w:rPr>
          <w:rFonts w:cs="Arial"/>
          <w:noProof/>
        </w:rPr>
        <w:t>Evaluation of Tenders</w:t>
      </w:r>
      <w:r>
        <w:rPr>
          <w:noProof/>
        </w:rPr>
        <w:tab/>
      </w:r>
      <w:r>
        <w:rPr>
          <w:noProof/>
        </w:rPr>
        <w:fldChar w:fldCharType="begin"/>
      </w:r>
      <w:r>
        <w:rPr>
          <w:noProof/>
        </w:rPr>
        <w:instrText xml:space="preserve"> PAGEREF _Toc520710322 \h </w:instrText>
      </w:r>
      <w:r>
        <w:rPr>
          <w:noProof/>
        </w:rPr>
      </w:r>
      <w:r>
        <w:rPr>
          <w:noProof/>
        </w:rPr>
        <w:fldChar w:fldCharType="separate"/>
      </w:r>
      <w:r>
        <w:rPr>
          <w:noProof/>
        </w:rPr>
        <w:t>9</w:t>
      </w:r>
      <w:r>
        <w:rPr>
          <w:noProof/>
        </w:rPr>
        <w:fldChar w:fldCharType="end"/>
      </w:r>
    </w:p>
    <w:p w14:paraId="1AB50B4E" w14:textId="77777777" w:rsidR="00461719" w:rsidRDefault="00461719">
      <w:pPr>
        <w:pStyle w:val="TOC4"/>
        <w:tabs>
          <w:tab w:val="right" w:leader="dot" w:pos="9016"/>
        </w:tabs>
        <w:rPr>
          <w:rFonts w:asciiTheme="minorHAnsi" w:eastAsiaTheme="minorEastAsia" w:hAnsiTheme="minorHAnsi" w:cstheme="minorBidi"/>
          <w:noProof/>
          <w:sz w:val="22"/>
          <w:szCs w:val="22"/>
        </w:rPr>
      </w:pPr>
      <w:r w:rsidRPr="00CC7971">
        <w:rPr>
          <w:rFonts w:ascii="Arial" w:hAnsi="Arial" w:cs="Arial"/>
          <w:noProof/>
        </w:rPr>
        <w:t>Criterion</w:t>
      </w:r>
      <w:r>
        <w:rPr>
          <w:noProof/>
        </w:rPr>
        <w:tab/>
      </w:r>
      <w:r>
        <w:rPr>
          <w:noProof/>
        </w:rPr>
        <w:fldChar w:fldCharType="begin"/>
      </w:r>
      <w:r>
        <w:rPr>
          <w:noProof/>
        </w:rPr>
        <w:instrText xml:space="preserve"> PAGEREF _Toc520710323 \h </w:instrText>
      </w:r>
      <w:r>
        <w:rPr>
          <w:noProof/>
        </w:rPr>
      </w:r>
      <w:r>
        <w:rPr>
          <w:noProof/>
        </w:rPr>
        <w:fldChar w:fldCharType="separate"/>
      </w:r>
      <w:r>
        <w:rPr>
          <w:noProof/>
        </w:rPr>
        <w:t>9</w:t>
      </w:r>
      <w:r>
        <w:rPr>
          <w:noProof/>
        </w:rPr>
        <w:fldChar w:fldCharType="end"/>
      </w:r>
    </w:p>
    <w:p w14:paraId="2E7F813C" w14:textId="77777777" w:rsidR="00461719" w:rsidRDefault="00461719">
      <w:pPr>
        <w:pStyle w:val="TOC4"/>
        <w:tabs>
          <w:tab w:val="right" w:leader="dot" w:pos="9016"/>
        </w:tabs>
        <w:rPr>
          <w:rFonts w:asciiTheme="minorHAnsi" w:eastAsiaTheme="minorEastAsia" w:hAnsiTheme="minorHAnsi" w:cstheme="minorBidi"/>
          <w:noProof/>
          <w:sz w:val="22"/>
          <w:szCs w:val="22"/>
        </w:rPr>
      </w:pPr>
      <w:r w:rsidRPr="00CC7971">
        <w:rPr>
          <w:rFonts w:ascii="Arial" w:hAnsi="Arial" w:cs="Arial"/>
          <w:noProof/>
        </w:rPr>
        <w:t>Description</w:t>
      </w:r>
      <w:r>
        <w:rPr>
          <w:noProof/>
        </w:rPr>
        <w:tab/>
      </w:r>
      <w:r>
        <w:rPr>
          <w:noProof/>
        </w:rPr>
        <w:fldChar w:fldCharType="begin"/>
      </w:r>
      <w:r>
        <w:rPr>
          <w:noProof/>
        </w:rPr>
        <w:instrText xml:space="preserve"> PAGEREF _Toc520710324 \h </w:instrText>
      </w:r>
      <w:r>
        <w:rPr>
          <w:noProof/>
        </w:rPr>
      </w:r>
      <w:r>
        <w:rPr>
          <w:noProof/>
        </w:rPr>
        <w:fldChar w:fldCharType="separate"/>
      </w:r>
      <w:r>
        <w:rPr>
          <w:noProof/>
        </w:rPr>
        <w:t>9</w:t>
      </w:r>
      <w:r>
        <w:rPr>
          <w:noProof/>
        </w:rPr>
        <w:fldChar w:fldCharType="end"/>
      </w:r>
    </w:p>
    <w:p w14:paraId="6C8DA2BA" w14:textId="77777777" w:rsidR="00461719" w:rsidRDefault="00461719">
      <w:pPr>
        <w:pStyle w:val="TOC4"/>
        <w:tabs>
          <w:tab w:val="right" w:leader="dot" w:pos="9016"/>
        </w:tabs>
        <w:rPr>
          <w:rFonts w:asciiTheme="minorHAnsi" w:eastAsiaTheme="minorEastAsia" w:hAnsiTheme="minorHAnsi" w:cstheme="minorBidi"/>
          <w:noProof/>
          <w:sz w:val="22"/>
          <w:szCs w:val="22"/>
        </w:rPr>
      </w:pPr>
      <w:r w:rsidRPr="00CC7971">
        <w:rPr>
          <w:rFonts w:ascii="Arial" w:hAnsi="Arial" w:cs="Arial"/>
          <w:noProof/>
        </w:rPr>
        <w:t>Weighting</w:t>
      </w:r>
      <w:r>
        <w:rPr>
          <w:noProof/>
        </w:rPr>
        <w:tab/>
      </w:r>
      <w:r>
        <w:rPr>
          <w:noProof/>
        </w:rPr>
        <w:fldChar w:fldCharType="begin"/>
      </w:r>
      <w:r>
        <w:rPr>
          <w:noProof/>
        </w:rPr>
        <w:instrText xml:space="preserve"> PAGEREF _Toc520710325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520710307"/>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3F2E94A9" w14:textId="77777777" w:rsidR="00B5763D" w:rsidRDefault="00B5763D" w:rsidP="00B5763D">
      <w:pPr>
        <w:pStyle w:val="Norma"/>
      </w:pPr>
    </w:p>
    <w:p w14:paraId="58F3B809" w14:textId="01A4101B" w:rsidR="003B7085" w:rsidRDefault="003B7085" w:rsidP="003B7085">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 xml:space="preserve">overnment’s statutory adviser on preparing for climate change. </w:t>
      </w:r>
      <w:r>
        <w:rPr>
          <w:rFonts w:ascii="Arial" w:hAnsi="Arial" w:cs="Arial"/>
          <w:sz w:val="22"/>
          <w:szCs w:val="22"/>
        </w:rPr>
        <w:t xml:space="preserve">Under the Climate </w:t>
      </w:r>
      <w:r w:rsidR="00187783">
        <w:rPr>
          <w:rFonts w:ascii="Arial" w:hAnsi="Arial" w:cs="Arial"/>
          <w:sz w:val="22"/>
          <w:szCs w:val="22"/>
        </w:rPr>
        <w:t>C</w:t>
      </w:r>
      <w:r>
        <w:rPr>
          <w:rFonts w:ascii="Arial" w:hAnsi="Arial" w:cs="Arial"/>
          <w:sz w:val="22"/>
          <w:szCs w:val="22"/>
        </w:rPr>
        <w:t xml:space="preserve">hange Act (2008) the ASC has two main roles. </w:t>
      </w:r>
    </w:p>
    <w:p w14:paraId="4B323544" w14:textId="77777777" w:rsidR="003B7085" w:rsidRDefault="003B7085" w:rsidP="003B7085">
      <w:pPr>
        <w:rPr>
          <w:rFonts w:ascii="Arial" w:hAnsi="Arial" w:cs="Arial"/>
          <w:sz w:val="22"/>
          <w:szCs w:val="22"/>
        </w:rPr>
      </w:pPr>
    </w:p>
    <w:p w14:paraId="7E42543E" w14:textId="0EB2DFE5" w:rsidR="00DE6B41" w:rsidRPr="00832D8A" w:rsidRDefault="00182895" w:rsidP="00832D8A">
      <w:pPr>
        <w:pStyle w:val="Norma"/>
        <w:numPr>
          <w:ilvl w:val="0"/>
          <w:numId w:val="38"/>
        </w:numPr>
        <w:rPr>
          <w:rFonts w:eastAsia="Calibri" w:cs="Arial"/>
        </w:rPr>
      </w:pPr>
      <w:r w:rsidRPr="00832D8A">
        <w:rPr>
          <w:rFonts w:eastAsia="Calibri" w:cs="Arial"/>
        </w:rPr>
        <w:t xml:space="preserve">To provide independent, expert advice on the UK </w:t>
      </w:r>
      <w:r w:rsidR="00832D8A" w:rsidRPr="00832D8A">
        <w:rPr>
          <w:rFonts w:eastAsia="Calibri" w:cs="Arial"/>
        </w:rPr>
        <w:t>climate change risk assessment</w:t>
      </w:r>
      <w:r w:rsidR="00481A2D">
        <w:rPr>
          <w:rFonts w:eastAsia="Calibri" w:cs="Arial"/>
        </w:rPr>
        <w:t xml:space="preserve"> (CCRA)</w:t>
      </w:r>
      <w:r w:rsidR="00832D8A">
        <w:rPr>
          <w:rFonts w:eastAsia="Calibri" w:cs="Arial"/>
        </w:rPr>
        <w:t>.</w:t>
      </w:r>
      <w:r w:rsidR="00832D8A" w:rsidRPr="00832D8A">
        <w:rPr>
          <w:rFonts w:eastAsia="Calibri" w:cs="Arial"/>
        </w:rPr>
        <w:br/>
      </w:r>
      <w:r w:rsidRPr="00832D8A">
        <w:rPr>
          <w:rFonts w:eastAsia="Calibri" w:cs="Arial"/>
        </w:rPr>
        <w:t xml:space="preserve"> </w:t>
      </w:r>
    </w:p>
    <w:p w14:paraId="51A6BBC5" w14:textId="347A941C" w:rsidR="00DE6B41" w:rsidRPr="00832D8A" w:rsidRDefault="00182895" w:rsidP="00832D8A">
      <w:pPr>
        <w:pStyle w:val="Norma"/>
        <w:numPr>
          <w:ilvl w:val="0"/>
          <w:numId w:val="38"/>
        </w:numPr>
        <w:rPr>
          <w:rFonts w:eastAsia="MS Mincho" w:cs="Arial"/>
          <w:lang w:eastAsia="en-US"/>
        </w:rPr>
      </w:pPr>
      <w:r w:rsidRPr="00832D8A">
        <w:rPr>
          <w:rFonts w:eastAsia="Calibri" w:cs="Arial"/>
        </w:rPr>
        <w:t xml:space="preserve">To report to Parliament on progress </w:t>
      </w:r>
      <w:r w:rsidR="00832D8A" w:rsidRPr="00832D8A">
        <w:rPr>
          <w:rFonts w:eastAsia="Calibri" w:cs="Arial"/>
        </w:rPr>
        <w:t>with implementation</w:t>
      </w:r>
      <w:r w:rsidR="00832D8A">
        <w:rPr>
          <w:rFonts w:eastAsia="MS Mincho" w:cs="Arial"/>
          <w:lang w:eastAsia="en-US"/>
        </w:rPr>
        <w:t xml:space="preserve"> of the National Adaptation Programme (England only).</w:t>
      </w:r>
    </w:p>
    <w:p w14:paraId="0EFE5872" w14:textId="77777777" w:rsidR="00B5763D" w:rsidRDefault="00B5763D" w:rsidP="00B5763D">
      <w:pPr>
        <w:pStyle w:val="Norma"/>
      </w:pPr>
    </w:p>
    <w:p w14:paraId="40C88A93" w14:textId="139AC207" w:rsidR="002B4895" w:rsidRDefault="003B7085" w:rsidP="00B5763D">
      <w:pPr>
        <w:pStyle w:val="Norma"/>
      </w:pPr>
      <w:r>
        <w:t xml:space="preserve">To do this the </w:t>
      </w:r>
      <w:r w:rsidR="002B4895" w:rsidRPr="00B5763D">
        <w:t>ASC conduct</w:t>
      </w:r>
      <w:r>
        <w:t>s</w:t>
      </w:r>
      <w:r w:rsidR="002B4895" w:rsidRPr="00B5763D">
        <w:t xml:space="preserve"> independent analysis into climate change science, economics and policy, and engage</w:t>
      </w:r>
      <w:r w:rsidR="00832D8A">
        <w:t>s</w:t>
      </w:r>
      <w:r w:rsidR="002B4895" w:rsidRPr="00B5763D">
        <w:t xml:space="preserve"> with a wide range of organisations and individuals to share evidence and analysis. The CCC and ASC’s past reports are available </w:t>
      </w:r>
      <w:r w:rsidR="0002645F">
        <w:t>at</w:t>
      </w:r>
      <w:r w:rsidR="002B4895" w:rsidRPr="00B5763D">
        <w:t xml:space="preserve"> </w:t>
      </w:r>
      <w:hyperlink r:id="rId11" w:history="1">
        <w:r w:rsidR="002B4895" w:rsidRPr="00B5763D">
          <w:rPr>
            <w:rStyle w:val="Hyperlink"/>
            <w:color w:val="auto"/>
            <w:u w:val="none"/>
          </w:rPr>
          <w:t>http://www.theccc.org.uk/publications/</w:t>
        </w:r>
      </w:hyperlink>
      <w:r w:rsidR="002B4895" w:rsidRPr="00B5763D">
        <w:t xml:space="preserve">. </w:t>
      </w:r>
    </w:p>
    <w:p w14:paraId="37E468EC" w14:textId="77777777" w:rsidR="001D1DE3" w:rsidRDefault="001D1DE3" w:rsidP="005731BE">
      <w:pPr>
        <w:rPr>
          <w:rFonts w:ascii="Arial" w:hAnsi="Arial" w:cs="Arial"/>
          <w:sz w:val="22"/>
          <w:szCs w:val="22"/>
        </w:rPr>
      </w:pPr>
    </w:p>
    <w:p w14:paraId="459C6CF5" w14:textId="527EF762" w:rsidR="003A3B8D" w:rsidRDefault="003B16FA" w:rsidP="005731BE">
      <w:pPr>
        <w:rPr>
          <w:rFonts w:ascii="Arial" w:hAnsi="Arial" w:cs="Arial"/>
          <w:sz w:val="22"/>
          <w:szCs w:val="22"/>
        </w:rPr>
      </w:pPr>
      <w:r>
        <w:rPr>
          <w:rFonts w:ascii="Arial" w:hAnsi="Arial" w:cs="Arial"/>
          <w:sz w:val="22"/>
          <w:szCs w:val="22"/>
        </w:rPr>
        <w:t xml:space="preserve">To inform the ASC’s </w:t>
      </w:r>
      <w:r w:rsidR="00832D8A">
        <w:rPr>
          <w:rFonts w:ascii="Arial" w:hAnsi="Arial" w:cs="Arial"/>
          <w:sz w:val="22"/>
          <w:szCs w:val="22"/>
        </w:rPr>
        <w:t>E</w:t>
      </w:r>
      <w:r>
        <w:rPr>
          <w:rFonts w:ascii="Arial" w:hAnsi="Arial" w:cs="Arial"/>
          <w:sz w:val="22"/>
          <w:szCs w:val="22"/>
        </w:rPr>
        <w:t xml:space="preserve">vidence </w:t>
      </w:r>
      <w:r w:rsidR="00832D8A">
        <w:rPr>
          <w:rFonts w:ascii="Arial" w:hAnsi="Arial" w:cs="Arial"/>
          <w:sz w:val="22"/>
          <w:szCs w:val="22"/>
        </w:rPr>
        <w:t>R</w:t>
      </w:r>
      <w:r>
        <w:rPr>
          <w:rFonts w:ascii="Arial" w:hAnsi="Arial" w:cs="Arial"/>
          <w:sz w:val="22"/>
          <w:szCs w:val="22"/>
        </w:rPr>
        <w:t>eport</w:t>
      </w:r>
      <w:r w:rsidR="003B7085">
        <w:rPr>
          <w:rFonts w:ascii="Arial" w:hAnsi="Arial" w:cs="Arial"/>
          <w:sz w:val="22"/>
          <w:szCs w:val="22"/>
        </w:rPr>
        <w:t xml:space="preserve"> for the </w:t>
      </w:r>
      <w:r w:rsidR="00A7489F">
        <w:rPr>
          <w:rFonts w:ascii="Arial" w:hAnsi="Arial" w:cs="Arial"/>
          <w:sz w:val="22"/>
          <w:szCs w:val="22"/>
        </w:rPr>
        <w:t xml:space="preserve">upcoming </w:t>
      </w:r>
      <w:r w:rsidR="003B7085">
        <w:rPr>
          <w:rFonts w:ascii="Arial" w:hAnsi="Arial" w:cs="Arial"/>
          <w:sz w:val="22"/>
          <w:szCs w:val="22"/>
        </w:rPr>
        <w:t>third UK CCRA, the ASC is commissioning a range of research projects</w:t>
      </w:r>
      <w:r w:rsidR="00481A2D">
        <w:rPr>
          <w:rFonts w:ascii="Arial" w:hAnsi="Arial" w:cs="Arial"/>
          <w:sz w:val="22"/>
          <w:szCs w:val="22"/>
        </w:rPr>
        <w:t xml:space="preserve"> funded by Defra, the devolved administrations and research councils,</w:t>
      </w:r>
      <w:r w:rsidR="003B7085">
        <w:rPr>
          <w:rFonts w:ascii="Arial" w:hAnsi="Arial" w:cs="Arial"/>
          <w:sz w:val="22"/>
          <w:szCs w:val="22"/>
        </w:rPr>
        <w:t xml:space="preserve"> </w:t>
      </w:r>
      <w:r w:rsidR="00481A2D">
        <w:rPr>
          <w:rFonts w:ascii="Arial" w:hAnsi="Arial" w:cs="Arial"/>
          <w:sz w:val="22"/>
          <w:szCs w:val="22"/>
        </w:rPr>
        <w:t>which</w:t>
      </w:r>
      <w:r w:rsidR="003B7085">
        <w:rPr>
          <w:rFonts w:ascii="Arial" w:hAnsi="Arial" w:cs="Arial"/>
          <w:sz w:val="22"/>
          <w:szCs w:val="22"/>
        </w:rPr>
        <w:t xml:space="preserve"> aim to improve the science and impact of the CCRA. </w:t>
      </w:r>
    </w:p>
    <w:p w14:paraId="10BEF943" w14:textId="77777777" w:rsidR="003A3B8D" w:rsidRDefault="003A3B8D" w:rsidP="005731BE">
      <w:pPr>
        <w:rPr>
          <w:rFonts w:ascii="Arial" w:hAnsi="Arial" w:cs="Arial"/>
          <w:sz w:val="22"/>
          <w:szCs w:val="22"/>
        </w:rPr>
      </w:pPr>
    </w:p>
    <w:p w14:paraId="30EC7F46" w14:textId="172B2FA6" w:rsidR="00CB0391" w:rsidRDefault="00D34AB3" w:rsidP="005731BE">
      <w:pPr>
        <w:rPr>
          <w:rFonts w:ascii="Arial" w:hAnsi="Arial" w:cs="Arial"/>
          <w:sz w:val="22"/>
          <w:szCs w:val="22"/>
        </w:rPr>
      </w:pPr>
      <w:r>
        <w:rPr>
          <w:rFonts w:ascii="Arial" w:hAnsi="Arial" w:cs="Arial"/>
          <w:sz w:val="22"/>
          <w:szCs w:val="22"/>
        </w:rPr>
        <w:t>This</w:t>
      </w:r>
      <w:r w:rsidR="005566FA">
        <w:rPr>
          <w:rFonts w:ascii="Arial" w:hAnsi="Arial" w:cs="Arial"/>
          <w:sz w:val="22"/>
          <w:szCs w:val="22"/>
        </w:rPr>
        <w:t xml:space="preserve"> specific</w:t>
      </w:r>
      <w:r>
        <w:rPr>
          <w:rFonts w:ascii="Arial" w:hAnsi="Arial" w:cs="Arial"/>
          <w:sz w:val="22"/>
          <w:szCs w:val="22"/>
        </w:rPr>
        <w:t xml:space="preserve"> project aims to </w:t>
      </w:r>
      <w:r w:rsidR="00481A2D">
        <w:rPr>
          <w:rFonts w:ascii="Arial" w:hAnsi="Arial" w:cs="Arial"/>
          <w:sz w:val="22"/>
          <w:szCs w:val="22"/>
        </w:rPr>
        <w:t>assess and prioritise risks deriving from</w:t>
      </w:r>
      <w:r w:rsidR="003955AA">
        <w:rPr>
          <w:rFonts w:ascii="Arial" w:hAnsi="Arial" w:cs="Arial"/>
          <w:sz w:val="22"/>
          <w:szCs w:val="22"/>
        </w:rPr>
        <w:t xml:space="preserve"> interactions and cascading effects between the natural environment, built environment and infrastructure. </w:t>
      </w:r>
      <w:r w:rsidR="00BD65DA">
        <w:rPr>
          <w:rFonts w:ascii="Arial" w:hAnsi="Arial" w:cs="Arial"/>
          <w:sz w:val="22"/>
          <w:szCs w:val="22"/>
        </w:rPr>
        <w:t>The results will be used throughout the Evidence Report to highlight cross-cutting issues.</w:t>
      </w:r>
      <w:r w:rsidR="00481A2D">
        <w:rPr>
          <w:rFonts w:ascii="Arial" w:hAnsi="Arial" w:cs="Arial"/>
          <w:sz w:val="22"/>
          <w:szCs w:val="22"/>
        </w:rPr>
        <w:t xml:space="preserve"> </w:t>
      </w:r>
    </w:p>
    <w:p w14:paraId="1E11DBC8" w14:textId="0AAFBB2A" w:rsidR="00CB0391" w:rsidRPr="005731BE" w:rsidRDefault="00CB0391" w:rsidP="005731BE">
      <w:pPr>
        <w:rPr>
          <w:rFonts w:ascii="Arial" w:hAnsi="Arial" w:cs="Arial"/>
          <w:sz w:val="22"/>
          <w:szCs w:val="22"/>
        </w:rPr>
      </w:pPr>
    </w:p>
    <w:p w14:paraId="5EA87557" w14:textId="77777777" w:rsidR="00622E6B" w:rsidRPr="002133A0" w:rsidRDefault="00622E6B" w:rsidP="00622E6B">
      <w:pPr>
        <w:pStyle w:val="Norma"/>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520710308"/>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7006ABD4" w14:textId="2C380B19" w:rsidR="00832D8A" w:rsidRDefault="00B465CE" w:rsidP="00832D8A">
      <w:pPr>
        <w:rPr>
          <w:rFonts w:ascii="Arial" w:hAnsi="Arial" w:cs="Arial"/>
          <w:sz w:val="22"/>
          <w:szCs w:val="22"/>
        </w:rPr>
      </w:pPr>
      <w:r>
        <w:rPr>
          <w:rFonts w:ascii="Arial" w:hAnsi="Arial" w:cs="Arial"/>
          <w:sz w:val="22"/>
          <w:szCs w:val="22"/>
        </w:rPr>
        <w:t xml:space="preserve">The </w:t>
      </w:r>
      <w:hyperlink r:id="rId12" w:history="1">
        <w:r w:rsidR="00832D8A" w:rsidRPr="00B062D8">
          <w:rPr>
            <w:rStyle w:val="Hyperlink"/>
            <w:rFonts w:ascii="Arial" w:hAnsi="Arial" w:cs="Arial"/>
            <w:sz w:val="22"/>
            <w:szCs w:val="22"/>
          </w:rPr>
          <w:t>second CCRA</w:t>
        </w:r>
      </w:hyperlink>
      <w:r w:rsidR="00832D8A">
        <w:rPr>
          <w:rFonts w:ascii="Arial" w:hAnsi="Arial" w:cs="Arial"/>
          <w:sz w:val="22"/>
          <w:szCs w:val="22"/>
        </w:rPr>
        <w:t xml:space="preserve"> (CCRA2) was published in 2017 and was supported by a comprehensive </w:t>
      </w:r>
      <w:hyperlink r:id="rId13" w:history="1">
        <w:r w:rsidR="00291F60" w:rsidRPr="00B062D8">
          <w:rPr>
            <w:rStyle w:val="Hyperlink"/>
            <w:rFonts w:ascii="Arial" w:hAnsi="Arial" w:cs="Arial"/>
            <w:sz w:val="22"/>
            <w:szCs w:val="22"/>
          </w:rPr>
          <w:t>Evidence</w:t>
        </w:r>
        <w:r w:rsidR="00832D8A" w:rsidRPr="00B062D8">
          <w:rPr>
            <w:rStyle w:val="Hyperlink"/>
            <w:rFonts w:ascii="Arial" w:hAnsi="Arial" w:cs="Arial"/>
            <w:sz w:val="22"/>
            <w:szCs w:val="22"/>
          </w:rPr>
          <w:t xml:space="preserve"> Report</w:t>
        </w:r>
      </w:hyperlink>
      <w:r w:rsidR="00AA2BAC" w:rsidRPr="002133A0">
        <w:rPr>
          <w:rFonts w:ascii="Arial" w:hAnsi="Arial" w:cs="Arial"/>
          <w:sz w:val="22"/>
          <w:szCs w:val="22"/>
        </w:rPr>
        <w:t xml:space="preserve"> </w:t>
      </w:r>
      <w:r w:rsidR="00832D8A" w:rsidRPr="00291F60">
        <w:rPr>
          <w:rFonts w:ascii="Arial" w:hAnsi="Arial" w:cs="Arial"/>
          <w:sz w:val="22"/>
          <w:szCs w:val="22"/>
        </w:rPr>
        <w:t>from the Adaptation Sub-Committee (ASC).</w:t>
      </w:r>
      <w:r w:rsidR="00291F60">
        <w:rPr>
          <w:rFonts w:ascii="Arial" w:hAnsi="Arial" w:cs="Arial"/>
          <w:sz w:val="22"/>
          <w:szCs w:val="22"/>
        </w:rPr>
        <w:t xml:space="preserve"> </w:t>
      </w:r>
      <w:r w:rsidR="00832D8A" w:rsidRPr="00291F60">
        <w:rPr>
          <w:rFonts w:ascii="Arial" w:hAnsi="Arial" w:cs="Arial"/>
          <w:sz w:val="22"/>
          <w:szCs w:val="22"/>
        </w:rPr>
        <w:t xml:space="preserve">Defra and the devolved administrations are in the process of drafting updated national adaptation programmes in response to the risks and opportunities set out in the report. </w:t>
      </w:r>
    </w:p>
    <w:p w14:paraId="141516FE" w14:textId="77777777" w:rsidR="00291F60" w:rsidRDefault="00291F60" w:rsidP="00832D8A">
      <w:pPr>
        <w:rPr>
          <w:rFonts w:ascii="Arial" w:hAnsi="Arial" w:cs="Arial"/>
          <w:sz w:val="22"/>
          <w:szCs w:val="22"/>
        </w:rPr>
      </w:pPr>
    </w:p>
    <w:p w14:paraId="4D8284D6" w14:textId="0A29C511" w:rsidR="00187783" w:rsidRDefault="00187783" w:rsidP="0056044C">
      <w:pPr>
        <w:spacing w:after="120"/>
        <w:rPr>
          <w:rFonts w:ascii="Arial" w:hAnsi="Arial" w:cs="Arial"/>
          <w:sz w:val="22"/>
          <w:szCs w:val="22"/>
        </w:rPr>
      </w:pPr>
      <w:r>
        <w:rPr>
          <w:rFonts w:ascii="Arial" w:hAnsi="Arial" w:cs="Arial"/>
          <w:sz w:val="22"/>
          <w:szCs w:val="22"/>
        </w:rPr>
        <w:t>T</w:t>
      </w:r>
      <w:r w:rsidRPr="00291F60">
        <w:rPr>
          <w:rFonts w:ascii="Arial" w:hAnsi="Arial" w:cs="Arial"/>
          <w:sz w:val="22"/>
          <w:szCs w:val="22"/>
        </w:rPr>
        <w:t xml:space="preserve">he </w:t>
      </w:r>
      <w:r>
        <w:rPr>
          <w:rFonts w:ascii="Arial" w:hAnsi="Arial" w:cs="Arial"/>
          <w:sz w:val="22"/>
          <w:szCs w:val="22"/>
        </w:rPr>
        <w:t>third CCRA</w:t>
      </w:r>
      <w:r w:rsidRPr="00291F60">
        <w:rPr>
          <w:rFonts w:ascii="Arial" w:hAnsi="Arial" w:cs="Arial"/>
          <w:sz w:val="22"/>
          <w:szCs w:val="22"/>
        </w:rPr>
        <w:t xml:space="preserve"> </w:t>
      </w:r>
      <w:r>
        <w:rPr>
          <w:rFonts w:ascii="Arial" w:hAnsi="Arial" w:cs="Arial"/>
          <w:sz w:val="22"/>
          <w:szCs w:val="22"/>
        </w:rPr>
        <w:t xml:space="preserve">will be published by the government in January 2022, and Defra have asked the ASC to produce an accompanying </w:t>
      </w:r>
      <w:r w:rsidRPr="00291F60">
        <w:rPr>
          <w:rFonts w:ascii="Arial" w:hAnsi="Arial" w:cs="Arial"/>
          <w:sz w:val="22"/>
          <w:szCs w:val="22"/>
        </w:rPr>
        <w:t xml:space="preserve">Evidence Report </w:t>
      </w:r>
      <w:r>
        <w:rPr>
          <w:rFonts w:ascii="Arial" w:hAnsi="Arial" w:cs="Arial"/>
          <w:sz w:val="22"/>
          <w:szCs w:val="22"/>
        </w:rPr>
        <w:t xml:space="preserve">by summer 2021.To inform this Evidence Report </w:t>
      </w:r>
      <w:r w:rsidRPr="00075B02">
        <w:rPr>
          <w:rFonts w:ascii="Arial" w:hAnsi="Arial" w:cs="Arial"/>
          <w:sz w:val="22"/>
          <w:szCs w:val="22"/>
        </w:rPr>
        <w:t xml:space="preserve">the ASC are commissioning </w:t>
      </w:r>
      <w:r>
        <w:rPr>
          <w:rFonts w:ascii="Arial" w:hAnsi="Arial" w:cs="Arial"/>
          <w:sz w:val="22"/>
          <w:szCs w:val="22"/>
        </w:rPr>
        <w:t xml:space="preserve">six research </w:t>
      </w:r>
      <w:r w:rsidRPr="00075B02">
        <w:rPr>
          <w:rFonts w:ascii="Arial" w:hAnsi="Arial" w:cs="Arial"/>
          <w:sz w:val="22"/>
          <w:szCs w:val="22"/>
        </w:rPr>
        <w:t xml:space="preserve">projects, funded by </w:t>
      </w:r>
      <w:r>
        <w:rPr>
          <w:rFonts w:ascii="Arial" w:hAnsi="Arial" w:cs="Arial"/>
          <w:sz w:val="22"/>
          <w:szCs w:val="22"/>
        </w:rPr>
        <w:t xml:space="preserve">Defra, the devolved administrations and </w:t>
      </w:r>
      <w:r w:rsidRPr="00075B02">
        <w:rPr>
          <w:rFonts w:ascii="Arial" w:hAnsi="Arial" w:cs="Arial"/>
          <w:sz w:val="22"/>
          <w:szCs w:val="22"/>
        </w:rPr>
        <w:t xml:space="preserve">the research councils. </w:t>
      </w:r>
      <w:r>
        <w:rPr>
          <w:rFonts w:ascii="Arial" w:hAnsi="Arial" w:cs="Arial"/>
          <w:sz w:val="22"/>
          <w:szCs w:val="22"/>
        </w:rPr>
        <w:t>The ASC</w:t>
      </w:r>
      <w:r w:rsidRPr="00075B02">
        <w:rPr>
          <w:rFonts w:ascii="Arial" w:hAnsi="Arial" w:cs="Arial"/>
          <w:sz w:val="22"/>
          <w:szCs w:val="22"/>
        </w:rPr>
        <w:t xml:space="preserve"> has been engaging with relevant stakeholders (e.g. researchers, funders, academies) with a view of </w:t>
      </w:r>
      <w:r>
        <w:rPr>
          <w:rFonts w:ascii="Arial" w:hAnsi="Arial" w:cs="Arial"/>
          <w:sz w:val="22"/>
          <w:szCs w:val="22"/>
        </w:rPr>
        <w:t>addressing</w:t>
      </w:r>
      <w:r w:rsidRPr="00075B02">
        <w:rPr>
          <w:rFonts w:ascii="Arial" w:hAnsi="Arial" w:cs="Arial"/>
          <w:sz w:val="22"/>
          <w:szCs w:val="22"/>
        </w:rPr>
        <w:t xml:space="preserve"> key evidence gaps from the CCRA2 report on a variety of timescales. </w:t>
      </w:r>
      <w:r w:rsidR="0056044C" w:rsidRPr="00075B02">
        <w:rPr>
          <w:rFonts w:ascii="Arial" w:hAnsi="Arial" w:cs="Arial"/>
          <w:sz w:val="22"/>
          <w:szCs w:val="22"/>
        </w:rPr>
        <w:t>The scientific literature is also bein</w:t>
      </w:r>
      <w:r w:rsidR="0056044C">
        <w:rPr>
          <w:rFonts w:ascii="Arial" w:hAnsi="Arial" w:cs="Arial"/>
          <w:sz w:val="22"/>
          <w:szCs w:val="22"/>
        </w:rPr>
        <w:t>g</w:t>
      </w:r>
      <w:r w:rsidR="0056044C" w:rsidRPr="00075B02">
        <w:rPr>
          <w:rFonts w:ascii="Arial" w:hAnsi="Arial" w:cs="Arial"/>
          <w:sz w:val="22"/>
          <w:szCs w:val="22"/>
        </w:rPr>
        <w:t xml:space="preserve"> reviewed to identify work that may already exist in these areas.</w:t>
      </w:r>
    </w:p>
    <w:p w14:paraId="19A8BFAA" w14:textId="409519DB" w:rsidR="00481A2D" w:rsidRDefault="00481A2D" w:rsidP="00304801">
      <w:pPr>
        <w:rPr>
          <w:rFonts w:ascii="Arial" w:hAnsi="Arial" w:cs="Arial"/>
          <w:sz w:val="22"/>
          <w:szCs w:val="22"/>
        </w:rPr>
      </w:pPr>
    </w:p>
    <w:p w14:paraId="1127899B" w14:textId="79017E4C" w:rsidR="00304801" w:rsidRPr="00D9475E" w:rsidRDefault="00304801" w:rsidP="00304801">
      <w:pPr>
        <w:spacing w:after="100" w:afterAutospacing="1"/>
        <w:rPr>
          <w:rFonts w:ascii="Arial" w:hAnsi="Arial" w:cs="Arial"/>
          <w:sz w:val="22"/>
          <w:szCs w:val="22"/>
        </w:rPr>
      </w:pPr>
      <w:r w:rsidRPr="00D9475E">
        <w:rPr>
          <w:rFonts w:ascii="Arial" w:hAnsi="Arial" w:cs="Arial"/>
          <w:sz w:val="22"/>
          <w:szCs w:val="22"/>
        </w:rPr>
        <w:t>Effective adaptation cannot be undertaken without careful consideration of the cross-cutting nature of risks</w:t>
      </w:r>
      <w:r w:rsidR="008E227E">
        <w:rPr>
          <w:rFonts w:ascii="Arial" w:hAnsi="Arial" w:cs="Arial"/>
          <w:sz w:val="22"/>
          <w:szCs w:val="22"/>
        </w:rPr>
        <w:t>,</w:t>
      </w:r>
      <w:r w:rsidRPr="00D9475E">
        <w:rPr>
          <w:rFonts w:ascii="Arial" w:hAnsi="Arial" w:cs="Arial"/>
          <w:sz w:val="22"/>
          <w:szCs w:val="22"/>
        </w:rPr>
        <w:t xml:space="preserve"> and </w:t>
      </w:r>
      <w:r w:rsidR="008E227E">
        <w:rPr>
          <w:rFonts w:ascii="Arial" w:hAnsi="Arial" w:cs="Arial"/>
          <w:sz w:val="22"/>
          <w:szCs w:val="22"/>
        </w:rPr>
        <w:t xml:space="preserve">trade-offs or </w:t>
      </w:r>
      <w:r w:rsidRPr="00D9475E">
        <w:rPr>
          <w:rFonts w:ascii="Arial" w:hAnsi="Arial" w:cs="Arial"/>
          <w:sz w:val="22"/>
          <w:szCs w:val="22"/>
        </w:rPr>
        <w:t>synergies between adaptation activities. Unless cross-cutting issues are considered, actions could be ineffective, sub-optimal in terms of their costs and benefits, or lead to unintended consequences.</w:t>
      </w:r>
    </w:p>
    <w:p w14:paraId="357FFA03" w14:textId="21BA2828" w:rsidR="00A32214" w:rsidRDefault="00304801" w:rsidP="00C253CA">
      <w:pPr>
        <w:spacing w:after="100" w:afterAutospacing="1"/>
        <w:rPr>
          <w:rFonts w:ascii="Arial" w:hAnsi="Arial" w:cs="Arial"/>
          <w:sz w:val="22"/>
          <w:szCs w:val="22"/>
        </w:rPr>
      </w:pPr>
      <w:r w:rsidRPr="00D9475E">
        <w:rPr>
          <w:rFonts w:ascii="Arial" w:hAnsi="Arial" w:cs="Arial"/>
          <w:sz w:val="22"/>
          <w:szCs w:val="22"/>
        </w:rPr>
        <w:t>Climate change risks act together to impact upon natural capital, water security, food security, wellbeing, economic prosperity and ultimately global security.</w:t>
      </w:r>
      <w:r w:rsidR="00B062D8">
        <w:rPr>
          <w:rFonts w:ascii="Arial" w:hAnsi="Arial" w:cs="Arial"/>
          <w:sz w:val="22"/>
          <w:szCs w:val="22"/>
        </w:rPr>
        <w:t xml:space="preserve"> </w:t>
      </w:r>
      <w:r w:rsidR="003827F9">
        <w:rPr>
          <w:rFonts w:ascii="Arial" w:hAnsi="Arial" w:cs="Arial"/>
          <w:sz w:val="22"/>
          <w:szCs w:val="22"/>
        </w:rPr>
        <w:t>For example w</w:t>
      </w:r>
      <w:r w:rsidR="00A32214" w:rsidRPr="00C253CA">
        <w:rPr>
          <w:rFonts w:ascii="Arial" w:hAnsi="Arial" w:cs="Arial"/>
          <w:sz w:val="22"/>
          <w:szCs w:val="22"/>
        </w:rPr>
        <w:t>ater security risks interact strongly with those affecting the natural environment (mainly through soil condition and biodiversity). How water</w:t>
      </w:r>
      <w:r w:rsidR="003827F9" w:rsidRPr="00C253CA">
        <w:rPr>
          <w:rFonts w:ascii="Arial" w:hAnsi="Arial" w:cs="Arial"/>
          <w:sz w:val="22"/>
          <w:szCs w:val="22"/>
        </w:rPr>
        <w:t xml:space="preserve"> </w:t>
      </w:r>
      <w:r w:rsidR="00A32214" w:rsidRPr="00C253CA">
        <w:rPr>
          <w:rFonts w:ascii="Arial" w:hAnsi="Arial" w:cs="Arial"/>
          <w:sz w:val="22"/>
          <w:szCs w:val="22"/>
        </w:rPr>
        <w:t xml:space="preserve">is managed in the future will have implications for </w:t>
      </w:r>
      <w:r w:rsidR="00A32214" w:rsidRPr="00C253CA">
        <w:rPr>
          <w:rFonts w:ascii="Arial" w:hAnsi="Arial" w:cs="Arial"/>
          <w:sz w:val="22"/>
          <w:szCs w:val="22"/>
        </w:rPr>
        <w:lastRenderedPageBreak/>
        <w:t>agricultural production, public health and wellbeing, natural capital and infrastructure service provision</w:t>
      </w:r>
      <w:r w:rsidR="003827F9">
        <w:rPr>
          <w:rFonts w:ascii="Arial" w:hAnsi="Arial" w:cs="Arial"/>
          <w:sz w:val="22"/>
          <w:szCs w:val="22"/>
        </w:rPr>
        <w:t>.</w:t>
      </w:r>
    </w:p>
    <w:p w14:paraId="58A97413" w14:textId="7F79DBBD" w:rsidR="00481A2D" w:rsidRDefault="00481A2D" w:rsidP="00C253CA">
      <w:pPr>
        <w:spacing w:after="100" w:afterAutospacing="1"/>
        <w:rPr>
          <w:rFonts w:ascii="Arial" w:hAnsi="Arial" w:cs="Arial"/>
          <w:sz w:val="22"/>
          <w:szCs w:val="22"/>
        </w:rPr>
      </w:pPr>
      <w:r w:rsidRPr="00D9475E">
        <w:rPr>
          <w:rFonts w:ascii="Arial" w:hAnsi="Arial" w:cs="Arial"/>
          <w:sz w:val="22"/>
          <w:szCs w:val="22"/>
        </w:rPr>
        <w:t xml:space="preserve">Understanding how risks interact is </w:t>
      </w:r>
      <w:r>
        <w:rPr>
          <w:rFonts w:ascii="Arial" w:hAnsi="Arial" w:cs="Arial"/>
          <w:sz w:val="22"/>
          <w:szCs w:val="22"/>
        </w:rPr>
        <w:t xml:space="preserve">also </w:t>
      </w:r>
      <w:r w:rsidRPr="00D9475E">
        <w:rPr>
          <w:rFonts w:ascii="Arial" w:hAnsi="Arial" w:cs="Arial"/>
          <w:sz w:val="22"/>
          <w:szCs w:val="22"/>
        </w:rPr>
        <w:t xml:space="preserve">critical for assessing the overall costs and benefits of policy intervention. This understanding enables policy makers to </w:t>
      </w:r>
      <w:r w:rsidR="0056044C">
        <w:rPr>
          <w:rFonts w:ascii="Arial" w:hAnsi="Arial" w:cs="Arial"/>
          <w:sz w:val="22"/>
          <w:szCs w:val="22"/>
        </w:rPr>
        <w:t xml:space="preserve">understand how to </w:t>
      </w:r>
      <w:r w:rsidRPr="00D9475E">
        <w:rPr>
          <w:rFonts w:ascii="Arial" w:hAnsi="Arial" w:cs="Arial"/>
          <w:sz w:val="22"/>
          <w:szCs w:val="22"/>
        </w:rPr>
        <w:t xml:space="preserve">achieve desired outcomes at least cost and avoid unintended consequences. The </w:t>
      </w:r>
      <w:hyperlink r:id="rId14" w:history="1">
        <w:r w:rsidRPr="00D9475E">
          <w:rPr>
            <w:rStyle w:val="Hyperlink"/>
            <w:rFonts w:ascii="Arial" w:hAnsi="Arial" w:cs="Arial"/>
            <w:sz w:val="22"/>
            <w:szCs w:val="22"/>
          </w:rPr>
          <w:t>first CCRA</w:t>
        </w:r>
      </w:hyperlink>
      <w:r w:rsidRPr="00D9475E">
        <w:rPr>
          <w:rFonts w:ascii="Arial" w:hAnsi="Arial" w:cs="Arial"/>
          <w:sz w:val="22"/>
          <w:szCs w:val="22"/>
        </w:rPr>
        <w:t xml:space="preserve"> undertook a detailed and systematic mapping exercise to identify how particular risks create cascading impacts across different sectors. For example, a flood can cause direct damages to buildings, but also have knock-on effects on people’s mental health, on business continuity and on supply chains.</w:t>
      </w:r>
    </w:p>
    <w:p w14:paraId="1953FDA3" w14:textId="7F75B272" w:rsidR="00481A2D" w:rsidRDefault="00481A2D" w:rsidP="00481A2D">
      <w:pPr>
        <w:rPr>
          <w:rFonts w:ascii="Arial" w:hAnsi="Arial" w:cs="Arial"/>
          <w:sz w:val="22"/>
          <w:szCs w:val="22"/>
        </w:rPr>
      </w:pPr>
      <w:r>
        <w:rPr>
          <w:rFonts w:ascii="Arial" w:hAnsi="Arial" w:cs="Arial"/>
          <w:sz w:val="22"/>
          <w:szCs w:val="22"/>
        </w:rPr>
        <w:t>Identifying</w:t>
      </w:r>
      <w:r w:rsidRPr="00D9475E">
        <w:rPr>
          <w:rFonts w:ascii="Arial" w:hAnsi="Arial" w:cs="Arial"/>
          <w:sz w:val="22"/>
          <w:szCs w:val="22"/>
        </w:rPr>
        <w:t xml:space="preserve"> cascading effects between </w:t>
      </w:r>
      <w:r>
        <w:rPr>
          <w:rFonts w:ascii="Arial" w:hAnsi="Arial" w:cs="Arial"/>
          <w:sz w:val="22"/>
          <w:szCs w:val="22"/>
        </w:rPr>
        <w:t xml:space="preserve">the </w:t>
      </w:r>
      <w:r w:rsidRPr="00D9475E">
        <w:rPr>
          <w:rFonts w:ascii="Arial" w:hAnsi="Arial" w:cs="Arial"/>
          <w:sz w:val="22"/>
          <w:szCs w:val="22"/>
        </w:rPr>
        <w:t>natural environment, built environment and infrastruct</w:t>
      </w:r>
      <w:r>
        <w:rPr>
          <w:rFonts w:ascii="Arial" w:hAnsi="Arial" w:cs="Arial"/>
          <w:sz w:val="22"/>
          <w:szCs w:val="22"/>
        </w:rPr>
        <w:t>ure was identified as a key</w:t>
      </w:r>
      <w:r w:rsidRPr="00D9475E">
        <w:rPr>
          <w:rFonts w:ascii="Arial" w:hAnsi="Arial" w:cs="Arial"/>
          <w:sz w:val="22"/>
          <w:szCs w:val="22"/>
        </w:rPr>
        <w:t xml:space="preserve"> evidence gap </w:t>
      </w:r>
      <w:r>
        <w:rPr>
          <w:rFonts w:ascii="Arial" w:hAnsi="Arial" w:cs="Arial"/>
          <w:sz w:val="22"/>
          <w:szCs w:val="22"/>
        </w:rPr>
        <w:t>in CCRA2</w:t>
      </w:r>
      <w:r w:rsidRPr="00D9475E">
        <w:rPr>
          <w:rFonts w:ascii="Arial" w:hAnsi="Arial" w:cs="Arial"/>
          <w:sz w:val="22"/>
          <w:szCs w:val="22"/>
        </w:rPr>
        <w:t xml:space="preserve">.  </w:t>
      </w:r>
      <w:r w:rsidR="0056044C">
        <w:rPr>
          <w:rFonts w:ascii="Arial" w:hAnsi="Arial" w:cs="Arial"/>
          <w:sz w:val="22"/>
          <w:szCs w:val="22"/>
        </w:rPr>
        <w:t xml:space="preserve">The current evidence on interacting risks was considered </w:t>
      </w:r>
      <w:r>
        <w:rPr>
          <w:rFonts w:ascii="Arial" w:hAnsi="Arial" w:cs="Arial"/>
          <w:sz w:val="22"/>
          <w:szCs w:val="22"/>
        </w:rPr>
        <w:t xml:space="preserve">in the chapter for the 2016 Evidence Report on </w:t>
      </w:r>
      <w:hyperlink r:id="rId15" w:history="1">
        <w:r w:rsidRPr="00481A2D">
          <w:rPr>
            <w:rStyle w:val="Hyperlink"/>
            <w:rFonts w:ascii="Arial" w:hAnsi="Arial" w:cs="Arial"/>
            <w:sz w:val="22"/>
            <w:szCs w:val="22"/>
          </w:rPr>
          <w:t>cross-cutting issues</w:t>
        </w:r>
      </w:hyperlink>
      <w:r>
        <w:rPr>
          <w:rFonts w:ascii="Arial" w:hAnsi="Arial" w:cs="Arial"/>
          <w:sz w:val="22"/>
          <w:szCs w:val="22"/>
        </w:rPr>
        <w:t>.</w:t>
      </w:r>
      <w:r w:rsidR="0056044C">
        <w:rPr>
          <w:rFonts w:ascii="Arial" w:hAnsi="Arial" w:cs="Arial"/>
          <w:sz w:val="22"/>
          <w:szCs w:val="22"/>
        </w:rPr>
        <w:t xml:space="preserve"> The work here highlighted that there are significant evidence gaps in our understanding of what the most important types of interactions are.</w:t>
      </w:r>
      <w:r>
        <w:rPr>
          <w:rFonts w:ascii="Arial" w:hAnsi="Arial" w:cs="Arial"/>
          <w:sz w:val="22"/>
          <w:szCs w:val="22"/>
        </w:rPr>
        <w:t xml:space="preserve"> This research project will provide a much more detailed assessment, systematically assessing </w:t>
      </w:r>
      <w:r w:rsidRPr="00D9475E">
        <w:rPr>
          <w:rFonts w:ascii="Arial" w:hAnsi="Arial" w:cs="Arial"/>
          <w:sz w:val="22"/>
          <w:szCs w:val="22"/>
        </w:rPr>
        <w:t xml:space="preserve">the links and cascading effects between the </w:t>
      </w:r>
      <w:r>
        <w:rPr>
          <w:rFonts w:ascii="Arial" w:hAnsi="Arial" w:cs="Arial"/>
          <w:sz w:val="22"/>
          <w:szCs w:val="22"/>
        </w:rPr>
        <w:t xml:space="preserve">different sectors in specific locations </w:t>
      </w:r>
      <w:r w:rsidRPr="00D9475E">
        <w:rPr>
          <w:rFonts w:ascii="Arial" w:hAnsi="Arial" w:cs="Arial"/>
          <w:sz w:val="22"/>
          <w:szCs w:val="22"/>
        </w:rPr>
        <w:t xml:space="preserve">by using latest systems models and considering societal interactions. </w:t>
      </w:r>
    </w:p>
    <w:p w14:paraId="402CAE85" w14:textId="643ECF74" w:rsidR="00424F52" w:rsidRDefault="00424F52" w:rsidP="000C46A1">
      <w:pPr>
        <w:spacing w:after="100" w:afterAutospacing="1"/>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520710309"/>
      <w:r w:rsidRPr="007963DA">
        <w:rPr>
          <w:rFonts w:ascii="Arial" w:hAnsi="Arial" w:cs="Arial"/>
          <w:sz w:val="24"/>
          <w:szCs w:val="24"/>
        </w:rPr>
        <w:t>Aims and Objectives</w:t>
      </w:r>
      <w:bookmarkEnd w:id="13"/>
      <w:bookmarkEnd w:id="14"/>
      <w:bookmarkEnd w:id="15"/>
      <w:bookmarkEnd w:id="16"/>
    </w:p>
    <w:p w14:paraId="2CCDCE03" w14:textId="77777777" w:rsidR="00C1623B" w:rsidRDefault="00C1623B" w:rsidP="00C1623B">
      <w:pPr>
        <w:pStyle w:val="Norma"/>
      </w:pPr>
    </w:p>
    <w:p w14:paraId="77A26992" w14:textId="6C4BD5CB" w:rsidR="001D62B9" w:rsidRDefault="0033675F" w:rsidP="00CF38AF">
      <w:pPr>
        <w:jc w:val="both"/>
        <w:rPr>
          <w:rFonts w:ascii="Arial" w:eastAsia="MS Mincho" w:hAnsi="Arial" w:cs="Arial"/>
          <w:sz w:val="22"/>
          <w:szCs w:val="22"/>
          <w:lang w:eastAsia="en-US"/>
        </w:rPr>
      </w:pPr>
      <w:r>
        <w:rPr>
          <w:rFonts w:ascii="Arial" w:eastAsia="MS Mincho" w:hAnsi="Arial" w:cs="Arial"/>
          <w:sz w:val="22"/>
          <w:szCs w:val="22"/>
          <w:lang w:eastAsia="en-US"/>
        </w:rPr>
        <w:t xml:space="preserve">The ASC would like to </w:t>
      </w:r>
      <w:r w:rsidR="00607567" w:rsidRPr="00D9475E">
        <w:rPr>
          <w:rFonts w:ascii="Arial" w:hAnsi="Arial" w:cs="Arial"/>
          <w:sz w:val="22"/>
          <w:szCs w:val="22"/>
        </w:rPr>
        <w:t>better understand the links and cascading effects between</w:t>
      </w:r>
      <w:r w:rsidR="00607567">
        <w:rPr>
          <w:rFonts w:ascii="Arial" w:hAnsi="Arial" w:cs="Arial"/>
          <w:sz w:val="22"/>
          <w:szCs w:val="22"/>
        </w:rPr>
        <w:t xml:space="preserve"> </w:t>
      </w:r>
      <w:r w:rsidR="003A0E0C">
        <w:rPr>
          <w:rFonts w:ascii="Arial" w:hAnsi="Arial" w:cs="Arial"/>
          <w:sz w:val="22"/>
          <w:szCs w:val="22"/>
        </w:rPr>
        <w:t>climate risks to the n</w:t>
      </w:r>
      <w:r w:rsidR="00607567">
        <w:rPr>
          <w:rFonts w:ascii="Arial" w:hAnsi="Arial" w:cs="Arial"/>
          <w:sz w:val="22"/>
          <w:szCs w:val="22"/>
        </w:rPr>
        <w:t xml:space="preserve">atural environment, built environment and infrastructure </w:t>
      </w:r>
      <w:r w:rsidR="00607567" w:rsidRPr="00D9475E">
        <w:rPr>
          <w:rFonts w:ascii="Arial" w:hAnsi="Arial" w:cs="Arial"/>
          <w:sz w:val="22"/>
          <w:szCs w:val="22"/>
        </w:rPr>
        <w:t>by using latest systems models and considering societal interactions.</w:t>
      </w:r>
      <w:r w:rsidR="00607567">
        <w:rPr>
          <w:rFonts w:ascii="Arial" w:eastAsia="MS Mincho" w:hAnsi="Arial" w:cs="Arial"/>
          <w:sz w:val="22"/>
          <w:szCs w:val="22"/>
          <w:lang w:eastAsia="en-US"/>
        </w:rPr>
        <w:t xml:space="preserve"> </w:t>
      </w:r>
      <w:r>
        <w:rPr>
          <w:rFonts w:ascii="Arial" w:eastAsia="MS Mincho" w:hAnsi="Arial" w:cs="Arial"/>
          <w:sz w:val="22"/>
          <w:szCs w:val="22"/>
          <w:lang w:eastAsia="en-US"/>
        </w:rPr>
        <w:t>The main research questions are:</w:t>
      </w:r>
    </w:p>
    <w:p w14:paraId="7840F72E" w14:textId="77777777" w:rsidR="00B8258D" w:rsidRDefault="00B8258D" w:rsidP="00CF38AF">
      <w:pPr>
        <w:jc w:val="both"/>
        <w:rPr>
          <w:rFonts w:ascii="Arial" w:eastAsia="MS Mincho" w:hAnsi="Arial" w:cs="Arial"/>
          <w:sz w:val="22"/>
          <w:szCs w:val="22"/>
          <w:lang w:eastAsia="en-US"/>
        </w:rPr>
      </w:pPr>
    </w:p>
    <w:p w14:paraId="3DEFAE14" w14:textId="5F1800D3" w:rsidR="00012B06" w:rsidRDefault="00012B06" w:rsidP="00012B06">
      <w:pPr>
        <w:pStyle w:val="ListParagraph"/>
        <w:numPr>
          <w:ilvl w:val="0"/>
          <w:numId w:val="47"/>
        </w:numPr>
        <w:jc w:val="both"/>
        <w:rPr>
          <w:rFonts w:ascii="Arial" w:hAnsi="Arial" w:cs="Arial"/>
        </w:rPr>
      </w:pPr>
      <w:r w:rsidRPr="00012B06">
        <w:rPr>
          <w:rFonts w:ascii="Arial" w:hAnsi="Arial" w:cs="Arial"/>
        </w:rPr>
        <w:t>What are the interactions between</w:t>
      </w:r>
      <w:r w:rsidR="0056044C">
        <w:rPr>
          <w:rFonts w:ascii="Arial" w:hAnsi="Arial" w:cs="Arial"/>
        </w:rPr>
        <w:t xml:space="preserve"> climate change</w:t>
      </w:r>
      <w:r w:rsidRPr="00012B06">
        <w:rPr>
          <w:rFonts w:ascii="Arial" w:hAnsi="Arial" w:cs="Arial"/>
        </w:rPr>
        <w:t xml:space="preserve"> risks in the natural environment, built environment and infrastructure? </w:t>
      </w:r>
    </w:p>
    <w:p w14:paraId="3455ABE8" w14:textId="148C2299" w:rsidR="003A0E0C" w:rsidRDefault="003A0E0C" w:rsidP="00012B06">
      <w:pPr>
        <w:pStyle w:val="ListParagraph"/>
        <w:numPr>
          <w:ilvl w:val="0"/>
          <w:numId w:val="47"/>
        </w:numPr>
        <w:jc w:val="both"/>
        <w:rPr>
          <w:rFonts w:ascii="Arial" w:hAnsi="Arial" w:cs="Arial"/>
        </w:rPr>
      </w:pPr>
      <w:r>
        <w:rPr>
          <w:rFonts w:ascii="Arial" w:hAnsi="Arial" w:cs="Arial"/>
        </w:rPr>
        <w:t>How do these interactions affect the overall level of risk?</w:t>
      </w:r>
    </w:p>
    <w:p w14:paraId="7688349F" w14:textId="5B3C04D6" w:rsidR="003A0E0C" w:rsidRDefault="003A0E0C" w:rsidP="00012B06">
      <w:pPr>
        <w:pStyle w:val="ListParagraph"/>
        <w:numPr>
          <w:ilvl w:val="0"/>
          <w:numId w:val="47"/>
        </w:numPr>
        <w:jc w:val="both"/>
        <w:rPr>
          <w:rFonts w:ascii="Arial" w:hAnsi="Arial" w:cs="Arial"/>
        </w:rPr>
      </w:pPr>
      <w:r>
        <w:rPr>
          <w:rFonts w:ascii="Arial" w:hAnsi="Arial" w:cs="Arial"/>
        </w:rPr>
        <w:t>How do these interactions differ in different locations?</w:t>
      </w:r>
    </w:p>
    <w:p w14:paraId="0B33C83D" w14:textId="7A61983B" w:rsidR="00012B06" w:rsidRPr="00EB3B72" w:rsidRDefault="00EB3B72" w:rsidP="00E84140">
      <w:pPr>
        <w:pStyle w:val="ListParagraph"/>
        <w:numPr>
          <w:ilvl w:val="0"/>
          <w:numId w:val="47"/>
        </w:numPr>
        <w:jc w:val="both"/>
        <w:rPr>
          <w:rFonts w:ascii="Arial" w:hAnsi="Arial" w:cs="Arial"/>
        </w:rPr>
      </w:pPr>
      <w:r w:rsidRPr="00EB3B72">
        <w:rPr>
          <w:rFonts w:ascii="Arial" w:hAnsi="Arial" w:cs="Arial"/>
        </w:rPr>
        <w:t>What is the likelihood and consequences of these risks and what</w:t>
      </w:r>
      <w:r>
        <w:rPr>
          <w:rFonts w:ascii="Arial" w:hAnsi="Arial" w:cs="Arial"/>
        </w:rPr>
        <w:t xml:space="preserve"> therefore </w:t>
      </w:r>
      <w:r w:rsidR="00012B06" w:rsidRPr="00EB3B72">
        <w:rPr>
          <w:rFonts w:ascii="Arial" w:hAnsi="Arial" w:cs="Arial"/>
        </w:rPr>
        <w:t xml:space="preserve">are the priority </w:t>
      </w:r>
      <w:r>
        <w:rPr>
          <w:rFonts w:ascii="Arial" w:hAnsi="Arial" w:cs="Arial"/>
        </w:rPr>
        <w:t>risks</w:t>
      </w:r>
      <w:r w:rsidR="00012B06" w:rsidRPr="00EB3B72">
        <w:rPr>
          <w:rFonts w:ascii="Arial" w:hAnsi="Arial" w:cs="Arial"/>
        </w:rPr>
        <w:t xml:space="preserve"> between </w:t>
      </w:r>
      <w:r w:rsidR="008E227E" w:rsidRPr="00EB3B72">
        <w:rPr>
          <w:rFonts w:ascii="Arial" w:hAnsi="Arial" w:cs="Arial"/>
        </w:rPr>
        <w:t>sectors</w:t>
      </w:r>
      <w:r w:rsidR="00012B06" w:rsidRPr="00EB3B72">
        <w:rPr>
          <w:rFonts w:ascii="Arial" w:hAnsi="Arial" w:cs="Arial"/>
        </w:rPr>
        <w:t xml:space="preserve"> and why? </w:t>
      </w:r>
    </w:p>
    <w:p w14:paraId="59214BE7" w14:textId="75FE9A94" w:rsidR="00A15AAE" w:rsidRDefault="00012B06" w:rsidP="00CF38AF">
      <w:pPr>
        <w:pStyle w:val="ListParagraph"/>
        <w:numPr>
          <w:ilvl w:val="0"/>
          <w:numId w:val="47"/>
        </w:numPr>
        <w:jc w:val="both"/>
        <w:rPr>
          <w:rFonts w:ascii="Arial" w:hAnsi="Arial" w:cs="Arial"/>
        </w:rPr>
      </w:pPr>
      <w:r w:rsidRPr="00012B06">
        <w:rPr>
          <w:rFonts w:ascii="Arial" w:hAnsi="Arial" w:cs="Arial"/>
        </w:rPr>
        <w:t xml:space="preserve">What </w:t>
      </w:r>
      <w:r w:rsidR="008E227E">
        <w:rPr>
          <w:rFonts w:ascii="Arial" w:hAnsi="Arial" w:cs="Arial"/>
        </w:rPr>
        <w:t xml:space="preserve">sorts of responses could </w:t>
      </w:r>
      <w:r w:rsidRPr="00012B06">
        <w:rPr>
          <w:rFonts w:ascii="Arial" w:hAnsi="Arial" w:cs="Arial"/>
        </w:rPr>
        <w:t xml:space="preserve">adaptation decision makers </w:t>
      </w:r>
      <w:r w:rsidR="008E227E">
        <w:rPr>
          <w:rFonts w:ascii="Arial" w:hAnsi="Arial" w:cs="Arial"/>
        </w:rPr>
        <w:t xml:space="preserve">make to </w:t>
      </w:r>
      <w:r w:rsidRPr="00012B06">
        <w:rPr>
          <w:rFonts w:ascii="Arial" w:hAnsi="Arial" w:cs="Arial"/>
        </w:rPr>
        <w:t xml:space="preserve">address these interactions in policy?  </w:t>
      </w:r>
    </w:p>
    <w:p w14:paraId="0D19FA82" w14:textId="3CE5658F" w:rsidR="0056044C" w:rsidRPr="000C46A1" w:rsidRDefault="0056044C" w:rsidP="00CF38AF">
      <w:pPr>
        <w:pStyle w:val="ListParagraph"/>
        <w:numPr>
          <w:ilvl w:val="0"/>
          <w:numId w:val="47"/>
        </w:numPr>
        <w:jc w:val="both"/>
        <w:rPr>
          <w:rFonts w:ascii="Arial" w:hAnsi="Arial" w:cs="Arial"/>
        </w:rPr>
      </w:pPr>
      <w:r>
        <w:rPr>
          <w:rFonts w:ascii="Arial" w:hAnsi="Arial" w:cs="Arial"/>
        </w:rPr>
        <w:t>Are there also any opportunities or benefits arising from climate change impacts causing interactions in these sectors?</w:t>
      </w:r>
    </w:p>
    <w:p w14:paraId="5EA8755C" w14:textId="77777777" w:rsidR="00C4141B" w:rsidRDefault="00E85ED1" w:rsidP="007248E4">
      <w:pPr>
        <w:pStyle w:val="Heading1"/>
        <w:numPr>
          <w:ilvl w:val="0"/>
          <w:numId w:val="3"/>
        </w:numPr>
        <w:rPr>
          <w:rFonts w:ascii="Arial" w:hAnsi="Arial" w:cs="Arial"/>
          <w:sz w:val="24"/>
          <w:szCs w:val="24"/>
        </w:rPr>
      </w:pPr>
      <w:bookmarkStart w:id="17" w:name="_Toc381969509"/>
      <w:bookmarkStart w:id="18" w:name="_Toc405888458"/>
      <w:bookmarkStart w:id="19" w:name="_Toc520710310"/>
      <w:r w:rsidRPr="00E85ED1">
        <w:rPr>
          <w:rFonts w:ascii="Arial" w:hAnsi="Arial" w:cs="Arial"/>
          <w:sz w:val="24"/>
          <w:szCs w:val="24"/>
        </w:rPr>
        <w:t>Methodology</w:t>
      </w:r>
      <w:bookmarkEnd w:id="17"/>
      <w:bookmarkEnd w:id="18"/>
      <w:bookmarkEnd w:id="19"/>
    </w:p>
    <w:p w14:paraId="5A1BB8BA" w14:textId="77777777" w:rsidR="00DD521A" w:rsidRDefault="00DD521A" w:rsidP="00DD521A">
      <w:pPr>
        <w:pStyle w:val="Norma"/>
      </w:pPr>
    </w:p>
    <w:p w14:paraId="355FE2F5" w14:textId="12E4B9EC" w:rsidR="0033675F" w:rsidRDefault="0033675F" w:rsidP="00B8258D">
      <w:pPr>
        <w:rPr>
          <w:rFonts w:ascii="Arial" w:eastAsia="MS Mincho" w:hAnsi="Arial" w:cs="Arial"/>
          <w:sz w:val="22"/>
          <w:szCs w:val="22"/>
          <w:lang w:eastAsia="en-US"/>
        </w:rPr>
      </w:pPr>
      <w:r>
        <w:rPr>
          <w:rFonts w:ascii="Arial" w:eastAsia="MS Mincho" w:hAnsi="Arial" w:cs="Arial"/>
          <w:sz w:val="22"/>
          <w:szCs w:val="22"/>
          <w:lang w:eastAsia="en-US"/>
        </w:rPr>
        <w:t xml:space="preserve">Bids should </w:t>
      </w:r>
      <w:r w:rsidR="00A02843">
        <w:rPr>
          <w:rFonts w:ascii="Arial" w:eastAsia="MS Mincho" w:hAnsi="Arial" w:cs="Arial"/>
          <w:sz w:val="22"/>
          <w:szCs w:val="22"/>
          <w:lang w:eastAsia="en-US"/>
        </w:rPr>
        <w:t>set out</w:t>
      </w:r>
      <w:r w:rsidR="0045635D">
        <w:rPr>
          <w:rFonts w:ascii="Arial" w:eastAsia="MS Mincho" w:hAnsi="Arial" w:cs="Arial"/>
          <w:sz w:val="22"/>
          <w:szCs w:val="22"/>
          <w:lang w:eastAsia="en-US"/>
        </w:rPr>
        <w:t xml:space="preserve"> how the</w:t>
      </w:r>
      <w:r>
        <w:rPr>
          <w:rFonts w:ascii="Arial" w:eastAsia="MS Mincho" w:hAnsi="Arial" w:cs="Arial"/>
          <w:sz w:val="22"/>
          <w:szCs w:val="22"/>
          <w:lang w:eastAsia="en-US"/>
        </w:rPr>
        <w:t xml:space="preserve"> above aims and objectives</w:t>
      </w:r>
      <w:r w:rsidR="0045635D">
        <w:rPr>
          <w:rFonts w:ascii="Arial" w:eastAsia="MS Mincho" w:hAnsi="Arial" w:cs="Arial"/>
          <w:sz w:val="22"/>
          <w:szCs w:val="22"/>
          <w:lang w:eastAsia="en-US"/>
        </w:rPr>
        <w:t xml:space="preserve"> will be met. This should include specifically how the steps below will be addressed </w:t>
      </w:r>
      <w:r w:rsidR="00A02843">
        <w:rPr>
          <w:rFonts w:ascii="Arial" w:eastAsia="MS Mincho" w:hAnsi="Arial" w:cs="Arial"/>
          <w:sz w:val="22"/>
          <w:szCs w:val="22"/>
          <w:lang w:eastAsia="en-US"/>
        </w:rPr>
        <w:t>within th</w:t>
      </w:r>
      <w:r w:rsidR="0056044C">
        <w:rPr>
          <w:rFonts w:ascii="Arial" w:eastAsia="MS Mincho" w:hAnsi="Arial" w:cs="Arial"/>
          <w:sz w:val="22"/>
          <w:szCs w:val="22"/>
          <w:lang w:eastAsia="en-US"/>
        </w:rPr>
        <w:t>e timeframe and budget provided:</w:t>
      </w:r>
    </w:p>
    <w:p w14:paraId="3A9292A4" w14:textId="77777777" w:rsidR="0033675F" w:rsidRDefault="0033675F" w:rsidP="00B8258D">
      <w:pPr>
        <w:rPr>
          <w:rFonts w:ascii="Arial" w:eastAsia="MS Mincho" w:hAnsi="Arial" w:cs="Arial"/>
          <w:sz w:val="22"/>
          <w:szCs w:val="22"/>
          <w:lang w:eastAsia="en-US"/>
        </w:rPr>
      </w:pPr>
    </w:p>
    <w:p w14:paraId="1EE6F439" w14:textId="6BBD46A8" w:rsidR="0080264D" w:rsidRPr="0080264D" w:rsidRDefault="00012B06" w:rsidP="00D9475E">
      <w:pPr>
        <w:pStyle w:val="ListParagraph"/>
        <w:numPr>
          <w:ilvl w:val="0"/>
          <w:numId w:val="54"/>
        </w:numPr>
      </w:pPr>
      <w:r w:rsidRPr="00E21ED9">
        <w:rPr>
          <w:rFonts w:ascii="Arial" w:hAnsi="Arial" w:cs="Arial"/>
        </w:rPr>
        <w:t xml:space="preserve">An approach to conducting a literature review </w:t>
      </w:r>
      <w:r w:rsidR="00D9475E" w:rsidRPr="00E21ED9">
        <w:rPr>
          <w:rFonts w:ascii="Arial" w:hAnsi="Arial" w:cs="Arial"/>
        </w:rPr>
        <w:t>of existing</w:t>
      </w:r>
      <w:r w:rsidRPr="00E21ED9">
        <w:rPr>
          <w:rFonts w:ascii="Arial" w:hAnsi="Arial" w:cs="Arial"/>
        </w:rPr>
        <w:t xml:space="preserve"> systems models</w:t>
      </w:r>
      <w:r w:rsidR="0080264D" w:rsidRPr="00E21ED9">
        <w:rPr>
          <w:rFonts w:ascii="Arial" w:hAnsi="Arial" w:cs="Arial"/>
        </w:rPr>
        <w:t xml:space="preserve"> (for example ITRC/NISMOD, TIM model, National Infrastructure Commission</w:t>
      </w:r>
      <w:r w:rsidR="0056044C">
        <w:rPr>
          <w:rFonts w:ascii="Arial" w:hAnsi="Arial" w:cs="Arial"/>
        </w:rPr>
        <w:t xml:space="preserve"> modelling</w:t>
      </w:r>
      <w:r w:rsidR="0080264D" w:rsidRPr="00E21ED9">
        <w:rPr>
          <w:rFonts w:ascii="Arial" w:hAnsi="Arial" w:cs="Arial"/>
        </w:rPr>
        <w:t>)</w:t>
      </w:r>
      <w:r w:rsidRPr="00E21ED9">
        <w:rPr>
          <w:rFonts w:ascii="Arial" w:hAnsi="Arial" w:cs="Arial"/>
        </w:rPr>
        <w:t>. This should include an a</w:t>
      </w:r>
      <w:r w:rsidR="00E21ED9">
        <w:rPr>
          <w:rFonts w:ascii="Arial" w:hAnsi="Arial" w:cs="Arial"/>
        </w:rPr>
        <w:t>ssessment of what models can do and</w:t>
      </w:r>
      <w:r w:rsidR="0080264D" w:rsidRPr="00E21ED9">
        <w:rPr>
          <w:rFonts w:ascii="Arial" w:hAnsi="Arial" w:cs="Arial"/>
        </w:rPr>
        <w:t xml:space="preserve"> their benefits and limitations. </w:t>
      </w:r>
    </w:p>
    <w:p w14:paraId="48C7C9B5" w14:textId="4A5F849E" w:rsidR="0039550C" w:rsidRPr="00C253CA" w:rsidRDefault="00012B06" w:rsidP="00EB3B72">
      <w:pPr>
        <w:pStyle w:val="Norma"/>
        <w:numPr>
          <w:ilvl w:val="0"/>
          <w:numId w:val="54"/>
        </w:numPr>
      </w:pPr>
      <w:r w:rsidRPr="0080264D">
        <w:rPr>
          <w:rFonts w:eastAsia="MS Mincho"/>
        </w:rPr>
        <w:t>A</w:t>
      </w:r>
      <w:r w:rsidR="0080264D" w:rsidRPr="0080264D">
        <w:rPr>
          <w:rFonts w:eastAsia="MS Mincho"/>
        </w:rPr>
        <w:t xml:space="preserve"> method for</w:t>
      </w:r>
      <w:r w:rsidRPr="0080264D">
        <w:rPr>
          <w:rFonts w:eastAsia="MS Mincho"/>
        </w:rPr>
        <w:t xml:space="preserve"> assessing the </w:t>
      </w:r>
      <w:r w:rsidR="00607567" w:rsidRPr="0080264D">
        <w:rPr>
          <w:rFonts w:eastAsia="MS Mincho"/>
        </w:rPr>
        <w:t>interactions</w:t>
      </w:r>
      <w:r w:rsidRPr="0080264D">
        <w:rPr>
          <w:rFonts w:eastAsia="MS Mincho"/>
        </w:rPr>
        <w:t xml:space="preserve"> of c</w:t>
      </w:r>
      <w:r w:rsidR="007808BC">
        <w:rPr>
          <w:rFonts w:eastAsia="MS Mincho"/>
        </w:rPr>
        <w:t xml:space="preserve">limate risks between the natural environment, built environment and infrastructure, taken from the results of existing </w:t>
      </w:r>
      <w:r w:rsidR="007808BC">
        <w:rPr>
          <w:rFonts w:eastAsia="MS Mincho"/>
        </w:rPr>
        <w:lastRenderedPageBreak/>
        <w:t>systems models</w:t>
      </w:r>
      <w:r w:rsidR="008E227E">
        <w:rPr>
          <w:rFonts w:eastAsia="MS Mincho"/>
        </w:rPr>
        <w:t xml:space="preserve"> and previous analysis conducted for CCRA1 and CCRA2</w:t>
      </w:r>
      <w:r w:rsidRPr="0080264D">
        <w:rPr>
          <w:rFonts w:eastAsia="MS Mincho"/>
        </w:rPr>
        <w:t xml:space="preserve">. </w:t>
      </w:r>
      <w:r w:rsidR="00EB3B72">
        <w:rPr>
          <w:rFonts w:eastAsia="MS Mincho"/>
        </w:rPr>
        <w:t>This should include</w:t>
      </w:r>
      <w:r w:rsidR="0099160F">
        <w:rPr>
          <w:rFonts w:eastAsia="MS Mincho"/>
        </w:rPr>
        <w:t>, where possible,</w:t>
      </w:r>
      <w:r w:rsidR="00EB3B72">
        <w:rPr>
          <w:rFonts w:eastAsia="MS Mincho"/>
        </w:rPr>
        <w:t xml:space="preserve"> </w:t>
      </w:r>
      <w:r w:rsidR="0099160F">
        <w:rPr>
          <w:rFonts w:eastAsia="MS Mincho"/>
        </w:rPr>
        <w:t xml:space="preserve">how bidders will </w:t>
      </w:r>
      <w:r w:rsidR="00EB3B72" w:rsidRPr="0099160F">
        <w:rPr>
          <w:rFonts w:eastAsia="MS Mincho"/>
        </w:rPr>
        <w:t>quantif</w:t>
      </w:r>
      <w:r w:rsidR="0099160F">
        <w:rPr>
          <w:rFonts w:eastAsia="MS Mincho"/>
        </w:rPr>
        <w:t>y</w:t>
      </w:r>
      <w:r w:rsidR="00EB3B72" w:rsidRPr="0099160F">
        <w:rPr>
          <w:rFonts w:eastAsia="MS Mincho"/>
        </w:rPr>
        <w:t xml:space="preserve"> </w:t>
      </w:r>
      <w:r w:rsidR="0099160F">
        <w:rPr>
          <w:rFonts w:eastAsia="MS Mincho"/>
        </w:rPr>
        <w:t>the</w:t>
      </w:r>
      <w:r w:rsidR="00EB3B72" w:rsidRPr="0099160F">
        <w:rPr>
          <w:rFonts w:eastAsia="MS Mincho"/>
        </w:rPr>
        <w:t xml:space="preserve"> relative likelihood and co</w:t>
      </w:r>
      <w:r w:rsidR="0099160F">
        <w:rPr>
          <w:rFonts w:eastAsia="MS Mincho"/>
        </w:rPr>
        <w:t>nsequence</w:t>
      </w:r>
      <w:r w:rsidR="00B54F08">
        <w:rPr>
          <w:rFonts w:eastAsia="MS Mincho"/>
        </w:rPr>
        <w:t>s of interactions</w:t>
      </w:r>
      <w:r w:rsidR="0099160F">
        <w:rPr>
          <w:rFonts w:eastAsia="MS Mincho"/>
        </w:rPr>
        <w:t xml:space="preserve"> in order to </w:t>
      </w:r>
      <w:r w:rsidR="00B54F08">
        <w:rPr>
          <w:rFonts w:eastAsia="MS Mincho"/>
        </w:rPr>
        <w:t xml:space="preserve">be able to </w:t>
      </w:r>
      <w:r w:rsidR="00EB3B72" w:rsidRPr="0099160F">
        <w:rPr>
          <w:rFonts w:eastAsia="MS Mincho"/>
        </w:rPr>
        <w:t>estimate and compare</w:t>
      </w:r>
      <w:r w:rsidR="00B54F08">
        <w:rPr>
          <w:rFonts w:eastAsia="MS Mincho"/>
        </w:rPr>
        <w:t xml:space="preserve"> risks</w:t>
      </w:r>
      <w:r w:rsidR="00EB3B72" w:rsidRPr="0099160F">
        <w:rPr>
          <w:rFonts w:eastAsia="MS Mincho"/>
        </w:rPr>
        <w:t>.</w:t>
      </w:r>
      <w:r w:rsidR="00EB3B72">
        <w:rPr>
          <w:rFonts w:ascii="Calibri" w:hAnsi="Calibri"/>
          <w:color w:val="1F497D"/>
          <w:lang w:eastAsia="en-US"/>
        </w:rPr>
        <w:t xml:space="preserve"> </w:t>
      </w:r>
      <w:r w:rsidRPr="0080264D">
        <w:rPr>
          <w:rFonts w:eastAsia="MS Mincho"/>
        </w:rPr>
        <w:t xml:space="preserve">The ASC are particularly interested in </w:t>
      </w:r>
      <w:r w:rsidR="001E6B3D">
        <w:rPr>
          <w:rFonts w:eastAsia="MS Mincho"/>
        </w:rPr>
        <w:t xml:space="preserve">understanding </w:t>
      </w:r>
      <w:r w:rsidRPr="0080264D">
        <w:rPr>
          <w:rFonts w:eastAsia="MS Mincho"/>
        </w:rPr>
        <w:t xml:space="preserve">how </w:t>
      </w:r>
      <w:r w:rsidR="00994E4D">
        <w:rPr>
          <w:rFonts w:eastAsia="MS Mincho"/>
        </w:rPr>
        <w:t>these interacting risks affect people differently, depending on their social environment (e.g. age and income) and the spatial distribution of risks</w:t>
      </w:r>
      <w:r w:rsidR="00B006DC">
        <w:rPr>
          <w:rFonts w:eastAsia="MS Mincho"/>
        </w:rPr>
        <w:t xml:space="preserve"> (including for each devolved administration</w:t>
      </w:r>
      <w:r w:rsidR="00DB43DD">
        <w:rPr>
          <w:rFonts w:eastAsia="MS Mincho"/>
        </w:rPr>
        <w:t xml:space="preserve"> and cross- border issues of risk interactivity</w:t>
      </w:r>
      <w:r w:rsidR="00B006DC">
        <w:rPr>
          <w:rFonts w:eastAsia="MS Mincho"/>
        </w:rPr>
        <w:t>)</w:t>
      </w:r>
      <w:r w:rsidR="00994E4D">
        <w:rPr>
          <w:rFonts w:eastAsia="MS Mincho"/>
        </w:rPr>
        <w:t>.</w:t>
      </w:r>
      <w:r w:rsidR="005B5E72">
        <w:rPr>
          <w:rFonts w:eastAsia="MS Mincho"/>
        </w:rPr>
        <w:t xml:space="preserve"> </w:t>
      </w:r>
    </w:p>
    <w:p w14:paraId="2A53B448" w14:textId="3344775F" w:rsidR="0080264D" w:rsidRPr="00E21ED9" w:rsidRDefault="0080264D" w:rsidP="00C253CA">
      <w:pPr>
        <w:pStyle w:val="Norma"/>
        <w:ind w:left="720"/>
        <w:rPr>
          <w:rFonts w:cs="Arial"/>
        </w:rPr>
      </w:pPr>
    </w:p>
    <w:p w14:paraId="54AA9746" w14:textId="4EC99B61" w:rsidR="00012B06" w:rsidRPr="00D9475E" w:rsidRDefault="00012B06" w:rsidP="00E21ED9">
      <w:pPr>
        <w:pStyle w:val="Norma"/>
        <w:numPr>
          <w:ilvl w:val="0"/>
          <w:numId w:val="54"/>
        </w:numPr>
        <w:rPr>
          <w:rFonts w:eastAsia="MS Mincho"/>
        </w:rPr>
      </w:pPr>
      <w:r w:rsidRPr="00D9475E">
        <w:rPr>
          <w:rFonts w:eastAsia="MS Mincho"/>
        </w:rPr>
        <w:t xml:space="preserve">A </w:t>
      </w:r>
      <w:r w:rsidR="0080264D" w:rsidRPr="00D9475E">
        <w:rPr>
          <w:rFonts w:eastAsia="MS Mincho"/>
        </w:rPr>
        <w:t xml:space="preserve">method or framework for </w:t>
      </w:r>
      <w:r w:rsidR="00D9475E" w:rsidRPr="00D9475E">
        <w:rPr>
          <w:rFonts w:eastAsia="MS Mincho"/>
        </w:rPr>
        <w:t xml:space="preserve">prioritising </w:t>
      </w:r>
      <w:r w:rsidR="00D9475E">
        <w:rPr>
          <w:rFonts w:eastAsia="MS Mincho"/>
        </w:rPr>
        <w:t>interactions</w:t>
      </w:r>
      <w:r w:rsidR="00BC142F">
        <w:rPr>
          <w:rFonts w:eastAsia="MS Mincho"/>
        </w:rPr>
        <w:t>. The ASC envisage this will</w:t>
      </w:r>
      <w:r w:rsidR="0080264D">
        <w:rPr>
          <w:rFonts w:eastAsia="MS Mincho"/>
        </w:rPr>
        <w:t xml:space="preserve"> include some systems diagrams and interaction matrices.</w:t>
      </w:r>
    </w:p>
    <w:p w14:paraId="1F6D3CC7" w14:textId="77777777" w:rsidR="0080264D" w:rsidRDefault="0080264D" w:rsidP="0080264D">
      <w:pPr>
        <w:rPr>
          <w:rFonts w:ascii="Arial" w:eastAsia="MS Mincho" w:hAnsi="Arial" w:cs="Arial"/>
          <w:sz w:val="22"/>
          <w:szCs w:val="22"/>
          <w:lang w:eastAsia="en-US"/>
        </w:rPr>
      </w:pPr>
    </w:p>
    <w:p w14:paraId="3C7F556F" w14:textId="6844DF2C" w:rsidR="00B8258D" w:rsidRDefault="0080264D" w:rsidP="00DD521A">
      <w:pPr>
        <w:pStyle w:val="ListParagraph"/>
        <w:numPr>
          <w:ilvl w:val="0"/>
          <w:numId w:val="54"/>
        </w:numPr>
        <w:rPr>
          <w:rFonts w:ascii="Arial" w:hAnsi="Arial" w:cs="Arial"/>
        </w:rPr>
      </w:pPr>
      <w:r w:rsidRPr="00E21ED9">
        <w:rPr>
          <w:rFonts w:ascii="Arial" w:hAnsi="Arial" w:cs="Arial"/>
        </w:rPr>
        <w:t xml:space="preserve">How the research results can be used </w:t>
      </w:r>
      <w:r w:rsidR="003A0E0C">
        <w:rPr>
          <w:rFonts w:ascii="Arial" w:hAnsi="Arial" w:cs="Arial"/>
        </w:rPr>
        <w:t xml:space="preserve">in the ASC’s assessment of urgency in CCRA3, and </w:t>
      </w:r>
      <w:r w:rsidRPr="00E21ED9">
        <w:rPr>
          <w:rFonts w:ascii="Arial" w:hAnsi="Arial" w:cs="Arial"/>
        </w:rPr>
        <w:t xml:space="preserve">by adaptation decision makers in policy making. </w:t>
      </w:r>
      <w:r w:rsidR="0056044C">
        <w:rPr>
          <w:rFonts w:ascii="Arial" w:hAnsi="Arial" w:cs="Arial"/>
        </w:rPr>
        <w:t xml:space="preserve">The ASC will be publishing its updated method and urgency framework for CCRA3 in the autumn of 2018, but the assessment of </w:t>
      </w:r>
      <w:hyperlink r:id="rId16" w:history="1">
        <w:r w:rsidR="0056044C" w:rsidRPr="0056044C">
          <w:rPr>
            <w:rStyle w:val="Hyperlink"/>
            <w:rFonts w:ascii="Arial" w:hAnsi="Arial" w:cs="Arial"/>
          </w:rPr>
          <w:t>urgency</w:t>
        </w:r>
      </w:hyperlink>
      <w:r w:rsidR="0056044C">
        <w:rPr>
          <w:rFonts w:ascii="Arial" w:hAnsi="Arial" w:cs="Arial"/>
        </w:rPr>
        <w:t xml:space="preserve"> will be similar to CCRA2.</w:t>
      </w:r>
    </w:p>
    <w:p w14:paraId="0E0E3360" w14:textId="0B1F1614" w:rsidR="005B5E72" w:rsidRDefault="005B5E72" w:rsidP="005B5E72">
      <w:pPr>
        <w:jc w:val="both"/>
        <w:rPr>
          <w:color w:val="000000"/>
        </w:rPr>
      </w:pPr>
      <w:r>
        <w:rPr>
          <w:rFonts w:ascii="Arial" w:eastAsia="MS Mincho" w:hAnsi="Arial" w:cs="Arial"/>
          <w:sz w:val="22"/>
          <w:szCs w:val="22"/>
          <w:lang w:eastAsia="en-US"/>
        </w:rPr>
        <w:t xml:space="preserve">For step 2 </w:t>
      </w:r>
      <w:r w:rsidRPr="007014E0">
        <w:rPr>
          <w:rFonts w:ascii="Arial" w:eastAsia="MS Mincho" w:hAnsi="Arial" w:cs="Arial"/>
          <w:sz w:val="22"/>
          <w:szCs w:val="22"/>
          <w:lang w:eastAsia="en-US"/>
        </w:rPr>
        <w:t>any socioeconomic dimensions driving the project analysis must, in the first instance, be taken from another project commissioned by the ASC entitled “A consistent set of socioeconomic dimensions for the CCRA3 Evidence Report research projects”. If a wider range of socioeconomic dimensions are required then the successful bidder should</w:t>
      </w:r>
      <w:r>
        <w:rPr>
          <w:rFonts w:ascii="Tahoma" w:hAnsi="Tahoma" w:cs="Tahoma"/>
          <w:color w:val="000000"/>
        </w:rPr>
        <w:t xml:space="preserve"> </w:t>
      </w:r>
      <w:r w:rsidRPr="007014E0">
        <w:rPr>
          <w:rFonts w:ascii="Arial" w:eastAsia="MS Mincho" w:hAnsi="Arial" w:cs="Arial"/>
          <w:sz w:val="22"/>
          <w:szCs w:val="22"/>
          <w:lang w:eastAsia="en-US"/>
        </w:rPr>
        <w:t>liaise with the ASC and the socioeconomic dimensions project staff to develop those required dimensions.</w:t>
      </w:r>
    </w:p>
    <w:p w14:paraId="3DF58298" w14:textId="22F1099A" w:rsidR="005B5E72" w:rsidRDefault="005B5E72" w:rsidP="007014E0">
      <w:pPr>
        <w:rPr>
          <w:rFonts w:ascii="Arial" w:hAnsi="Arial" w:cs="Arial"/>
        </w:rPr>
      </w:pPr>
    </w:p>
    <w:p w14:paraId="5EA8755E" w14:textId="027FE862" w:rsidR="0034658D" w:rsidRDefault="0034658D" w:rsidP="007248E4">
      <w:pPr>
        <w:pStyle w:val="Heading1"/>
        <w:numPr>
          <w:ilvl w:val="0"/>
          <w:numId w:val="3"/>
        </w:numPr>
        <w:rPr>
          <w:rFonts w:ascii="Arial" w:hAnsi="Arial" w:cs="Arial"/>
          <w:sz w:val="24"/>
          <w:szCs w:val="24"/>
        </w:rPr>
      </w:pPr>
      <w:bookmarkStart w:id="20" w:name="_Ref357541705"/>
      <w:bookmarkStart w:id="21" w:name="_Toc381969510"/>
      <w:bookmarkStart w:id="22" w:name="_Toc405888459"/>
      <w:bookmarkStart w:id="23" w:name="_Toc520710311"/>
      <w:r w:rsidRPr="002D32D5">
        <w:rPr>
          <w:rFonts w:ascii="Arial" w:hAnsi="Arial" w:cs="Arial"/>
          <w:sz w:val="24"/>
          <w:szCs w:val="24"/>
        </w:rPr>
        <w:t xml:space="preserve">Outputs </w:t>
      </w:r>
      <w:r w:rsidR="00104197" w:rsidRPr="002D32D5">
        <w:rPr>
          <w:rFonts w:ascii="Arial" w:hAnsi="Arial" w:cs="Arial"/>
          <w:sz w:val="24"/>
          <w:szCs w:val="24"/>
        </w:rPr>
        <w:t>Required</w:t>
      </w:r>
      <w:bookmarkEnd w:id="20"/>
      <w:bookmarkEnd w:id="21"/>
      <w:bookmarkEnd w:id="22"/>
      <w:bookmarkEnd w:id="23"/>
    </w:p>
    <w:p w14:paraId="19D02F9E" w14:textId="77777777" w:rsidR="00D828F3" w:rsidRDefault="00D828F3" w:rsidP="00D828F3">
      <w:pPr>
        <w:pStyle w:val="BodyText"/>
        <w:rPr>
          <w:rFonts w:ascii="Arial" w:eastAsia="MS Mincho" w:hAnsi="Arial" w:cs="Arial"/>
          <w:sz w:val="22"/>
          <w:szCs w:val="22"/>
        </w:rPr>
      </w:pPr>
    </w:p>
    <w:p w14:paraId="28F78320" w14:textId="65FF08E6" w:rsidR="00B15F33" w:rsidRDefault="00B15F33" w:rsidP="00D828F3">
      <w:pPr>
        <w:pStyle w:val="BodyText"/>
        <w:rPr>
          <w:rFonts w:ascii="Arial" w:eastAsia="MS Mincho" w:hAnsi="Arial" w:cs="Arial"/>
          <w:sz w:val="22"/>
          <w:szCs w:val="22"/>
        </w:rPr>
      </w:pPr>
      <w:r>
        <w:rPr>
          <w:rFonts w:ascii="Arial" w:eastAsia="MS Mincho" w:hAnsi="Arial" w:cs="Arial"/>
          <w:sz w:val="22"/>
          <w:szCs w:val="22"/>
        </w:rPr>
        <w:t>Contractors must produc</w:t>
      </w:r>
      <w:r w:rsidR="00771CD7">
        <w:rPr>
          <w:rFonts w:ascii="Arial" w:eastAsia="MS Mincho" w:hAnsi="Arial" w:cs="Arial"/>
          <w:sz w:val="22"/>
          <w:szCs w:val="22"/>
        </w:rPr>
        <w:t>e</w:t>
      </w:r>
      <w:r>
        <w:rPr>
          <w:rFonts w:ascii="Arial" w:eastAsia="MS Mincho" w:hAnsi="Arial" w:cs="Arial"/>
          <w:sz w:val="22"/>
          <w:szCs w:val="22"/>
        </w:rPr>
        <w:t xml:space="preserve"> a report setting out the findings of the research and including al</w:t>
      </w:r>
      <w:r w:rsidR="00771CD7">
        <w:rPr>
          <w:rFonts w:ascii="Arial" w:eastAsia="MS Mincho" w:hAnsi="Arial" w:cs="Arial"/>
          <w:sz w:val="22"/>
          <w:szCs w:val="22"/>
        </w:rPr>
        <w:t>l underlying data and analysis used to produce results. The report should include an executive summary. Data should be presented from all the background analyses in annexes. There needs to be a detailed description of the method employed, including assumptions and limitations and the implications of these for the interpretation of the findings</w:t>
      </w:r>
      <w:r w:rsidR="00A13277">
        <w:rPr>
          <w:rFonts w:ascii="Arial" w:eastAsia="MS Mincho" w:hAnsi="Arial" w:cs="Arial"/>
          <w:sz w:val="22"/>
          <w:szCs w:val="22"/>
        </w:rPr>
        <w:t>.</w:t>
      </w:r>
      <w:r w:rsidR="00771CD7">
        <w:rPr>
          <w:rFonts w:ascii="Arial" w:eastAsia="MS Mincho" w:hAnsi="Arial" w:cs="Arial"/>
          <w:sz w:val="22"/>
          <w:szCs w:val="22"/>
        </w:rPr>
        <w:t xml:space="preserve"> In developing the report the contractors will need to provide</w:t>
      </w:r>
      <w:r w:rsidR="003D1067">
        <w:rPr>
          <w:rFonts w:ascii="Arial" w:eastAsia="MS Mincho" w:hAnsi="Arial" w:cs="Arial"/>
          <w:sz w:val="22"/>
          <w:szCs w:val="22"/>
        </w:rPr>
        <w:t>:</w:t>
      </w:r>
    </w:p>
    <w:p w14:paraId="60DC492B" w14:textId="77777777" w:rsidR="003D1067" w:rsidRDefault="003D1067" w:rsidP="00D828F3">
      <w:pPr>
        <w:pStyle w:val="BodyText"/>
        <w:rPr>
          <w:rFonts w:ascii="Arial" w:eastAsia="MS Mincho" w:hAnsi="Arial" w:cs="Arial"/>
          <w:sz w:val="22"/>
          <w:szCs w:val="22"/>
        </w:rPr>
      </w:pPr>
    </w:p>
    <w:p w14:paraId="77110E86" w14:textId="5E00F246" w:rsidR="003D1067" w:rsidRDefault="00D9475E" w:rsidP="00D9475E">
      <w:pPr>
        <w:pStyle w:val="BodyText"/>
        <w:numPr>
          <w:ilvl w:val="0"/>
          <w:numId w:val="52"/>
        </w:numPr>
        <w:rPr>
          <w:rFonts w:ascii="Arial" w:eastAsia="MS Mincho" w:hAnsi="Arial" w:cs="Arial"/>
          <w:sz w:val="22"/>
          <w:szCs w:val="22"/>
        </w:rPr>
      </w:pPr>
      <w:r>
        <w:rPr>
          <w:rFonts w:ascii="Arial" w:eastAsia="MS Mincho" w:hAnsi="Arial" w:cs="Arial"/>
          <w:sz w:val="22"/>
          <w:szCs w:val="22"/>
        </w:rPr>
        <w:t>A</w:t>
      </w:r>
      <w:r w:rsidR="00D32044">
        <w:rPr>
          <w:rFonts w:ascii="Arial" w:eastAsia="MS Mincho" w:hAnsi="Arial" w:cs="Arial"/>
          <w:sz w:val="22"/>
          <w:szCs w:val="22"/>
        </w:rPr>
        <w:t xml:space="preserve"> method statement, including details of </w:t>
      </w:r>
      <w:r w:rsidR="009A4F1B">
        <w:rPr>
          <w:rFonts w:ascii="Arial" w:eastAsia="MS Mincho" w:hAnsi="Arial" w:cs="Arial"/>
          <w:sz w:val="22"/>
          <w:szCs w:val="22"/>
        </w:rPr>
        <w:t xml:space="preserve">the literature review and approach to assessing and prioritising interacting risks. </w:t>
      </w:r>
    </w:p>
    <w:p w14:paraId="07ED1AE4" w14:textId="6C29E8C2" w:rsidR="009A4F1B" w:rsidRDefault="00D9475E" w:rsidP="00D9475E">
      <w:pPr>
        <w:pStyle w:val="BodyText"/>
        <w:numPr>
          <w:ilvl w:val="0"/>
          <w:numId w:val="52"/>
        </w:numPr>
        <w:rPr>
          <w:rFonts w:ascii="Arial" w:eastAsia="MS Mincho" w:hAnsi="Arial" w:cs="Arial"/>
          <w:sz w:val="22"/>
          <w:szCs w:val="22"/>
        </w:rPr>
      </w:pPr>
      <w:r>
        <w:rPr>
          <w:rFonts w:ascii="Arial" w:eastAsia="MS Mincho" w:hAnsi="Arial" w:cs="Arial"/>
          <w:sz w:val="22"/>
          <w:szCs w:val="22"/>
        </w:rPr>
        <w:t>A</w:t>
      </w:r>
      <w:r w:rsidR="009A4F1B">
        <w:rPr>
          <w:rFonts w:ascii="Arial" w:eastAsia="MS Mincho" w:hAnsi="Arial" w:cs="Arial"/>
          <w:sz w:val="22"/>
          <w:szCs w:val="22"/>
        </w:rPr>
        <w:t xml:space="preserve"> first draft report for the </w:t>
      </w:r>
      <w:r w:rsidR="002C2919">
        <w:rPr>
          <w:rFonts w:ascii="Arial" w:eastAsia="MS Mincho" w:hAnsi="Arial" w:cs="Arial"/>
          <w:sz w:val="22"/>
          <w:szCs w:val="22"/>
        </w:rPr>
        <w:t xml:space="preserve">ASC </w:t>
      </w:r>
      <w:r w:rsidR="009A4F1B">
        <w:rPr>
          <w:rFonts w:ascii="Arial" w:eastAsia="MS Mincho" w:hAnsi="Arial" w:cs="Arial"/>
          <w:sz w:val="22"/>
          <w:szCs w:val="22"/>
        </w:rPr>
        <w:t>to comment on;</w:t>
      </w:r>
    </w:p>
    <w:p w14:paraId="68117C92" w14:textId="41AA3B8C" w:rsidR="009A4F1B" w:rsidRPr="00D9475E" w:rsidRDefault="00D9475E" w:rsidP="00D9475E">
      <w:pPr>
        <w:pStyle w:val="BodyText"/>
        <w:numPr>
          <w:ilvl w:val="0"/>
          <w:numId w:val="52"/>
        </w:numPr>
        <w:rPr>
          <w:rFonts w:ascii="Arial" w:eastAsia="MS Mincho" w:hAnsi="Arial" w:cs="Arial"/>
          <w:sz w:val="22"/>
          <w:szCs w:val="22"/>
        </w:rPr>
      </w:pPr>
      <w:r>
        <w:rPr>
          <w:rFonts w:ascii="Arial" w:eastAsia="MS Mincho" w:hAnsi="Arial" w:cs="Arial"/>
          <w:sz w:val="22"/>
          <w:szCs w:val="22"/>
        </w:rPr>
        <w:t>A</w:t>
      </w:r>
      <w:r w:rsidR="009A4F1B">
        <w:rPr>
          <w:rFonts w:ascii="Arial" w:eastAsia="MS Mincho" w:hAnsi="Arial" w:cs="Arial"/>
          <w:sz w:val="22"/>
          <w:szCs w:val="22"/>
        </w:rPr>
        <w:t xml:space="preserve"> revised draft of the report for review </w:t>
      </w:r>
      <w:r w:rsidR="002C2919">
        <w:rPr>
          <w:rFonts w:ascii="Arial" w:eastAsia="MS Mincho" w:hAnsi="Arial" w:cs="Arial"/>
          <w:sz w:val="22"/>
          <w:szCs w:val="22"/>
        </w:rPr>
        <w:t>by</w:t>
      </w:r>
      <w:r w:rsidR="009A4F1B">
        <w:rPr>
          <w:rFonts w:ascii="Arial" w:eastAsia="MS Mincho" w:hAnsi="Arial" w:cs="Arial"/>
          <w:sz w:val="22"/>
          <w:szCs w:val="22"/>
        </w:rPr>
        <w:t xml:space="preserve"> the ASC</w:t>
      </w:r>
      <w:r w:rsidR="003A0E0C">
        <w:rPr>
          <w:rFonts w:ascii="Arial" w:eastAsia="MS Mincho" w:hAnsi="Arial" w:cs="Arial"/>
          <w:sz w:val="22"/>
          <w:szCs w:val="22"/>
        </w:rPr>
        <w:t>, chapter authors, the project steering group and academic peer reviewers</w:t>
      </w:r>
      <w:r w:rsidR="009A4F1B" w:rsidRPr="00D9475E">
        <w:rPr>
          <w:rFonts w:ascii="Arial" w:eastAsia="MS Mincho" w:hAnsi="Arial" w:cs="Arial"/>
          <w:sz w:val="22"/>
          <w:szCs w:val="22"/>
        </w:rPr>
        <w:t xml:space="preserve">. The consultants will need to address any issues resulting from the </w:t>
      </w:r>
      <w:r w:rsidR="002C2919">
        <w:rPr>
          <w:rFonts w:ascii="Arial" w:eastAsia="MS Mincho" w:hAnsi="Arial" w:cs="Arial"/>
          <w:sz w:val="22"/>
          <w:szCs w:val="22"/>
        </w:rPr>
        <w:t>first</w:t>
      </w:r>
      <w:r w:rsidR="009A4F1B" w:rsidRPr="00D9475E">
        <w:rPr>
          <w:rFonts w:ascii="Arial" w:eastAsia="MS Mincho" w:hAnsi="Arial" w:cs="Arial"/>
          <w:sz w:val="22"/>
          <w:szCs w:val="22"/>
        </w:rPr>
        <w:t xml:space="preserve"> review into th</w:t>
      </w:r>
      <w:r w:rsidR="006F0178">
        <w:rPr>
          <w:rFonts w:ascii="Arial" w:eastAsia="MS Mincho" w:hAnsi="Arial" w:cs="Arial"/>
          <w:sz w:val="22"/>
          <w:szCs w:val="22"/>
        </w:rPr>
        <w:t>e final version of their report;</w:t>
      </w:r>
      <w:r w:rsidR="009A4F1B" w:rsidRPr="00D9475E">
        <w:rPr>
          <w:rFonts w:ascii="Arial" w:eastAsia="MS Mincho" w:hAnsi="Arial" w:cs="Arial"/>
          <w:sz w:val="22"/>
          <w:szCs w:val="22"/>
        </w:rPr>
        <w:t xml:space="preserve"> </w:t>
      </w:r>
    </w:p>
    <w:p w14:paraId="34093CD7" w14:textId="1289220D" w:rsidR="009A4F1B" w:rsidRPr="00D9475E" w:rsidRDefault="00D9475E" w:rsidP="009A4F1B">
      <w:pPr>
        <w:pStyle w:val="Norma"/>
        <w:numPr>
          <w:ilvl w:val="0"/>
          <w:numId w:val="52"/>
        </w:numPr>
      </w:pPr>
      <w:r w:rsidRPr="00D9475E">
        <w:t>A</w:t>
      </w:r>
      <w:r w:rsidR="009A4F1B" w:rsidRPr="00D9475E">
        <w:t xml:space="preserve"> final version of the report for </w:t>
      </w:r>
      <w:r w:rsidR="002C2919">
        <w:t>sign off by the ASC</w:t>
      </w:r>
      <w:r w:rsidR="009A4F1B" w:rsidRPr="00D9475E">
        <w:t>, which includes an annex detailing how the consultants have addressed each of the peer review comments;</w:t>
      </w:r>
    </w:p>
    <w:p w14:paraId="440FFA7C" w14:textId="757ACE85" w:rsidR="009A4F1B" w:rsidRPr="00D9475E" w:rsidRDefault="00D9475E" w:rsidP="00D9475E">
      <w:pPr>
        <w:pStyle w:val="BodyText"/>
        <w:numPr>
          <w:ilvl w:val="0"/>
          <w:numId w:val="52"/>
        </w:numPr>
        <w:rPr>
          <w:rFonts w:ascii="Arial" w:eastAsia="MS Mincho" w:hAnsi="Arial" w:cs="Arial"/>
          <w:sz w:val="22"/>
          <w:szCs w:val="22"/>
        </w:rPr>
      </w:pPr>
      <w:r w:rsidRPr="00D9475E">
        <w:rPr>
          <w:rFonts w:ascii="Arial" w:eastAsia="MS Mincho" w:hAnsi="Arial" w:cs="Arial"/>
          <w:sz w:val="22"/>
          <w:szCs w:val="22"/>
        </w:rPr>
        <w:t>Analysis</w:t>
      </w:r>
      <w:r w:rsidR="00B35B70" w:rsidRPr="00D9475E">
        <w:rPr>
          <w:rFonts w:ascii="Arial" w:eastAsia="MS Mincho" w:hAnsi="Arial" w:cs="Arial"/>
          <w:sz w:val="22"/>
          <w:szCs w:val="22"/>
        </w:rPr>
        <w:t xml:space="preserve"> spreadsheets </w:t>
      </w:r>
      <w:r w:rsidR="009A4F1B" w:rsidRPr="00D9475E">
        <w:rPr>
          <w:rFonts w:ascii="Arial" w:eastAsia="MS Mincho" w:hAnsi="Arial" w:cs="Arial"/>
          <w:sz w:val="22"/>
          <w:szCs w:val="22"/>
        </w:rPr>
        <w:t xml:space="preserve">and diagrams e.g. systems diagrams and interaction matrices. </w:t>
      </w:r>
    </w:p>
    <w:p w14:paraId="5142D9C5" w14:textId="7AE99B13" w:rsidR="00B35B70" w:rsidRPr="005262BB" w:rsidRDefault="005262BB" w:rsidP="005262BB">
      <w:pPr>
        <w:pStyle w:val="ListParagraph"/>
        <w:numPr>
          <w:ilvl w:val="0"/>
          <w:numId w:val="52"/>
        </w:numPr>
        <w:rPr>
          <w:rFonts w:ascii="Arial" w:eastAsia="Times New Roman" w:hAnsi="Arial" w:cs="Mangal"/>
        </w:rPr>
      </w:pPr>
      <w:r w:rsidRPr="005262BB">
        <w:rPr>
          <w:rFonts w:ascii="Arial" w:eastAsia="Times New Roman" w:hAnsi="Arial" w:cs="Mangal"/>
        </w:rPr>
        <w:t xml:space="preserve">Editable graphical representations, such as infographics, maps or charts that describe the results, with visuals optimised for use on social media. </w:t>
      </w:r>
      <w:r w:rsidR="00E06CE6">
        <w:rPr>
          <w:rFonts w:ascii="Arial" w:hAnsi="Arial" w:cs="Arial"/>
        </w:rPr>
        <w:t xml:space="preserve">The ASC want access to the editable versions </w:t>
      </w:r>
      <w:r w:rsidR="00E06CE6" w:rsidRPr="00E06CE6">
        <w:rPr>
          <w:rFonts w:ascii="Arial" w:hAnsi="Arial" w:cs="Arial"/>
        </w:rPr>
        <w:t>and to the text included, for example to allow for translated versions to be prepared</w:t>
      </w:r>
      <w:r>
        <w:rPr>
          <w:rFonts w:ascii="Arial" w:eastAsia="Times New Roman" w:hAnsi="Arial" w:cs="Mangal"/>
        </w:rPr>
        <w:t>; and</w:t>
      </w:r>
    </w:p>
    <w:p w14:paraId="0CA93C0D" w14:textId="6ED982EE" w:rsidR="00B35B70" w:rsidRPr="00352146" w:rsidRDefault="00D9475E" w:rsidP="00B35B70">
      <w:pPr>
        <w:pStyle w:val="ListParagraph"/>
        <w:numPr>
          <w:ilvl w:val="0"/>
          <w:numId w:val="52"/>
        </w:numPr>
        <w:rPr>
          <w:rFonts w:ascii="Arial" w:eastAsia="Times New Roman" w:hAnsi="Arial" w:cs="Arial"/>
          <w:lang w:eastAsia="en-GB"/>
        </w:rPr>
      </w:pPr>
      <w:r w:rsidRPr="00D9475E">
        <w:rPr>
          <w:rFonts w:ascii="Arial" w:hAnsi="Arial" w:cs="Arial"/>
        </w:rPr>
        <w:t>Any</w:t>
      </w:r>
      <w:r w:rsidR="00B35B70" w:rsidRPr="00D9475E">
        <w:rPr>
          <w:rFonts w:ascii="Arial" w:hAnsi="Arial" w:cs="Arial"/>
        </w:rPr>
        <w:t xml:space="preserve"> further supporting data and annexes detailing the method or providing supplementary results.</w:t>
      </w:r>
    </w:p>
    <w:p w14:paraId="23D9AAC5" w14:textId="31EC1388" w:rsidR="0033675F" w:rsidRPr="00C253CA" w:rsidRDefault="00B35B70" w:rsidP="00D828F3">
      <w:pPr>
        <w:pStyle w:val="BodyText"/>
        <w:rPr>
          <w:rFonts w:ascii="Arial" w:eastAsia="MS Mincho" w:hAnsi="Arial" w:cs="Arial"/>
          <w:sz w:val="22"/>
          <w:szCs w:val="22"/>
        </w:rPr>
      </w:pPr>
      <w:r w:rsidRPr="00F15B0C">
        <w:rPr>
          <w:rFonts w:ascii="Arial" w:hAnsi="Arial" w:cs="Arial"/>
          <w:sz w:val="22"/>
        </w:rPr>
        <w:t xml:space="preserve">The final report will be published on the ASC’s website during </w:t>
      </w:r>
      <w:r w:rsidR="002C2919" w:rsidRPr="00F15B0C">
        <w:rPr>
          <w:rFonts w:ascii="Arial" w:hAnsi="Arial" w:cs="Arial"/>
          <w:sz w:val="22"/>
        </w:rPr>
        <w:t>January 2020</w:t>
      </w:r>
      <w:r w:rsidRPr="00F15B0C">
        <w:rPr>
          <w:rFonts w:ascii="Arial" w:hAnsi="Arial" w:cs="Arial"/>
          <w:sz w:val="22"/>
        </w:rPr>
        <w:t>.</w:t>
      </w:r>
    </w:p>
    <w:p w14:paraId="15115440" w14:textId="77777777" w:rsidR="00DD521A" w:rsidRDefault="00DD521A" w:rsidP="00DD521A">
      <w:pPr>
        <w:pStyle w:val="Norma"/>
      </w:pPr>
    </w:p>
    <w:p w14:paraId="5EA87560" w14:textId="77777777" w:rsidR="00936F29" w:rsidRDefault="00F042F9" w:rsidP="007248E4">
      <w:pPr>
        <w:pStyle w:val="Heading1"/>
        <w:numPr>
          <w:ilvl w:val="0"/>
          <w:numId w:val="3"/>
        </w:numPr>
        <w:rPr>
          <w:rFonts w:ascii="Arial" w:hAnsi="Arial" w:cs="Arial"/>
          <w:sz w:val="24"/>
          <w:szCs w:val="24"/>
        </w:rPr>
      </w:pPr>
      <w:bookmarkStart w:id="24" w:name="_Toc381969511"/>
      <w:bookmarkStart w:id="25" w:name="_Toc405888460"/>
      <w:bookmarkStart w:id="26" w:name="_Toc520710312"/>
      <w:bookmarkStart w:id="27" w:name="_Ref373505205"/>
      <w:bookmarkStart w:id="28" w:name="_Ref357541720"/>
      <w:r>
        <w:rPr>
          <w:rFonts w:ascii="Arial" w:hAnsi="Arial" w:cs="Arial"/>
          <w:sz w:val="24"/>
          <w:szCs w:val="24"/>
        </w:rPr>
        <w:lastRenderedPageBreak/>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52B905BA" w:rsidR="004B2557" w:rsidRDefault="004B2557" w:rsidP="004B2557">
      <w:pPr>
        <w:pStyle w:val="Norma"/>
        <w:rPr>
          <w:rFonts w:cs="Arial"/>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103F98FF" w14:textId="77777777" w:rsidR="00352146" w:rsidRDefault="00352146" w:rsidP="004B2557">
      <w:pPr>
        <w:pStyle w:val="Norma"/>
        <w:rPr>
          <w:rFonts w:cs="Arial"/>
          <w:color w:val="000000" w:themeColor="text1"/>
        </w:rPr>
      </w:pPr>
    </w:p>
    <w:p w14:paraId="5EF1F97A" w14:textId="0647DDCC" w:rsidR="00D40AD3" w:rsidRPr="00D40AD3" w:rsidRDefault="00D40AD3" w:rsidP="00D40AD3">
      <w:pPr>
        <w:rPr>
          <w:rFonts w:ascii="Arial" w:hAnsi="Arial" w:cs="Arial"/>
          <w:sz w:val="22"/>
          <w:szCs w:val="22"/>
        </w:rPr>
      </w:pPr>
      <w:r w:rsidRPr="00D40AD3">
        <w:rPr>
          <w:rFonts w:ascii="Arial" w:hAnsi="Arial" w:cs="Arial"/>
          <w:sz w:val="22"/>
          <w:szCs w:val="22"/>
        </w:rPr>
        <w:t xml:space="preserve">All research publications arising from the contract must include a statement on how the supporting data and any other relevant research materials can be accessed. </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29" w:name="_Toc520710313"/>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43B43220"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analys</w:t>
      </w:r>
      <w:r>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520710314"/>
      <w:r w:rsidRPr="003D6551">
        <w:rPr>
          <w:rFonts w:ascii="Arial" w:hAnsi="Arial" w:cs="Arial"/>
          <w:sz w:val="24"/>
          <w:szCs w:val="24"/>
        </w:rPr>
        <w:t>Timetable</w:t>
      </w:r>
      <w:bookmarkEnd w:id="28"/>
      <w:bookmarkEnd w:id="30"/>
      <w:bookmarkEnd w:id="31"/>
      <w:bookmarkEnd w:id="32"/>
      <w:bookmarkEnd w:id="33"/>
    </w:p>
    <w:p w14:paraId="0F755DEB" w14:textId="77777777" w:rsidR="00DD521A" w:rsidRDefault="00DD521A" w:rsidP="00DD521A">
      <w:pPr>
        <w:pStyle w:val="Norma"/>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C253CA"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C253CA" w:rsidRDefault="004B2557" w:rsidP="00E90E9D">
            <w:pPr>
              <w:keepNext/>
              <w:keepLines/>
              <w:spacing w:after="120"/>
              <w:jc w:val="both"/>
              <w:rPr>
                <w:rFonts w:ascii="Arial" w:hAnsi="Arial" w:cs="Arial"/>
                <w:b/>
                <w:bCs/>
                <w:color w:val="FFFFFF"/>
                <w:sz w:val="22"/>
                <w:szCs w:val="22"/>
              </w:rPr>
            </w:pPr>
            <w:r w:rsidRPr="00C253CA">
              <w:rPr>
                <w:rFonts w:ascii="Arial" w:hAnsi="Arial" w:cs="Arial"/>
                <w:b/>
                <w:bCs/>
                <w:color w:val="FFFFFF"/>
                <w:sz w:val="22"/>
                <w:szCs w:val="22"/>
              </w:rPr>
              <w:lastRenderedPageBreak/>
              <w:t>Phase</w:t>
            </w:r>
          </w:p>
        </w:tc>
        <w:tc>
          <w:tcPr>
            <w:tcW w:w="4252" w:type="dxa"/>
            <w:tcBorders>
              <w:bottom w:val="single" w:sz="12" w:space="0" w:color="000000"/>
            </w:tcBorders>
            <w:shd w:val="solid" w:color="808080" w:fill="FFFFFF"/>
          </w:tcPr>
          <w:p w14:paraId="5591DA2B" w14:textId="77777777" w:rsidR="004B2557" w:rsidRPr="00C253CA" w:rsidRDefault="004B2557" w:rsidP="00E90E9D">
            <w:pPr>
              <w:keepNext/>
              <w:keepLines/>
              <w:spacing w:after="120"/>
              <w:jc w:val="both"/>
              <w:rPr>
                <w:rFonts w:ascii="Arial" w:hAnsi="Arial" w:cs="Arial"/>
                <w:b/>
                <w:bCs/>
                <w:color w:val="FFFFFF"/>
                <w:sz w:val="22"/>
                <w:szCs w:val="22"/>
              </w:rPr>
            </w:pPr>
            <w:r w:rsidRPr="00C253CA">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C253CA" w:rsidRDefault="004B2557" w:rsidP="00E90E9D">
            <w:pPr>
              <w:keepNext/>
              <w:keepLines/>
              <w:spacing w:after="120"/>
              <w:jc w:val="both"/>
              <w:rPr>
                <w:rFonts w:ascii="Arial" w:hAnsi="Arial" w:cs="Arial"/>
                <w:b/>
                <w:bCs/>
                <w:color w:val="FFFFFF"/>
                <w:sz w:val="22"/>
                <w:szCs w:val="22"/>
              </w:rPr>
            </w:pPr>
            <w:r w:rsidRPr="00C253CA">
              <w:rPr>
                <w:rFonts w:ascii="Arial" w:hAnsi="Arial" w:cs="Arial"/>
                <w:b/>
                <w:bCs/>
                <w:color w:val="FFFFFF"/>
                <w:sz w:val="22"/>
                <w:szCs w:val="22"/>
              </w:rPr>
              <w:t>Date</w:t>
            </w:r>
          </w:p>
        </w:tc>
      </w:tr>
      <w:tr w:rsidR="00DB1925" w:rsidRPr="00C253CA" w14:paraId="2BCB5789" w14:textId="77777777" w:rsidTr="00954CA3">
        <w:tc>
          <w:tcPr>
            <w:tcW w:w="1545" w:type="dxa"/>
            <w:shd w:val="clear" w:color="auto" w:fill="auto"/>
          </w:tcPr>
          <w:p w14:paraId="3BDE2B5A" w14:textId="77777777" w:rsidR="00DB1925" w:rsidRPr="00C253CA" w:rsidRDefault="00DB1925" w:rsidP="00DB1925">
            <w:pPr>
              <w:keepNext/>
              <w:keepLines/>
              <w:spacing w:after="120" w:line="276" w:lineRule="auto"/>
              <w:jc w:val="both"/>
              <w:rPr>
                <w:rFonts w:ascii="Arial" w:hAnsi="Arial" w:cs="Arial"/>
                <w:sz w:val="22"/>
                <w:szCs w:val="22"/>
              </w:rPr>
            </w:pPr>
            <w:r w:rsidRPr="00C253CA">
              <w:rPr>
                <w:rFonts w:ascii="Arial" w:hAnsi="Arial" w:cs="Arial"/>
                <w:sz w:val="22"/>
                <w:szCs w:val="22"/>
              </w:rPr>
              <w:t>Bidding</w:t>
            </w:r>
          </w:p>
        </w:tc>
        <w:tc>
          <w:tcPr>
            <w:tcW w:w="4252" w:type="dxa"/>
            <w:shd w:val="clear" w:color="auto" w:fill="auto"/>
          </w:tcPr>
          <w:p w14:paraId="5531F4C9" w14:textId="77777777" w:rsidR="00DB1925" w:rsidRPr="00C253CA" w:rsidRDefault="00DB1925" w:rsidP="00DB1925">
            <w:pPr>
              <w:keepNext/>
              <w:keepLines/>
              <w:spacing w:after="120" w:line="276" w:lineRule="auto"/>
              <w:jc w:val="both"/>
              <w:rPr>
                <w:rFonts w:ascii="Arial" w:hAnsi="Arial" w:cs="Arial"/>
                <w:sz w:val="22"/>
                <w:szCs w:val="22"/>
              </w:rPr>
            </w:pPr>
            <w:r w:rsidRPr="00C253CA">
              <w:rPr>
                <w:rFonts w:ascii="Arial" w:hAnsi="Arial" w:cs="Arial"/>
                <w:sz w:val="22"/>
                <w:szCs w:val="22"/>
              </w:rPr>
              <w:t>Bids received</w:t>
            </w:r>
          </w:p>
        </w:tc>
        <w:tc>
          <w:tcPr>
            <w:tcW w:w="2675" w:type="dxa"/>
            <w:shd w:val="clear" w:color="auto" w:fill="auto"/>
          </w:tcPr>
          <w:p w14:paraId="78889BBB" w14:textId="0A2FDB51" w:rsidR="00DB1925" w:rsidRPr="00C253CA" w:rsidRDefault="003A0E0C" w:rsidP="00DB1925">
            <w:pPr>
              <w:keepNext/>
              <w:keepLines/>
              <w:spacing w:after="120" w:line="276" w:lineRule="auto"/>
              <w:jc w:val="both"/>
              <w:rPr>
                <w:rFonts w:ascii="Arial" w:hAnsi="Arial" w:cs="Arial"/>
                <w:sz w:val="22"/>
                <w:szCs w:val="22"/>
              </w:rPr>
            </w:pPr>
            <w:r>
              <w:rPr>
                <w:rFonts w:ascii="Arial" w:hAnsi="Arial" w:cs="Arial"/>
                <w:sz w:val="22"/>
                <w:szCs w:val="22"/>
              </w:rPr>
              <w:t>24</w:t>
            </w:r>
            <w:r w:rsidR="000F0F27" w:rsidRPr="00C253CA">
              <w:rPr>
                <w:rFonts w:ascii="Arial" w:hAnsi="Arial" w:cs="Arial"/>
                <w:sz w:val="22"/>
                <w:szCs w:val="22"/>
                <w:vertAlign w:val="superscript"/>
              </w:rPr>
              <w:t>th</w:t>
            </w:r>
            <w:r>
              <w:rPr>
                <w:rFonts w:ascii="Arial" w:hAnsi="Arial" w:cs="Arial"/>
                <w:sz w:val="22"/>
                <w:szCs w:val="22"/>
              </w:rPr>
              <w:t xml:space="preserve"> September</w:t>
            </w:r>
            <w:r w:rsidR="000F0F27" w:rsidRPr="00C253CA">
              <w:rPr>
                <w:rFonts w:ascii="Arial" w:hAnsi="Arial" w:cs="Arial"/>
                <w:sz w:val="22"/>
                <w:szCs w:val="22"/>
              </w:rPr>
              <w:t xml:space="preserve"> 2018</w:t>
            </w:r>
          </w:p>
        </w:tc>
      </w:tr>
      <w:tr w:rsidR="00DB1925" w:rsidRPr="00C253CA" w14:paraId="05DD2149" w14:textId="77777777" w:rsidTr="00954CA3">
        <w:tc>
          <w:tcPr>
            <w:tcW w:w="1545" w:type="dxa"/>
            <w:shd w:val="clear" w:color="auto" w:fill="auto"/>
          </w:tcPr>
          <w:p w14:paraId="32E9ED53" w14:textId="77777777" w:rsidR="00DB1925" w:rsidRPr="00C253CA" w:rsidRDefault="00DB1925" w:rsidP="00DB1925">
            <w:pPr>
              <w:keepNext/>
              <w:keepLines/>
              <w:spacing w:after="120" w:line="276" w:lineRule="auto"/>
              <w:jc w:val="both"/>
              <w:rPr>
                <w:rFonts w:ascii="Arial" w:hAnsi="Arial" w:cs="Arial"/>
                <w:sz w:val="22"/>
                <w:szCs w:val="22"/>
              </w:rPr>
            </w:pPr>
          </w:p>
        </w:tc>
        <w:tc>
          <w:tcPr>
            <w:tcW w:w="4252" w:type="dxa"/>
            <w:shd w:val="clear" w:color="auto" w:fill="auto"/>
          </w:tcPr>
          <w:p w14:paraId="534258BA" w14:textId="1B185296" w:rsidR="00DB1925" w:rsidRPr="00C253CA" w:rsidRDefault="00DB1925" w:rsidP="00DB1925">
            <w:pPr>
              <w:keepNext/>
              <w:keepLines/>
              <w:spacing w:after="120" w:line="276" w:lineRule="auto"/>
              <w:jc w:val="both"/>
              <w:rPr>
                <w:rFonts w:ascii="Arial" w:hAnsi="Arial" w:cs="Arial"/>
                <w:sz w:val="22"/>
                <w:szCs w:val="22"/>
              </w:rPr>
            </w:pPr>
            <w:r w:rsidRPr="00C253CA">
              <w:rPr>
                <w:rFonts w:ascii="Arial" w:hAnsi="Arial" w:cs="Arial"/>
                <w:sz w:val="22"/>
                <w:szCs w:val="22"/>
              </w:rPr>
              <w:t>Interviews conducted</w:t>
            </w:r>
            <w:r w:rsidR="003A0E0C">
              <w:rPr>
                <w:rFonts w:ascii="Arial" w:hAnsi="Arial" w:cs="Arial"/>
                <w:sz w:val="22"/>
                <w:szCs w:val="22"/>
              </w:rPr>
              <w:t xml:space="preserve"> (if needed)</w:t>
            </w:r>
          </w:p>
        </w:tc>
        <w:tc>
          <w:tcPr>
            <w:tcW w:w="2675" w:type="dxa"/>
            <w:shd w:val="clear" w:color="auto" w:fill="auto"/>
          </w:tcPr>
          <w:p w14:paraId="3352ADAA" w14:textId="0EBB21E6" w:rsidR="00DB1925" w:rsidRPr="00C253CA" w:rsidRDefault="00D40AD3" w:rsidP="00DB1925">
            <w:pPr>
              <w:keepNext/>
              <w:keepLines/>
              <w:spacing w:after="120" w:line="276" w:lineRule="auto"/>
              <w:jc w:val="both"/>
              <w:rPr>
                <w:rFonts w:ascii="Arial" w:hAnsi="Arial" w:cs="Arial"/>
                <w:sz w:val="22"/>
                <w:szCs w:val="22"/>
              </w:rPr>
            </w:pPr>
            <w:r>
              <w:rPr>
                <w:rFonts w:ascii="Arial" w:hAnsi="Arial" w:cs="Arial"/>
                <w:sz w:val="22"/>
                <w:szCs w:val="22"/>
              </w:rPr>
              <w:t>w/c 8</w:t>
            </w:r>
            <w:r w:rsidRPr="00D40AD3">
              <w:rPr>
                <w:rFonts w:ascii="Arial" w:hAnsi="Arial" w:cs="Arial"/>
                <w:sz w:val="22"/>
                <w:szCs w:val="22"/>
                <w:vertAlign w:val="superscript"/>
              </w:rPr>
              <w:t>th</w:t>
            </w:r>
            <w:r>
              <w:rPr>
                <w:rFonts w:ascii="Arial" w:hAnsi="Arial" w:cs="Arial"/>
                <w:sz w:val="22"/>
                <w:szCs w:val="22"/>
              </w:rPr>
              <w:t xml:space="preserve"> </w:t>
            </w:r>
            <w:r w:rsidR="003A0E0C">
              <w:rPr>
                <w:rFonts w:ascii="Arial" w:hAnsi="Arial" w:cs="Arial"/>
                <w:sz w:val="22"/>
                <w:szCs w:val="22"/>
              </w:rPr>
              <w:t xml:space="preserve">October </w:t>
            </w:r>
            <w:r w:rsidR="00DB1925" w:rsidRPr="00C253CA">
              <w:rPr>
                <w:rFonts w:ascii="Arial" w:hAnsi="Arial" w:cs="Arial"/>
                <w:sz w:val="22"/>
                <w:szCs w:val="22"/>
              </w:rPr>
              <w:t>2018</w:t>
            </w:r>
          </w:p>
        </w:tc>
      </w:tr>
      <w:tr w:rsidR="00DB1925" w:rsidRPr="00C253CA" w14:paraId="35983DF7" w14:textId="77777777" w:rsidTr="00954CA3">
        <w:tc>
          <w:tcPr>
            <w:tcW w:w="1545" w:type="dxa"/>
            <w:shd w:val="clear" w:color="auto" w:fill="auto"/>
          </w:tcPr>
          <w:p w14:paraId="0F52AEC9" w14:textId="77777777" w:rsidR="00DB1925" w:rsidRPr="00C253CA" w:rsidRDefault="00DB1925" w:rsidP="00DB1925">
            <w:pPr>
              <w:keepNext/>
              <w:keepLines/>
              <w:spacing w:after="120" w:line="276" w:lineRule="auto"/>
              <w:jc w:val="both"/>
              <w:rPr>
                <w:rFonts w:ascii="Arial" w:hAnsi="Arial" w:cs="Arial"/>
                <w:sz w:val="22"/>
                <w:szCs w:val="22"/>
              </w:rPr>
            </w:pPr>
          </w:p>
        </w:tc>
        <w:tc>
          <w:tcPr>
            <w:tcW w:w="4252" w:type="dxa"/>
            <w:shd w:val="clear" w:color="auto" w:fill="auto"/>
          </w:tcPr>
          <w:p w14:paraId="72081083" w14:textId="77777777" w:rsidR="00DB1925" w:rsidRPr="00C253CA" w:rsidRDefault="00DB1925" w:rsidP="00DB1925">
            <w:pPr>
              <w:keepNext/>
              <w:keepLines/>
              <w:spacing w:after="120" w:line="276" w:lineRule="auto"/>
              <w:jc w:val="both"/>
              <w:rPr>
                <w:rFonts w:ascii="Arial" w:hAnsi="Arial" w:cs="Arial"/>
                <w:sz w:val="22"/>
                <w:szCs w:val="22"/>
              </w:rPr>
            </w:pPr>
            <w:r w:rsidRPr="00C253CA">
              <w:rPr>
                <w:rFonts w:ascii="Arial" w:hAnsi="Arial" w:cs="Arial"/>
                <w:sz w:val="22"/>
                <w:szCs w:val="22"/>
              </w:rPr>
              <w:t>Contract awarded</w:t>
            </w:r>
          </w:p>
        </w:tc>
        <w:tc>
          <w:tcPr>
            <w:tcW w:w="2675" w:type="dxa"/>
            <w:shd w:val="clear" w:color="auto" w:fill="auto"/>
          </w:tcPr>
          <w:p w14:paraId="3A6E53F9" w14:textId="51DCB816" w:rsidR="00DB1925" w:rsidRPr="00C253CA" w:rsidRDefault="00D40AD3" w:rsidP="00DB1925">
            <w:pPr>
              <w:keepNext/>
              <w:keepLines/>
              <w:spacing w:after="120" w:line="276" w:lineRule="auto"/>
              <w:jc w:val="both"/>
              <w:rPr>
                <w:rFonts w:ascii="Arial" w:hAnsi="Arial" w:cs="Arial"/>
                <w:sz w:val="22"/>
                <w:szCs w:val="22"/>
              </w:rPr>
            </w:pPr>
            <w:r>
              <w:rPr>
                <w:rFonts w:ascii="Arial" w:hAnsi="Arial" w:cs="Arial"/>
                <w:sz w:val="22"/>
                <w:szCs w:val="22"/>
              </w:rPr>
              <w:t>12</w:t>
            </w:r>
            <w:r w:rsidR="003A0E0C" w:rsidRPr="003A0E0C">
              <w:rPr>
                <w:rFonts w:ascii="Arial" w:hAnsi="Arial" w:cs="Arial"/>
                <w:sz w:val="22"/>
                <w:szCs w:val="22"/>
                <w:vertAlign w:val="superscript"/>
              </w:rPr>
              <w:t>th</w:t>
            </w:r>
            <w:r w:rsidR="003A0E0C">
              <w:rPr>
                <w:rFonts w:ascii="Arial" w:hAnsi="Arial" w:cs="Arial"/>
                <w:sz w:val="22"/>
                <w:szCs w:val="22"/>
              </w:rPr>
              <w:t xml:space="preserve"> October</w:t>
            </w:r>
            <w:r w:rsidR="00DB1925" w:rsidRPr="00C253CA">
              <w:rPr>
                <w:rFonts w:ascii="Arial" w:hAnsi="Arial" w:cs="Arial"/>
                <w:sz w:val="22"/>
                <w:szCs w:val="22"/>
              </w:rPr>
              <w:t xml:space="preserve"> 2018</w:t>
            </w:r>
          </w:p>
        </w:tc>
      </w:tr>
      <w:tr w:rsidR="006E4EE8" w:rsidRPr="00C253CA" w14:paraId="61AFDE57" w14:textId="77777777" w:rsidTr="00954CA3">
        <w:trPr>
          <w:trHeight w:val="406"/>
        </w:trPr>
        <w:tc>
          <w:tcPr>
            <w:tcW w:w="1545" w:type="dxa"/>
            <w:shd w:val="clear" w:color="auto" w:fill="auto"/>
          </w:tcPr>
          <w:p w14:paraId="499ADE2E" w14:textId="77777777" w:rsidR="006E4EE8" w:rsidRPr="00C253CA" w:rsidRDefault="006E4EE8" w:rsidP="00DB192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54A7688" w14:textId="32F18B05" w:rsidR="006E4EE8" w:rsidRPr="00C253CA" w:rsidRDefault="006E4EE8" w:rsidP="00DB1925">
            <w:pPr>
              <w:keepNext/>
              <w:keepLines/>
              <w:spacing w:after="120" w:line="276" w:lineRule="auto"/>
              <w:jc w:val="both"/>
              <w:rPr>
                <w:rFonts w:ascii="Arial" w:hAnsi="Arial" w:cs="Arial"/>
                <w:sz w:val="22"/>
                <w:szCs w:val="22"/>
              </w:rPr>
            </w:pPr>
            <w:r w:rsidRPr="00C253CA">
              <w:rPr>
                <w:rFonts w:ascii="Arial" w:hAnsi="Arial" w:cs="Arial"/>
                <w:sz w:val="22"/>
                <w:szCs w:val="22"/>
              </w:rPr>
              <w:t>Kick-off meeting with ASC</w:t>
            </w:r>
          </w:p>
        </w:tc>
        <w:tc>
          <w:tcPr>
            <w:tcW w:w="2675" w:type="dxa"/>
            <w:tcBorders>
              <w:bottom w:val="single" w:sz="4" w:space="0" w:color="auto"/>
            </w:tcBorders>
            <w:shd w:val="clear" w:color="auto" w:fill="auto"/>
          </w:tcPr>
          <w:p w14:paraId="24B227DC" w14:textId="5AD461B5" w:rsidR="006E4EE8" w:rsidRPr="00C253CA" w:rsidRDefault="00D40AD3" w:rsidP="006E4EE8">
            <w:pPr>
              <w:keepNext/>
              <w:keepLines/>
              <w:spacing w:after="120" w:line="276" w:lineRule="auto"/>
              <w:jc w:val="both"/>
              <w:rPr>
                <w:rFonts w:ascii="Arial" w:hAnsi="Arial" w:cs="Arial"/>
                <w:sz w:val="22"/>
                <w:szCs w:val="22"/>
              </w:rPr>
            </w:pPr>
            <w:r>
              <w:rPr>
                <w:rFonts w:ascii="Arial" w:hAnsi="Arial" w:cs="Arial"/>
                <w:sz w:val="22"/>
                <w:szCs w:val="22"/>
              </w:rPr>
              <w:t>w/c 15</w:t>
            </w:r>
            <w:r w:rsidR="003A0E0C" w:rsidRPr="003A0E0C">
              <w:rPr>
                <w:rFonts w:ascii="Arial" w:hAnsi="Arial" w:cs="Arial"/>
                <w:sz w:val="22"/>
                <w:szCs w:val="22"/>
                <w:vertAlign w:val="superscript"/>
              </w:rPr>
              <w:t>th</w:t>
            </w:r>
            <w:r w:rsidR="003A0E0C">
              <w:rPr>
                <w:rFonts w:ascii="Arial" w:hAnsi="Arial" w:cs="Arial"/>
                <w:sz w:val="22"/>
                <w:szCs w:val="22"/>
              </w:rPr>
              <w:t xml:space="preserve"> October</w:t>
            </w:r>
          </w:p>
        </w:tc>
      </w:tr>
      <w:tr w:rsidR="00AA2A51" w:rsidRPr="00C253CA" w14:paraId="6BCB348B" w14:textId="77777777" w:rsidTr="00954CA3">
        <w:trPr>
          <w:trHeight w:val="406"/>
        </w:trPr>
        <w:tc>
          <w:tcPr>
            <w:tcW w:w="1545" w:type="dxa"/>
            <w:shd w:val="clear" w:color="auto" w:fill="auto"/>
          </w:tcPr>
          <w:p w14:paraId="2C8E03A6" w14:textId="77777777" w:rsidR="00AA2A51" w:rsidRPr="00C253CA" w:rsidRDefault="00AA2A51" w:rsidP="00AA2A51">
            <w:pPr>
              <w:keepNext/>
              <w:keepLines/>
              <w:spacing w:after="120" w:line="276" w:lineRule="auto"/>
              <w:rPr>
                <w:rFonts w:ascii="Arial" w:hAnsi="Arial" w:cs="Arial"/>
                <w:sz w:val="22"/>
                <w:szCs w:val="22"/>
              </w:rPr>
            </w:pPr>
            <w:r w:rsidRPr="00C253CA">
              <w:rPr>
                <w:rFonts w:ascii="Arial" w:hAnsi="Arial" w:cs="Arial"/>
                <w:sz w:val="22"/>
                <w:szCs w:val="22"/>
              </w:rPr>
              <w:t>Project development</w:t>
            </w:r>
          </w:p>
        </w:tc>
        <w:tc>
          <w:tcPr>
            <w:tcW w:w="4252" w:type="dxa"/>
            <w:tcBorders>
              <w:bottom w:val="single" w:sz="4" w:space="0" w:color="auto"/>
            </w:tcBorders>
            <w:shd w:val="clear" w:color="auto" w:fill="auto"/>
          </w:tcPr>
          <w:p w14:paraId="5F2EC5C1" w14:textId="31FBC21C" w:rsidR="00AA2A51" w:rsidRPr="00C253CA" w:rsidRDefault="00AA2A51" w:rsidP="00AA2A51">
            <w:pPr>
              <w:keepNext/>
              <w:keepLines/>
              <w:spacing w:after="120" w:line="276" w:lineRule="auto"/>
              <w:jc w:val="both"/>
              <w:rPr>
                <w:rFonts w:ascii="Arial" w:hAnsi="Arial" w:cs="Arial"/>
                <w:sz w:val="22"/>
                <w:szCs w:val="22"/>
              </w:rPr>
            </w:pPr>
            <w:r w:rsidRPr="00C253CA">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20655DC6" w14:textId="28B48A6C" w:rsidR="00AA2A51" w:rsidRPr="00C253CA" w:rsidRDefault="00D40AD3" w:rsidP="00AA2A51">
            <w:pPr>
              <w:keepNext/>
              <w:keepLines/>
              <w:spacing w:after="120" w:line="276" w:lineRule="auto"/>
              <w:jc w:val="both"/>
              <w:rPr>
                <w:rFonts w:ascii="Arial" w:hAnsi="Arial" w:cs="Arial"/>
                <w:sz w:val="22"/>
                <w:szCs w:val="22"/>
              </w:rPr>
            </w:pPr>
            <w:r>
              <w:rPr>
                <w:rFonts w:ascii="Arial" w:hAnsi="Arial" w:cs="Arial"/>
                <w:sz w:val="22"/>
                <w:szCs w:val="22"/>
              </w:rPr>
              <w:t>w/c 29</w:t>
            </w:r>
            <w:r w:rsidRPr="00D40AD3">
              <w:rPr>
                <w:rFonts w:ascii="Arial" w:hAnsi="Arial" w:cs="Arial"/>
                <w:sz w:val="22"/>
                <w:szCs w:val="22"/>
                <w:vertAlign w:val="superscript"/>
              </w:rPr>
              <w:t>th</w:t>
            </w:r>
            <w:r>
              <w:rPr>
                <w:rFonts w:ascii="Arial" w:hAnsi="Arial" w:cs="Arial"/>
                <w:sz w:val="22"/>
                <w:szCs w:val="22"/>
              </w:rPr>
              <w:t xml:space="preserve"> </w:t>
            </w:r>
            <w:r w:rsidR="003A0E0C">
              <w:rPr>
                <w:rFonts w:ascii="Arial" w:hAnsi="Arial" w:cs="Arial"/>
                <w:sz w:val="22"/>
                <w:szCs w:val="22"/>
              </w:rPr>
              <w:t>October</w:t>
            </w:r>
            <w:r w:rsidR="00AA2A51" w:rsidRPr="00A32214">
              <w:rPr>
                <w:rFonts w:ascii="Arial" w:hAnsi="Arial" w:cs="Arial"/>
                <w:sz w:val="22"/>
                <w:szCs w:val="22"/>
              </w:rPr>
              <w:t xml:space="preserve"> 2018</w:t>
            </w:r>
          </w:p>
        </w:tc>
      </w:tr>
      <w:tr w:rsidR="00AA2A51" w:rsidRPr="00C253CA" w14:paraId="24CD74D3" w14:textId="77777777" w:rsidTr="00954CA3">
        <w:trPr>
          <w:trHeight w:val="406"/>
        </w:trPr>
        <w:tc>
          <w:tcPr>
            <w:tcW w:w="1545" w:type="dxa"/>
            <w:shd w:val="clear" w:color="auto" w:fill="auto"/>
          </w:tcPr>
          <w:p w14:paraId="2172B86A" w14:textId="77777777" w:rsidR="00AA2A51" w:rsidRPr="00C253CA" w:rsidRDefault="00AA2A51" w:rsidP="00AA2A51">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49198489" w14:textId="2A9BD47F" w:rsidR="00AA2A51" w:rsidRPr="00C253CA" w:rsidRDefault="00AA2A51" w:rsidP="00AA2A51">
            <w:pPr>
              <w:keepNext/>
              <w:keepLines/>
              <w:spacing w:after="120" w:line="276" w:lineRule="auto"/>
              <w:jc w:val="both"/>
              <w:rPr>
                <w:rFonts w:ascii="Arial" w:hAnsi="Arial" w:cs="Arial"/>
                <w:sz w:val="22"/>
                <w:szCs w:val="22"/>
              </w:rPr>
            </w:pPr>
            <w:r w:rsidRPr="00C253CA">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72FE674A" w14:textId="663B0975" w:rsidR="00AA2A51" w:rsidRPr="00C253CA" w:rsidRDefault="003A0E0C" w:rsidP="00AA2A51">
            <w:pPr>
              <w:keepNext/>
              <w:keepLines/>
              <w:spacing w:after="120" w:line="276" w:lineRule="auto"/>
              <w:jc w:val="both"/>
              <w:rPr>
                <w:rFonts w:ascii="Arial" w:hAnsi="Arial" w:cs="Arial"/>
                <w:sz w:val="22"/>
                <w:szCs w:val="22"/>
              </w:rPr>
            </w:pPr>
            <w:r>
              <w:rPr>
                <w:rFonts w:ascii="Arial" w:hAnsi="Arial" w:cs="Arial"/>
                <w:sz w:val="22"/>
                <w:szCs w:val="22"/>
              </w:rPr>
              <w:t>w/c 12</w:t>
            </w:r>
            <w:r w:rsidRPr="003A0E0C">
              <w:rPr>
                <w:rFonts w:ascii="Arial" w:hAnsi="Arial" w:cs="Arial"/>
                <w:sz w:val="22"/>
                <w:szCs w:val="22"/>
                <w:vertAlign w:val="superscript"/>
              </w:rPr>
              <w:t>th</w:t>
            </w:r>
            <w:r>
              <w:rPr>
                <w:rFonts w:ascii="Arial" w:hAnsi="Arial" w:cs="Arial"/>
                <w:sz w:val="22"/>
                <w:szCs w:val="22"/>
              </w:rPr>
              <w:t xml:space="preserve"> November </w:t>
            </w:r>
            <w:r w:rsidR="00AA2A51" w:rsidRPr="003827F9">
              <w:rPr>
                <w:rFonts w:ascii="Arial" w:hAnsi="Arial" w:cs="Arial"/>
                <w:sz w:val="22"/>
                <w:szCs w:val="22"/>
              </w:rPr>
              <w:t>2018</w:t>
            </w:r>
          </w:p>
        </w:tc>
      </w:tr>
      <w:tr w:rsidR="00AA2A51" w:rsidRPr="00C253CA" w14:paraId="217E9057" w14:textId="77777777" w:rsidTr="00954CA3">
        <w:trPr>
          <w:trHeight w:val="406"/>
        </w:trPr>
        <w:tc>
          <w:tcPr>
            <w:tcW w:w="1545" w:type="dxa"/>
            <w:shd w:val="clear" w:color="auto" w:fill="auto"/>
          </w:tcPr>
          <w:p w14:paraId="7ECED207" w14:textId="77777777" w:rsidR="00AA2A51" w:rsidRPr="00C253CA" w:rsidRDefault="00AA2A51" w:rsidP="00AA2A51">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1EB9BBC2" w:rsidR="00AA2A51" w:rsidRPr="00C253CA" w:rsidRDefault="00AA2A51" w:rsidP="00AA2A51">
            <w:pPr>
              <w:keepNext/>
              <w:keepLines/>
              <w:spacing w:after="120" w:line="276" w:lineRule="auto"/>
              <w:jc w:val="both"/>
              <w:rPr>
                <w:rFonts w:ascii="Arial" w:hAnsi="Arial" w:cs="Arial"/>
                <w:sz w:val="22"/>
                <w:szCs w:val="22"/>
              </w:rPr>
            </w:pPr>
            <w:r w:rsidRPr="00C253CA">
              <w:rPr>
                <w:rFonts w:ascii="Arial" w:hAnsi="Arial" w:cs="Arial"/>
                <w:sz w:val="22"/>
                <w:szCs w:val="22"/>
              </w:rPr>
              <w:t>Analysis undertaken</w:t>
            </w:r>
          </w:p>
        </w:tc>
        <w:tc>
          <w:tcPr>
            <w:tcW w:w="2675" w:type="dxa"/>
            <w:tcBorders>
              <w:bottom w:val="single" w:sz="4" w:space="0" w:color="auto"/>
            </w:tcBorders>
            <w:shd w:val="clear" w:color="auto" w:fill="auto"/>
          </w:tcPr>
          <w:p w14:paraId="75A3A1AE" w14:textId="65FA0136" w:rsidR="00AA2A51" w:rsidRPr="00C253CA" w:rsidRDefault="00AA2A51" w:rsidP="00AA2A51">
            <w:pPr>
              <w:keepNext/>
              <w:keepLines/>
              <w:spacing w:after="120" w:line="276" w:lineRule="auto"/>
              <w:jc w:val="both"/>
              <w:rPr>
                <w:rFonts w:ascii="Arial" w:hAnsi="Arial" w:cs="Arial"/>
                <w:sz w:val="22"/>
                <w:szCs w:val="22"/>
              </w:rPr>
            </w:pPr>
            <w:r w:rsidRPr="00AA2A51">
              <w:rPr>
                <w:rFonts w:ascii="Arial" w:hAnsi="Arial" w:cs="Arial"/>
                <w:sz w:val="22"/>
                <w:szCs w:val="22"/>
              </w:rPr>
              <w:t xml:space="preserve">November 2018 to </w:t>
            </w:r>
            <w:r w:rsidR="003A0E0C">
              <w:rPr>
                <w:rFonts w:ascii="Arial" w:hAnsi="Arial" w:cs="Arial"/>
                <w:sz w:val="22"/>
                <w:szCs w:val="22"/>
              </w:rPr>
              <w:t>September</w:t>
            </w:r>
            <w:r w:rsidRPr="00A32214">
              <w:rPr>
                <w:rFonts w:ascii="Arial" w:hAnsi="Arial" w:cs="Arial"/>
                <w:sz w:val="22"/>
                <w:szCs w:val="22"/>
              </w:rPr>
              <w:t xml:space="preserve"> 2019</w:t>
            </w:r>
          </w:p>
        </w:tc>
      </w:tr>
      <w:tr w:rsidR="00AA2A51" w:rsidRPr="00C253CA" w14:paraId="08D9779D" w14:textId="77777777" w:rsidTr="00954CA3">
        <w:tc>
          <w:tcPr>
            <w:tcW w:w="1545" w:type="dxa"/>
            <w:shd w:val="clear" w:color="auto" w:fill="auto"/>
          </w:tcPr>
          <w:p w14:paraId="7A89C28D" w14:textId="77777777" w:rsidR="00AA2A51" w:rsidRPr="00C253CA" w:rsidRDefault="00AA2A51" w:rsidP="00AA2A51">
            <w:pPr>
              <w:keepNext/>
              <w:keepLines/>
              <w:spacing w:after="120" w:line="276" w:lineRule="auto"/>
              <w:jc w:val="both"/>
              <w:rPr>
                <w:rFonts w:ascii="Arial" w:hAnsi="Arial" w:cs="Arial"/>
                <w:sz w:val="22"/>
                <w:szCs w:val="22"/>
              </w:rPr>
            </w:pPr>
            <w:r w:rsidRPr="00C253CA">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775E030C" w:rsidR="00AA2A51" w:rsidRPr="00C253CA" w:rsidRDefault="00AA2A51" w:rsidP="00D40AD3">
            <w:pPr>
              <w:keepNext/>
              <w:keepLines/>
              <w:spacing w:after="120" w:line="276" w:lineRule="auto"/>
              <w:rPr>
                <w:rFonts w:ascii="Arial" w:hAnsi="Arial" w:cs="Arial"/>
                <w:sz w:val="22"/>
                <w:szCs w:val="22"/>
              </w:rPr>
            </w:pPr>
            <w:r w:rsidRPr="00C253CA">
              <w:rPr>
                <w:rFonts w:ascii="Arial" w:hAnsi="Arial" w:cs="Arial"/>
                <w:sz w:val="22"/>
              </w:rPr>
              <w:t>Initial draft report for comments by ASC</w:t>
            </w:r>
            <w:r w:rsidR="003A0E0C">
              <w:rPr>
                <w:rFonts w:ascii="Arial" w:hAnsi="Arial" w:cs="Arial"/>
                <w:sz w:val="22"/>
              </w:rPr>
              <w:t xml:space="preserve"> </w:t>
            </w:r>
          </w:p>
        </w:tc>
        <w:tc>
          <w:tcPr>
            <w:tcW w:w="2675" w:type="dxa"/>
            <w:tcBorders>
              <w:top w:val="single" w:sz="4" w:space="0" w:color="auto"/>
              <w:bottom w:val="single" w:sz="4" w:space="0" w:color="auto"/>
            </w:tcBorders>
            <w:shd w:val="clear" w:color="auto" w:fill="auto"/>
          </w:tcPr>
          <w:p w14:paraId="30E629AC" w14:textId="1F674FAF" w:rsidR="00AA2A51" w:rsidRPr="00C253CA" w:rsidRDefault="003A0E0C" w:rsidP="00AA2A51">
            <w:pPr>
              <w:keepNext/>
              <w:keepLines/>
              <w:spacing w:after="120"/>
              <w:rPr>
                <w:rFonts w:ascii="Arial" w:hAnsi="Arial" w:cs="Arial"/>
                <w:sz w:val="22"/>
                <w:szCs w:val="22"/>
              </w:rPr>
            </w:pPr>
            <w:r>
              <w:rPr>
                <w:rFonts w:ascii="Arial" w:hAnsi="Arial" w:cs="Arial"/>
                <w:sz w:val="22"/>
                <w:szCs w:val="22"/>
              </w:rPr>
              <w:t>w/c 9</w:t>
            </w:r>
            <w:r w:rsidRPr="003A0E0C">
              <w:rPr>
                <w:rFonts w:ascii="Arial" w:hAnsi="Arial" w:cs="Arial"/>
                <w:sz w:val="22"/>
                <w:szCs w:val="22"/>
                <w:vertAlign w:val="superscript"/>
              </w:rPr>
              <w:t>th</w:t>
            </w:r>
            <w:r>
              <w:rPr>
                <w:rFonts w:ascii="Arial" w:hAnsi="Arial" w:cs="Arial"/>
                <w:sz w:val="22"/>
                <w:szCs w:val="22"/>
              </w:rPr>
              <w:t xml:space="preserve"> September</w:t>
            </w:r>
            <w:r w:rsidR="00AA2A51" w:rsidRPr="00A32214">
              <w:rPr>
                <w:rFonts w:ascii="Arial" w:hAnsi="Arial" w:cs="Arial"/>
                <w:sz w:val="22"/>
                <w:szCs w:val="22"/>
              </w:rPr>
              <w:t xml:space="preserve"> 2019</w:t>
            </w:r>
          </w:p>
        </w:tc>
      </w:tr>
      <w:tr w:rsidR="00AA2A51" w:rsidRPr="00C253CA" w14:paraId="12130159" w14:textId="77777777" w:rsidTr="00954CA3">
        <w:tc>
          <w:tcPr>
            <w:tcW w:w="1545" w:type="dxa"/>
            <w:shd w:val="clear" w:color="auto" w:fill="auto"/>
          </w:tcPr>
          <w:p w14:paraId="32DB5F0C" w14:textId="77777777" w:rsidR="00AA2A51" w:rsidRPr="00C253CA" w:rsidRDefault="00AA2A51" w:rsidP="00AA2A51">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4DA15B8" w14:textId="6D64EBC4" w:rsidR="00AA2A51" w:rsidRPr="00C253CA" w:rsidRDefault="00AA2A51" w:rsidP="00AA2A51">
            <w:pPr>
              <w:keepNext/>
              <w:keepLines/>
              <w:spacing w:after="120" w:line="276" w:lineRule="auto"/>
              <w:rPr>
                <w:rFonts w:ascii="Arial" w:hAnsi="Arial" w:cs="Arial"/>
                <w:sz w:val="22"/>
                <w:szCs w:val="22"/>
              </w:rPr>
            </w:pPr>
            <w:r w:rsidRPr="00C253CA">
              <w:rPr>
                <w:rFonts w:ascii="Arial" w:hAnsi="Arial" w:cs="Arial"/>
                <w:sz w:val="22"/>
              </w:rPr>
              <w:t xml:space="preserve">Draft report submitted for review by </w:t>
            </w:r>
            <w:r w:rsidR="003A0E0C">
              <w:rPr>
                <w:rFonts w:ascii="Arial" w:hAnsi="Arial" w:cs="Arial"/>
                <w:sz w:val="22"/>
              </w:rPr>
              <w:t>ASC, authors, steering</w:t>
            </w:r>
            <w:r w:rsidRPr="00C253CA">
              <w:rPr>
                <w:rFonts w:ascii="Arial" w:hAnsi="Arial" w:cs="Arial"/>
                <w:sz w:val="22"/>
              </w:rPr>
              <w:t xml:space="preserve"> group and academic peer review</w:t>
            </w:r>
          </w:p>
        </w:tc>
        <w:tc>
          <w:tcPr>
            <w:tcW w:w="2675" w:type="dxa"/>
            <w:tcBorders>
              <w:top w:val="single" w:sz="4" w:space="0" w:color="auto"/>
              <w:bottom w:val="single" w:sz="4" w:space="0" w:color="auto"/>
            </w:tcBorders>
            <w:shd w:val="clear" w:color="auto" w:fill="auto"/>
          </w:tcPr>
          <w:p w14:paraId="5D7FFCD3" w14:textId="312F1C50" w:rsidR="00AA2A51" w:rsidRPr="00AA2A51" w:rsidRDefault="003A0E0C" w:rsidP="00AA2A51">
            <w:pPr>
              <w:keepNext/>
              <w:keepLines/>
              <w:spacing w:after="120"/>
              <w:rPr>
                <w:rFonts w:ascii="Arial" w:hAnsi="Arial" w:cs="Arial"/>
                <w:sz w:val="22"/>
                <w:szCs w:val="22"/>
              </w:rPr>
            </w:pPr>
            <w:r>
              <w:rPr>
                <w:rFonts w:ascii="Arial" w:hAnsi="Arial" w:cs="Arial"/>
                <w:sz w:val="22"/>
                <w:szCs w:val="22"/>
              </w:rPr>
              <w:t>w/c 23</w:t>
            </w:r>
            <w:r w:rsidRPr="003A0E0C">
              <w:rPr>
                <w:rFonts w:ascii="Arial" w:hAnsi="Arial" w:cs="Arial"/>
                <w:sz w:val="22"/>
                <w:szCs w:val="22"/>
                <w:vertAlign w:val="superscript"/>
              </w:rPr>
              <w:t>rd</w:t>
            </w:r>
            <w:r>
              <w:rPr>
                <w:rFonts w:ascii="Arial" w:hAnsi="Arial" w:cs="Arial"/>
                <w:sz w:val="22"/>
                <w:szCs w:val="22"/>
              </w:rPr>
              <w:t xml:space="preserve"> </w:t>
            </w:r>
            <w:r w:rsidR="00AA2A51" w:rsidRPr="00A32214">
              <w:rPr>
                <w:rFonts w:ascii="Arial" w:hAnsi="Arial" w:cs="Arial"/>
                <w:sz w:val="22"/>
                <w:szCs w:val="22"/>
              </w:rPr>
              <w:t>September 2019</w:t>
            </w:r>
          </w:p>
        </w:tc>
      </w:tr>
      <w:tr w:rsidR="00AA2A51" w:rsidRPr="00C253CA" w14:paraId="200E8A37" w14:textId="77777777" w:rsidTr="00954CA3">
        <w:tc>
          <w:tcPr>
            <w:tcW w:w="1545" w:type="dxa"/>
            <w:shd w:val="clear" w:color="auto" w:fill="auto"/>
          </w:tcPr>
          <w:p w14:paraId="369C6BFB" w14:textId="77777777" w:rsidR="00AA2A51" w:rsidRPr="00C253CA" w:rsidRDefault="00AA2A51" w:rsidP="00AA2A51">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9E75DD1" w14:textId="6CA7E954" w:rsidR="00AA2A51" w:rsidRPr="00C253CA" w:rsidRDefault="00AA2A51" w:rsidP="00D40AD3">
            <w:pPr>
              <w:keepNext/>
              <w:keepLines/>
              <w:spacing w:after="120" w:line="276" w:lineRule="auto"/>
              <w:rPr>
                <w:rFonts w:ascii="Arial" w:hAnsi="Arial" w:cs="Arial"/>
                <w:sz w:val="22"/>
                <w:szCs w:val="22"/>
              </w:rPr>
            </w:pPr>
            <w:r w:rsidRPr="00C253CA">
              <w:rPr>
                <w:rFonts w:ascii="Arial" w:hAnsi="Arial" w:cs="Arial"/>
                <w:sz w:val="22"/>
              </w:rPr>
              <w:t>Final draft report submitted for review by ASC following peer review</w:t>
            </w:r>
          </w:p>
        </w:tc>
        <w:tc>
          <w:tcPr>
            <w:tcW w:w="2675" w:type="dxa"/>
            <w:tcBorders>
              <w:top w:val="single" w:sz="4" w:space="0" w:color="auto"/>
              <w:bottom w:val="single" w:sz="4" w:space="0" w:color="auto"/>
            </w:tcBorders>
            <w:shd w:val="clear" w:color="auto" w:fill="auto"/>
          </w:tcPr>
          <w:p w14:paraId="2C06E867" w14:textId="363A77C8" w:rsidR="00AA2A51" w:rsidRPr="00AA2A51" w:rsidRDefault="003A0E0C" w:rsidP="00AA2A51">
            <w:pPr>
              <w:keepNext/>
              <w:keepLines/>
              <w:spacing w:after="120"/>
              <w:rPr>
                <w:rFonts w:ascii="Arial" w:hAnsi="Arial" w:cs="Arial"/>
                <w:sz w:val="22"/>
                <w:szCs w:val="22"/>
              </w:rPr>
            </w:pPr>
            <w:r>
              <w:rPr>
                <w:rFonts w:ascii="Arial" w:hAnsi="Arial" w:cs="Arial"/>
                <w:sz w:val="22"/>
                <w:szCs w:val="22"/>
              </w:rPr>
              <w:t>16</w:t>
            </w:r>
            <w:r w:rsidR="00AA2A51" w:rsidRPr="00AA2A51">
              <w:rPr>
                <w:rFonts w:ascii="Arial" w:hAnsi="Arial" w:cs="Arial"/>
                <w:sz w:val="22"/>
                <w:szCs w:val="22"/>
                <w:vertAlign w:val="superscript"/>
              </w:rPr>
              <w:t>th</w:t>
            </w:r>
            <w:r>
              <w:rPr>
                <w:rFonts w:ascii="Arial" w:hAnsi="Arial" w:cs="Arial"/>
                <w:sz w:val="22"/>
                <w:szCs w:val="22"/>
              </w:rPr>
              <w:t xml:space="preserve"> December</w:t>
            </w:r>
            <w:r w:rsidR="00AA2A51" w:rsidRPr="00A32214">
              <w:rPr>
                <w:rFonts w:ascii="Arial" w:hAnsi="Arial" w:cs="Arial"/>
                <w:sz w:val="22"/>
                <w:szCs w:val="22"/>
              </w:rPr>
              <w:t xml:space="preserve"> 2019</w:t>
            </w:r>
          </w:p>
        </w:tc>
      </w:tr>
      <w:tr w:rsidR="00AA2A51" w:rsidRPr="00954CA3" w14:paraId="3D7497EF" w14:textId="77777777" w:rsidTr="00954CA3">
        <w:tc>
          <w:tcPr>
            <w:tcW w:w="1545" w:type="dxa"/>
            <w:shd w:val="clear" w:color="auto" w:fill="auto"/>
          </w:tcPr>
          <w:p w14:paraId="19CE8A7E" w14:textId="77777777" w:rsidR="00AA2A51" w:rsidRPr="00C253CA" w:rsidRDefault="00AA2A51" w:rsidP="00AA2A51">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3FCC09AF" w:rsidR="00AA2A51" w:rsidRPr="00AA2A51" w:rsidRDefault="00AA2A51" w:rsidP="00AA2A51">
            <w:pPr>
              <w:keepNext/>
              <w:keepLines/>
              <w:spacing w:after="120" w:line="276" w:lineRule="auto"/>
              <w:rPr>
                <w:rFonts w:ascii="Arial" w:hAnsi="Arial" w:cs="Arial"/>
                <w:sz w:val="22"/>
                <w:szCs w:val="22"/>
              </w:rPr>
            </w:pPr>
            <w:r w:rsidRPr="00C253CA">
              <w:rPr>
                <w:rFonts w:ascii="Arial" w:hAnsi="Arial" w:cs="Arial"/>
                <w:sz w:val="22"/>
              </w:rPr>
              <w:t>Final report submitted – project completed</w:t>
            </w:r>
          </w:p>
        </w:tc>
        <w:tc>
          <w:tcPr>
            <w:tcW w:w="2675" w:type="dxa"/>
            <w:tcBorders>
              <w:top w:val="single" w:sz="4" w:space="0" w:color="auto"/>
              <w:bottom w:val="single" w:sz="4" w:space="0" w:color="auto"/>
            </w:tcBorders>
            <w:shd w:val="clear" w:color="auto" w:fill="auto"/>
          </w:tcPr>
          <w:p w14:paraId="5E71591D" w14:textId="48573455" w:rsidR="00AA2A51" w:rsidRPr="00954CA3" w:rsidRDefault="003A0E0C" w:rsidP="00AA2A51">
            <w:pPr>
              <w:keepNext/>
              <w:keepLines/>
              <w:spacing w:after="120"/>
              <w:rPr>
                <w:rFonts w:ascii="Arial" w:hAnsi="Arial" w:cs="Arial"/>
                <w:sz w:val="22"/>
                <w:szCs w:val="22"/>
              </w:rPr>
            </w:pPr>
            <w:r>
              <w:rPr>
                <w:rFonts w:ascii="Arial" w:hAnsi="Arial" w:cs="Arial"/>
                <w:sz w:val="22"/>
                <w:szCs w:val="22"/>
              </w:rPr>
              <w:t>31</w:t>
            </w:r>
            <w:r w:rsidRPr="003A0E0C">
              <w:rPr>
                <w:rFonts w:ascii="Arial" w:hAnsi="Arial" w:cs="Arial"/>
                <w:sz w:val="22"/>
                <w:szCs w:val="22"/>
                <w:vertAlign w:val="superscript"/>
              </w:rPr>
              <w:t>st</w:t>
            </w:r>
            <w:r>
              <w:rPr>
                <w:rFonts w:ascii="Arial" w:hAnsi="Arial" w:cs="Arial"/>
                <w:sz w:val="22"/>
                <w:szCs w:val="22"/>
              </w:rPr>
              <w:t xml:space="preserve"> January 2020</w:t>
            </w:r>
          </w:p>
        </w:tc>
      </w:tr>
    </w:tbl>
    <w:p w14:paraId="7A7FAE36" w14:textId="0D229818" w:rsidR="00D828F3" w:rsidRDefault="00D828F3" w:rsidP="00D828F3">
      <w:pPr>
        <w:pStyle w:val="Heading1"/>
        <w:rPr>
          <w:rFonts w:ascii="Arial" w:hAnsi="Arial" w:cs="Arial"/>
          <w:b w:val="0"/>
          <w:bCs w:val="0"/>
          <w:kern w:val="0"/>
          <w:sz w:val="22"/>
          <w:szCs w:val="22"/>
        </w:rPr>
      </w:pPr>
      <w:bookmarkStart w:id="34" w:name="_Toc520708793"/>
      <w:bookmarkStart w:id="35" w:name="_Toc520710315"/>
      <w:bookmarkStart w:id="36" w:name="_Ref357541731"/>
      <w:bookmarkStart w:id="37" w:name="_Toc381969514"/>
      <w:bookmarkStart w:id="38" w:name="_Toc40588846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r w:rsidR="005B5E72">
        <w:rPr>
          <w:rFonts w:ascii="Arial" w:hAnsi="Arial" w:cs="Arial"/>
          <w:b w:val="0"/>
          <w:bCs w:val="0"/>
          <w:kern w:val="0"/>
          <w:sz w:val="22"/>
          <w:szCs w:val="22"/>
        </w:rPr>
        <w:t xml:space="preserve"> We would expect this to include at least five face-to face meetings between the contractor and the ASC secretariat, and at least five face-to-face meetings with CCRA authors and other project teams.</w:t>
      </w:r>
      <w:bookmarkEnd w:id="34"/>
      <w:bookmarkEnd w:id="35"/>
      <w:r w:rsidR="005B5E72">
        <w:rPr>
          <w:rFonts w:ascii="Arial" w:hAnsi="Arial" w:cs="Arial"/>
          <w:b w:val="0"/>
          <w:bCs w:val="0"/>
          <w:kern w:val="0"/>
          <w:sz w:val="22"/>
          <w:szCs w:val="22"/>
        </w:rPr>
        <w:t xml:space="preserve"> </w:t>
      </w:r>
    </w:p>
    <w:p w14:paraId="383F5444" w14:textId="74D31B00" w:rsidR="005D7C65" w:rsidRPr="005D7C65" w:rsidRDefault="005D7C65" w:rsidP="005D7C65">
      <w:pPr>
        <w:pStyle w:val="Norma0"/>
        <w:rPr>
          <w:rFonts w:ascii="Arial" w:hAnsi="Arial" w:cs="Arial"/>
          <w:sz w:val="22"/>
          <w:szCs w:val="22"/>
        </w:rPr>
      </w:pPr>
      <w:r w:rsidRPr="00922218">
        <w:rPr>
          <w:rFonts w:ascii="Arial" w:hAnsi="Arial" w:cs="Arial"/>
          <w:sz w:val="22"/>
          <w:szCs w:val="22"/>
        </w:rPr>
        <w:t>In addition, the ASC will put together a stakeholder group of representatives of the funding organisations and wider customers of the CCRA (government departments, agencies and adaptation practitioners). Bids should price in attendance of the project team and taking minutes at three meetings of this group; one to discuss the method; one to show the interim results, and one other to be agreed.  The ASC will lead on chairing the meetings and putting agendas together.</w:t>
      </w:r>
    </w:p>
    <w:p w14:paraId="5EA87566" w14:textId="77777777" w:rsidR="002F59AC" w:rsidRDefault="004C7039" w:rsidP="007248E4">
      <w:pPr>
        <w:pStyle w:val="Heading1"/>
        <w:numPr>
          <w:ilvl w:val="0"/>
          <w:numId w:val="3"/>
        </w:numPr>
        <w:rPr>
          <w:rFonts w:ascii="Arial" w:hAnsi="Arial" w:cs="Arial"/>
          <w:sz w:val="24"/>
          <w:szCs w:val="24"/>
        </w:rPr>
      </w:pPr>
      <w:bookmarkStart w:id="39" w:name="_Toc520710316"/>
      <w:r w:rsidRPr="002D32D5">
        <w:rPr>
          <w:rFonts w:ascii="Arial" w:hAnsi="Arial" w:cs="Arial"/>
          <w:sz w:val="24"/>
          <w:szCs w:val="24"/>
        </w:rPr>
        <w:t>C</w:t>
      </w:r>
      <w:r w:rsidR="002F59AC" w:rsidRPr="002D32D5">
        <w:rPr>
          <w:rFonts w:ascii="Arial" w:hAnsi="Arial" w:cs="Arial"/>
          <w:sz w:val="24"/>
          <w:szCs w:val="24"/>
        </w:rPr>
        <w:t>hallenges</w:t>
      </w:r>
      <w:bookmarkEnd w:id="36"/>
      <w:bookmarkEnd w:id="37"/>
      <w:bookmarkEnd w:id="38"/>
      <w:bookmarkEnd w:id="39"/>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3310BEE2" w14:textId="10AB5C7B" w:rsidR="009C22F5" w:rsidRDefault="00F54DE2" w:rsidP="00D9475E">
      <w:pPr>
        <w:pStyle w:val="Norma"/>
        <w:numPr>
          <w:ilvl w:val="0"/>
          <w:numId w:val="53"/>
        </w:numPr>
        <w:jc w:val="both"/>
        <w:rPr>
          <w:rFonts w:cs="Arial"/>
          <w:bCs/>
          <w:iCs/>
          <w:szCs w:val="24"/>
        </w:rPr>
      </w:pPr>
      <w:r>
        <w:rPr>
          <w:rFonts w:cs="Arial"/>
          <w:bCs/>
          <w:iCs/>
          <w:szCs w:val="24"/>
        </w:rPr>
        <w:t xml:space="preserve">Identifying a method/framework to </w:t>
      </w:r>
      <w:r w:rsidR="00F5425D">
        <w:rPr>
          <w:rFonts w:cs="Arial"/>
          <w:bCs/>
          <w:iCs/>
          <w:szCs w:val="24"/>
        </w:rPr>
        <w:t xml:space="preserve">assess and </w:t>
      </w:r>
      <w:r>
        <w:rPr>
          <w:rFonts w:cs="Arial"/>
          <w:bCs/>
          <w:iCs/>
          <w:szCs w:val="24"/>
        </w:rPr>
        <w:t>prioritise interacting risks</w:t>
      </w:r>
    </w:p>
    <w:p w14:paraId="61C05631" w14:textId="54817532" w:rsidR="00F5425D" w:rsidRDefault="00F5425D" w:rsidP="00D9475E">
      <w:pPr>
        <w:pStyle w:val="Norma"/>
        <w:numPr>
          <w:ilvl w:val="0"/>
          <w:numId w:val="53"/>
        </w:numPr>
        <w:jc w:val="both"/>
        <w:rPr>
          <w:rFonts w:cs="Arial"/>
          <w:bCs/>
          <w:iCs/>
          <w:szCs w:val="24"/>
        </w:rPr>
      </w:pPr>
      <w:r>
        <w:rPr>
          <w:rFonts w:cs="Arial"/>
          <w:bCs/>
          <w:iCs/>
          <w:szCs w:val="24"/>
        </w:rPr>
        <w:t>Accessing data and results from current systems models</w:t>
      </w:r>
      <w:r w:rsidR="00AE7DF9">
        <w:rPr>
          <w:rFonts w:cs="Arial"/>
          <w:bCs/>
          <w:iCs/>
          <w:szCs w:val="24"/>
        </w:rPr>
        <w:t xml:space="preserve"> and other relevant analyses</w:t>
      </w:r>
      <w:r>
        <w:rPr>
          <w:rFonts w:cs="Arial"/>
          <w:bCs/>
          <w:iCs/>
          <w:szCs w:val="24"/>
        </w:rPr>
        <w:t>.</w:t>
      </w:r>
    </w:p>
    <w:p w14:paraId="547F6D9B" w14:textId="379CAD26" w:rsidR="003A0E0C" w:rsidRDefault="003A0E0C" w:rsidP="00D9475E">
      <w:pPr>
        <w:pStyle w:val="Norma"/>
        <w:numPr>
          <w:ilvl w:val="0"/>
          <w:numId w:val="53"/>
        </w:numPr>
        <w:jc w:val="both"/>
        <w:rPr>
          <w:rFonts w:cs="Arial"/>
          <w:bCs/>
          <w:iCs/>
          <w:szCs w:val="24"/>
        </w:rPr>
      </w:pPr>
      <w:r>
        <w:rPr>
          <w:rFonts w:cs="Arial"/>
          <w:bCs/>
          <w:iCs/>
          <w:szCs w:val="24"/>
        </w:rPr>
        <w:t>Building on current modelling approaches to provide new results</w:t>
      </w:r>
    </w:p>
    <w:p w14:paraId="6CDCA4CC" w14:textId="327E32E4" w:rsidR="00F5425D" w:rsidRDefault="00F5425D" w:rsidP="00D9475E">
      <w:pPr>
        <w:pStyle w:val="Norma"/>
        <w:numPr>
          <w:ilvl w:val="0"/>
          <w:numId w:val="53"/>
        </w:numPr>
        <w:jc w:val="both"/>
        <w:rPr>
          <w:rFonts w:cs="Arial"/>
          <w:bCs/>
          <w:iCs/>
          <w:szCs w:val="24"/>
        </w:rPr>
      </w:pPr>
      <w:r>
        <w:rPr>
          <w:rFonts w:cs="Arial"/>
          <w:bCs/>
          <w:iCs/>
          <w:szCs w:val="24"/>
        </w:rPr>
        <w:t xml:space="preserve">Presenting the prioritisations in a balanced, objective and technically robust way. </w:t>
      </w:r>
    </w:p>
    <w:p w14:paraId="170141AE" w14:textId="77777777" w:rsidR="00DB1925" w:rsidRDefault="00DB1925" w:rsidP="00397006">
      <w:pPr>
        <w:pStyle w:val="Norma"/>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40" w:name="_Toc381969515"/>
      <w:bookmarkStart w:id="41" w:name="_Toc405888464"/>
      <w:bookmarkStart w:id="42" w:name="_Toc520710317"/>
      <w:bookmarkStart w:id="43" w:name="_Toc271272913"/>
      <w:r w:rsidRPr="002D32D5">
        <w:rPr>
          <w:rFonts w:ascii="Arial" w:hAnsi="Arial" w:cs="Arial"/>
          <w:sz w:val="24"/>
          <w:szCs w:val="24"/>
        </w:rPr>
        <w:lastRenderedPageBreak/>
        <w:t>Ethics</w:t>
      </w:r>
      <w:bookmarkEnd w:id="40"/>
      <w:bookmarkEnd w:id="41"/>
      <w:bookmarkEnd w:id="42"/>
    </w:p>
    <w:p w14:paraId="54F1CAF1" w14:textId="77777777" w:rsidR="00D40AD3" w:rsidRPr="00D40AD3" w:rsidRDefault="00D40AD3" w:rsidP="00D40AD3">
      <w:pPr>
        <w:jc w:val="both"/>
        <w:rPr>
          <w:rFonts w:eastAsia="MS Mincho"/>
          <w:sz w:val="22"/>
          <w:szCs w:val="22"/>
          <w:lang w:eastAsia="en-US"/>
        </w:rPr>
      </w:pPr>
    </w:p>
    <w:p w14:paraId="5EA8756A" w14:textId="77777777" w:rsidR="005C0467" w:rsidRPr="00D40AD3" w:rsidRDefault="008F4BEB" w:rsidP="00D40AD3">
      <w:pPr>
        <w:jc w:val="both"/>
        <w:rPr>
          <w:rFonts w:ascii="Arial" w:hAnsi="Arial" w:cs="Arial"/>
          <w:sz w:val="22"/>
          <w:szCs w:val="22"/>
        </w:rPr>
      </w:pPr>
      <w:r w:rsidRPr="00D40AD3">
        <w:rPr>
          <w:rFonts w:ascii="Arial" w:hAnsi="Arial" w:cs="Arial"/>
          <w:sz w:val="22"/>
          <w:szCs w:val="22"/>
        </w:rPr>
        <w:t>All applicants will need to identify and propose arrangements for initial scrutiny and on-going monitoring of ethical issues.</w:t>
      </w:r>
      <w:r w:rsidR="00BF74E5" w:rsidRPr="00D40AD3">
        <w:rPr>
          <w:rFonts w:ascii="Arial" w:hAnsi="Arial" w:cs="Arial"/>
          <w:sz w:val="22"/>
          <w:szCs w:val="22"/>
        </w:rPr>
        <w:t xml:space="preserve"> </w:t>
      </w:r>
      <w:r w:rsidR="005C0467" w:rsidRPr="00D40AD3">
        <w:rPr>
          <w:rFonts w:ascii="Arial" w:hAnsi="Arial" w:cs="Arial"/>
          <w:sz w:val="22"/>
          <w:szCs w:val="22"/>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D40AD3" w:rsidRDefault="00BF74E5" w:rsidP="00D40AD3">
      <w:pPr>
        <w:jc w:val="both"/>
        <w:rPr>
          <w:rFonts w:ascii="Arial" w:hAnsi="Arial" w:cs="Arial"/>
          <w:sz w:val="22"/>
          <w:szCs w:val="22"/>
        </w:rPr>
      </w:pPr>
      <w:r w:rsidRPr="00D40AD3">
        <w:rPr>
          <w:rFonts w:ascii="Arial" w:hAnsi="Arial" w:cs="Arial"/>
          <w:sz w:val="22"/>
          <w:szCs w:val="22"/>
        </w:rPr>
        <w:t>We expect contractors to adhere to the</w:t>
      </w:r>
      <w:r w:rsidR="00D75586" w:rsidRPr="00D40AD3">
        <w:rPr>
          <w:rFonts w:ascii="Arial" w:hAnsi="Arial" w:cs="Arial"/>
          <w:sz w:val="22"/>
          <w:szCs w:val="22"/>
        </w:rPr>
        <w:t xml:space="preserve"> following</w:t>
      </w:r>
      <w:r w:rsidRPr="00D40AD3">
        <w:rPr>
          <w:rFonts w:ascii="Arial" w:hAnsi="Arial" w:cs="Arial"/>
          <w:sz w:val="22"/>
          <w:szCs w:val="22"/>
        </w:rPr>
        <w:t xml:space="preserve"> GSR</w:t>
      </w:r>
      <w:r w:rsidR="00D75586" w:rsidRPr="00D40AD3">
        <w:rPr>
          <w:rFonts w:ascii="Arial" w:hAnsi="Arial" w:cs="Arial"/>
          <w:sz w:val="22"/>
          <w:szCs w:val="22"/>
        </w:rPr>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4" w:name="_Ref338852517"/>
      <w:bookmarkStart w:id="45" w:name="_Toc381969516"/>
      <w:bookmarkStart w:id="46" w:name="_Toc405888465"/>
      <w:bookmarkStart w:id="47" w:name="_Toc520710318"/>
      <w:bookmarkEnd w:id="43"/>
      <w:r w:rsidRPr="002D32D5">
        <w:rPr>
          <w:rFonts w:ascii="Arial" w:hAnsi="Arial" w:cs="Arial"/>
          <w:sz w:val="24"/>
          <w:szCs w:val="24"/>
        </w:rPr>
        <w:t>Working Arrangements</w:t>
      </w:r>
      <w:bookmarkEnd w:id="44"/>
      <w:bookmarkEnd w:id="45"/>
      <w:bookmarkEnd w:id="46"/>
      <w:bookmarkEnd w:id="47"/>
    </w:p>
    <w:p w14:paraId="5EA87574" w14:textId="77777777" w:rsidR="00AA62E8" w:rsidRPr="000F78E0" w:rsidRDefault="00AA62E8" w:rsidP="005A7FBC">
      <w:pPr>
        <w:pStyle w:val="Norma"/>
        <w:jc w:val="both"/>
        <w:rPr>
          <w:rFonts w:cs="Arial"/>
          <w:b/>
          <w:bCs/>
          <w:iCs/>
        </w:rPr>
      </w:pPr>
    </w:p>
    <w:p w14:paraId="5EA87578" w14:textId="3889F2B5" w:rsidR="00AA62E8" w:rsidRPr="008B0B0B" w:rsidRDefault="00AA62E8" w:rsidP="008B0B0B">
      <w:pPr>
        <w:pStyle w:val="Norma"/>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w:t>
      </w:r>
      <w:r w:rsidR="00D14531">
        <w:rPr>
          <w:rFonts w:cs="Arial"/>
          <w:bCs/>
        </w:rPr>
        <w:t>n</w:t>
      </w:r>
      <w:r w:rsidR="004C4D20">
        <w:rPr>
          <w:rFonts w:cs="Arial"/>
          <w:bCs/>
        </w:rPr>
        <w:t xml:space="preserve">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8" w:name="_Toc520710319"/>
      <w:r>
        <w:rPr>
          <w:rFonts w:ascii="Arial" w:hAnsi="Arial" w:cs="Arial"/>
          <w:sz w:val="24"/>
          <w:szCs w:val="24"/>
        </w:rPr>
        <w:t>Skills and experience</w:t>
      </w:r>
      <w:bookmarkEnd w:id="48"/>
    </w:p>
    <w:p w14:paraId="5EA8757A" w14:textId="77777777" w:rsidR="00427AFA" w:rsidRPr="000F78E0" w:rsidRDefault="00427AFA" w:rsidP="00B960BC">
      <w:pPr>
        <w:pStyle w:val="Norma"/>
        <w:ind w:left="360"/>
        <w:jc w:val="both"/>
        <w:rPr>
          <w:rFonts w:cs="Arial"/>
        </w:rPr>
      </w:pPr>
    </w:p>
    <w:p w14:paraId="26C9D3C5" w14:textId="2080C33F" w:rsidR="00F22677" w:rsidRDefault="00F22677" w:rsidP="00E72DB1">
      <w:pPr>
        <w:pStyle w:val="PTablebodyCharCharChar"/>
        <w:tabs>
          <w:tab w:val="clear" w:pos="7823"/>
          <w:tab w:val="right" w:pos="709"/>
        </w:tabs>
        <w:spacing w:after="0"/>
        <w:ind w:left="360"/>
        <w:rPr>
          <w:rFonts w:ascii="Arial" w:hAnsi="Arial" w:cs="Arial"/>
          <w:sz w:val="22"/>
          <w:szCs w:val="22"/>
        </w:rPr>
      </w:pPr>
      <w:r>
        <w:rPr>
          <w:rFonts w:ascii="Arial" w:hAnsi="Arial" w:cs="Arial"/>
          <w:sz w:val="22"/>
          <w:szCs w:val="22"/>
        </w:rPr>
        <w:t xml:space="preserve">For this project the ASC are looking for a project team with a strong knowledge of systems modelling and climate risk. We expect most of the time for the project to be allocated to more senior level staff. </w:t>
      </w:r>
    </w:p>
    <w:p w14:paraId="21D663A0" w14:textId="77777777" w:rsidR="00F22677" w:rsidRDefault="00F22677" w:rsidP="00E72DB1">
      <w:pPr>
        <w:pStyle w:val="PTablebodyCharCharChar"/>
        <w:tabs>
          <w:tab w:val="clear" w:pos="7823"/>
          <w:tab w:val="right" w:pos="709"/>
        </w:tabs>
        <w:spacing w:after="0"/>
        <w:ind w:left="360"/>
        <w:rPr>
          <w:rFonts w:ascii="Arial" w:hAnsi="Arial" w:cs="Arial"/>
          <w:sz w:val="22"/>
          <w:szCs w:val="22"/>
        </w:rPr>
      </w:pPr>
    </w:p>
    <w:p w14:paraId="5EA8757B" w14:textId="27CDEBA8" w:rsidR="00FA702B" w:rsidRPr="000F78E0" w:rsidRDefault="008B0B0B" w:rsidP="00E72DB1">
      <w:pPr>
        <w:pStyle w:val="PTablebodyCharCharChar"/>
        <w:tabs>
          <w:tab w:val="clear" w:pos="7823"/>
          <w:tab w:val="right" w:pos="709"/>
        </w:tabs>
        <w:spacing w:after="0"/>
        <w:ind w:left="360"/>
        <w:rPr>
          <w:rFonts w:cs="Arial"/>
          <w:sz w:val="22"/>
          <w:szCs w:val="22"/>
          <w:highlight w:val="yellow"/>
        </w:rPr>
      </w:pPr>
      <w:r>
        <w:rPr>
          <w:rFonts w:ascii="Arial" w:hAnsi="Arial" w:cs="Arial"/>
          <w:sz w:val="22"/>
          <w:szCs w:val="22"/>
        </w:rPr>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40F03208" w:rsidR="00D64BB0" w:rsidRPr="000F78E0" w:rsidRDefault="003C1CE8" w:rsidP="00E72DB1">
      <w:pPr>
        <w:pStyle w:val="Norma"/>
        <w:ind w:left="360"/>
        <w:jc w:val="both"/>
        <w:rPr>
          <w:rFonts w:cs="Arial"/>
        </w:rPr>
      </w:pPr>
      <w:r w:rsidRPr="000F78E0">
        <w:rPr>
          <w:rFonts w:cs="Arial"/>
        </w:rPr>
        <w:t>Contractors should identify the individual(s) who will be responsible for managing the project.</w:t>
      </w:r>
      <w:bookmarkStart w:id="49" w:name="_Ref338852499"/>
      <w:r w:rsidR="005B5E72">
        <w:rPr>
          <w:rFonts w:cs="Arial"/>
        </w:rPr>
        <w:t xml:space="preserve"> </w:t>
      </w:r>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50" w:name="_Ref373505239"/>
      <w:bookmarkStart w:id="51" w:name="_Toc381969518"/>
      <w:bookmarkStart w:id="52" w:name="_Toc405888467"/>
      <w:bookmarkStart w:id="53" w:name="_Toc520710320"/>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bookmarkEnd w:id="53"/>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lastRenderedPageBreak/>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4" w:name="_Ref357541811"/>
      <w:bookmarkStart w:id="55" w:name="_Toc381969519"/>
      <w:bookmarkStart w:id="56" w:name="_Toc405888468"/>
      <w:bookmarkStart w:id="57" w:name="_Toc520710321"/>
      <w:bookmarkStart w:id="58" w:name="_Toc246831559"/>
      <w:bookmarkStart w:id="59" w:name="_Toc271272917"/>
      <w:bookmarkStart w:id="60" w:name="_Ref338852577"/>
      <w:bookmarkEnd w:id="49"/>
      <w:r w:rsidRPr="002D32D5">
        <w:rPr>
          <w:rFonts w:ascii="Arial" w:hAnsi="Arial" w:cs="Arial"/>
          <w:sz w:val="24"/>
          <w:szCs w:val="24"/>
        </w:rPr>
        <w:t>Budget</w:t>
      </w:r>
      <w:bookmarkEnd w:id="54"/>
      <w:bookmarkEnd w:id="55"/>
      <w:bookmarkEnd w:id="56"/>
      <w:bookmarkEnd w:id="57"/>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75CDB061" w14:textId="4B8FC407" w:rsidR="00C253CA" w:rsidRPr="00D40AD3" w:rsidRDefault="00C253CA" w:rsidP="00E72DB1">
      <w:pPr>
        <w:pStyle w:val="ListParagraph"/>
        <w:spacing w:line="240" w:lineRule="auto"/>
        <w:ind w:left="360"/>
        <w:jc w:val="both"/>
        <w:rPr>
          <w:rFonts w:ascii="Arial" w:hAnsi="Arial" w:cs="Arial"/>
          <w:b/>
        </w:rPr>
      </w:pPr>
      <w:r w:rsidRPr="00D40AD3">
        <w:rPr>
          <w:rFonts w:ascii="Arial" w:hAnsi="Arial" w:cs="Arial"/>
          <w:b/>
        </w:rPr>
        <w:t xml:space="preserve">The budget for this project is up to </w:t>
      </w:r>
      <w:r w:rsidR="00B178E1">
        <w:rPr>
          <w:rFonts w:ascii="Arial" w:hAnsi="Arial" w:cs="Arial"/>
          <w:b/>
        </w:rPr>
        <w:t>£240,000 excluding VAT (</w:t>
      </w:r>
      <w:r w:rsidRPr="00D40AD3">
        <w:rPr>
          <w:rFonts w:ascii="Arial" w:hAnsi="Arial" w:cs="Arial"/>
          <w:b/>
        </w:rPr>
        <w:t>£3</w:t>
      </w:r>
      <w:r w:rsidR="00A12543" w:rsidRPr="00D40AD3">
        <w:rPr>
          <w:rFonts w:ascii="Arial" w:hAnsi="Arial" w:cs="Arial"/>
          <w:b/>
        </w:rPr>
        <w:t>00</w:t>
      </w:r>
      <w:r w:rsidR="00D40AD3" w:rsidRPr="00D40AD3">
        <w:rPr>
          <w:rFonts w:ascii="Arial" w:hAnsi="Arial" w:cs="Arial"/>
          <w:b/>
        </w:rPr>
        <w:t>,000 including VAT</w:t>
      </w:r>
      <w:r w:rsidR="00B178E1">
        <w:rPr>
          <w:rFonts w:ascii="Arial" w:hAnsi="Arial" w:cs="Arial"/>
          <w:b/>
        </w:rPr>
        <w:t>)</w:t>
      </w:r>
      <w:r w:rsidR="00D40AD3" w:rsidRPr="00D40AD3">
        <w:rPr>
          <w:rFonts w:ascii="Arial" w:hAnsi="Arial" w:cs="Arial"/>
          <w:b/>
        </w:rPr>
        <w:t>; 40%</w:t>
      </w:r>
      <w:r w:rsidRPr="00D40AD3">
        <w:rPr>
          <w:rFonts w:ascii="Arial" w:hAnsi="Arial" w:cs="Arial"/>
          <w:b/>
        </w:rPr>
        <w:t xml:space="preserve"> of the payments need to be made in the</w:t>
      </w:r>
      <w:r w:rsidR="00D40AD3" w:rsidRPr="00D40AD3">
        <w:rPr>
          <w:rFonts w:ascii="Arial" w:hAnsi="Arial" w:cs="Arial"/>
          <w:b/>
        </w:rPr>
        <w:t xml:space="preserve"> financial year 2018/19 and 60%</w:t>
      </w:r>
      <w:r w:rsidRPr="00D40AD3">
        <w:rPr>
          <w:rFonts w:ascii="Arial" w:hAnsi="Arial" w:cs="Arial"/>
          <w:b/>
        </w:rPr>
        <w:t xml:space="preserve"> in the financial year 2019/20. </w:t>
      </w:r>
    </w:p>
    <w:p w14:paraId="0207DB46" w14:textId="77777777" w:rsidR="00C253CA" w:rsidRDefault="00C253CA" w:rsidP="00E72DB1">
      <w:pPr>
        <w:pStyle w:val="ListParagraph"/>
        <w:spacing w:line="240" w:lineRule="auto"/>
        <w:ind w:left="360"/>
        <w:jc w:val="both"/>
        <w:rPr>
          <w:rFonts w:ascii="Arial" w:hAnsi="Arial" w:cs="Arial"/>
        </w:rPr>
      </w:pPr>
    </w:p>
    <w:p w14:paraId="5EA8758F" w14:textId="08DEE966"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w:t>
      </w:r>
      <w:r w:rsidR="00AA2A51">
        <w:rPr>
          <w:rFonts w:ascii="Arial" w:hAnsi="Arial" w:cs="Arial"/>
        </w:rPr>
        <w:t xml:space="preserve">MUST </w:t>
      </w:r>
      <w:r w:rsidRPr="000F78E0">
        <w:rPr>
          <w:rFonts w:ascii="Arial" w:hAnsi="Arial" w:cs="Arial"/>
        </w:rPr>
        <w:t xml:space="preserve">include </w:t>
      </w:r>
      <w:r w:rsidR="00AA2A51">
        <w:rPr>
          <w:rFonts w:ascii="Arial" w:hAnsi="Arial" w:cs="Arial"/>
        </w:rPr>
        <w:t xml:space="preserve">the funding allocated by each task </w:t>
      </w:r>
      <w:r w:rsidR="00E41B9D">
        <w:rPr>
          <w:rFonts w:ascii="Arial" w:hAnsi="Arial" w:cs="Arial"/>
        </w:rPr>
        <w:t xml:space="preserve">(deliverable) </w:t>
      </w:r>
      <w:r w:rsidR="00AA2A51">
        <w:rPr>
          <w:rFonts w:ascii="Arial" w:hAnsi="Arial" w:cs="Arial"/>
        </w:rPr>
        <w:t>as well as by person</w:t>
      </w:r>
      <w:r w:rsidRPr="000F78E0">
        <w:rPr>
          <w:rFonts w:ascii="Arial" w:hAnsi="Arial" w:cs="Arial"/>
        </w:rPr>
        <w:t>.</w:t>
      </w:r>
      <w:r w:rsidR="00E41B9D">
        <w:rPr>
          <w:rFonts w:ascii="Arial" w:hAnsi="Arial" w:cs="Arial"/>
        </w:rPr>
        <w:t xml:space="preserve"> </w:t>
      </w:r>
      <w:r w:rsidRPr="000F78E0">
        <w:rPr>
          <w:rFonts w:ascii="Arial" w:hAnsi="Arial" w:cs="Arial"/>
        </w:rPr>
        <w:t xml:space="preserve"> </w:t>
      </w:r>
      <w:bookmarkEnd w:id="58"/>
      <w:bookmarkEnd w:id="59"/>
      <w:bookmarkEnd w:id="60"/>
      <w:r w:rsidR="005E51C4">
        <w:rPr>
          <w:rFonts w:ascii="Arial" w:hAnsi="Arial" w:cs="Arial"/>
        </w:rPr>
        <w:t>Please include the number of days in the unpriced bid.</w:t>
      </w:r>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3D0A577D"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CF718E">
        <w:rPr>
          <w:rFonts w:ascii="Arial" w:hAnsi="Arial" w:cs="Arial"/>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50A2B491"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E4650D">
      <w:pPr>
        <w:pStyle w:val="Norma"/>
        <w:jc w:val="both"/>
        <w:rPr>
          <w:rFonts w:eastAsia="MS Mincho" w:cs="Arial"/>
          <w:lang w:eastAsia="en-US"/>
        </w:rPr>
      </w:pPr>
    </w:p>
    <w:p w14:paraId="5EA87597" w14:textId="56E6681C" w:rsidR="00443DE6" w:rsidRPr="000F78E0" w:rsidRDefault="00796CF2" w:rsidP="00E72DB1">
      <w:pPr>
        <w:pStyle w:val="Norma"/>
        <w:ind w:left="360"/>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61" w:name="_Ref357541836"/>
      <w:bookmarkStart w:id="62" w:name="_Toc381969520"/>
      <w:bookmarkStart w:id="63" w:name="_Toc405888469"/>
      <w:bookmarkStart w:id="64" w:name="_Toc520710322"/>
      <w:r w:rsidRPr="002D32D5">
        <w:rPr>
          <w:rFonts w:ascii="Arial" w:hAnsi="Arial" w:cs="Arial"/>
          <w:sz w:val="24"/>
          <w:szCs w:val="24"/>
        </w:rPr>
        <w:t>Evaluation of Tenders</w:t>
      </w:r>
      <w:bookmarkEnd w:id="61"/>
      <w:bookmarkEnd w:id="62"/>
      <w:bookmarkEnd w:id="63"/>
      <w:bookmarkEnd w:id="64"/>
    </w:p>
    <w:p w14:paraId="5EA8759A" w14:textId="77777777" w:rsidR="003C1CE8" w:rsidRPr="00E4650D" w:rsidRDefault="003C1CE8" w:rsidP="00E4650D">
      <w:pPr>
        <w:pStyle w:val="Norma"/>
        <w:jc w:val="both"/>
        <w:rPr>
          <w:rFonts w:cs="Arial"/>
          <w:sz w:val="24"/>
          <w:szCs w:val="24"/>
        </w:rPr>
      </w:pPr>
    </w:p>
    <w:p w14:paraId="5EA8759B" w14:textId="242FEC75" w:rsidR="005C788B" w:rsidRPr="000F78E0" w:rsidRDefault="003C1CE8" w:rsidP="00E72DB1">
      <w:pPr>
        <w:pStyle w:val="Norma"/>
        <w:ind w:left="360"/>
        <w:jc w:val="both"/>
        <w:rPr>
          <w:rFonts w:cs="Arial"/>
        </w:rPr>
      </w:pPr>
      <w:r w:rsidRPr="000F78E0">
        <w:rPr>
          <w:rFonts w:cs="Arial"/>
        </w:rPr>
        <w:t>Contractors are invited to submit full tenders of no more than</w:t>
      </w:r>
      <w:r w:rsidRPr="000F78E0">
        <w:rPr>
          <w:rFonts w:cs="Arial"/>
          <w:color w:val="0000FF"/>
        </w:rPr>
        <w:t xml:space="preserve"> </w:t>
      </w:r>
      <w:r w:rsidR="00AA2A51">
        <w:rPr>
          <w:rFonts w:cs="Arial"/>
          <w:color w:val="000000" w:themeColor="text1"/>
        </w:rPr>
        <w:t>3</w:t>
      </w:r>
      <w:r w:rsidR="002133A0" w:rsidRPr="001A33AF">
        <w:rPr>
          <w:rFonts w:cs="Arial"/>
          <w:color w:val="000000" w:themeColor="text1"/>
        </w:rPr>
        <w:t>5</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AA2A51">
        <w:rPr>
          <w:rFonts w:cs="Arial"/>
        </w:rPr>
        <w:t>reviewers</w:t>
      </w:r>
      <w:r w:rsidR="005C788B" w:rsidRPr="000F78E0">
        <w:rPr>
          <w:rFonts w:cs="Arial"/>
        </w:rPr>
        <w:t>.</w:t>
      </w:r>
    </w:p>
    <w:p w14:paraId="5EA8759C" w14:textId="77777777" w:rsidR="00E4650D" w:rsidRPr="000F78E0" w:rsidRDefault="00E4650D" w:rsidP="00E4650D">
      <w:pPr>
        <w:pStyle w:val="Norma"/>
        <w:jc w:val="both"/>
        <w:rPr>
          <w:rFonts w:cs="Arial"/>
        </w:rPr>
      </w:pPr>
    </w:p>
    <w:p w14:paraId="5EA8759F" w14:textId="01609AEE" w:rsidR="00002825" w:rsidRPr="000F78E0" w:rsidRDefault="001A33AF" w:rsidP="00804221">
      <w:pPr>
        <w:pStyle w:val="NoSpacing"/>
        <w:ind w:left="360"/>
        <w:rPr>
          <w:rFonts w:ascii="Arial" w:hAnsi="Arial" w:cs="Arial"/>
        </w:rPr>
      </w:pPr>
      <w:r>
        <w:rPr>
          <w:rFonts w:ascii="Arial" w:hAnsi="Arial" w:cs="Arial"/>
        </w:rPr>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D139A">
            <w:pPr>
              <w:pStyle w:val="Heading4"/>
              <w:rPr>
                <w:rFonts w:ascii="Arial" w:hAnsi="Arial" w:cs="Arial"/>
              </w:rPr>
            </w:pPr>
            <w:bookmarkStart w:id="65" w:name="p2"/>
            <w:bookmarkStart w:id="66" w:name="_Toc520710323"/>
            <w:r w:rsidRPr="00F7796D">
              <w:rPr>
                <w:rFonts w:ascii="Arial" w:hAnsi="Arial" w:cs="Arial"/>
              </w:rPr>
              <w:t>Criterion</w:t>
            </w:r>
            <w:bookmarkEnd w:id="65"/>
            <w:bookmarkEnd w:id="66"/>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7" w:name="_Toc520710324"/>
            <w:r w:rsidRPr="00F7796D">
              <w:rPr>
                <w:rFonts w:ascii="Arial" w:hAnsi="Arial" w:cs="Arial"/>
              </w:rPr>
              <w:t>Description</w:t>
            </w:r>
            <w:bookmarkEnd w:id="67"/>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8" w:name="_Toc520710325"/>
            <w:r w:rsidRPr="00F7796D">
              <w:rPr>
                <w:rFonts w:ascii="Arial" w:hAnsi="Arial" w:cs="Arial"/>
              </w:rPr>
              <w:t>Weighting</w:t>
            </w:r>
            <w:bookmarkEnd w:id="68"/>
          </w:p>
        </w:tc>
      </w:tr>
      <w:tr w:rsidR="00AA2A51" w:rsidRPr="00C6546D" w14:paraId="5EA875B1" w14:textId="77777777" w:rsidTr="00FF4DBE">
        <w:tc>
          <w:tcPr>
            <w:tcW w:w="1133" w:type="dxa"/>
          </w:tcPr>
          <w:p w14:paraId="5EA875AE" w14:textId="5D8F1294" w:rsidR="00AA2A51" w:rsidRPr="00F7796D" w:rsidRDefault="00AA2A51" w:rsidP="00AA2A51">
            <w:pPr>
              <w:pStyle w:val="Norma"/>
              <w:rPr>
                <w:rFonts w:cs="Arial"/>
              </w:rPr>
            </w:pPr>
            <w:r>
              <w:rPr>
                <w:rFonts w:cs="Arial"/>
              </w:rPr>
              <w:t>1</w:t>
            </w:r>
          </w:p>
        </w:tc>
        <w:tc>
          <w:tcPr>
            <w:tcW w:w="5638" w:type="dxa"/>
            <w:shd w:val="clear" w:color="auto" w:fill="auto"/>
          </w:tcPr>
          <w:p w14:paraId="5EA875AF" w14:textId="2F136723" w:rsidR="00AA2A51" w:rsidRPr="00F7796D" w:rsidRDefault="00AA2A51" w:rsidP="00AA2A51">
            <w:pPr>
              <w:pStyle w:val="Norma"/>
              <w:rPr>
                <w:rFonts w:cs="Arial"/>
              </w:rPr>
            </w:pPr>
            <w:r w:rsidRPr="00334AEE">
              <w:rPr>
                <w:rFonts w:ascii="Calibri" w:hAnsi="Calibri"/>
                <w:b/>
              </w:rPr>
              <w:t>RELEVANT EXPERIENCE</w:t>
            </w:r>
            <w:r>
              <w:rPr>
                <w:rFonts w:ascii="Calibri" w:hAnsi="Calibri"/>
                <w:b/>
              </w:rPr>
              <w:t xml:space="preserve"> / DEMONSTRATION OF CABABILITY </w:t>
            </w:r>
            <w:r>
              <w:rPr>
                <w:rFonts w:ascii="Calibri" w:hAnsi="Calibri"/>
                <w:b/>
              </w:rPr>
              <w:lastRenderedPageBreak/>
              <w:t>OF THE PROPOSED PROJECT TEAM</w:t>
            </w:r>
          </w:p>
        </w:tc>
        <w:tc>
          <w:tcPr>
            <w:tcW w:w="2693" w:type="dxa"/>
            <w:shd w:val="clear" w:color="auto" w:fill="auto"/>
          </w:tcPr>
          <w:p w14:paraId="5EA875B0" w14:textId="1668637D" w:rsidR="00AA2A51" w:rsidRPr="00F7796D" w:rsidRDefault="00AA2A51" w:rsidP="00AA2A51">
            <w:pPr>
              <w:pStyle w:val="Norma"/>
              <w:rPr>
                <w:rFonts w:cs="Arial"/>
              </w:rPr>
            </w:pPr>
            <w:r>
              <w:rPr>
                <w:rFonts w:cs="Arial"/>
              </w:rPr>
              <w:lastRenderedPageBreak/>
              <w:t>30%</w:t>
            </w:r>
          </w:p>
        </w:tc>
      </w:tr>
      <w:tr w:rsidR="00AA2A51" w:rsidRPr="00C6546D" w14:paraId="5EA875B5" w14:textId="77777777" w:rsidTr="00FF4DBE">
        <w:tc>
          <w:tcPr>
            <w:tcW w:w="1133" w:type="dxa"/>
          </w:tcPr>
          <w:p w14:paraId="5EA875B2" w14:textId="3DBD679C" w:rsidR="00AA2A51" w:rsidRPr="00F7796D" w:rsidRDefault="00AA2A51" w:rsidP="00AA2A51">
            <w:pPr>
              <w:pStyle w:val="Norma"/>
              <w:rPr>
                <w:rFonts w:cs="Arial"/>
              </w:rPr>
            </w:pPr>
            <w:r>
              <w:rPr>
                <w:rFonts w:cs="Arial"/>
              </w:rPr>
              <w:t>2</w:t>
            </w:r>
          </w:p>
        </w:tc>
        <w:tc>
          <w:tcPr>
            <w:tcW w:w="5638" w:type="dxa"/>
            <w:shd w:val="clear" w:color="auto" w:fill="auto"/>
          </w:tcPr>
          <w:p w14:paraId="5EA875B3" w14:textId="7F72A696" w:rsidR="00AA2A51" w:rsidRPr="00F7796D" w:rsidRDefault="00AA2A51" w:rsidP="00AA2A51">
            <w:pPr>
              <w:pStyle w:val="Norma"/>
              <w:rPr>
                <w:rFonts w:cs="Arial"/>
              </w:rPr>
            </w:pPr>
            <w:r w:rsidRPr="00334AEE">
              <w:rPr>
                <w:rFonts w:ascii="Calibri" w:hAnsi="Calibri"/>
                <w:b/>
              </w:rPr>
              <w:t>QUALITY ASSURING THE SERVICES YOU PROVIDE</w:t>
            </w:r>
          </w:p>
        </w:tc>
        <w:tc>
          <w:tcPr>
            <w:tcW w:w="2693" w:type="dxa"/>
            <w:shd w:val="clear" w:color="auto" w:fill="auto"/>
          </w:tcPr>
          <w:p w14:paraId="5EA875B4" w14:textId="4A462B95" w:rsidR="00AA2A51" w:rsidRPr="00F7796D" w:rsidRDefault="00AA2A51" w:rsidP="00AA2A51">
            <w:pPr>
              <w:pStyle w:val="Norma"/>
              <w:rPr>
                <w:rFonts w:cs="Arial"/>
              </w:rPr>
            </w:pPr>
            <w:r>
              <w:rPr>
                <w:rFonts w:cs="Arial"/>
              </w:rPr>
              <w:t>5%</w:t>
            </w:r>
          </w:p>
        </w:tc>
      </w:tr>
      <w:tr w:rsidR="00AA2A51" w:rsidRPr="00C6546D" w14:paraId="5EA875B9" w14:textId="77777777" w:rsidTr="00FF4DBE">
        <w:tc>
          <w:tcPr>
            <w:tcW w:w="1133" w:type="dxa"/>
          </w:tcPr>
          <w:p w14:paraId="5EA875B6" w14:textId="0102DEF4" w:rsidR="00AA2A51" w:rsidRPr="00F7796D" w:rsidRDefault="00AA2A51" w:rsidP="00AA2A51">
            <w:pPr>
              <w:pStyle w:val="Norma"/>
              <w:rPr>
                <w:rFonts w:cs="Arial"/>
              </w:rPr>
            </w:pPr>
            <w:r>
              <w:rPr>
                <w:rFonts w:cs="Arial"/>
              </w:rPr>
              <w:t>3</w:t>
            </w:r>
          </w:p>
        </w:tc>
        <w:tc>
          <w:tcPr>
            <w:tcW w:w="5638" w:type="dxa"/>
            <w:shd w:val="clear" w:color="auto" w:fill="auto"/>
          </w:tcPr>
          <w:p w14:paraId="5EA875B7" w14:textId="662FF8BA" w:rsidR="00AA2A51" w:rsidRPr="00F7796D" w:rsidRDefault="00AA2A51" w:rsidP="00AA2A51">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5EA875B8" w14:textId="33503893" w:rsidR="00AA2A51" w:rsidRPr="00F7796D" w:rsidRDefault="00AA2A51" w:rsidP="00AA2A51">
            <w:pPr>
              <w:pStyle w:val="Norma"/>
              <w:rPr>
                <w:rFonts w:cs="Arial"/>
              </w:rPr>
            </w:pPr>
            <w:r>
              <w:rPr>
                <w:rFonts w:cs="Arial"/>
              </w:rPr>
              <w:t>10%</w:t>
            </w:r>
          </w:p>
        </w:tc>
      </w:tr>
      <w:tr w:rsidR="00AA2A51" w:rsidRPr="00C6546D" w14:paraId="5EA875BD" w14:textId="77777777" w:rsidTr="00FF4DBE">
        <w:tc>
          <w:tcPr>
            <w:tcW w:w="1133" w:type="dxa"/>
          </w:tcPr>
          <w:p w14:paraId="5EA875BA" w14:textId="279721F1" w:rsidR="00AA2A51" w:rsidRPr="00F7796D" w:rsidRDefault="00AA2A51" w:rsidP="00AA2A51">
            <w:pPr>
              <w:pStyle w:val="Norma"/>
              <w:rPr>
                <w:rFonts w:cs="Arial"/>
              </w:rPr>
            </w:pPr>
            <w:r>
              <w:rPr>
                <w:rFonts w:cs="Arial"/>
              </w:rPr>
              <w:t>4</w:t>
            </w:r>
          </w:p>
        </w:tc>
        <w:tc>
          <w:tcPr>
            <w:tcW w:w="5638" w:type="dxa"/>
            <w:shd w:val="clear" w:color="auto" w:fill="auto"/>
          </w:tcPr>
          <w:p w14:paraId="5EA875BB" w14:textId="6BFDD96A" w:rsidR="00AA2A51" w:rsidRPr="00F7796D" w:rsidRDefault="00AA2A51" w:rsidP="00AA2A51">
            <w:pPr>
              <w:pStyle w:val="Norma"/>
              <w:rPr>
                <w:rFonts w:cs="Arial"/>
              </w:rPr>
            </w:pPr>
            <w:r w:rsidRPr="00334AEE">
              <w:rPr>
                <w:rFonts w:ascii="Calibri" w:hAnsi="Calibri"/>
                <w:b/>
              </w:rPr>
              <w:t>METHOD</w:t>
            </w:r>
          </w:p>
        </w:tc>
        <w:tc>
          <w:tcPr>
            <w:tcW w:w="2693" w:type="dxa"/>
            <w:shd w:val="clear" w:color="auto" w:fill="auto"/>
          </w:tcPr>
          <w:p w14:paraId="5EA875BC" w14:textId="553E5AE6" w:rsidR="00AA2A51" w:rsidRPr="00F7796D" w:rsidRDefault="00AA2A51" w:rsidP="00AA2A51">
            <w:pPr>
              <w:pStyle w:val="Norma"/>
              <w:rPr>
                <w:rFonts w:cs="Arial"/>
              </w:rPr>
            </w:pPr>
            <w:r>
              <w:rPr>
                <w:rFonts w:cs="Arial"/>
              </w:rPr>
              <w:t>35%</w:t>
            </w:r>
          </w:p>
        </w:tc>
      </w:tr>
      <w:tr w:rsidR="00AA2A51" w:rsidRPr="00C6546D" w14:paraId="5EA875C1" w14:textId="77777777" w:rsidTr="00FF4DBE">
        <w:tc>
          <w:tcPr>
            <w:tcW w:w="1133" w:type="dxa"/>
          </w:tcPr>
          <w:p w14:paraId="5EA875BE" w14:textId="5432184C" w:rsidR="00AA2A51" w:rsidRPr="00F7796D" w:rsidRDefault="00AA2A51" w:rsidP="00AA2A51">
            <w:pPr>
              <w:pStyle w:val="Norma"/>
              <w:rPr>
                <w:rFonts w:cs="Arial"/>
              </w:rPr>
            </w:pPr>
            <w:r>
              <w:rPr>
                <w:rFonts w:cs="Arial"/>
              </w:rPr>
              <w:t>5</w:t>
            </w:r>
          </w:p>
        </w:tc>
        <w:tc>
          <w:tcPr>
            <w:tcW w:w="5638" w:type="dxa"/>
            <w:shd w:val="clear" w:color="auto" w:fill="auto"/>
          </w:tcPr>
          <w:p w14:paraId="5EA875BF" w14:textId="0DB32FAC" w:rsidR="00AA2A51" w:rsidRPr="00F7796D" w:rsidRDefault="00AA2A51" w:rsidP="00AA2A51">
            <w:pPr>
              <w:pStyle w:val="Norma"/>
              <w:rPr>
                <w:rFonts w:cs="Arial"/>
              </w:rPr>
            </w:pPr>
            <w:r w:rsidRPr="00334AEE">
              <w:rPr>
                <w:rFonts w:ascii="Calibri" w:hAnsi="Calibri"/>
                <w:b/>
              </w:rPr>
              <w:t>UNDERSTANDING OF REQUIREMENTS</w:t>
            </w:r>
          </w:p>
        </w:tc>
        <w:tc>
          <w:tcPr>
            <w:tcW w:w="2693" w:type="dxa"/>
            <w:shd w:val="clear" w:color="auto" w:fill="auto"/>
          </w:tcPr>
          <w:p w14:paraId="5EA875C0" w14:textId="4CF16F1B" w:rsidR="00AA2A51" w:rsidRPr="00F7796D" w:rsidRDefault="00AA2A51" w:rsidP="00AA2A51">
            <w:pPr>
              <w:pStyle w:val="Norma"/>
              <w:rPr>
                <w:rFonts w:cs="Arial"/>
              </w:rPr>
            </w:pPr>
            <w:r>
              <w:rPr>
                <w:rFonts w:cs="Arial"/>
              </w:rPr>
              <w:t>10%</w:t>
            </w:r>
          </w:p>
        </w:tc>
      </w:tr>
      <w:tr w:rsidR="00AA2A51" w:rsidRPr="00C6546D" w14:paraId="5EA875C5" w14:textId="77777777" w:rsidTr="00FF4DBE">
        <w:tc>
          <w:tcPr>
            <w:tcW w:w="1133" w:type="dxa"/>
          </w:tcPr>
          <w:p w14:paraId="5EA875C2" w14:textId="65403067" w:rsidR="00AA2A51" w:rsidRPr="00F7796D" w:rsidRDefault="00AA2A51" w:rsidP="00AA2A51">
            <w:pPr>
              <w:pStyle w:val="Norma"/>
              <w:rPr>
                <w:rFonts w:cs="Arial"/>
              </w:rPr>
            </w:pPr>
            <w:r>
              <w:rPr>
                <w:rFonts w:cs="Arial"/>
              </w:rPr>
              <w:t>6</w:t>
            </w:r>
          </w:p>
        </w:tc>
        <w:tc>
          <w:tcPr>
            <w:tcW w:w="5638" w:type="dxa"/>
            <w:shd w:val="clear" w:color="auto" w:fill="auto"/>
          </w:tcPr>
          <w:p w14:paraId="5EA875C3" w14:textId="5EAC153C" w:rsidR="00AA2A51" w:rsidRPr="00F7796D" w:rsidRDefault="00AA2A51" w:rsidP="00AA2A51">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5EA875C4" w14:textId="4E4D8EFA" w:rsidR="00AA2A51" w:rsidRPr="00F7796D" w:rsidRDefault="00AA2A51" w:rsidP="00AA2A51">
            <w:pPr>
              <w:pStyle w:val="Norma"/>
              <w:rPr>
                <w:rFonts w:cs="Arial"/>
              </w:rPr>
            </w:pPr>
            <w:r>
              <w:rPr>
                <w:rFonts w:cs="Arial"/>
              </w:rPr>
              <w:t>10%</w:t>
            </w:r>
          </w:p>
        </w:tc>
      </w:tr>
      <w:tr w:rsidR="00AA2A51" w:rsidRPr="00C6546D" w14:paraId="5EA875C9" w14:textId="77777777" w:rsidTr="00FF4DBE">
        <w:tc>
          <w:tcPr>
            <w:tcW w:w="1133" w:type="dxa"/>
          </w:tcPr>
          <w:p w14:paraId="5EA875C6" w14:textId="1072DF78" w:rsidR="00AA2A51" w:rsidRPr="00F7796D" w:rsidRDefault="00AA2A51" w:rsidP="00AA2A51">
            <w:pPr>
              <w:pStyle w:val="Norma"/>
              <w:rPr>
                <w:rFonts w:cs="Arial"/>
              </w:rPr>
            </w:pPr>
          </w:p>
        </w:tc>
        <w:tc>
          <w:tcPr>
            <w:tcW w:w="5638" w:type="dxa"/>
            <w:shd w:val="clear" w:color="auto" w:fill="auto"/>
          </w:tcPr>
          <w:p w14:paraId="5EA875C7" w14:textId="21F3BF7C" w:rsidR="00AA2A51" w:rsidRPr="00F7796D" w:rsidRDefault="00AA2A51" w:rsidP="00AA2A51">
            <w:pPr>
              <w:pStyle w:val="Norma"/>
              <w:rPr>
                <w:rFonts w:cs="Arial"/>
              </w:rPr>
            </w:pPr>
          </w:p>
        </w:tc>
        <w:tc>
          <w:tcPr>
            <w:tcW w:w="2693" w:type="dxa"/>
            <w:shd w:val="clear" w:color="auto" w:fill="auto"/>
          </w:tcPr>
          <w:p w14:paraId="5EA875C8" w14:textId="394CB170" w:rsidR="00AA2A51" w:rsidRPr="00F7796D" w:rsidRDefault="00AA2A51" w:rsidP="00AA2A51">
            <w:pPr>
              <w:pStyle w:val="Norma"/>
              <w:rPr>
                <w:rFonts w:cs="Arial"/>
              </w:rPr>
            </w:pPr>
          </w:p>
        </w:tc>
      </w:tr>
      <w:tr w:rsidR="00AA2A51" w:rsidRPr="00C6546D" w14:paraId="2E6C8FB4" w14:textId="77777777" w:rsidTr="00FF4DBE">
        <w:tc>
          <w:tcPr>
            <w:tcW w:w="1133" w:type="dxa"/>
          </w:tcPr>
          <w:p w14:paraId="1E560CCE" w14:textId="4E3FDA3F" w:rsidR="00AA2A51" w:rsidRPr="00F7796D" w:rsidRDefault="00AA2A51" w:rsidP="00AA2A51">
            <w:pPr>
              <w:pStyle w:val="Norma"/>
              <w:rPr>
                <w:rFonts w:cs="Arial"/>
              </w:rPr>
            </w:pPr>
          </w:p>
        </w:tc>
        <w:tc>
          <w:tcPr>
            <w:tcW w:w="5638" w:type="dxa"/>
            <w:shd w:val="clear" w:color="auto" w:fill="auto"/>
          </w:tcPr>
          <w:p w14:paraId="66360B15" w14:textId="7C79CFEB" w:rsidR="00AA2A51" w:rsidRPr="00F7796D" w:rsidRDefault="00AA2A51" w:rsidP="00AA2A51">
            <w:pPr>
              <w:pStyle w:val="Norma"/>
              <w:rPr>
                <w:rFonts w:cs="Arial"/>
              </w:rPr>
            </w:pPr>
          </w:p>
        </w:tc>
        <w:tc>
          <w:tcPr>
            <w:tcW w:w="2693" w:type="dxa"/>
            <w:shd w:val="clear" w:color="auto" w:fill="auto"/>
          </w:tcPr>
          <w:p w14:paraId="42541313" w14:textId="3DD75732" w:rsidR="00AA2A51" w:rsidRPr="00F7796D" w:rsidRDefault="00AA2A51" w:rsidP="00AA2A51">
            <w:pPr>
              <w:pStyle w:val="Norma"/>
              <w:rPr>
                <w:rFonts w:cs="Arial"/>
              </w:rPr>
            </w:pPr>
            <w:r>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9" w:name="nine01"/>
      <w:bookmarkEnd w:id="69"/>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6638F195"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D40AD3">
        <w:rPr>
          <w:rFonts w:cs="Arial"/>
          <w:color w:val="000000" w:themeColor="text1"/>
          <w:szCs w:val="24"/>
        </w:rPr>
        <w:t xml:space="preserve"> the week commencing 8</w:t>
      </w:r>
      <w:r w:rsidR="00E41B9D" w:rsidRPr="00E41B9D">
        <w:rPr>
          <w:rFonts w:cs="Arial"/>
          <w:color w:val="000000" w:themeColor="text1"/>
          <w:szCs w:val="24"/>
          <w:vertAlign w:val="superscript"/>
        </w:rPr>
        <w:t>t</w:t>
      </w:r>
      <w:r w:rsidR="00D40AD3">
        <w:rPr>
          <w:rFonts w:cs="Arial"/>
          <w:color w:val="000000" w:themeColor="text1"/>
          <w:szCs w:val="24"/>
          <w:vertAlign w:val="superscript"/>
        </w:rPr>
        <w:t>h</w:t>
      </w:r>
      <w:r w:rsidR="00E41B9D">
        <w:rPr>
          <w:rFonts w:cs="Arial"/>
          <w:color w:val="000000" w:themeColor="text1"/>
          <w:szCs w:val="24"/>
        </w:rPr>
        <w:t xml:space="preserve"> October </w:t>
      </w:r>
      <w:r w:rsidR="00AA2A51" w:rsidRPr="00C253CA">
        <w:rPr>
          <w:rFonts w:cs="Arial"/>
          <w:color w:val="000000" w:themeColor="text1"/>
          <w:szCs w:val="24"/>
        </w:rPr>
        <w:t>2018</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7"/>
      <w:headerReference w:type="first" r:id="rId18"/>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27E81" w16cid:durableId="1D987DA6"/>
  <w16cid:commentId w16cid:paraId="44BA9B39" w16cid:durableId="1D987E08"/>
  <w16cid:commentId w16cid:paraId="4E599232" w16cid:durableId="1D9887E2"/>
  <w16cid:commentId w16cid:paraId="658639AC" w16cid:durableId="1D98820F"/>
  <w16cid:commentId w16cid:paraId="3BDB46BB" w16cid:durableId="1D988124"/>
  <w16cid:commentId w16cid:paraId="28943360" w16cid:durableId="1D9882F7"/>
  <w16cid:commentId w16cid:paraId="041B7EED" w16cid:durableId="1D9883E1"/>
  <w16cid:commentId w16cid:paraId="211191DA" w16cid:durableId="1D988431"/>
  <w16cid:commentId w16cid:paraId="7869A5DD" w16cid:durableId="1D988454"/>
  <w16cid:commentId w16cid:paraId="4AD34637" w16cid:durableId="1D98848F"/>
  <w16cid:commentId w16cid:paraId="7941AFA0" w16cid:durableId="1D9885CB"/>
  <w16cid:commentId w16cid:paraId="7ED4E8BB" w16cid:durableId="1D9884DF"/>
  <w16cid:commentId w16cid:paraId="132D63BB" w16cid:durableId="1D988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8F98E" w14:textId="77777777" w:rsidR="00FD0068" w:rsidRDefault="00FD0068" w:rsidP="00EB43D8">
      <w:pPr>
        <w:pStyle w:val="Norma"/>
      </w:pPr>
      <w:r>
        <w:separator/>
      </w:r>
    </w:p>
  </w:endnote>
  <w:endnote w:type="continuationSeparator" w:id="0">
    <w:p w14:paraId="0CC762E3" w14:textId="77777777" w:rsidR="00FD0068" w:rsidRDefault="00FD0068"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459CA089" w:rsidR="00E84140" w:rsidRDefault="00E84140" w:rsidP="00602CDD">
    <w:pPr>
      <w:pStyle w:val="Footer"/>
      <w:pBdr>
        <w:top w:val="single" w:sz="4" w:space="1" w:color="D9D9D9"/>
      </w:pBdr>
      <w:jc w:val="right"/>
    </w:pPr>
    <w:r>
      <w:fldChar w:fldCharType="begin"/>
    </w:r>
    <w:r>
      <w:instrText xml:space="preserve"> PAGE   \* MERGEFORMAT </w:instrText>
    </w:r>
    <w:r>
      <w:fldChar w:fldCharType="separate"/>
    </w:r>
    <w:r w:rsidR="00950FFC">
      <w:rPr>
        <w:noProof/>
      </w:rPr>
      <w:t>11</w:t>
    </w:r>
    <w:r>
      <w:rPr>
        <w:noProof/>
      </w:rPr>
      <w:fldChar w:fldCharType="end"/>
    </w:r>
    <w:r>
      <w:t xml:space="preserve"> | </w:t>
    </w:r>
    <w:r w:rsidRPr="00602CDD">
      <w:rPr>
        <w:color w:val="808080"/>
        <w:spacing w:val="60"/>
      </w:rPr>
      <w:t>Page</w:t>
    </w:r>
  </w:p>
  <w:p w14:paraId="5EA87631" w14:textId="77777777" w:rsidR="00E84140" w:rsidRDefault="00E8414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A02B5" w14:textId="77777777" w:rsidR="00FD0068" w:rsidRDefault="00FD0068" w:rsidP="00EB43D8">
      <w:pPr>
        <w:pStyle w:val="Norma"/>
      </w:pPr>
      <w:r>
        <w:separator/>
      </w:r>
    </w:p>
  </w:footnote>
  <w:footnote w:type="continuationSeparator" w:id="0">
    <w:p w14:paraId="12ECE211" w14:textId="77777777" w:rsidR="00FD0068" w:rsidRDefault="00FD0068"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E84140" w:rsidRDefault="00E84140"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82"/>
    <w:multiLevelType w:val="hybridMultilevel"/>
    <w:tmpl w:val="8DA47598"/>
    <w:lvl w:ilvl="0" w:tplc="05E216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656"/>
    <w:multiLevelType w:val="hybridMultilevel"/>
    <w:tmpl w:val="260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631E3"/>
    <w:multiLevelType w:val="hybridMultilevel"/>
    <w:tmpl w:val="0258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423B19"/>
    <w:multiLevelType w:val="hybridMultilevel"/>
    <w:tmpl w:val="DDBA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193D"/>
    <w:multiLevelType w:val="hybridMultilevel"/>
    <w:tmpl w:val="D9F4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23E29"/>
    <w:multiLevelType w:val="hybridMultilevel"/>
    <w:tmpl w:val="3188A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E1CDB"/>
    <w:multiLevelType w:val="hybridMultilevel"/>
    <w:tmpl w:val="64AA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E4295"/>
    <w:multiLevelType w:val="hybridMultilevel"/>
    <w:tmpl w:val="9A7AAADC"/>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5405F"/>
    <w:multiLevelType w:val="hybridMultilevel"/>
    <w:tmpl w:val="958E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36BD6"/>
    <w:multiLevelType w:val="hybridMultilevel"/>
    <w:tmpl w:val="5C5C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E2249"/>
    <w:multiLevelType w:val="hybridMultilevel"/>
    <w:tmpl w:val="5B94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B619E"/>
    <w:multiLevelType w:val="hybridMultilevel"/>
    <w:tmpl w:val="7BE8D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03140"/>
    <w:multiLevelType w:val="hybridMultilevel"/>
    <w:tmpl w:val="4030C164"/>
    <w:lvl w:ilvl="0" w:tplc="6CAEE2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F3292"/>
    <w:multiLevelType w:val="hybridMultilevel"/>
    <w:tmpl w:val="C96EF82E"/>
    <w:lvl w:ilvl="0" w:tplc="893412A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5D0327"/>
    <w:multiLevelType w:val="hybridMultilevel"/>
    <w:tmpl w:val="B194F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A18F3"/>
    <w:multiLevelType w:val="hybridMultilevel"/>
    <w:tmpl w:val="8132B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5104CF"/>
    <w:multiLevelType w:val="hybridMultilevel"/>
    <w:tmpl w:val="4C26C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535D7B"/>
    <w:multiLevelType w:val="hybridMultilevel"/>
    <w:tmpl w:val="0812E7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401B1890"/>
    <w:multiLevelType w:val="hybridMultilevel"/>
    <w:tmpl w:val="1D68909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423AB4"/>
    <w:multiLevelType w:val="hybridMultilevel"/>
    <w:tmpl w:val="BAB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62854"/>
    <w:multiLevelType w:val="hybridMultilevel"/>
    <w:tmpl w:val="9CB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3058F8"/>
    <w:multiLevelType w:val="hybridMultilevel"/>
    <w:tmpl w:val="CE32F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6C6E9C"/>
    <w:multiLevelType w:val="hybridMultilevel"/>
    <w:tmpl w:val="88DE1A82"/>
    <w:lvl w:ilvl="0" w:tplc="03B0B8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94028"/>
    <w:multiLevelType w:val="hybridMultilevel"/>
    <w:tmpl w:val="6FAA3098"/>
    <w:lvl w:ilvl="0" w:tplc="321E122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284D7F"/>
    <w:multiLevelType w:val="hybridMultilevel"/>
    <w:tmpl w:val="675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A60694"/>
    <w:multiLevelType w:val="hybridMultilevel"/>
    <w:tmpl w:val="B0008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BE679B"/>
    <w:multiLevelType w:val="hybridMultilevel"/>
    <w:tmpl w:val="CA34D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666362"/>
    <w:multiLevelType w:val="hybridMultilevel"/>
    <w:tmpl w:val="0A86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CE6F3A"/>
    <w:multiLevelType w:val="hybridMultilevel"/>
    <w:tmpl w:val="B9E63B08"/>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A72817"/>
    <w:multiLevelType w:val="hybridMultilevel"/>
    <w:tmpl w:val="9A461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EF6410"/>
    <w:multiLevelType w:val="hybridMultilevel"/>
    <w:tmpl w:val="1764B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921F39"/>
    <w:multiLevelType w:val="hybridMultilevel"/>
    <w:tmpl w:val="206C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98714F"/>
    <w:multiLevelType w:val="hybridMultilevel"/>
    <w:tmpl w:val="6B7E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51" w15:restartNumberingAfterBreak="0">
    <w:nsid w:val="759705B6"/>
    <w:multiLevelType w:val="hybridMultilevel"/>
    <w:tmpl w:val="5D420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29"/>
  </w:num>
  <w:num w:numId="4">
    <w:abstractNumId w:val="54"/>
  </w:num>
  <w:num w:numId="5">
    <w:abstractNumId w:val="36"/>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41"/>
  </w:num>
  <w:num w:numId="9">
    <w:abstractNumId w:val="35"/>
  </w:num>
  <w:num w:numId="10">
    <w:abstractNumId w:val="16"/>
  </w:num>
  <w:num w:numId="11">
    <w:abstractNumId w:val="37"/>
  </w:num>
  <w:num w:numId="12">
    <w:abstractNumId w:val="49"/>
  </w:num>
  <w:num w:numId="13">
    <w:abstractNumId w:val="53"/>
  </w:num>
  <w:num w:numId="14">
    <w:abstractNumId w:val="7"/>
  </w:num>
  <w:num w:numId="15">
    <w:abstractNumId w:val="30"/>
  </w:num>
  <w:num w:numId="16">
    <w:abstractNumId w:val="21"/>
  </w:num>
  <w:num w:numId="17">
    <w:abstractNumId w:val="3"/>
  </w:num>
  <w:num w:numId="18">
    <w:abstractNumId w:val="52"/>
  </w:num>
  <w:num w:numId="19">
    <w:abstractNumId w:val="0"/>
  </w:num>
  <w:num w:numId="20">
    <w:abstractNumId w:val="13"/>
  </w:num>
  <w:num w:numId="21">
    <w:abstractNumId w:val="26"/>
  </w:num>
  <w:num w:numId="22">
    <w:abstractNumId w:val="17"/>
  </w:num>
  <w:num w:numId="23">
    <w:abstractNumId w:val="18"/>
  </w:num>
  <w:num w:numId="24">
    <w:abstractNumId w:val="5"/>
  </w:num>
  <w:num w:numId="25">
    <w:abstractNumId w:val="31"/>
  </w:num>
  <w:num w:numId="26">
    <w:abstractNumId w:val="11"/>
  </w:num>
  <w:num w:numId="27">
    <w:abstractNumId w:val="9"/>
  </w:num>
  <w:num w:numId="28">
    <w:abstractNumId w:val="27"/>
  </w:num>
  <w:num w:numId="29">
    <w:abstractNumId w:val="33"/>
  </w:num>
  <w:num w:numId="30">
    <w:abstractNumId w:val="23"/>
  </w:num>
  <w:num w:numId="31">
    <w:abstractNumId w:val="44"/>
  </w:num>
  <w:num w:numId="32">
    <w:abstractNumId w:val="38"/>
  </w:num>
  <w:num w:numId="33">
    <w:abstractNumId w:val="40"/>
  </w:num>
  <w:num w:numId="34">
    <w:abstractNumId w:val="42"/>
  </w:num>
  <w:num w:numId="35">
    <w:abstractNumId w:val="47"/>
  </w:num>
  <w:num w:numId="36">
    <w:abstractNumId w:val="14"/>
  </w:num>
  <w:num w:numId="37">
    <w:abstractNumId w:val="39"/>
  </w:num>
  <w:num w:numId="38">
    <w:abstractNumId w:val="50"/>
  </w:num>
  <w:num w:numId="39">
    <w:abstractNumId w:val="48"/>
  </w:num>
  <w:num w:numId="40">
    <w:abstractNumId w:val="1"/>
  </w:num>
  <w:num w:numId="41">
    <w:abstractNumId w:val="4"/>
  </w:num>
  <w:num w:numId="42">
    <w:abstractNumId w:val="10"/>
  </w:num>
  <w:num w:numId="43">
    <w:abstractNumId w:val="22"/>
  </w:num>
  <w:num w:numId="44">
    <w:abstractNumId w:val="8"/>
  </w:num>
  <w:num w:numId="45">
    <w:abstractNumId w:val="32"/>
  </w:num>
  <w:num w:numId="46">
    <w:abstractNumId w:val="15"/>
  </w:num>
  <w:num w:numId="47">
    <w:abstractNumId w:val="25"/>
  </w:num>
  <w:num w:numId="48">
    <w:abstractNumId w:val="45"/>
  </w:num>
  <w:num w:numId="49">
    <w:abstractNumId w:val="6"/>
  </w:num>
  <w:num w:numId="50">
    <w:abstractNumId w:val="51"/>
  </w:num>
  <w:num w:numId="51">
    <w:abstractNumId w:val="20"/>
  </w:num>
  <w:num w:numId="52">
    <w:abstractNumId w:val="43"/>
  </w:num>
  <w:num w:numId="53">
    <w:abstractNumId w:val="2"/>
  </w:num>
  <w:num w:numId="54">
    <w:abstractNumId w:val="46"/>
  </w:num>
  <w:num w:numId="55">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B06"/>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276FD"/>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4AA"/>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6FF7"/>
    <w:rsid w:val="000B765B"/>
    <w:rsid w:val="000C0AEF"/>
    <w:rsid w:val="000C0E8E"/>
    <w:rsid w:val="000C157D"/>
    <w:rsid w:val="000C18D0"/>
    <w:rsid w:val="000C2110"/>
    <w:rsid w:val="000C30B1"/>
    <w:rsid w:val="000C46A1"/>
    <w:rsid w:val="000C54E5"/>
    <w:rsid w:val="000C55C9"/>
    <w:rsid w:val="000C5627"/>
    <w:rsid w:val="000C61CC"/>
    <w:rsid w:val="000C7B32"/>
    <w:rsid w:val="000D0180"/>
    <w:rsid w:val="000D1BC1"/>
    <w:rsid w:val="000D2428"/>
    <w:rsid w:val="000D2726"/>
    <w:rsid w:val="000D30E3"/>
    <w:rsid w:val="000D3B47"/>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2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132"/>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E2F"/>
    <w:rsid w:val="00167EA2"/>
    <w:rsid w:val="00170B81"/>
    <w:rsid w:val="00171F7F"/>
    <w:rsid w:val="00172803"/>
    <w:rsid w:val="00172956"/>
    <w:rsid w:val="00172A29"/>
    <w:rsid w:val="00174855"/>
    <w:rsid w:val="00176556"/>
    <w:rsid w:val="00177003"/>
    <w:rsid w:val="0018093D"/>
    <w:rsid w:val="00180A58"/>
    <w:rsid w:val="00182296"/>
    <w:rsid w:val="001825DA"/>
    <w:rsid w:val="00182895"/>
    <w:rsid w:val="0018341F"/>
    <w:rsid w:val="00183D41"/>
    <w:rsid w:val="00183E6B"/>
    <w:rsid w:val="00186D9B"/>
    <w:rsid w:val="00187783"/>
    <w:rsid w:val="00187A2E"/>
    <w:rsid w:val="0019065C"/>
    <w:rsid w:val="001911B4"/>
    <w:rsid w:val="001914C9"/>
    <w:rsid w:val="00192A40"/>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A4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5BB7"/>
    <w:rsid w:val="001C687B"/>
    <w:rsid w:val="001C6E36"/>
    <w:rsid w:val="001C6F7B"/>
    <w:rsid w:val="001C7A0A"/>
    <w:rsid w:val="001D1DE3"/>
    <w:rsid w:val="001D26F4"/>
    <w:rsid w:val="001D28C6"/>
    <w:rsid w:val="001D2E3F"/>
    <w:rsid w:val="001D4DDF"/>
    <w:rsid w:val="001D5D04"/>
    <w:rsid w:val="001D5D56"/>
    <w:rsid w:val="001D62B9"/>
    <w:rsid w:val="001D6493"/>
    <w:rsid w:val="001D7041"/>
    <w:rsid w:val="001E014D"/>
    <w:rsid w:val="001E0589"/>
    <w:rsid w:val="001E07A7"/>
    <w:rsid w:val="001E0B6F"/>
    <w:rsid w:val="001E15AD"/>
    <w:rsid w:val="001E219F"/>
    <w:rsid w:val="001E3BA2"/>
    <w:rsid w:val="001E3D66"/>
    <w:rsid w:val="001E47FA"/>
    <w:rsid w:val="001E4BE7"/>
    <w:rsid w:val="001E52C2"/>
    <w:rsid w:val="001E58A8"/>
    <w:rsid w:val="001E66BE"/>
    <w:rsid w:val="001E6B3D"/>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1E6D"/>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3703"/>
    <w:rsid w:val="002240C8"/>
    <w:rsid w:val="0022531F"/>
    <w:rsid w:val="00225A9F"/>
    <w:rsid w:val="002275B7"/>
    <w:rsid w:val="00227600"/>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2919"/>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1EA5"/>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4801"/>
    <w:rsid w:val="00305BAD"/>
    <w:rsid w:val="00307519"/>
    <w:rsid w:val="003075E1"/>
    <w:rsid w:val="003100B6"/>
    <w:rsid w:val="003110E9"/>
    <w:rsid w:val="00312155"/>
    <w:rsid w:val="00314320"/>
    <w:rsid w:val="00314744"/>
    <w:rsid w:val="0031585F"/>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75F"/>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2146"/>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754"/>
    <w:rsid w:val="00377DBD"/>
    <w:rsid w:val="00377E2E"/>
    <w:rsid w:val="0038006D"/>
    <w:rsid w:val="00380DAD"/>
    <w:rsid w:val="00380FE1"/>
    <w:rsid w:val="00381725"/>
    <w:rsid w:val="003827F9"/>
    <w:rsid w:val="00382A62"/>
    <w:rsid w:val="00383B11"/>
    <w:rsid w:val="003840DA"/>
    <w:rsid w:val="003841D8"/>
    <w:rsid w:val="00384532"/>
    <w:rsid w:val="003846E8"/>
    <w:rsid w:val="00386582"/>
    <w:rsid w:val="003874FF"/>
    <w:rsid w:val="00390503"/>
    <w:rsid w:val="00390748"/>
    <w:rsid w:val="003911FA"/>
    <w:rsid w:val="003912A7"/>
    <w:rsid w:val="00391C9C"/>
    <w:rsid w:val="00392A3E"/>
    <w:rsid w:val="00393117"/>
    <w:rsid w:val="00393D1B"/>
    <w:rsid w:val="0039550C"/>
    <w:rsid w:val="003955AA"/>
    <w:rsid w:val="00396844"/>
    <w:rsid w:val="00396C1F"/>
    <w:rsid w:val="00397006"/>
    <w:rsid w:val="0039730D"/>
    <w:rsid w:val="003976BC"/>
    <w:rsid w:val="00397841"/>
    <w:rsid w:val="003A0A53"/>
    <w:rsid w:val="003A0E0C"/>
    <w:rsid w:val="003A1EC8"/>
    <w:rsid w:val="003A20B1"/>
    <w:rsid w:val="003A2171"/>
    <w:rsid w:val="003A3424"/>
    <w:rsid w:val="003A3B8D"/>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44A1"/>
    <w:rsid w:val="003B59CB"/>
    <w:rsid w:val="003B5BDE"/>
    <w:rsid w:val="003B5CAF"/>
    <w:rsid w:val="003B7085"/>
    <w:rsid w:val="003B7A5E"/>
    <w:rsid w:val="003B7AD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76EB"/>
    <w:rsid w:val="003D0678"/>
    <w:rsid w:val="003D0AA3"/>
    <w:rsid w:val="003D1067"/>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0B33"/>
    <w:rsid w:val="003E10B2"/>
    <w:rsid w:val="003E1157"/>
    <w:rsid w:val="003E1579"/>
    <w:rsid w:val="003E3803"/>
    <w:rsid w:val="003E482D"/>
    <w:rsid w:val="003E546D"/>
    <w:rsid w:val="003E59CB"/>
    <w:rsid w:val="003E5C19"/>
    <w:rsid w:val="003E6534"/>
    <w:rsid w:val="003E6A7A"/>
    <w:rsid w:val="003F0792"/>
    <w:rsid w:val="003F0A2B"/>
    <w:rsid w:val="003F0A32"/>
    <w:rsid w:val="003F1149"/>
    <w:rsid w:val="003F11DD"/>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35D"/>
    <w:rsid w:val="00456DE6"/>
    <w:rsid w:val="00456E30"/>
    <w:rsid w:val="00457E00"/>
    <w:rsid w:val="00460096"/>
    <w:rsid w:val="0046101F"/>
    <w:rsid w:val="00461719"/>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59E5"/>
    <w:rsid w:val="0047638E"/>
    <w:rsid w:val="00477171"/>
    <w:rsid w:val="00477BE5"/>
    <w:rsid w:val="004804AF"/>
    <w:rsid w:val="0048051F"/>
    <w:rsid w:val="004808DA"/>
    <w:rsid w:val="00480D1F"/>
    <w:rsid w:val="00480D80"/>
    <w:rsid w:val="00481A2D"/>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6E4"/>
    <w:rsid w:val="0050136D"/>
    <w:rsid w:val="005015C6"/>
    <w:rsid w:val="00501946"/>
    <w:rsid w:val="0050316D"/>
    <w:rsid w:val="00503679"/>
    <w:rsid w:val="00503CF7"/>
    <w:rsid w:val="0050409E"/>
    <w:rsid w:val="00504A30"/>
    <w:rsid w:val="005062F1"/>
    <w:rsid w:val="00506C08"/>
    <w:rsid w:val="005107B1"/>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2B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66FA"/>
    <w:rsid w:val="0055732C"/>
    <w:rsid w:val="0056044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65FC"/>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5E72"/>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7C65"/>
    <w:rsid w:val="005E1AA2"/>
    <w:rsid w:val="005E1D7F"/>
    <w:rsid w:val="005E2414"/>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7567"/>
    <w:rsid w:val="00610A39"/>
    <w:rsid w:val="0061213E"/>
    <w:rsid w:val="00612B4B"/>
    <w:rsid w:val="006136EB"/>
    <w:rsid w:val="00613CCD"/>
    <w:rsid w:val="006146C6"/>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CDC"/>
    <w:rsid w:val="006766CA"/>
    <w:rsid w:val="006775D4"/>
    <w:rsid w:val="00677816"/>
    <w:rsid w:val="006779F8"/>
    <w:rsid w:val="006803EF"/>
    <w:rsid w:val="00680969"/>
    <w:rsid w:val="00680DC1"/>
    <w:rsid w:val="00680EA6"/>
    <w:rsid w:val="00682893"/>
    <w:rsid w:val="006828EE"/>
    <w:rsid w:val="00682C6B"/>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51A"/>
    <w:rsid w:val="006A5B86"/>
    <w:rsid w:val="006A5EB2"/>
    <w:rsid w:val="006A645E"/>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758D"/>
    <w:rsid w:val="006D7E05"/>
    <w:rsid w:val="006E1379"/>
    <w:rsid w:val="006E31A8"/>
    <w:rsid w:val="006E44C1"/>
    <w:rsid w:val="006E49A8"/>
    <w:rsid w:val="006E4EE8"/>
    <w:rsid w:val="006E5396"/>
    <w:rsid w:val="006E576B"/>
    <w:rsid w:val="006E5E48"/>
    <w:rsid w:val="006E686B"/>
    <w:rsid w:val="006E6F4C"/>
    <w:rsid w:val="006E77DF"/>
    <w:rsid w:val="006E7D4B"/>
    <w:rsid w:val="006E7E12"/>
    <w:rsid w:val="006F0178"/>
    <w:rsid w:val="006F0FBC"/>
    <w:rsid w:val="006F1DD1"/>
    <w:rsid w:val="006F2485"/>
    <w:rsid w:val="006F293F"/>
    <w:rsid w:val="006F2FBA"/>
    <w:rsid w:val="006F3E50"/>
    <w:rsid w:val="006F4420"/>
    <w:rsid w:val="006F4A6B"/>
    <w:rsid w:val="006F53CD"/>
    <w:rsid w:val="006F5702"/>
    <w:rsid w:val="006F70A3"/>
    <w:rsid w:val="006F752B"/>
    <w:rsid w:val="006F7FC2"/>
    <w:rsid w:val="007014E0"/>
    <w:rsid w:val="00703801"/>
    <w:rsid w:val="007043E2"/>
    <w:rsid w:val="007044BB"/>
    <w:rsid w:val="0070501A"/>
    <w:rsid w:val="00705ADE"/>
    <w:rsid w:val="007068E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513E"/>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1CD7"/>
    <w:rsid w:val="007739A3"/>
    <w:rsid w:val="007744DF"/>
    <w:rsid w:val="0077585D"/>
    <w:rsid w:val="007762E4"/>
    <w:rsid w:val="00776BDD"/>
    <w:rsid w:val="00777503"/>
    <w:rsid w:val="00777A99"/>
    <w:rsid w:val="00780375"/>
    <w:rsid w:val="0078042F"/>
    <w:rsid w:val="007808BC"/>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CE"/>
    <w:rsid w:val="007E7DED"/>
    <w:rsid w:val="007F2BC0"/>
    <w:rsid w:val="007F324C"/>
    <w:rsid w:val="007F3ECE"/>
    <w:rsid w:val="007F49CB"/>
    <w:rsid w:val="007F5016"/>
    <w:rsid w:val="007F59C0"/>
    <w:rsid w:val="007F5DE8"/>
    <w:rsid w:val="007F6ED8"/>
    <w:rsid w:val="007F77FF"/>
    <w:rsid w:val="00801A11"/>
    <w:rsid w:val="00801CCB"/>
    <w:rsid w:val="008022E1"/>
    <w:rsid w:val="0080264D"/>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D8A"/>
    <w:rsid w:val="00832EDB"/>
    <w:rsid w:val="00833CDD"/>
    <w:rsid w:val="008345A4"/>
    <w:rsid w:val="008355FB"/>
    <w:rsid w:val="00835685"/>
    <w:rsid w:val="00835D18"/>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6C09"/>
    <w:rsid w:val="00846CE4"/>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14"/>
    <w:rsid w:val="00863A52"/>
    <w:rsid w:val="00863D4F"/>
    <w:rsid w:val="00864B45"/>
    <w:rsid w:val="00864E69"/>
    <w:rsid w:val="00866EC8"/>
    <w:rsid w:val="0087007A"/>
    <w:rsid w:val="008713F1"/>
    <w:rsid w:val="00871742"/>
    <w:rsid w:val="0087177D"/>
    <w:rsid w:val="008717A6"/>
    <w:rsid w:val="00872AB4"/>
    <w:rsid w:val="00874231"/>
    <w:rsid w:val="00874A97"/>
    <w:rsid w:val="00874B33"/>
    <w:rsid w:val="00875202"/>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6A4B"/>
    <w:rsid w:val="008D77E4"/>
    <w:rsid w:val="008D7AAF"/>
    <w:rsid w:val="008D7CCD"/>
    <w:rsid w:val="008D7F58"/>
    <w:rsid w:val="008E01E3"/>
    <w:rsid w:val="008E0585"/>
    <w:rsid w:val="008E151A"/>
    <w:rsid w:val="008E227E"/>
    <w:rsid w:val="008E3CC4"/>
    <w:rsid w:val="008E4129"/>
    <w:rsid w:val="008E4C96"/>
    <w:rsid w:val="008E4CC9"/>
    <w:rsid w:val="008E5033"/>
    <w:rsid w:val="008E5C56"/>
    <w:rsid w:val="008E60B7"/>
    <w:rsid w:val="008E66CC"/>
    <w:rsid w:val="008E72F4"/>
    <w:rsid w:val="008E7730"/>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0FFC"/>
    <w:rsid w:val="00952191"/>
    <w:rsid w:val="00952A4C"/>
    <w:rsid w:val="009531E2"/>
    <w:rsid w:val="009535BC"/>
    <w:rsid w:val="00954726"/>
    <w:rsid w:val="00954CA3"/>
    <w:rsid w:val="00954D7D"/>
    <w:rsid w:val="00955230"/>
    <w:rsid w:val="009559D9"/>
    <w:rsid w:val="00955B61"/>
    <w:rsid w:val="0095616F"/>
    <w:rsid w:val="00956301"/>
    <w:rsid w:val="00956423"/>
    <w:rsid w:val="00956869"/>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9D6"/>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160F"/>
    <w:rsid w:val="009928F6"/>
    <w:rsid w:val="00992CFA"/>
    <w:rsid w:val="009941E7"/>
    <w:rsid w:val="00994682"/>
    <w:rsid w:val="009947C0"/>
    <w:rsid w:val="00994849"/>
    <w:rsid w:val="00994D1D"/>
    <w:rsid w:val="00994E4D"/>
    <w:rsid w:val="0099504C"/>
    <w:rsid w:val="009954ED"/>
    <w:rsid w:val="00995F5C"/>
    <w:rsid w:val="009961B5"/>
    <w:rsid w:val="009976D0"/>
    <w:rsid w:val="009A0273"/>
    <w:rsid w:val="009A1EBA"/>
    <w:rsid w:val="009A2C96"/>
    <w:rsid w:val="009A3652"/>
    <w:rsid w:val="009A375F"/>
    <w:rsid w:val="009A458D"/>
    <w:rsid w:val="009A4F1B"/>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5450"/>
    <w:rsid w:val="009B6070"/>
    <w:rsid w:val="009B740F"/>
    <w:rsid w:val="009B7D2F"/>
    <w:rsid w:val="009B7FBC"/>
    <w:rsid w:val="009C0186"/>
    <w:rsid w:val="009C0932"/>
    <w:rsid w:val="009C22F5"/>
    <w:rsid w:val="009C25E7"/>
    <w:rsid w:val="009C2990"/>
    <w:rsid w:val="009C2D5F"/>
    <w:rsid w:val="009C3580"/>
    <w:rsid w:val="009C4157"/>
    <w:rsid w:val="009C42E1"/>
    <w:rsid w:val="009C6D1F"/>
    <w:rsid w:val="009C7BF5"/>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5CF1"/>
    <w:rsid w:val="009E7DE7"/>
    <w:rsid w:val="009E7EA2"/>
    <w:rsid w:val="009F066E"/>
    <w:rsid w:val="009F1FAA"/>
    <w:rsid w:val="009F2D95"/>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2843"/>
    <w:rsid w:val="00A03C8F"/>
    <w:rsid w:val="00A03FA3"/>
    <w:rsid w:val="00A04DB7"/>
    <w:rsid w:val="00A05A58"/>
    <w:rsid w:val="00A05A8C"/>
    <w:rsid w:val="00A05B07"/>
    <w:rsid w:val="00A05C35"/>
    <w:rsid w:val="00A069CE"/>
    <w:rsid w:val="00A073AF"/>
    <w:rsid w:val="00A10F62"/>
    <w:rsid w:val="00A115D6"/>
    <w:rsid w:val="00A12543"/>
    <w:rsid w:val="00A12EB1"/>
    <w:rsid w:val="00A13277"/>
    <w:rsid w:val="00A1336D"/>
    <w:rsid w:val="00A13F5C"/>
    <w:rsid w:val="00A13FA3"/>
    <w:rsid w:val="00A14D41"/>
    <w:rsid w:val="00A14F23"/>
    <w:rsid w:val="00A159D9"/>
    <w:rsid w:val="00A15AAE"/>
    <w:rsid w:val="00A17BD2"/>
    <w:rsid w:val="00A17DE7"/>
    <w:rsid w:val="00A17FCD"/>
    <w:rsid w:val="00A2053D"/>
    <w:rsid w:val="00A20559"/>
    <w:rsid w:val="00A20927"/>
    <w:rsid w:val="00A215C2"/>
    <w:rsid w:val="00A22322"/>
    <w:rsid w:val="00A22425"/>
    <w:rsid w:val="00A2373A"/>
    <w:rsid w:val="00A23C0A"/>
    <w:rsid w:val="00A2569A"/>
    <w:rsid w:val="00A25952"/>
    <w:rsid w:val="00A26A69"/>
    <w:rsid w:val="00A26E84"/>
    <w:rsid w:val="00A301B3"/>
    <w:rsid w:val="00A301EC"/>
    <w:rsid w:val="00A304E0"/>
    <w:rsid w:val="00A30D84"/>
    <w:rsid w:val="00A30D9B"/>
    <w:rsid w:val="00A31117"/>
    <w:rsid w:val="00A31498"/>
    <w:rsid w:val="00A32214"/>
    <w:rsid w:val="00A33517"/>
    <w:rsid w:val="00A3372C"/>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0CA"/>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7F4"/>
    <w:rsid w:val="00A7157F"/>
    <w:rsid w:val="00A734C2"/>
    <w:rsid w:val="00A739A4"/>
    <w:rsid w:val="00A745D6"/>
    <w:rsid w:val="00A7489F"/>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A51"/>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439"/>
    <w:rsid w:val="00AC7BBF"/>
    <w:rsid w:val="00AD0A20"/>
    <w:rsid w:val="00AD130E"/>
    <w:rsid w:val="00AD172A"/>
    <w:rsid w:val="00AD2444"/>
    <w:rsid w:val="00AD3824"/>
    <w:rsid w:val="00AD4822"/>
    <w:rsid w:val="00AD491A"/>
    <w:rsid w:val="00AD5E7A"/>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DF9"/>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6DC"/>
    <w:rsid w:val="00B00EA2"/>
    <w:rsid w:val="00B02098"/>
    <w:rsid w:val="00B02425"/>
    <w:rsid w:val="00B026FC"/>
    <w:rsid w:val="00B030C2"/>
    <w:rsid w:val="00B0326F"/>
    <w:rsid w:val="00B03346"/>
    <w:rsid w:val="00B0368C"/>
    <w:rsid w:val="00B0528E"/>
    <w:rsid w:val="00B05F90"/>
    <w:rsid w:val="00B05F9A"/>
    <w:rsid w:val="00B0605D"/>
    <w:rsid w:val="00B062D8"/>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5F33"/>
    <w:rsid w:val="00B1630E"/>
    <w:rsid w:val="00B1732B"/>
    <w:rsid w:val="00B178E1"/>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2D"/>
    <w:rsid w:val="00B34D45"/>
    <w:rsid w:val="00B35B70"/>
    <w:rsid w:val="00B36C1D"/>
    <w:rsid w:val="00B36DF0"/>
    <w:rsid w:val="00B3711C"/>
    <w:rsid w:val="00B3762C"/>
    <w:rsid w:val="00B3778F"/>
    <w:rsid w:val="00B37EC2"/>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08"/>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258D"/>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4E62"/>
    <w:rsid w:val="00BB5157"/>
    <w:rsid w:val="00BB57AF"/>
    <w:rsid w:val="00BB5825"/>
    <w:rsid w:val="00BB6317"/>
    <w:rsid w:val="00BB71D0"/>
    <w:rsid w:val="00BC05DF"/>
    <w:rsid w:val="00BC082C"/>
    <w:rsid w:val="00BC142F"/>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D65DA"/>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3CA"/>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A19"/>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9CA"/>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9E0"/>
    <w:rsid w:val="00CA1E75"/>
    <w:rsid w:val="00CA23BC"/>
    <w:rsid w:val="00CA4031"/>
    <w:rsid w:val="00CA4FC1"/>
    <w:rsid w:val="00CA7099"/>
    <w:rsid w:val="00CA7619"/>
    <w:rsid w:val="00CB0391"/>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A64"/>
    <w:rsid w:val="00CF6C2F"/>
    <w:rsid w:val="00CF7103"/>
    <w:rsid w:val="00CF718E"/>
    <w:rsid w:val="00CF7A4A"/>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044"/>
    <w:rsid w:val="00D32CD3"/>
    <w:rsid w:val="00D3329C"/>
    <w:rsid w:val="00D332B3"/>
    <w:rsid w:val="00D33A98"/>
    <w:rsid w:val="00D34AB3"/>
    <w:rsid w:val="00D34DC7"/>
    <w:rsid w:val="00D359F1"/>
    <w:rsid w:val="00D3721F"/>
    <w:rsid w:val="00D37249"/>
    <w:rsid w:val="00D400E7"/>
    <w:rsid w:val="00D40823"/>
    <w:rsid w:val="00D40AD3"/>
    <w:rsid w:val="00D41A85"/>
    <w:rsid w:val="00D421AC"/>
    <w:rsid w:val="00D42D91"/>
    <w:rsid w:val="00D447F2"/>
    <w:rsid w:val="00D464DE"/>
    <w:rsid w:val="00D465B3"/>
    <w:rsid w:val="00D4722D"/>
    <w:rsid w:val="00D4799D"/>
    <w:rsid w:val="00D47DAB"/>
    <w:rsid w:val="00D50054"/>
    <w:rsid w:val="00D5455A"/>
    <w:rsid w:val="00D555C0"/>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75E"/>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1925"/>
    <w:rsid w:val="00DB23C2"/>
    <w:rsid w:val="00DB32E7"/>
    <w:rsid w:val="00DB33F9"/>
    <w:rsid w:val="00DB383C"/>
    <w:rsid w:val="00DB4247"/>
    <w:rsid w:val="00DB43DD"/>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B41"/>
    <w:rsid w:val="00DE6D37"/>
    <w:rsid w:val="00DE76AF"/>
    <w:rsid w:val="00DE7E18"/>
    <w:rsid w:val="00DF16DB"/>
    <w:rsid w:val="00DF1F1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CE6"/>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1ED9"/>
    <w:rsid w:val="00E2336E"/>
    <w:rsid w:val="00E237E9"/>
    <w:rsid w:val="00E242F7"/>
    <w:rsid w:val="00E24364"/>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B9D"/>
    <w:rsid w:val="00E41DC2"/>
    <w:rsid w:val="00E41E71"/>
    <w:rsid w:val="00E428C2"/>
    <w:rsid w:val="00E42D4F"/>
    <w:rsid w:val="00E45B6D"/>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140"/>
    <w:rsid w:val="00E84FAE"/>
    <w:rsid w:val="00E85ED1"/>
    <w:rsid w:val="00E86447"/>
    <w:rsid w:val="00E865E6"/>
    <w:rsid w:val="00E86C52"/>
    <w:rsid w:val="00E87C86"/>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6CD3"/>
    <w:rsid w:val="00E972E3"/>
    <w:rsid w:val="00E97872"/>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B0B"/>
    <w:rsid w:val="00EB3B72"/>
    <w:rsid w:val="00EB43D8"/>
    <w:rsid w:val="00EB4875"/>
    <w:rsid w:val="00EB4BC1"/>
    <w:rsid w:val="00EB4EDF"/>
    <w:rsid w:val="00EB584C"/>
    <w:rsid w:val="00EB6286"/>
    <w:rsid w:val="00EB63F0"/>
    <w:rsid w:val="00EB6ED1"/>
    <w:rsid w:val="00EB7361"/>
    <w:rsid w:val="00EC11BA"/>
    <w:rsid w:val="00EC257A"/>
    <w:rsid w:val="00EC2A78"/>
    <w:rsid w:val="00EC305B"/>
    <w:rsid w:val="00EC33D1"/>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615"/>
    <w:rsid w:val="00EE088D"/>
    <w:rsid w:val="00EE1BFC"/>
    <w:rsid w:val="00EE2734"/>
    <w:rsid w:val="00EE3653"/>
    <w:rsid w:val="00EE3F23"/>
    <w:rsid w:val="00EE4463"/>
    <w:rsid w:val="00EE50B0"/>
    <w:rsid w:val="00EE5E2D"/>
    <w:rsid w:val="00EE6927"/>
    <w:rsid w:val="00EF0CD5"/>
    <w:rsid w:val="00EF197F"/>
    <w:rsid w:val="00EF21A0"/>
    <w:rsid w:val="00EF23E7"/>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B0C"/>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677"/>
    <w:rsid w:val="00F22F4B"/>
    <w:rsid w:val="00F240A3"/>
    <w:rsid w:val="00F243F9"/>
    <w:rsid w:val="00F24A72"/>
    <w:rsid w:val="00F26C79"/>
    <w:rsid w:val="00F310D0"/>
    <w:rsid w:val="00F31DB0"/>
    <w:rsid w:val="00F32F3C"/>
    <w:rsid w:val="00F334F9"/>
    <w:rsid w:val="00F33EFD"/>
    <w:rsid w:val="00F3423F"/>
    <w:rsid w:val="00F346A4"/>
    <w:rsid w:val="00F34858"/>
    <w:rsid w:val="00F35063"/>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7E2"/>
    <w:rsid w:val="00F51100"/>
    <w:rsid w:val="00F51779"/>
    <w:rsid w:val="00F52CF7"/>
    <w:rsid w:val="00F53D63"/>
    <w:rsid w:val="00F5425D"/>
    <w:rsid w:val="00F54DE2"/>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A9D"/>
    <w:rsid w:val="00F8064F"/>
    <w:rsid w:val="00F80A85"/>
    <w:rsid w:val="00F81BC1"/>
    <w:rsid w:val="00F82931"/>
    <w:rsid w:val="00F82AA1"/>
    <w:rsid w:val="00F847F5"/>
    <w:rsid w:val="00F84E65"/>
    <w:rsid w:val="00F85874"/>
    <w:rsid w:val="00F858B7"/>
    <w:rsid w:val="00F913FB"/>
    <w:rsid w:val="00F925E3"/>
    <w:rsid w:val="00F93FBC"/>
    <w:rsid w:val="00F94058"/>
    <w:rsid w:val="00F96338"/>
    <w:rsid w:val="00F965D3"/>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0068"/>
    <w:rsid w:val="00FD139A"/>
    <w:rsid w:val="00FD1471"/>
    <w:rsid w:val="00FD170D"/>
    <w:rsid w:val="00FD280F"/>
    <w:rsid w:val="00FD2A89"/>
    <w:rsid w:val="00FD2F38"/>
    <w:rsid w:val="00FD3050"/>
    <w:rsid w:val="00FD4833"/>
    <w:rsid w:val="00FD56C2"/>
    <w:rsid w:val="00FD6D9C"/>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33170538">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59299552">
      <w:bodyDiv w:val="1"/>
      <w:marLeft w:val="0"/>
      <w:marRight w:val="0"/>
      <w:marTop w:val="0"/>
      <w:marBottom w:val="0"/>
      <w:divBdr>
        <w:top w:val="none" w:sz="0" w:space="0" w:color="auto"/>
        <w:left w:val="none" w:sz="0" w:space="0" w:color="auto"/>
        <w:bottom w:val="none" w:sz="0" w:space="0" w:color="auto"/>
        <w:right w:val="none" w:sz="0" w:space="0" w:color="auto"/>
      </w:divBdr>
      <w:divsChild>
        <w:div w:id="911548204">
          <w:marLeft w:val="0"/>
          <w:marRight w:val="0"/>
          <w:marTop w:val="0"/>
          <w:marBottom w:val="0"/>
          <w:divBdr>
            <w:top w:val="none" w:sz="0" w:space="0" w:color="auto"/>
            <w:left w:val="none" w:sz="0" w:space="0" w:color="auto"/>
            <w:bottom w:val="none" w:sz="0" w:space="0" w:color="auto"/>
            <w:right w:val="none" w:sz="0" w:space="0" w:color="auto"/>
          </w:divBdr>
        </w:div>
        <w:div w:id="1649826084">
          <w:marLeft w:val="0"/>
          <w:marRight w:val="0"/>
          <w:marTop w:val="0"/>
          <w:marBottom w:val="0"/>
          <w:divBdr>
            <w:top w:val="none" w:sz="0" w:space="0" w:color="auto"/>
            <w:left w:val="none" w:sz="0" w:space="0" w:color="auto"/>
            <w:bottom w:val="none" w:sz="0" w:space="0" w:color="auto"/>
            <w:right w:val="none" w:sz="0" w:space="0" w:color="auto"/>
          </w:divBdr>
        </w:div>
        <w:div w:id="1276787216">
          <w:marLeft w:val="0"/>
          <w:marRight w:val="0"/>
          <w:marTop w:val="0"/>
          <w:marBottom w:val="0"/>
          <w:divBdr>
            <w:top w:val="none" w:sz="0" w:space="0" w:color="auto"/>
            <w:left w:val="none" w:sz="0" w:space="0" w:color="auto"/>
            <w:bottom w:val="none" w:sz="0" w:space="0" w:color="auto"/>
            <w:right w:val="none" w:sz="0" w:space="0" w:color="auto"/>
          </w:divBdr>
        </w:div>
        <w:div w:id="112334435">
          <w:marLeft w:val="0"/>
          <w:marRight w:val="0"/>
          <w:marTop w:val="0"/>
          <w:marBottom w:val="0"/>
          <w:divBdr>
            <w:top w:val="none" w:sz="0" w:space="0" w:color="auto"/>
            <w:left w:val="none" w:sz="0" w:space="0" w:color="auto"/>
            <w:bottom w:val="none" w:sz="0" w:space="0" w:color="auto"/>
            <w:right w:val="none" w:sz="0" w:space="0" w:color="auto"/>
          </w:divBdr>
        </w:div>
        <w:div w:id="1858225673">
          <w:marLeft w:val="0"/>
          <w:marRight w:val="0"/>
          <w:marTop w:val="0"/>
          <w:marBottom w:val="0"/>
          <w:divBdr>
            <w:top w:val="none" w:sz="0" w:space="0" w:color="auto"/>
            <w:left w:val="none" w:sz="0" w:space="0" w:color="auto"/>
            <w:bottom w:val="none" w:sz="0" w:space="0" w:color="auto"/>
            <w:right w:val="none" w:sz="0" w:space="0" w:color="auto"/>
          </w:divBdr>
        </w:div>
        <w:div w:id="1714499753">
          <w:marLeft w:val="0"/>
          <w:marRight w:val="0"/>
          <w:marTop w:val="0"/>
          <w:marBottom w:val="0"/>
          <w:divBdr>
            <w:top w:val="none" w:sz="0" w:space="0" w:color="auto"/>
            <w:left w:val="none" w:sz="0" w:space="0" w:color="auto"/>
            <w:bottom w:val="none" w:sz="0" w:space="0" w:color="auto"/>
            <w:right w:val="none" w:sz="0" w:space="0" w:color="auto"/>
          </w:divBdr>
        </w:div>
        <w:div w:id="1423988049">
          <w:marLeft w:val="0"/>
          <w:marRight w:val="0"/>
          <w:marTop w:val="0"/>
          <w:marBottom w:val="0"/>
          <w:divBdr>
            <w:top w:val="none" w:sz="0" w:space="0" w:color="auto"/>
            <w:left w:val="none" w:sz="0" w:space="0" w:color="auto"/>
            <w:bottom w:val="none" w:sz="0" w:space="0" w:color="auto"/>
            <w:right w:val="none" w:sz="0" w:space="0" w:color="auto"/>
          </w:divBdr>
        </w:div>
        <w:div w:id="619192608">
          <w:marLeft w:val="0"/>
          <w:marRight w:val="0"/>
          <w:marTop w:val="0"/>
          <w:marBottom w:val="0"/>
          <w:divBdr>
            <w:top w:val="none" w:sz="0" w:space="0" w:color="auto"/>
            <w:left w:val="none" w:sz="0" w:space="0" w:color="auto"/>
            <w:bottom w:val="none" w:sz="0" w:space="0" w:color="auto"/>
            <w:right w:val="none" w:sz="0" w:space="0" w:color="auto"/>
          </w:divBdr>
        </w:div>
      </w:divsChild>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88352715">
      <w:bodyDiv w:val="1"/>
      <w:marLeft w:val="0"/>
      <w:marRight w:val="0"/>
      <w:marTop w:val="0"/>
      <w:marBottom w:val="0"/>
      <w:divBdr>
        <w:top w:val="none" w:sz="0" w:space="0" w:color="auto"/>
        <w:left w:val="none" w:sz="0" w:space="0" w:color="auto"/>
        <w:bottom w:val="none" w:sz="0" w:space="0" w:color="auto"/>
        <w:right w:val="none" w:sz="0" w:space="0" w:color="auto"/>
      </w:divBdr>
      <w:divsChild>
        <w:div w:id="877475935">
          <w:marLeft w:val="0"/>
          <w:marRight w:val="0"/>
          <w:marTop w:val="0"/>
          <w:marBottom w:val="0"/>
          <w:divBdr>
            <w:top w:val="none" w:sz="0" w:space="0" w:color="auto"/>
            <w:left w:val="none" w:sz="0" w:space="0" w:color="auto"/>
            <w:bottom w:val="none" w:sz="0" w:space="0" w:color="auto"/>
            <w:right w:val="none" w:sz="0" w:space="0" w:color="auto"/>
          </w:divBdr>
        </w:div>
        <w:div w:id="968587061">
          <w:marLeft w:val="0"/>
          <w:marRight w:val="0"/>
          <w:marTop w:val="0"/>
          <w:marBottom w:val="0"/>
          <w:divBdr>
            <w:top w:val="none" w:sz="0" w:space="0" w:color="auto"/>
            <w:left w:val="none" w:sz="0" w:space="0" w:color="auto"/>
            <w:bottom w:val="none" w:sz="0" w:space="0" w:color="auto"/>
            <w:right w:val="none" w:sz="0" w:space="0" w:color="auto"/>
          </w:divBdr>
        </w:div>
        <w:div w:id="1503397967">
          <w:marLeft w:val="0"/>
          <w:marRight w:val="0"/>
          <w:marTop w:val="0"/>
          <w:marBottom w:val="0"/>
          <w:divBdr>
            <w:top w:val="none" w:sz="0" w:space="0" w:color="auto"/>
            <w:left w:val="none" w:sz="0" w:space="0" w:color="auto"/>
            <w:bottom w:val="none" w:sz="0" w:space="0" w:color="auto"/>
            <w:right w:val="none" w:sz="0" w:space="0" w:color="auto"/>
          </w:divBdr>
        </w:div>
      </w:divsChild>
    </w:div>
    <w:div w:id="1524705589">
      <w:bodyDiv w:val="1"/>
      <w:marLeft w:val="0"/>
      <w:marRight w:val="0"/>
      <w:marTop w:val="0"/>
      <w:marBottom w:val="0"/>
      <w:divBdr>
        <w:top w:val="none" w:sz="0" w:space="0" w:color="auto"/>
        <w:left w:val="none" w:sz="0" w:space="0" w:color="auto"/>
        <w:bottom w:val="none" w:sz="0" w:space="0" w:color="auto"/>
        <w:right w:val="none" w:sz="0" w:space="0" w:color="auto"/>
      </w:divBdr>
      <w:divsChild>
        <w:div w:id="2051614295">
          <w:marLeft w:val="0"/>
          <w:marRight w:val="0"/>
          <w:marTop w:val="0"/>
          <w:marBottom w:val="0"/>
          <w:divBdr>
            <w:top w:val="none" w:sz="0" w:space="0" w:color="auto"/>
            <w:left w:val="none" w:sz="0" w:space="0" w:color="auto"/>
            <w:bottom w:val="none" w:sz="0" w:space="0" w:color="auto"/>
            <w:right w:val="none" w:sz="0" w:space="0" w:color="auto"/>
          </w:divBdr>
        </w:div>
        <w:div w:id="1957757431">
          <w:marLeft w:val="0"/>
          <w:marRight w:val="0"/>
          <w:marTop w:val="0"/>
          <w:marBottom w:val="0"/>
          <w:divBdr>
            <w:top w:val="none" w:sz="0" w:space="0" w:color="auto"/>
            <w:left w:val="none" w:sz="0" w:space="0" w:color="auto"/>
            <w:bottom w:val="none" w:sz="0" w:space="0" w:color="auto"/>
            <w:right w:val="none" w:sz="0" w:space="0" w:color="auto"/>
          </w:divBdr>
        </w:div>
      </w:divsChild>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1310305">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tackling-climate-change/preparing-for-climate-change/uk-climate-change-risk-assessment-201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k-climate-change-risk-assessment-20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ccc.org.uk/tackling-climate-change/preparing-for-climate-change/uk-climate-change-risk-assessment-2017/ccra-chapters/approach-and-con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theccc.org.uk/tackling-climate-change/preparing-for-climate-change/uk-climate-change-risk-assessment-2017/ccra-chapters/"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uk-climate-change-risk-assessment-government-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0EA96-1B10-4EA7-A906-6F1D44E0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 (CCC)</cp:lastModifiedBy>
  <cp:revision>2</cp:revision>
  <cp:lastPrinted>2015-02-09T14:25:00Z</cp:lastPrinted>
  <dcterms:created xsi:type="dcterms:W3CDTF">2018-07-31T08:57:00Z</dcterms:created>
  <dcterms:modified xsi:type="dcterms:W3CDTF">2018-07-31T08:57:00Z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