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E0CDA" w14:textId="178E6815" w:rsidR="001514EB" w:rsidRPr="009362E6" w:rsidRDefault="009362E6" w:rsidP="001514EB">
      <w:pPr>
        <w:rPr>
          <w:b/>
          <w:bCs/>
        </w:rPr>
      </w:pPr>
      <w:r w:rsidRPr="009362E6">
        <w:rPr>
          <w:b/>
          <w:bCs/>
        </w:rPr>
        <w:t>Clarification questions and answers:</w:t>
      </w:r>
    </w:p>
    <w:p w14:paraId="0A4FB23E" w14:textId="77777777" w:rsidR="009362E6" w:rsidRPr="009362E6" w:rsidRDefault="009362E6" w:rsidP="001514EB">
      <w:pPr>
        <w:rPr>
          <w:b/>
          <w:bCs/>
          <w:iCs/>
        </w:rPr>
      </w:pPr>
      <w:r w:rsidRPr="009362E6">
        <w:rPr>
          <w:b/>
          <w:bCs/>
        </w:rPr>
        <w:t>JNCC Reference C20-0708-1462</w:t>
      </w:r>
      <w:r w:rsidRPr="009362E6">
        <w:rPr>
          <w:b/>
          <w:bCs/>
          <w:iCs/>
        </w:rPr>
        <w:t xml:space="preserve"> </w:t>
      </w:r>
    </w:p>
    <w:p w14:paraId="4D3BB5DC" w14:textId="4D8BD526" w:rsidR="009362E6" w:rsidRDefault="009362E6" w:rsidP="001514EB">
      <w:r>
        <w:rPr>
          <w:b/>
          <w:bCs/>
          <w:iCs/>
        </w:rPr>
        <w:t xml:space="preserve">Title: </w:t>
      </w:r>
      <w:r w:rsidRPr="001E4084">
        <w:rPr>
          <w:b/>
          <w:bCs/>
          <w:iCs/>
        </w:rPr>
        <w:t xml:space="preserve">JNCC </w:t>
      </w:r>
      <w:r>
        <w:rPr>
          <w:b/>
          <w:bCs/>
          <w:iCs/>
        </w:rPr>
        <w:t>Business Association Framework to support Nature Conservation</w:t>
      </w:r>
    </w:p>
    <w:p w14:paraId="0347B4F2" w14:textId="70F549B4" w:rsidR="009362E6" w:rsidRDefault="009362E6" w:rsidP="001514EB"/>
    <w:p w14:paraId="0D197B87" w14:textId="77777777" w:rsidR="009362E6" w:rsidRDefault="009362E6" w:rsidP="001514EB"/>
    <w:p w14:paraId="601FBE91" w14:textId="77777777" w:rsidR="0037745F" w:rsidRPr="009362E6" w:rsidRDefault="001514EB" w:rsidP="001514EB">
      <w:pPr>
        <w:numPr>
          <w:ilvl w:val="0"/>
          <w:numId w:val="10"/>
        </w:numPr>
        <w:textAlignment w:val="center"/>
        <w:rPr>
          <w:rFonts w:asciiTheme="minorHAnsi" w:eastAsia="Times New Roman" w:hAnsiTheme="minorHAnsi" w:cstheme="minorHAnsi"/>
          <w:lang w:eastAsia="en-GB"/>
        </w:rPr>
      </w:pPr>
      <w:r w:rsidRPr="009362E6">
        <w:rPr>
          <w:rFonts w:asciiTheme="minorHAnsi" w:eastAsia="Times New Roman" w:hAnsiTheme="minorHAnsi" w:cstheme="minorHAnsi"/>
          <w:lang w:eastAsia="en-GB"/>
        </w:rPr>
        <w:t>Section 8.2 refers to "Technical skills and costings (paragraph 9)". Please could you confirm that this should actually refer to section 9?</w:t>
      </w:r>
      <w:r w:rsidR="0037745F" w:rsidRPr="009362E6">
        <w:rPr>
          <w:rFonts w:asciiTheme="minorHAnsi" w:eastAsia="Times New Roman" w:hAnsiTheme="minorHAnsi" w:cstheme="minorHAnsi"/>
          <w:lang w:eastAsia="en-GB"/>
        </w:rPr>
        <w:t xml:space="preserve"> </w:t>
      </w:r>
    </w:p>
    <w:p w14:paraId="3CDEA36F" w14:textId="63E1F732" w:rsidR="001514EB" w:rsidRPr="009362E6" w:rsidRDefault="0037745F" w:rsidP="0037745F">
      <w:pPr>
        <w:ind w:left="785"/>
        <w:textAlignment w:val="center"/>
        <w:rPr>
          <w:rFonts w:asciiTheme="minorHAnsi" w:eastAsia="Times New Roman" w:hAnsiTheme="minorHAnsi" w:cstheme="minorHAnsi"/>
          <w:color w:val="4F81BD" w:themeColor="accent1"/>
          <w:lang w:eastAsia="en-GB"/>
        </w:rPr>
      </w:pPr>
      <w:r w:rsidRPr="009362E6">
        <w:rPr>
          <w:rFonts w:asciiTheme="minorHAnsi" w:eastAsia="Times New Roman" w:hAnsiTheme="minorHAnsi" w:cstheme="minorHAnsi"/>
          <w:color w:val="4F81BD" w:themeColor="accent1"/>
          <w:lang w:eastAsia="en-GB"/>
        </w:rPr>
        <w:t>Answer</w:t>
      </w:r>
      <w:r w:rsidRPr="009362E6">
        <w:rPr>
          <w:rFonts w:asciiTheme="minorHAnsi" w:eastAsia="Times New Roman" w:hAnsiTheme="minorHAnsi" w:cstheme="minorHAnsi"/>
          <w:lang w:eastAsia="en-GB"/>
        </w:rPr>
        <w:t xml:space="preserve">: </w:t>
      </w:r>
      <w:r w:rsidRPr="009362E6">
        <w:rPr>
          <w:rFonts w:asciiTheme="minorHAnsi" w:eastAsia="Times New Roman" w:hAnsiTheme="minorHAnsi" w:cstheme="minorHAnsi"/>
          <w:color w:val="4F81BD" w:themeColor="accent1"/>
          <w:lang w:eastAsia="en-GB"/>
        </w:rPr>
        <w:t xml:space="preserve">Yes </w:t>
      </w:r>
    </w:p>
    <w:p w14:paraId="6ED525A8" w14:textId="77777777" w:rsidR="00CF75AB" w:rsidRPr="009362E6" w:rsidRDefault="00CF75AB" w:rsidP="0037745F">
      <w:pPr>
        <w:ind w:left="785"/>
        <w:textAlignment w:val="center"/>
        <w:rPr>
          <w:rFonts w:asciiTheme="minorHAnsi" w:eastAsia="Times New Roman" w:hAnsiTheme="minorHAnsi" w:cstheme="minorHAnsi"/>
          <w:lang w:eastAsia="en-GB"/>
        </w:rPr>
      </w:pPr>
    </w:p>
    <w:p w14:paraId="44309C3C" w14:textId="77777777" w:rsidR="001514EB" w:rsidRPr="009362E6" w:rsidRDefault="001514EB" w:rsidP="001514EB">
      <w:pPr>
        <w:numPr>
          <w:ilvl w:val="0"/>
          <w:numId w:val="10"/>
        </w:numPr>
        <w:textAlignment w:val="center"/>
        <w:rPr>
          <w:rFonts w:asciiTheme="minorHAnsi" w:eastAsia="Times New Roman" w:hAnsiTheme="minorHAnsi" w:cstheme="minorHAnsi"/>
          <w:lang w:eastAsia="en-GB"/>
        </w:rPr>
      </w:pPr>
      <w:r w:rsidRPr="009362E6">
        <w:rPr>
          <w:rFonts w:asciiTheme="minorHAnsi" w:eastAsia="Times New Roman" w:hAnsiTheme="minorHAnsi" w:cstheme="minorHAnsi"/>
          <w:lang w:eastAsia="en-GB"/>
        </w:rPr>
        <w:t>Section 8.2 states that the submission should include "Details of the individual, including their roles…" Is the expectation that we should relate personnel to "job titles" listed in our response to Section 9.4 Costing evaluation? Is this how rates for individuals will be assessed?</w:t>
      </w:r>
    </w:p>
    <w:p w14:paraId="17E68B82" w14:textId="10CF1BA0" w:rsidR="001514EB" w:rsidRPr="009362E6" w:rsidRDefault="00B911BA" w:rsidP="001514EB">
      <w:pPr>
        <w:ind w:left="720"/>
        <w:textAlignment w:val="center"/>
        <w:rPr>
          <w:rFonts w:asciiTheme="minorHAnsi" w:eastAsia="Times New Roman" w:hAnsiTheme="minorHAnsi" w:cstheme="minorHAnsi"/>
          <w:color w:val="4F81BD" w:themeColor="accent1"/>
          <w:lang w:eastAsia="en-GB"/>
        </w:rPr>
      </w:pPr>
      <w:r w:rsidRPr="009362E6">
        <w:rPr>
          <w:rFonts w:asciiTheme="minorHAnsi" w:eastAsia="Times New Roman" w:hAnsiTheme="minorHAnsi" w:cstheme="minorHAnsi"/>
          <w:color w:val="4F81BD" w:themeColor="accent1"/>
          <w:lang w:eastAsia="en-GB"/>
        </w:rPr>
        <w:t xml:space="preserve"> </w:t>
      </w:r>
      <w:r w:rsidR="001514EB" w:rsidRPr="009362E6">
        <w:rPr>
          <w:rFonts w:asciiTheme="minorHAnsi" w:eastAsia="Times New Roman" w:hAnsiTheme="minorHAnsi" w:cstheme="minorHAnsi"/>
          <w:color w:val="4F81BD" w:themeColor="accent1"/>
          <w:lang w:eastAsia="en-GB"/>
        </w:rPr>
        <w:t>Answer</w:t>
      </w:r>
      <w:r w:rsidRPr="009362E6">
        <w:rPr>
          <w:rFonts w:asciiTheme="minorHAnsi" w:eastAsia="Times New Roman" w:hAnsiTheme="minorHAnsi" w:cstheme="minorHAnsi"/>
          <w:color w:val="4F81BD" w:themeColor="accent1"/>
          <w:lang w:eastAsia="en-GB"/>
        </w:rPr>
        <w:t>:</w:t>
      </w:r>
      <w:r w:rsidR="001514EB" w:rsidRPr="009362E6">
        <w:rPr>
          <w:rFonts w:asciiTheme="minorHAnsi" w:eastAsia="Times New Roman" w:hAnsiTheme="minorHAnsi" w:cstheme="minorHAnsi"/>
          <w:color w:val="4F81BD" w:themeColor="accent1"/>
          <w:lang w:eastAsia="en-GB"/>
        </w:rPr>
        <w:t xml:space="preserve"> the job title or equivalent can be listed for example Director/Principal consultant (task - QA review and sign-off); </w:t>
      </w:r>
      <w:r w:rsidR="002972D9" w:rsidRPr="009362E6">
        <w:rPr>
          <w:rFonts w:asciiTheme="minorHAnsi" w:eastAsia="Times New Roman" w:hAnsiTheme="minorHAnsi" w:cstheme="minorHAnsi"/>
          <w:color w:val="4F81BD" w:themeColor="accent1"/>
          <w:lang w:eastAsia="en-GB"/>
        </w:rPr>
        <w:t>Consultant</w:t>
      </w:r>
      <w:r w:rsidR="001514EB" w:rsidRPr="009362E6">
        <w:rPr>
          <w:rFonts w:asciiTheme="minorHAnsi" w:eastAsia="Times New Roman" w:hAnsiTheme="minorHAnsi" w:cstheme="minorHAnsi"/>
          <w:color w:val="4F81BD" w:themeColor="accent1"/>
          <w:lang w:eastAsia="en-GB"/>
        </w:rPr>
        <w:t xml:space="preserve">/senior consultant (person expected to undertake most of </w:t>
      </w:r>
      <w:r w:rsidR="009362E6" w:rsidRPr="009362E6">
        <w:rPr>
          <w:rFonts w:asciiTheme="minorHAnsi" w:eastAsia="Times New Roman" w:hAnsiTheme="minorHAnsi" w:cstheme="minorHAnsi"/>
          <w:color w:val="4F81BD" w:themeColor="accent1"/>
          <w:lang w:eastAsia="en-GB"/>
        </w:rPr>
        <w:t>work;</w:t>
      </w:r>
      <w:r w:rsidR="001514EB" w:rsidRPr="009362E6">
        <w:rPr>
          <w:rFonts w:asciiTheme="minorHAnsi" w:eastAsia="Times New Roman" w:hAnsiTheme="minorHAnsi" w:cstheme="minorHAnsi"/>
          <w:color w:val="4F81BD" w:themeColor="accent1"/>
          <w:lang w:eastAsia="en-GB"/>
        </w:rPr>
        <w:t xml:space="preserve"> - other support staff</w:t>
      </w:r>
    </w:p>
    <w:p w14:paraId="1F643483" w14:textId="77777777" w:rsidR="00CF75AB" w:rsidRPr="009362E6" w:rsidRDefault="00CF75AB" w:rsidP="001514EB">
      <w:pPr>
        <w:ind w:left="720"/>
        <w:textAlignment w:val="center"/>
        <w:rPr>
          <w:rFonts w:asciiTheme="minorHAnsi" w:eastAsia="Times New Roman" w:hAnsiTheme="minorHAnsi" w:cstheme="minorHAnsi"/>
          <w:color w:val="4F81BD" w:themeColor="accent1"/>
          <w:lang w:eastAsia="en-GB"/>
        </w:rPr>
      </w:pPr>
    </w:p>
    <w:p w14:paraId="0282A850" w14:textId="77777777" w:rsidR="00B911BA" w:rsidRPr="009362E6" w:rsidRDefault="001514EB" w:rsidP="001514EB">
      <w:pPr>
        <w:numPr>
          <w:ilvl w:val="0"/>
          <w:numId w:val="10"/>
        </w:numPr>
        <w:textAlignment w:val="center"/>
        <w:rPr>
          <w:rFonts w:asciiTheme="minorHAnsi" w:eastAsia="Times New Roman" w:hAnsiTheme="minorHAnsi" w:cstheme="minorHAnsi"/>
          <w:color w:val="4F81BD" w:themeColor="accent1"/>
          <w:lang w:eastAsia="en-GB"/>
        </w:rPr>
      </w:pPr>
      <w:r w:rsidRPr="009362E6">
        <w:rPr>
          <w:rFonts w:asciiTheme="minorHAnsi" w:eastAsia="Times New Roman" w:hAnsiTheme="minorHAnsi" w:cstheme="minorHAnsi"/>
          <w:lang w:eastAsia="en-GB"/>
        </w:rPr>
        <w:t>Should we complete Q1 separately for each individual included in our submission?</w:t>
      </w:r>
      <w:r w:rsidR="002972D9" w:rsidRPr="009362E6">
        <w:rPr>
          <w:rFonts w:asciiTheme="minorHAnsi" w:hAnsiTheme="minorHAnsi" w:cstheme="minorHAnsi"/>
        </w:rPr>
        <w:t xml:space="preserve"> </w:t>
      </w:r>
    </w:p>
    <w:p w14:paraId="697FAD5F" w14:textId="623F44FB" w:rsidR="001514EB" w:rsidRPr="009362E6" w:rsidRDefault="00B911BA" w:rsidP="00B911BA">
      <w:pPr>
        <w:ind w:left="785"/>
        <w:textAlignment w:val="center"/>
        <w:rPr>
          <w:rFonts w:asciiTheme="minorHAnsi" w:hAnsiTheme="minorHAnsi" w:cstheme="minorHAnsi"/>
          <w:color w:val="4F81BD" w:themeColor="accent1"/>
        </w:rPr>
      </w:pPr>
      <w:r w:rsidRPr="009362E6">
        <w:rPr>
          <w:rFonts w:asciiTheme="minorHAnsi" w:hAnsiTheme="minorHAnsi" w:cstheme="minorHAnsi"/>
          <w:color w:val="4F81BD" w:themeColor="accent1"/>
        </w:rPr>
        <w:t xml:space="preserve">Answer: If you could insert </w:t>
      </w:r>
      <w:r w:rsidR="002972D9" w:rsidRPr="009362E6">
        <w:rPr>
          <w:rFonts w:asciiTheme="minorHAnsi" w:hAnsiTheme="minorHAnsi" w:cstheme="minorHAnsi"/>
          <w:color w:val="4F81BD" w:themeColor="accent1"/>
        </w:rPr>
        <w:t xml:space="preserve">Key personnel &amp; qualifications of relevance to specific </w:t>
      </w:r>
      <w:r w:rsidRPr="009362E6">
        <w:rPr>
          <w:rFonts w:asciiTheme="minorHAnsi" w:hAnsiTheme="minorHAnsi" w:cstheme="minorHAnsi"/>
          <w:color w:val="4F81BD" w:themeColor="accent1"/>
        </w:rPr>
        <w:t xml:space="preserve">to </w:t>
      </w:r>
      <w:r w:rsidR="002972D9" w:rsidRPr="009362E6">
        <w:rPr>
          <w:rFonts w:asciiTheme="minorHAnsi" w:hAnsiTheme="minorHAnsi" w:cstheme="minorHAnsi"/>
          <w:color w:val="4F81BD" w:themeColor="accent1"/>
        </w:rPr>
        <w:t>skills</w:t>
      </w:r>
      <w:r w:rsidRPr="009362E6">
        <w:rPr>
          <w:rFonts w:asciiTheme="minorHAnsi" w:hAnsiTheme="minorHAnsi" w:cstheme="minorHAnsi"/>
          <w:color w:val="4F81BD" w:themeColor="accent1"/>
        </w:rPr>
        <w:t xml:space="preserve"> (</w:t>
      </w:r>
      <w:r w:rsidR="002972D9" w:rsidRPr="009362E6">
        <w:rPr>
          <w:rFonts w:asciiTheme="minorHAnsi" w:hAnsiTheme="minorHAnsi" w:cstheme="minorHAnsi"/>
          <w:color w:val="4F81BD" w:themeColor="accent1"/>
        </w:rPr>
        <w:t>please limit to x5 bullets max</w:t>
      </w:r>
      <w:r w:rsidRPr="009362E6">
        <w:rPr>
          <w:rFonts w:asciiTheme="minorHAnsi" w:hAnsiTheme="minorHAnsi" w:cstheme="minorHAnsi"/>
          <w:color w:val="4F81BD" w:themeColor="accent1"/>
        </w:rPr>
        <w:t>)</w:t>
      </w:r>
    </w:p>
    <w:p w14:paraId="3046354A" w14:textId="77777777" w:rsidR="00CF75AB" w:rsidRPr="009362E6" w:rsidRDefault="00CF75AB" w:rsidP="00B911BA">
      <w:pPr>
        <w:ind w:left="785"/>
        <w:textAlignment w:val="center"/>
        <w:rPr>
          <w:rFonts w:asciiTheme="minorHAnsi" w:eastAsia="Times New Roman" w:hAnsiTheme="minorHAnsi" w:cstheme="minorHAnsi"/>
          <w:color w:val="4F81BD" w:themeColor="accent1"/>
          <w:lang w:eastAsia="en-GB"/>
        </w:rPr>
      </w:pPr>
    </w:p>
    <w:p w14:paraId="622B0B13" w14:textId="274B5625" w:rsidR="005F1AC6" w:rsidRPr="009362E6" w:rsidRDefault="001514EB" w:rsidP="00C06CE0">
      <w:pPr>
        <w:pStyle w:val="ListParagraph"/>
        <w:numPr>
          <w:ilvl w:val="0"/>
          <w:numId w:val="10"/>
        </w:numPr>
        <w:rPr>
          <w:rFonts w:asciiTheme="minorHAnsi" w:hAnsiTheme="minorHAnsi" w:cstheme="minorHAnsi"/>
        </w:rPr>
      </w:pPr>
      <w:r w:rsidRPr="009362E6">
        <w:rPr>
          <w:rFonts w:asciiTheme="minorHAnsi" w:eastAsia="Times New Roman" w:hAnsiTheme="minorHAnsi" w:cstheme="minorHAnsi"/>
          <w:lang w:eastAsia="en-GB"/>
        </w:rPr>
        <w:t xml:space="preserve">Please could you provide more detail on how Q9.3.1 will be assessed? Given there is no detail on the work to be covered by the framework, is it correct to assume that a </w:t>
      </w:r>
      <w:r w:rsidR="009362E6" w:rsidRPr="009362E6">
        <w:rPr>
          <w:rFonts w:asciiTheme="minorHAnsi" w:eastAsia="Times New Roman" w:hAnsiTheme="minorHAnsi" w:cstheme="minorHAnsi"/>
          <w:lang w:eastAsia="en-GB"/>
        </w:rPr>
        <w:t>high-level</w:t>
      </w:r>
      <w:r w:rsidRPr="009362E6">
        <w:rPr>
          <w:rFonts w:asciiTheme="minorHAnsi" w:eastAsia="Times New Roman" w:hAnsiTheme="minorHAnsi" w:cstheme="minorHAnsi"/>
          <w:lang w:eastAsia="en-GB"/>
        </w:rPr>
        <w:t xml:space="preserve"> answer covering our general approach is required? Please could you provide some guidance?</w:t>
      </w:r>
      <w:r w:rsidR="005F1AC6" w:rsidRPr="009362E6">
        <w:rPr>
          <w:rFonts w:asciiTheme="minorHAnsi" w:hAnsiTheme="minorHAnsi" w:cstheme="minorHAnsi"/>
        </w:rPr>
        <w:t xml:space="preserve"> </w:t>
      </w:r>
    </w:p>
    <w:p w14:paraId="45D86D9B" w14:textId="0593E541" w:rsidR="00CF75AB" w:rsidRPr="009362E6" w:rsidRDefault="005F1AC6" w:rsidP="005F1AC6">
      <w:pPr>
        <w:ind w:left="720"/>
        <w:rPr>
          <w:rFonts w:asciiTheme="minorHAnsi" w:hAnsiTheme="minorHAnsi" w:cstheme="minorHAnsi"/>
          <w:color w:val="4F81BD" w:themeColor="accent1"/>
        </w:rPr>
      </w:pPr>
      <w:r w:rsidRPr="009362E6">
        <w:rPr>
          <w:rFonts w:asciiTheme="minorHAnsi" w:hAnsiTheme="minorHAnsi" w:cstheme="minorHAnsi"/>
          <w:color w:val="4F81BD" w:themeColor="accent1"/>
        </w:rPr>
        <w:t>Answer</w:t>
      </w:r>
      <w:r w:rsidR="0037745F" w:rsidRPr="009362E6">
        <w:rPr>
          <w:rFonts w:asciiTheme="minorHAnsi" w:hAnsiTheme="minorHAnsi" w:cstheme="minorHAnsi"/>
          <w:color w:val="4F81BD" w:themeColor="accent1"/>
        </w:rPr>
        <w:t>:</w:t>
      </w:r>
      <w:r w:rsidRPr="009362E6">
        <w:rPr>
          <w:rFonts w:asciiTheme="minorHAnsi" w:hAnsiTheme="minorHAnsi" w:cstheme="minorHAnsi"/>
          <w:color w:val="4F81BD" w:themeColor="accent1"/>
        </w:rPr>
        <w:t xml:space="preserve"> </w:t>
      </w:r>
      <w:r w:rsidR="00CF75AB" w:rsidRPr="009362E6">
        <w:rPr>
          <w:rFonts w:asciiTheme="minorHAnsi" w:hAnsiTheme="minorHAnsi" w:cstheme="minorHAnsi"/>
          <w:color w:val="4F81BD" w:themeColor="accent1"/>
        </w:rPr>
        <w:t xml:space="preserve">Yes, the expectation is for a high-level overview as any </w:t>
      </w:r>
      <w:r w:rsidR="009362E6" w:rsidRPr="009362E6">
        <w:rPr>
          <w:rFonts w:asciiTheme="minorHAnsi" w:hAnsiTheme="minorHAnsi" w:cstheme="minorHAnsi"/>
          <w:color w:val="4F81BD" w:themeColor="accent1"/>
        </w:rPr>
        <w:t>likely work</w:t>
      </w:r>
      <w:r w:rsidRPr="009362E6">
        <w:rPr>
          <w:rFonts w:asciiTheme="minorHAnsi" w:hAnsiTheme="minorHAnsi" w:cstheme="minorHAnsi"/>
          <w:color w:val="4F81BD" w:themeColor="accent1"/>
        </w:rPr>
        <w:t xml:space="preserve"> will cover </w:t>
      </w:r>
      <w:r w:rsidR="00CF75AB" w:rsidRPr="009362E6">
        <w:rPr>
          <w:rFonts w:asciiTheme="minorHAnsi" w:hAnsiTheme="minorHAnsi" w:cstheme="minorHAnsi"/>
          <w:color w:val="4F81BD" w:themeColor="accent1"/>
        </w:rPr>
        <w:t xml:space="preserve">JNCCs longer term strategy. At the moment the </w:t>
      </w:r>
      <w:r w:rsidR="009362E6" w:rsidRPr="009362E6">
        <w:rPr>
          <w:rFonts w:asciiTheme="minorHAnsi" w:hAnsiTheme="minorHAnsi" w:cstheme="minorHAnsi"/>
          <w:color w:val="4F81BD" w:themeColor="accent1"/>
        </w:rPr>
        <w:t>actual tasks</w:t>
      </w:r>
      <w:r w:rsidR="00CF75AB" w:rsidRPr="009362E6">
        <w:rPr>
          <w:rFonts w:asciiTheme="minorHAnsi" w:hAnsiTheme="minorHAnsi" w:cstheme="minorHAnsi"/>
          <w:color w:val="4F81BD" w:themeColor="accent1"/>
        </w:rPr>
        <w:t xml:space="preserve">/ requirements have not be specified. </w:t>
      </w:r>
    </w:p>
    <w:p w14:paraId="2854C885" w14:textId="10772523" w:rsidR="001514EB" w:rsidRPr="009362E6" w:rsidRDefault="005F1AC6" w:rsidP="005F1AC6">
      <w:pPr>
        <w:ind w:left="720"/>
        <w:rPr>
          <w:rFonts w:asciiTheme="minorHAnsi" w:eastAsia="Times New Roman" w:hAnsiTheme="minorHAnsi" w:cstheme="minorHAnsi"/>
          <w:lang w:eastAsia="en-GB"/>
        </w:rPr>
      </w:pPr>
      <w:r w:rsidRPr="009362E6">
        <w:rPr>
          <w:rFonts w:asciiTheme="minorHAnsi" w:hAnsiTheme="minorHAnsi" w:cstheme="minorHAnsi"/>
          <w:color w:val="4F81BD" w:themeColor="accent1"/>
        </w:rPr>
        <w:t xml:space="preserve"> </w:t>
      </w:r>
    </w:p>
    <w:p w14:paraId="579D7061" w14:textId="77777777" w:rsidR="001514EB" w:rsidRPr="009362E6" w:rsidRDefault="001514EB" w:rsidP="001514EB">
      <w:pPr>
        <w:numPr>
          <w:ilvl w:val="0"/>
          <w:numId w:val="10"/>
        </w:numPr>
        <w:textAlignment w:val="center"/>
        <w:rPr>
          <w:rFonts w:asciiTheme="minorHAnsi" w:eastAsia="Times New Roman" w:hAnsiTheme="minorHAnsi" w:cstheme="minorHAnsi"/>
          <w:lang w:eastAsia="en-GB"/>
        </w:rPr>
      </w:pPr>
      <w:r w:rsidRPr="009362E6">
        <w:rPr>
          <w:rFonts w:asciiTheme="minorHAnsi" w:eastAsia="Times New Roman" w:hAnsiTheme="minorHAnsi" w:cstheme="minorHAnsi"/>
          <w:lang w:eastAsia="en-GB"/>
        </w:rPr>
        <w:t>Section 8.2 states that the submission should include an "Overall quote for the contract, to include: Daily rate". The only place where a daily rate can be included is in section 9.4, but the implication is that this should include rates for specific personnel and not an overall rate. Please could you advise how we should quote an overall daily rate? [possible follow up question here on evaluation if it's not a single rate.]</w:t>
      </w:r>
    </w:p>
    <w:p w14:paraId="4DED1FD1" w14:textId="77777777" w:rsidR="006D36F5" w:rsidRPr="009362E6" w:rsidRDefault="006D36F5" w:rsidP="006D36F5">
      <w:pPr>
        <w:pStyle w:val="Portalsubsection"/>
        <w:ind w:left="720"/>
        <w:jc w:val="both"/>
        <w:rPr>
          <w:rFonts w:asciiTheme="minorHAnsi" w:hAnsiTheme="minorHAnsi" w:cstheme="minorHAnsi"/>
          <w:b w:val="0"/>
          <w:color w:val="4F81BD" w:themeColor="accent1"/>
          <w:sz w:val="22"/>
          <w:szCs w:val="22"/>
        </w:rPr>
      </w:pPr>
      <w:r w:rsidRPr="009362E6">
        <w:rPr>
          <w:rFonts w:asciiTheme="minorHAnsi" w:hAnsiTheme="minorHAnsi" w:cstheme="minorHAnsi"/>
          <w:b w:val="0"/>
          <w:bCs/>
          <w:color w:val="4F81BD" w:themeColor="accent1"/>
          <w:sz w:val="22"/>
          <w:szCs w:val="22"/>
          <w:lang w:eastAsia="en-GB"/>
        </w:rPr>
        <w:t>Answer:</w:t>
      </w:r>
      <w:r w:rsidRPr="009362E6">
        <w:rPr>
          <w:rFonts w:asciiTheme="minorHAnsi" w:hAnsiTheme="minorHAnsi" w:cstheme="minorHAnsi"/>
          <w:color w:val="4F81BD" w:themeColor="accent1"/>
          <w:sz w:val="22"/>
          <w:szCs w:val="22"/>
          <w:lang w:eastAsia="en-GB"/>
        </w:rPr>
        <w:t xml:space="preserve"> </w:t>
      </w:r>
      <w:r w:rsidRPr="009362E6">
        <w:rPr>
          <w:rFonts w:asciiTheme="minorHAnsi" w:hAnsiTheme="minorHAnsi" w:cstheme="minorHAnsi"/>
          <w:b w:val="0"/>
          <w:color w:val="4F81BD" w:themeColor="accent1"/>
          <w:sz w:val="22"/>
          <w:szCs w:val="22"/>
        </w:rPr>
        <w:t xml:space="preserve">Bids should provide indicative costings </w:t>
      </w:r>
      <w:r w:rsidR="00F1142E" w:rsidRPr="009362E6">
        <w:rPr>
          <w:rFonts w:asciiTheme="minorHAnsi" w:hAnsiTheme="minorHAnsi" w:cstheme="minorHAnsi"/>
          <w:b w:val="0"/>
          <w:color w:val="4F81BD" w:themeColor="accent1"/>
          <w:sz w:val="22"/>
          <w:szCs w:val="22"/>
        </w:rPr>
        <w:t>of the</w:t>
      </w:r>
      <w:r w:rsidRPr="009362E6">
        <w:rPr>
          <w:rFonts w:asciiTheme="minorHAnsi" w:hAnsiTheme="minorHAnsi" w:cstheme="minorHAnsi"/>
          <w:b w:val="0"/>
          <w:color w:val="4F81BD" w:themeColor="accent1"/>
          <w:sz w:val="22"/>
          <w:szCs w:val="22"/>
        </w:rPr>
        <w:t xml:space="preserve"> discrete levels of staffing that might typically be expected to undertake the future work in these discreet projects</w:t>
      </w:r>
      <w:r w:rsidR="00F1142E" w:rsidRPr="009362E6">
        <w:rPr>
          <w:rFonts w:asciiTheme="minorHAnsi" w:hAnsiTheme="minorHAnsi" w:cstheme="minorHAnsi"/>
          <w:b w:val="0"/>
          <w:color w:val="4F81BD" w:themeColor="accent1"/>
          <w:sz w:val="22"/>
          <w:szCs w:val="22"/>
        </w:rPr>
        <w:t xml:space="preserve">, </w:t>
      </w:r>
      <w:r w:rsidRPr="009362E6">
        <w:rPr>
          <w:rFonts w:asciiTheme="minorHAnsi" w:hAnsiTheme="minorHAnsi" w:cstheme="minorHAnsi"/>
          <w:b w:val="0"/>
          <w:color w:val="4F81BD" w:themeColor="accent1"/>
          <w:sz w:val="22"/>
          <w:szCs w:val="22"/>
        </w:rPr>
        <w:t>and we understand that in reality</w:t>
      </w:r>
      <w:r w:rsidR="00F1142E" w:rsidRPr="009362E6">
        <w:rPr>
          <w:rFonts w:asciiTheme="minorHAnsi" w:hAnsiTheme="minorHAnsi" w:cstheme="minorHAnsi"/>
          <w:b w:val="0"/>
          <w:color w:val="4F81BD" w:themeColor="accent1"/>
          <w:sz w:val="22"/>
          <w:szCs w:val="22"/>
        </w:rPr>
        <w:t xml:space="preserve"> generic staff titles</w:t>
      </w:r>
      <w:r w:rsidRPr="009362E6">
        <w:rPr>
          <w:rFonts w:asciiTheme="minorHAnsi" w:hAnsiTheme="minorHAnsi" w:cstheme="minorHAnsi"/>
          <w:b w:val="0"/>
          <w:color w:val="4F81BD" w:themeColor="accent1"/>
          <w:sz w:val="22"/>
          <w:szCs w:val="22"/>
        </w:rPr>
        <w:t xml:space="preserve"> will vary.  </w:t>
      </w:r>
    </w:p>
    <w:p w14:paraId="1CEA61F4" w14:textId="77777777" w:rsidR="006D36F5" w:rsidRPr="009362E6" w:rsidRDefault="006D36F5" w:rsidP="006D36F5">
      <w:pPr>
        <w:ind w:left="785"/>
        <w:textAlignment w:val="center"/>
        <w:rPr>
          <w:rFonts w:asciiTheme="minorHAnsi" w:eastAsia="Times New Roman" w:hAnsiTheme="minorHAnsi" w:cstheme="minorHAnsi"/>
          <w:lang w:eastAsia="en-GB"/>
        </w:rPr>
      </w:pPr>
    </w:p>
    <w:p w14:paraId="66BC9CFD" w14:textId="77777777" w:rsidR="001514EB" w:rsidRPr="009362E6" w:rsidRDefault="001514EB" w:rsidP="001514EB">
      <w:pPr>
        <w:numPr>
          <w:ilvl w:val="0"/>
          <w:numId w:val="10"/>
        </w:numPr>
        <w:textAlignment w:val="center"/>
        <w:rPr>
          <w:rFonts w:asciiTheme="minorHAnsi" w:eastAsia="Times New Roman" w:hAnsiTheme="minorHAnsi" w:cstheme="minorHAnsi"/>
          <w:lang w:eastAsia="en-GB"/>
        </w:rPr>
      </w:pPr>
      <w:r w:rsidRPr="009362E6">
        <w:rPr>
          <w:rFonts w:asciiTheme="minorHAnsi" w:eastAsia="Times New Roman" w:hAnsiTheme="minorHAnsi" w:cstheme="minorHAnsi"/>
          <w:lang w:eastAsia="en-GB"/>
        </w:rPr>
        <w:t>It is not completely clear how we should respond to section 9.4 Costing evaluation. Should we complete the second table only with one row for each staff grade?</w:t>
      </w:r>
      <w:r w:rsidR="002734CF" w:rsidRPr="009362E6">
        <w:rPr>
          <w:rFonts w:asciiTheme="minorHAnsi" w:eastAsia="Times New Roman" w:hAnsiTheme="minorHAnsi" w:cstheme="minorHAnsi"/>
          <w:lang w:eastAsia="en-GB"/>
        </w:rPr>
        <w:t xml:space="preserve"> </w:t>
      </w:r>
      <w:r w:rsidR="002734CF" w:rsidRPr="009362E6">
        <w:rPr>
          <w:rFonts w:asciiTheme="minorHAnsi" w:eastAsia="Times New Roman" w:hAnsiTheme="minorHAnsi" w:cstheme="minorHAnsi"/>
          <w:color w:val="4F81BD" w:themeColor="accent1"/>
          <w:lang w:eastAsia="en-GB"/>
        </w:rPr>
        <w:t>Yes please</w:t>
      </w:r>
    </w:p>
    <w:p w14:paraId="6CDF7D75" w14:textId="77777777" w:rsidR="00B7392A" w:rsidRPr="009362E6" w:rsidRDefault="001514EB" w:rsidP="00930838">
      <w:pPr>
        <w:ind w:left="720"/>
        <w:jc w:val="both"/>
        <w:rPr>
          <w:rFonts w:asciiTheme="minorHAnsi" w:hAnsiTheme="minorHAnsi" w:cstheme="minorHAnsi"/>
        </w:rPr>
      </w:pPr>
      <w:r w:rsidRPr="009362E6">
        <w:rPr>
          <w:rFonts w:asciiTheme="minorHAnsi" w:eastAsia="Times New Roman" w:hAnsiTheme="minorHAnsi" w:cstheme="minorHAnsi"/>
          <w:lang w:eastAsia="en-GB"/>
        </w:rPr>
        <w:t>The scoring is shown as 80% on section 9.3 Technical evaluation and 20% on section 9.4 Costing evaluation. This would mean that sections 9.1 and 9.2 aren't scored. Please could you confirm that sections 9.1 and 9.2 are not evaluated? If so, please could you explain how</w:t>
      </w:r>
      <w:r w:rsidR="001842D8" w:rsidRPr="009362E6">
        <w:rPr>
          <w:rFonts w:asciiTheme="minorHAnsi" w:eastAsia="Times New Roman" w:hAnsiTheme="minorHAnsi" w:cstheme="minorHAnsi"/>
          <w:lang w:eastAsia="en-GB"/>
        </w:rPr>
        <w:t xml:space="preserve"> </w:t>
      </w:r>
      <w:r w:rsidRPr="009362E6">
        <w:rPr>
          <w:rFonts w:asciiTheme="minorHAnsi" w:eastAsia="Times New Roman" w:hAnsiTheme="minorHAnsi" w:cstheme="minorHAnsi"/>
          <w:lang w:eastAsia="en-GB"/>
        </w:rPr>
        <w:t>expertise is assessed, i.e. is it solely our response to Q9.3.1?</w:t>
      </w:r>
      <w:r w:rsidR="00930838" w:rsidRPr="009362E6">
        <w:rPr>
          <w:rFonts w:asciiTheme="minorHAnsi" w:hAnsiTheme="minorHAnsi" w:cstheme="minorHAnsi"/>
        </w:rPr>
        <w:t xml:space="preserve"> </w:t>
      </w:r>
    </w:p>
    <w:p w14:paraId="54DCF2C1" w14:textId="77777777" w:rsidR="00930838" w:rsidRPr="009362E6" w:rsidRDefault="00B7392A" w:rsidP="00930838">
      <w:pPr>
        <w:ind w:left="720"/>
        <w:jc w:val="both"/>
        <w:rPr>
          <w:rFonts w:asciiTheme="minorHAnsi" w:hAnsiTheme="minorHAnsi" w:cstheme="minorHAnsi"/>
          <w:color w:val="4F81BD" w:themeColor="accent1"/>
        </w:rPr>
      </w:pPr>
      <w:r w:rsidRPr="009362E6">
        <w:rPr>
          <w:rFonts w:asciiTheme="minorHAnsi" w:hAnsiTheme="minorHAnsi" w:cstheme="minorHAnsi"/>
          <w:color w:val="4F81BD" w:themeColor="accent1"/>
        </w:rPr>
        <w:t xml:space="preserve">Answer: </w:t>
      </w:r>
      <w:r w:rsidR="00930838" w:rsidRPr="009362E6">
        <w:rPr>
          <w:rFonts w:asciiTheme="minorHAnsi" w:hAnsiTheme="minorHAnsi" w:cstheme="minorHAnsi"/>
          <w:color w:val="4F81BD" w:themeColor="accent1"/>
        </w:rPr>
        <w:t xml:space="preserve">Please note all sections in 9.1 and 9.2 should be completed in full and with the relevant information to </w:t>
      </w:r>
      <w:r w:rsidRPr="009362E6">
        <w:rPr>
          <w:rFonts w:asciiTheme="minorHAnsi" w:hAnsiTheme="minorHAnsi" w:cstheme="minorHAnsi"/>
          <w:color w:val="4F81BD" w:themeColor="accent1"/>
        </w:rPr>
        <w:t xml:space="preserve">support </w:t>
      </w:r>
      <w:r w:rsidR="00930838" w:rsidRPr="009362E6">
        <w:rPr>
          <w:rFonts w:asciiTheme="minorHAnsi" w:hAnsiTheme="minorHAnsi" w:cstheme="minorHAnsi"/>
          <w:color w:val="4F81BD" w:themeColor="accent1"/>
        </w:rPr>
        <w:t>the evaluation response to Q9.3.1.</w:t>
      </w:r>
    </w:p>
    <w:p w14:paraId="3B59BCB1" w14:textId="77777777" w:rsidR="00930838" w:rsidRPr="009362E6" w:rsidRDefault="00930838" w:rsidP="00930838">
      <w:pPr>
        <w:pStyle w:val="Portalsubsection"/>
        <w:jc w:val="both"/>
        <w:rPr>
          <w:rFonts w:asciiTheme="minorHAnsi" w:hAnsiTheme="minorHAnsi" w:cstheme="minorHAnsi"/>
          <w:b w:val="0"/>
          <w:sz w:val="22"/>
          <w:szCs w:val="22"/>
        </w:rPr>
      </w:pPr>
    </w:p>
    <w:p w14:paraId="7CA89F53" w14:textId="52D8209C" w:rsidR="00623A72" w:rsidRPr="009362E6" w:rsidRDefault="00623A72" w:rsidP="00623A72">
      <w:pPr>
        <w:pStyle w:val="ListParagraph"/>
        <w:numPr>
          <w:ilvl w:val="0"/>
          <w:numId w:val="10"/>
        </w:numPr>
        <w:spacing w:after="160" w:line="252" w:lineRule="auto"/>
        <w:rPr>
          <w:rFonts w:asciiTheme="minorHAnsi" w:eastAsia="Times New Roman" w:hAnsiTheme="minorHAnsi" w:cstheme="minorHAnsi"/>
        </w:rPr>
      </w:pPr>
      <w:r w:rsidRPr="009362E6">
        <w:rPr>
          <w:rFonts w:asciiTheme="minorHAnsi" w:eastAsia="Times New Roman" w:hAnsiTheme="minorHAnsi" w:cstheme="minorHAnsi"/>
        </w:rPr>
        <w:t xml:space="preserve">If answer to (3) is 400 words for all skills combined, then can guidance be provided on how to make a single bid with many skills competitive, against another bid that only ticks a few skills? (As, in this case one each bid would have significantly different word limits for each skill with each contributing to the total 400 words.) We ask this in consideration of Annex </w:t>
      </w:r>
      <w:r w:rsidR="009362E6" w:rsidRPr="009362E6">
        <w:rPr>
          <w:rFonts w:asciiTheme="minorHAnsi" w:eastAsia="Times New Roman" w:hAnsiTheme="minorHAnsi" w:cstheme="minorHAnsi"/>
        </w:rPr>
        <w:t xml:space="preserve">A </w:t>
      </w:r>
      <w:r w:rsidR="009362E6" w:rsidRPr="009362E6">
        <w:rPr>
          <w:rFonts w:asciiTheme="minorHAnsi" w:eastAsia="Times New Roman" w:hAnsiTheme="minorHAnsi" w:cstheme="minorHAnsi"/>
        </w:rPr>
        <w:lastRenderedPageBreak/>
        <w:t>where</w:t>
      </w:r>
      <w:r w:rsidRPr="009362E6">
        <w:rPr>
          <w:rFonts w:asciiTheme="minorHAnsi" w:eastAsia="Times New Roman" w:hAnsiTheme="minorHAnsi" w:cstheme="minorHAnsi"/>
        </w:rPr>
        <w:t xml:space="preserve"> it states that “Where evidence is not included, it will be assumed those skills do not exist”.</w:t>
      </w:r>
    </w:p>
    <w:p w14:paraId="6BF528DD" w14:textId="09CA175A" w:rsidR="00623A72" w:rsidRPr="009362E6" w:rsidRDefault="00B7392A" w:rsidP="00623A72">
      <w:pPr>
        <w:ind w:left="720"/>
        <w:rPr>
          <w:rFonts w:asciiTheme="minorHAnsi" w:hAnsiTheme="minorHAnsi" w:cstheme="minorHAnsi"/>
          <w:color w:val="4F81BD" w:themeColor="accent1"/>
        </w:rPr>
      </w:pPr>
      <w:r w:rsidRPr="009362E6">
        <w:rPr>
          <w:rFonts w:asciiTheme="minorHAnsi" w:hAnsiTheme="minorHAnsi" w:cstheme="minorHAnsi"/>
          <w:color w:val="4F81BD" w:themeColor="accent1"/>
        </w:rPr>
        <w:t xml:space="preserve">Answer: </w:t>
      </w:r>
      <w:r w:rsidR="00623A72" w:rsidRPr="009362E6">
        <w:rPr>
          <w:rFonts w:asciiTheme="minorHAnsi" w:hAnsiTheme="minorHAnsi" w:cstheme="minorHAnsi"/>
          <w:color w:val="4F81BD" w:themeColor="accent1"/>
        </w:rPr>
        <w:t>We do not require a 400 word description for every ticked skill. We require a summary of your key skill sets (the skills list). Where responders feel they tick multiple skills then you are requested to focus on describing your core skill sets. Again</w:t>
      </w:r>
      <w:r w:rsidR="00C35D2C" w:rsidRPr="009362E6">
        <w:rPr>
          <w:rFonts w:asciiTheme="minorHAnsi" w:hAnsiTheme="minorHAnsi" w:cstheme="minorHAnsi"/>
          <w:color w:val="4F81BD" w:themeColor="accent1"/>
        </w:rPr>
        <w:t>,</w:t>
      </w:r>
      <w:r w:rsidR="00623A72" w:rsidRPr="009362E6">
        <w:rPr>
          <w:rFonts w:asciiTheme="minorHAnsi" w:hAnsiTheme="minorHAnsi" w:cstheme="minorHAnsi"/>
          <w:color w:val="4F81BD" w:themeColor="accent1"/>
        </w:rPr>
        <w:t xml:space="preserve"> we are using this exercise to align responders to JNCC needs and it is likely that some skill sets will overlap. The key here is to focus on specific niche competencies rather than a broad scale generic approach.</w:t>
      </w:r>
    </w:p>
    <w:p w14:paraId="28EE954A" w14:textId="77777777" w:rsidR="00CF75AB" w:rsidRPr="009362E6" w:rsidRDefault="00CF75AB" w:rsidP="00623A72">
      <w:pPr>
        <w:ind w:left="720"/>
        <w:rPr>
          <w:rFonts w:asciiTheme="minorHAnsi" w:hAnsiTheme="minorHAnsi" w:cstheme="minorHAnsi"/>
          <w:color w:val="4F81BD" w:themeColor="accent1"/>
        </w:rPr>
      </w:pPr>
    </w:p>
    <w:p w14:paraId="372D8DE9" w14:textId="77777777" w:rsidR="00623A72" w:rsidRPr="009362E6" w:rsidRDefault="00623A72" w:rsidP="00792DE0">
      <w:pPr>
        <w:ind w:left="720"/>
        <w:rPr>
          <w:rFonts w:asciiTheme="minorHAnsi" w:hAnsiTheme="minorHAnsi" w:cstheme="minorHAnsi"/>
          <w:color w:val="4F81BD" w:themeColor="accent1"/>
        </w:rPr>
      </w:pPr>
      <w:r w:rsidRPr="009362E6">
        <w:rPr>
          <w:rFonts w:asciiTheme="minorHAnsi" w:hAnsiTheme="minorHAnsi" w:cstheme="minorHAnsi"/>
          <w:color w:val="4F81BD" w:themeColor="accent1"/>
        </w:rPr>
        <w:t xml:space="preserve">To address concerns regarding the statement that “Where evidence is not included, it will be assumed those skills do not exist”. </w:t>
      </w:r>
    </w:p>
    <w:p w14:paraId="69AA0593" w14:textId="77777777" w:rsidR="00623A72" w:rsidRPr="009362E6" w:rsidRDefault="00623A72" w:rsidP="00623A72">
      <w:pPr>
        <w:rPr>
          <w:rFonts w:asciiTheme="minorHAnsi" w:hAnsiTheme="minorHAnsi" w:cstheme="minorHAnsi"/>
          <w:color w:val="4F81BD" w:themeColor="accent1"/>
        </w:rPr>
      </w:pPr>
    </w:p>
    <w:p w14:paraId="331BDECE" w14:textId="46901445" w:rsidR="009362E6" w:rsidRDefault="00623A72" w:rsidP="009362E6">
      <w:pPr>
        <w:ind w:left="785"/>
        <w:textAlignment w:val="center"/>
        <w:rPr>
          <w:rFonts w:asciiTheme="minorHAnsi" w:hAnsiTheme="minorHAnsi" w:cstheme="minorHAnsi"/>
          <w:color w:val="4F81BD" w:themeColor="accent1"/>
        </w:rPr>
      </w:pPr>
      <w:r w:rsidRPr="009362E6">
        <w:rPr>
          <w:rFonts w:asciiTheme="minorHAnsi" w:hAnsiTheme="minorHAnsi" w:cstheme="minorHAnsi"/>
          <w:color w:val="4F81BD" w:themeColor="accent1"/>
        </w:rPr>
        <w:t xml:space="preserve">We simply require responders to tick YES/ No to the listed skill(s) and add any additional skills to the free text section. </w:t>
      </w:r>
    </w:p>
    <w:p w14:paraId="2066627A" w14:textId="77777777" w:rsidR="009362E6" w:rsidRDefault="009362E6" w:rsidP="009362E6">
      <w:pPr>
        <w:ind w:left="785"/>
        <w:textAlignment w:val="center"/>
        <w:rPr>
          <w:rFonts w:asciiTheme="minorHAnsi" w:hAnsiTheme="minorHAnsi" w:cstheme="minorHAnsi"/>
          <w:color w:val="4F81BD" w:themeColor="accent1"/>
        </w:rPr>
      </w:pPr>
    </w:p>
    <w:p w14:paraId="55EDE4EB" w14:textId="5457570E" w:rsidR="0037732C" w:rsidRPr="009362E6" w:rsidRDefault="00792DE0" w:rsidP="009362E6">
      <w:pPr>
        <w:pStyle w:val="ListParagraph"/>
        <w:numPr>
          <w:ilvl w:val="0"/>
          <w:numId w:val="10"/>
        </w:numPr>
        <w:textAlignment w:val="center"/>
        <w:rPr>
          <w:rFonts w:asciiTheme="minorHAnsi" w:hAnsiTheme="minorHAnsi" w:cstheme="minorHAnsi"/>
        </w:rPr>
      </w:pPr>
      <w:r w:rsidRPr="009362E6">
        <w:rPr>
          <w:rFonts w:asciiTheme="minorHAnsi" w:hAnsiTheme="minorHAnsi" w:cstheme="minorHAnsi"/>
        </w:rPr>
        <w:t xml:space="preserve">Do you require us to fill out a Skills Application Form for each technical skill identified in Stage 2.2 Summary Technical Skills? If so, we will need to complete a large number of forms, although many of the categories identified in the State 2.2 form are overlapping. </w:t>
      </w:r>
    </w:p>
    <w:p w14:paraId="227400C9" w14:textId="14813838" w:rsidR="00792DE0" w:rsidRPr="009362E6" w:rsidRDefault="009362E6" w:rsidP="0037732C">
      <w:pPr>
        <w:ind w:left="720"/>
        <w:rPr>
          <w:rFonts w:asciiTheme="minorHAnsi" w:hAnsiTheme="minorHAnsi" w:cstheme="minorHAnsi"/>
          <w:color w:val="4F81BD" w:themeColor="accent1"/>
        </w:rPr>
      </w:pPr>
      <w:r>
        <w:rPr>
          <w:rFonts w:asciiTheme="minorHAnsi" w:hAnsiTheme="minorHAnsi" w:cstheme="minorHAnsi"/>
          <w:color w:val="4F81BD" w:themeColor="accent1"/>
        </w:rPr>
        <w:t xml:space="preserve">Answer: </w:t>
      </w:r>
      <w:r w:rsidR="00792DE0" w:rsidRPr="009362E6">
        <w:rPr>
          <w:rFonts w:asciiTheme="minorHAnsi" w:hAnsiTheme="minorHAnsi" w:cstheme="minorHAnsi"/>
          <w:color w:val="4F81BD" w:themeColor="accent1"/>
        </w:rPr>
        <w:t xml:space="preserve">No </w:t>
      </w:r>
      <w:r w:rsidR="0037732C" w:rsidRPr="009362E6">
        <w:rPr>
          <w:rFonts w:asciiTheme="minorHAnsi" w:hAnsiTheme="minorHAnsi" w:cstheme="minorHAnsi"/>
          <w:color w:val="4F81BD" w:themeColor="accent1"/>
        </w:rPr>
        <w:t xml:space="preserve">requirement to fill out Skills Application for each technical skill.  Where bidders feel they meet/tick multiple skills then you are requested to focus on describing your core skill sets. </w:t>
      </w:r>
    </w:p>
    <w:p w14:paraId="574EEAB2" w14:textId="77777777" w:rsidR="00792DE0" w:rsidRPr="009362E6" w:rsidRDefault="00792DE0" w:rsidP="007B4816">
      <w:pPr>
        <w:rPr>
          <w:rFonts w:asciiTheme="minorHAnsi" w:hAnsiTheme="minorHAnsi" w:cstheme="minorHAnsi"/>
        </w:rPr>
      </w:pPr>
    </w:p>
    <w:p w14:paraId="098E9A0A" w14:textId="77777777" w:rsidR="00B7392A" w:rsidRPr="009362E6" w:rsidRDefault="0037732C" w:rsidP="00B7392A">
      <w:pPr>
        <w:pStyle w:val="ListParagraph"/>
        <w:numPr>
          <w:ilvl w:val="0"/>
          <w:numId w:val="10"/>
        </w:numPr>
        <w:spacing w:after="160" w:line="252" w:lineRule="auto"/>
        <w:rPr>
          <w:rFonts w:asciiTheme="minorHAnsi" w:eastAsia="Times New Roman" w:hAnsiTheme="minorHAnsi" w:cstheme="minorHAnsi"/>
        </w:rPr>
      </w:pPr>
      <w:r w:rsidRPr="009362E6">
        <w:rPr>
          <w:rFonts w:asciiTheme="minorHAnsi" w:eastAsia="Times New Roman" w:hAnsiTheme="minorHAnsi" w:cstheme="minorHAnsi"/>
        </w:rPr>
        <w:t xml:space="preserve">How are ‘small businesses’ defined, where stated these are able to bid for the framework, does this include e.g. SMEs only? </w:t>
      </w:r>
    </w:p>
    <w:p w14:paraId="3EB83046" w14:textId="77777777" w:rsidR="0037732C" w:rsidRPr="009362E6" w:rsidRDefault="0037732C" w:rsidP="00B7392A">
      <w:pPr>
        <w:pStyle w:val="ListParagraph"/>
        <w:spacing w:after="160" w:line="252" w:lineRule="auto"/>
        <w:ind w:left="785"/>
        <w:rPr>
          <w:rFonts w:asciiTheme="minorHAnsi" w:eastAsia="Times New Roman" w:hAnsiTheme="minorHAnsi" w:cstheme="minorHAnsi"/>
        </w:rPr>
      </w:pPr>
      <w:r w:rsidRPr="009362E6">
        <w:rPr>
          <w:rFonts w:asciiTheme="minorHAnsi" w:eastAsia="Times New Roman" w:hAnsiTheme="minorHAnsi" w:cstheme="minorHAnsi"/>
          <w:color w:val="4F81BD"/>
        </w:rPr>
        <w:t>Yes</w:t>
      </w:r>
    </w:p>
    <w:p w14:paraId="3B20C193" w14:textId="77777777" w:rsidR="00B7392A" w:rsidRPr="009362E6" w:rsidRDefault="0037732C" w:rsidP="00B7392A">
      <w:pPr>
        <w:pStyle w:val="ListParagraph"/>
        <w:numPr>
          <w:ilvl w:val="0"/>
          <w:numId w:val="10"/>
        </w:numPr>
        <w:spacing w:after="160" w:line="252" w:lineRule="auto"/>
        <w:rPr>
          <w:rFonts w:asciiTheme="minorHAnsi" w:eastAsia="Times New Roman" w:hAnsiTheme="minorHAnsi" w:cstheme="minorHAnsi"/>
        </w:rPr>
      </w:pPr>
      <w:r w:rsidRPr="009362E6">
        <w:rPr>
          <w:rFonts w:asciiTheme="minorHAnsi" w:eastAsia="Times New Roman" w:hAnsiTheme="minorHAnsi" w:cstheme="minorHAnsi"/>
        </w:rPr>
        <w:t xml:space="preserve">We assume the ‘small business’ requirement applies to all sub-contractors? </w:t>
      </w:r>
    </w:p>
    <w:p w14:paraId="72AEFD90" w14:textId="77777777" w:rsidR="0037732C" w:rsidRPr="009362E6" w:rsidRDefault="0037732C" w:rsidP="00B7392A">
      <w:pPr>
        <w:pStyle w:val="ListParagraph"/>
        <w:spacing w:after="160" w:line="252" w:lineRule="auto"/>
        <w:ind w:left="785"/>
        <w:rPr>
          <w:rFonts w:asciiTheme="minorHAnsi" w:eastAsia="Times New Roman" w:hAnsiTheme="minorHAnsi" w:cstheme="minorHAnsi"/>
        </w:rPr>
      </w:pPr>
      <w:r w:rsidRPr="009362E6">
        <w:rPr>
          <w:rFonts w:asciiTheme="minorHAnsi" w:eastAsia="Times New Roman" w:hAnsiTheme="minorHAnsi" w:cstheme="minorHAnsi"/>
          <w:color w:val="4F81BD"/>
        </w:rPr>
        <w:t>Yes</w:t>
      </w:r>
    </w:p>
    <w:p w14:paraId="3E42835C" w14:textId="4315DBB3" w:rsidR="00B7392A" w:rsidRPr="009362E6" w:rsidRDefault="0037732C" w:rsidP="00B7392A">
      <w:pPr>
        <w:pStyle w:val="ListParagraph"/>
        <w:numPr>
          <w:ilvl w:val="0"/>
          <w:numId w:val="10"/>
        </w:numPr>
        <w:spacing w:after="160" w:line="252" w:lineRule="auto"/>
        <w:rPr>
          <w:rFonts w:asciiTheme="minorHAnsi" w:eastAsia="Times New Roman" w:hAnsiTheme="minorHAnsi" w:cstheme="minorHAnsi"/>
        </w:rPr>
      </w:pPr>
      <w:r w:rsidRPr="009362E6">
        <w:rPr>
          <w:rFonts w:asciiTheme="minorHAnsi" w:eastAsia="Times New Roman" w:hAnsiTheme="minorHAnsi" w:cstheme="minorHAnsi"/>
        </w:rPr>
        <w:t xml:space="preserve">The Terms and Conditions provided do not state a limit of liability in insurance. Would the following be acceptable: £10 million </w:t>
      </w:r>
      <w:r w:rsidR="009362E6" w:rsidRPr="009362E6">
        <w:rPr>
          <w:rFonts w:asciiTheme="minorHAnsi" w:eastAsia="Times New Roman" w:hAnsiTheme="minorHAnsi" w:cstheme="minorHAnsi"/>
        </w:rPr>
        <w:t>employers’</w:t>
      </w:r>
      <w:r w:rsidRPr="009362E6">
        <w:rPr>
          <w:rFonts w:asciiTheme="minorHAnsi" w:eastAsia="Times New Roman" w:hAnsiTheme="minorHAnsi" w:cstheme="minorHAnsi"/>
        </w:rPr>
        <w:t xml:space="preserve"> liability, £5 million public liability, and professional indemnity to 4 times the value of any project contracted under the framework? Else £2 million professional indemnity?</w:t>
      </w:r>
    </w:p>
    <w:p w14:paraId="18B6389D" w14:textId="5A96C243" w:rsidR="0037732C" w:rsidRDefault="0037732C" w:rsidP="00B7392A">
      <w:pPr>
        <w:pStyle w:val="ListParagraph"/>
        <w:spacing w:after="160" w:line="252" w:lineRule="auto"/>
        <w:ind w:left="785"/>
        <w:rPr>
          <w:rFonts w:asciiTheme="minorHAnsi" w:eastAsia="Times New Roman" w:hAnsiTheme="minorHAnsi" w:cstheme="minorHAnsi"/>
          <w:color w:val="4F81BD"/>
        </w:rPr>
      </w:pPr>
      <w:r w:rsidRPr="009362E6">
        <w:rPr>
          <w:rFonts w:asciiTheme="minorHAnsi" w:eastAsia="Times New Roman" w:hAnsiTheme="minorHAnsi" w:cstheme="minorHAnsi"/>
        </w:rPr>
        <w:t xml:space="preserve"> </w:t>
      </w:r>
      <w:r w:rsidRPr="009362E6">
        <w:rPr>
          <w:rFonts w:asciiTheme="minorHAnsi" w:eastAsia="Times New Roman" w:hAnsiTheme="minorHAnsi" w:cstheme="minorHAnsi"/>
          <w:color w:val="4F81BD"/>
        </w:rPr>
        <w:t>This would be acceptable</w:t>
      </w:r>
      <w:r w:rsidR="009362E6">
        <w:rPr>
          <w:rFonts w:asciiTheme="minorHAnsi" w:eastAsia="Times New Roman" w:hAnsiTheme="minorHAnsi" w:cstheme="minorHAnsi"/>
          <w:color w:val="4F81BD"/>
        </w:rPr>
        <w:t>.</w:t>
      </w:r>
    </w:p>
    <w:p w14:paraId="64A76D3D" w14:textId="77777777" w:rsidR="009362E6" w:rsidRPr="009362E6" w:rsidRDefault="009362E6" w:rsidP="00B7392A">
      <w:pPr>
        <w:pStyle w:val="ListParagraph"/>
        <w:spacing w:after="160" w:line="252" w:lineRule="auto"/>
        <w:ind w:left="785"/>
        <w:rPr>
          <w:rFonts w:asciiTheme="minorHAnsi" w:eastAsia="Times New Roman" w:hAnsiTheme="minorHAnsi" w:cstheme="minorHAnsi"/>
        </w:rPr>
      </w:pPr>
    </w:p>
    <w:p w14:paraId="2D609904" w14:textId="77777777" w:rsidR="009362E6" w:rsidRPr="009362E6" w:rsidRDefault="0037732C" w:rsidP="00B7392A">
      <w:pPr>
        <w:pStyle w:val="ListParagraph"/>
        <w:numPr>
          <w:ilvl w:val="0"/>
          <w:numId w:val="10"/>
        </w:numPr>
        <w:rPr>
          <w:rFonts w:asciiTheme="minorHAnsi" w:hAnsiTheme="minorHAnsi" w:cstheme="minorHAnsi"/>
          <w:color w:val="4F81BD"/>
        </w:rPr>
      </w:pPr>
      <w:r w:rsidRPr="009362E6">
        <w:rPr>
          <w:rFonts w:asciiTheme="minorHAnsi" w:hAnsiTheme="minorHAnsi" w:cstheme="minorHAnsi"/>
        </w:rPr>
        <w:t xml:space="preserve"> In document PS4A, if public transport is not available and use of private car is essential, then would the UK Government approved rate of 45p per mile apply? </w:t>
      </w:r>
    </w:p>
    <w:p w14:paraId="12DBA8E3" w14:textId="77C8B86A" w:rsidR="0037732C" w:rsidRPr="009362E6" w:rsidRDefault="009362E6" w:rsidP="009362E6">
      <w:pPr>
        <w:pStyle w:val="ListParagraph"/>
        <w:ind w:left="785"/>
        <w:rPr>
          <w:rFonts w:asciiTheme="minorHAnsi" w:hAnsiTheme="minorHAnsi" w:cstheme="minorHAnsi"/>
          <w:color w:val="4F81BD"/>
        </w:rPr>
      </w:pPr>
      <w:r w:rsidRPr="009362E6">
        <w:rPr>
          <w:rFonts w:asciiTheme="minorHAnsi" w:hAnsiTheme="minorHAnsi" w:cstheme="minorHAnsi"/>
          <w:color w:val="4F81BD" w:themeColor="accent1"/>
        </w:rPr>
        <w:t xml:space="preserve">Answer: </w:t>
      </w:r>
      <w:r w:rsidR="0037732C" w:rsidRPr="009362E6">
        <w:rPr>
          <w:rFonts w:asciiTheme="minorHAnsi" w:hAnsiTheme="minorHAnsi" w:cstheme="minorHAnsi"/>
          <w:color w:val="4F81BD"/>
        </w:rPr>
        <w:t>Please refer to PS12 travel and accommodation rates - Car mileage may be claimed at the rate of 25p per mile.</w:t>
      </w:r>
      <w:r>
        <w:rPr>
          <w:rFonts w:asciiTheme="minorHAnsi" w:hAnsiTheme="minorHAnsi" w:cstheme="minorHAnsi"/>
          <w:color w:val="4F81BD"/>
        </w:rPr>
        <w:t xml:space="preserve">  </w:t>
      </w:r>
      <w:r w:rsidR="0037732C" w:rsidRPr="009362E6">
        <w:rPr>
          <w:rFonts w:asciiTheme="minorHAnsi" w:hAnsiTheme="minorHAnsi" w:cstheme="minorHAnsi"/>
          <w:color w:val="4F81BD"/>
        </w:rPr>
        <w:t>The public transport rate (25p per mile), will be paid when public transport is available but use of a private car offers the most efficient means of travel. The rate is not intended to reimburse travellers for the cost of using a private car</w:t>
      </w:r>
      <w:r w:rsidR="00B7392A" w:rsidRPr="009362E6">
        <w:rPr>
          <w:rFonts w:asciiTheme="minorHAnsi" w:hAnsiTheme="minorHAnsi" w:cstheme="minorHAnsi"/>
          <w:color w:val="4F81BD"/>
        </w:rPr>
        <w:t xml:space="preserve"> </w:t>
      </w:r>
      <w:r w:rsidR="0037732C" w:rsidRPr="009362E6">
        <w:rPr>
          <w:rFonts w:asciiTheme="minorHAnsi" w:hAnsiTheme="minorHAnsi" w:cstheme="minorHAnsi"/>
          <w:color w:val="4F81BD"/>
        </w:rPr>
        <w:t>but is intended to provide a payment equivalent to the cost of public transport.</w:t>
      </w:r>
    </w:p>
    <w:p w14:paraId="0FEAD273" w14:textId="77777777" w:rsidR="0037732C" w:rsidRPr="009362E6" w:rsidRDefault="0037732C" w:rsidP="0037732C">
      <w:pPr>
        <w:pStyle w:val="ListParagraph"/>
        <w:rPr>
          <w:rFonts w:asciiTheme="minorHAnsi" w:hAnsiTheme="minorHAnsi" w:cstheme="minorHAnsi"/>
        </w:rPr>
      </w:pPr>
    </w:p>
    <w:p w14:paraId="3E985248" w14:textId="5E9631DE" w:rsidR="0037732C" w:rsidRPr="009362E6" w:rsidRDefault="0037732C" w:rsidP="00B7392A">
      <w:pPr>
        <w:pStyle w:val="ListParagraph"/>
        <w:numPr>
          <w:ilvl w:val="0"/>
          <w:numId w:val="10"/>
        </w:numPr>
        <w:spacing w:after="160" w:line="252" w:lineRule="auto"/>
        <w:rPr>
          <w:rFonts w:asciiTheme="minorHAnsi" w:eastAsia="Times New Roman" w:hAnsiTheme="minorHAnsi" w:cstheme="minorHAnsi"/>
          <w:color w:val="4F81BD"/>
        </w:rPr>
      </w:pPr>
      <w:r w:rsidRPr="009362E6">
        <w:rPr>
          <w:rFonts w:asciiTheme="minorHAnsi" w:eastAsia="Times New Roman" w:hAnsiTheme="minorHAnsi" w:cstheme="minorHAnsi"/>
        </w:rPr>
        <w:t xml:space="preserve">Are the ITT documents provided on JNCC’s website identical to those on Contracts Finder? </w:t>
      </w:r>
      <w:r w:rsidR="009362E6" w:rsidRPr="009362E6">
        <w:rPr>
          <w:rFonts w:asciiTheme="minorHAnsi" w:eastAsia="Times New Roman" w:hAnsiTheme="minorHAnsi" w:cstheme="minorHAnsi"/>
          <w:color w:val="4F81BD" w:themeColor="accent1"/>
        </w:rPr>
        <w:t>Answer</w:t>
      </w:r>
      <w:r w:rsidR="009362E6">
        <w:rPr>
          <w:rFonts w:asciiTheme="minorHAnsi" w:eastAsia="Times New Roman" w:hAnsiTheme="minorHAnsi" w:cstheme="minorHAnsi"/>
        </w:rPr>
        <w:t xml:space="preserve">: </w:t>
      </w:r>
      <w:r w:rsidRPr="009362E6">
        <w:rPr>
          <w:rFonts w:asciiTheme="minorHAnsi" w:eastAsia="Times New Roman" w:hAnsiTheme="minorHAnsi" w:cstheme="minorHAnsi"/>
          <w:color w:val="4F81BD"/>
        </w:rPr>
        <w:t xml:space="preserve">We have </w:t>
      </w:r>
      <w:r w:rsidR="00B7392A" w:rsidRPr="009362E6">
        <w:rPr>
          <w:rFonts w:asciiTheme="minorHAnsi" w:eastAsia="Times New Roman" w:hAnsiTheme="minorHAnsi" w:cstheme="minorHAnsi"/>
          <w:color w:val="4F81BD"/>
        </w:rPr>
        <w:t>taken these</w:t>
      </w:r>
      <w:r w:rsidRPr="009362E6">
        <w:rPr>
          <w:rFonts w:asciiTheme="minorHAnsi" w:eastAsia="Times New Roman" w:hAnsiTheme="minorHAnsi" w:cstheme="minorHAnsi"/>
          <w:color w:val="4F81BD"/>
        </w:rPr>
        <w:t xml:space="preserve"> down from JNCC’s Website to review the documents and in the process of editing this notice on Contracts Finder and on our website.</w:t>
      </w:r>
      <w:r w:rsidR="00B7392A" w:rsidRPr="009362E6">
        <w:rPr>
          <w:rFonts w:asciiTheme="minorHAnsi" w:eastAsia="Times New Roman" w:hAnsiTheme="minorHAnsi" w:cstheme="minorHAnsi"/>
          <w:color w:val="4F81BD"/>
        </w:rPr>
        <w:t xml:space="preserve"> (CCN 09 July 2020).</w:t>
      </w:r>
    </w:p>
    <w:p w14:paraId="74995916" w14:textId="1FB89E77" w:rsidR="0037732C" w:rsidRPr="007F52EB" w:rsidRDefault="007F52EB" w:rsidP="007F52EB">
      <w:pPr>
        <w:pStyle w:val="ListParagraph"/>
        <w:numPr>
          <w:ilvl w:val="0"/>
          <w:numId w:val="10"/>
        </w:numPr>
        <w:rPr>
          <w:rFonts w:asciiTheme="minorHAnsi" w:hAnsiTheme="minorHAnsi" w:cstheme="minorHAnsi"/>
        </w:rPr>
      </w:pPr>
      <w:r>
        <w:rPr>
          <w:rFonts w:asciiTheme="minorHAnsi" w:eastAsia="Times New Roman" w:hAnsiTheme="minorHAnsi" w:cstheme="minorHAnsi"/>
          <w:color w:val="000000"/>
        </w:rPr>
        <w:t>P</w:t>
      </w:r>
      <w:r w:rsidRPr="007F52EB">
        <w:rPr>
          <w:rFonts w:asciiTheme="minorHAnsi" w:eastAsia="Times New Roman" w:hAnsiTheme="minorHAnsi" w:cstheme="minorHAnsi"/>
          <w:color w:val="000000"/>
        </w:rPr>
        <w:t>lease can you provide an indication of the capital value of the framework.</w:t>
      </w:r>
    </w:p>
    <w:p w14:paraId="7D74A3CA" w14:textId="23F0FF2D" w:rsidR="007F52EB" w:rsidRPr="007F52EB" w:rsidRDefault="007F52EB" w:rsidP="007F52EB">
      <w:pPr>
        <w:pStyle w:val="ListParagraph"/>
        <w:ind w:left="785"/>
        <w:contextualSpacing w:val="0"/>
        <w:rPr>
          <w:rFonts w:asciiTheme="minorHAnsi" w:eastAsia="Times New Roman" w:hAnsiTheme="minorHAnsi" w:cstheme="minorHAnsi"/>
          <w:color w:val="4F81BD" w:themeColor="accent1"/>
        </w:rPr>
      </w:pPr>
      <w:r w:rsidRPr="007F52EB">
        <w:rPr>
          <w:rFonts w:asciiTheme="minorHAnsi" w:eastAsia="Times New Roman" w:hAnsiTheme="minorHAnsi" w:cstheme="minorHAnsi"/>
          <w:color w:val="4F81BD" w:themeColor="accent1"/>
        </w:rPr>
        <w:t xml:space="preserve">Answer: </w:t>
      </w:r>
      <w:r w:rsidRPr="007F52EB">
        <w:rPr>
          <w:rFonts w:asciiTheme="minorHAnsi" w:eastAsia="Times New Roman" w:hAnsiTheme="minorHAnsi" w:cstheme="minorHAnsi"/>
          <w:color w:val="4F81BD" w:themeColor="accent1"/>
        </w:rPr>
        <w:t xml:space="preserve">There is no upper limit to the value of the total framework. It will relate to demand from our customers and skills availabilities etc. That said, it is likely most projects will be small </w:t>
      </w:r>
      <w:r>
        <w:rPr>
          <w:rFonts w:asciiTheme="minorHAnsi" w:eastAsia="Times New Roman" w:hAnsiTheme="minorHAnsi" w:cstheme="minorHAnsi"/>
          <w:color w:val="4F81BD" w:themeColor="accent1"/>
        </w:rPr>
        <w:t>to</w:t>
      </w:r>
      <w:bookmarkStart w:id="0" w:name="_GoBack"/>
      <w:bookmarkEnd w:id="0"/>
      <w:r w:rsidRPr="007F52EB">
        <w:rPr>
          <w:rFonts w:asciiTheme="minorHAnsi" w:eastAsia="Times New Roman" w:hAnsiTheme="minorHAnsi" w:cstheme="minorHAnsi"/>
          <w:color w:val="4F81BD" w:themeColor="accent1"/>
        </w:rPr>
        <w:t xml:space="preserve"> medium.</w:t>
      </w:r>
    </w:p>
    <w:p w14:paraId="207605B8" w14:textId="77777777" w:rsidR="007F52EB" w:rsidRPr="007F52EB" w:rsidRDefault="007F52EB" w:rsidP="007F52EB">
      <w:pPr>
        <w:pStyle w:val="ListParagraph"/>
        <w:rPr>
          <w:rFonts w:asciiTheme="minorHAnsi" w:hAnsiTheme="minorHAnsi" w:cstheme="minorHAnsi"/>
        </w:rPr>
      </w:pPr>
    </w:p>
    <w:p w14:paraId="784F978D" w14:textId="221E355B" w:rsidR="007F52EB" w:rsidRDefault="007F52EB" w:rsidP="007F52EB">
      <w:pPr>
        <w:pStyle w:val="ListParagraph"/>
        <w:ind w:left="785"/>
        <w:rPr>
          <w:rFonts w:asciiTheme="minorHAnsi" w:hAnsiTheme="minorHAnsi" w:cstheme="minorHAnsi"/>
        </w:rPr>
      </w:pPr>
    </w:p>
    <w:p w14:paraId="7BF1B6B3" w14:textId="77777777" w:rsidR="007F52EB" w:rsidRPr="007F52EB" w:rsidRDefault="007F52EB" w:rsidP="007F52EB">
      <w:pPr>
        <w:pStyle w:val="ListParagraph"/>
        <w:ind w:left="785"/>
        <w:rPr>
          <w:rFonts w:asciiTheme="minorHAnsi" w:hAnsiTheme="minorHAnsi" w:cstheme="minorHAnsi"/>
        </w:rPr>
      </w:pPr>
    </w:p>
    <w:sectPr w:rsidR="007F52EB" w:rsidRPr="007F52EB"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51D"/>
    <w:multiLevelType w:val="hybridMultilevel"/>
    <w:tmpl w:val="B24EC9D4"/>
    <w:lvl w:ilvl="0" w:tplc="A986EA5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E4CCA"/>
    <w:multiLevelType w:val="multilevel"/>
    <w:tmpl w:val="18140172"/>
    <w:lvl w:ilvl="0">
      <w:start w:val="1"/>
      <w:numFmt w:val="decimal"/>
      <w:lvlText w:val="%1."/>
      <w:lvlJc w:val="left"/>
      <w:pPr>
        <w:tabs>
          <w:tab w:val="num" w:pos="785"/>
        </w:tabs>
        <w:ind w:left="785" w:hanging="360"/>
      </w:pPr>
      <w:rPr>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44F05"/>
    <w:multiLevelType w:val="hybridMultilevel"/>
    <w:tmpl w:val="7292B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6"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4604A"/>
    <w:multiLevelType w:val="hybridMultilevel"/>
    <w:tmpl w:val="A6021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7B53FB"/>
    <w:multiLevelType w:val="multilevel"/>
    <w:tmpl w:val="BBCC0922"/>
    <w:lvl w:ilvl="0">
      <w:start w:val="1"/>
      <w:numFmt w:val="decimal"/>
      <w:lvlText w:val="%1."/>
      <w:lvlJc w:val="left"/>
      <w:pPr>
        <w:tabs>
          <w:tab w:val="num" w:pos="785"/>
        </w:tabs>
        <w:ind w:left="785" w:hanging="360"/>
      </w:pPr>
      <w:rPr>
        <w:rFonts w:asciiTheme="minorHAnsi" w:hAnsiTheme="minorHAnsi" w:cstheme="minorHAnsi"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91F5439"/>
    <w:multiLevelType w:val="hybridMultilevel"/>
    <w:tmpl w:val="FF1A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31728B"/>
    <w:multiLevelType w:val="hybridMultilevel"/>
    <w:tmpl w:val="FF1A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3"/>
  </w:num>
  <w:num w:numId="3">
    <w:abstractNumId w:val="6"/>
  </w:num>
  <w:num w:numId="4">
    <w:abstractNumId w:val="9"/>
  </w:num>
  <w:num w:numId="5">
    <w:abstractNumId w:val="9"/>
  </w:num>
  <w:num w:numId="6">
    <w:abstractNumId w:val="9"/>
  </w:num>
  <w:num w:numId="7">
    <w:abstractNumId w:val="9"/>
  </w:num>
  <w:num w:numId="8">
    <w:abstractNumId w:val="4"/>
  </w:num>
  <w:num w:numId="9">
    <w:abstractNumId w:val="5"/>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EB"/>
    <w:rsid w:val="00020A7C"/>
    <w:rsid w:val="000A3A75"/>
    <w:rsid w:val="000E2B12"/>
    <w:rsid w:val="001514EB"/>
    <w:rsid w:val="001842D8"/>
    <w:rsid w:val="001E492C"/>
    <w:rsid w:val="002049CC"/>
    <w:rsid w:val="00215887"/>
    <w:rsid w:val="002734CF"/>
    <w:rsid w:val="002972D9"/>
    <w:rsid w:val="002D14BA"/>
    <w:rsid w:val="0034271E"/>
    <w:rsid w:val="0037732C"/>
    <w:rsid w:val="0037745F"/>
    <w:rsid w:val="003A1D42"/>
    <w:rsid w:val="003E2675"/>
    <w:rsid w:val="00435C30"/>
    <w:rsid w:val="00493C7E"/>
    <w:rsid w:val="004A6868"/>
    <w:rsid w:val="00545298"/>
    <w:rsid w:val="00557701"/>
    <w:rsid w:val="005A1324"/>
    <w:rsid w:val="005B3579"/>
    <w:rsid w:val="005C72F6"/>
    <w:rsid w:val="005F1AC6"/>
    <w:rsid w:val="0062293A"/>
    <w:rsid w:val="00623A72"/>
    <w:rsid w:val="006432C6"/>
    <w:rsid w:val="00647890"/>
    <w:rsid w:val="006560F2"/>
    <w:rsid w:val="006723D5"/>
    <w:rsid w:val="006D36F5"/>
    <w:rsid w:val="007505EA"/>
    <w:rsid w:val="00753AC6"/>
    <w:rsid w:val="007677A2"/>
    <w:rsid w:val="00792DE0"/>
    <w:rsid w:val="007B4816"/>
    <w:rsid w:val="007E132E"/>
    <w:rsid w:val="007F52EB"/>
    <w:rsid w:val="00837560"/>
    <w:rsid w:val="00871597"/>
    <w:rsid w:val="00893322"/>
    <w:rsid w:val="008B6EDF"/>
    <w:rsid w:val="008E5364"/>
    <w:rsid w:val="00930838"/>
    <w:rsid w:val="009346B9"/>
    <w:rsid w:val="009362E6"/>
    <w:rsid w:val="009735E3"/>
    <w:rsid w:val="0099488D"/>
    <w:rsid w:val="009B17A6"/>
    <w:rsid w:val="00AF6487"/>
    <w:rsid w:val="00B7392A"/>
    <w:rsid w:val="00B911BA"/>
    <w:rsid w:val="00BB2F94"/>
    <w:rsid w:val="00C06CE0"/>
    <w:rsid w:val="00C35D2C"/>
    <w:rsid w:val="00CB4F6D"/>
    <w:rsid w:val="00CF0BC5"/>
    <w:rsid w:val="00CF75AB"/>
    <w:rsid w:val="00E442ED"/>
    <w:rsid w:val="00E85EF9"/>
    <w:rsid w:val="00EC620F"/>
    <w:rsid w:val="00EF42A5"/>
    <w:rsid w:val="00F00F66"/>
    <w:rsid w:val="00F065B9"/>
    <w:rsid w:val="00F1142E"/>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C5AC"/>
  <w15:chartTrackingRefBased/>
  <w15:docId w15:val="{CFD75BCD-0EB0-4D54-8219-BD90B39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14EB"/>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5F1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C6"/>
    <w:rPr>
      <w:rFonts w:ascii="Segoe UI" w:hAnsi="Segoe UI" w:cs="Segoe UI"/>
      <w:sz w:val="18"/>
      <w:szCs w:val="18"/>
    </w:rPr>
  </w:style>
  <w:style w:type="paragraph" w:customStyle="1" w:styleId="Portalsubsection">
    <w:name w:val="Portal subsection"/>
    <w:basedOn w:val="Normal"/>
    <w:rsid w:val="006D36F5"/>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5787">
      <w:bodyDiv w:val="1"/>
      <w:marLeft w:val="0"/>
      <w:marRight w:val="0"/>
      <w:marTop w:val="0"/>
      <w:marBottom w:val="0"/>
      <w:divBdr>
        <w:top w:val="none" w:sz="0" w:space="0" w:color="auto"/>
        <w:left w:val="none" w:sz="0" w:space="0" w:color="auto"/>
        <w:bottom w:val="none" w:sz="0" w:space="0" w:color="auto"/>
        <w:right w:val="none" w:sz="0" w:space="0" w:color="auto"/>
      </w:divBdr>
    </w:div>
    <w:div w:id="238486750">
      <w:bodyDiv w:val="1"/>
      <w:marLeft w:val="0"/>
      <w:marRight w:val="0"/>
      <w:marTop w:val="0"/>
      <w:marBottom w:val="0"/>
      <w:divBdr>
        <w:top w:val="none" w:sz="0" w:space="0" w:color="auto"/>
        <w:left w:val="none" w:sz="0" w:space="0" w:color="auto"/>
        <w:bottom w:val="none" w:sz="0" w:space="0" w:color="auto"/>
        <w:right w:val="none" w:sz="0" w:space="0" w:color="auto"/>
      </w:divBdr>
    </w:div>
    <w:div w:id="397822325">
      <w:bodyDiv w:val="1"/>
      <w:marLeft w:val="0"/>
      <w:marRight w:val="0"/>
      <w:marTop w:val="0"/>
      <w:marBottom w:val="0"/>
      <w:divBdr>
        <w:top w:val="none" w:sz="0" w:space="0" w:color="auto"/>
        <w:left w:val="none" w:sz="0" w:space="0" w:color="auto"/>
        <w:bottom w:val="none" w:sz="0" w:space="0" w:color="auto"/>
        <w:right w:val="none" w:sz="0" w:space="0" w:color="auto"/>
      </w:divBdr>
    </w:div>
    <w:div w:id="788159104">
      <w:bodyDiv w:val="1"/>
      <w:marLeft w:val="0"/>
      <w:marRight w:val="0"/>
      <w:marTop w:val="0"/>
      <w:marBottom w:val="0"/>
      <w:divBdr>
        <w:top w:val="none" w:sz="0" w:space="0" w:color="auto"/>
        <w:left w:val="none" w:sz="0" w:space="0" w:color="auto"/>
        <w:bottom w:val="none" w:sz="0" w:space="0" w:color="auto"/>
        <w:right w:val="none" w:sz="0" w:space="0" w:color="auto"/>
      </w:divBdr>
    </w:div>
    <w:div w:id="1567690196">
      <w:bodyDiv w:val="1"/>
      <w:marLeft w:val="0"/>
      <w:marRight w:val="0"/>
      <w:marTop w:val="0"/>
      <w:marBottom w:val="0"/>
      <w:divBdr>
        <w:top w:val="none" w:sz="0" w:space="0" w:color="auto"/>
        <w:left w:val="none" w:sz="0" w:space="0" w:color="auto"/>
        <w:bottom w:val="none" w:sz="0" w:space="0" w:color="auto"/>
        <w:right w:val="none" w:sz="0" w:space="0" w:color="auto"/>
      </w:divBdr>
    </w:div>
    <w:div w:id="1648625548">
      <w:bodyDiv w:val="1"/>
      <w:marLeft w:val="0"/>
      <w:marRight w:val="0"/>
      <w:marTop w:val="0"/>
      <w:marBottom w:val="0"/>
      <w:divBdr>
        <w:top w:val="none" w:sz="0" w:space="0" w:color="auto"/>
        <w:left w:val="none" w:sz="0" w:space="0" w:color="auto"/>
        <w:bottom w:val="none" w:sz="0" w:space="0" w:color="auto"/>
        <w:right w:val="none" w:sz="0" w:space="0" w:color="auto"/>
      </w:divBdr>
    </w:div>
    <w:div w:id="17202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4</cp:revision>
  <dcterms:created xsi:type="dcterms:W3CDTF">2020-07-10T11:42:00Z</dcterms:created>
  <dcterms:modified xsi:type="dcterms:W3CDTF">2020-07-10T13:58:00Z</dcterms:modified>
</cp:coreProperties>
</file>