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5B" w:rsidRDefault="00A5415B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Order Form </w:t>
      </w:r>
    </w:p>
    <w:p w:rsidR="00A5415B" w:rsidRDefault="00A5415B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9B449B" w:rsidRPr="0081764A" w:rsidRDefault="009B449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B3C86" w:rsidRDefault="00487C19" w:rsidP="00D579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D57916" w:rsidRPr="00BC366E">
                  <w:rPr>
                    <w:rFonts w:ascii="Arial" w:hAnsi="Arial" w:cs="Arial"/>
                    <w:sz w:val="18"/>
                    <w:szCs w:val="18"/>
                  </w:rPr>
                  <w:t xml:space="preserve">THE DEPARTMENT OF WORK AND PENSIONS whose principle place of business is at Caxton House, 6012 </w:t>
                </w:r>
                <w:proofErr w:type="spellStart"/>
                <w:r w:rsidR="00D57916" w:rsidRPr="00BC366E">
                  <w:rPr>
                    <w:rFonts w:ascii="Arial" w:hAnsi="Arial" w:cs="Arial"/>
                    <w:sz w:val="18"/>
                    <w:szCs w:val="18"/>
                  </w:rPr>
                  <w:t>Tothill</w:t>
                </w:r>
                <w:proofErr w:type="spellEnd"/>
                <w:r w:rsidR="00D57916" w:rsidRPr="00BC366E">
                  <w:rPr>
                    <w:rFonts w:ascii="Arial" w:hAnsi="Arial" w:cs="Arial"/>
                    <w:sz w:val="18"/>
                    <w:szCs w:val="18"/>
                  </w:rPr>
                  <w:t xml:space="preserve"> Street, London, SW1H 9NA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9B449B" w:rsidRPr="0081764A" w:rsidRDefault="009B449B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3C86" w:rsidRDefault="009B449B" w:rsidP="00D579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Caxton House, 6012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Tothill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Street, London, SW1H 9NA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:rsidR="009B449B" w:rsidRDefault="009B449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487C19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showingPlcHdr/>
                <w:text/>
              </w:sdtPr>
              <w:sdtEndPr/>
              <w:sdtContent>
                <w:r w:rsidR="00FB3C86" w:rsidRPr="00957EAE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9B449B" w:rsidRDefault="009B449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:rsidR="00FB3C86" w:rsidRPr="0081764A" w:rsidRDefault="00487C19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showingPlcHdr/>
                <w:text/>
              </w:sdtPr>
              <w:sdtEndPr/>
              <w:sdtContent>
                <w:r w:rsidR="00FB3C86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:rsidR="009B449B" w:rsidRPr="0038202D" w:rsidRDefault="009B449B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3C86" w:rsidRDefault="00487C19" w:rsidP="00D579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D57916">
                  <w:rPr>
                    <w:rFonts w:ascii="Arial" w:hAnsi="Arial" w:cs="Arial"/>
                    <w:sz w:val="22"/>
                    <w:szCs w:val="22"/>
                  </w:rPr>
                  <w:t>ADVANCED 365 LIMITED</w:t>
                </w:r>
                <w:r w:rsidR="00DA5CC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:rsidR="009B449B" w:rsidRPr="0081764A" w:rsidRDefault="009B449B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B3C86" w:rsidRDefault="00487C19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proofErr w:type="spellStart"/>
                <w:r w:rsidR="00DA5CC0">
                  <w:rPr>
                    <w:rFonts w:ascii="Arial" w:hAnsi="Arial" w:cs="Arial"/>
                    <w:sz w:val="22"/>
                    <w:szCs w:val="22"/>
                  </w:rPr>
                  <w:t>Ditton</w:t>
                </w:r>
                <w:proofErr w:type="spellEnd"/>
                <w:r w:rsidR="00DA5CC0">
                  <w:rPr>
                    <w:rFonts w:ascii="Arial" w:hAnsi="Arial" w:cs="Arial"/>
                    <w:sz w:val="22"/>
                    <w:szCs w:val="22"/>
                  </w:rPr>
                  <w:t xml:space="preserve"> Park, Riding Court Road, </w:t>
                </w:r>
                <w:proofErr w:type="spellStart"/>
                <w:r w:rsidR="00DA5CC0">
                  <w:rPr>
                    <w:rFonts w:ascii="Arial" w:hAnsi="Arial" w:cs="Arial"/>
                    <w:sz w:val="22"/>
                    <w:szCs w:val="22"/>
                  </w:rPr>
                  <w:t>Datchet</w:t>
                </w:r>
                <w:proofErr w:type="spellEnd"/>
                <w:r w:rsidR="00DA5CC0">
                  <w:rPr>
                    <w:rFonts w:ascii="Arial" w:hAnsi="Arial" w:cs="Arial"/>
                    <w:sz w:val="22"/>
                    <w:szCs w:val="22"/>
                  </w:rPr>
                  <w:t>, Reading SL3 9LL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B3C86" w:rsidRDefault="00D13468" w:rsidP="007D77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66B">
              <w:t>[Redacted]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:rsidR="00FB3C86" w:rsidRPr="00E4566B" w:rsidRDefault="00E4566B" w:rsidP="00E4566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566B">
              <w:rPr>
                <w:rFonts w:ascii="Arial" w:hAnsi="Arial" w:cs="Arial"/>
                <w:b/>
                <w:sz w:val="22"/>
                <w:szCs w:val="22"/>
              </w:rPr>
              <w:t>[Redacted]</w:t>
            </w:r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:rsidR="009B449B" w:rsidRDefault="009B449B" w:rsidP="00DA5CC0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31F3" w:rsidRPr="0081764A" w:rsidRDefault="00487C19" w:rsidP="00E4566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showingPlcHdr/>
                <w:text/>
              </w:sdtPr>
              <w:sdtEndPr/>
              <w:sdtContent>
                <w:r w:rsidR="00E4566B" w:rsidRPr="0081764A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 w:type="page"/>
      </w:r>
    </w:p>
    <w:p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9EE" w:rsidRPr="00B33CA5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F679EE" w:rsidRPr="00B33CA5" w:rsidRDefault="00487C1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487C1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CC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487C1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487C1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487C19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:rsidR="006431F3" w:rsidRDefault="00487C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A33E47">
                  <w:rPr>
                    <w:rFonts w:ascii="Arial" w:hAnsi="Arial" w:cs="Arial"/>
                    <w:sz w:val="22"/>
                    <w:szCs w:val="22"/>
                  </w:rPr>
                  <w:t xml:space="preserve">VME-R 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Commencement Date</w:t>
            </w:r>
          </w:p>
          <w:p w:rsidR="009B449B" w:rsidRDefault="009B449B" w:rsidP="007458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31F3" w:rsidRDefault="00487C19" w:rsidP="009B44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7-08-0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115B4">
                  <w:rPr>
                    <w:rFonts w:ascii="Arial" w:hAnsi="Arial" w:cs="Arial"/>
                    <w:sz w:val="22"/>
                    <w:szCs w:val="22"/>
                  </w:rPr>
                  <w:t>09/08/2017</w:t>
                </w:r>
              </w:sdtContent>
            </w:sdt>
          </w:p>
        </w:tc>
      </w:tr>
    </w:tbl>
    <w:p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:rsidR="009B449B" w:rsidRDefault="009B449B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5CC0" w:rsidRPr="00B33CA5" w:rsidRDefault="009B449B" w:rsidP="000115B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months (5 years) from the Commencement Date</w:t>
            </w:r>
            <w:r w:rsidR="00DA5C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54D49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54D49" w:rsidRDefault="00F679EE" w:rsidP="00954D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B449B" w:rsidRPr="00957EAE" w:rsidRDefault="009B449B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4D49" w:rsidRDefault="00487C19" w:rsidP="009B449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9B449B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60 months</w:t>
                </w:r>
                <w:r w:rsidR="00954D49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:rsidR="004E6EF8" w:rsidRDefault="00F679EE" w:rsidP="004E6E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B449B" w:rsidRPr="00957EAE" w:rsidRDefault="009B449B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6EF8" w:rsidRDefault="00487C19" w:rsidP="004E6EF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4E6EF8" w:rsidRPr="00011711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9B449B" w:rsidRDefault="009B449B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4278" w:rsidRDefault="009B449B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Software is licenced in accordance with the provisions set out in Schedule 3.</w:t>
            </w:r>
          </w:p>
          <w:p w:rsidR="008103E3" w:rsidRDefault="008103E3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Clause 21.2</w:t>
            </w:r>
            <w:r w:rsidR="00C43085">
              <w:rPr>
                <w:rFonts w:ascii="Arial" w:hAnsi="Arial" w:cs="Arial"/>
                <w:sz w:val="22"/>
                <w:szCs w:val="22"/>
              </w:rPr>
              <w:t xml:space="preserve"> of the Contract</w:t>
            </w:r>
            <w:r>
              <w:rPr>
                <w:rFonts w:ascii="Arial" w:hAnsi="Arial" w:cs="Arial"/>
                <w:sz w:val="22"/>
                <w:szCs w:val="22"/>
              </w:rPr>
              <w:t xml:space="preserve"> (Termination without Cause) does not apply to this Order </w:t>
            </w:r>
          </w:p>
          <w:p w:rsidR="009B449B" w:rsidRDefault="009B449B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</w:p>
          <w:p w:rsidR="00923283" w:rsidRDefault="009B449B" w:rsidP="00E116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2EC">
              <w:rPr>
                <w:rFonts w:ascii="Arial" w:hAnsi="Arial" w:cs="Arial"/>
                <w:sz w:val="22"/>
                <w:szCs w:val="22"/>
              </w:rPr>
              <w:t>Support and Maintenance Services for the Software</w:t>
            </w:r>
            <w:r w:rsidRPr="00F04EB6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:rsidR="009B449B" w:rsidRPr="009C28CE" w:rsidRDefault="009B449B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3283" w:rsidRPr="0013761F" w:rsidRDefault="00487C19" w:rsidP="00DA5C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A5CC0" w:rsidRPr="002802EC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:rsidR="00923283" w:rsidRDefault="00487C19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923283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23283" w:rsidRPr="0013761F" w:rsidRDefault="00DA5CC0" w:rsidP="00DA5CC0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A5CC0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p>
            </w:sdtContent>
          </w:sdt>
        </w:tc>
      </w:tr>
      <w:tr w:rsidR="00832A35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32A35" w:rsidRDefault="00832A35" w:rsidP="009B449B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</w:p>
        </w:tc>
      </w:tr>
      <w:tr w:rsidR="00832A35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Default="00832A35" w:rsidP="00011711">
            <w:pPr>
              <w:pStyle w:val="ORDERFORML2Title"/>
              <w:numPr>
                <w:ilvl w:val="0"/>
                <w:numId w:val="0"/>
              </w:numPr>
              <w:ind w:left="34"/>
              <w:jc w:val="left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:rsidR="00832A35" w:rsidRPr="00E4566B" w:rsidRDefault="00A33E47" w:rsidP="00F63697">
            <w:pPr>
              <w:pStyle w:val="ORDERFORML2Title"/>
              <w:numPr>
                <w:ilvl w:val="0"/>
                <w:numId w:val="0"/>
              </w:numPr>
              <w:ind w:left="34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Advanced Application </w:t>
            </w:r>
            <w:r w:rsidR="009B449B" w:rsidRPr="00E1168E">
              <w:rPr>
                <w:b w:val="0"/>
              </w:rPr>
              <w:t>Runtime</w:t>
            </w:r>
            <w:r>
              <w:rPr>
                <w:b w:val="0"/>
                <w:lang w:val="en-GB"/>
              </w:rPr>
              <w:t xml:space="preserve"> software</w:t>
            </w:r>
            <w:r w:rsidR="009B449B" w:rsidRPr="00E1168E">
              <w:rPr>
                <w:b w:val="0"/>
              </w:rPr>
              <w:t xml:space="preserve"> </w:t>
            </w:r>
            <w:r w:rsidR="00E4566B" w:rsidRPr="00E4566B">
              <w:rPr>
                <w:lang w:val="en-GB"/>
              </w:rPr>
              <w:t>[Redacted]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011711">
            <w:pPr>
              <w:pStyle w:val="ORDERFORML2Title"/>
              <w:numPr>
                <w:ilvl w:val="0"/>
                <w:numId w:val="0"/>
              </w:numPr>
              <w:jc w:val="left"/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:rsidR="00832A35" w:rsidRPr="00A33E47" w:rsidRDefault="009B449B" w:rsidP="00F63697">
            <w:pPr>
              <w:pStyle w:val="ORDERFORML2Title"/>
              <w:numPr>
                <w:ilvl w:val="0"/>
                <w:numId w:val="0"/>
              </w:numPr>
              <w:jc w:val="left"/>
              <w:rPr>
                <w:b w:val="0"/>
                <w:lang w:val="en-GB"/>
              </w:rPr>
            </w:pPr>
            <w:r w:rsidRPr="00E1168E">
              <w:rPr>
                <w:b w:val="0"/>
              </w:rPr>
              <w:t>Modern Systems Data Runtime Softwar</w:t>
            </w:r>
            <w:r w:rsidRPr="00E1168E">
              <w:rPr>
                <w:b w:val="0"/>
                <w:lang w:val="en-GB"/>
              </w:rPr>
              <w:t>e</w:t>
            </w:r>
            <w:r w:rsidR="00A33E47">
              <w:rPr>
                <w:b w:val="0"/>
                <w:lang w:val="en-GB"/>
              </w:rPr>
              <w:t xml:space="preserve"> </w:t>
            </w:r>
            <w:r w:rsidR="00E4566B" w:rsidRPr="00E4566B">
              <w:rPr>
                <w:lang w:val="en-GB"/>
              </w:rPr>
              <w:t>[Redacted]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:rsidR="00832A35" w:rsidRPr="00832A35" w:rsidRDefault="00E1168E" w:rsidP="00E1168E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E1168E">
              <w:rPr>
                <w:b w:val="0"/>
              </w:rPr>
              <w:t>Reference Schedule 3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Tr="000115B4">
        <w:trPr>
          <w:trHeight w:val="931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DE40A7" w:rsidRDefault="00DE40A7" w:rsidP="005B6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B6F23" w:rsidRPr="005B6F23" w:rsidRDefault="00487C19" w:rsidP="00DA5C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DA5CC0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  <w:tr w:rsidR="00923283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Pr="0013761F" w:rsidRDefault="00923283" w:rsidP="00DA5CC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33A0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DBE5F1" w:themeFill="accent1" w:themeFillTint="33"/>
          </w:tcPr>
          <w:p w:rsidR="008333A0" w:rsidRPr="00D37C07" w:rsidRDefault="00F0258D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  <w:tr w:rsidR="00D0699A" w:rsidTr="00C8171A">
        <w:tc>
          <w:tcPr>
            <w:tcW w:w="5387" w:type="dxa"/>
            <w:shd w:val="clear" w:color="auto" w:fill="DBE5F1" w:themeFill="accent1" w:themeFillTint="33"/>
          </w:tcPr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Contract Charges (£)</w:t>
            </w:r>
          </w:p>
          <w:p w:rsidR="00D0699A" w:rsidRDefault="00D0699A" w:rsidP="00796FD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714745" w:rsidRDefault="00714745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£</w:t>
            </w:r>
            <w:r w:rsidR="00E4566B" w:rsidRPr="00E4566B">
              <w:t>[Redacted]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comprising:</w:t>
            </w:r>
          </w:p>
          <w:p w:rsidR="00D0699A" w:rsidRDefault="00714745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Software </w:t>
            </w:r>
            <w:r w:rsidR="00C8171A" w:rsidRPr="00C8171A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Licence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Charge</w:t>
            </w:r>
            <w:r w:rsidR="00C8171A" w:rsidRPr="00C8171A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: £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4566B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£</w:t>
            </w:r>
            <w:r w:rsidR="00E4566B" w:rsidRPr="00E4566B">
              <w:t>[Redacted]</w:t>
            </w:r>
          </w:p>
          <w:p w:rsidR="00C8171A" w:rsidRDefault="00714745" w:rsidP="00E4566B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>Support and</w:t>
            </w:r>
            <w:r w:rsidR="00E4566B">
              <w:rPr>
                <w:rFonts w:ascii="Calibri" w:eastAsia="Times New Roman" w:hAnsi="Calibri"/>
                <w:color w:val="000000"/>
                <w:sz w:val="22"/>
                <w:szCs w:val="22"/>
                <w:lang w:eastAsia="en-GB"/>
              </w:rPr>
              <w:t xml:space="preserve"> Maintenance Fee £</w:t>
            </w:r>
            <w:r w:rsidR="00E4566B" w:rsidRPr="00E4566B">
              <w:t>[Redacted]</w:t>
            </w:r>
          </w:p>
        </w:tc>
      </w:tr>
    </w:tbl>
    <w:p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849835052"/>
            </w:sdtPr>
            <w:sdtEndPr>
              <w:rPr>
                <w:rFonts w:ascii="Cambria" w:hAnsi="Cambria" w:cs="Times New Roman"/>
                <w:sz w:val="24"/>
                <w:szCs w:val="24"/>
              </w:rPr>
            </w:sdtEndPr>
            <w:sdtContent>
              <w:p w:rsidR="00F0258D" w:rsidRDefault="00F0258D" w:rsidP="00DA5CC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</w:p>
              <w:p w:rsidR="00CE0401" w:rsidRDefault="00DA5CC0" w:rsidP="00F0258D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Detailed</w:t>
                </w:r>
                <w:r w:rsidR="00CE0401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</w:p>
              <w:p w:rsidR="00CE0401" w:rsidRDefault="00DA5CC0" w:rsidP="00CE0401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E0401">
                  <w:rPr>
                    <w:rFonts w:ascii="Arial" w:hAnsi="Arial" w:cs="Arial"/>
                    <w:sz w:val="22"/>
                    <w:szCs w:val="22"/>
                  </w:rPr>
                  <w:t xml:space="preserve">Software </w:t>
                </w:r>
                <w:r w:rsidR="00CE0401" w:rsidRPr="00CE0401">
                  <w:rPr>
                    <w:rFonts w:ascii="Arial" w:hAnsi="Arial" w:cs="Arial"/>
                    <w:sz w:val="22"/>
                    <w:szCs w:val="22"/>
                  </w:rPr>
                  <w:t xml:space="preserve">Support and Maintenance </w:t>
                </w:r>
                <w:r w:rsidRPr="00CE0401">
                  <w:rPr>
                    <w:rFonts w:ascii="Arial" w:hAnsi="Arial" w:cs="Arial"/>
                    <w:sz w:val="22"/>
                    <w:szCs w:val="22"/>
                  </w:rPr>
                  <w:t>descriptions</w:t>
                </w:r>
                <w:r w:rsidR="00CE0401">
                  <w:rPr>
                    <w:rFonts w:ascii="Arial" w:hAnsi="Arial" w:cs="Arial"/>
                    <w:sz w:val="22"/>
                    <w:szCs w:val="22"/>
                  </w:rPr>
                  <w:t>;</w:t>
                </w:r>
                <w:r w:rsidRPr="00CE0401">
                  <w:rPr>
                    <w:rFonts w:ascii="Arial" w:hAnsi="Arial" w:cs="Arial"/>
                    <w:sz w:val="22"/>
                    <w:szCs w:val="22"/>
                  </w:rPr>
                  <w:t xml:space="preserve"> and </w:t>
                </w:r>
              </w:p>
              <w:p w:rsidR="0013761F" w:rsidRPr="00CE0401" w:rsidRDefault="00F0258D" w:rsidP="00CE0401">
                <w:pPr>
                  <w:pStyle w:val="ListParagraph"/>
                  <w:numPr>
                    <w:ilvl w:val="0"/>
                    <w:numId w:val="21"/>
                  </w:num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CE0401">
                  <w:rPr>
                    <w:rFonts w:ascii="Arial" w:hAnsi="Arial" w:cs="Arial"/>
                    <w:sz w:val="22"/>
                    <w:szCs w:val="22"/>
                  </w:rPr>
                  <w:t>Charges</w:t>
                </w:r>
                <w:r w:rsidR="00CE0401">
                  <w:rPr>
                    <w:rFonts w:ascii="Arial" w:hAnsi="Arial" w:cs="Arial"/>
                    <w:sz w:val="22"/>
                    <w:szCs w:val="22"/>
                  </w:rPr>
                  <w:t xml:space="preserve"> and payment terms.</w:t>
                </w:r>
              </w:p>
            </w:sdtContent>
          </w:sdt>
        </w:tc>
      </w:tr>
    </w:tbl>
    <w:p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F0258D" w:rsidRDefault="00F0258D" w:rsidP="00F0258D">
            <w:pPr>
              <w:pStyle w:val="Heading1"/>
              <w:numPr>
                <w:ilvl w:val="0"/>
                <w:numId w:val="15"/>
              </w:numPr>
              <w:ind w:left="709" w:hanging="709"/>
            </w:pPr>
            <w:r>
              <w:t>charges</w:t>
            </w:r>
          </w:p>
          <w:p w:rsidR="00F0258D" w:rsidRPr="00A703AA" w:rsidRDefault="00F0258D" w:rsidP="00F0258D">
            <w:pPr>
              <w:pStyle w:val="Heading2"/>
              <w:rPr>
                <w:b/>
              </w:rPr>
            </w:pPr>
            <w:r w:rsidRPr="00A703AA">
              <w:rPr>
                <w:b/>
              </w:rPr>
              <w:t>Five-Year Support and Maintenance Service Charges</w:t>
            </w:r>
          </w:p>
          <w:p w:rsidR="00F0258D" w:rsidRDefault="006A6C34" w:rsidP="00F0258D">
            <w:pPr>
              <w:pStyle w:val="Heading3"/>
              <w:numPr>
                <w:ilvl w:val="0"/>
                <w:numId w:val="0"/>
              </w:numPr>
              <w:ind w:left="720"/>
            </w:pPr>
            <w:r>
              <w:t xml:space="preserve">Runtime Non-Production for </w:t>
            </w:r>
            <w:r w:rsidR="00E4566B" w:rsidRPr="00E4566B">
              <w:t>[Redacted]</w:t>
            </w:r>
            <w:bookmarkStart w:id="0" w:name="_GoBack"/>
            <w:r w:rsidR="00F63697">
              <w:t xml:space="preserve"> </w:t>
            </w:r>
            <w:bookmarkEnd w:id="0"/>
            <w:r>
              <w:t xml:space="preserve">VME-R Applications </w:t>
            </w:r>
            <w:r w:rsidR="00E4566B" w:rsidRPr="00E4566B">
              <w:t>[Redacted]</w:t>
            </w:r>
            <w:r>
              <w:t xml:space="preserve"> </w:t>
            </w:r>
            <w:r w:rsidR="00011711">
              <w:t>over five years subject to annual increases on the first year Charge of £</w:t>
            </w:r>
            <w:r w:rsidR="00E4566B" w:rsidRPr="00E4566B">
              <w:t>[Redacted]</w:t>
            </w:r>
            <w:r w:rsidR="00011711">
              <w:t xml:space="preserve"> in accordance with the provisions of </w:t>
            </w:r>
            <w:r w:rsidR="00F0258D">
              <w:t xml:space="preserve">paragraph </w:t>
            </w:r>
            <w:r w:rsidR="00601C18">
              <w:t>3</w:t>
            </w:r>
            <w:r w:rsidR="00F0258D">
              <w:t xml:space="preserve"> (Indexation).</w:t>
            </w:r>
          </w:p>
          <w:p w:rsidR="00F0258D" w:rsidRPr="00044E66" w:rsidRDefault="00F0258D" w:rsidP="00F0258D">
            <w:pPr>
              <w:pStyle w:val="Heading3"/>
            </w:pPr>
            <w:r>
              <w:t xml:space="preserve">The Charges are for the Supplier’s </w:t>
            </w:r>
            <w:r w:rsidRPr="00BC4CAF">
              <w:t>Standard Support</w:t>
            </w:r>
            <w:r>
              <w:t xml:space="preserve"> and Maintenance service </w:t>
            </w:r>
            <w:r w:rsidRPr="00BC4CAF">
              <w:t xml:space="preserve">working hours of 9.00-17.30 </w:t>
            </w:r>
            <w:r>
              <w:t>on a Working Day</w:t>
            </w:r>
            <w:r w:rsidRPr="00BC4CAF">
              <w:t xml:space="preserve">. </w:t>
            </w:r>
          </w:p>
          <w:p w:rsidR="00F0258D" w:rsidRPr="00A703AA" w:rsidRDefault="00F0258D" w:rsidP="00F0258D">
            <w:pPr>
              <w:pStyle w:val="Heading2"/>
              <w:rPr>
                <w:b/>
              </w:rPr>
            </w:pPr>
            <w:r w:rsidRPr="00A703AA">
              <w:rPr>
                <w:b/>
              </w:rPr>
              <w:t>Software Charges</w:t>
            </w:r>
          </w:p>
          <w:p w:rsidR="004A384C" w:rsidRDefault="00E4566B" w:rsidP="004A384C">
            <w:pPr>
              <w:pStyle w:val="Heading3"/>
            </w:pPr>
            <w:r w:rsidRPr="00E4566B">
              <w:t>[Redacted]</w:t>
            </w:r>
            <w:r w:rsidR="004A384C">
              <w:t xml:space="preserve"> </w:t>
            </w:r>
          </w:p>
          <w:p w:rsidR="00F0258D" w:rsidRDefault="00F0258D" w:rsidP="00F0258D">
            <w:pPr>
              <w:pStyle w:val="Heading3"/>
              <w:numPr>
                <w:ilvl w:val="0"/>
                <w:numId w:val="0"/>
              </w:numPr>
              <w:ind w:left="720"/>
            </w:pPr>
            <w:proofErr w:type="gramStart"/>
            <w:r>
              <w:t>£</w:t>
            </w:r>
            <w:r w:rsidR="00A10E93" w:rsidRPr="00E4566B">
              <w:t>[</w:t>
            </w:r>
            <w:proofErr w:type="gramEnd"/>
            <w:r w:rsidR="00A10E93" w:rsidRPr="00E4566B">
              <w:t>Redacted]</w:t>
            </w:r>
          </w:p>
          <w:p w:rsidR="00F0258D" w:rsidRDefault="00F0258D" w:rsidP="00F0258D">
            <w:pPr>
              <w:pStyle w:val="Heading1"/>
            </w:pPr>
            <w:r>
              <w:t>options</w:t>
            </w:r>
          </w:p>
          <w:p w:rsidR="00F0258D" w:rsidRPr="00521E8C" w:rsidRDefault="00F0258D" w:rsidP="00F0258D">
            <w:pPr>
              <w:pStyle w:val="Heading2"/>
              <w:rPr>
                <w:b/>
              </w:rPr>
            </w:pPr>
            <w:r w:rsidRPr="00A703AA">
              <w:rPr>
                <w:b/>
              </w:rPr>
              <w:t>Conversion and remediation activity pertaining to</w:t>
            </w:r>
            <w:r w:rsidR="00FC5C55">
              <w:rPr>
                <w:b/>
              </w:rPr>
              <w:t xml:space="preserve"> </w:t>
            </w:r>
            <w:r w:rsidR="00FC5C55" w:rsidRPr="00E4566B">
              <w:t>[Redacted]</w:t>
            </w:r>
            <w:r w:rsidRPr="00A703AA">
              <w:rPr>
                <w:b/>
              </w:rPr>
              <w:t xml:space="preserve"> System</w:t>
            </w:r>
            <w:r w:rsidRPr="00521E8C">
              <w:rPr>
                <w:b/>
              </w:rPr>
              <w:t>.</w:t>
            </w:r>
          </w:p>
          <w:p w:rsidR="00F0258D" w:rsidRPr="00A703AA" w:rsidRDefault="00F0258D" w:rsidP="00F0258D">
            <w:pPr>
              <w:pStyle w:val="Heading3"/>
              <w:rPr>
                <w:b/>
              </w:rPr>
            </w:pPr>
            <w:r w:rsidRPr="00ED6D40">
              <w:t>For the avoidance of doubt the conversion and remediation of</w:t>
            </w:r>
            <w:r w:rsidR="00FC5C55">
              <w:t xml:space="preserve"> </w:t>
            </w:r>
            <w:r w:rsidR="00FC5C55" w:rsidRPr="00E4566B">
              <w:t>[Redacted]</w:t>
            </w:r>
            <w:r w:rsidRPr="00ED6D40">
              <w:t xml:space="preserve"> is outside of the scope of </w:t>
            </w:r>
            <w:r>
              <w:t xml:space="preserve">this Contract, the Customer may elect to procure a licence for the software and associated support and maintenance once the parties have completed an assessment of the applications and the charges have been confirmed. </w:t>
            </w:r>
          </w:p>
          <w:p w:rsidR="00F0258D" w:rsidRDefault="00F0258D" w:rsidP="00F0258D">
            <w:pPr>
              <w:pStyle w:val="Heading3"/>
            </w:pPr>
            <w:r>
              <w:t>In the event the Customer wishes to procure these software licences and associated support and maintenance services this will be added t</w:t>
            </w:r>
            <w:r w:rsidR="00796FD1">
              <w:t>o the</w:t>
            </w:r>
            <w:r>
              <w:t xml:space="preserve"> Contract in accordance with the Variation Procedure.</w:t>
            </w:r>
          </w:p>
          <w:p w:rsidR="00F0258D" w:rsidRPr="00ED6D40" w:rsidRDefault="00F0258D" w:rsidP="00F0258D">
            <w:pPr>
              <w:pStyle w:val="Heading3"/>
              <w:rPr>
                <w:b/>
              </w:rPr>
            </w:pPr>
            <w:r>
              <w:t>For illustrative purposes and subject to the assessment of the applications above the e</w:t>
            </w:r>
            <w:r w:rsidRPr="00137D60">
              <w:t xml:space="preserve">stimated </w:t>
            </w:r>
            <w:r>
              <w:t>Charges</w:t>
            </w:r>
            <w:r w:rsidRPr="00137D60">
              <w:t xml:space="preserve"> are </w:t>
            </w:r>
            <w:r>
              <w:t>specified in</w:t>
            </w:r>
            <w:r w:rsidRPr="00137D60">
              <w:t xml:space="preserve"> the table below.</w:t>
            </w:r>
            <w:r>
              <w:t xml:space="preserve"> </w:t>
            </w:r>
          </w:p>
          <w:tbl>
            <w:tblPr>
              <w:tblW w:w="0" w:type="auto"/>
              <w:tblInd w:w="1413" w:type="dxa"/>
              <w:tblLook w:val="04A0" w:firstRow="1" w:lastRow="0" w:firstColumn="1" w:lastColumn="0" w:noHBand="0" w:noVBand="1"/>
            </w:tblPr>
            <w:tblGrid>
              <w:gridCol w:w="2693"/>
              <w:gridCol w:w="2033"/>
              <w:gridCol w:w="2877"/>
            </w:tblGrid>
            <w:tr w:rsidR="00F0258D" w:rsidTr="00A703AA">
              <w:tc>
                <w:tcPr>
                  <w:tcW w:w="2693" w:type="dxa"/>
                </w:tcPr>
                <w:p w:rsidR="00F0258D" w:rsidRDefault="00F0258D" w:rsidP="00F0258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  <w:t>Application</w:t>
                  </w:r>
                </w:p>
              </w:tc>
              <w:tc>
                <w:tcPr>
                  <w:tcW w:w="2033" w:type="dxa"/>
                </w:tcPr>
                <w:p w:rsidR="00F0258D" w:rsidRDefault="00F0258D" w:rsidP="00F0258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  <w:t>Five year Support and Maintenance</w:t>
                  </w:r>
                </w:p>
                <w:p w:rsidR="00F0258D" w:rsidRDefault="00F0258D" w:rsidP="00F0258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  <w:t>£</w:t>
                  </w:r>
                </w:p>
              </w:tc>
              <w:tc>
                <w:tcPr>
                  <w:tcW w:w="2877" w:type="dxa"/>
                </w:tcPr>
                <w:p w:rsidR="00F0258D" w:rsidRDefault="00F0258D" w:rsidP="00F0258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  <w:t>Estimated Runtime</w:t>
                  </w:r>
                </w:p>
                <w:p w:rsidR="00F0258D" w:rsidRDefault="00F0258D" w:rsidP="00F0258D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4"/>
                      <w:sz w:val="20"/>
                      <w:szCs w:val="20"/>
                    </w:rPr>
                    <w:t>£</w:t>
                  </w:r>
                </w:p>
              </w:tc>
            </w:tr>
            <w:tr w:rsidR="00FC5C55" w:rsidRPr="003B2B92" w:rsidTr="00A703AA">
              <w:tc>
                <w:tcPr>
                  <w:tcW w:w="2693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 w:rsidRPr="0056703C">
                    <w:t>[Redacted]</w:t>
                  </w:r>
                </w:p>
              </w:tc>
              <w:tc>
                <w:tcPr>
                  <w:tcW w:w="2033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  <w:t>£</w:t>
                  </w:r>
                  <w:r w:rsidRPr="00E4566B">
                    <w:t>[Redacted]</w:t>
                  </w:r>
                </w:p>
              </w:tc>
              <w:tc>
                <w:tcPr>
                  <w:tcW w:w="2877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  <w:t>£</w:t>
                  </w:r>
                  <w:r w:rsidRPr="00E4566B">
                    <w:t>[Redacted]</w:t>
                  </w:r>
                </w:p>
              </w:tc>
            </w:tr>
            <w:tr w:rsidR="00FC5C55" w:rsidRPr="003B2B92" w:rsidTr="00A703AA">
              <w:tc>
                <w:tcPr>
                  <w:tcW w:w="2693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 w:rsidRPr="0056703C">
                    <w:t>[Redacted]</w:t>
                  </w:r>
                </w:p>
              </w:tc>
              <w:tc>
                <w:tcPr>
                  <w:tcW w:w="2033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  <w:t>£</w:t>
                  </w:r>
                  <w:r w:rsidRPr="00E4566B">
                    <w:t>[Redacted]</w:t>
                  </w:r>
                </w:p>
              </w:tc>
              <w:tc>
                <w:tcPr>
                  <w:tcW w:w="2877" w:type="dxa"/>
                </w:tcPr>
                <w:p w:rsidR="00FC5C55" w:rsidRPr="00A703AA" w:rsidRDefault="00FC5C55" w:rsidP="00FC5C55">
                  <w:pPr>
                    <w:pStyle w:val="ListParagraph"/>
                    <w:ind w:left="0"/>
                    <w:rPr>
                      <w:rFonts w:ascii="Arial" w:hAnsi="Arial" w:cs="Arial"/>
                      <w:bCs/>
                      <w:kern w:val="24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en-GB"/>
                    </w:rPr>
                    <w:t>£</w:t>
                  </w:r>
                  <w:r w:rsidRPr="00E4566B">
                    <w:t>[Redacted]</w:t>
                  </w:r>
                </w:p>
              </w:tc>
            </w:tr>
          </w:tbl>
          <w:p w:rsidR="00F0258D" w:rsidRDefault="00F0258D" w:rsidP="00F0258D">
            <w:pPr>
              <w:pStyle w:val="Heading3"/>
            </w:pPr>
            <w:r w:rsidRPr="00044E66">
              <w:t>All Charg</w:t>
            </w:r>
            <w:r w:rsidRPr="00A703AA">
              <w:t>es exclude Value Added Tax which shall be added at the then prevailing rate.</w:t>
            </w:r>
          </w:p>
          <w:p w:rsidR="00F0258D" w:rsidRDefault="00F0258D" w:rsidP="00F0258D">
            <w:pPr>
              <w:rPr>
                <w:rFonts w:ascii="Arial" w:eastAsiaTheme="majorEastAsia" w:hAnsi="Arial" w:cstheme="majorBidi"/>
                <w:bCs/>
                <w:sz w:val="20"/>
              </w:rPr>
            </w:pPr>
            <w:r>
              <w:br w:type="page"/>
            </w:r>
          </w:p>
          <w:p w:rsidR="00F0258D" w:rsidRDefault="00F0258D" w:rsidP="00F0258D">
            <w:pPr>
              <w:pStyle w:val="Heading2"/>
              <w:rPr>
                <w:b/>
              </w:rPr>
            </w:pPr>
            <w:r w:rsidRPr="00A703AA">
              <w:rPr>
                <w:b/>
              </w:rPr>
              <w:t>Support and Maintenance enhanced service.</w:t>
            </w:r>
          </w:p>
          <w:p w:rsidR="00F0258D" w:rsidRPr="00960B31" w:rsidRDefault="00F0258D" w:rsidP="00F0258D">
            <w:pPr>
              <w:pStyle w:val="Heading2"/>
              <w:numPr>
                <w:ilvl w:val="0"/>
                <w:numId w:val="0"/>
              </w:numPr>
              <w:ind w:left="680"/>
            </w:pPr>
            <w:r>
              <w:t>All options for Support and Maintenance Services below are based upon a model of off</w:t>
            </w:r>
            <w:r w:rsidR="00F00855">
              <w:t>-</w:t>
            </w:r>
            <w:r>
              <w:t>site/remo</w:t>
            </w:r>
            <w:r w:rsidR="00F00855">
              <w:t>t</w:t>
            </w:r>
            <w:r>
              <w:t>e working.</w:t>
            </w:r>
          </w:p>
          <w:p w:rsidR="00F0258D" w:rsidRPr="007C0A04" w:rsidRDefault="00F0258D" w:rsidP="00F0258D">
            <w:pPr>
              <w:pStyle w:val="Heading3"/>
            </w:pPr>
            <w:r w:rsidRPr="00BC4CAF">
              <w:t>Support</w:t>
            </w:r>
            <w:r>
              <w:t xml:space="preserve"> and Maintenance Services</w:t>
            </w:r>
            <w:r w:rsidRPr="00BC4CAF">
              <w:t xml:space="preserve"> for critical incidents or for problem management is optionally available </w:t>
            </w:r>
            <w:r>
              <w:t xml:space="preserve">on a </w:t>
            </w:r>
            <w:r w:rsidRPr="00BC4CAF">
              <w:t xml:space="preserve">24x7 </w:t>
            </w:r>
            <w:r>
              <w:t xml:space="preserve">basis </w:t>
            </w:r>
            <w:r w:rsidRPr="00BC4CAF">
              <w:t xml:space="preserve">at an additional charge, (including weekends and bank holidays). </w:t>
            </w:r>
            <w:r>
              <w:t xml:space="preserve"> Standard </w:t>
            </w:r>
            <w:r>
              <w:lastRenderedPageBreak/>
              <w:t xml:space="preserve">Support and Maintenance Charges are calculated at </w:t>
            </w:r>
            <w:r w:rsidR="00FC5C55" w:rsidRPr="00E4566B">
              <w:t>[Redacted</w:t>
            </w:r>
            <w:proofErr w:type="gramStart"/>
            <w:r w:rsidR="00FC5C55" w:rsidRPr="00E4566B">
              <w:t>]</w:t>
            </w:r>
            <w:r>
              <w:t>%</w:t>
            </w:r>
            <w:proofErr w:type="gramEnd"/>
            <w:r>
              <w:t xml:space="preserve"> of the total Runtime </w:t>
            </w:r>
            <w:r w:rsidRPr="00986FA9">
              <w:t>Software</w:t>
            </w:r>
            <w:r>
              <w:t xml:space="preserve"> Charge above.  For 24/7 Support and Maintenance services, this Charge would be increased to </w:t>
            </w:r>
            <w:proofErr w:type="gramStart"/>
            <w:r w:rsidR="00FC5C55">
              <w:rPr>
                <w:rFonts w:ascii="Calibri" w:eastAsia="Times New Roman" w:hAnsi="Calibri"/>
                <w:color w:val="000000"/>
                <w:sz w:val="22"/>
                <w:lang w:eastAsia="en-GB"/>
              </w:rPr>
              <w:t>£</w:t>
            </w:r>
            <w:r w:rsidR="00FC5C55" w:rsidRPr="00E4566B">
              <w:t>[</w:t>
            </w:r>
            <w:proofErr w:type="gramEnd"/>
            <w:r w:rsidR="00FC5C55" w:rsidRPr="00E4566B">
              <w:t>Redacted]</w:t>
            </w:r>
            <w:r w:rsidR="00FC5C55">
              <w:t>%</w:t>
            </w:r>
            <w:r>
              <w:t xml:space="preserve"> of such total Runtime Software Charges.</w:t>
            </w:r>
          </w:p>
          <w:p w:rsidR="00F0258D" w:rsidRPr="007C0A04" w:rsidRDefault="00F0258D" w:rsidP="00F0258D">
            <w:pPr>
              <w:pStyle w:val="Heading3"/>
            </w:pPr>
            <w:r>
              <w:t xml:space="preserve">In addition to Standard Support and Maintenance and option 24/7 Support and Maintenance, enhanced support and maintenance services is also an option for the Customer to procure based on the </w:t>
            </w:r>
            <w:r w:rsidRPr="00BC4CAF">
              <w:t>operational service hours</w:t>
            </w:r>
            <w:r>
              <w:t xml:space="preserve"> as below:</w:t>
            </w:r>
          </w:p>
          <w:p w:rsidR="00F0258D" w:rsidRDefault="00F0258D" w:rsidP="00F0258D">
            <w:pPr>
              <w:pStyle w:val="Heading4"/>
              <w:numPr>
                <w:ilvl w:val="0"/>
                <w:numId w:val="17"/>
              </w:numPr>
            </w:pPr>
            <w:r>
              <w:t xml:space="preserve">Customer New Operational Service Hours </w:t>
            </w:r>
          </w:p>
          <w:p w:rsidR="00F0258D" w:rsidRDefault="00F0258D" w:rsidP="00F0258D">
            <w:pPr>
              <w:pStyle w:val="Heading5"/>
              <w:numPr>
                <w:ilvl w:val="0"/>
                <w:numId w:val="16"/>
              </w:numPr>
            </w:pPr>
            <w:r>
              <w:t xml:space="preserve">Saturday mornings (9am – 1pm) and Monday to Friday (8am – 8pm) from the second half of 2017/18 </w:t>
            </w:r>
          </w:p>
          <w:p w:rsidR="00F0258D" w:rsidRDefault="00F0258D" w:rsidP="00F0258D">
            <w:pPr>
              <w:pStyle w:val="Heading5"/>
            </w:pPr>
            <w:r>
              <w:t>All day Saturday (9am – 5pm) circa second half of 2018/19,</w:t>
            </w:r>
          </w:p>
          <w:p w:rsidR="00F0258D" w:rsidRDefault="00F0258D" w:rsidP="00F0258D">
            <w:pPr>
              <w:pStyle w:val="Heading3"/>
              <w:numPr>
                <w:ilvl w:val="0"/>
                <w:numId w:val="0"/>
              </w:numPr>
              <w:ind w:left="1440"/>
            </w:pPr>
            <w:proofErr w:type="gramStart"/>
            <w:r>
              <w:t>charges</w:t>
            </w:r>
            <w:proofErr w:type="gramEnd"/>
            <w:r>
              <w:t xml:space="preserve"> for this enhanced support is to be agreed by the parties, and where required added to this Call-Off Contract in accordance with the provision of the Variation Procedure. </w:t>
            </w:r>
          </w:p>
          <w:p w:rsidR="00F0258D" w:rsidRDefault="00F0258D" w:rsidP="00F0258D">
            <w:pPr>
              <w:pStyle w:val="Heading2"/>
            </w:pPr>
            <w:r w:rsidRPr="00A703AA">
              <w:rPr>
                <w:b/>
              </w:rPr>
              <w:t>Escrow Provision</w:t>
            </w:r>
            <w:r>
              <w:t>: will be organised by the Customer’s formal written request and the then prevailing charges.</w:t>
            </w:r>
          </w:p>
          <w:p w:rsidR="00714745" w:rsidRPr="00601C18" w:rsidRDefault="00714745" w:rsidP="00601C18">
            <w:pPr>
              <w:pStyle w:val="Heading1"/>
              <w:numPr>
                <w:ilvl w:val="0"/>
                <w:numId w:val="15"/>
              </w:numPr>
              <w:ind w:left="601" w:hanging="601"/>
            </w:pPr>
            <w:r w:rsidRPr="00601C18">
              <w:t>Indexation</w:t>
            </w:r>
            <w:r w:rsidR="00601C18">
              <w:t xml:space="preserve"> and expenses</w:t>
            </w:r>
          </w:p>
          <w:p w:rsidR="00DE40A7" w:rsidRDefault="00DE40A7" w:rsidP="00011711">
            <w:pPr>
              <w:pStyle w:val="Heading2"/>
            </w:pPr>
            <w:r>
              <w:t xml:space="preserve">From the 1 January 2019 the Support and Maintenance Charge of </w:t>
            </w:r>
            <w:proofErr w:type="gramStart"/>
            <w:r>
              <w:t>£</w:t>
            </w:r>
            <w:r w:rsidR="00FC5C55" w:rsidRPr="00E4566B">
              <w:t>[</w:t>
            </w:r>
            <w:proofErr w:type="gramEnd"/>
            <w:r w:rsidR="00FC5C55" w:rsidRPr="00E4566B">
              <w:t>Redacted]</w:t>
            </w:r>
            <w:r>
              <w:t xml:space="preserve">will be increased annually in </w:t>
            </w:r>
            <w:r w:rsidRPr="00011711">
              <w:t>accordance</w:t>
            </w:r>
            <w:r>
              <w:t xml:space="preserve"> with the then prevailing CEL index.  </w:t>
            </w:r>
          </w:p>
          <w:p w:rsidR="00DE40A7" w:rsidRDefault="00DE40A7" w:rsidP="00011711">
            <w:pPr>
              <w:pStyle w:val="Heading2"/>
              <w:ind w:left="601" w:hanging="601"/>
            </w:pPr>
            <w:r w:rsidRPr="002B5E5F">
              <w:t xml:space="preserve">In </w:t>
            </w:r>
            <w:r w:rsidRPr="005714ED">
              <w:t>circumstances</w:t>
            </w:r>
            <w:r w:rsidRPr="002B5E5F">
              <w:t xml:space="preserve"> where </w:t>
            </w:r>
            <w:r>
              <w:t>the Supplier’</w:t>
            </w:r>
            <w:r w:rsidRPr="002B5E5F">
              <w:t xml:space="preserve">s costs increase above the CEL indexation rate, </w:t>
            </w:r>
            <w:r>
              <w:t>the Supplier</w:t>
            </w:r>
            <w:r w:rsidRPr="002B5E5F">
              <w:t xml:space="preserve"> may present evidence of this to </w:t>
            </w:r>
            <w:r>
              <w:t>the Customer</w:t>
            </w:r>
            <w:r w:rsidRPr="002B5E5F">
              <w:t xml:space="preserve"> and discussion</w:t>
            </w:r>
            <w:r>
              <w:t>s</w:t>
            </w:r>
            <w:r w:rsidRPr="002B5E5F">
              <w:t xml:space="preserve"> will be held</w:t>
            </w:r>
            <w:r>
              <w:t xml:space="preserve"> between the parties regarding such</w:t>
            </w:r>
            <w:r w:rsidRPr="002B5E5F">
              <w:t xml:space="preserve"> cost increase for the resources in question</w:t>
            </w:r>
            <w:r>
              <w:t>.  A cap</w:t>
            </w:r>
            <w:r w:rsidRPr="002B5E5F">
              <w:t xml:space="preserve"> of CEL plus </w:t>
            </w:r>
            <w:r w:rsidR="00FC5C55" w:rsidRPr="00E4566B">
              <w:t>[Redacted</w:t>
            </w:r>
            <w:proofErr w:type="gramStart"/>
            <w:r w:rsidR="00FC5C55" w:rsidRPr="00E4566B">
              <w:t>]</w:t>
            </w:r>
            <w:r w:rsidRPr="002B5E5F">
              <w:t>%</w:t>
            </w:r>
            <w:proofErr w:type="gramEnd"/>
            <w:r w:rsidRPr="002B5E5F">
              <w:t xml:space="preserve"> will apply to any</w:t>
            </w:r>
            <w:r>
              <w:t xml:space="preserve"> such </w:t>
            </w:r>
            <w:r w:rsidRPr="002B5E5F">
              <w:t xml:space="preserve">increase </w:t>
            </w:r>
            <w:r>
              <w:t>that the Customer</w:t>
            </w:r>
            <w:r w:rsidRPr="002B5E5F">
              <w:t xml:space="preserve"> agree</w:t>
            </w:r>
            <w:r>
              <w:t>s</w:t>
            </w:r>
            <w:r w:rsidRPr="002B5E5F">
              <w:t xml:space="preserve"> to pay</w:t>
            </w:r>
            <w:r>
              <w:t>.</w:t>
            </w:r>
          </w:p>
          <w:p w:rsidR="00DE40A7" w:rsidRPr="00DE40A7" w:rsidRDefault="00DE40A7" w:rsidP="00011711">
            <w:pPr>
              <w:pStyle w:val="Heading2"/>
              <w:ind w:left="601" w:hanging="601"/>
            </w:pPr>
            <w:r>
              <w:t>The</w:t>
            </w:r>
            <w:r w:rsidRPr="00DE40A7">
              <w:rPr>
                <w:bCs w:val="0"/>
              </w:rPr>
              <w:t xml:space="preserve"> </w:t>
            </w:r>
            <w:r>
              <w:t xml:space="preserve">Supplier shall be entitled to be reimbursed by the Customer for Reimbursable Expenses only in relation to a request by the </w:t>
            </w:r>
            <w:r w:rsidRPr="000C1281">
              <w:t xml:space="preserve">Customer for the Supplier Personnel </w:t>
            </w:r>
            <w:r>
              <w:t xml:space="preserve">delivering the Service </w:t>
            </w:r>
            <w:r w:rsidRPr="000C1281">
              <w:t xml:space="preserve">to </w:t>
            </w:r>
            <w:r>
              <w:t xml:space="preserve">attend Customer Premises </w:t>
            </w:r>
            <w:r w:rsidRPr="00845CBB">
              <w:t>provided that such Reimbursable Expenses are support</w:t>
            </w:r>
            <w:r w:rsidRPr="005714ED">
              <w:t xml:space="preserve">ed by </w:t>
            </w:r>
            <w:r w:rsidR="00714745">
              <w:t>s</w:t>
            </w:r>
            <w:r w:rsidRPr="005714ED">
              <w:t xml:space="preserve">upporting </w:t>
            </w:r>
            <w:r w:rsidR="00714745">
              <w:t>d</w:t>
            </w:r>
            <w:r w:rsidRPr="005714ED">
              <w:t>ocumentation</w:t>
            </w:r>
            <w:r w:rsidRPr="000C1281">
              <w:t>. The Customer shall provide a copy of their current expenses policy to the Supplier upon request</w:t>
            </w:r>
            <w:r w:rsidR="00714745">
              <w:t>.</w:t>
            </w:r>
          </w:p>
          <w:p w:rsidR="00F0258D" w:rsidRPr="00DE40A7" w:rsidRDefault="00F0258D" w:rsidP="00F0258D">
            <w:pPr>
              <w:pStyle w:val="Heading1"/>
              <w:numPr>
                <w:ilvl w:val="0"/>
                <w:numId w:val="15"/>
              </w:numPr>
              <w:ind w:left="709" w:hanging="709"/>
            </w:pPr>
            <w:r w:rsidRPr="00DE40A7">
              <w:t>payment profile</w:t>
            </w:r>
          </w:p>
          <w:p w:rsidR="00F0258D" w:rsidRPr="00DE40A7" w:rsidRDefault="00F0258D" w:rsidP="00F0258D">
            <w:pPr>
              <w:pStyle w:val="Heading2"/>
              <w:rPr>
                <w:b/>
              </w:rPr>
            </w:pPr>
            <w:r w:rsidRPr="00DE40A7">
              <w:rPr>
                <w:b/>
              </w:rPr>
              <w:t>Five year Support and Maintenance Service Payment Terms</w:t>
            </w:r>
          </w:p>
          <w:p w:rsidR="00F0258D" w:rsidRPr="00DE40A7" w:rsidRDefault="00F0258D" w:rsidP="00F0258D">
            <w:pPr>
              <w:pStyle w:val="Heading3"/>
            </w:pPr>
            <w:r w:rsidRPr="00DE40A7">
              <w:t xml:space="preserve">For ‘Runtime </w:t>
            </w:r>
            <w:r w:rsidR="00FC5C55" w:rsidRPr="00E4566B">
              <w:t>[Redacted]</w:t>
            </w:r>
            <w:r w:rsidRPr="00DE40A7">
              <w:t>’ Support and Maintenance Service:</w:t>
            </w:r>
          </w:p>
          <w:p w:rsidR="00F0258D" w:rsidRPr="00DE40A7" w:rsidRDefault="00F0258D" w:rsidP="00F0258D">
            <w:pPr>
              <w:pStyle w:val="Heading3"/>
              <w:numPr>
                <w:ilvl w:val="0"/>
                <w:numId w:val="0"/>
              </w:numPr>
              <w:ind w:left="1440"/>
            </w:pPr>
            <w:r w:rsidRPr="00DE40A7">
              <w:t>Invoiced annually in advance commencing on the 1</w:t>
            </w:r>
            <w:r w:rsidRPr="00DE40A7">
              <w:rPr>
                <w:vertAlign w:val="superscript"/>
              </w:rPr>
              <w:t>st</w:t>
            </w:r>
            <w:r w:rsidRPr="00DE40A7">
              <w:t xml:space="preserve"> January 2018.</w:t>
            </w:r>
          </w:p>
          <w:p w:rsidR="00F0258D" w:rsidRPr="00DE40A7" w:rsidRDefault="00F0258D" w:rsidP="00F0258D">
            <w:pPr>
              <w:pStyle w:val="Heading2"/>
              <w:rPr>
                <w:b/>
              </w:rPr>
            </w:pPr>
            <w:r w:rsidRPr="00DE40A7">
              <w:rPr>
                <w:b/>
              </w:rPr>
              <w:t>Software Charges Payment Terms</w:t>
            </w:r>
          </w:p>
          <w:p w:rsidR="00F0258D" w:rsidRPr="00DE40A7" w:rsidRDefault="00F0258D" w:rsidP="009F71E2">
            <w:pPr>
              <w:pStyle w:val="Heading3"/>
              <w:jc w:val="left"/>
            </w:pPr>
            <w:r w:rsidRPr="00DE40A7">
              <w:t xml:space="preserve">Runtime Non-Production </w:t>
            </w:r>
            <w:r w:rsidR="002E23E4">
              <w:t xml:space="preserve">(VME-R 8 named Applications) </w:t>
            </w:r>
            <w:r w:rsidR="00FC5C55">
              <w:t>and Production</w:t>
            </w:r>
            <w:r w:rsidR="00D13468">
              <w:t xml:space="preserve"> </w:t>
            </w:r>
            <w:r w:rsidR="00FC5C55" w:rsidRPr="00E4566B">
              <w:t>[Redacted]</w:t>
            </w:r>
            <w:r w:rsidR="00D13468">
              <w:t xml:space="preserve"> </w:t>
            </w:r>
            <w:r w:rsidRPr="00DE40A7">
              <w:t xml:space="preserve">licence. </w:t>
            </w:r>
          </w:p>
          <w:p w:rsidR="00F0258D" w:rsidRDefault="00F0258D" w:rsidP="00F0258D">
            <w:pPr>
              <w:pStyle w:val="Heading3"/>
              <w:numPr>
                <w:ilvl w:val="0"/>
                <w:numId w:val="0"/>
              </w:numPr>
              <w:ind w:left="1440"/>
            </w:pPr>
            <w:r w:rsidRPr="00DE40A7">
              <w:t>Total Charge, invoiced in August 2017.</w:t>
            </w:r>
          </w:p>
          <w:p w:rsidR="0030772E" w:rsidRDefault="0030772E" w:rsidP="0030772E">
            <w:pPr>
              <w:pStyle w:val="Heading2"/>
              <w:ind w:left="680" w:hanging="680"/>
            </w:pPr>
            <w:r>
              <w:t>The Customer shall pay all sums properly due and payable to the Supplier in cleared funds within thirty (30) day</w:t>
            </w:r>
            <w:r w:rsidRPr="00A13F24">
              <w:rPr>
                <w:rStyle w:val="Heading2Char"/>
              </w:rPr>
              <w:t xml:space="preserve">s of receipt of a Valid Invoice, submitted to the address specified by the Customer </w:t>
            </w:r>
            <w:r>
              <w:t>and in accordance with the provisions of this Contract.</w:t>
            </w:r>
          </w:p>
          <w:p w:rsidR="00F0258D" w:rsidRDefault="00F0258D" w:rsidP="0001171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 xml:space="preserve">Order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796FD1">
        <w:rPr>
          <w:rFonts w:ascii="Arial" w:hAnsi="Arial" w:cs="Arial"/>
          <w:sz w:val="22"/>
          <w:szCs w:val="22"/>
        </w:rPr>
        <w:t>t</w:t>
      </w:r>
      <w:r w:rsidR="006E4A4F">
        <w:rPr>
          <w:rFonts w:ascii="Arial" w:hAnsi="Arial" w:cs="Arial"/>
          <w:sz w:val="22"/>
          <w:szCs w:val="22"/>
        </w:rPr>
        <w:t>erms</w:t>
      </w:r>
      <w:r w:rsidRPr="00957EAE">
        <w:rPr>
          <w:rFonts w:ascii="Arial" w:hAnsi="Arial" w:cs="Arial"/>
          <w:sz w:val="22"/>
          <w:szCs w:val="22"/>
        </w:rPr>
        <w:t xml:space="preserve"> for the duration of the </w:t>
      </w:r>
      <w:r w:rsidR="00465B72">
        <w:rPr>
          <w:rFonts w:ascii="Arial" w:hAnsi="Arial" w:cs="Arial"/>
          <w:sz w:val="22"/>
          <w:szCs w:val="22"/>
        </w:rPr>
        <w:t>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:rsidR="00C15BE3" w:rsidRPr="00957EAE" w:rsidRDefault="00D13468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66B">
              <w:t>[Redacted]</w:t>
            </w: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:rsidR="00C15BE3" w:rsidRPr="00957EAE" w:rsidRDefault="00DA5CC0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Group Finance Officer</w:t>
            </w: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:rsidTr="002207DF">
        <w:trPr>
          <w:trHeight w:val="567"/>
        </w:trPr>
        <w:tc>
          <w:tcPr>
            <w:tcW w:w="818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CD178F" w:rsidRPr="00957EAE" w:rsidRDefault="00D13468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566B">
              <w:t>[Redacted]</w:t>
            </w: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CD178F" w:rsidRPr="00957EAE" w:rsidRDefault="000E2FC7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 Lead</w:t>
            </w: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:rsidTr="00CD178F">
        <w:trPr>
          <w:trHeight w:val="567"/>
        </w:trPr>
        <w:tc>
          <w:tcPr>
            <w:tcW w:w="1555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footerReference w:type="default" r:id="rId9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FB" w:rsidRDefault="004E1EFB" w:rsidP="000F07AF">
      <w:r>
        <w:separator/>
      </w:r>
    </w:p>
  </w:endnote>
  <w:endnote w:type="continuationSeparator" w:id="0">
    <w:p w:rsidR="004E1EFB" w:rsidRDefault="004E1EFB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487C19">
      <w:rPr>
        <w:rFonts w:ascii="Arial" w:hAnsi="Arial" w:cs="Arial"/>
        <w:noProof/>
      </w:rPr>
      <w:t>6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487C19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FB" w:rsidRDefault="004E1EFB" w:rsidP="000F07AF">
      <w:r>
        <w:separator/>
      </w:r>
    </w:p>
  </w:footnote>
  <w:footnote w:type="continuationSeparator" w:id="0">
    <w:p w:rsidR="004E1EFB" w:rsidRDefault="004E1EFB" w:rsidP="000F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775B"/>
    <w:multiLevelType w:val="multilevel"/>
    <w:tmpl w:val="7E5640A4"/>
    <w:lvl w:ilvl="0">
      <w:start w:val="1"/>
      <w:numFmt w:val="decimal"/>
      <w:pStyle w:val="Heading1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85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54F2BC9"/>
    <w:multiLevelType w:val="hybridMultilevel"/>
    <w:tmpl w:val="049ACF9A"/>
    <w:lvl w:ilvl="0" w:tplc="343655BA">
      <w:start w:val="1"/>
      <w:numFmt w:val="bullet"/>
      <w:pStyle w:val="bullet3"/>
      <w:lvlText w:val="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D583B"/>
    <w:multiLevelType w:val="hybridMultilevel"/>
    <w:tmpl w:val="4906EDE2"/>
    <w:lvl w:ilvl="0" w:tplc="08090019">
      <w:start w:val="1"/>
      <w:numFmt w:val="low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71B88"/>
    <w:multiLevelType w:val="hybridMultilevel"/>
    <w:tmpl w:val="3830DCBE"/>
    <w:lvl w:ilvl="0" w:tplc="0712B488">
      <w:start w:val="1"/>
      <w:numFmt w:val="lowerRoman"/>
      <w:pStyle w:val="Heading5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1C6F4B"/>
    <w:multiLevelType w:val="hybridMultilevel"/>
    <w:tmpl w:val="AB70530C"/>
    <w:lvl w:ilvl="0" w:tplc="1F9CF31E">
      <w:start w:val="1"/>
      <w:numFmt w:val="lowerLetter"/>
      <w:pStyle w:val="Heading4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4"/>
  </w:num>
  <w:num w:numId="19">
    <w:abstractNumId w:val="3"/>
  </w:num>
  <w:num w:numId="20">
    <w:abstractNumId w:val="3"/>
  </w:num>
  <w:num w:numId="21">
    <w:abstractNumId w:val="5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115B4"/>
    <w:rsid w:val="00011711"/>
    <w:rsid w:val="00016AE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5FBE"/>
    <w:rsid w:val="000A6E66"/>
    <w:rsid w:val="000B03A5"/>
    <w:rsid w:val="000B6E37"/>
    <w:rsid w:val="000B6F6B"/>
    <w:rsid w:val="000C1C99"/>
    <w:rsid w:val="000C4F41"/>
    <w:rsid w:val="000C4F68"/>
    <w:rsid w:val="000D1B22"/>
    <w:rsid w:val="000D7A38"/>
    <w:rsid w:val="000E00C4"/>
    <w:rsid w:val="000E2078"/>
    <w:rsid w:val="000E2FC7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81A62"/>
    <w:rsid w:val="001939E4"/>
    <w:rsid w:val="00196EFE"/>
    <w:rsid w:val="001A0850"/>
    <w:rsid w:val="001B195C"/>
    <w:rsid w:val="001B3F91"/>
    <w:rsid w:val="001B52D3"/>
    <w:rsid w:val="001B6E2F"/>
    <w:rsid w:val="001B7A33"/>
    <w:rsid w:val="001C23CC"/>
    <w:rsid w:val="001C2D77"/>
    <w:rsid w:val="001C645B"/>
    <w:rsid w:val="001C7985"/>
    <w:rsid w:val="001D023D"/>
    <w:rsid w:val="001D210D"/>
    <w:rsid w:val="001D259C"/>
    <w:rsid w:val="001D30C8"/>
    <w:rsid w:val="001D3403"/>
    <w:rsid w:val="001D53D6"/>
    <w:rsid w:val="001E6BAF"/>
    <w:rsid w:val="001F080A"/>
    <w:rsid w:val="001F2B0D"/>
    <w:rsid w:val="002013B4"/>
    <w:rsid w:val="002059B6"/>
    <w:rsid w:val="00207632"/>
    <w:rsid w:val="002207DF"/>
    <w:rsid w:val="00223FBD"/>
    <w:rsid w:val="0022544E"/>
    <w:rsid w:val="00232450"/>
    <w:rsid w:val="0023485C"/>
    <w:rsid w:val="00235A48"/>
    <w:rsid w:val="0023793C"/>
    <w:rsid w:val="002420AF"/>
    <w:rsid w:val="00247C4C"/>
    <w:rsid w:val="00252420"/>
    <w:rsid w:val="00262F32"/>
    <w:rsid w:val="002645A4"/>
    <w:rsid w:val="0027241C"/>
    <w:rsid w:val="0027662A"/>
    <w:rsid w:val="002802EC"/>
    <w:rsid w:val="002879E4"/>
    <w:rsid w:val="002907D6"/>
    <w:rsid w:val="00296A42"/>
    <w:rsid w:val="00296FBA"/>
    <w:rsid w:val="002A5730"/>
    <w:rsid w:val="002B16B3"/>
    <w:rsid w:val="002C1FEF"/>
    <w:rsid w:val="002C34A4"/>
    <w:rsid w:val="002C3D89"/>
    <w:rsid w:val="002C493A"/>
    <w:rsid w:val="002E23E4"/>
    <w:rsid w:val="002E2B24"/>
    <w:rsid w:val="002E2DB9"/>
    <w:rsid w:val="002E74C4"/>
    <w:rsid w:val="002F189F"/>
    <w:rsid w:val="0030173F"/>
    <w:rsid w:val="00302FC5"/>
    <w:rsid w:val="00304F85"/>
    <w:rsid w:val="0030772E"/>
    <w:rsid w:val="00307DA1"/>
    <w:rsid w:val="003130E7"/>
    <w:rsid w:val="00313227"/>
    <w:rsid w:val="0031458C"/>
    <w:rsid w:val="0032169F"/>
    <w:rsid w:val="00333003"/>
    <w:rsid w:val="00336C72"/>
    <w:rsid w:val="00347560"/>
    <w:rsid w:val="003567B2"/>
    <w:rsid w:val="00357D66"/>
    <w:rsid w:val="003669CF"/>
    <w:rsid w:val="00371536"/>
    <w:rsid w:val="00372391"/>
    <w:rsid w:val="00372B38"/>
    <w:rsid w:val="00380BCE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D05EC"/>
    <w:rsid w:val="003E086A"/>
    <w:rsid w:val="003F33E9"/>
    <w:rsid w:val="004037F9"/>
    <w:rsid w:val="00403913"/>
    <w:rsid w:val="00411BFB"/>
    <w:rsid w:val="004155D1"/>
    <w:rsid w:val="00422DA3"/>
    <w:rsid w:val="004269A2"/>
    <w:rsid w:val="004272C9"/>
    <w:rsid w:val="004303D1"/>
    <w:rsid w:val="00433A6E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87C19"/>
    <w:rsid w:val="004A384C"/>
    <w:rsid w:val="004A3F53"/>
    <w:rsid w:val="004A7B97"/>
    <w:rsid w:val="004A7C57"/>
    <w:rsid w:val="004C0965"/>
    <w:rsid w:val="004C3B7F"/>
    <w:rsid w:val="004E1EFB"/>
    <w:rsid w:val="004E48C0"/>
    <w:rsid w:val="004E527B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58B"/>
    <w:rsid w:val="005D671B"/>
    <w:rsid w:val="005E3EEE"/>
    <w:rsid w:val="005E50C6"/>
    <w:rsid w:val="005E7CC6"/>
    <w:rsid w:val="00601C18"/>
    <w:rsid w:val="006026CF"/>
    <w:rsid w:val="00605C67"/>
    <w:rsid w:val="00613F83"/>
    <w:rsid w:val="00626EC8"/>
    <w:rsid w:val="0063027B"/>
    <w:rsid w:val="00633E4C"/>
    <w:rsid w:val="00634C07"/>
    <w:rsid w:val="006367FE"/>
    <w:rsid w:val="00641BA8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A6C34"/>
    <w:rsid w:val="006C7085"/>
    <w:rsid w:val="006C74A0"/>
    <w:rsid w:val="006E2268"/>
    <w:rsid w:val="006E4A4F"/>
    <w:rsid w:val="006E54D1"/>
    <w:rsid w:val="006F674D"/>
    <w:rsid w:val="006F706F"/>
    <w:rsid w:val="007129B6"/>
    <w:rsid w:val="00714745"/>
    <w:rsid w:val="00715753"/>
    <w:rsid w:val="00717A3A"/>
    <w:rsid w:val="0072312B"/>
    <w:rsid w:val="00732474"/>
    <w:rsid w:val="00737D4D"/>
    <w:rsid w:val="00742436"/>
    <w:rsid w:val="00745886"/>
    <w:rsid w:val="007508B1"/>
    <w:rsid w:val="007538B5"/>
    <w:rsid w:val="007566FC"/>
    <w:rsid w:val="00770BCE"/>
    <w:rsid w:val="0077790B"/>
    <w:rsid w:val="00782750"/>
    <w:rsid w:val="007869CA"/>
    <w:rsid w:val="00796FD1"/>
    <w:rsid w:val="007A3495"/>
    <w:rsid w:val="007B6D36"/>
    <w:rsid w:val="007C1A0F"/>
    <w:rsid w:val="007C1C86"/>
    <w:rsid w:val="007D2A30"/>
    <w:rsid w:val="007D3586"/>
    <w:rsid w:val="007D6A32"/>
    <w:rsid w:val="007D77D1"/>
    <w:rsid w:val="007E55B6"/>
    <w:rsid w:val="007F31A9"/>
    <w:rsid w:val="008045F2"/>
    <w:rsid w:val="00804F79"/>
    <w:rsid w:val="008103E3"/>
    <w:rsid w:val="00815751"/>
    <w:rsid w:val="00815849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B2692"/>
    <w:rsid w:val="008C764A"/>
    <w:rsid w:val="008C7C82"/>
    <w:rsid w:val="008D038D"/>
    <w:rsid w:val="008D0E8D"/>
    <w:rsid w:val="008D50A5"/>
    <w:rsid w:val="008D6204"/>
    <w:rsid w:val="008E07C3"/>
    <w:rsid w:val="008F444D"/>
    <w:rsid w:val="008F7BB9"/>
    <w:rsid w:val="00906D3F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86672"/>
    <w:rsid w:val="0099506F"/>
    <w:rsid w:val="009B2022"/>
    <w:rsid w:val="009B449B"/>
    <w:rsid w:val="009B69D3"/>
    <w:rsid w:val="009C28CE"/>
    <w:rsid w:val="009C46B7"/>
    <w:rsid w:val="009C5538"/>
    <w:rsid w:val="009E46AE"/>
    <w:rsid w:val="009F169D"/>
    <w:rsid w:val="009F71E2"/>
    <w:rsid w:val="00A103FE"/>
    <w:rsid w:val="00A10E93"/>
    <w:rsid w:val="00A1340B"/>
    <w:rsid w:val="00A24EE2"/>
    <w:rsid w:val="00A30683"/>
    <w:rsid w:val="00A33E47"/>
    <w:rsid w:val="00A5415B"/>
    <w:rsid w:val="00A57955"/>
    <w:rsid w:val="00A76BE5"/>
    <w:rsid w:val="00A80FFA"/>
    <w:rsid w:val="00A85DD7"/>
    <w:rsid w:val="00AA3128"/>
    <w:rsid w:val="00AB2759"/>
    <w:rsid w:val="00AD075A"/>
    <w:rsid w:val="00AF0C28"/>
    <w:rsid w:val="00AF0EBE"/>
    <w:rsid w:val="00B07CD4"/>
    <w:rsid w:val="00B1551E"/>
    <w:rsid w:val="00B15AFB"/>
    <w:rsid w:val="00B218A9"/>
    <w:rsid w:val="00B33CA5"/>
    <w:rsid w:val="00B37A5A"/>
    <w:rsid w:val="00B43009"/>
    <w:rsid w:val="00B50CE0"/>
    <w:rsid w:val="00B62CD0"/>
    <w:rsid w:val="00B642CE"/>
    <w:rsid w:val="00B77F49"/>
    <w:rsid w:val="00B8182C"/>
    <w:rsid w:val="00B82B3A"/>
    <w:rsid w:val="00B85F38"/>
    <w:rsid w:val="00B96AC2"/>
    <w:rsid w:val="00BA2248"/>
    <w:rsid w:val="00BA2E2D"/>
    <w:rsid w:val="00BA4423"/>
    <w:rsid w:val="00BB617C"/>
    <w:rsid w:val="00BC1FD4"/>
    <w:rsid w:val="00BC366E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43085"/>
    <w:rsid w:val="00C6109A"/>
    <w:rsid w:val="00C63915"/>
    <w:rsid w:val="00C75B8C"/>
    <w:rsid w:val="00C8171A"/>
    <w:rsid w:val="00C862DC"/>
    <w:rsid w:val="00C90E03"/>
    <w:rsid w:val="00C97732"/>
    <w:rsid w:val="00C977C6"/>
    <w:rsid w:val="00CA3FF7"/>
    <w:rsid w:val="00CA5906"/>
    <w:rsid w:val="00CB413D"/>
    <w:rsid w:val="00CB564D"/>
    <w:rsid w:val="00CB5DE8"/>
    <w:rsid w:val="00CB69B4"/>
    <w:rsid w:val="00CC1841"/>
    <w:rsid w:val="00CC27FC"/>
    <w:rsid w:val="00CC41B8"/>
    <w:rsid w:val="00CC6DA9"/>
    <w:rsid w:val="00CD178F"/>
    <w:rsid w:val="00CD1E77"/>
    <w:rsid w:val="00CD4278"/>
    <w:rsid w:val="00CE0401"/>
    <w:rsid w:val="00CE4F53"/>
    <w:rsid w:val="00CE7768"/>
    <w:rsid w:val="00CF6172"/>
    <w:rsid w:val="00D05BD0"/>
    <w:rsid w:val="00D0699A"/>
    <w:rsid w:val="00D13468"/>
    <w:rsid w:val="00D140BE"/>
    <w:rsid w:val="00D14890"/>
    <w:rsid w:val="00D20B60"/>
    <w:rsid w:val="00D30E5C"/>
    <w:rsid w:val="00D341ED"/>
    <w:rsid w:val="00D37C07"/>
    <w:rsid w:val="00D40B00"/>
    <w:rsid w:val="00D45A45"/>
    <w:rsid w:val="00D50531"/>
    <w:rsid w:val="00D54EFF"/>
    <w:rsid w:val="00D55B06"/>
    <w:rsid w:val="00D57916"/>
    <w:rsid w:val="00D6234F"/>
    <w:rsid w:val="00D63A52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A5CC0"/>
    <w:rsid w:val="00DB4111"/>
    <w:rsid w:val="00DB635F"/>
    <w:rsid w:val="00DC6507"/>
    <w:rsid w:val="00DC6CCA"/>
    <w:rsid w:val="00DD4470"/>
    <w:rsid w:val="00DE3C0F"/>
    <w:rsid w:val="00DE40A7"/>
    <w:rsid w:val="00DE67AB"/>
    <w:rsid w:val="00DE7F9C"/>
    <w:rsid w:val="00DF5BC9"/>
    <w:rsid w:val="00DF5CEC"/>
    <w:rsid w:val="00DF7AE3"/>
    <w:rsid w:val="00E1168E"/>
    <w:rsid w:val="00E15098"/>
    <w:rsid w:val="00E17C3C"/>
    <w:rsid w:val="00E26F4B"/>
    <w:rsid w:val="00E440BB"/>
    <w:rsid w:val="00E4566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0855"/>
    <w:rsid w:val="00F0258D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3697"/>
    <w:rsid w:val="00F670A3"/>
    <w:rsid w:val="00F679EE"/>
    <w:rsid w:val="00F70786"/>
    <w:rsid w:val="00F71EE2"/>
    <w:rsid w:val="00F7674F"/>
    <w:rsid w:val="00F80A28"/>
    <w:rsid w:val="00F95B58"/>
    <w:rsid w:val="00FB3C86"/>
    <w:rsid w:val="00FB44D8"/>
    <w:rsid w:val="00FC5C55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Para 1,Level 1,Section Heading,h1,Heading,2,main,1,section,H1,Heading 1 A,Heading 1 (NN),Lev 1,lev1,Outline1,Prophead 1,Prophead level 1,h11,PIP Head 1,Heading 1 (1),Part,(Alt+1),l1,Header1,Heading One,Heading A,Attribute Heading 1,o,1.,H11"/>
    <w:basedOn w:val="Normal"/>
    <w:next w:val="Normal"/>
    <w:link w:val="Heading1Char"/>
    <w:uiPriority w:val="9"/>
    <w:qFormat/>
    <w:rsid w:val="00F0258D"/>
    <w:pPr>
      <w:keepNext/>
      <w:keepLines/>
      <w:numPr>
        <w:numId w:val="12"/>
      </w:numPr>
      <w:spacing w:before="120" w:after="120" w:line="259" w:lineRule="auto"/>
      <w:jc w:val="both"/>
      <w:outlineLvl w:val="0"/>
    </w:pPr>
    <w:rPr>
      <w:rFonts w:ascii="Arial" w:eastAsiaTheme="majorEastAsia" w:hAnsi="Arial" w:cstheme="majorBidi"/>
      <w:b/>
      <w:bCs/>
      <w:caps/>
      <w:sz w:val="20"/>
      <w:szCs w:val="36"/>
    </w:rPr>
  </w:style>
  <w:style w:type="paragraph" w:styleId="Heading2">
    <w:name w:val="heading 2"/>
    <w:aliases w:val="Para 2,Reset numbering,PARA2,S Heading,S Heading 2,h2,H2,(Alt+2),section 1.1,Section,m,Body Text (Reset numbering),TF-Overskrit 2,h2 main heading,2m,h 2,B Sub/Bold,B Sub/Bold1,B Sub/Bold2,B Sub/Bold11,h2 main heading1,h2 main heading2,Para2,L2"/>
    <w:basedOn w:val="Normal"/>
    <w:next w:val="Normal"/>
    <w:link w:val="Heading2Char"/>
    <w:unhideWhenUsed/>
    <w:qFormat/>
    <w:rsid w:val="0030772E"/>
    <w:pPr>
      <w:numPr>
        <w:ilvl w:val="1"/>
        <w:numId w:val="12"/>
      </w:numPr>
      <w:spacing w:before="120" w:after="120" w:line="259" w:lineRule="auto"/>
      <w:ind w:left="576"/>
      <w:jc w:val="both"/>
      <w:outlineLvl w:val="1"/>
    </w:pPr>
    <w:rPr>
      <w:rFonts w:ascii="Arial" w:eastAsiaTheme="majorEastAsia" w:hAnsi="Arial" w:cstheme="majorBidi"/>
      <w:bCs/>
      <w:sz w:val="20"/>
      <w:szCs w:val="28"/>
    </w:rPr>
  </w:style>
  <w:style w:type="paragraph" w:styleId="Heading3">
    <w:name w:val="heading 3"/>
    <w:aliases w:val="Para 3,Level 3,Level 1 - 1,Minor1,Para Heading 3,h3,Para Heading 31,h31,Minor,H3,H31,H32,H33,H311,(Alt+3),h32,h311,h33,h312,h34,h313,h35,h314,h36,h315,h37,h316,h38,h317,h39,h318,h310,h319,h3110,h320,h3111,h321,h331,h3121,h341,h3131,h351,h3141"/>
    <w:basedOn w:val="Normal"/>
    <w:next w:val="Normal"/>
    <w:link w:val="Heading3Char"/>
    <w:uiPriority w:val="99"/>
    <w:unhideWhenUsed/>
    <w:qFormat/>
    <w:rsid w:val="00F0258D"/>
    <w:pPr>
      <w:widowControl w:val="0"/>
      <w:numPr>
        <w:ilvl w:val="2"/>
        <w:numId w:val="12"/>
      </w:numPr>
      <w:tabs>
        <w:tab w:val="left" w:pos="680"/>
      </w:tabs>
      <w:spacing w:before="200" w:line="259" w:lineRule="auto"/>
      <w:ind w:left="1440"/>
      <w:jc w:val="both"/>
      <w:outlineLvl w:val="2"/>
    </w:pPr>
    <w:rPr>
      <w:rFonts w:ascii="Arial" w:eastAsiaTheme="majorEastAsia" w:hAnsi="Arial" w:cstheme="majorBidi"/>
      <w:bCs/>
      <w:sz w:val="20"/>
      <w:szCs w:val="22"/>
    </w:rPr>
  </w:style>
  <w:style w:type="paragraph" w:styleId="Heading4">
    <w:name w:val="heading 4"/>
    <w:aliases w:val="Para 4,Sub-Minor,Level 2 - a,h4,Schedules,4,H41,H42,H43,H44,H45,H46,H47,H48,H49,H410,H411,H421,H431,H441,H451,H461,H471,H481,H491,H4101,H412,H413,H414,H415,H416,H417,H418,H419,H420,H422,H423,H4110,H432,H442,H452,H462,H472,H482,H492,H4102,H4111"/>
    <w:basedOn w:val="Normal"/>
    <w:next w:val="Normal"/>
    <w:link w:val="Heading4Char"/>
    <w:unhideWhenUsed/>
    <w:qFormat/>
    <w:rsid w:val="00F0258D"/>
    <w:pPr>
      <w:numPr>
        <w:numId w:val="13"/>
      </w:numPr>
      <w:spacing w:before="120" w:line="259" w:lineRule="auto"/>
      <w:jc w:val="both"/>
      <w:outlineLvl w:val="3"/>
    </w:pPr>
    <w:rPr>
      <w:rFonts w:ascii="Arial" w:eastAsiaTheme="majorEastAsia" w:hAnsi="Arial" w:cstheme="majorBidi"/>
      <w:bCs/>
      <w:iCs/>
      <w:sz w:val="20"/>
      <w:szCs w:val="22"/>
    </w:rPr>
  </w:style>
  <w:style w:type="paragraph" w:styleId="Heading5">
    <w:name w:val="heading 5"/>
    <w:aliases w:val="Para 5,TSOL 4th Level X.1.1,Heading 5(unused),Level 3 - (i),Third Level Heading,h5,Response Type,Response Type1,Response Type2,Response Type3,Response Type4,Response Type5,Response Type6,Response Type7,Appendix A to X,H5,l5,Subheading"/>
    <w:basedOn w:val="Normal"/>
    <w:next w:val="Normal"/>
    <w:link w:val="Heading5Char"/>
    <w:unhideWhenUsed/>
    <w:qFormat/>
    <w:rsid w:val="00F0258D"/>
    <w:pPr>
      <w:keepNext/>
      <w:keepLines/>
      <w:numPr>
        <w:numId w:val="14"/>
      </w:numPr>
      <w:spacing w:before="200" w:line="259" w:lineRule="auto"/>
      <w:jc w:val="both"/>
      <w:outlineLvl w:val="4"/>
    </w:pPr>
    <w:rPr>
      <w:rFonts w:ascii="Arial" w:eastAsiaTheme="majorEastAsia" w:hAnsi="Arial" w:cstheme="majorBidi"/>
      <w:sz w:val="20"/>
      <w:szCs w:val="22"/>
    </w:rPr>
  </w:style>
  <w:style w:type="paragraph" w:styleId="Heading6">
    <w:name w:val="heading 6"/>
    <w:aliases w:val="Table Title,TSOL 5th Level X.1.1.1,Heading 6(unused),Legal Level 1.,L1 PIP,Heading 6  Appendix Y &amp; Z,Lev 6,H6 DO NOT USE,Bullet list,PA Appendix,H6,H61,PR14,bullet2,Blank 2,Appendix,h6,H62,H63,H64,H65,H66,H67,H68,H69,H610,H611,H612,H613,H614"/>
    <w:basedOn w:val="Normal"/>
    <w:next w:val="Normal"/>
    <w:link w:val="Heading6Char"/>
    <w:unhideWhenUsed/>
    <w:rsid w:val="00F0258D"/>
    <w:pPr>
      <w:keepNext/>
      <w:keepLines/>
      <w:numPr>
        <w:ilvl w:val="5"/>
        <w:numId w:val="12"/>
      </w:numPr>
      <w:spacing w:before="200" w:line="259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paragraph" w:styleId="Heading7">
    <w:name w:val="heading 7"/>
    <w:aliases w:val="TSOL 6th Level X.1.1.1.1,Heading 7(unused),Legal Level 1.1.,L2 PIP,Lev 7,H7DO NOT USE,PA Appendix Major,Blank 3,Appendix Major,Heading 7 (Do Not Use)"/>
    <w:basedOn w:val="Normal"/>
    <w:next w:val="Normal"/>
    <w:link w:val="Heading7Char"/>
    <w:unhideWhenUsed/>
    <w:rsid w:val="00F0258D"/>
    <w:pPr>
      <w:keepNext/>
      <w:keepLines/>
      <w:numPr>
        <w:ilvl w:val="6"/>
        <w:numId w:val="12"/>
      </w:numPr>
      <w:spacing w:before="20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aliases w:val="TSOL 7th Level X.1.1.1.1.1"/>
    <w:basedOn w:val="Normal"/>
    <w:next w:val="Normal"/>
    <w:link w:val="Heading8Char"/>
    <w:unhideWhenUsed/>
    <w:rsid w:val="00F0258D"/>
    <w:pPr>
      <w:keepNext/>
      <w:keepLines/>
      <w:numPr>
        <w:ilvl w:val="7"/>
        <w:numId w:val="12"/>
      </w:numPr>
      <w:spacing w:before="200" w:line="259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Heading 9 (Do Not Use),Heading 9 (defunct),Legal Level 1.1.1.1.,Lev 9,h9 DO NOT USE,App Heading,Titre 10,App1,Blank 5,appendix,h9"/>
    <w:basedOn w:val="Normal"/>
    <w:next w:val="Normal"/>
    <w:link w:val="Heading9Char"/>
    <w:unhideWhenUsed/>
    <w:rsid w:val="00F0258D"/>
    <w:pPr>
      <w:keepNext/>
      <w:keepLines/>
      <w:numPr>
        <w:ilvl w:val="8"/>
        <w:numId w:val="12"/>
      </w:numPr>
      <w:spacing w:before="20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Para 1 Char,Level 1 Char,Section Heading Char,h1 Char,Heading Char,2 Char,main Char,1 Char,section Char,H1 Char,Heading 1 A Char,Heading 1 (NN) Char,Lev 1 Char,lev1 Char,Outline1 Char,Prophead 1 Char,Prophead level 1 Char,h11 Char,l1 Char"/>
    <w:basedOn w:val="DefaultParagraphFont"/>
    <w:link w:val="Heading1"/>
    <w:uiPriority w:val="9"/>
    <w:rsid w:val="00F0258D"/>
    <w:rPr>
      <w:rFonts w:ascii="Arial" w:eastAsiaTheme="majorEastAsia" w:hAnsi="Arial" w:cstheme="majorBidi"/>
      <w:b/>
      <w:bCs/>
      <w:caps/>
      <w:szCs w:val="36"/>
    </w:rPr>
  </w:style>
  <w:style w:type="character" w:customStyle="1" w:styleId="Heading2Char">
    <w:name w:val="Heading 2 Char"/>
    <w:aliases w:val="Para 2 Char,Reset numbering Char,PARA2 Char,S Heading Char,S Heading 2 Char,h2 Char,H2 Char,(Alt+2) Char,section 1.1 Char,Section Char,m Char,Body Text (Reset numbering) Char,TF-Overskrit 2 Char,h2 main heading Char,2m Char,h 2 Char"/>
    <w:basedOn w:val="DefaultParagraphFont"/>
    <w:link w:val="Heading2"/>
    <w:rsid w:val="0030772E"/>
    <w:rPr>
      <w:rFonts w:ascii="Arial" w:eastAsiaTheme="majorEastAsia" w:hAnsi="Arial" w:cstheme="majorBidi"/>
      <w:bCs/>
      <w:szCs w:val="28"/>
    </w:rPr>
  </w:style>
  <w:style w:type="character" w:customStyle="1" w:styleId="Heading3Char">
    <w:name w:val="Heading 3 Char"/>
    <w:aliases w:val="Para 3 Char,Level 3 Char,Level 1 - 1 Char,Minor1 Char,Para Heading 3 Char,h3 Char,Para Heading 31 Char,h31 Char,Minor Char,H3 Char,H31 Char,H32 Char,H33 Char,H311 Char,(Alt+3) Char,h32 Char,h311 Char,h33 Char,h312 Char,h34 Char,h313 Char"/>
    <w:basedOn w:val="DefaultParagraphFont"/>
    <w:link w:val="Heading3"/>
    <w:uiPriority w:val="99"/>
    <w:rsid w:val="00F0258D"/>
    <w:rPr>
      <w:rFonts w:ascii="Arial" w:eastAsiaTheme="majorEastAsia" w:hAnsi="Arial" w:cstheme="majorBidi"/>
      <w:bCs/>
      <w:szCs w:val="22"/>
    </w:rPr>
  </w:style>
  <w:style w:type="character" w:customStyle="1" w:styleId="Heading4Char">
    <w:name w:val="Heading 4 Char"/>
    <w:aliases w:val="Para 4 Char,Sub-Minor Char,Level 2 - a Char,h4 Char,Schedules Char,4 Char,H41 Char,H42 Char,H43 Char,H44 Char,H45 Char,H46 Char,H47 Char,H48 Char,H49 Char,H410 Char,H411 Char,H421 Char,H431 Char,H441 Char,H451 Char,H461 Char,H471 Char"/>
    <w:basedOn w:val="DefaultParagraphFont"/>
    <w:link w:val="Heading4"/>
    <w:rsid w:val="00F0258D"/>
    <w:rPr>
      <w:rFonts w:ascii="Arial" w:eastAsiaTheme="majorEastAsia" w:hAnsi="Arial" w:cstheme="majorBidi"/>
      <w:bCs/>
      <w:iCs/>
      <w:szCs w:val="22"/>
    </w:rPr>
  </w:style>
  <w:style w:type="character" w:customStyle="1" w:styleId="Heading5Char">
    <w:name w:val="Heading 5 Char"/>
    <w:aliases w:val="Para 5 Char,TSOL 4th Level X.1.1 Char,Heading 5(unused) Char,Level 3 - (i) Char,Third Level Heading Char,h5 Char,Response Type Char,Response Type1 Char,Response Type2 Char,Response Type3 Char,Response Type4 Char,Response Type5 Char"/>
    <w:basedOn w:val="DefaultParagraphFont"/>
    <w:link w:val="Heading5"/>
    <w:rsid w:val="00F0258D"/>
    <w:rPr>
      <w:rFonts w:ascii="Arial" w:eastAsiaTheme="majorEastAsia" w:hAnsi="Arial" w:cstheme="majorBidi"/>
      <w:szCs w:val="22"/>
    </w:rPr>
  </w:style>
  <w:style w:type="character" w:customStyle="1" w:styleId="Heading6Char">
    <w:name w:val="Heading 6 Char"/>
    <w:aliases w:val="Table Title Char,TSOL 5th Level X.1.1.1 Char,Heading 6(unused) Char,Legal Level 1. Char,L1 PIP Char,Heading 6  Appendix Y &amp; Z Char,Lev 6 Char,H6 DO NOT USE Char,Bullet list Char,PA Appendix Char,H6 Char,H61 Char,PR14 Char,bullet2 Char"/>
    <w:basedOn w:val="DefaultParagraphFont"/>
    <w:link w:val="Heading6"/>
    <w:rsid w:val="00F0258D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aliases w:val="TSOL 6th Level X.1.1.1.1 Char,Heading 7(unused) Char,Legal Level 1.1. Char,L2 PIP Char,Lev 7 Char,H7DO NOT USE Char,PA Appendix Major Char,Blank 3 Char,Appendix Major Char,Heading 7 (Do Not Use) Char"/>
    <w:basedOn w:val="DefaultParagraphFont"/>
    <w:link w:val="Heading7"/>
    <w:rsid w:val="00F0258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aliases w:val="TSOL 7th Level X.1.1.1.1.1 Char"/>
    <w:basedOn w:val="DefaultParagraphFont"/>
    <w:link w:val="Heading8"/>
    <w:rsid w:val="00F0258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"/>
    <w:basedOn w:val="DefaultParagraphFont"/>
    <w:link w:val="Heading9"/>
    <w:rsid w:val="00F025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258D"/>
    <w:rPr>
      <w:sz w:val="24"/>
      <w:szCs w:val="24"/>
    </w:rPr>
  </w:style>
  <w:style w:type="paragraph" w:customStyle="1" w:styleId="bullet3">
    <w:name w:val="bullet 3"/>
    <w:basedOn w:val="Normal"/>
    <w:rsid w:val="00F0258D"/>
    <w:pPr>
      <w:numPr>
        <w:numId w:val="18"/>
      </w:numPr>
      <w:spacing w:before="200" w:after="240" w:line="360" w:lineRule="auto"/>
      <w:jc w:val="both"/>
    </w:pPr>
    <w:rPr>
      <w:rFonts w:ascii="Arial" w:eastAsia="Times New Roman" w:hAnsi="Arial" w:cs="Arial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E24A7"/>
    <w:rsid w:val="001E78DE"/>
    <w:rsid w:val="00202A11"/>
    <w:rsid w:val="002218BE"/>
    <w:rsid w:val="002460E2"/>
    <w:rsid w:val="00260017"/>
    <w:rsid w:val="0035093C"/>
    <w:rsid w:val="00382EAF"/>
    <w:rsid w:val="00386DDC"/>
    <w:rsid w:val="003B141F"/>
    <w:rsid w:val="00416AB4"/>
    <w:rsid w:val="00431ECC"/>
    <w:rsid w:val="004A2EB4"/>
    <w:rsid w:val="004B7D3A"/>
    <w:rsid w:val="004E01C0"/>
    <w:rsid w:val="004F1011"/>
    <w:rsid w:val="00522651"/>
    <w:rsid w:val="0052576A"/>
    <w:rsid w:val="00535BCB"/>
    <w:rsid w:val="00555161"/>
    <w:rsid w:val="00566013"/>
    <w:rsid w:val="005C4C2B"/>
    <w:rsid w:val="005E076E"/>
    <w:rsid w:val="005E5EF7"/>
    <w:rsid w:val="006439ED"/>
    <w:rsid w:val="00714C4A"/>
    <w:rsid w:val="0074199B"/>
    <w:rsid w:val="007621A3"/>
    <w:rsid w:val="007B016D"/>
    <w:rsid w:val="007C105C"/>
    <w:rsid w:val="007C5C7B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914DD"/>
    <w:rsid w:val="00AB3B81"/>
    <w:rsid w:val="00AD4D4F"/>
    <w:rsid w:val="00AE15EB"/>
    <w:rsid w:val="00B74AE9"/>
    <w:rsid w:val="00B76EE9"/>
    <w:rsid w:val="00B87443"/>
    <w:rsid w:val="00BD3FF4"/>
    <w:rsid w:val="00BD53E0"/>
    <w:rsid w:val="00BD6319"/>
    <w:rsid w:val="00C5734D"/>
    <w:rsid w:val="00C606A2"/>
    <w:rsid w:val="00C65F30"/>
    <w:rsid w:val="00C67A41"/>
    <w:rsid w:val="00C67EAE"/>
    <w:rsid w:val="00C85E26"/>
    <w:rsid w:val="00C91462"/>
    <w:rsid w:val="00D34141"/>
    <w:rsid w:val="00D51519"/>
    <w:rsid w:val="00D6360E"/>
    <w:rsid w:val="00D80A38"/>
    <w:rsid w:val="00D83E24"/>
    <w:rsid w:val="00D97295"/>
    <w:rsid w:val="00DF2524"/>
    <w:rsid w:val="00DF71B6"/>
    <w:rsid w:val="00E41CBE"/>
    <w:rsid w:val="00E6454A"/>
    <w:rsid w:val="00EA38B6"/>
    <w:rsid w:val="00F07DD9"/>
    <w:rsid w:val="00F53FD5"/>
    <w:rsid w:val="00F911DA"/>
    <w:rsid w:val="00FB4A9F"/>
    <w:rsid w:val="00FE233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EAE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F8107D-A1B2-4F71-8E6B-ADBD4D2D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2017-08-14T15:07:00Z</dcterms:created>
  <dcterms:modified xsi:type="dcterms:W3CDTF">2017-08-14T15:08:00Z</dcterms:modified>
</cp:coreProperties>
</file>