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CC" w:rsidRPr="00E56E5A" w:rsidRDefault="00A067CC" w:rsidP="0016446B">
      <w:pPr>
        <w:spacing w:after="0"/>
        <w:jc w:val="both"/>
        <w:rPr>
          <w:rFonts w:ascii="Arial" w:hAnsi="Arial" w:cs="Arial"/>
          <w:b/>
          <w:u w:val="single"/>
        </w:rPr>
      </w:pPr>
      <w:r w:rsidRPr="00E56E5A">
        <w:rPr>
          <w:rFonts w:ascii="Arial" w:hAnsi="Arial" w:cs="Arial"/>
          <w:b/>
          <w:noProof/>
          <w:sz w:val="24"/>
          <w:szCs w:val="24"/>
          <w:lang w:eastAsia="en-GB"/>
        </w:rPr>
        <w:drawing>
          <wp:inline distT="0" distB="0" distL="0" distR="0" wp14:anchorId="36B27347" wp14:editId="76FD411B">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895A78" w:rsidRDefault="00895A78" w:rsidP="0016446B">
      <w:pPr>
        <w:pStyle w:val="Bodytext20"/>
        <w:shd w:val="clear" w:color="auto" w:fill="auto"/>
        <w:spacing w:after="0" w:line="240" w:lineRule="auto"/>
        <w:ind w:right="23" w:firstLine="0"/>
        <w:jc w:val="both"/>
        <w:rPr>
          <w:b/>
          <w:sz w:val="24"/>
          <w:szCs w:val="24"/>
        </w:rPr>
      </w:pPr>
    </w:p>
    <w:p w:rsidR="00A42467" w:rsidRDefault="00A42467" w:rsidP="0016446B">
      <w:pPr>
        <w:pStyle w:val="Bodytext20"/>
        <w:shd w:val="clear" w:color="auto" w:fill="auto"/>
        <w:spacing w:after="0" w:line="240" w:lineRule="auto"/>
        <w:ind w:right="23" w:firstLine="0"/>
        <w:jc w:val="both"/>
        <w:rPr>
          <w:b/>
          <w:sz w:val="24"/>
          <w:szCs w:val="24"/>
        </w:rPr>
      </w:pPr>
    </w:p>
    <w:p w:rsidR="00A42467" w:rsidRDefault="00A42467" w:rsidP="0016446B">
      <w:pPr>
        <w:pStyle w:val="Bodytext20"/>
        <w:shd w:val="clear" w:color="auto" w:fill="auto"/>
        <w:spacing w:after="0" w:line="240" w:lineRule="auto"/>
        <w:ind w:right="23" w:firstLine="0"/>
        <w:jc w:val="both"/>
        <w:rPr>
          <w:b/>
          <w:sz w:val="24"/>
          <w:szCs w:val="24"/>
        </w:rPr>
      </w:pPr>
    </w:p>
    <w:p w:rsidR="002B104A" w:rsidRDefault="002B104A" w:rsidP="009F4C2C">
      <w:pPr>
        <w:pStyle w:val="Bodytext20"/>
        <w:shd w:val="clear" w:color="auto" w:fill="auto"/>
        <w:spacing w:after="0" w:line="240" w:lineRule="auto"/>
        <w:ind w:right="23" w:firstLine="0"/>
        <w:rPr>
          <w:b/>
          <w:caps/>
          <w:sz w:val="22"/>
          <w:szCs w:val="22"/>
        </w:rPr>
      </w:pPr>
      <w:r w:rsidRPr="002B104A">
        <w:rPr>
          <w:b/>
          <w:caps/>
          <w:sz w:val="22"/>
          <w:szCs w:val="22"/>
        </w:rPr>
        <w:t>Splunk Annual Support renewal</w:t>
      </w:r>
    </w:p>
    <w:p w:rsidR="00A067CC" w:rsidRDefault="002B104A" w:rsidP="009F4C2C">
      <w:pPr>
        <w:pStyle w:val="Bodytext20"/>
        <w:shd w:val="clear" w:color="auto" w:fill="auto"/>
        <w:spacing w:after="0" w:line="240" w:lineRule="auto"/>
        <w:ind w:right="23" w:firstLine="0"/>
        <w:rPr>
          <w:b/>
          <w:caps/>
          <w:sz w:val="22"/>
          <w:szCs w:val="22"/>
        </w:rPr>
      </w:pPr>
      <w:r w:rsidRPr="002B104A">
        <w:rPr>
          <w:b/>
          <w:caps/>
          <w:sz w:val="22"/>
          <w:szCs w:val="22"/>
        </w:rPr>
        <w:t>for Enterprise and Enterprise Security</w:t>
      </w:r>
    </w:p>
    <w:p w:rsidR="002B104A" w:rsidRDefault="002B104A" w:rsidP="009F4C2C">
      <w:pPr>
        <w:pStyle w:val="Bodytext20"/>
        <w:shd w:val="clear" w:color="auto" w:fill="auto"/>
        <w:spacing w:after="0" w:line="240" w:lineRule="auto"/>
        <w:ind w:right="23" w:firstLine="0"/>
        <w:rPr>
          <w:b/>
          <w:caps/>
          <w:sz w:val="22"/>
          <w:szCs w:val="22"/>
        </w:rPr>
      </w:pPr>
    </w:p>
    <w:p w:rsidR="00807173" w:rsidRPr="002B104A" w:rsidRDefault="00807173" w:rsidP="009F4C2C">
      <w:pPr>
        <w:pStyle w:val="Bodytext20"/>
        <w:shd w:val="clear" w:color="auto" w:fill="auto"/>
        <w:spacing w:after="0" w:line="240" w:lineRule="auto"/>
        <w:ind w:right="23" w:firstLine="0"/>
        <w:rPr>
          <w:b/>
          <w:caps/>
          <w:sz w:val="22"/>
          <w:szCs w:val="22"/>
        </w:rPr>
      </w:pPr>
    </w:p>
    <w:p w:rsidR="00A067CC" w:rsidRPr="00A523A3" w:rsidRDefault="00A067CC" w:rsidP="009F4C2C">
      <w:pPr>
        <w:pStyle w:val="Bodytext20"/>
        <w:shd w:val="clear" w:color="auto" w:fill="auto"/>
        <w:spacing w:after="0"/>
        <w:ind w:right="20" w:firstLine="0"/>
        <w:rPr>
          <w:b/>
          <w:sz w:val="22"/>
          <w:szCs w:val="22"/>
        </w:rPr>
      </w:pPr>
      <w:r w:rsidRPr="00A523A3">
        <w:rPr>
          <w:b/>
          <w:sz w:val="22"/>
          <w:szCs w:val="22"/>
        </w:rPr>
        <w:t xml:space="preserve">CLOSING DATE FOR RESPONSES </w:t>
      </w:r>
      <w:r w:rsidR="00A523A3">
        <w:rPr>
          <w:b/>
          <w:sz w:val="22"/>
          <w:szCs w:val="22"/>
        </w:rPr>
        <w:t>–</w:t>
      </w:r>
      <w:r w:rsidRPr="00A523A3">
        <w:rPr>
          <w:b/>
          <w:sz w:val="22"/>
          <w:szCs w:val="22"/>
        </w:rPr>
        <w:t xml:space="preserve"> </w:t>
      </w:r>
      <w:r w:rsidR="002B104A">
        <w:rPr>
          <w:b/>
          <w:sz w:val="22"/>
          <w:szCs w:val="22"/>
        </w:rPr>
        <w:t>12 NOON</w:t>
      </w:r>
      <w:r w:rsidR="00A523A3" w:rsidRPr="00A523A3">
        <w:rPr>
          <w:b/>
          <w:sz w:val="22"/>
          <w:szCs w:val="22"/>
        </w:rPr>
        <w:t xml:space="preserve">, </w:t>
      </w:r>
      <w:r w:rsidR="00DD5186" w:rsidRPr="00DD5186">
        <w:rPr>
          <w:b/>
          <w:caps/>
          <w:sz w:val="22"/>
          <w:szCs w:val="22"/>
        </w:rPr>
        <w:t>Thursday 18th October 2018</w:t>
      </w:r>
    </w:p>
    <w:p w:rsidR="00A42467" w:rsidRDefault="00A42467" w:rsidP="0016446B">
      <w:pPr>
        <w:pStyle w:val="Bodytext20"/>
        <w:shd w:val="clear" w:color="auto" w:fill="auto"/>
        <w:spacing w:after="0"/>
        <w:ind w:right="20" w:firstLine="0"/>
        <w:jc w:val="both"/>
        <w:rPr>
          <w:b/>
          <w:sz w:val="24"/>
          <w:szCs w:val="24"/>
        </w:rPr>
      </w:pPr>
    </w:p>
    <w:p w:rsidR="00A42467" w:rsidRPr="00E56E5A" w:rsidRDefault="00A42467" w:rsidP="0016446B">
      <w:pPr>
        <w:pStyle w:val="Bodytext20"/>
        <w:shd w:val="clear" w:color="auto" w:fill="auto"/>
        <w:spacing w:after="0"/>
        <w:ind w:right="20" w:firstLine="0"/>
        <w:jc w:val="both"/>
        <w:rPr>
          <w:b/>
          <w:sz w:val="24"/>
          <w:szCs w:val="24"/>
        </w:rPr>
      </w:pPr>
    </w:p>
    <w:p w:rsidR="00A067CC" w:rsidRDefault="00A067CC" w:rsidP="002B104A">
      <w:pPr>
        <w:pStyle w:val="Bodytext20"/>
        <w:numPr>
          <w:ilvl w:val="0"/>
          <w:numId w:val="5"/>
        </w:numPr>
        <w:shd w:val="clear" w:color="auto" w:fill="auto"/>
        <w:tabs>
          <w:tab w:val="left" w:pos="851"/>
        </w:tabs>
        <w:spacing w:after="0" w:line="200" w:lineRule="exact"/>
        <w:ind w:left="851" w:hanging="851"/>
        <w:jc w:val="both"/>
        <w:rPr>
          <w:b/>
          <w:sz w:val="22"/>
          <w:szCs w:val="22"/>
        </w:rPr>
      </w:pPr>
      <w:r w:rsidRPr="00035B05">
        <w:rPr>
          <w:b/>
          <w:sz w:val="22"/>
          <w:szCs w:val="22"/>
        </w:rPr>
        <w:t>OBJECTIVE</w:t>
      </w:r>
    </w:p>
    <w:p w:rsidR="00035B05" w:rsidRPr="00035B05" w:rsidRDefault="00035B05" w:rsidP="0016446B">
      <w:pPr>
        <w:pStyle w:val="Bodytext20"/>
        <w:shd w:val="clear" w:color="auto" w:fill="auto"/>
        <w:tabs>
          <w:tab w:val="left" w:pos="634"/>
        </w:tabs>
        <w:spacing w:after="0" w:line="200" w:lineRule="exact"/>
        <w:ind w:left="360" w:firstLine="0"/>
        <w:jc w:val="both"/>
        <w:rPr>
          <w:b/>
          <w:sz w:val="22"/>
          <w:szCs w:val="22"/>
        </w:rPr>
      </w:pPr>
    </w:p>
    <w:p w:rsidR="00A42467" w:rsidRDefault="00186FA3" w:rsidP="0016446B">
      <w:pPr>
        <w:spacing w:after="0"/>
        <w:jc w:val="both"/>
        <w:rPr>
          <w:rFonts w:ascii="Arial" w:hAnsi="Arial" w:cs="Arial"/>
        </w:rPr>
      </w:pPr>
      <w:r w:rsidRPr="00186FA3">
        <w:rPr>
          <w:rFonts w:ascii="Arial" w:hAnsi="Arial" w:cs="Arial"/>
        </w:rPr>
        <w:t>The National Archives</w:t>
      </w:r>
      <w:r w:rsidR="00A42467">
        <w:rPr>
          <w:rFonts w:ascii="Arial" w:hAnsi="Arial" w:cs="Arial"/>
        </w:rPr>
        <w:t xml:space="preserve"> (TNA)</w:t>
      </w:r>
      <w:r w:rsidRPr="00186FA3">
        <w:rPr>
          <w:rFonts w:ascii="Arial" w:hAnsi="Arial" w:cs="Arial"/>
        </w:rPr>
        <w:t xml:space="preserve"> IT Operations Department requires </w:t>
      </w:r>
      <w:r w:rsidR="002B104A">
        <w:rPr>
          <w:rFonts w:ascii="Arial" w:hAnsi="Arial" w:cs="Arial"/>
        </w:rPr>
        <w:t xml:space="preserve">support for the on-site Splunk applications </w:t>
      </w:r>
      <w:r w:rsidRPr="00186FA3">
        <w:rPr>
          <w:rFonts w:ascii="Arial" w:hAnsi="Arial" w:cs="Arial"/>
        </w:rPr>
        <w:t>at its office</w:t>
      </w:r>
      <w:r w:rsidR="00493851">
        <w:rPr>
          <w:rFonts w:ascii="Arial" w:hAnsi="Arial" w:cs="Arial"/>
        </w:rPr>
        <w:t>s</w:t>
      </w:r>
      <w:r w:rsidRPr="00186FA3">
        <w:rPr>
          <w:rFonts w:ascii="Arial" w:hAnsi="Arial" w:cs="Arial"/>
        </w:rPr>
        <w:t xml:space="preserve"> at Kew, Richmond, </w:t>
      </w:r>
      <w:r w:rsidR="00493851">
        <w:rPr>
          <w:rFonts w:ascii="Arial" w:hAnsi="Arial" w:cs="Arial"/>
        </w:rPr>
        <w:t>Surrey</w:t>
      </w:r>
      <w:r w:rsidRPr="00186FA3">
        <w:rPr>
          <w:rFonts w:ascii="Arial" w:hAnsi="Arial" w:cs="Arial"/>
        </w:rPr>
        <w:t>TW9 4DU.</w:t>
      </w:r>
    </w:p>
    <w:p w:rsidR="002B104A" w:rsidRDefault="002B104A" w:rsidP="0016446B">
      <w:pPr>
        <w:spacing w:after="0"/>
        <w:jc w:val="both"/>
        <w:rPr>
          <w:rFonts w:ascii="Arial" w:hAnsi="Arial" w:cs="Arial"/>
        </w:rPr>
      </w:pPr>
    </w:p>
    <w:p w:rsidR="002B104A" w:rsidRDefault="002B104A" w:rsidP="0016446B">
      <w:pPr>
        <w:spacing w:after="0"/>
        <w:jc w:val="both"/>
        <w:rPr>
          <w:rFonts w:ascii="Arial" w:hAnsi="Arial" w:cs="Arial"/>
        </w:rPr>
      </w:pPr>
      <w:r>
        <w:rPr>
          <w:rFonts w:ascii="Arial" w:hAnsi="Arial" w:cs="Arial"/>
        </w:rPr>
        <w:t>For this requirement, TNA will only consider submissions from Accredited Splunk partners.</w:t>
      </w:r>
    </w:p>
    <w:p w:rsidR="00387F82" w:rsidRDefault="00387F82" w:rsidP="0016446B">
      <w:pPr>
        <w:spacing w:after="0"/>
        <w:jc w:val="both"/>
        <w:rPr>
          <w:rFonts w:ascii="Arial" w:hAnsi="Arial" w:cs="Arial"/>
        </w:rPr>
      </w:pPr>
    </w:p>
    <w:p w:rsidR="00387F82" w:rsidRDefault="00387F82" w:rsidP="0016446B">
      <w:pPr>
        <w:spacing w:after="0"/>
        <w:jc w:val="both"/>
        <w:rPr>
          <w:rFonts w:ascii="Arial" w:hAnsi="Arial" w:cs="Arial"/>
        </w:rPr>
      </w:pPr>
    </w:p>
    <w:p w:rsidR="00A067CC" w:rsidRDefault="00A067CC" w:rsidP="002B104A">
      <w:pPr>
        <w:pStyle w:val="Bodytext20"/>
        <w:numPr>
          <w:ilvl w:val="0"/>
          <w:numId w:val="5"/>
        </w:numPr>
        <w:shd w:val="clear" w:color="auto" w:fill="auto"/>
        <w:tabs>
          <w:tab w:val="left" w:pos="851"/>
        </w:tabs>
        <w:spacing w:after="0" w:line="200" w:lineRule="exact"/>
        <w:ind w:left="851" w:hanging="851"/>
        <w:jc w:val="both"/>
        <w:rPr>
          <w:b/>
          <w:sz w:val="22"/>
          <w:szCs w:val="22"/>
        </w:rPr>
      </w:pPr>
      <w:r w:rsidRPr="00E56E5A">
        <w:rPr>
          <w:b/>
          <w:sz w:val="22"/>
          <w:szCs w:val="22"/>
        </w:rPr>
        <w:t>BACKGROUND</w:t>
      </w:r>
    </w:p>
    <w:p w:rsidR="002E665E" w:rsidRPr="00E56E5A" w:rsidRDefault="002E665E" w:rsidP="0016446B">
      <w:pPr>
        <w:pStyle w:val="Bodytext20"/>
        <w:shd w:val="clear" w:color="auto" w:fill="auto"/>
        <w:tabs>
          <w:tab w:val="left" w:pos="634"/>
        </w:tabs>
        <w:spacing w:after="0" w:line="200" w:lineRule="exact"/>
        <w:ind w:left="360" w:firstLine="0"/>
        <w:jc w:val="both"/>
        <w:rPr>
          <w:b/>
          <w:sz w:val="22"/>
          <w:szCs w:val="22"/>
        </w:rPr>
      </w:pPr>
    </w:p>
    <w:p w:rsidR="00A067CC" w:rsidRDefault="0058441F" w:rsidP="0016446B">
      <w:pPr>
        <w:spacing w:after="0"/>
        <w:jc w:val="both"/>
        <w:rPr>
          <w:rFonts w:ascii="Arial" w:hAnsi="Arial" w:cs="Arial"/>
        </w:rPr>
      </w:pPr>
      <w:r w:rsidRPr="00921810">
        <w:rPr>
          <w:rFonts w:ascii="Arial" w:hAnsi="Arial" w:cs="Arial"/>
        </w:rPr>
        <w:t>TNA</w:t>
      </w:r>
      <w:r w:rsidR="00A067CC" w:rsidRPr="00921810">
        <w:rPr>
          <w:rFonts w:ascii="Arial" w:hAnsi="Arial" w:cs="Arial"/>
        </w:rPr>
        <w:t xml:space="preserve">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South West London. More information on TNA can be found at: </w:t>
      </w:r>
      <w:hyperlink r:id="rId9" w:history="1">
        <w:r w:rsidR="00895A78" w:rsidRPr="00F346D1">
          <w:rPr>
            <w:rStyle w:val="Hyperlink"/>
            <w:rFonts w:ascii="Arial" w:hAnsi="Arial" w:cs="Arial"/>
          </w:rPr>
          <w:t>www.nationalarchives.gov.uk</w:t>
        </w:r>
      </w:hyperlink>
      <w:r w:rsidR="00895A78">
        <w:rPr>
          <w:rFonts w:ascii="Arial" w:hAnsi="Arial" w:cs="Arial"/>
        </w:rPr>
        <w:t xml:space="preserve"> </w:t>
      </w:r>
    </w:p>
    <w:p w:rsidR="00A42467" w:rsidRDefault="00A42467" w:rsidP="0016446B">
      <w:pPr>
        <w:spacing w:after="0"/>
        <w:jc w:val="both"/>
        <w:rPr>
          <w:rFonts w:ascii="Arial" w:hAnsi="Arial" w:cs="Arial"/>
        </w:rPr>
      </w:pPr>
    </w:p>
    <w:p w:rsidR="00387F82" w:rsidRDefault="00387F82" w:rsidP="0016446B">
      <w:pPr>
        <w:spacing w:after="0"/>
        <w:jc w:val="both"/>
        <w:rPr>
          <w:rFonts w:ascii="Arial" w:hAnsi="Arial" w:cs="Arial"/>
        </w:rPr>
      </w:pPr>
      <w:r>
        <w:rPr>
          <w:rFonts w:ascii="Arial" w:hAnsi="Arial" w:cs="Arial"/>
        </w:rPr>
        <w:t>The current support contract for Splunk products expires on 1 Novemb</w:t>
      </w:r>
      <w:r w:rsidR="00C831C4">
        <w:rPr>
          <w:rFonts w:ascii="Arial" w:hAnsi="Arial" w:cs="Arial"/>
        </w:rPr>
        <w:t>er 2018</w:t>
      </w:r>
      <w:r>
        <w:rPr>
          <w:rFonts w:ascii="Arial" w:hAnsi="Arial" w:cs="Arial"/>
        </w:rPr>
        <w:t>. TNA requires continuous service and a seamless transition to the new support contract.</w:t>
      </w:r>
    </w:p>
    <w:p w:rsidR="002B104A" w:rsidRDefault="002B104A" w:rsidP="0016446B">
      <w:pPr>
        <w:spacing w:after="0"/>
        <w:jc w:val="both"/>
        <w:rPr>
          <w:rFonts w:ascii="Arial" w:hAnsi="Arial" w:cs="Arial"/>
        </w:rPr>
      </w:pPr>
    </w:p>
    <w:p w:rsidR="002B104A" w:rsidRDefault="002B104A" w:rsidP="0016446B">
      <w:pPr>
        <w:spacing w:after="0"/>
        <w:jc w:val="both"/>
        <w:rPr>
          <w:rFonts w:ascii="Arial" w:hAnsi="Arial" w:cs="Arial"/>
        </w:rPr>
      </w:pPr>
    </w:p>
    <w:p w:rsidR="00B000B2" w:rsidRDefault="000E2887" w:rsidP="002B104A">
      <w:pPr>
        <w:pStyle w:val="Bodytext20"/>
        <w:numPr>
          <w:ilvl w:val="0"/>
          <w:numId w:val="5"/>
        </w:numPr>
        <w:shd w:val="clear" w:color="auto" w:fill="auto"/>
        <w:tabs>
          <w:tab w:val="left" w:pos="851"/>
        </w:tabs>
        <w:spacing w:after="0" w:line="200" w:lineRule="exact"/>
        <w:ind w:left="851" w:hanging="851"/>
        <w:jc w:val="both"/>
        <w:rPr>
          <w:b/>
          <w:sz w:val="22"/>
          <w:szCs w:val="22"/>
        </w:rPr>
      </w:pPr>
      <w:r w:rsidRPr="00E56E5A">
        <w:rPr>
          <w:b/>
          <w:sz w:val="22"/>
          <w:szCs w:val="22"/>
        </w:rPr>
        <w:t>THE REQUIREMENT</w:t>
      </w:r>
    </w:p>
    <w:p w:rsidR="002E665E" w:rsidRDefault="002E665E" w:rsidP="0016446B">
      <w:pPr>
        <w:pStyle w:val="Bodytext20"/>
        <w:shd w:val="clear" w:color="auto" w:fill="auto"/>
        <w:tabs>
          <w:tab w:val="left" w:pos="634"/>
        </w:tabs>
        <w:spacing w:after="0" w:line="200" w:lineRule="exact"/>
        <w:ind w:left="360" w:firstLine="0"/>
        <w:jc w:val="both"/>
        <w:rPr>
          <w:b/>
          <w:sz w:val="22"/>
          <w:szCs w:val="22"/>
        </w:rPr>
      </w:pPr>
    </w:p>
    <w:p w:rsidR="00C7733A" w:rsidRDefault="007128B0" w:rsidP="0016446B">
      <w:pPr>
        <w:pStyle w:val="ListParagraph"/>
        <w:numPr>
          <w:ilvl w:val="1"/>
          <w:numId w:val="5"/>
        </w:numPr>
        <w:spacing w:after="0"/>
        <w:ind w:left="851" w:hanging="851"/>
        <w:jc w:val="both"/>
        <w:rPr>
          <w:rFonts w:ascii="Arial" w:hAnsi="Arial" w:cs="Arial"/>
        </w:rPr>
      </w:pPr>
      <w:r w:rsidRPr="00E56E5A">
        <w:rPr>
          <w:rFonts w:ascii="Arial" w:hAnsi="Arial" w:cs="Arial"/>
        </w:rPr>
        <w:t>The</w:t>
      </w:r>
      <w:r w:rsidR="00620DC5" w:rsidRPr="00E56E5A">
        <w:rPr>
          <w:rFonts w:ascii="Arial" w:hAnsi="Arial" w:cs="Arial"/>
        </w:rPr>
        <w:t xml:space="preserve"> </w:t>
      </w:r>
      <w:r w:rsidRPr="00E56E5A">
        <w:rPr>
          <w:rFonts w:ascii="Arial" w:hAnsi="Arial" w:cs="Arial"/>
        </w:rPr>
        <w:t xml:space="preserve">requirement is </w:t>
      </w:r>
      <w:r w:rsidR="00EA6F6A">
        <w:rPr>
          <w:rFonts w:ascii="Arial" w:hAnsi="Arial" w:cs="Arial"/>
        </w:rPr>
        <w:t xml:space="preserve">for </w:t>
      </w:r>
      <w:r w:rsidR="002B104A">
        <w:rPr>
          <w:rFonts w:ascii="Arial" w:hAnsi="Arial" w:cs="Arial"/>
        </w:rPr>
        <w:t>a 12 month support contract, commencing 2 November 201</w:t>
      </w:r>
      <w:r w:rsidR="00C831C4">
        <w:rPr>
          <w:rFonts w:ascii="Arial" w:hAnsi="Arial" w:cs="Arial"/>
        </w:rPr>
        <w:t>8 and expiring 1 November 2019</w:t>
      </w:r>
      <w:r w:rsidR="00186FA3">
        <w:rPr>
          <w:rFonts w:ascii="Arial" w:hAnsi="Arial" w:cs="Arial"/>
        </w:rPr>
        <w:t>.</w:t>
      </w:r>
    </w:p>
    <w:p w:rsidR="00186FA3" w:rsidRDefault="00186FA3" w:rsidP="0016446B">
      <w:pPr>
        <w:pStyle w:val="ListParagraph"/>
        <w:spacing w:after="0"/>
        <w:ind w:left="851"/>
        <w:jc w:val="both"/>
        <w:rPr>
          <w:rFonts w:ascii="Arial" w:hAnsi="Arial" w:cs="Arial"/>
        </w:rPr>
      </w:pPr>
    </w:p>
    <w:p w:rsidR="00186FA3" w:rsidRDefault="002B104A" w:rsidP="0016446B">
      <w:pPr>
        <w:pStyle w:val="ListParagraph"/>
        <w:numPr>
          <w:ilvl w:val="1"/>
          <w:numId w:val="5"/>
        </w:numPr>
        <w:spacing w:after="0"/>
        <w:ind w:left="851" w:hanging="851"/>
        <w:jc w:val="both"/>
        <w:rPr>
          <w:rFonts w:ascii="Arial" w:hAnsi="Arial" w:cs="Arial"/>
        </w:rPr>
      </w:pPr>
      <w:r>
        <w:rPr>
          <w:rFonts w:ascii="Arial" w:hAnsi="Arial" w:cs="Arial"/>
        </w:rPr>
        <w:t xml:space="preserve">The Splunk products which require support </w:t>
      </w:r>
      <w:r w:rsidR="00732B6A">
        <w:rPr>
          <w:rFonts w:ascii="Arial" w:hAnsi="Arial" w:cs="Arial"/>
        </w:rPr>
        <w:t xml:space="preserve">renewal </w:t>
      </w:r>
      <w:r>
        <w:rPr>
          <w:rFonts w:ascii="Arial" w:hAnsi="Arial" w:cs="Arial"/>
        </w:rPr>
        <w:t>are:</w:t>
      </w:r>
    </w:p>
    <w:p w:rsidR="002B104A" w:rsidRDefault="00732B6A" w:rsidP="002B104A">
      <w:pPr>
        <w:pStyle w:val="ListParagraph"/>
        <w:numPr>
          <w:ilvl w:val="0"/>
          <w:numId w:val="46"/>
        </w:numPr>
        <w:spacing w:after="0"/>
        <w:ind w:left="1418" w:hanging="284"/>
        <w:jc w:val="both"/>
        <w:rPr>
          <w:rFonts w:ascii="Arial" w:hAnsi="Arial" w:cs="Arial"/>
        </w:rPr>
      </w:pPr>
      <w:r>
        <w:rPr>
          <w:rFonts w:ascii="Arial" w:hAnsi="Arial" w:cs="Arial"/>
        </w:rPr>
        <w:t xml:space="preserve">Splunk Enterprise 25GB </w:t>
      </w:r>
    </w:p>
    <w:p w:rsidR="005A5B01" w:rsidRPr="00234983" w:rsidRDefault="002B104A" w:rsidP="00732B6A">
      <w:pPr>
        <w:pStyle w:val="ListParagraph"/>
        <w:numPr>
          <w:ilvl w:val="0"/>
          <w:numId w:val="46"/>
        </w:numPr>
        <w:spacing w:after="0"/>
        <w:ind w:left="1418" w:hanging="284"/>
        <w:jc w:val="both"/>
        <w:rPr>
          <w:rFonts w:ascii="Arial" w:hAnsi="Arial" w:cs="Arial"/>
        </w:rPr>
      </w:pPr>
      <w:r>
        <w:rPr>
          <w:rFonts w:ascii="Arial" w:hAnsi="Arial" w:cs="Arial"/>
        </w:rPr>
        <w:t xml:space="preserve">Splunk App for Enterprise </w:t>
      </w:r>
      <w:r w:rsidR="00732B6A">
        <w:rPr>
          <w:rFonts w:ascii="Arial" w:hAnsi="Arial" w:cs="Arial"/>
        </w:rPr>
        <w:t>Security</w:t>
      </w:r>
      <w:r w:rsidR="00807173">
        <w:rPr>
          <w:rFonts w:ascii="Arial" w:hAnsi="Arial" w:cs="Arial"/>
        </w:rPr>
        <w:t xml:space="preserve"> 2</w:t>
      </w:r>
      <w:r>
        <w:rPr>
          <w:rFonts w:ascii="Arial" w:hAnsi="Arial" w:cs="Arial"/>
        </w:rPr>
        <w:t xml:space="preserve">5GB </w:t>
      </w:r>
    </w:p>
    <w:p w:rsidR="00186FA3" w:rsidRDefault="00186FA3" w:rsidP="0016446B">
      <w:pPr>
        <w:pStyle w:val="ListParagraph"/>
        <w:spacing w:after="0"/>
        <w:ind w:left="851"/>
        <w:jc w:val="both"/>
        <w:rPr>
          <w:rFonts w:ascii="Arial" w:hAnsi="Arial" w:cs="Arial"/>
        </w:rPr>
      </w:pPr>
    </w:p>
    <w:p w:rsidR="00234983" w:rsidRPr="00234983" w:rsidRDefault="00234983" w:rsidP="00234983">
      <w:pPr>
        <w:pStyle w:val="ListParagraph"/>
        <w:numPr>
          <w:ilvl w:val="1"/>
          <w:numId w:val="5"/>
        </w:numPr>
        <w:spacing w:after="0"/>
        <w:ind w:left="851" w:hanging="851"/>
        <w:jc w:val="both"/>
        <w:rPr>
          <w:rFonts w:ascii="Arial" w:hAnsi="Arial" w:cs="Arial"/>
        </w:rPr>
      </w:pPr>
      <w:r>
        <w:rPr>
          <w:rFonts w:ascii="Arial" w:hAnsi="Arial" w:cs="Arial"/>
        </w:rPr>
        <w:t>TNA require</w:t>
      </w:r>
      <w:r w:rsidR="000B2015">
        <w:rPr>
          <w:rFonts w:ascii="Arial" w:hAnsi="Arial" w:cs="Arial"/>
        </w:rPr>
        <w:t>s</w:t>
      </w:r>
      <w:r>
        <w:rPr>
          <w:rFonts w:ascii="Arial" w:hAnsi="Arial" w:cs="Arial"/>
        </w:rPr>
        <w:t xml:space="preserve"> </w:t>
      </w:r>
      <w:r w:rsidR="000B2015">
        <w:rPr>
          <w:rFonts w:ascii="Arial" w:hAnsi="Arial" w:cs="Arial"/>
        </w:rPr>
        <w:t xml:space="preserve">a </w:t>
      </w:r>
      <w:bookmarkStart w:id="0" w:name="_GoBack"/>
      <w:bookmarkEnd w:id="0"/>
      <w:r>
        <w:rPr>
          <w:rFonts w:ascii="Arial" w:hAnsi="Arial" w:cs="Arial"/>
        </w:rPr>
        <w:t>Splunk Standard support programme as defined on the Splunk website (link below).</w:t>
      </w:r>
    </w:p>
    <w:p w:rsidR="00234983" w:rsidRPr="00234983" w:rsidRDefault="000B2015" w:rsidP="00234983">
      <w:pPr>
        <w:pStyle w:val="ListParagraph"/>
        <w:spacing w:after="0"/>
        <w:ind w:left="851"/>
        <w:jc w:val="both"/>
        <w:rPr>
          <w:rFonts w:ascii="Arial" w:hAnsi="Arial" w:cs="Arial"/>
          <w:sz w:val="20"/>
        </w:rPr>
      </w:pPr>
      <w:hyperlink r:id="rId10" w:anchor="support" w:history="1">
        <w:r w:rsidR="00234983" w:rsidRPr="00234983">
          <w:rPr>
            <w:rStyle w:val="Hyperlink"/>
            <w:rFonts w:ascii="Arial" w:hAnsi="Arial" w:cs="Arial"/>
            <w:sz w:val="20"/>
          </w:rPr>
          <w:t>https://www.splunk.com/en_us/support-and-services/support-programs.html#support</w:t>
        </w:r>
      </w:hyperlink>
    </w:p>
    <w:p w:rsidR="00234983" w:rsidRPr="00234983" w:rsidRDefault="00234983" w:rsidP="00234983">
      <w:pPr>
        <w:spacing w:after="0"/>
        <w:jc w:val="both"/>
        <w:rPr>
          <w:rFonts w:ascii="Arial" w:hAnsi="Arial" w:cs="Arial"/>
        </w:rPr>
      </w:pPr>
    </w:p>
    <w:p w:rsidR="00234983" w:rsidRDefault="00234983" w:rsidP="00234983">
      <w:pPr>
        <w:pStyle w:val="ListParagraph"/>
        <w:numPr>
          <w:ilvl w:val="1"/>
          <w:numId w:val="5"/>
        </w:numPr>
        <w:spacing w:after="0"/>
        <w:ind w:left="851" w:hanging="851"/>
        <w:jc w:val="both"/>
        <w:rPr>
          <w:rFonts w:ascii="Arial" w:hAnsi="Arial" w:cs="Arial"/>
        </w:rPr>
      </w:pPr>
      <w:r>
        <w:rPr>
          <w:rFonts w:ascii="Arial" w:hAnsi="Arial" w:cs="Arial"/>
        </w:rPr>
        <w:t>For this requirement, TNA will only consider submissions from Accredited Splunk partners.</w:t>
      </w:r>
    </w:p>
    <w:p w:rsidR="00B25EC9" w:rsidRDefault="00B25EC9" w:rsidP="0016446B">
      <w:pPr>
        <w:pStyle w:val="ListParagraph"/>
        <w:spacing w:after="0"/>
        <w:ind w:left="851"/>
        <w:jc w:val="both"/>
        <w:rPr>
          <w:rFonts w:ascii="Arial" w:hAnsi="Arial" w:cs="Arial"/>
        </w:rPr>
      </w:pPr>
    </w:p>
    <w:p w:rsidR="00234983" w:rsidRDefault="00234983" w:rsidP="0016446B">
      <w:pPr>
        <w:pStyle w:val="ListParagraph"/>
        <w:spacing w:after="0"/>
        <w:ind w:left="851"/>
        <w:jc w:val="both"/>
        <w:rPr>
          <w:rFonts w:ascii="Arial" w:hAnsi="Arial" w:cs="Arial"/>
        </w:rPr>
      </w:pPr>
    </w:p>
    <w:p w:rsidR="009F3388" w:rsidRDefault="002B104A" w:rsidP="002B104A">
      <w:pPr>
        <w:pStyle w:val="Bodytext20"/>
        <w:numPr>
          <w:ilvl w:val="0"/>
          <w:numId w:val="5"/>
        </w:numPr>
        <w:shd w:val="clear" w:color="auto" w:fill="auto"/>
        <w:tabs>
          <w:tab w:val="left" w:pos="851"/>
        </w:tabs>
        <w:spacing w:after="0" w:line="200" w:lineRule="exact"/>
        <w:ind w:left="851" w:hanging="851"/>
        <w:jc w:val="both"/>
        <w:rPr>
          <w:b/>
          <w:sz w:val="22"/>
          <w:szCs w:val="22"/>
        </w:rPr>
      </w:pPr>
      <w:r>
        <w:rPr>
          <w:b/>
          <w:sz w:val="22"/>
          <w:szCs w:val="22"/>
        </w:rPr>
        <w:lastRenderedPageBreak/>
        <w:t>HOW TO RE</w:t>
      </w:r>
      <w:r w:rsidR="00387F82">
        <w:rPr>
          <w:b/>
          <w:sz w:val="22"/>
          <w:szCs w:val="22"/>
        </w:rPr>
        <w:t>SPO</w:t>
      </w:r>
      <w:r>
        <w:rPr>
          <w:b/>
          <w:sz w:val="22"/>
          <w:szCs w:val="22"/>
        </w:rPr>
        <w:t>ND</w:t>
      </w:r>
    </w:p>
    <w:p w:rsidR="009F3388" w:rsidRDefault="009F3388" w:rsidP="00717EE1">
      <w:pPr>
        <w:pStyle w:val="Bodytext20"/>
        <w:shd w:val="clear" w:color="auto" w:fill="auto"/>
        <w:tabs>
          <w:tab w:val="left" w:pos="692"/>
        </w:tabs>
        <w:spacing w:after="0" w:line="276" w:lineRule="auto"/>
        <w:ind w:left="357" w:firstLine="0"/>
        <w:jc w:val="both"/>
        <w:rPr>
          <w:b/>
          <w:sz w:val="22"/>
          <w:szCs w:val="22"/>
        </w:rPr>
      </w:pPr>
    </w:p>
    <w:p w:rsidR="009F3388" w:rsidRPr="009F3388" w:rsidRDefault="002B104A" w:rsidP="00387F82">
      <w:pPr>
        <w:pStyle w:val="Bodytext20"/>
        <w:numPr>
          <w:ilvl w:val="1"/>
          <w:numId w:val="5"/>
        </w:numPr>
        <w:shd w:val="clear" w:color="auto" w:fill="auto"/>
        <w:tabs>
          <w:tab w:val="left" w:pos="851"/>
        </w:tabs>
        <w:spacing w:after="0" w:line="276" w:lineRule="auto"/>
        <w:ind w:left="851" w:hanging="851"/>
        <w:jc w:val="both"/>
        <w:rPr>
          <w:b/>
          <w:sz w:val="22"/>
          <w:szCs w:val="22"/>
        </w:rPr>
      </w:pPr>
      <w:r>
        <w:rPr>
          <w:sz w:val="22"/>
          <w:szCs w:val="22"/>
        </w:rPr>
        <w:t xml:space="preserve">It is for you to decide </w:t>
      </w:r>
      <w:r w:rsidR="00387F82">
        <w:rPr>
          <w:sz w:val="22"/>
          <w:szCs w:val="22"/>
        </w:rPr>
        <w:t>what</w:t>
      </w:r>
      <w:r>
        <w:rPr>
          <w:sz w:val="22"/>
          <w:szCs w:val="22"/>
        </w:rPr>
        <w:t xml:space="preserve"> format </w:t>
      </w:r>
      <w:r w:rsidR="00387F82">
        <w:rPr>
          <w:sz w:val="22"/>
          <w:szCs w:val="22"/>
        </w:rPr>
        <w:t>your Tender Response should take. However, please ensure that your Tender Response addresses as a minimum the elements below.</w:t>
      </w:r>
    </w:p>
    <w:p w:rsidR="009F3388" w:rsidRPr="009F3388" w:rsidRDefault="009F3388" w:rsidP="0016446B">
      <w:pPr>
        <w:pStyle w:val="Bodytext20"/>
        <w:shd w:val="clear" w:color="auto" w:fill="auto"/>
        <w:tabs>
          <w:tab w:val="left" w:pos="692"/>
        </w:tabs>
        <w:spacing w:after="0" w:line="200" w:lineRule="exact"/>
        <w:ind w:left="792" w:firstLine="0"/>
        <w:jc w:val="both"/>
        <w:rPr>
          <w:b/>
          <w:sz w:val="22"/>
          <w:szCs w:val="22"/>
        </w:rPr>
      </w:pPr>
    </w:p>
    <w:p w:rsidR="00895A78" w:rsidRDefault="00387F82" w:rsidP="002F6E23">
      <w:pPr>
        <w:pStyle w:val="ListParagraph"/>
        <w:numPr>
          <w:ilvl w:val="2"/>
          <w:numId w:val="5"/>
        </w:numPr>
        <w:spacing w:after="0"/>
        <w:ind w:left="1134" w:hanging="851"/>
        <w:jc w:val="both"/>
        <w:rPr>
          <w:rFonts w:ascii="Arial" w:hAnsi="Arial" w:cs="Arial"/>
        </w:rPr>
      </w:pPr>
      <w:r w:rsidRPr="00387F82">
        <w:rPr>
          <w:rFonts w:ascii="Arial" w:hAnsi="Arial" w:cs="Arial"/>
          <w:b/>
        </w:rPr>
        <w:t>Confirmation</w:t>
      </w:r>
      <w:r>
        <w:rPr>
          <w:rFonts w:ascii="Arial" w:hAnsi="Arial" w:cs="Arial"/>
        </w:rPr>
        <w:t xml:space="preserve"> of your status as an Accredited Splunk partner, and any documentary evidence thereof.</w:t>
      </w:r>
    </w:p>
    <w:p w:rsidR="00387F82" w:rsidRDefault="00387F82" w:rsidP="002F6E23">
      <w:pPr>
        <w:pStyle w:val="ListParagraph"/>
        <w:spacing w:after="0"/>
        <w:ind w:left="1134"/>
        <w:jc w:val="both"/>
        <w:rPr>
          <w:rFonts w:ascii="Arial" w:hAnsi="Arial" w:cs="Arial"/>
        </w:rPr>
      </w:pPr>
    </w:p>
    <w:p w:rsidR="00387F82" w:rsidRDefault="00387F82" w:rsidP="002F6E23">
      <w:pPr>
        <w:pStyle w:val="ListParagraph"/>
        <w:numPr>
          <w:ilvl w:val="2"/>
          <w:numId w:val="5"/>
        </w:numPr>
        <w:spacing w:after="0"/>
        <w:ind w:left="1134" w:hanging="851"/>
        <w:jc w:val="both"/>
        <w:rPr>
          <w:rFonts w:ascii="Arial" w:hAnsi="Arial" w:cs="Arial"/>
        </w:rPr>
      </w:pPr>
      <w:r w:rsidRPr="00387F82">
        <w:rPr>
          <w:rFonts w:ascii="Arial" w:hAnsi="Arial" w:cs="Arial"/>
          <w:b/>
        </w:rPr>
        <w:t>Confirmation</w:t>
      </w:r>
      <w:r>
        <w:rPr>
          <w:rFonts w:ascii="Arial" w:hAnsi="Arial" w:cs="Arial"/>
        </w:rPr>
        <w:t xml:space="preserve"> of your ability to comme</w:t>
      </w:r>
      <w:r w:rsidR="00C831C4">
        <w:rPr>
          <w:rFonts w:ascii="Arial" w:hAnsi="Arial" w:cs="Arial"/>
        </w:rPr>
        <w:t>nce support from 2 November 2018</w:t>
      </w:r>
      <w:r>
        <w:rPr>
          <w:rFonts w:ascii="Arial" w:hAnsi="Arial" w:cs="Arial"/>
        </w:rPr>
        <w:t>, maintaining a continuous service.</w:t>
      </w:r>
    </w:p>
    <w:p w:rsidR="00387F82" w:rsidRPr="00387F82" w:rsidRDefault="00387F82" w:rsidP="002F6E23">
      <w:pPr>
        <w:pStyle w:val="ListParagraph"/>
        <w:ind w:left="1134"/>
        <w:rPr>
          <w:rFonts w:ascii="Arial" w:hAnsi="Arial" w:cs="Arial"/>
        </w:rPr>
      </w:pPr>
    </w:p>
    <w:p w:rsidR="00895A78" w:rsidRDefault="00387F82" w:rsidP="002F6E23">
      <w:pPr>
        <w:pStyle w:val="ListParagraph"/>
        <w:numPr>
          <w:ilvl w:val="2"/>
          <w:numId w:val="5"/>
        </w:numPr>
        <w:spacing w:after="0"/>
        <w:ind w:left="1134" w:hanging="851"/>
        <w:jc w:val="both"/>
        <w:rPr>
          <w:rFonts w:ascii="Arial" w:hAnsi="Arial" w:cs="Arial"/>
        </w:rPr>
      </w:pPr>
      <w:r>
        <w:rPr>
          <w:rFonts w:ascii="Arial" w:hAnsi="Arial" w:cs="Arial"/>
        </w:rPr>
        <w:t xml:space="preserve">Your </w:t>
      </w:r>
      <w:r w:rsidRPr="00387F82">
        <w:rPr>
          <w:rFonts w:ascii="Arial" w:hAnsi="Arial" w:cs="Arial"/>
          <w:b/>
        </w:rPr>
        <w:t>total contract</w:t>
      </w:r>
      <w:r>
        <w:rPr>
          <w:rFonts w:ascii="Arial" w:hAnsi="Arial" w:cs="Arial"/>
        </w:rPr>
        <w:t xml:space="preserve"> </w:t>
      </w:r>
      <w:r w:rsidRPr="00387F82">
        <w:rPr>
          <w:rFonts w:ascii="Arial" w:hAnsi="Arial" w:cs="Arial"/>
          <w:b/>
        </w:rPr>
        <w:t>price</w:t>
      </w:r>
      <w:r>
        <w:rPr>
          <w:rFonts w:ascii="Arial" w:hAnsi="Arial" w:cs="Arial"/>
        </w:rPr>
        <w:t xml:space="preserve"> for </w:t>
      </w:r>
      <w:r w:rsidR="00234983">
        <w:rPr>
          <w:rFonts w:ascii="Arial" w:hAnsi="Arial" w:cs="Arial"/>
        </w:rPr>
        <w:t xml:space="preserve">Splunk Standard support programme </w:t>
      </w:r>
      <w:r>
        <w:rPr>
          <w:rFonts w:ascii="Arial" w:hAnsi="Arial" w:cs="Arial"/>
        </w:rPr>
        <w:t>of each Splunk product for the contract term</w:t>
      </w:r>
      <w:r w:rsidR="00D7149C">
        <w:rPr>
          <w:rFonts w:ascii="Arial" w:hAnsi="Arial" w:cs="Arial"/>
        </w:rPr>
        <w:t>.</w:t>
      </w:r>
    </w:p>
    <w:p w:rsidR="009F3388" w:rsidRPr="009F3388" w:rsidRDefault="009F3388" w:rsidP="002F6E23">
      <w:pPr>
        <w:pStyle w:val="ListParagraph"/>
        <w:spacing w:after="0"/>
        <w:ind w:left="1134" w:hanging="851"/>
        <w:jc w:val="both"/>
        <w:rPr>
          <w:rFonts w:ascii="Arial" w:hAnsi="Arial" w:cs="Arial"/>
        </w:rPr>
      </w:pPr>
    </w:p>
    <w:p w:rsidR="00895A78" w:rsidRDefault="00387F82" w:rsidP="002F6E23">
      <w:pPr>
        <w:pStyle w:val="ListParagraph"/>
        <w:numPr>
          <w:ilvl w:val="2"/>
          <w:numId w:val="5"/>
        </w:numPr>
        <w:spacing w:after="0"/>
        <w:ind w:left="1134" w:hanging="851"/>
        <w:jc w:val="both"/>
        <w:rPr>
          <w:rFonts w:ascii="Arial" w:hAnsi="Arial" w:cs="Arial"/>
        </w:rPr>
      </w:pPr>
      <w:r w:rsidRPr="00387F82">
        <w:rPr>
          <w:rFonts w:ascii="Arial" w:hAnsi="Arial" w:cs="Arial"/>
          <w:b/>
        </w:rPr>
        <w:t>For information only</w:t>
      </w:r>
      <w:r>
        <w:rPr>
          <w:rFonts w:ascii="Arial" w:hAnsi="Arial" w:cs="Arial"/>
        </w:rPr>
        <w:t xml:space="preserve"> – a </w:t>
      </w:r>
      <w:r w:rsidRPr="00387F82">
        <w:rPr>
          <w:rFonts w:ascii="Arial" w:hAnsi="Arial" w:cs="Arial"/>
          <w:b/>
        </w:rPr>
        <w:t>rate card</w:t>
      </w:r>
      <w:r>
        <w:rPr>
          <w:rFonts w:ascii="Arial" w:hAnsi="Arial" w:cs="Arial"/>
        </w:rPr>
        <w:t xml:space="preserve"> for professional services which may be required during the contract term but are not covered under the support contract.</w:t>
      </w:r>
    </w:p>
    <w:p w:rsidR="00066EFE" w:rsidRPr="00066EFE" w:rsidRDefault="00066EFE" w:rsidP="00066EFE">
      <w:pPr>
        <w:pStyle w:val="ListParagraph"/>
        <w:spacing w:after="0"/>
        <w:rPr>
          <w:rFonts w:ascii="Arial" w:hAnsi="Arial" w:cs="Arial"/>
        </w:rPr>
      </w:pPr>
    </w:p>
    <w:p w:rsidR="00066EFE" w:rsidRDefault="00066EFE" w:rsidP="00066EFE">
      <w:pPr>
        <w:pStyle w:val="Bodytext20"/>
        <w:numPr>
          <w:ilvl w:val="1"/>
          <w:numId w:val="5"/>
        </w:numPr>
        <w:shd w:val="clear" w:color="auto" w:fill="auto"/>
        <w:tabs>
          <w:tab w:val="left" w:pos="851"/>
        </w:tabs>
        <w:spacing w:after="0" w:line="276" w:lineRule="auto"/>
        <w:ind w:left="851" w:hanging="851"/>
        <w:jc w:val="both"/>
        <w:rPr>
          <w:sz w:val="22"/>
          <w:szCs w:val="22"/>
        </w:rPr>
      </w:pPr>
      <w:r w:rsidRPr="00066EFE">
        <w:rPr>
          <w:sz w:val="22"/>
          <w:szCs w:val="22"/>
        </w:rPr>
        <w:t xml:space="preserve">If you have any questions regarding this opportunity, please email </w:t>
      </w:r>
      <w:hyperlink r:id="rId11" w:history="1">
        <w:r w:rsidR="00C831C4" w:rsidRPr="00652460">
          <w:rPr>
            <w:rStyle w:val="Hyperlink"/>
            <w:sz w:val="22"/>
            <w:szCs w:val="22"/>
          </w:rPr>
          <w:t>procurement@nationalarchives.gov.uk</w:t>
        </w:r>
      </w:hyperlink>
      <w:r>
        <w:rPr>
          <w:sz w:val="22"/>
          <w:szCs w:val="22"/>
        </w:rPr>
        <w:t xml:space="preserve"> </w:t>
      </w:r>
      <w:r w:rsidRPr="00066EFE">
        <w:rPr>
          <w:sz w:val="22"/>
          <w:szCs w:val="22"/>
        </w:rPr>
        <w:t xml:space="preserve">by </w:t>
      </w:r>
      <w:r w:rsidR="00C831C4">
        <w:rPr>
          <w:sz w:val="22"/>
          <w:szCs w:val="22"/>
        </w:rPr>
        <w:t xml:space="preserve">5pm, </w:t>
      </w:r>
      <w:r w:rsidR="00DD5186">
        <w:rPr>
          <w:sz w:val="22"/>
          <w:szCs w:val="22"/>
        </w:rPr>
        <w:t>Monday</w:t>
      </w:r>
      <w:r w:rsidR="00DD5186" w:rsidRPr="007C615F">
        <w:rPr>
          <w:sz w:val="22"/>
          <w:szCs w:val="22"/>
        </w:rPr>
        <w:t>, 1</w:t>
      </w:r>
      <w:r w:rsidR="00DD5186">
        <w:rPr>
          <w:sz w:val="22"/>
          <w:szCs w:val="22"/>
        </w:rPr>
        <w:t>5</w:t>
      </w:r>
      <w:r w:rsidR="00DD5186" w:rsidRPr="007C615F">
        <w:rPr>
          <w:sz w:val="22"/>
          <w:szCs w:val="22"/>
          <w:vertAlign w:val="superscript"/>
        </w:rPr>
        <w:t>th</w:t>
      </w:r>
      <w:r w:rsidR="00DD5186" w:rsidRPr="007C615F">
        <w:rPr>
          <w:sz w:val="22"/>
          <w:szCs w:val="22"/>
        </w:rPr>
        <w:t xml:space="preserve"> </w:t>
      </w:r>
      <w:r w:rsidR="00DD5186">
        <w:rPr>
          <w:sz w:val="22"/>
          <w:szCs w:val="22"/>
        </w:rPr>
        <w:t>Octo</w:t>
      </w:r>
      <w:r w:rsidR="00DD5186" w:rsidRPr="007C615F">
        <w:rPr>
          <w:sz w:val="22"/>
          <w:szCs w:val="22"/>
        </w:rPr>
        <w:t>ber</w:t>
      </w:r>
      <w:r w:rsidR="00DD5186">
        <w:rPr>
          <w:sz w:val="22"/>
          <w:szCs w:val="22"/>
        </w:rPr>
        <w:t xml:space="preserve"> 2018</w:t>
      </w:r>
      <w:r w:rsidRPr="00DD5186">
        <w:rPr>
          <w:sz w:val="22"/>
          <w:szCs w:val="22"/>
        </w:rPr>
        <w:t>.</w:t>
      </w:r>
    </w:p>
    <w:p w:rsidR="00066EFE" w:rsidRDefault="00066EFE" w:rsidP="00066EFE">
      <w:pPr>
        <w:pStyle w:val="Bodytext20"/>
        <w:shd w:val="clear" w:color="auto" w:fill="auto"/>
        <w:tabs>
          <w:tab w:val="left" w:pos="851"/>
        </w:tabs>
        <w:spacing w:after="0" w:line="276" w:lineRule="auto"/>
        <w:ind w:left="851" w:firstLine="0"/>
        <w:jc w:val="both"/>
        <w:rPr>
          <w:sz w:val="22"/>
          <w:szCs w:val="22"/>
        </w:rPr>
      </w:pPr>
    </w:p>
    <w:p w:rsidR="00066EFE" w:rsidRPr="00066EFE" w:rsidRDefault="00066EFE" w:rsidP="00066EFE">
      <w:pPr>
        <w:pStyle w:val="Bodytext20"/>
        <w:numPr>
          <w:ilvl w:val="1"/>
          <w:numId w:val="5"/>
        </w:numPr>
        <w:shd w:val="clear" w:color="auto" w:fill="auto"/>
        <w:tabs>
          <w:tab w:val="left" w:pos="851"/>
        </w:tabs>
        <w:spacing w:after="0" w:line="276" w:lineRule="auto"/>
        <w:ind w:left="851" w:hanging="851"/>
        <w:jc w:val="both"/>
        <w:rPr>
          <w:sz w:val="22"/>
          <w:szCs w:val="22"/>
        </w:rPr>
      </w:pPr>
      <w:r>
        <w:rPr>
          <w:sz w:val="22"/>
          <w:szCs w:val="22"/>
        </w:rPr>
        <w:t xml:space="preserve">Please submit your Tender Responses to </w:t>
      </w:r>
      <w:hyperlink r:id="rId12" w:history="1">
        <w:r w:rsidR="00C831C4" w:rsidRPr="00652460">
          <w:rPr>
            <w:rStyle w:val="Hyperlink"/>
            <w:sz w:val="22"/>
            <w:szCs w:val="22"/>
          </w:rPr>
          <w:t>procurement@nationalarchives.gov.uk</w:t>
        </w:r>
      </w:hyperlink>
      <w:r>
        <w:rPr>
          <w:sz w:val="22"/>
          <w:szCs w:val="22"/>
        </w:rPr>
        <w:t xml:space="preserve"> </w:t>
      </w:r>
      <w:r w:rsidRPr="00066EFE">
        <w:rPr>
          <w:sz w:val="22"/>
          <w:szCs w:val="22"/>
        </w:rPr>
        <w:t xml:space="preserve">by </w:t>
      </w:r>
      <w:r>
        <w:rPr>
          <w:sz w:val="22"/>
          <w:szCs w:val="22"/>
        </w:rPr>
        <w:t>12 noon</w:t>
      </w:r>
      <w:r w:rsidRPr="00066EFE">
        <w:rPr>
          <w:sz w:val="22"/>
          <w:szCs w:val="22"/>
        </w:rPr>
        <w:t>,</w:t>
      </w:r>
      <w:r>
        <w:rPr>
          <w:sz w:val="22"/>
          <w:szCs w:val="22"/>
        </w:rPr>
        <w:t xml:space="preserve"> </w:t>
      </w:r>
      <w:r w:rsidR="00DD5186">
        <w:rPr>
          <w:sz w:val="22"/>
          <w:szCs w:val="22"/>
        </w:rPr>
        <w:t>Thursday</w:t>
      </w:r>
      <w:r w:rsidR="00DD5186" w:rsidRPr="007C615F">
        <w:rPr>
          <w:sz w:val="22"/>
          <w:szCs w:val="22"/>
        </w:rPr>
        <w:t xml:space="preserve"> </w:t>
      </w:r>
      <w:r w:rsidR="00DD5186">
        <w:rPr>
          <w:sz w:val="22"/>
          <w:szCs w:val="22"/>
        </w:rPr>
        <w:t>18</w:t>
      </w:r>
      <w:r w:rsidR="00DD5186" w:rsidRPr="007C615F">
        <w:rPr>
          <w:sz w:val="22"/>
          <w:szCs w:val="22"/>
          <w:vertAlign w:val="superscript"/>
        </w:rPr>
        <w:t>th</w:t>
      </w:r>
      <w:r w:rsidR="00DD5186" w:rsidRPr="007C615F">
        <w:rPr>
          <w:sz w:val="22"/>
          <w:szCs w:val="22"/>
        </w:rPr>
        <w:t xml:space="preserve"> </w:t>
      </w:r>
      <w:r w:rsidR="00DD5186">
        <w:rPr>
          <w:sz w:val="22"/>
          <w:szCs w:val="22"/>
        </w:rPr>
        <w:t>Octo</w:t>
      </w:r>
      <w:r w:rsidR="00DD5186" w:rsidRPr="007C615F">
        <w:rPr>
          <w:sz w:val="22"/>
          <w:szCs w:val="22"/>
        </w:rPr>
        <w:t>ber</w:t>
      </w:r>
      <w:r w:rsidR="00DD5186">
        <w:rPr>
          <w:sz w:val="22"/>
          <w:szCs w:val="22"/>
        </w:rPr>
        <w:t xml:space="preserve"> 2018</w:t>
      </w:r>
    </w:p>
    <w:p w:rsidR="00CC5B00" w:rsidRDefault="00CC5B00" w:rsidP="0016446B">
      <w:pPr>
        <w:jc w:val="both"/>
        <w:rPr>
          <w:rFonts w:ascii="Arial" w:eastAsia="Arial" w:hAnsi="Arial" w:cs="Arial"/>
          <w:b/>
        </w:rPr>
      </w:pPr>
      <w:bookmarkStart w:id="1" w:name="bookmark4"/>
    </w:p>
    <w:p w:rsidR="00066EFE" w:rsidRDefault="00066EFE" w:rsidP="0016446B">
      <w:pPr>
        <w:jc w:val="both"/>
        <w:rPr>
          <w:rFonts w:ascii="Arial" w:eastAsia="Arial" w:hAnsi="Arial" w:cs="Arial"/>
          <w:b/>
        </w:rPr>
      </w:pPr>
    </w:p>
    <w:p w:rsidR="00497AF1" w:rsidRDefault="00497AF1" w:rsidP="00066EFE">
      <w:pPr>
        <w:pStyle w:val="Bodytext20"/>
        <w:numPr>
          <w:ilvl w:val="0"/>
          <w:numId w:val="5"/>
        </w:numPr>
        <w:shd w:val="clear" w:color="auto" w:fill="auto"/>
        <w:tabs>
          <w:tab w:val="left" w:pos="851"/>
        </w:tabs>
        <w:spacing w:after="0" w:line="200" w:lineRule="exact"/>
        <w:ind w:left="851" w:hanging="851"/>
        <w:jc w:val="both"/>
        <w:rPr>
          <w:b/>
          <w:sz w:val="22"/>
          <w:szCs w:val="22"/>
        </w:rPr>
      </w:pPr>
      <w:r w:rsidRPr="0074699C">
        <w:rPr>
          <w:b/>
          <w:sz w:val="22"/>
          <w:szCs w:val="22"/>
        </w:rPr>
        <w:t>EVALUATION CRITERIA</w:t>
      </w:r>
      <w:bookmarkEnd w:id="1"/>
    </w:p>
    <w:p w:rsidR="009F3388" w:rsidRPr="0074699C" w:rsidRDefault="009F3388" w:rsidP="0016446B">
      <w:pPr>
        <w:pStyle w:val="Bodytext20"/>
        <w:shd w:val="clear" w:color="auto" w:fill="auto"/>
        <w:tabs>
          <w:tab w:val="left" w:pos="692"/>
        </w:tabs>
        <w:spacing w:after="0" w:line="200" w:lineRule="exact"/>
        <w:ind w:left="360" w:firstLine="0"/>
        <w:jc w:val="both"/>
        <w:rPr>
          <w:b/>
          <w:sz w:val="22"/>
          <w:szCs w:val="22"/>
        </w:rPr>
      </w:pPr>
    </w:p>
    <w:p w:rsidR="00497AF1" w:rsidRPr="00CC5B00" w:rsidRDefault="00497AF1" w:rsidP="0016446B">
      <w:pPr>
        <w:spacing w:after="0"/>
        <w:jc w:val="both"/>
        <w:rPr>
          <w:rFonts w:ascii="Arial" w:hAnsi="Arial" w:cs="Arial"/>
        </w:rPr>
      </w:pPr>
      <w:r w:rsidRPr="00CC5B00">
        <w:rPr>
          <w:rFonts w:ascii="Arial" w:hAnsi="Arial" w:cs="Arial"/>
        </w:rPr>
        <w:t xml:space="preserve">Tender </w:t>
      </w:r>
      <w:r w:rsidR="00717EE1">
        <w:rPr>
          <w:rFonts w:ascii="Arial" w:hAnsi="Arial" w:cs="Arial"/>
        </w:rPr>
        <w:t>Responses</w:t>
      </w:r>
      <w:r w:rsidRPr="00CC5B00">
        <w:rPr>
          <w:rFonts w:ascii="Arial" w:hAnsi="Arial" w:cs="Arial"/>
        </w:rPr>
        <w:t xml:space="preserve"> will be evaluated using the following criteria:</w:t>
      </w:r>
    </w:p>
    <w:p w:rsidR="00FE5428" w:rsidRPr="00FE5428" w:rsidRDefault="00FE5428" w:rsidP="0016446B">
      <w:pPr>
        <w:spacing w:after="0"/>
        <w:jc w:val="both"/>
        <w:rPr>
          <w:rFonts w:ascii="Arial" w:hAnsi="Arial" w:cs="Arial"/>
        </w:rPr>
      </w:pPr>
    </w:p>
    <w:p w:rsidR="00497AF1" w:rsidRDefault="00497AF1" w:rsidP="00D7149C">
      <w:pPr>
        <w:pStyle w:val="Tableofcontents0"/>
        <w:numPr>
          <w:ilvl w:val="0"/>
          <w:numId w:val="11"/>
        </w:numPr>
        <w:shd w:val="clear" w:color="auto" w:fill="auto"/>
        <w:tabs>
          <w:tab w:val="left" w:pos="567"/>
          <w:tab w:val="left" w:pos="4210"/>
        </w:tabs>
        <w:spacing w:line="298" w:lineRule="exact"/>
        <w:ind w:left="567" w:hanging="283"/>
        <w:rPr>
          <w:sz w:val="22"/>
          <w:szCs w:val="22"/>
        </w:rPr>
      </w:pPr>
      <w:r w:rsidRPr="0074699C">
        <w:rPr>
          <w:sz w:val="22"/>
          <w:szCs w:val="22"/>
        </w:rPr>
        <w:fldChar w:fldCharType="begin"/>
      </w:r>
      <w:r w:rsidRPr="00EA1938">
        <w:rPr>
          <w:sz w:val="22"/>
          <w:szCs w:val="22"/>
        </w:rPr>
        <w:instrText xml:space="preserve"> TOC \o "1-3" \h \z </w:instrText>
      </w:r>
      <w:r w:rsidRPr="0074699C">
        <w:rPr>
          <w:sz w:val="22"/>
          <w:szCs w:val="22"/>
        </w:rPr>
        <w:fldChar w:fldCharType="separate"/>
      </w:r>
      <w:r w:rsidR="00D7149C">
        <w:rPr>
          <w:sz w:val="22"/>
          <w:szCs w:val="22"/>
        </w:rPr>
        <w:t>Confirmation of a</w:t>
      </w:r>
      <w:r w:rsidR="00717EE1">
        <w:rPr>
          <w:sz w:val="22"/>
          <w:szCs w:val="22"/>
        </w:rPr>
        <w:t>ccreditation</w:t>
      </w:r>
      <w:r w:rsidR="00433759" w:rsidRPr="00370FB9">
        <w:rPr>
          <w:sz w:val="22"/>
          <w:szCs w:val="22"/>
        </w:rPr>
        <w:t xml:space="preserve"> </w:t>
      </w:r>
      <w:r w:rsidR="00717EE1">
        <w:rPr>
          <w:sz w:val="22"/>
          <w:szCs w:val="22"/>
        </w:rPr>
        <w:t>(see Section 4</w:t>
      </w:r>
      <w:r w:rsidR="00CC5B00">
        <w:rPr>
          <w:sz w:val="22"/>
          <w:szCs w:val="22"/>
        </w:rPr>
        <w:t>.1.1)</w:t>
      </w:r>
      <w:r w:rsidR="00CC5B00">
        <w:rPr>
          <w:sz w:val="22"/>
          <w:szCs w:val="22"/>
        </w:rPr>
        <w:tab/>
      </w:r>
      <w:r w:rsidR="00CC5B00">
        <w:rPr>
          <w:sz w:val="22"/>
          <w:szCs w:val="22"/>
        </w:rPr>
        <w:tab/>
      </w:r>
      <w:r w:rsidR="009F3388" w:rsidRPr="00370FB9">
        <w:rPr>
          <w:sz w:val="22"/>
          <w:szCs w:val="22"/>
        </w:rPr>
        <w:tab/>
      </w:r>
      <w:r w:rsidR="00717EE1">
        <w:rPr>
          <w:sz w:val="22"/>
          <w:szCs w:val="22"/>
        </w:rPr>
        <w:tab/>
        <w:t>Pass/Fail</w:t>
      </w:r>
    </w:p>
    <w:p w:rsidR="000F279C" w:rsidRDefault="00D7149C" w:rsidP="00D7149C">
      <w:pPr>
        <w:pStyle w:val="Tableofcontents0"/>
        <w:numPr>
          <w:ilvl w:val="0"/>
          <w:numId w:val="11"/>
        </w:numPr>
        <w:shd w:val="clear" w:color="auto" w:fill="auto"/>
        <w:tabs>
          <w:tab w:val="left" w:pos="567"/>
          <w:tab w:val="left" w:pos="4210"/>
        </w:tabs>
        <w:spacing w:line="298" w:lineRule="exact"/>
        <w:ind w:left="567" w:hanging="283"/>
        <w:rPr>
          <w:sz w:val="22"/>
          <w:szCs w:val="22"/>
        </w:rPr>
      </w:pPr>
      <w:r>
        <w:rPr>
          <w:sz w:val="22"/>
          <w:szCs w:val="22"/>
        </w:rPr>
        <w:t xml:space="preserve">Confirmation of Service </w:t>
      </w:r>
      <w:r w:rsidR="00717EE1">
        <w:rPr>
          <w:sz w:val="22"/>
          <w:szCs w:val="22"/>
        </w:rPr>
        <w:t>Commencement date</w:t>
      </w:r>
      <w:r w:rsidR="00CC5B00">
        <w:rPr>
          <w:sz w:val="22"/>
          <w:szCs w:val="22"/>
        </w:rPr>
        <w:t xml:space="preserve"> (see Section </w:t>
      </w:r>
      <w:r w:rsidR="00717EE1">
        <w:rPr>
          <w:sz w:val="22"/>
          <w:szCs w:val="22"/>
        </w:rPr>
        <w:t>4</w:t>
      </w:r>
      <w:r w:rsidR="00CC5B00">
        <w:rPr>
          <w:sz w:val="22"/>
          <w:szCs w:val="22"/>
        </w:rPr>
        <w:t>.1.2)</w:t>
      </w:r>
      <w:r w:rsidR="00CC5B00">
        <w:rPr>
          <w:sz w:val="22"/>
          <w:szCs w:val="22"/>
        </w:rPr>
        <w:tab/>
      </w:r>
      <w:r w:rsidR="00717EE1">
        <w:rPr>
          <w:sz w:val="22"/>
          <w:szCs w:val="22"/>
        </w:rPr>
        <w:tab/>
        <w:t>Pass/Fail</w:t>
      </w:r>
    </w:p>
    <w:p w:rsidR="00497AF1" w:rsidRPr="00370FB9" w:rsidRDefault="00D87F49" w:rsidP="00D7149C">
      <w:pPr>
        <w:pStyle w:val="Tableofcontents0"/>
        <w:numPr>
          <w:ilvl w:val="0"/>
          <w:numId w:val="11"/>
        </w:numPr>
        <w:shd w:val="clear" w:color="auto" w:fill="auto"/>
        <w:tabs>
          <w:tab w:val="left" w:pos="567"/>
          <w:tab w:val="left" w:pos="4215"/>
        </w:tabs>
        <w:spacing w:line="298" w:lineRule="exact"/>
        <w:ind w:left="567" w:hanging="283"/>
        <w:rPr>
          <w:sz w:val="22"/>
          <w:szCs w:val="22"/>
        </w:rPr>
      </w:pPr>
      <w:r w:rsidRPr="00370FB9">
        <w:rPr>
          <w:sz w:val="22"/>
          <w:szCs w:val="22"/>
        </w:rPr>
        <w:t>Price</w:t>
      </w:r>
      <w:r w:rsidR="00717EE1">
        <w:rPr>
          <w:sz w:val="22"/>
          <w:szCs w:val="22"/>
        </w:rPr>
        <w:t xml:space="preserve"> (see Section </w:t>
      </w:r>
      <w:r w:rsidR="00D7149C">
        <w:rPr>
          <w:sz w:val="22"/>
          <w:szCs w:val="22"/>
        </w:rPr>
        <w:t>4.1.3</w:t>
      </w:r>
      <w:r w:rsidR="00717EE1">
        <w:rPr>
          <w:sz w:val="22"/>
          <w:szCs w:val="22"/>
        </w:rPr>
        <w:t>)</w:t>
      </w:r>
      <w:r w:rsidR="00CC5B00">
        <w:rPr>
          <w:sz w:val="22"/>
          <w:szCs w:val="22"/>
        </w:rPr>
        <w:tab/>
      </w:r>
      <w:r w:rsidR="00CC5B00">
        <w:rPr>
          <w:sz w:val="22"/>
          <w:szCs w:val="22"/>
        </w:rPr>
        <w:tab/>
      </w:r>
      <w:r w:rsidR="00CC5B00">
        <w:rPr>
          <w:sz w:val="22"/>
          <w:szCs w:val="22"/>
        </w:rPr>
        <w:tab/>
      </w:r>
      <w:r w:rsidR="00CC5B00">
        <w:rPr>
          <w:sz w:val="22"/>
          <w:szCs w:val="22"/>
        </w:rPr>
        <w:tab/>
      </w:r>
      <w:r w:rsidR="00433759" w:rsidRPr="00370FB9">
        <w:rPr>
          <w:sz w:val="22"/>
          <w:szCs w:val="22"/>
        </w:rPr>
        <w:tab/>
      </w:r>
      <w:r w:rsidR="00D7149C">
        <w:rPr>
          <w:sz w:val="22"/>
          <w:szCs w:val="22"/>
        </w:rPr>
        <w:tab/>
      </w:r>
      <w:r w:rsidR="00D7149C">
        <w:rPr>
          <w:sz w:val="22"/>
          <w:szCs w:val="22"/>
        </w:rPr>
        <w:tab/>
        <w:t>100</w:t>
      </w:r>
      <w:r w:rsidR="00497AF1" w:rsidRPr="00370FB9">
        <w:rPr>
          <w:sz w:val="22"/>
          <w:szCs w:val="22"/>
        </w:rPr>
        <w:t>%</w:t>
      </w:r>
    </w:p>
    <w:p w:rsidR="00C068E3" w:rsidRDefault="00C068E3" w:rsidP="0016446B">
      <w:pPr>
        <w:pStyle w:val="Tableofcontents0"/>
        <w:shd w:val="clear" w:color="auto" w:fill="auto"/>
        <w:tabs>
          <w:tab w:val="left" w:pos="990"/>
          <w:tab w:val="left" w:pos="4215"/>
        </w:tabs>
        <w:spacing w:line="298" w:lineRule="exact"/>
        <w:rPr>
          <w:sz w:val="22"/>
          <w:szCs w:val="22"/>
        </w:rPr>
      </w:pPr>
    </w:p>
    <w:p w:rsidR="00461749" w:rsidRDefault="00497AF1" w:rsidP="00D7149C">
      <w:pPr>
        <w:pStyle w:val="Tableofcontents0"/>
        <w:shd w:val="clear" w:color="auto" w:fill="auto"/>
        <w:tabs>
          <w:tab w:val="left" w:pos="970"/>
          <w:tab w:val="left" w:pos="4230"/>
        </w:tabs>
        <w:spacing w:line="298" w:lineRule="exact"/>
        <w:rPr>
          <w:sz w:val="22"/>
          <w:szCs w:val="22"/>
        </w:rPr>
      </w:pPr>
      <w:r w:rsidRPr="0074699C">
        <w:rPr>
          <w:sz w:val="22"/>
          <w:szCs w:val="22"/>
        </w:rPr>
        <w:fldChar w:fldCharType="end"/>
      </w:r>
      <w:r w:rsidR="00461749" w:rsidRPr="008A2BC3">
        <w:rPr>
          <w:sz w:val="22"/>
          <w:szCs w:val="22"/>
        </w:rPr>
        <w:t xml:space="preserve">For </w:t>
      </w:r>
      <w:r w:rsidR="00461749" w:rsidRPr="00370FB9">
        <w:rPr>
          <w:sz w:val="22"/>
          <w:szCs w:val="22"/>
        </w:rPr>
        <w:t>Price</w:t>
      </w:r>
      <w:r w:rsidR="00461749">
        <w:rPr>
          <w:sz w:val="22"/>
          <w:szCs w:val="22"/>
        </w:rPr>
        <w:t xml:space="preserve"> (Section 4.1.</w:t>
      </w:r>
      <w:r w:rsidR="00D7149C">
        <w:rPr>
          <w:sz w:val="22"/>
          <w:szCs w:val="22"/>
        </w:rPr>
        <w:t>3</w:t>
      </w:r>
      <w:r w:rsidR="00461749">
        <w:rPr>
          <w:sz w:val="22"/>
          <w:szCs w:val="22"/>
        </w:rPr>
        <w:t>)</w:t>
      </w:r>
      <w:r w:rsidR="00461749" w:rsidRPr="008A2BC3">
        <w:rPr>
          <w:sz w:val="22"/>
          <w:szCs w:val="22"/>
        </w:rPr>
        <w:t xml:space="preserve">, </w:t>
      </w:r>
      <w:r w:rsidR="00461749">
        <w:rPr>
          <w:sz w:val="22"/>
          <w:szCs w:val="22"/>
        </w:rPr>
        <w:t>t</w:t>
      </w:r>
      <w:r w:rsidR="00461749" w:rsidRPr="008A2BC3">
        <w:rPr>
          <w:sz w:val="22"/>
          <w:szCs w:val="22"/>
        </w:rPr>
        <w:t xml:space="preserve">he lowest priced submission will be awarded the </w:t>
      </w:r>
      <w:r w:rsidR="00461749">
        <w:rPr>
          <w:sz w:val="22"/>
          <w:szCs w:val="22"/>
        </w:rPr>
        <w:t xml:space="preserve">maximum score available, i.e. a score of 10 (pre-weighted). </w:t>
      </w:r>
      <w:r w:rsidR="00461749" w:rsidRPr="008A2BC3">
        <w:rPr>
          <w:sz w:val="22"/>
          <w:szCs w:val="22"/>
        </w:rPr>
        <w:t xml:space="preserve">All other bids will be awarded the </w:t>
      </w:r>
      <w:r w:rsidR="00461749">
        <w:rPr>
          <w:sz w:val="22"/>
          <w:szCs w:val="22"/>
        </w:rPr>
        <w:t xml:space="preserve">same </w:t>
      </w:r>
      <w:r w:rsidR="00461749" w:rsidRPr="008A2BC3">
        <w:rPr>
          <w:sz w:val="22"/>
          <w:szCs w:val="22"/>
        </w:rPr>
        <w:t xml:space="preserve">maximum score reduced by the proportion by which they are more </w:t>
      </w:r>
      <w:r w:rsidR="00461749" w:rsidRPr="007C58F9">
        <w:rPr>
          <w:sz w:val="22"/>
          <w:szCs w:val="22"/>
        </w:rPr>
        <w:t>expensive</w:t>
      </w:r>
      <w:r w:rsidR="00461749" w:rsidRPr="008A2BC3">
        <w:rPr>
          <w:sz w:val="22"/>
          <w:szCs w:val="22"/>
        </w:rPr>
        <w:t>.</w:t>
      </w:r>
    </w:p>
    <w:p w:rsidR="00066EFE" w:rsidRDefault="00066EFE"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r>
        <w:rPr>
          <w:sz w:val="22"/>
          <w:szCs w:val="22"/>
        </w:rPr>
        <w:t xml:space="preserve">For the avoidance of doubt, compliant bids will be evaluated on the basis of price </w:t>
      </w:r>
      <w:r w:rsidRPr="00066EFE">
        <w:rPr>
          <w:sz w:val="22"/>
          <w:szCs w:val="22"/>
          <w:u w:val="single"/>
        </w:rPr>
        <w:t>only</w:t>
      </w:r>
      <w:r>
        <w:rPr>
          <w:sz w:val="22"/>
          <w:szCs w:val="22"/>
        </w:rPr>
        <w:t>.</w:t>
      </w:r>
    </w:p>
    <w:p w:rsidR="00D7149C" w:rsidRDefault="00D7149C" w:rsidP="00D7149C">
      <w:pPr>
        <w:pStyle w:val="Tableofcontents0"/>
        <w:shd w:val="clear" w:color="auto" w:fill="auto"/>
        <w:tabs>
          <w:tab w:val="left" w:pos="970"/>
          <w:tab w:val="left" w:pos="4230"/>
        </w:tabs>
        <w:spacing w:line="298" w:lineRule="exact"/>
        <w:rPr>
          <w:sz w:val="22"/>
          <w:szCs w:val="22"/>
        </w:rPr>
      </w:pPr>
    </w:p>
    <w:p w:rsidR="00D7149C" w:rsidRDefault="00D7149C"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p>
    <w:p w:rsidR="00066EFE" w:rsidRDefault="00066EFE" w:rsidP="00D7149C">
      <w:pPr>
        <w:pStyle w:val="Tableofcontents0"/>
        <w:shd w:val="clear" w:color="auto" w:fill="auto"/>
        <w:tabs>
          <w:tab w:val="left" w:pos="970"/>
          <w:tab w:val="left" w:pos="4230"/>
        </w:tabs>
        <w:spacing w:line="298" w:lineRule="exact"/>
        <w:rPr>
          <w:sz w:val="22"/>
          <w:szCs w:val="22"/>
        </w:rPr>
      </w:pPr>
    </w:p>
    <w:p w:rsidR="00B46CA2" w:rsidRPr="007C615F" w:rsidRDefault="00CC5B00" w:rsidP="00066EFE">
      <w:pPr>
        <w:pStyle w:val="Bodytext20"/>
        <w:numPr>
          <w:ilvl w:val="0"/>
          <w:numId w:val="5"/>
        </w:numPr>
        <w:shd w:val="clear" w:color="auto" w:fill="auto"/>
        <w:tabs>
          <w:tab w:val="left" w:pos="851"/>
        </w:tabs>
        <w:spacing w:after="0" w:line="200" w:lineRule="exact"/>
        <w:ind w:left="851" w:hanging="851"/>
        <w:jc w:val="both"/>
        <w:rPr>
          <w:b/>
          <w:sz w:val="22"/>
          <w:szCs w:val="22"/>
        </w:rPr>
      </w:pPr>
      <w:r>
        <w:rPr>
          <w:b/>
          <w:sz w:val="22"/>
          <w:szCs w:val="22"/>
        </w:rPr>
        <w:t>PROCUREMENT TIMETABLE</w:t>
      </w:r>
    </w:p>
    <w:p w:rsidR="00A134B1" w:rsidRPr="007C615F" w:rsidRDefault="00A134B1" w:rsidP="0016446B">
      <w:pPr>
        <w:pStyle w:val="BodyText7"/>
        <w:shd w:val="clear" w:color="auto" w:fill="auto"/>
        <w:tabs>
          <w:tab w:val="left" w:pos="851"/>
        </w:tabs>
        <w:spacing w:before="0" w:after="0"/>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954"/>
        <w:gridCol w:w="2835"/>
      </w:tblGrid>
      <w:tr w:rsidR="00A134B1" w:rsidRPr="007C615F" w:rsidTr="00A8450F">
        <w:tc>
          <w:tcPr>
            <w:tcW w:w="709" w:type="dxa"/>
            <w:shd w:val="clear" w:color="auto" w:fill="C6D9F1"/>
          </w:tcPr>
          <w:p w:rsidR="00A134B1" w:rsidRPr="007C615F" w:rsidRDefault="00A134B1" w:rsidP="0016446B">
            <w:pPr>
              <w:pStyle w:val="BodyText0"/>
              <w:spacing w:line="276" w:lineRule="auto"/>
              <w:jc w:val="both"/>
              <w:rPr>
                <w:b/>
                <w:sz w:val="22"/>
                <w:szCs w:val="22"/>
              </w:rPr>
            </w:pPr>
            <w:r w:rsidRPr="007C615F">
              <w:rPr>
                <w:b/>
                <w:sz w:val="22"/>
                <w:szCs w:val="22"/>
              </w:rPr>
              <w:t>Ref.</w:t>
            </w:r>
          </w:p>
        </w:tc>
        <w:tc>
          <w:tcPr>
            <w:tcW w:w="4954" w:type="dxa"/>
            <w:shd w:val="clear" w:color="auto" w:fill="C6D9F1"/>
          </w:tcPr>
          <w:p w:rsidR="00A134B1" w:rsidRPr="007C615F" w:rsidRDefault="00A134B1" w:rsidP="0016446B">
            <w:pPr>
              <w:pStyle w:val="BodyText0"/>
              <w:spacing w:line="276" w:lineRule="auto"/>
              <w:jc w:val="both"/>
              <w:rPr>
                <w:b/>
                <w:sz w:val="22"/>
                <w:szCs w:val="22"/>
              </w:rPr>
            </w:pPr>
            <w:r w:rsidRPr="007C615F">
              <w:rPr>
                <w:b/>
                <w:sz w:val="22"/>
                <w:szCs w:val="22"/>
              </w:rPr>
              <w:t xml:space="preserve">Description </w:t>
            </w:r>
          </w:p>
        </w:tc>
        <w:tc>
          <w:tcPr>
            <w:tcW w:w="2835" w:type="dxa"/>
            <w:shd w:val="clear" w:color="auto" w:fill="C6D9F1"/>
          </w:tcPr>
          <w:p w:rsidR="00A134B1" w:rsidRPr="007C615F" w:rsidRDefault="00A134B1" w:rsidP="0016446B">
            <w:pPr>
              <w:pStyle w:val="BodyText0"/>
              <w:spacing w:line="276" w:lineRule="auto"/>
              <w:jc w:val="both"/>
              <w:rPr>
                <w:b/>
                <w:sz w:val="22"/>
                <w:szCs w:val="22"/>
              </w:rPr>
            </w:pPr>
            <w:r w:rsidRPr="007C615F">
              <w:rPr>
                <w:b/>
                <w:sz w:val="22"/>
                <w:szCs w:val="22"/>
              </w:rPr>
              <w:t>Date(s)</w:t>
            </w:r>
          </w:p>
        </w:tc>
      </w:tr>
      <w:tr w:rsidR="00370FB9" w:rsidRPr="007C615F" w:rsidTr="00A8450F">
        <w:tc>
          <w:tcPr>
            <w:tcW w:w="709" w:type="dxa"/>
          </w:tcPr>
          <w:p w:rsidR="00370FB9" w:rsidRPr="007C615F" w:rsidRDefault="00370FB9" w:rsidP="0016446B">
            <w:pPr>
              <w:pStyle w:val="BodyText0"/>
              <w:spacing w:line="276" w:lineRule="auto"/>
              <w:jc w:val="both"/>
              <w:rPr>
                <w:sz w:val="22"/>
                <w:szCs w:val="22"/>
              </w:rPr>
            </w:pPr>
            <w:r w:rsidRPr="007C615F">
              <w:rPr>
                <w:sz w:val="22"/>
                <w:szCs w:val="22"/>
              </w:rPr>
              <w:t>1</w:t>
            </w:r>
          </w:p>
        </w:tc>
        <w:tc>
          <w:tcPr>
            <w:tcW w:w="4954" w:type="dxa"/>
          </w:tcPr>
          <w:p w:rsidR="00066EFE" w:rsidRDefault="00370FB9" w:rsidP="0016446B">
            <w:pPr>
              <w:pStyle w:val="BodyText0"/>
              <w:spacing w:line="276" w:lineRule="auto"/>
              <w:jc w:val="both"/>
              <w:rPr>
                <w:sz w:val="22"/>
                <w:szCs w:val="22"/>
              </w:rPr>
            </w:pPr>
            <w:r w:rsidRPr="007C615F">
              <w:rPr>
                <w:sz w:val="22"/>
                <w:szCs w:val="22"/>
              </w:rPr>
              <w:t xml:space="preserve">Deadline for </w:t>
            </w:r>
            <w:r w:rsidR="00066EFE">
              <w:rPr>
                <w:sz w:val="22"/>
                <w:szCs w:val="22"/>
              </w:rPr>
              <w:t>Potential S</w:t>
            </w:r>
            <w:r w:rsidRPr="007C615F">
              <w:rPr>
                <w:sz w:val="22"/>
                <w:szCs w:val="22"/>
              </w:rPr>
              <w:t>uppliers to submit clarification questions</w:t>
            </w:r>
            <w:r w:rsidR="00066EFE">
              <w:rPr>
                <w:sz w:val="22"/>
                <w:szCs w:val="22"/>
              </w:rPr>
              <w:t xml:space="preserve"> to</w:t>
            </w:r>
          </w:p>
          <w:p w:rsidR="00370FB9" w:rsidRPr="007C615F" w:rsidRDefault="000B2015" w:rsidP="00DD5186">
            <w:pPr>
              <w:pStyle w:val="BodyText0"/>
              <w:spacing w:line="276" w:lineRule="auto"/>
              <w:jc w:val="both"/>
              <w:rPr>
                <w:sz w:val="22"/>
                <w:szCs w:val="22"/>
              </w:rPr>
            </w:pPr>
            <w:hyperlink r:id="rId13" w:history="1">
              <w:r w:rsidR="00DD5186" w:rsidRPr="00652460">
                <w:rPr>
                  <w:rStyle w:val="Hyperlink"/>
                  <w:sz w:val="22"/>
                  <w:szCs w:val="22"/>
                </w:rPr>
                <w:t>procurement@nationalarchives.gov.uk</w:t>
              </w:r>
            </w:hyperlink>
            <w:r w:rsidR="00066EFE">
              <w:rPr>
                <w:sz w:val="22"/>
                <w:szCs w:val="22"/>
              </w:rPr>
              <w:t xml:space="preserve"> </w:t>
            </w:r>
          </w:p>
        </w:tc>
        <w:tc>
          <w:tcPr>
            <w:tcW w:w="2835" w:type="dxa"/>
          </w:tcPr>
          <w:p w:rsidR="00370FB9" w:rsidRPr="007C615F" w:rsidRDefault="00461749" w:rsidP="00DD5186">
            <w:pPr>
              <w:pStyle w:val="BodyText0"/>
              <w:spacing w:line="276" w:lineRule="auto"/>
              <w:jc w:val="both"/>
              <w:rPr>
                <w:sz w:val="22"/>
                <w:szCs w:val="22"/>
              </w:rPr>
            </w:pPr>
            <w:r>
              <w:rPr>
                <w:sz w:val="22"/>
                <w:szCs w:val="22"/>
              </w:rPr>
              <w:t>5pm</w:t>
            </w:r>
            <w:r w:rsidR="00D7149C">
              <w:rPr>
                <w:sz w:val="22"/>
                <w:szCs w:val="22"/>
              </w:rPr>
              <w:t>,</w:t>
            </w:r>
            <w:r>
              <w:rPr>
                <w:sz w:val="22"/>
                <w:szCs w:val="22"/>
              </w:rPr>
              <w:t xml:space="preserve"> </w:t>
            </w:r>
            <w:r w:rsidR="00DD5186">
              <w:rPr>
                <w:sz w:val="22"/>
                <w:szCs w:val="22"/>
              </w:rPr>
              <w:t>Monday</w:t>
            </w:r>
            <w:r w:rsidR="00450A2B" w:rsidRPr="007C615F">
              <w:rPr>
                <w:sz w:val="22"/>
                <w:szCs w:val="22"/>
              </w:rPr>
              <w:t>, 1</w:t>
            </w:r>
            <w:r w:rsidR="00DD5186">
              <w:rPr>
                <w:sz w:val="22"/>
                <w:szCs w:val="22"/>
              </w:rPr>
              <w:t>5</w:t>
            </w:r>
            <w:r w:rsidR="00370FB9" w:rsidRPr="007C615F">
              <w:rPr>
                <w:sz w:val="22"/>
                <w:szCs w:val="22"/>
                <w:vertAlign w:val="superscript"/>
              </w:rPr>
              <w:t>th</w:t>
            </w:r>
            <w:r w:rsidR="00370FB9" w:rsidRPr="007C615F">
              <w:rPr>
                <w:sz w:val="22"/>
                <w:szCs w:val="22"/>
              </w:rPr>
              <w:t xml:space="preserve"> </w:t>
            </w:r>
            <w:r>
              <w:rPr>
                <w:sz w:val="22"/>
                <w:szCs w:val="22"/>
              </w:rPr>
              <w:t>Octo</w:t>
            </w:r>
            <w:r w:rsidR="00450A2B" w:rsidRPr="007C615F">
              <w:rPr>
                <w:sz w:val="22"/>
                <w:szCs w:val="22"/>
              </w:rPr>
              <w:t>ber</w:t>
            </w:r>
            <w:r w:rsidR="00DD5186">
              <w:rPr>
                <w:sz w:val="22"/>
                <w:szCs w:val="22"/>
              </w:rPr>
              <w:t xml:space="preserve"> 2018</w:t>
            </w:r>
          </w:p>
        </w:tc>
      </w:tr>
      <w:tr w:rsidR="00370FB9" w:rsidRPr="007C615F" w:rsidTr="00A8450F">
        <w:tc>
          <w:tcPr>
            <w:tcW w:w="709" w:type="dxa"/>
          </w:tcPr>
          <w:p w:rsidR="00370FB9" w:rsidRPr="007C615F" w:rsidRDefault="00370FB9" w:rsidP="0016446B">
            <w:pPr>
              <w:pStyle w:val="BodyText0"/>
              <w:spacing w:line="276" w:lineRule="auto"/>
              <w:jc w:val="both"/>
              <w:rPr>
                <w:sz w:val="22"/>
                <w:szCs w:val="22"/>
              </w:rPr>
            </w:pPr>
            <w:r w:rsidRPr="007C615F">
              <w:rPr>
                <w:sz w:val="22"/>
                <w:szCs w:val="22"/>
              </w:rPr>
              <w:t>2</w:t>
            </w:r>
          </w:p>
        </w:tc>
        <w:tc>
          <w:tcPr>
            <w:tcW w:w="4954" w:type="dxa"/>
          </w:tcPr>
          <w:p w:rsidR="00370FB9" w:rsidRPr="007C615F" w:rsidRDefault="00370FB9" w:rsidP="0016446B">
            <w:pPr>
              <w:pStyle w:val="BodyText0"/>
              <w:spacing w:line="276" w:lineRule="auto"/>
              <w:jc w:val="both"/>
              <w:rPr>
                <w:sz w:val="22"/>
                <w:szCs w:val="22"/>
              </w:rPr>
            </w:pPr>
            <w:r w:rsidRPr="007C615F">
              <w:rPr>
                <w:sz w:val="22"/>
                <w:szCs w:val="22"/>
              </w:rPr>
              <w:t>Deadline for TNA to respond to clarification questions</w:t>
            </w:r>
            <w:r w:rsidR="00066EFE">
              <w:rPr>
                <w:sz w:val="22"/>
                <w:szCs w:val="22"/>
              </w:rPr>
              <w:t xml:space="preserve"> *</w:t>
            </w:r>
          </w:p>
        </w:tc>
        <w:tc>
          <w:tcPr>
            <w:tcW w:w="2835" w:type="dxa"/>
          </w:tcPr>
          <w:p w:rsidR="00370FB9" w:rsidRPr="007C615F" w:rsidRDefault="00DD5186" w:rsidP="00461749">
            <w:pPr>
              <w:pStyle w:val="BodyText0"/>
              <w:spacing w:line="276" w:lineRule="auto"/>
              <w:jc w:val="both"/>
              <w:rPr>
                <w:sz w:val="22"/>
                <w:szCs w:val="22"/>
              </w:rPr>
            </w:pPr>
            <w:r>
              <w:rPr>
                <w:sz w:val="22"/>
                <w:szCs w:val="22"/>
              </w:rPr>
              <w:t>Tuesday, 16</w:t>
            </w:r>
            <w:r w:rsidR="00461749" w:rsidRPr="00DD5186">
              <w:rPr>
                <w:sz w:val="22"/>
                <w:szCs w:val="22"/>
                <w:vertAlign w:val="superscript"/>
              </w:rPr>
              <w:t>th</w:t>
            </w:r>
            <w:r>
              <w:rPr>
                <w:sz w:val="22"/>
                <w:szCs w:val="22"/>
              </w:rPr>
              <w:t xml:space="preserve"> </w:t>
            </w:r>
            <w:r w:rsidR="00461749">
              <w:rPr>
                <w:sz w:val="22"/>
                <w:szCs w:val="22"/>
              </w:rPr>
              <w:t>Octob</w:t>
            </w:r>
            <w:r w:rsidR="006E5591" w:rsidRPr="007C615F">
              <w:rPr>
                <w:sz w:val="22"/>
                <w:szCs w:val="22"/>
              </w:rPr>
              <w:t>er</w:t>
            </w:r>
            <w:r w:rsidR="00370FB9" w:rsidRPr="007C615F">
              <w:rPr>
                <w:sz w:val="22"/>
                <w:szCs w:val="22"/>
              </w:rPr>
              <w:t xml:space="preserve"> 20</w:t>
            </w:r>
            <w:r>
              <w:rPr>
                <w:sz w:val="22"/>
                <w:szCs w:val="22"/>
              </w:rPr>
              <w:t>18</w:t>
            </w:r>
          </w:p>
        </w:tc>
      </w:tr>
      <w:tr w:rsidR="00370FB9" w:rsidRPr="007C615F" w:rsidTr="00A8450F">
        <w:tc>
          <w:tcPr>
            <w:tcW w:w="709" w:type="dxa"/>
          </w:tcPr>
          <w:p w:rsidR="00370FB9" w:rsidRPr="007C615F" w:rsidRDefault="00370FB9" w:rsidP="0016446B">
            <w:pPr>
              <w:pStyle w:val="BodyText0"/>
              <w:spacing w:line="276" w:lineRule="auto"/>
              <w:jc w:val="both"/>
              <w:rPr>
                <w:sz w:val="22"/>
                <w:szCs w:val="22"/>
              </w:rPr>
            </w:pPr>
            <w:r w:rsidRPr="007C615F">
              <w:rPr>
                <w:sz w:val="22"/>
                <w:szCs w:val="22"/>
              </w:rPr>
              <w:t>3</w:t>
            </w:r>
          </w:p>
        </w:tc>
        <w:tc>
          <w:tcPr>
            <w:tcW w:w="4954" w:type="dxa"/>
          </w:tcPr>
          <w:p w:rsidR="00066EFE" w:rsidRDefault="00370FB9" w:rsidP="0016446B">
            <w:pPr>
              <w:pStyle w:val="BodyText0"/>
              <w:spacing w:line="276" w:lineRule="auto"/>
              <w:jc w:val="both"/>
              <w:rPr>
                <w:sz w:val="22"/>
                <w:szCs w:val="22"/>
              </w:rPr>
            </w:pPr>
            <w:r w:rsidRPr="007C615F">
              <w:rPr>
                <w:sz w:val="22"/>
                <w:szCs w:val="22"/>
              </w:rPr>
              <w:t>Deadline for potential suppliers to submit tender responses</w:t>
            </w:r>
            <w:r w:rsidR="00066EFE">
              <w:rPr>
                <w:sz w:val="22"/>
                <w:szCs w:val="22"/>
              </w:rPr>
              <w:t xml:space="preserve"> to</w:t>
            </w:r>
          </w:p>
          <w:p w:rsidR="00370FB9" w:rsidRPr="007C615F" w:rsidRDefault="000B2015" w:rsidP="0016446B">
            <w:pPr>
              <w:pStyle w:val="BodyText0"/>
              <w:spacing w:line="276" w:lineRule="auto"/>
              <w:jc w:val="both"/>
              <w:rPr>
                <w:sz w:val="22"/>
                <w:szCs w:val="22"/>
              </w:rPr>
            </w:pPr>
            <w:hyperlink r:id="rId14" w:history="1">
              <w:r w:rsidR="00066EFE" w:rsidRPr="00C1761E">
                <w:rPr>
                  <w:rStyle w:val="Hyperlink"/>
                  <w:sz w:val="22"/>
                  <w:szCs w:val="22"/>
                </w:rPr>
                <w:t>p</w:t>
              </w:r>
              <w:r w:rsidR="00DD5186">
                <w:rPr>
                  <w:rStyle w:val="Hyperlink"/>
                  <w:sz w:val="22"/>
                  <w:szCs w:val="22"/>
                </w:rPr>
                <w:t>rocurement@nationalarchives.</w:t>
              </w:r>
              <w:r w:rsidR="00066EFE" w:rsidRPr="00C1761E">
                <w:rPr>
                  <w:rStyle w:val="Hyperlink"/>
                  <w:sz w:val="22"/>
                  <w:szCs w:val="22"/>
                </w:rPr>
                <w:t>gov.uk</w:t>
              </w:r>
            </w:hyperlink>
          </w:p>
        </w:tc>
        <w:tc>
          <w:tcPr>
            <w:tcW w:w="2835" w:type="dxa"/>
          </w:tcPr>
          <w:p w:rsidR="00370FB9" w:rsidRPr="007C615F" w:rsidRDefault="00461749" w:rsidP="00DD5186">
            <w:pPr>
              <w:pStyle w:val="BodyText0"/>
              <w:spacing w:line="276" w:lineRule="auto"/>
              <w:jc w:val="both"/>
              <w:rPr>
                <w:sz w:val="22"/>
                <w:szCs w:val="22"/>
              </w:rPr>
            </w:pPr>
            <w:r>
              <w:rPr>
                <w:sz w:val="22"/>
                <w:szCs w:val="22"/>
              </w:rPr>
              <w:t>12 noon</w:t>
            </w:r>
            <w:r w:rsidR="00370FB9" w:rsidRPr="007C615F">
              <w:rPr>
                <w:sz w:val="22"/>
                <w:szCs w:val="22"/>
              </w:rPr>
              <w:t xml:space="preserve">, </w:t>
            </w:r>
            <w:r w:rsidR="00DD5186">
              <w:rPr>
                <w:sz w:val="22"/>
                <w:szCs w:val="22"/>
              </w:rPr>
              <w:t>Thursday</w:t>
            </w:r>
            <w:r w:rsidR="00370FB9" w:rsidRPr="007C615F">
              <w:rPr>
                <w:sz w:val="22"/>
                <w:szCs w:val="22"/>
              </w:rPr>
              <w:t xml:space="preserve"> </w:t>
            </w:r>
            <w:r w:rsidR="00DD5186">
              <w:rPr>
                <w:sz w:val="22"/>
                <w:szCs w:val="22"/>
              </w:rPr>
              <w:t>18</w:t>
            </w:r>
            <w:r w:rsidR="00450A2B" w:rsidRPr="007C615F">
              <w:rPr>
                <w:sz w:val="22"/>
                <w:szCs w:val="22"/>
                <w:vertAlign w:val="superscript"/>
              </w:rPr>
              <w:t>th</w:t>
            </w:r>
            <w:r w:rsidR="00450A2B" w:rsidRPr="007C615F">
              <w:rPr>
                <w:sz w:val="22"/>
                <w:szCs w:val="22"/>
              </w:rPr>
              <w:t xml:space="preserve"> </w:t>
            </w:r>
            <w:r>
              <w:rPr>
                <w:sz w:val="22"/>
                <w:szCs w:val="22"/>
              </w:rPr>
              <w:t>Octo</w:t>
            </w:r>
            <w:r w:rsidR="006E5591" w:rsidRPr="007C615F">
              <w:rPr>
                <w:sz w:val="22"/>
                <w:szCs w:val="22"/>
              </w:rPr>
              <w:t>ber</w:t>
            </w:r>
            <w:r w:rsidR="00DD5186">
              <w:rPr>
                <w:sz w:val="22"/>
                <w:szCs w:val="22"/>
              </w:rPr>
              <w:t xml:space="preserve"> 2018</w:t>
            </w:r>
          </w:p>
        </w:tc>
      </w:tr>
      <w:tr w:rsidR="00370FB9" w:rsidRPr="007C615F" w:rsidTr="00A8450F">
        <w:tc>
          <w:tcPr>
            <w:tcW w:w="709" w:type="dxa"/>
          </w:tcPr>
          <w:p w:rsidR="00370FB9" w:rsidRPr="007C615F" w:rsidRDefault="00370FB9" w:rsidP="0016446B">
            <w:pPr>
              <w:pStyle w:val="BodyText0"/>
              <w:spacing w:line="276" w:lineRule="auto"/>
              <w:jc w:val="both"/>
              <w:rPr>
                <w:sz w:val="22"/>
                <w:szCs w:val="22"/>
              </w:rPr>
            </w:pPr>
            <w:r w:rsidRPr="007C615F">
              <w:rPr>
                <w:sz w:val="22"/>
                <w:szCs w:val="22"/>
              </w:rPr>
              <w:t>4</w:t>
            </w:r>
          </w:p>
        </w:tc>
        <w:tc>
          <w:tcPr>
            <w:tcW w:w="4954" w:type="dxa"/>
          </w:tcPr>
          <w:p w:rsidR="00370FB9" w:rsidRPr="007C615F" w:rsidRDefault="00305FA0" w:rsidP="00305FA0">
            <w:pPr>
              <w:pStyle w:val="BodyText0"/>
              <w:spacing w:line="276" w:lineRule="auto"/>
              <w:jc w:val="both"/>
              <w:rPr>
                <w:sz w:val="22"/>
                <w:szCs w:val="22"/>
              </w:rPr>
            </w:pPr>
            <w:r>
              <w:rPr>
                <w:sz w:val="22"/>
                <w:szCs w:val="22"/>
              </w:rPr>
              <w:t>Deadline for TNA to evaluate</w:t>
            </w:r>
            <w:r w:rsidR="00370FB9" w:rsidRPr="007C615F">
              <w:rPr>
                <w:sz w:val="22"/>
                <w:szCs w:val="22"/>
              </w:rPr>
              <w:t xml:space="preserve"> tender responses and award </w:t>
            </w:r>
            <w:r>
              <w:rPr>
                <w:sz w:val="22"/>
                <w:szCs w:val="22"/>
              </w:rPr>
              <w:t>contract</w:t>
            </w:r>
          </w:p>
        </w:tc>
        <w:tc>
          <w:tcPr>
            <w:tcW w:w="2835" w:type="dxa"/>
          </w:tcPr>
          <w:p w:rsidR="00370FB9" w:rsidRPr="00DD5186" w:rsidRDefault="00DD5186" w:rsidP="0016446B">
            <w:pPr>
              <w:pStyle w:val="BodyText0"/>
              <w:spacing w:line="276" w:lineRule="auto"/>
              <w:jc w:val="both"/>
              <w:rPr>
                <w:sz w:val="22"/>
                <w:szCs w:val="22"/>
                <w:vertAlign w:val="superscript"/>
              </w:rPr>
            </w:pPr>
            <w:r>
              <w:rPr>
                <w:sz w:val="22"/>
                <w:szCs w:val="22"/>
              </w:rPr>
              <w:t>Monday</w:t>
            </w:r>
            <w:r w:rsidR="00370FB9" w:rsidRPr="007C615F">
              <w:rPr>
                <w:sz w:val="22"/>
                <w:szCs w:val="22"/>
              </w:rPr>
              <w:t xml:space="preserve">, </w:t>
            </w:r>
            <w:r w:rsidR="00461749">
              <w:rPr>
                <w:sz w:val="22"/>
                <w:szCs w:val="22"/>
              </w:rPr>
              <w:t>2</w:t>
            </w:r>
            <w:r>
              <w:rPr>
                <w:sz w:val="22"/>
                <w:szCs w:val="22"/>
              </w:rPr>
              <w:t>2</w:t>
            </w:r>
            <w:r w:rsidRPr="00DD5186">
              <w:rPr>
                <w:sz w:val="22"/>
                <w:szCs w:val="22"/>
                <w:vertAlign w:val="superscript"/>
              </w:rPr>
              <w:t>nd</w:t>
            </w:r>
            <w:r>
              <w:rPr>
                <w:sz w:val="22"/>
                <w:szCs w:val="22"/>
              </w:rPr>
              <w:t xml:space="preserve"> </w:t>
            </w:r>
            <w:r w:rsidR="00450A2B" w:rsidRPr="007C615F">
              <w:rPr>
                <w:sz w:val="22"/>
                <w:szCs w:val="22"/>
              </w:rPr>
              <w:t>October</w:t>
            </w:r>
            <w:r>
              <w:rPr>
                <w:sz w:val="22"/>
                <w:szCs w:val="22"/>
              </w:rPr>
              <w:t xml:space="preserve"> 2018</w:t>
            </w:r>
          </w:p>
        </w:tc>
      </w:tr>
    </w:tbl>
    <w:p w:rsidR="00433759" w:rsidRDefault="00433759" w:rsidP="0016446B">
      <w:pPr>
        <w:pStyle w:val="ListParagraph"/>
        <w:spacing w:after="0"/>
        <w:ind w:left="792"/>
        <w:jc w:val="both"/>
        <w:rPr>
          <w:rFonts w:ascii="Arial" w:hAnsi="Arial" w:cs="Arial"/>
          <w:b/>
        </w:rPr>
      </w:pPr>
    </w:p>
    <w:p w:rsidR="00066EFE" w:rsidRDefault="00066EFE" w:rsidP="00066EFE">
      <w:pPr>
        <w:pStyle w:val="ListParagraph"/>
        <w:spacing w:after="0"/>
        <w:ind w:left="360"/>
        <w:jc w:val="both"/>
        <w:rPr>
          <w:rFonts w:ascii="Arial" w:hAnsi="Arial" w:cs="Arial"/>
          <w:i/>
        </w:rPr>
      </w:pPr>
      <w:r w:rsidRPr="00670943">
        <w:rPr>
          <w:rFonts w:ascii="Arial" w:hAnsi="Arial" w:cs="Arial"/>
          <w:b/>
        </w:rPr>
        <w:t>*</w:t>
      </w:r>
      <w:r w:rsidRPr="00670943">
        <w:rPr>
          <w:rFonts w:ascii="Arial" w:hAnsi="Arial" w:cs="Arial"/>
          <w:i/>
        </w:rPr>
        <w:t xml:space="preserve">Any clarification question that TNA deems to be relevant to more than one Potential </w:t>
      </w:r>
      <w:r>
        <w:rPr>
          <w:rFonts w:ascii="Arial" w:hAnsi="Arial" w:cs="Arial"/>
          <w:i/>
        </w:rPr>
        <w:t xml:space="preserve">Supplier </w:t>
      </w:r>
      <w:r w:rsidRPr="00670943">
        <w:rPr>
          <w:rFonts w:ascii="Arial" w:hAnsi="Arial" w:cs="Arial"/>
          <w:i/>
        </w:rPr>
        <w:t xml:space="preserve">will be shared with all Potential </w:t>
      </w:r>
      <w:r>
        <w:rPr>
          <w:rFonts w:ascii="Arial" w:hAnsi="Arial" w:cs="Arial"/>
          <w:i/>
        </w:rPr>
        <w:t>Suppliers</w:t>
      </w:r>
      <w:r w:rsidRPr="00670943">
        <w:rPr>
          <w:rFonts w:ascii="Arial" w:hAnsi="Arial" w:cs="Arial"/>
          <w:i/>
        </w:rPr>
        <w:t xml:space="preserve"> </w:t>
      </w:r>
      <w:r>
        <w:rPr>
          <w:rFonts w:ascii="Arial" w:hAnsi="Arial" w:cs="Arial"/>
          <w:i/>
        </w:rPr>
        <w:t>via the Contracts Finder website.</w:t>
      </w:r>
    </w:p>
    <w:p w:rsidR="00066EFE" w:rsidRDefault="00066EFE" w:rsidP="0016446B">
      <w:pPr>
        <w:pStyle w:val="ListParagraph"/>
        <w:spacing w:after="0"/>
        <w:ind w:left="792"/>
        <w:jc w:val="both"/>
        <w:rPr>
          <w:rFonts w:ascii="Arial" w:hAnsi="Arial" w:cs="Arial"/>
          <w:b/>
        </w:rPr>
      </w:pPr>
    </w:p>
    <w:p w:rsidR="00066EFE" w:rsidRDefault="00066EFE" w:rsidP="0016446B">
      <w:pPr>
        <w:pStyle w:val="ListParagraph"/>
        <w:spacing w:after="0"/>
        <w:ind w:left="792"/>
        <w:jc w:val="both"/>
        <w:rPr>
          <w:rFonts w:ascii="Arial" w:hAnsi="Arial" w:cs="Arial"/>
          <w:b/>
        </w:rPr>
      </w:pPr>
    </w:p>
    <w:p w:rsidR="00066EFE" w:rsidRDefault="00066EFE" w:rsidP="0016446B">
      <w:pPr>
        <w:pStyle w:val="ListParagraph"/>
        <w:spacing w:after="0"/>
        <w:ind w:left="792"/>
        <w:jc w:val="both"/>
        <w:rPr>
          <w:rFonts w:ascii="Arial" w:hAnsi="Arial" w:cs="Arial"/>
          <w:b/>
        </w:rPr>
      </w:pPr>
    </w:p>
    <w:p w:rsidR="00497AF1" w:rsidRDefault="00497AF1" w:rsidP="00066EFE">
      <w:pPr>
        <w:pStyle w:val="Bodytext20"/>
        <w:numPr>
          <w:ilvl w:val="0"/>
          <w:numId w:val="5"/>
        </w:numPr>
        <w:shd w:val="clear" w:color="auto" w:fill="auto"/>
        <w:tabs>
          <w:tab w:val="left" w:pos="851"/>
        </w:tabs>
        <w:spacing w:after="0" w:line="200" w:lineRule="exact"/>
        <w:ind w:left="851" w:hanging="851"/>
        <w:jc w:val="both"/>
        <w:rPr>
          <w:b/>
          <w:sz w:val="22"/>
          <w:szCs w:val="22"/>
        </w:rPr>
      </w:pPr>
      <w:bookmarkStart w:id="2" w:name="bookmark5"/>
      <w:r w:rsidRPr="0074699C">
        <w:rPr>
          <w:b/>
          <w:sz w:val="22"/>
          <w:szCs w:val="22"/>
        </w:rPr>
        <w:t>CONTRACT TERMS</w:t>
      </w:r>
      <w:bookmarkEnd w:id="2"/>
    </w:p>
    <w:p w:rsidR="00EA6F6A" w:rsidRPr="0074699C" w:rsidRDefault="00EA6F6A" w:rsidP="0016446B">
      <w:pPr>
        <w:pStyle w:val="Bodytext20"/>
        <w:shd w:val="clear" w:color="auto" w:fill="auto"/>
        <w:tabs>
          <w:tab w:val="left" w:pos="692"/>
        </w:tabs>
        <w:spacing w:after="0" w:line="200" w:lineRule="exact"/>
        <w:ind w:left="360" w:firstLine="0"/>
        <w:jc w:val="both"/>
        <w:rPr>
          <w:b/>
          <w:sz w:val="22"/>
          <w:szCs w:val="22"/>
        </w:rPr>
      </w:pPr>
    </w:p>
    <w:p w:rsidR="00CC5B00" w:rsidRPr="00CC5B00" w:rsidRDefault="00CC5B00" w:rsidP="0016446B">
      <w:pPr>
        <w:pStyle w:val="ListParagraph"/>
        <w:spacing w:after="0"/>
        <w:ind w:left="0"/>
        <w:jc w:val="both"/>
        <w:rPr>
          <w:rFonts w:ascii="Arial" w:hAnsi="Arial" w:cs="Arial"/>
        </w:rPr>
      </w:pPr>
      <w:r w:rsidRPr="00CC5B00">
        <w:rPr>
          <w:rFonts w:ascii="Arial" w:hAnsi="Arial" w:cs="Arial"/>
        </w:rPr>
        <w:t xml:space="preserve">The contract shall be governed by the short form conditions for services published </w:t>
      </w:r>
      <w:hyperlink r:id="rId15" w:history="1">
        <w:r w:rsidRPr="00CC5B00">
          <w:rPr>
            <w:rStyle w:val="Hyperlink"/>
            <w:rFonts w:ascii="Arial" w:hAnsi="Arial" w:cs="Arial"/>
          </w:rPr>
          <w:t>here</w:t>
        </w:r>
      </w:hyperlink>
      <w:r w:rsidRPr="00CC5B00">
        <w:rPr>
          <w:rFonts w:ascii="Arial" w:hAnsi="Arial" w:cs="Arial"/>
        </w:rPr>
        <w:t>.</w:t>
      </w:r>
    </w:p>
    <w:p w:rsidR="00CC5B00" w:rsidRPr="00CC5B00" w:rsidRDefault="00CC5B00" w:rsidP="0016446B">
      <w:pPr>
        <w:pStyle w:val="ListParagraph"/>
        <w:spacing w:after="0"/>
        <w:ind w:left="851"/>
        <w:jc w:val="both"/>
        <w:rPr>
          <w:rFonts w:ascii="Arial" w:hAnsi="Arial" w:cs="Arial"/>
        </w:rPr>
      </w:pPr>
    </w:p>
    <w:p w:rsidR="00CC5B00" w:rsidRPr="00CC5B00" w:rsidRDefault="00CC5B00" w:rsidP="0016446B">
      <w:pPr>
        <w:pStyle w:val="BodyText7"/>
        <w:shd w:val="clear" w:color="auto" w:fill="auto"/>
        <w:spacing w:before="0" w:after="0" w:line="276" w:lineRule="auto"/>
        <w:ind w:right="40" w:firstLine="0"/>
        <w:rPr>
          <w:sz w:val="22"/>
          <w:szCs w:val="22"/>
        </w:rPr>
      </w:pPr>
      <w:r w:rsidRPr="00CC5B00">
        <w:rPr>
          <w:sz w:val="22"/>
          <w:szCs w:val="22"/>
        </w:rPr>
        <w:t xml:space="preserve">Please note that the information you supply in your </w:t>
      </w:r>
      <w:r w:rsidR="00D7149C">
        <w:rPr>
          <w:sz w:val="22"/>
          <w:szCs w:val="22"/>
        </w:rPr>
        <w:t>T</w:t>
      </w:r>
      <w:r w:rsidRPr="00CC5B00">
        <w:rPr>
          <w:sz w:val="22"/>
          <w:szCs w:val="22"/>
        </w:rPr>
        <w:t xml:space="preserve">ender </w:t>
      </w:r>
      <w:r w:rsidR="00D7149C">
        <w:rPr>
          <w:sz w:val="22"/>
          <w:szCs w:val="22"/>
        </w:rPr>
        <w:t>R</w:t>
      </w:r>
      <w:r w:rsidRPr="00CC5B00">
        <w:rPr>
          <w:sz w:val="22"/>
          <w:szCs w:val="22"/>
        </w:rPr>
        <w:t>esponse may be used, in whole or in part, to populate the Contract. As such, please make clear and unambiguous statements about the commitments you are making.</w:t>
      </w:r>
    </w:p>
    <w:p w:rsidR="00CC5B00" w:rsidRPr="00CC5B00" w:rsidRDefault="00CC5B00" w:rsidP="0016446B">
      <w:pPr>
        <w:spacing w:after="0"/>
        <w:jc w:val="both"/>
        <w:rPr>
          <w:rFonts w:ascii="Arial" w:hAnsi="Arial" w:cs="Arial"/>
          <w:i/>
          <w:color w:val="000000"/>
          <w:lang w:eastAsia="en-GB"/>
        </w:rPr>
      </w:pPr>
    </w:p>
    <w:p w:rsidR="00CC5B00" w:rsidRPr="00CC5B00" w:rsidRDefault="00CC5B00" w:rsidP="0016446B">
      <w:pPr>
        <w:spacing w:after="0"/>
        <w:jc w:val="both"/>
        <w:rPr>
          <w:rFonts w:ascii="Arial" w:hAnsi="Arial" w:cs="Arial"/>
        </w:rPr>
      </w:pPr>
      <w:r w:rsidRPr="00CC5B00">
        <w:rPr>
          <w:rFonts w:ascii="Arial" w:hAnsi="Arial" w:cs="Arial"/>
        </w:rPr>
        <w:t>The National Archives reserves the right not to appoint and to achieve the outcomes of the project through other methods.</w:t>
      </w:r>
    </w:p>
    <w:p w:rsidR="00A7117D" w:rsidRPr="00CC5B00" w:rsidRDefault="00A7117D" w:rsidP="0016446B">
      <w:pPr>
        <w:spacing w:after="0"/>
        <w:jc w:val="both"/>
        <w:rPr>
          <w:rFonts w:ascii="Arial" w:hAnsi="Arial" w:cs="Arial"/>
          <w:b/>
        </w:rPr>
      </w:pPr>
    </w:p>
    <w:sectPr w:rsidR="00A7117D" w:rsidRPr="00CC5B0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6A" w:rsidRDefault="00732B6A" w:rsidP="00AA4201">
      <w:pPr>
        <w:spacing w:after="0" w:line="240" w:lineRule="auto"/>
      </w:pPr>
      <w:r>
        <w:separator/>
      </w:r>
    </w:p>
  </w:endnote>
  <w:endnote w:type="continuationSeparator" w:id="0">
    <w:p w:rsidR="00732B6A" w:rsidRDefault="00732B6A"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6A" w:rsidRDefault="00732B6A" w:rsidP="00DD5186">
    <w:pPr>
      <w:pStyle w:val="Footer"/>
      <w:tabs>
        <w:tab w:val="left" w:pos="3544"/>
      </w:tabs>
      <w:jc w:val="right"/>
    </w:pPr>
    <w:r>
      <w:rPr>
        <w:noProof/>
      </w:rPr>
      <w:tab/>
    </w:r>
    <w:r>
      <w:rPr>
        <w:noProof/>
      </w:rPr>
      <w:tab/>
    </w:r>
    <w:r>
      <w:rPr>
        <w:noProof/>
      </w:rPr>
      <w:fldChar w:fldCharType="begin"/>
    </w:r>
    <w:r>
      <w:rPr>
        <w:noProof/>
      </w:rPr>
      <w:instrText xml:space="preserve"> FILENAME   \* MERGEFORMAT </w:instrText>
    </w:r>
    <w:r>
      <w:rPr>
        <w:noProof/>
      </w:rPr>
      <w:fldChar w:fldCharType="end"/>
    </w:r>
    <w:r>
      <w:fldChar w:fldCharType="begin"/>
    </w:r>
    <w:r>
      <w:instrText xml:space="preserve"> PAGE   \* MERGEFORMAT </w:instrText>
    </w:r>
    <w:r>
      <w:fldChar w:fldCharType="separate"/>
    </w:r>
    <w:r w:rsidR="000B2015">
      <w:rPr>
        <w:noProof/>
      </w:rPr>
      <w:t>3</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6A" w:rsidRDefault="00732B6A" w:rsidP="00AA4201">
      <w:pPr>
        <w:spacing w:after="0" w:line="240" w:lineRule="auto"/>
      </w:pPr>
      <w:r>
        <w:separator/>
      </w:r>
    </w:p>
  </w:footnote>
  <w:footnote w:type="continuationSeparator" w:id="0">
    <w:p w:rsidR="00732B6A" w:rsidRDefault="00732B6A"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F0E"/>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A0055"/>
    <w:multiLevelType w:val="hybridMultilevel"/>
    <w:tmpl w:val="DED4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2CA1"/>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85745"/>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B635C"/>
    <w:multiLevelType w:val="hybridMultilevel"/>
    <w:tmpl w:val="F886DB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982E3B"/>
    <w:multiLevelType w:val="hybridMultilevel"/>
    <w:tmpl w:val="832CD72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1768322C"/>
    <w:multiLevelType w:val="hybridMultilevel"/>
    <w:tmpl w:val="D11EF5CA"/>
    <w:lvl w:ilvl="0" w:tplc="C37AAD60">
      <w:numFmt w:val="bullet"/>
      <w:lvlText w:val="-"/>
      <w:lvlJc w:val="left"/>
      <w:pPr>
        <w:ind w:left="408" w:hanging="360"/>
      </w:pPr>
      <w:rPr>
        <w:rFonts w:ascii="Calibri" w:eastAsiaTheme="minorHAnsi" w:hAnsi="Calibri" w:cstheme="minorBidi" w:hint="default"/>
      </w:rPr>
    </w:lvl>
    <w:lvl w:ilvl="1" w:tplc="08090003">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18065189"/>
    <w:multiLevelType w:val="hybridMultilevel"/>
    <w:tmpl w:val="75C81B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9E6E53"/>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A400B"/>
    <w:multiLevelType w:val="hybridMultilevel"/>
    <w:tmpl w:val="408468F4"/>
    <w:lvl w:ilvl="0" w:tplc="C64281F6">
      <w:start w:val="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93C2B"/>
    <w:multiLevelType w:val="hybridMultilevel"/>
    <w:tmpl w:val="E364FB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1" w15:restartNumberingAfterBreak="0">
    <w:nsid w:val="21A2721A"/>
    <w:multiLevelType w:val="hybridMultilevel"/>
    <w:tmpl w:val="437EC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A3CFE"/>
    <w:multiLevelType w:val="hybridMultilevel"/>
    <w:tmpl w:val="9FD8B3A4"/>
    <w:lvl w:ilvl="0" w:tplc="C37AAD60">
      <w:numFmt w:val="bullet"/>
      <w:lvlText w:val="-"/>
      <w:lvlJc w:val="left"/>
      <w:pPr>
        <w:ind w:left="453" w:hanging="360"/>
      </w:pPr>
      <w:rPr>
        <w:rFonts w:ascii="Calibri" w:eastAsiaTheme="minorHAnsi" w:hAnsi="Calibri" w:cstheme="minorBidi" w:hint="default"/>
      </w:rPr>
    </w:lvl>
    <w:lvl w:ilvl="1" w:tplc="263AE1F0">
      <w:numFmt w:val="bullet"/>
      <w:lvlText w:val="•"/>
      <w:lvlJc w:val="left"/>
      <w:pPr>
        <w:ind w:left="1797" w:hanging="672"/>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CB67181"/>
    <w:multiLevelType w:val="hybridMultilevel"/>
    <w:tmpl w:val="824C2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ED3C28"/>
    <w:multiLevelType w:val="hybridMultilevel"/>
    <w:tmpl w:val="F2844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B52DC"/>
    <w:multiLevelType w:val="multilevel"/>
    <w:tmpl w:val="1F963D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6476B5"/>
    <w:multiLevelType w:val="hybridMultilevel"/>
    <w:tmpl w:val="7E145C6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7" w15:restartNumberingAfterBreak="0">
    <w:nsid w:val="3CF961B2"/>
    <w:multiLevelType w:val="hybridMultilevel"/>
    <w:tmpl w:val="71DED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234C4"/>
    <w:multiLevelType w:val="hybridMultilevel"/>
    <w:tmpl w:val="281C380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9" w15:restartNumberingAfterBreak="0">
    <w:nsid w:val="422B2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60757D"/>
    <w:multiLevelType w:val="hybridMultilevel"/>
    <w:tmpl w:val="2D4E5B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9E3A7A"/>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60595F"/>
    <w:multiLevelType w:val="hybridMultilevel"/>
    <w:tmpl w:val="B61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611CF8"/>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941AF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3966EB"/>
    <w:multiLevelType w:val="multilevel"/>
    <w:tmpl w:val="134225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2D69EF"/>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CC0FFF"/>
    <w:multiLevelType w:val="hybridMultilevel"/>
    <w:tmpl w:val="CDD29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87FCB"/>
    <w:multiLevelType w:val="hybridMultilevel"/>
    <w:tmpl w:val="0436F2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2DE19B5"/>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CD0257"/>
    <w:multiLevelType w:val="hybridMultilevel"/>
    <w:tmpl w:val="00CCF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5F3EF1"/>
    <w:multiLevelType w:val="hybridMultilevel"/>
    <w:tmpl w:val="0D7230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68C21859"/>
    <w:multiLevelType w:val="hybridMultilevel"/>
    <w:tmpl w:val="742E7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B5C71B0"/>
    <w:multiLevelType w:val="hybridMultilevel"/>
    <w:tmpl w:val="9158528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38" w15:restartNumberingAfterBreak="0">
    <w:nsid w:val="70083C48"/>
    <w:multiLevelType w:val="hybridMultilevel"/>
    <w:tmpl w:val="E85E0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0D76DA"/>
    <w:multiLevelType w:val="hybridMultilevel"/>
    <w:tmpl w:val="AC00FF4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137DC"/>
    <w:multiLevelType w:val="multilevel"/>
    <w:tmpl w:val="27181D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F971F4"/>
    <w:multiLevelType w:val="hybridMultilevel"/>
    <w:tmpl w:val="B808A5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280012"/>
    <w:multiLevelType w:val="hybridMultilevel"/>
    <w:tmpl w:val="C460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BE434CE"/>
    <w:multiLevelType w:val="hybridMultilevel"/>
    <w:tmpl w:val="08E2463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5" w15:restartNumberingAfterBreak="0">
    <w:nsid w:val="7C5F159E"/>
    <w:multiLevelType w:val="multilevel"/>
    <w:tmpl w:val="1FAC5AF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2"/>
  </w:num>
  <w:num w:numId="4">
    <w:abstractNumId w:val="45"/>
  </w:num>
  <w:num w:numId="5">
    <w:abstractNumId w:val="28"/>
  </w:num>
  <w:num w:numId="6">
    <w:abstractNumId w:val="32"/>
  </w:num>
  <w:num w:numId="7">
    <w:abstractNumId w:val="39"/>
  </w:num>
  <w:num w:numId="8">
    <w:abstractNumId w:val="17"/>
  </w:num>
  <w:num w:numId="9">
    <w:abstractNumId w:val="19"/>
  </w:num>
  <w:num w:numId="10">
    <w:abstractNumId w:val="23"/>
  </w:num>
  <w:num w:numId="11">
    <w:abstractNumId w:val="34"/>
  </w:num>
  <w:num w:numId="12">
    <w:abstractNumId w:val="15"/>
  </w:num>
  <w:num w:numId="13">
    <w:abstractNumId w:val="31"/>
  </w:num>
  <w:num w:numId="14">
    <w:abstractNumId w:val="40"/>
  </w:num>
  <w:num w:numId="15">
    <w:abstractNumId w:val="44"/>
  </w:num>
  <w:num w:numId="16">
    <w:abstractNumId w:val="37"/>
  </w:num>
  <w:num w:numId="17">
    <w:abstractNumId w:val="10"/>
  </w:num>
  <w:num w:numId="18">
    <w:abstractNumId w:val="5"/>
  </w:num>
  <w:num w:numId="19">
    <w:abstractNumId w:val="1"/>
  </w:num>
  <w:num w:numId="20">
    <w:abstractNumId w:val="20"/>
  </w:num>
  <w:num w:numId="21">
    <w:abstractNumId w:val="11"/>
  </w:num>
  <w:num w:numId="22">
    <w:abstractNumId w:val="38"/>
  </w:num>
  <w:num w:numId="23">
    <w:abstractNumId w:val="2"/>
  </w:num>
  <w:num w:numId="24">
    <w:abstractNumId w:val="4"/>
  </w:num>
  <w:num w:numId="25">
    <w:abstractNumId w:val="18"/>
  </w:num>
  <w:num w:numId="26">
    <w:abstractNumId w:val="33"/>
  </w:num>
  <w:num w:numId="27">
    <w:abstractNumId w:val="29"/>
  </w:num>
  <w:num w:numId="28">
    <w:abstractNumId w:val="14"/>
  </w:num>
  <w:num w:numId="29">
    <w:abstractNumId w:val="42"/>
  </w:num>
  <w:num w:numId="30">
    <w:abstractNumId w:val="26"/>
  </w:num>
  <w:num w:numId="31">
    <w:abstractNumId w:val="22"/>
  </w:num>
  <w:num w:numId="32">
    <w:abstractNumId w:val="7"/>
  </w:num>
  <w:num w:numId="33">
    <w:abstractNumId w:val="21"/>
  </w:num>
  <w:num w:numId="34">
    <w:abstractNumId w:val="0"/>
  </w:num>
  <w:num w:numId="35">
    <w:abstractNumId w:val="27"/>
  </w:num>
  <w:num w:numId="36">
    <w:abstractNumId w:val="41"/>
  </w:num>
  <w:num w:numId="37">
    <w:abstractNumId w:val="8"/>
  </w:num>
  <w:num w:numId="38">
    <w:abstractNumId w:val="3"/>
  </w:num>
  <w:num w:numId="39">
    <w:abstractNumId w:val="25"/>
  </w:num>
  <w:num w:numId="40">
    <w:abstractNumId w:val="24"/>
  </w:num>
  <w:num w:numId="41">
    <w:abstractNumId w:val="30"/>
  </w:num>
  <w:num w:numId="42">
    <w:abstractNumId w:val="35"/>
  </w:num>
  <w:num w:numId="43">
    <w:abstractNumId w:val="36"/>
  </w:num>
  <w:num w:numId="44">
    <w:abstractNumId w:val="13"/>
  </w:num>
  <w:num w:numId="45">
    <w:abstractNumId w:val="4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32AC"/>
    <w:rsid w:val="000549AC"/>
    <w:rsid w:val="00066EFE"/>
    <w:rsid w:val="00071E2C"/>
    <w:rsid w:val="000749CF"/>
    <w:rsid w:val="000A3905"/>
    <w:rsid w:val="000B2015"/>
    <w:rsid w:val="000C32A1"/>
    <w:rsid w:val="000D0F9D"/>
    <w:rsid w:val="000D2C9E"/>
    <w:rsid w:val="000E2887"/>
    <w:rsid w:val="000F279C"/>
    <w:rsid w:val="000F6504"/>
    <w:rsid w:val="00112068"/>
    <w:rsid w:val="00114C17"/>
    <w:rsid w:val="001158A1"/>
    <w:rsid w:val="00117C53"/>
    <w:rsid w:val="00121223"/>
    <w:rsid w:val="00124223"/>
    <w:rsid w:val="00131936"/>
    <w:rsid w:val="00131A8B"/>
    <w:rsid w:val="00136584"/>
    <w:rsid w:val="0014478B"/>
    <w:rsid w:val="00150D69"/>
    <w:rsid w:val="00153408"/>
    <w:rsid w:val="00153444"/>
    <w:rsid w:val="0016446B"/>
    <w:rsid w:val="00186FA3"/>
    <w:rsid w:val="00190BF4"/>
    <w:rsid w:val="00191704"/>
    <w:rsid w:val="00193694"/>
    <w:rsid w:val="00196A0C"/>
    <w:rsid w:val="001C1B20"/>
    <w:rsid w:val="001D190F"/>
    <w:rsid w:val="001E068E"/>
    <w:rsid w:val="001E0DCC"/>
    <w:rsid w:val="001E4D33"/>
    <w:rsid w:val="001F47E6"/>
    <w:rsid w:val="0021089D"/>
    <w:rsid w:val="00217241"/>
    <w:rsid w:val="00230BE2"/>
    <w:rsid w:val="00233ED8"/>
    <w:rsid w:val="00234983"/>
    <w:rsid w:val="002403EF"/>
    <w:rsid w:val="00241A74"/>
    <w:rsid w:val="00253FE9"/>
    <w:rsid w:val="00257AD5"/>
    <w:rsid w:val="00261F64"/>
    <w:rsid w:val="00264F33"/>
    <w:rsid w:val="0028259E"/>
    <w:rsid w:val="002A02B9"/>
    <w:rsid w:val="002B104A"/>
    <w:rsid w:val="002B7B6A"/>
    <w:rsid w:val="002C40FF"/>
    <w:rsid w:val="002D6E32"/>
    <w:rsid w:val="002E665E"/>
    <w:rsid w:val="002E76BD"/>
    <w:rsid w:val="002F087E"/>
    <w:rsid w:val="002F1265"/>
    <w:rsid w:val="002F6E23"/>
    <w:rsid w:val="00305FA0"/>
    <w:rsid w:val="0031198A"/>
    <w:rsid w:val="00352704"/>
    <w:rsid w:val="00360CC6"/>
    <w:rsid w:val="00370C81"/>
    <w:rsid w:val="00370FB9"/>
    <w:rsid w:val="00375966"/>
    <w:rsid w:val="00377ED7"/>
    <w:rsid w:val="0038114E"/>
    <w:rsid w:val="00387F82"/>
    <w:rsid w:val="0039065E"/>
    <w:rsid w:val="003A6906"/>
    <w:rsid w:val="003C0186"/>
    <w:rsid w:val="003C1A17"/>
    <w:rsid w:val="003C526A"/>
    <w:rsid w:val="003C7C54"/>
    <w:rsid w:val="003C7F1D"/>
    <w:rsid w:val="003D38B3"/>
    <w:rsid w:val="003E1F10"/>
    <w:rsid w:val="003E721A"/>
    <w:rsid w:val="0042524E"/>
    <w:rsid w:val="00432541"/>
    <w:rsid w:val="00433759"/>
    <w:rsid w:val="004502E2"/>
    <w:rsid w:val="00450A2B"/>
    <w:rsid w:val="004558DC"/>
    <w:rsid w:val="00460B6D"/>
    <w:rsid w:val="00461749"/>
    <w:rsid w:val="00470A70"/>
    <w:rsid w:val="004830A5"/>
    <w:rsid w:val="00485CA9"/>
    <w:rsid w:val="00485DFB"/>
    <w:rsid w:val="00493851"/>
    <w:rsid w:val="00497AF1"/>
    <w:rsid w:val="004A1645"/>
    <w:rsid w:val="004B795F"/>
    <w:rsid w:val="004D5A69"/>
    <w:rsid w:val="00525963"/>
    <w:rsid w:val="00531CD4"/>
    <w:rsid w:val="005510D3"/>
    <w:rsid w:val="005512AB"/>
    <w:rsid w:val="00552A56"/>
    <w:rsid w:val="0056213A"/>
    <w:rsid w:val="00563016"/>
    <w:rsid w:val="00575060"/>
    <w:rsid w:val="00576E02"/>
    <w:rsid w:val="00582E79"/>
    <w:rsid w:val="0058441F"/>
    <w:rsid w:val="0058799E"/>
    <w:rsid w:val="0059047A"/>
    <w:rsid w:val="005A430C"/>
    <w:rsid w:val="005A5B01"/>
    <w:rsid w:val="005B00DD"/>
    <w:rsid w:val="005C1D7A"/>
    <w:rsid w:val="005C298A"/>
    <w:rsid w:val="005C5A08"/>
    <w:rsid w:val="005D624D"/>
    <w:rsid w:val="005D782F"/>
    <w:rsid w:val="005E2046"/>
    <w:rsid w:val="005E7D92"/>
    <w:rsid w:val="005F471B"/>
    <w:rsid w:val="0060679A"/>
    <w:rsid w:val="006153C0"/>
    <w:rsid w:val="0061623C"/>
    <w:rsid w:val="00620DC5"/>
    <w:rsid w:val="00627F7A"/>
    <w:rsid w:val="00653926"/>
    <w:rsid w:val="006546E3"/>
    <w:rsid w:val="00662FD2"/>
    <w:rsid w:val="0067137A"/>
    <w:rsid w:val="00673B05"/>
    <w:rsid w:val="006768D4"/>
    <w:rsid w:val="00680D34"/>
    <w:rsid w:val="00681062"/>
    <w:rsid w:val="006A6F44"/>
    <w:rsid w:val="006D0AA6"/>
    <w:rsid w:val="006D56D7"/>
    <w:rsid w:val="006E3E7E"/>
    <w:rsid w:val="006E5591"/>
    <w:rsid w:val="006F3EFB"/>
    <w:rsid w:val="0070385A"/>
    <w:rsid w:val="007128B0"/>
    <w:rsid w:val="00717EE1"/>
    <w:rsid w:val="00721D35"/>
    <w:rsid w:val="00732B6A"/>
    <w:rsid w:val="007341F9"/>
    <w:rsid w:val="007501D2"/>
    <w:rsid w:val="00756F7A"/>
    <w:rsid w:val="0076290D"/>
    <w:rsid w:val="00767F03"/>
    <w:rsid w:val="00770BC0"/>
    <w:rsid w:val="00775EF3"/>
    <w:rsid w:val="00782639"/>
    <w:rsid w:val="00785EB4"/>
    <w:rsid w:val="00790648"/>
    <w:rsid w:val="007A3F79"/>
    <w:rsid w:val="007A7B26"/>
    <w:rsid w:val="007C3786"/>
    <w:rsid w:val="007C615F"/>
    <w:rsid w:val="007C772D"/>
    <w:rsid w:val="00807173"/>
    <w:rsid w:val="00825ED7"/>
    <w:rsid w:val="008407FA"/>
    <w:rsid w:val="008432E2"/>
    <w:rsid w:val="00855575"/>
    <w:rsid w:val="008574D5"/>
    <w:rsid w:val="00865C7D"/>
    <w:rsid w:val="008667AD"/>
    <w:rsid w:val="008705F0"/>
    <w:rsid w:val="008864E3"/>
    <w:rsid w:val="00886EF8"/>
    <w:rsid w:val="00894DD8"/>
    <w:rsid w:val="00895A78"/>
    <w:rsid w:val="008C03A4"/>
    <w:rsid w:val="008C4586"/>
    <w:rsid w:val="008D2205"/>
    <w:rsid w:val="008D54BB"/>
    <w:rsid w:val="008E620D"/>
    <w:rsid w:val="008F580C"/>
    <w:rsid w:val="009001AE"/>
    <w:rsid w:val="00907494"/>
    <w:rsid w:val="00921810"/>
    <w:rsid w:val="0092351C"/>
    <w:rsid w:val="00924D65"/>
    <w:rsid w:val="00931A95"/>
    <w:rsid w:val="00950E46"/>
    <w:rsid w:val="00952C4D"/>
    <w:rsid w:val="00953E13"/>
    <w:rsid w:val="009565EC"/>
    <w:rsid w:val="00974CA1"/>
    <w:rsid w:val="009909DB"/>
    <w:rsid w:val="00991A47"/>
    <w:rsid w:val="009B0053"/>
    <w:rsid w:val="009B269C"/>
    <w:rsid w:val="009C5168"/>
    <w:rsid w:val="009D2878"/>
    <w:rsid w:val="009E6D3A"/>
    <w:rsid w:val="009F3388"/>
    <w:rsid w:val="009F4C2C"/>
    <w:rsid w:val="009F760E"/>
    <w:rsid w:val="009F7D7A"/>
    <w:rsid w:val="00A00865"/>
    <w:rsid w:val="00A0195D"/>
    <w:rsid w:val="00A067CC"/>
    <w:rsid w:val="00A134B1"/>
    <w:rsid w:val="00A352FB"/>
    <w:rsid w:val="00A4047D"/>
    <w:rsid w:val="00A42467"/>
    <w:rsid w:val="00A4360A"/>
    <w:rsid w:val="00A46471"/>
    <w:rsid w:val="00A50B2F"/>
    <w:rsid w:val="00A523A3"/>
    <w:rsid w:val="00A65A69"/>
    <w:rsid w:val="00A7117D"/>
    <w:rsid w:val="00A8450F"/>
    <w:rsid w:val="00A91B76"/>
    <w:rsid w:val="00A94109"/>
    <w:rsid w:val="00AA098F"/>
    <w:rsid w:val="00AA0DA5"/>
    <w:rsid w:val="00AA29F0"/>
    <w:rsid w:val="00AA4009"/>
    <w:rsid w:val="00AA4201"/>
    <w:rsid w:val="00AA691A"/>
    <w:rsid w:val="00AC16C5"/>
    <w:rsid w:val="00AF282D"/>
    <w:rsid w:val="00B000B2"/>
    <w:rsid w:val="00B048A6"/>
    <w:rsid w:val="00B24125"/>
    <w:rsid w:val="00B25EC9"/>
    <w:rsid w:val="00B36371"/>
    <w:rsid w:val="00B46CA2"/>
    <w:rsid w:val="00B65222"/>
    <w:rsid w:val="00B67E18"/>
    <w:rsid w:val="00B73D84"/>
    <w:rsid w:val="00B74C98"/>
    <w:rsid w:val="00BB093A"/>
    <w:rsid w:val="00BB72BA"/>
    <w:rsid w:val="00BC2A68"/>
    <w:rsid w:val="00BD2E92"/>
    <w:rsid w:val="00BE07F7"/>
    <w:rsid w:val="00BE4A4E"/>
    <w:rsid w:val="00C06286"/>
    <w:rsid w:val="00C068E3"/>
    <w:rsid w:val="00C165AB"/>
    <w:rsid w:val="00C2356C"/>
    <w:rsid w:val="00C238B0"/>
    <w:rsid w:val="00C31AB2"/>
    <w:rsid w:val="00C40002"/>
    <w:rsid w:val="00C44BFE"/>
    <w:rsid w:val="00C503F9"/>
    <w:rsid w:val="00C512A3"/>
    <w:rsid w:val="00C60577"/>
    <w:rsid w:val="00C65CA5"/>
    <w:rsid w:val="00C7733A"/>
    <w:rsid w:val="00C831C4"/>
    <w:rsid w:val="00CB22E5"/>
    <w:rsid w:val="00CB37EE"/>
    <w:rsid w:val="00CC1AF6"/>
    <w:rsid w:val="00CC5B00"/>
    <w:rsid w:val="00CC6EF9"/>
    <w:rsid w:val="00CD5206"/>
    <w:rsid w:val="00CD5C05"/>
    <w:rsid w:val="00CE1F58"/>
    <w:rsid w:val="00CE4015"/>
    <w:rsid w:val="00CF169B"/>
    <w:rsid w:val="00CF7243"/>
    <w:rsid w:val="00D10709"/>
    <w:rsid w:val="00D20452"/>
    <w:rsid w:val="00D216F8"/>
    <w:rsid w:val="00D27431"/>
    <w:rsid w:val="00D3141A"/>
    <w:rsid w:val="00D3194B"/>
    <w:rsid w:val="00D3790D"/>
    <w:rsid w:val="00D50F4D"/>
    <w:rsid w:val="00D65F57"/>
    <w:rsid w:val="00D7149C"/>
    <w:rsid w:val="00D73C75"/>
    <w:rsid w:val="00D80316"/>
    <w:rsid w:val="00D87F49"/>
    <w:rsid w:val="00D91DAE"/>
    <w:rsid w:val="00D93F7F"/>
    <w:rsid w:val="00D96DE4"/>
    <w:rsid w:val="00DA6B06"/>
    <w:rsid w:val="00DA7307"/>
    <w:rsid w:val="00DB61E5"/>
    <w:rsid w:val="00DC22C4"/>
    <w:rsid w:val="00DD3E7D"/>
    <w:rsid w:val="00DD5186"/>
    <w:rsid w:val="00E0206F"/>
    <w:rsid w:val="00E05B5D"/>
    <w:rsid w:val="00E1012C"/>
    <w:rsid w:val="00E2262D"/>
    <w:rsid w:val="00E24DB8"/>
    <w:rsid w:val="00E32596"/>
    <w:rsid w:val="00E33BEF"/>
    <w:rsid w:val="00E34A2F"/>
    <w:rsid w:val="00E35352"/>
    <w:rsid w:val="00E457AC"/>
    <w:rsid w:val="00E56E5A"/>
    <w:rsid w:val="00E76A16"/>
    <w:rsid w:val="00E8491C"/>
    <w:rsid w:val="00E85186"/>
    <w:rsid w:val="00E85D7B"/>
    <w:rsid w:val="00E9114A"/>
    <w:rsid w:val="00E951D0"/>
    <w:rsid w:val="00E97B79"/>
    <w:rsid w:val="00EA0B68"/>
    <w:rsid w:val="00EA1938"/>
    <w:rsid w:val="00EA6F6A"/>
    <w:rsid w:val="00EB078C"/>
    <w:rsid w:val="00EB4760"/>
    <w:rsid w:val="00ED32E2"/>
    <w:rsid w:val="00ED6972"/>
    <w:rsid w:val="00EE178F"/>
    <w:rsid w:val="00EE6E4A"/>
    <w:rsid w:val="00EF2638"/>
    <w:rsid w:val="00EF60FC"/>
    <w:rsid w:val="00EF719A"/>
    <w:rsid w:val="00F01C60"/>
    <w:rsid w:val="00F01E00"/>
    <w:rsid w:val="00F05B70"/>
    <w:rsid w:val="00F13270"/>
    <w:rsid w:val="00F338B4"/>
    <w:rsid w:val="00F5122F"/>
    <w:rsid w:val="00F77E98"/>
    <w:rsid w:val="00F85790"/>
    <w:rsid w:val="00FB2A0B"/>
    <w:rsid w:val="00FB3983"/>
    <w:rsid w:val="00FC04D6"/>
    <w:rsid w:val="00FC648A"/>
    <w:rsid w:val="00FD0E90"/>
    <w:rsid w:val="00FD61A8"/>
    <w:rsid w:val="00FE5428"/>
    <w:rsid w:val="00FF0000"/>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3B8DDB0"/>
  <w15:docId w15:val="{5B257CA4-F018-4D62-8B56-EB5F26F1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6"/>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C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nationalarchives.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ationalarchives.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ov.uk" TargetMode="External"/><Relationship Id="rId5" Type="http://schemas.openxmlformats.org/officeDocument/2006/relationships/webSettings" Target="webSettings.xml"/><Relationship Id="rId15" Type="http://schemas.openxmlformats.org/officeDocument/2006/relationships/hyperlink" Target="https://www.gov.uk/government/publications/short-form-terms-and-conditions" TargetMode="External"/><Relationship Id="rId10" Type="http://schemas.openxmlformats.org/officeDocument/2006/relationships/hyperlink" Target="https://www.splunk.com/en_us/support-and-services/support-programs.html"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hyperlink" Target="mailto:procurement@nationalarchive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85BA-A0F4-43CE-9623-25C37345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Chris</dc:creator>
  <cp:lastModifiedBy>Verma, Radhika</cp:lastModifiedBy>
  <cp:revision>3</cp:revision>
  <cp:lastPrinted>2016-11-24T10:43:00Z</cp:lastPrinted>
  <dcterms:created xsi:type="dcterms:W3CDTF">2018-10-12T10:13:00Z</dcterms:created>
  <dcterms:modified xsi:type="dcterms:W3CDTF">2018-10-12T10:17:00Z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A4685386</vt:lpwstr>
  </property>
  <property fmtid="{D5CDD505-2E9C-101B-9397-08002B2CF9AE}" pid="4" name="Objective-Title">
    <vt:lpwstr>Amended Invitation to Tender - Splunk</vt:lpwstr>
  </property>
  <property fmtid="{D5CDD505-2E9C-101B-9397-08002B2CF9AE}" pid="5" name="Objective-Comment">
    <vt:lpwstr/>
  </property>
  <property fmtid="{D5CDD505-2E9C-101B-9397-08002B2CF9AE}" pid="6" name="Objective-CreationStamp">
    <vt:filetime>2017-10-17T12:12:50Z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2017-10-17T12:20:12Z</vt:filetime>
  </property>
  <property fmtid="{D5CDD505-2E9C-101B-9397-08002B2CF9AE}" pid="10" name="Objective-ModificationStamp">
    <vt:filetime>2017-10-17T12:20:12Z</vt:filetime>
  </property>
  <property fmtid="{D5CDD505-2E9C-101B-9397-08002B2CF9AE}" pid="11" name="Objective-Owner">
    <vt:lpwstr>Jon Ryder-Oliver</vt:lpwstr>
  </property>
  <property fmtid="{D5CDD505-2E9C-101B-9397-08002B2CF9AE}" pid="12" name="Objective-Path">
    <vt:lpwstr>File Plan:Procurement and Contract Management:Tenders Closed:20172018_Splunk JRO:Requirement:</vt:lpwstr>
  </property>
  <property fmtid="{D5CDD505-2E9C-101B-9397-08002B2CF9AE}" pid="13" name="Objective-Parent">
    <vt:lpwstr>Requirement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