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38A45" w14:textId="77777777" w:rsidR="00F80FA4" w:rsidRDefault="00F80FA4">
      <w:pPr>
        <w:pStyle w:val="Heading1"/>
        <w:numPr>
          <w:ilvl w:val="1"/>
          <w:numId w:val="5"/>
        </w:numPr>
        <w:tabs>
          <w:tab w:val="left" w:pos="0"/>
        </w:tabs>
        <w:spacing w:before="0" w:after="80"/>
        <w:rPr>
          <w:b/>
          <w:sz w:val="36"/>
          <w:szCs w:val="36"/>
        </w:rPr>
      </w:pPr>
      <w:bookmarkStart w:id="0" w:name="_gjdgxs" w:colFirst="0" w:colLast="0"/>
      <w:bookmarkEnd w:id="0"/>
    </w:p>
    <w:p w14:paraId="017C4174" w14:textId="77777777" w:rsidR="00F80FA4" w:rsidRDefault="00AD658B">
      <w:pPr>
        <w:pStyle w:val="Heading1"/>
        <w:numPr>
          <w:ilvl w:val="1"/>
          <w:numId w:val="5"/>
        </w:numPr>
        <w:tabs>
          <w:tab w:val="left" w:pos="0"/>
        </w:tabs>
        <w:spacing w:before="0" w:after="80"/>
      </w:pPr>
      <w:bookmarkStart w:id="1" w:name="_30j0zll" w:colFirst="0" w:colLast="0"/>
      <w:bookmarkEnd w:id="1"/>
      <w:r>
        <w:rPr>
          <w:b/>
          <w:sz w:val="36"/>
          <w:szCs w:val="36"/>
        </w:rPr>
        <w:t>RM6187 Framework Schedule 4 (Order Form and Call-Off Schedules)</w:t>
      </w:r>
    </w:p>
    <w:p w14:paraId="16E7B518" w14:textId="77777777" w:rsidR="00F80FA4" w:rsidRDefault="00F80FA4">
      <w:pPr>
        <w:spacing w:line="240" w:lineRule="auto"/>
        <w:rPr>
          <w:b/>
          <w:sz w:val="36"/>
          <w:szCs w:val="36"/>
        </w:rPr>
      </w:pPr>
    </w:p>
    <w:p w14:paraId="521B04CE" w14:textId="77777777" w:rsidR="00F80FA4" w:rsidRDefault="00AD658B">
      <w:pPr>
        <w:pStyle w:val="Heading2"/>
        <w:numPr>
          <w:ilvl w:val="1"/>
          <w:numId w:val="5"/>
        </w:numPr>
      </w:pPr>
      <w:bookmarkStart w:id="2" w:name="_1fob9te" w:colFirst="0" w:colLast="0"/>
      <w:bookmarkEnd w:id="2"/>
      <w:r>
        <w:t>Order Form</w:t>
      </w:r>
    </w:p>
    <w:p w14:paraId="719422D2" w14:textId="77777777" w:rsidR="00F80FA4" w:rsidRDefault="00F80FA4">
      <w:pPr>
        <w:spacing w:line="240" w:lineRule="auto"/>
        <w:rPr>
          <w:b/>
          <w:sz w:val="24"/>
          <w:szCs w:val="24"/>
        </w:rPr>
      </w:pPr>
    </w:p>
    <w:p w14:paraId="5B08BB7D" w14:textId="77777777" w:rsidR="00F80FA4" w:rsidRDefault="00F80FA4">
      <w:pPr>
        <w:spacing w:line="252" w:lineRule="auto"/>
        <w:rPr>
          <w:b/>
          <w:sz w:val="24"/>
          <w:szCs w:val="24"/>
        </w:rPr>
      </w:pPr>
    </w:p>
    <w:p w14:paraId="790D8525" w14:textId="77777777" w:rsidR="00F80FA4" w:rsidRDefault="00AD658B">
      <w:pPr>
        <w:spacing w:line="252" w:lineRule="auto"/>
        <w:rPr>
          <w:sz w:val="24"/>
          <w:szCs w:val="24"/>
        </w:rPr>
      </w:pPr>
      <w:r>
        <w:rPr>
          <w:sz w:val="24"/>
          <w:szCs w:val="24"/>
        </w:rPr>
        <w:t>CALL-OFF REFERENCE:</w:t>
      </w:r>
      <w:r>
        <w:rPr>
          <w:sz w:val="24"/>
          <w:szCs w:val="24"/>
        </w:rPr>
        <w:tab/>
      </w:r>
      <w:r>
        <w:rPr>
          <w:sz w:val="24"/>
          <w:szCs w:val="24"/>
        </w:rPr>
        <w:tab/>
        <w:t xml:space="preserve"> CCCN24A01</w:t>
      </w:r>
    </w:p>
    <w:p w14:paraId="16B9DB5F" w14:textId="77777777" w:rsidR="00F80FA4" w:rsidRDefault="00F80FA4">
      <w:pPr>
        <w:spacing w:line="252" w:lineRule="auto"/>
        <w:rPr>
          <w:sz w:val="24"/>
          <w:szCs w:val="24"/>
        </w:rPr>
      </w:pPr>
    </w:p>
    <w:p w14:paraId="732199F5" w14:textId="77777777" w:rsidR="00F80FA4" w:rsidRDefault="00AD658B">
      <w:pPr>
        <w:spacing w:line="252" w:lineRule="auto"/>
        <w:rPr>
          <w:sz w:val="24"/>
          <w:szCs w:val="24"/>
        </w:rPr>
      </w:pPr>
      <w:r>
        <w:rPr>
          <w:sz w:val="24"/>
          <w:szCs w:val="24"/>
        </w:rPr>
        <w:t>THE BUYER:</w:t>
      </w:r>
      <w:r>
        <w:rPr>
          <w:sz w:val="24"/>
          <w:szCs w:val="24"/>
        </w:rPr>
        <w:tab/>
      </w:r>
      <w:r>
        <w:rPr>
          <w:sz w:val="24"/>
          <w:szCs w:val="24"/>
        </w:rPr>
        <w:tab/>
      </w:r>
      <w:r>
        <w:rPr>
          <w:sz w:val="24"/>
          <w:szCs w:val="24"/>
        </w:rPr>
        <w:tab/>
        <w:t xml:space="preserve"> Crown Commercial Service</w:t>
      </w:r>
    </w:p>
    <w:p w14:paraId="6B1C5306" w14:textId="77777777" w:rsidR="00F80FA4" w:rsidRDefault="00AD658B">
      <w:pPr>
        <w:spacing w:line="252" w:lineRule="auto"/>
      </w:pPr>
      <w:r>
        <w:rPr>
          <w:sz w:val="24"/>
          <w:szCs w:val="24"/>
        </w:rPr>
        <w:t xml:space="preserve"> </w:t>
      </w:r>
    </w:p>
    <w:p w14:paraId="38A9F34F" w14:textId="77777777" w:rsidR="00F80FA4" w:rsidRDefault="00AD658B">
      <w:pPr>
        <w:spacing w:line="252" w:lineRule="auto"/>
        <w:rPr>
          <w:sz w:val="24"/>
          <w:szCs w:val="24"/>
        </w:rPr>
      </w:pPr>
      <w:r>
        <w:rPr>
          <w:sz w:val="24"/>
          <w:szCs w:val="24"/>
        </w:rPr>
        <w:t>BUYER ADDRESS</w:t>
      </w:r>
      <w:r>
        <w:rPr>
          <w:sz w:val="24"/>
          <w:szCs w:val="24"/>
        </w:rPr>
        <w:tab/>
      </w:r>
      <w:r>
        <w:rPr>
          <w:sz w:val="24"/>
          <w:szCs w:val="24"/>
        </w:rPr>
        <w:tab/>
      </w:r>
      <w:r>
        <w:rPr>
          <w:sz w:val="24"/>
          <w:szCs w:val="24"/>
        </w:rPr>
        <w:tab/>
        <w:t xml:space="preserve"> 9 Floor, The Capital Building, Old Hall Street</w:t>
      </w:r>
    </w:p>
    <w:p w14:paraId="6AE7E75A" w14:textId="77777777" w:rsidR="00F80FA4" w:rsidRDefault="00AD658B">
      <w:pPr>
        <w:spacing w:line="252" w:lineRule="auto"/>
        <w:ind w:left="3686"/>
        <w:rPr>
          <w:sz w:val="24"/>
          <w:szCs w:val="24"/>
        </w:rPr>
      </w:pPr>
      <w:r>
        <w:rPr>
          <w:sz w:val="24"/>
          <w:szCs w:val="24"/>
        </w:rPr>
        <w:t>Liverpool, L3 9PP England</w:t>
      </w:r>
    </w:p>
    <w:p w14:paraId="5DA356BD" w14:textId="77777777" w:rsidR="00F80FA4" w:rsidRDefault="00F80FA4">
      <w:pPr>
        <w:spacing w:line="252" w:lineRule="auto"/>
        <w:ind w:left="3686"/>
        <w:rPr>
          <w:sz w:val="24"/>
          <w:szCs w:val="24"/>
        </w:rPr>
      </w:pPr>
    </w:p>
    <w:p w14:paraId="5E4371FE" w14:textId="513A4C8A" w:rsidR="00F80FA4" w:rsidRDefault="00AD658B">
      <w:pPr>
        <w:spacing w:after="200" w:line="240" w:lineRule="auto"/>
      </w:pPr>
      <w:r>
        <w:rPr>
          <w:sz w:val="24"/>
          <w:szCs w:val="24"/>
        </w:rPr>
        <w:t xml:space="preserve">THE SUPPLIER: </w:t>
      </w:r>
      <w:r>
        <w:rPr>
          <w:sz w:val="24"/>
          <w:szCs w:val="24"/>
        </w:rPr>
        <w:tab/>
      </w:r>
      <w:r>
        <w:rPr>
          <w:sz w:val="24"/>
          <w:szCs w:val="24"/>
        </w:rPr>
        <w:tab/>
      </w:r>
      <w:r>
        <w:rPr>
          <w:sz w:val="24"/>
          <w:szCs w:val="24"/>
        </w:rPr>
        <w:tab/>
      </w:r>
      <w:r>
        <w:rPr>
          <w:b/>
          <w:sz w:val="24"/>
          <w:szCs w:val="24"/>
        </w:rPr>
        <w:t xml:space="preserve"> </w:t>
      </w:r>
      <w:r w:rsidR="00C10F15" w:rsidRPr="00C10F15">
        <w:rPr>
          <w:sz w:val="24"/>
          <w:szCs w:val="24"/>
        </w:rPr>
        <w:t>4C Associates</w:t>
      </w:r>
    </w:p>
    <w:p w14:paraId="63E087DD" w14:textId="4785724D" w:rsidR="00C10F15" w:rsidRDefault="00AD658B" w:rsidP="00C10F15">
      <w:pPr>
        <w:tabs>
          <w:tab w:val="center" w:pos="4153"/>
          <w:tab w:val="right" w:pos="8306"/>
        </w:tabs>
        <w:spacing w:after="120"/>
        <w:rPr>
          <w:b/>
          <w:sz w:val="24"/>
          <w:szCs w:val="24"/>
        </w:rPr>
      </w:pPr>
      <w:r>
        <w:rPr>
          <w:sz w:val="24"/>
          <w:szCs w:val="24"/>
        </w:rPr>
        <w:t>SUPPLIER ADDRESS:</w:t>
      </w:r>
      <w:r w:rsidR="00C10F15">
        <w:rPr>
          <w:b/>
          <w:sz w:val="24"/>
          <w:szCs w:val="24"/>
        </w:rPr>
        <w:t xml:space="preserve">                  </w:t>
      </w:r>
      <w:r w:rsidR="00C10F15" w:rsidRPr="00C10F15">
        <w:rPr>
          <w:sz w:val="24"/>
          <w:szCs w:val="24"/>
        </w:rPr>
        <w:t>174 5</w:t>
      </w:r>
      <w:r w:rsidR="00C10F15" w:rsidRPr="00C10F15">
        <w:rPr>
          <w:sz w:val="24"/>
          <w:szCs w:val="24"/>
          <w:vertAlign w:val="superscript"/>
        </w:rPr>
        <w:t>TH</w:t>
      </w:r>
      <w:r w:rsidR="00C10F15" w:rsidRPr="00C10F15">
        <w:rPr>
          <w:sz w:val="24"/>
          <w:szCs w:val="24"/>
        </w:rPr>
        <w:t xml:space="preserve"> Floor, Kings House</w:t>
      </w:r>
    </w:p>
    <w:p w14:paraId="657ED740" w14:textId="102D67EB" w:rsidR="00C10F15" w:rsidRDefault="00C10F15" w:rsidP="00C10F15">
      <w:pPr>
        <w:tabs>
          <w:tab w:val="center" w:pos="4153"/>
          <w:tab w:val="right" w:pos="8306"/>
        </w:tabs>
        <w:spacing w:after="120"/>
      </w:pPr>
      <w:r>
        <w:t xml:space="preserve">                                                             Hammersmith Road</w:t>
      </w:r>
    </w:p>
    <w:p w14:paraId="38F8558C" w14:textId="1687E544" w:rsidR="00C10F15" w:rsidRDefault="00C10F15" w:rsidP="00C10F15">
      <w:pPr>
        <w:tabs>
          <w:tab w:val="center" w:pos="4153"/>
          <w:tab w:val="right" w:pos="8306"/>
        </w:tabs>
        <w:spacing w:after="120"/>
      </w:pPr>
      <w:r>
        <w:t xml:space="preserve">                                                             London</w:t>
      </w:r>
    </w:p>
    <w:p w14:paraId="76732044" w14:textId="1B2C8BC4" w:rsidR="00C10F15" w:rsidRDefault="00C10F15" w:rsidP="00C10F15">
      <w:pPr>
        <w:tabs>
          <w:tab w:val="center" w:pos="4153"/>
          <w:tab w:val="right" w:pos="8306"/>
        </w:tabs>
        <w:spacing w:after="120"/>
      </w:pPr>
      <w:r>
        <w:t xml:space="preserve">                                                             W6 7JP</w:t>
      </w:r>
    </w:p>
    <w:p w14:paraId="5C78F53D" w14:textId="0F1E6033" w:rsidR="00F80FA4" w:rsidRDefault="00F80FA4">
      <w:pPr>
        <w:spacing w:after="200" w:line="240" w:lineRule="auto"/>
      </w:pPr>
    </w:p>
    <w:p w14:paraId="27650871" w14:textId="6E7697A4" w:rsidR="00F80FA4" w:rsidRDefault="00AD658B">
      <w:pPr>
        <w:spacing w:after="200" w:line="240" w:lineRule="auto"/>
      </w:pPr>
      <w:r>
        <w:rPr>
          <w:sz w:val="24"/>
          <w:szCs w:val="24"/>
        </w:rPr>
        <w:t>REGISTRATION NUMBER:</w:t>
      </w:r>
      <w:r>
        <w:rPr>
          <w:b/>
          <w:sz w:val="24"/>
          <w:szCs w:val="24"/>
        </w:rPr>
        <w:t xml:space="preserve"> </w:t>
      </w:r>
      <w:r>
        <w:rPr>
          <w:b/>
          <w:sz w:val="24"/>
          <w:szCs w:val="24"/>
        </w:rPr>
        <w:tab/>
        <w:t xml:space="preserve"> </w:t>
      </w:r>
      <w:r w:rsidR="00C10F15" w:rsidRPr="00C10F15">
        <w:rPr>
          <w:sz w:val="24"/>
          <w:szCs w:val="24"/>
        </w:rPr>
        <w:t>4018096</w:t>
      </w:r>
      <w:r w:rsidRPr="00C10F15">
        <w:rPr>
          <w:sz w:val="24"/>
          <w:szCs w:val="24"/>
        </w:rPr>
        <w:t xml:space="preserve">  </w:t>
      </w:r>
    </w:p>
    <w:p w14:paraId="5C0BE219" w14:textId="0C5FD183" w:rsidR="00F80FA4" w:rsidRDefault="00AD658B" w:rsidP="00C10F15">
      <w:pPr>
        <w:spacing w:after="200" w:line="240" w:lineRule="auto"/>
        <w:rPr>
          <w:b/>
          <w:sz w:val="24"/>
          <w:szCs w:val="24"/>
        </w:rPr>
      </w:pPr>
      <w:r>
        <w:rPr>
          <w:sz w:val="24"/>
          <w:szCs w:val="24"/>
        </w:rPr>
        <w:t>DUNS NUMBER:</w:t>
      </w:r>
      <w:r>
        <w:rPr>
          <w:b/>
          <w:sz w:val="24"/>
          <w:szCs w:val="24"/>
        </w:rPr>
        <w:t xml:space="preserve">       </w:t>
      </w:r>
      <w:r>
        <w:rPr>
          <w:b/>
          <w:sz w:val="24"/>
          <w:szCs w:val="24"/>
        </w:rPr>
        <w:tab/>
      </w:r>
      <w:r>
        <w:rPr>
          <w:b/>
          <w:sz w:val="24"/>
          <w:szCs w:val="24"/>
        </w:rPr>
        <w:tab/>
        <w:t xml:space="preserve"> </w:t>
      </w:r>
      <w:r w:rsidR="00C10F15" w:rsidRPr="00C10F15">
        <w:rPr>
          <w:sz w:val="24"/>
          <w:szCs w:val="24"/>
        </w:rPr>
        <w:t>220151604</w:t>
      </w:r>
    </w:p>
    <w:p w14:paraId="4EEDB026" w14:textId="77777777" w:rsidR="00F80FA4" w:rsidRDefault="00F80FA4">
      <w:pPr>
        <w:spacing w:line="240" w:lineRule="auto"/>
        <w:rPr>
          <w:sz w:val="24"/>
          <w:szCs w:val="24"/>
          <w:highlight w:val="white"/>
        </w:rPr>
      </w:pPr>
    </w:p>
    <w:p w14:paraId="0F8B7E32" w14:textId="77777777" w:rsidR="00F80FA4" w:rsidRDefault="00AD658B">
      <w:pPr>
        <w:pStyle w:val="Heading3"/>
        <w:numPr>
          <w:ilvl w:val="2"/>
          <w:numId w:val="4"/>
        </w:numPr>
      </w:pPr>
      <w:bookmarkStart w:id="3" w:name="_3znysh7" w:colFirst="0" w:colLast="0"/>
      <w:bookmarkEnd w:id="3"/>
      <w:r>
        <w:t>Applicable framework contract</w:t>
      </w:r>
    </w:p>
    <w:p w14:paraId="7574F637" w14:textId="099B7714" w:rsidR="00F80FA4" w:rsidRDefault="00AD658B">
      <w:pPr>
        <w:spacing w:line="252" w:lineRule="auto"/>
        <w:jc w:val="both"/>
        <w:rPr>
          <w:b/>
          <w:sz w:val="24"/>
          <w:szCs w:val="24"/>
        </w:rPr>
      </w:pPr>
      <w:r>
        <w:rPr>
          <w:sz w:val="24"/>
          <w:szCs w:val="24"/>
        </w:rPr>
        <w:t xml:space="preserve">This Order Form is for the provision of the Call-Off Deliverables and dated </w:t>
      </w:r>
      <w:r w:rsidR="00C10F15">
        <w:rPr>
          <w:sz w:val="24"/>
          <w:szCs w:val="24"/>
        </w:rPr>
        <w:t>16</w:t>
      </w:r>
      <w:r w:rsidR="00C10F15">
        <w:rPr>
          <w:sz w:val="24"/>
          <w:szCs w:val="24"/>
          <w:vertAlign w:val="superscript"/>
        </w:rPr>
        <w:t xml:space="preserve">th </w:t>
      </w:r>
      <w:r w:rsidR="00C10F15" w:rsidRPr="00C10F15">
        <w:rPr>
          <w:sz w:val="24"/>
          <w:szCs w:val="24"/>
        </w:rPr>
        <w:t>September 2024.</w:t>
      </w:r>
    </w:p>
    <w:p w14:paraId="231682B6" w14:textId="77777777" w:rsidR="00F80FA4" w:rsidRDefault="00F80FA4">
      <w:pPr>
        <w:spacing w:line="252" w:lineRule="auto"/>
        <w:jc w:val="both"/>
        <w:rPr>
          <w:b/>
          <w:sz w:val="24"/>
          <w:szCs w:val="24"/>
        </w:rPr>
      </w:pPr>
    </w:p>
    <w:p w14:paraId="31A134CB" w14:textId="2999D2D6" w:rsidR="00F80FA4" w:rsidRDefault="00AD658B">
      <w:pPr>
        <w:spacing w:line="252" w:lineRule="auto"/>
        <w:jc w:val="both"/>
      </w:pPr>
      <w:r>
        <w:rPr>
          <w:sz w:val="24"/>
          <w:szCs w:val="24"/>
        </w:rPr>
        <w:t xml:space="preserve">It’s issued under the Framework Contract with the reference number RM6187 for the </w:t>
      </w:r>
      <w:r w:rsidR="00014C3A">
        <w:rPr>
          <w:sz w:val="24"/>
          <w:szCs w:val="24"/>
        </w:rPr>
        <w:t>P</w:t>
      </w:r>
      <w:r>
        <w:rPr>
          <w:sz w:val="24"/>
          <w:szCs w:val="24"/>
        </w:rPr>
        <w:t xml:space="preserve">rovision of Construction Professional Services 2 Agreement: Construction Consultancy.   </w:t>
      </w:r>
    </w:p>
    <w:p w14:paraId="10731DD3" w14:textId="77777777" w:rsidR="00F80FA4" w:rsidRDefault="00F80FA4">
      <w:pPr>
        <w:tabs>
          <w:tab w:val="left" w:pos="2257"/>
        </w:tabs>
        <w:spacing w:line="252" w:lineRule="auto"/>
        <w:rPr>
          <w:b/>
          <w:sz w:val="24"/>
          <w:szCs w:val="24"/>
        </w:rPr>
      </w:pPr>
    </w:p>
    <w:p w14:paraId="2B4BE578" w14:textId="77777777" w:rsidR="00F80FA4" w:rsidRDefault="00AD658B">
      <w:pPr>
        <w:pStyle w:val="Heading3"/>
        <w:numPr>
          <w:ilvl w:val="2"/>
          <w:numId w:val="4"/>
        </w:numPr>
        <w:tabs>
          <w:tab w:val="left" w:pos="2880"/>
          <w:tab w:val="left" w:pos="5137"/>
        </w:tabs>
        <w:spacing w:line="252" w:lineRule="auto"/>
      </w:pPr>
      <w:bookmarkStart w:id="4" w:name="_2et92p0" w:colFirst="0" w:colLast="0"/>
      <w:bookmarkEnd w:id="4"/>
      <w:r>
        <w:t>CALL-OFF LOT(S):</w:t>
      </w:r>
    </w:p>
    <w:p w14:paraId="19AF00D1" w14:textId="4C08EEFD" w:rsidR="00F80FA4" w:rsidRPr="00C10F15" w:rsidRDefault="00AD658B">
      <w:pPr>
        <w:tabs>
          <w:tab w:val="left" w:pos="5137"/>
        </w:tabs>
        <w:spacing w:line="252" w:lineRule="auto"/>
      </w:pPr>
      <w:r w:rsidRPr="00C10F15">
        <w:rPr>
          <w:sz w:val="24"/>
          <w:szCs w:val="24"/>
        </w:rPr>
        <w:t>MCF3 Management Consultancy Framework Three Lot 1</w:t>
      </w:r>
      <w:r w:rsidR="00C10F15" w:rsidRPr="00C10F15">
        <w:rPr>
          <w:sz w:val="24"/>
          <w:szCs w:val="24"/>
        </w:rPr>
        <w:t>: Business</w:t>
      </w:r>
    </w:p>
    <w:p w14:paraId="69BF0BB1" w14:textId="77777777" w:rsidR="00F80FA4" w:rsidRDefault="00AD658B">
      <w:pPr>
        <w:pStyle w:val="Heading3"/>
        <w:numPr>
          <w:ilvl w:val="2"/>
          <w:numId w:val="4"/>
        </w:numPr>
      </w:pPr>
      <w:bookmarkStart w:id="5" w:name="_tyjcwt" w:colFirst="0" w:colLast="0"/>
      <w:bookmarkEnd w:id="5"/>
      <w:r>
        <w:t>Call-off incorporated terms</w:t>
      </w:r>
    </w:p>
    <w:p w14:paraId="6130873A" w14:textId="77777777" w:rsidR="00F80FA4" w:rsidRDefault="00AD658B">
      <w:pPr>
        <w:tabs>
          <w:tab w:val="left" w:pos="0"/>
        </w:tabs>
      </w:pPr>
      <w:r>
        <w:rPr>
          <w:sz w:val="24"/>
          <w:szCs w:val="24"/>
        </w:rPr>
        <w:t>The following documents are incorporated into this Call-Off Contract.</w:t>
      </w:r>
    </w:p>
    <w:p w14:paraId="1DC09490" w14:textId="77777777" w:rsidR="00F80FA4" w:rsidRDefault="00AD658B">
      <w:pPr>
        <w:spacing w:line="240" w:lineRule="auto"/>
      </w:pPr>
      <w:r>
        <w:rPr>
          <w:sz w:val="24"/>
          <w:szCs w:val="24"/>
          <w:highlight w:val="white"/>
        </w:rPr>
        <w:t>Where schedules are missing, those schedules are not part of the agreement and cannot be used. If the documents conflict, the following order of precedence applies:</w:t>
      </w:r>
    </w:p>
    <w:p w14:paraId="00101FA6" w14:textId="77777777" w:rsidR="00F80FA4" w:rsidRDefault="00F80FA4">
      <w:pPr>
        <w:spacing w:line="240" w:lineRule="auto"/>
        <w:rPr>
          <w:sz w:val="24"/>
          <w:szCs w:val="24"/>
        </w:rPr>
      </w:pPr>
    </w:p>
    <w:p w14:paraId="059AD3CA" w14:textId="77777777" w:rsidR="00F80FA4" w:rsidRDefault="00AD658B">
      <w:pPr>
        <w:numPr>
          <w:ilvl w:val="0"/>
          <w:numId w:val="3"/>
        </w:numPr>
      </w:pPr>
      <w:r>
        <w:rPr>
          <w:sz w:val="24"/>
          <w:szCs w:val="24"/>
        </w:rPr>
        <w:lastRenderedPageBreak/>
        <w:t>This Order Form includes the Call-Off Special Terms and Call-Off Special Schedules.</w:t>
      </w:r>
    </w:p>
    <w:p w14:paraId="1FBB8D81" w14:textId="77777777" w:rsidR="00F80FA4" w:rsidRDefault="00AD658B">
      <w:pPr>
        <w:numPr>
          <w:ilvl w:val="0"/>
          <w:numId w:val="3"/>
        </w:numPr>
        <w:spacing w:line="252" w:lineRule="auto"/>
      </w:pPr>
      <w:r>
        <w:rPr>
          <w:sz w:val="24"/>
          <w:szCs w:val="24"/>
        </w:rPr>
        <w:t>Joint Schedule 1(Definitions and Interpretation) RM6187</w:t>
      </w:r>
    </w:p>
    <w:p w14:paraId="793059EE" w14:textId="77777777" w:rsidR="00F80FA4" w:rsidRDefault="00AD658B">
      <w:pPr>
        <w:keepNext/>
        <w:numPr>
          <w:ilvl w:val="0"/>
          <w:numId w:val="3"/>
        </w:numPr>
        <w:spacing w:line="252" w:lineRule="auto"/>
      </w:pPr>
      <w:r>
        <w:rPr>
          <w:sz w:val="24"/>
          <w:szCs w:val="24"/>
        </w:rPr>
        <w:t>The following Schedules in equal order of precedence:</w:t>
      </w:r>
    </w:p>
    <w:p w14:paraId="4EF705CF" w14:textId="77777777" w:rsidR="00F80FA4" w:rsidRDefault="00AD658B">
      <w:pPr>
        <w:pStyle w:val="Heading3"/>
        <w:numPr>
          <w:ilvl w:val="2"/>
          <w:numId w:val="4"/>
        </w:numPr>
      </w:pPr>
      <w:bookmarkStart w:id="6" w:name="_3dy6vkm" w:colFirst="0" w:colLast="0"/>
      <w:bookmarkEnd w:id="6"/>
      <w:r>
        <w:t>Joint Schedules for RM6187 Management Consultancy Framework Three</w:t>
      </w:r>
    </w:p>
    <w:p w14:paraId="75A6A3E6" w14:textId="77777777" w:rsidR="00F80FA4" w:rsidRDefault="00AD658B">
      <w:pPr>
        <w:numPr>
          <w:ilvl w:val="1"/>
          <w:numId w:val="2"/>
        </w:numPr>
        <w:spacing w:line="252" w:lineRule="auto"/>
      </w:pPr>
      <w:r>
        <w:rPr>
          <w:sz w:val="24"/>
          <w:szCs w:val="24"/>
        </w:rPr>
        <w:t xml:space="preserve">Joint Schedule 1 (Definitions) </w:t>
      </w:r>
    </w:p>
    <w:p w14:paraId="14EA9642" w14:textId="77777777" w:rsidR="00F80FA4" w:rsidRDefault="00AD658B">
      <w:pPr>
        <w:numPr>
          <w:ilvl w:val="1"/>
          <w:numId w:val="2"/>
        </w:numPr>
        <w:spacing w:line="252" w:lineRule="auto"/>
      </w:pPr>
      <w:r>
        <w:rPr>
          <w:sz w:val="24"/>
          <w:szCs w:val="24"/>
        </w:rPr>
        <w:t xml:space="preserve">Joint Schedule 2 (Variation Form) </w:t>
      </w:r>
    </w:p>
    <w:p w14:paraId="06932471" w14:textId="77777777" w:rsidR="00F80FA4" w:rsidRDefault="00AD658B">
      <w:pPr>
        <w:numPr>
          <w:ilvl w:val="1"/>
          <w:numId w:val="2"/>
        </w:numPr>
        <w:spacing w:line="252" w:lineRule="auto"/>
      </w:pPr>
      <w:r>
        <w:rPr>
          <w:sz w:val="24"/>
          <w:szCs w:val="24"/>
        </w:rPr>
        <w:t xml:space="preserve">Joint Schedule 3 (Insurance Requirements) </w:t>
      </w:r>
    </w:p>
    <w:p w14:paraId="55E9BAF2" w14:textId="77777777" w:rsidR="00F80FA4" w:rsidRDefault="00AD658B">
      <w:pPr>
        <w:numPr>
          <w:ilvl w:val="1"/>
          <w:numId w:val="2"/>
        </w:numPr>
        <w:spacing w:line="252" w:lineRule="auto"/>
      </w:pPr>
      <w:r>
        <w:rPr>
          <w:sz w:val="24"/>
          <w:szCs w:val="24"/>
        </w:rPr>
        <w:t xml:space="preserve">Joint Schedule 4 (Commercially Sensitive Information) </w:t>
      </w:r>
    </w:p>
    <w:p w14:paraId="02B5C317" w14:textId="77777777" w:rsidR="00F80FA4" w:rsidRDefault="00AD658B">
      <w:pPr>
        <w:numPr>
          <w:ilvl w:val="1"/>
          <w:numId w:val="2"/>
        </w:numPr>
        <w:spacing w:line="252" w:lineRule="auto"/>
      </w:pPr>
      <w:r>
        <w:rPr>
          <w:sz w:val="24"/>
          <w:szCs w:val="24"/>
        </w:rPr>
        <w:t xml:space="preserve">Joint Schedule 10 (Rectification Plan) </w:t>
      </w:r>
      <w:r>
        <w:rPr>
          <w:sz w:val="24"/>
          <w:szCs w:val="24"/>
        </w:rPr>
        <w:tab/>
      </w:r>
      <w:r>
        <w:rPr>
          <w:sz w:val="24"/>
          <w:szCs w:val="24"/>
        </w:rPr>
        <w:tab/>
      </w:r>
      <w:r>
        <w:rPr>
          <w:sz w:val="24"/>
          <w:szCs w:val="24"/>
        </w:rPr>
        <w:tab/>
      </w:r>
    </w:p>
    <w:p w14:paraId="1209EF6C" w14:textId="77777777" w:rsidR="00F80FA4" w:rsidRDefault="00AD658B">
      <w:pPr>
        <w:numPr>
          <w:ilvl w:val="1"/>
          <w:numId w:val="2"/>
        </w:numPr>
        <w:spacing w:line="252" w:lineRule="auto"/>
      </w:pPr>
      <w:r>
        <w:rPr>
          <w:sz w:val="24"/>
          <w:szCs w:val="24"/>
        </w:rPr>
        <w:t>Joint Schedule 11 (Processing Data)</w:t>
      </w:r>
      <w:r>
        <w:rPr>
          <w:sz w:val="24"/>
          <w:szCs w:val="24"/>
        </w:rPr>
        <w:tab/>
      </w:r>
    </w:p>
    <w:p w14:paraId="2232C034" w14:textId="70C33A73" w:rsidR="00F80FA4" w:rsidRDefault="00AD658B">
      <w:pPr>
        <w:pStyle w:val="Heading3"/>
        <w:numPr>
          <w:ilvl w:val="2"/>
          <w:numId w:val="4"/>
        </w:numPr>
        <w:rPr>
          <w:highlight w:val="white"/>
        </w:rPr>
      </w:pPr>
      <w:r>
        <w:t>Call-O</w:t>
      </w:r>
      <w:r>
        <w:rPr>
          <w:highlight w:val="white"/>
        </w:rPr>
        <w:t>ff Schedules</w:t>
      </w:r>
      <w:r>
        <w:rPr>
          <w:highlight w:val="white"/>
        </w:rPr>
        <w:tab/>
      </w:r>
      <w:r>
        <w:rPr>
          <w:highlight w:val="white"/>
        </w:rPr>
        <w:tab/>
      </w:r>
    </w:p>
    <w:p w14:paraId="0CA649F0" w14:textId="626F2EEA" w:rsidR="00BE3B6D" w:rsidRDefault="00BE3B6D" w:rsidP="00BE3B6D"/>
    <w:p w14:paraId="5E679FB9" w14:textId="687A7C92" w:rsidR="00BE3B6D" w:rsidRPr="00A526EA" w:rsidRDefault="00BE3B6D" w:rsidP="00BE3B6D">
      <w:pPr>
        <w:pStyle w:val="ListParagraph"/>
        <w:numPr>
          <w:ilvl w:val="0"/>
          <w:numId w:val="6"/>
        </w:numPr>
        <w:rPr>
          <w:sz w:val="24"/>
          <w:szCs w:val="24"/>
        </w:rPr>
      </w:pPr>
      <w:r w:rsidRPr="00A526EA">
        <w:rPr>
          <w:sz w:val="24"/>
          <w:szCs w:val="24"/>
        </w:rPr>
        <w:t xml:space="preserve">Call-Off Schedule </w:t>
      </w:r>
      <w:r w:rsidR="00A526EA" w:rsidRPr="00A526EA">
        <w:rPr>
          <w:sz w:val="24"/>
          <w:szCs w:val="24"/>
        </w:rPr>
        <w:t>5 (Pricing)</w:t>
      </w:r>
    </w:p>
    <w:p w14:paraId="3E09E932" w14:textId="538F824E" w:rsidR="00A526EA" w:rsidRPr="00A526EA" w:rsidRDefault="00A526EA" w:rsidP="00BE3B6D">
      <w:pPr>
        <w:pStyle w:val="ListParagraph"/>
        <w:numPr>
          <w:ilvl w:val="0"/>
          <w:numId w:val="6"/>
        </w:numPr>
        <w:rPr>
          <w:sz w:val="24"/>
          <w:szCs w:val="24"/>
        </w:rPr>
      </w:pPr>
      <w:r w:rsidRPr="00A526EA">
        <w:rPr>
          <w:sz w:val="24"/>
          <w:szCs w:val="24"/>
        </w:rPr>
        <w:t>Call-Off Schedule 20 (Specification)</w:t>
      </w:r>
    </w:p>
    <w:p w14:paraId="10045DB1" w14:textId="77777777" w:rsidR="00F80FA4" w:rsidRDefault="00F80FA4">
      <w:pPr>
        <w:tabs>
          <w:tab w:val="left" w:pos="0"/>
          <w:tab w:val="left" w:pos="0"/>
        </w:tabs>
      </w:pPr>
    </w:p>
    <w:p w14:paraId="128AF7C4" w14:textId="77777777" w:rsidR="00F80FA4" w:rsidRDefault="00AD658B">
      <w:pPr>
        <w:numPr>
          <w:ilvl w:val="0"/>
          <w:numId w:val="3"/>
        </w:numPr>
        <w:spacing w:line="252" w:lineRule="auto"/>
      </w:pPr>
      <w:r>
        <w:rPr>
          <w:sz w:val="24"/>
          <w:szCs w:val="24"/>
          <w:highlight w:val="white"/>
        </w:rPr>
        <w:t>CCS Core Terms</w:t>
      </w:r>
    </w:p>
    <w:p w14:paraId="784FD0F9" w14:textId="77777777" w:rsidR="00F80FA4" w:rsidRDefault="00AD658B">
      <w:pPr>
        <w:numPr>
          <w:ilvl w:val="0"/>
          <w:numId w:val="3"/>
        </w:numPr>
        <w:spacing w:line="252" w:lineRule="auto"/>
      </w:pPr>
      <w:r>
        <w:rPr>
          <w:sz w:val="24"/>
          <w:szCs w:val="24"/>
          <w:highlight w:val="white"/>
        </w:rPr>
        <w:t xml:space="preserve">Joint Schedule 5 (Corporate Social Responsibility) </w:t>
      </w:r>
    </w:p>
    <w:p w14:paraId="2910D832" w14:textId="77777777" w:rsidR="00F80FA4" w:rsidRDefault="00AD658B">
      <w:pPr>
        <w:numPr>
          <w:ilvl w:val="0"/>
          <w:numId w:val="3"/>
        </w:numPr>
        <w:spacing w:line="252" w:lineRule="auto"/>
      </w:pPr>
      <w:r>
        <w:rPr>
          <w:sz w:val="24"/>
          <w:szCs w:val="24"/>
          <w:highlight w:val="white"/>
        </w:rPr>
        <w:t>Call-Off Schedule 4 (Call-Off Tender) as long as any parts of the Call-Off Tender that offer a better commercial position for the Buyer (as decided by the Buyer) take precedence over the documents above</w:t>
      </w:r>
      <w:r>
        <w:rPr>
          <w:b/>
          <w:sz w:val="24"/>
          <w:szCs w:val="24"/>
          <w:highlight w:val="white"/>
        </w:rPr>
        <w:t>.</w:t>
      </w:r>
    </w:p>
    <w:p w14:paraId="0642B3D5" w14:textId="77777777" w:rsidR="00F80FA4" w:rsidRDefault="00F80FA4">
      <w:pPr>
        <w:spacing w:line="240" w:lineRule="auto"/>
        <w:ind w:left="720"/>
        <w:rPr>
          <w:sz w:val="24"/>
          <w:szCs w:val="24"/>
          <w:highlight w:val="white"/>
        </w:rPr>
      </w:pPr>
      <w:bookmarkStart w:id="7" w:name="_GoBack"/>
      <w:bookmarkEnd w:id="7"/>
    </w:p>
    <w:p w14:paraId="47F9B8A9" w14:textId="77777777" w:rsidR="00F80FA4" w:rsidRDefault="00AD658B">
      <w:pPr>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522E13C5" w14:textId="77777777" w:rsidR="00F80FA4" w:rsidRDefault="00F80FA4">
      <w:pPr>
        <w:tabs>
          <w:tab w:val="left" w:pos="2257"/>
        </w:tabs>
        <w:spacing w:line="240" w:lineRule="auto"/>
      </w:pPr>
    </w:p>
    <w:p w14:paraId="4CB94761" w14:textId="77777777" w:rsidR="00F80FA4" w:rsidRDefault="00F80FA4">
      <w:pPr>
        <w:spacing w:line="240" w:lineRule="auto"/>
        <w:rPr>
          <w:b/>
          <w:sz w:val="24"/>
          <w:szCs w:val="24"/>
          <w:highlight w:val="white"/>
        </w:rPr>
      </w:pPr>
    </w:p>
    <w:p w14:paraId="7AF433C5" w14:textId="32295BBD" w:rsidR="00F80FA4" w:rsidRDefault="00AD658B">
      <w:pPr>
        <w:spacing w:line="240" w:lineRule="auto"/>
      </w:pPr>
      <w:r>
        <w:rPr>
          <w:b/>
          <w:sz w:val="24"/>
          <w:szCs w:val="24"/>
          <w:highlight w:val="white"/>
        </w:rPr>
        <w:t>Call-off start date:</w:t>
      </w:r>
      <w:r>
        <w:rPr>
          <w:b/>
          <w:sz w:val="24"/>
          <w:szCs w:val="24"/>
          <w:highlight w:val="white"/>
        </w:rPr>
        <w:tab/>
      </w:r>
      <w:r>
        <w:rPr>
          <w:b/>
          <w:sz w:val="24"/>
          <w:szCs w:val="24"/>
          <w:highlight w:val="white"/>
        </w:rPr>
        <w:tab/>
      </w:r>
      <w:r>
        <w:rPr>
          <w:sz w:val="24"/>
          <w:szCs w:val="24"/>
          <w:highlight w:val="white"/>
        </w:rPr>
        <w:tab/>
      </w:r>
      <w:r w:rsidR="00C10F15">
        <w:rPr>
          <w:sz w:val="24"/>
          <w:szCs w:val="24"/>
          <w:highlight w:val="white"/>
        </w:rPr>
        <w:t>18</w:t>
      </w:r>
      <w:r w:rsidR="00C10F15" w:rsidRPr="00C10F15">
        <w:rPr>
          <w:sz w:val="24"/>
          <w:szCs w:val="24"/>
          <w:highlight w:val="white"/>
          <w:vertAlign w:val="superscript"/>
        </w:rPr>
        <w:t>th</w:t>
      </w:r>
      <w:r w:rsidR="00C10F15">
        <w:rPr>
          <w:sz w:val="24"/>
          <w:szCs w:val="24"/>
          <w:highlight w:val="white"/>
        </w:rPr>
        <w:t xml:space="preserve"> September 2024</w:t>
      </w:r>
    </w:p>
    <w:p w14:paraId="0572FD1D" w14:textId="77777777" w:rsidR="00F80FA4" w:rsidRDefault="00F80FA4">
      <w:pPr>
        <w:spacing w:line="240" w:lineRule="auto"/>
        <w:rPr>
          <w:sz w:val="24"/>
          <w:szCs w:val="24"/>
          <w:highlight w:val="white"/>
        </w:rPr>
      </w:pPr>
    </w:p>
    <w:p w14:paraId="2764EE6B" w14:textId="7B81C6BD" w:rsidR="00F80FA4" w:rsidRDefault="00AD658B">
      <w:pPr>
        <w:spacing w:line="240" w:lineRule="auto"/>
      </w:pPr>
      <w:r>
        <w:rPr>
          <w:b/>
          <w:sz w:val="24"/>
          <w:szCs w:val="24"/>
          <w:highlight w:val="white"/>
        </w:rPr>
        <w:t xml:space="preserve">Call-off expiry date: </w:t>
      </w:r>
      <w:r>
        <w:rPr>
          <w:b/>
          <w:sz w:val="24"/>
          <w:szCs w:val="24"/>
          <w:highlight w:val="white"/>
        </w:rPr>
        <w:tab/>
      </w:r>
      <w:r>
        <w:rPr>
          <w:sz w:val="24"/>
          <w:szCs w:val="24"/>
          <w:highlight w:val="white"/>
        </w:rPr>
        <w:tab/>
      </w:r>
      <w:r w:rsidR="00C10F15">
        <w:rPr>
          <w:sz w:val="24"/>
          <w:szCs w:val="24"/>
          <w:highlight w:val="white"/>
        </w:rPr>
        <w:t>17</w:t>
      </w:r>
      <w:r w:rsidR="00C10F15" w:rsidRPr="00C10F15">
        <w:rPr>
          <w:sz w:val="24"/>
          <w:szCs w:val="24"/>
          <w:highlight w:val="white"/>
          <w:vertAlign w:val="superscript"/>
        </w:rPr>
        <w:t>th</w:t>
      </w:r>
      <w:r w:rsidR="00C10F15">
        <w:rPr>
          <w:sz w:val="24"/>
          <w:szCs w:val="24"/>
          <w:highlight w:val="white"/>
        </w:rPr>
        <w:t xml:space="preserve"> March 202</w:t>
      </w:r>
      <w:r w:rsidR="003F3E33">
        <w:rPr>
          <w:sz w:val="24"/>
          <w:szCs w:val="24"/>
          <w:highlight w:val="white"/>
        </w:rPr>
        <w:t>5</w:t>
      </w:r>
    </w:p>
    <w:p w14:paraId="661B5124" w14:textId="77777777" w:rsidR="00F80FA4" w:rsidRDefault="00F80FA4">
      <w:pPr>
        <w:spacing w:line="240" w:lineRule="auto"/>
        <w:rPr>
          <w:sz w:val="24"/>
          <w:szCs w:val="24"/>
          <w:highlight w:val="white"/>
        </w:rPr>
      </w:pPr>
    </w:p>
    <w:p w14:paraId="4104BCDA" w14:textId="77777777" w:rsidR="00F80FA4" w:rsidRDefault="00AD658B">
      <w:pPr>
        <w:spacing w:line="240" w:lineRule="auto"/>
      </w:pPr>
      <w:r>
        <w:rPr>
          <w:b/>
          <w:sz w:val="24"/>
          <w:szCs w:val="24"/>
          <w:highlight w:val="white"/>
        </w:rPr>
        <w:t>Call-off initial period:</w:t>
      </w:r>
      <w:r>
        <w:rPr>
          <w:b/>
          <w:sz w:val="24"/>
          <w:szCs w:val="24"/>
          <w:highlight w:val="white"/>
        </w:rPr>
        <w:tab/>
      </w:r>
      <w:r>
        <w:rPr>
          <w:sz w:val="24"/>
          <w:szCs w:val="24"/>
          <w:highlight w:val="white"/>
        </w:rPr>
        <w:tab/>
      </w:r>
      <w:r w:rsidRPr="00C10F15">
        <w:rPr>
          <w:sz w:val="24"/>
          <w:szCs w:val="24"/>
          <w:highlight w:val="white"/>
        </w:rPr>
        <w:t>Six (6) Months</w:t>
      </w:r>
    </w:p>
    <w:p w14:paraId="6DCDCAD0" w14:textId="77777777" w:rsidR="00F80FA4" w:rsidRDefault="00F80FA4">
      <w:pPr>
        <w:spacing w:line="240" w:lineRule="auto"/>
        <w:rPr>
          <w:b/>
          <w:sz w:val="24"/>
          <w:szCs w:val="24"/>
          <w:highlight w:val="white"/>
        </w:rPr>
      </w:pPr>
    </w:p>
    <w:p w14:paraId="0AEA82AE" w14:textId="77777777" w:rsidR="00F80FA4" w:rsidRDefault="00AD658B">
      <w:pPr>
        <w:pStyle w:val="Heading3"/>
        <w:numPr>
          <w:ilvl w:val="2"/>
          <w:numId w:val="4"/>
        </w:numPr>
      </w:pPr>
      <w:bookmarkStart w:id="8" w:name="_1t3h5sf" w:colFirst="0" w:colLast="0"/>
      <w:bookmarkEnd w:id="8"/>
      <w:r>
        <w:rPr>
          <w:highlight w:val="white"/>
        </w:rPr>
        <w:t>Call-off deliverables:</w:t>
      </w:r>
    </w:p>
    <w:p w14:paraId="61A3FD17" w14:textId="77777777" w:rsidR="00F80FA4" w:rsidRDefault="00F80FA4">
      <w:pPr>
        <w:tabs>
          <w:tab w:val="left" w:pos="2257"/>
        </w:tabs>
        <w:spacing w:line="240" w:lineRule="auto"/>
        <w:rPr>
          <w:b/>
          <w:sz w:val="24"/>
          <w:szCs w:val="24"/>
          <w:highlight w:val="white"/>
        </w:rPr>
      </w:pPr>
    </w:p>
    <w:p w14:paraId="6B3137D1" w14:textId="1B3BBF2D" w:rsidR="00F80FA4" w:rsidRDefault="00322509">
      <w:pPr>
        <w:tabs>
          <w:tab w:val="left" w:pos="2257"/>
        </w:tabs>
        <w:spacing w:line="240" w:lineRule="auto"/>
      </w:pPr>
      <w:r>
        <w:rPr>
          <w:sz w:val="24"/>
          <w:szCs w:val="24"/>
          <w:highlight w:val="white"/>
        </w:rPr>
        <w:t xml:space="preserve">Full </w:t>
      </w:r>
      <w:r w:rsidR="00AD658B">
        <w:rPr>
          <w:sz w:val="24"/>
          <w:szCs w:val="24"/>
          <w:highlight w:val="white"/>
        </w:rPr>
        <w:t xml:space="preserve">details in </w:t>
      </w:r>
      <w:r>
        <w:rPr>
          <w:sz w:val="24"/>
          <w:szCs w:val="24"/>
          <w:highlight w:val="white"/>
        </w:rPr>
        <w:t>Call off Schedule 20 – Specification.</w:t>
      </w:r>
    </w:p>
    <w:p w14:paraId="5A372C4F" w14:textId="77777777" w:rsidR="00F80FA4" w:rsidRDefault="00AD658B">
      <w:pPr>
        <w:pStyle w:val="Heading3"/>
        <w:numPr>
          <w:ilvl w:val="2"/>
          <w:numId w:val="4"/>
        </w:numPr>
        <w:tabs>
          <w:tab w:val="left" w:pos="2257"/>
        </w:tabs>
      </w:pPr>
      <w:bookmarkStart w:id="9" w:name="_2s8eyo1" w:colFirst="0" w:colLast="0"/>
      <w:bookmarkEnd w:id="9"/>
      <w:r>
        <w:rPr>
          <w:highlight w:val="white"/>
        </w:rPr>
        <w:t>Maximum liability</w:t>
      </w:r>
    </w:p>
    <w:p w14:paraId="11ABB562" w14:textId="77777777" w:rsidR="00F80FA4" w:rsidRDefault="00AD658B">
      <w:pPr>
        <w:tabs>
          <w:tab w:val="left" w:pos="2257"/>
        </w:tabs>
        <w:spacing w:line="240" w:lineRule="auto"/>
      </w:pPr>
      <w:r>
        <w:rPr>
          <w:sz w:val="24"/>
          <w:szCs w:val="24"/>
        </w:rPr>
        <w:t>The limitation of liability for this Call-Off Contract is stated in Clause 11.2 of the Core Terms.</w:t>
      </w:r>
    </w:p>
    <w:p w14:paraId="035A2C8C" w14:textId="77777777" w:rsidR="00F80FA4" w:rsidRDefault="00F80FA4">
      <w:pPr>
        <w:tabs>
          <w:tab w:val="left" w:pos="2257"/>
        </w:tabs>
        <w:spacing w:line="240" w:lineRule="auto"/>
        <w:rPr>
          <w:sz w:val="24"/>
          <w:szCs w:val="24"/>
          <w:highlight w:val="yellow"/>
        </w:rPr>
      </w:pPr>
    </w:p>
    <w:p w14:paraId="356BB653" w14:textId="77777777" w:rsidR="00F80FA4" w:rsidRDefault="00AD658B">
      <w:pPr>
        <w:tabs>
          <w:tab w:val="left" w:pos="2257"/>
        </w:tabs>
        <w:spacing w:line="240" w:lineRule="auto"/>
      </w:pPr>
      <w:r>
        <w:rPr>
          <w:sz w:val="24"/>
          <w:szCs w:val="24"/>
          <w:highlight w:val="white"/>
        </w:rPr>
        <w:t>The Estimated Year 1 Charges used to calculate liability in the first contract year are:</w:t>
      </w:r>
    </w:p>
    <w:p w14:paraId="003E623A" w14:textId="77777777" w:rsidR="00F80FA4" w:rsidRDefault="00F80FA4">
      <w:pPr>
        <w:tabs>
          <w:tab w:val="left" w:pos="2257"/>
        </w:tabs>
        <w:spacing w:line="240" w:lineRule="auto"/>
        <w:rPr>
          <w:sz w:val="24"/>
          <w:szCs w:val="24"/>
          <w:highlight w:val="white"/>
        </w:rPr>
      </w:pPr>
    </w:p>
    <w:p w14:paraId="744AF6E7" w14:textId="70E720F0" w:rsidR="00F80FA4" w:rsidRDefault="003F3E33">
      <w:pPr>
        <w:tabs>
          <w:tab w:val="left" w:pos="2257"/>
        </w:tabs>
        <w:spacing w:line="240" w:lineRule="auto"/>
      </w:pPr>
      <w:r w:rsidRPr="003F3E33">
        <w:rPr>
          <w:sz w:val="24"/>
          <w:szCs w:val="24"/>
          <w:highlight w:val="white"/>
        </w:rPr>
        <w:t>£79,800.00</w:t>
      </w:r>
      <w:r w:rsidR="00AD658B">
        <w:rPr>
          <w:b/>
          <w:sz w:val="24"/>
          <w:szCs w:val="24"/>
          <w:highlight w:val="white"/>
        </w:rPr>
        <w:t xml:space="preserve"> </w:t>
      </w:r>
      <w:r w:rsidR="00AD658B">
        <w:rPr>
          <w:sz w:val="24"/>
          <w:szCs w:val="24"/>
          <w:highlight w:val="white"/>
        </w:rPr>
        <w:t>(Estimated Year 1 Charges of the Contract.)</w:t>
      </w:r>
    </w:p>
    <w:p w14:paraId="7AEEDFB8" w14:textId="77777777" w:rsidR="00F80FA4" w:rsidRDefault="00F80FA4">
      <w:pPr>
        <w:tabs>
          <w:tab w:val="left" w:pos="2257"/>
        </w:tabs>
        <w:spacing w:line="240" w:lineRule="auto"/>
        <w:rPr>
          <w:b/>
          <w:sz w:val="12"/>
          <w:szCs w:val="12"/>
          <w:highlight w:val="white"/>
        </w:rPr>
      </w:pPr>
    </w:p>
    <w:p w14:paraId="3909A256" w14:textId="77777777" w:rsidR="00F80FA4" w:rsidRDefault="00AD658B">
      <w:pPr>
        <w:pStyle w:val="Heading3"/>
        <w:numPr>
          <w:ilvl w:val="2"/>
          <w:numId w:val="4"/>
        </w:numPr>
        <w:tabs>
          <w:tab w:val="left" w:pos="2257"/>
        </w:tabs>
      </w:pPr>
      <w:bookmarkStart w:id="10" w:name="_17dp8vu" w:colFirst="0" w:colLast="0"/>
      <w:bookmarkEnd w:id="10"/>
      <w:r>
        <w:lastRenderedPageBreak/>
        <w:t>Call-off charges</w:t>
      </w:r>
    </w:p>
    <w:p w14:paraId="41A586E6" w14:textId="77777777" w:rsidR="00F80FA4" w:rsidRDefault="00F80FA4">
      <w:pPr>
        <w:tabs>
          <w:tab w:val="left" w:pos="2257"/>
        </w:tabs>
        <w:spacing w:line="240" w:lineRule="auto"/>
        <w:rPr>
          <w:sz w:val="24"/>
          <w:szCs w:val="24"/>
        </w:rPr>
      </w:pPr>
    </w:p>
    <w:p w14:paraId="0634EE3D" w14:textId="77777777" w:rsidR="00F80FA4" w:rsidRDefault="00AD658B">
      <w:pPr>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37A454FB" w14:textId="77777777" w:rsidR="00F80FA4" w:rsidRDefault="00F80FA4">
      <w:pPr>
        <w:tabs>
          <w:tab w:val="left" w:pos="2257"/>
        </w:tabs>
        <w:spacing w:line="240" w:lineRule="auto"/>
        <w:rPr>
          <w:sz w:val="24"/>
          <w:szCs w:val="24"/>
        </w:rPr>
      </w:pPr>
    </w:p>
    <w:p w14:paraId="365CEB37" w14:textId="77777777" w:rsidR="00F80FA4" w:rsidRDefault="00AD658B">
      <w:pPr>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25B86224" w14:textId="77777777" w:rsidR="00F80FA4" w:rsidRDefault="00F80FA4">
      <w:pPr>
        <w:tabs>
          <w:tab w:val="left" w:pos="2257"/>
        </w:tabs>
        <w:spacing w:line="240" w:lineRule="auto"/>
        <w:rPr>
          <w:sz w:val="24"/>
          <w:szCs w:val="24"/>
        </w:rPr>
      </w:pPr>
    </w:p>
    <w:p w14:paraId="2D99CBA8" w14:textId="77777777" w:rsidR="00F80FA4" w:rsidRDefault="00AD658B">
      <w:pPr>
        <w:numPr>
          <w:ilvl w:val="0"/>
          <w:numId w:val="1"/>
        </w:numPr>
        <w:tabs>
          <w:tab w:val="left" w:pos="2257"/>
        </w:tabs>
        <w:spacing w:line="252" w:lineRule="auto"/>
      </w:pPr>
      <w:r>
        <w:rPr>
          <w:sz w:val="24"/>
          <w:szCs w:val="24"/>
        </w:rPr>
        <w:t>Specific Change in Law</w:t>
      </w:r>
    </w:p>
    <w:p w14:paraId="0026B7F0" w14:textId="77777777" w:rsidR="00F80FA4" w:rsidRDefault="00AD658B">
      <w:pPr>
        <w:numPr>
          <w:ilvl w:val="0"/>
          <w:numId w:val="1"/>
        </w:numPr>
        <w:tabs>
          <w:tab w:val="left" w:pos="2257"/>
        </w:tabs>
        <w:spacing w:line="252" w:lineRule="auto"/>
      </w:pPr>
      <w:bookmarkStart w:id="11" w:name="_3rdcrjn" w:colFirst="0" w:colLast="0"/>
      <w:bookmarkEnd w:id="11"/>
      <w:r>
        <w:rPr>
          <w:sz w:val="24"/>
          <w:szCs w:val="24"/>
        </w:rPr>
        <w:t>Benchmarking using Call-Off Schedule 16 (Benchmarking)</w:t>
      </w:r>
    </w:p>
    <w:p w14:paraId="686B25BC" w14:textId="77777777" w:rsidR="00F80FA4" w:rsidRDefault="00AD658B">
      <w:pPr>
        <w:pStyle w:val="Heading3"/>
        <w:numPr>
          <w:ilvl w:val="2"/>
          <w:numId w:val="4"/>
        </w:numPr>
        <w:tabs>
          <w:tab w:val="left" w:pos="2257"/>
        </w:tabs>
      </w:pPr>
      <w:bookmarkStart w:id="12" w:name="_26in1rg" w:colFirst="0" w:colLast="0"/>
      <w:bookmarkEnd w:id="12"/>
      <w:r>
        <w:t>Reimbursable expenses</w:t>
      </w:r>
    </w:p>
    <w:p w14:paraId="71939C4D" w14:textId="77777777" w:rsidR="00F80FA4" w:rsidRDefault="00AD658B">
      <w:pPr>
        <w:tabs>
          <w:tab w:val="left" w:pos="2257"/>
        </w:tabs>
        <w:spacing w:line="240" w:lineRule="auto"/>
      </w:pPr>
      <w:r>
        <w:rPr>
          <w:sz w:val="24"/>
          <w:szCs w:val="24"/>
        </w:rPr>
        <w:t>Recoverable as stated in Framework Schedule 3 (Framework Prices) paragraph 4.</w:t>
      </w:r>
    </w:p>
    <w:p w14:paraId="46E019A1" w14:textId="77777777" w:rsidR="00F80FA4" w:rsidRDefault="00AD658B">
      <w:pPr>
        <w:pStyle w:val="Heading3"/>
        <w:numPr>
          <w:ilvl w:val="2"/>
          <w:numId w:val="4"/>
        </w:numPr>
        <w:tabs>
          <w:tab w:val="left" w:pos="2257"/>
        </w:tabs>
      </w:pPr>
      <w:bookmarkStart w:id="13" w:name="_lnxbz9" w:colFirst="0" w:colLast="0"/>
      <w:bookmarkEnd w:id="13"/>
      <w:r>
        <w:t>Payment method</w:t>
      </w:r>
    </w:p>
    <w:p w14:paraId="1E43FF72" w14:textId="77777777" w:rsidR="00F80FA4" w:rsidRDefault="00AD658B">
      <w:pPr>
        <w:pStyle w:val="Heading2"/>
        <w:keepNext w:val="0"/>
        <w:keepLines w:val="0"/>
        <w:numPr>
          <w:ilvl w:val="1"/>
          <w:numId w:val="4"/>
        </w:numPr>
        <w:spacing w:after="240"/>
        <w:jc w:val="both"/>
        <w:rPr>
          <w:b w:val="0"/>
          <w:sz w:val="24"/>
          <w:szCs w:val="24"/>
        </w:rPr>
      </w:pPr>
      <w:bookmarkStart w:id="14" w:name="_35nkun2" w:colFirst="0" w:colLast="0"/>
      <w:bookmarkEnd w:id="14"/>
      <w:r>
        <w:rPr>
          <w:b w:val="0"/>
          <w:sz w:val="24"/>
          <w:szCs w:val="24"/>
        </w:rPr>
        <w:t xml:space="preserve">Payment can only be made following satisfactory delivery of the pre-agreed services stated in the contract. </w:t>
      </w:r>
    </w:p>
    <w:p w14:paraId="31AB769B" w14:textId="77777777" w:rsidR="00F80FA4" w:rsidRDefault="00AD658B">
      <w:pPr>
        <w:widowControl/>
        <w:pBdr>
          <w:top w:val="nil"/>
          <w:left w:val="nil"/>
          <w:bottom w:val="nil"/>
          <w:right w:val="nil"/>
          <w:between w:val="nil"/>
        </w:pBdr>
        <w:spacing w:line="240" w:lineRule="auto"/>
        <w:rPr>
          <w:color w:val="000000"/>
          <w:sz w:val="24"/>
          <w:szCs w:val="24"/>
        </w:rPr>
      </w:pPr>
      <w:r>
        <w:rPr>
          <w:color w:val="000000"/>
          <w:sz w:val="24"/>
          <w:szCs w:val="24"/>
        </w:rPr>
        <w:t>Payment scheduling will be agreed at contract mobilisation stage and aligned with the milestones set out below:</w:t>
      </w:r>
    </w:p>
    <w:p w14:paraId="19F1E902" w14:textId="77777777" w:rsidR="00F80FA4" w:rsidRDefault="00F80FA4">
      <w:pPr>
        <w:widowControl/>
        <w:pBdr>
          <w:top w:val="nil"/>
          <w:left w:val="nil"/>
          <w:bottom w:val="nil"/>
          <w:right w:val="nil"/>
          <w:between w:val="nil"/>
        </w:pBdr>
        <w:spacing w:line="240" w:lineRule="auto"/>
        <w:rPr>
          <w:sz w:val="24"/>
          <w:szCs w:val="24"/>
        </w:rPr>
      </w:pPr>
    </w:p>
    <w:p w14:paraId="7084BD40" w14:textId="77777777" w:rsidR="00F80FA4" w:rsidRDefault="00F80FA4">
      <w:pPr>
        <w:widowControl/>
        <w:spacing w:line="240" w:lineRule="auto"/>
      </w:pPr>
    </w:p>
    <w:tbl>
      <w:tblPr>
        <w:tblStyle w:val="a"/>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2205"/>
        <w:gridCol w:w="4295"/>
        <w:gridCol w:w="1795"/>
      </w:tblGrid>
      <w:tr w:rsidR="00F80FA4" w14:paraId="3A594B51" w14:textId="77777777" w:rsidTr="00791392">
        <w:tc>
          <w:tcPr>
            <w:tcW w:w="720" w:type="dxa"/>
            <w:shd w:val="clear" w:color="auto" w:fill="B8CCE4"/>
          </w:tcPr>
          <w:p w14:paraId="2F5D440D" w14:textId="77777777" w:rsidR="00F80FA4" w:rsidRDefault="00AD658B">
            <w:pPr>
              <w:widowControl/>
              <w:spacing w:line="240" w:lineRule="auto"/>
              <w:rPr>
                <w:color w:val="000000"/>
                <w:sz w:val="24"/>
                <w:szCs w:val="24"/>
              </w:rPr>
            </w:pPr>
            <w:r>
              <w:rPr>
                <w:color w:val="000000"/>
                <w:sz w:val="24"/>
                <w:szCs w:val="24"/>
              </w:rPr>
              <w:t>KPI/SLA</w:t>
            </w:r>
          </w:p>
        </w:tc>
        <w:tc>
          <w:tcPr>
            <w:tcW w:w="2205" w:type="dxa"/>
            <w:shd w:val="clear" w:color="auto" w:fill="B8CCE4"/>
          </w:tcPr>
          <w:p w14:paraId="28086DAE" w14:textId="77777777" w:rsidR="00F80FA4" w:rsidRDefault="00AD658B">
            <w:pPr>
              <w:widowControl/>
              <w:spacing w:line="240" w:lineRule="auto"/>
              <w:rPr>
                <w:color w:val="000000"/>
                <w:sz w:val="24"/>
                <w:szCs w:val="24"/>
              </w:rPr>
            </w:pPr>
            <w:r>
              <w:rPr>
                <w:color w:val="000000"/>
                <w:sz w:val="24"/>
                <w:szCs w:val="24"/>
              </w:rPr>
              <w:t>Service Area</w:t>
            </w:r>
          </w:p>
        </w:tc>
        <w:tc>
          <w:tcPr>
            <w:tcW w:w="4295" w:type="dxa"/>
            <w:shd w:val="clear" w:color="auto" w:fill="B8CCE4"/>
          </w:tcPr>
          <w:p w14:paraId="66648693" w14:textId="77777777" w:rsidR="00F80FA4" w:rsidRDefault="00AD658B">
            <w:pPr>
              <w:widowControl/>
              <w:spacing w:line="240" w:lineRule="auto"/>
              <w:rPr>
                <w:color w:val="000000"/>
                <w:sz w:val="24"/>
                <w:szCs w:val="24"/>
              </w:rPr>
            </w:pPr>
            <w:r>
              <w:rPr>
                <w:color w:val="000000"/>
                <w:sz w:val="24"/>
                <w:szCs w:val="24"/>
              </w:rPr>
              <w:t>KPI description</w:t>
            </w:r>
          </w:p>
        </w:tc>
        <w:tc>
          <w:tcPr>
            <w:tcW w:w="1795" w:type="dxa"/>
            <w:shd w:val="clear" w:color="auto" w:fill="B8CCE4"/>
          </w:tcPr>
          <w:p w14:paraId="398B917D" w14:textId="77777777" w:rsidR="00F80FA4" w:rsidRDefault="00AD658B">
            <w:pPr>
              <w:widowControl/>
              <w:spacing w:line="240" w:lineRule="auto"/>
              <w:rPr>
                <w:color w:val="000000"/>
                <w:sz w:val="24"/>
                <w:szCs w:val="24"/>
              </w:rPr>
            </w:pPr>
            <w:r>
              <w:rPr>
                <w:color w:val="000000"/>
                <w:sz w:val="24"/>
                <w:szCs w:val="24"/>
              </w:rPr>
              <w:t>Percentage of contract value paid to Supplier</w:t>
            </w:r>
          </w:p>
        </w:tc>
      </w:tr>
      <w:tr w:rsidR="00F80FA4" w14:paraId="6E7AE9EE" w14:textId="77777777" w:rsidTr="00791392">
        <w:tc>
          <w:tcPr>
            <w:tcW w:w="720" w:type="dxa"/>
            <w:tcMar>
              <w:top w:w="100" w:type="dxa"/>
              <w:left w:w="100" w:type="dxa"/>
              <w:bottom w:w="100" w:type="dxa"/>
              <w:right w:w="100" w:type="dxa"/>
            </w:tcMar>
          </w:tcPr>
          <w:p w14:paraId="0EAB3347" w14:textId="77777777" w:rsidR="00F80FA4" w:rsidRPr="007C590A" w:rsidRDefault="00AD658B">
            <w:pPr>
              <w:spacing w:line="240" w:lineRule="auto"/>
              <w:rPr>
                <w:b w:val="0"/>
                <w:color w:val="000000"/>
                <w:sz w:val="24"/>
              </w:rPr>
            </w:pPr>
            <w:r w:rsidRPr="007C590A">
              <w:rPr>
                <w:color w:val="000000"/>
                <w:sz w:val="24"/>
              </w:rPr>
              <w:t>1</w:t>
            </w:r>
          </w:p>
        </w:tc>
        <w:tc>
          <w:tcPr>
            <w:tcW w:w="2205" w:type="dxa"/>
            <w:tcMar>
              <w:top w:w="100" w:type="dxa"/>
              <w:left w:w="100" w:type="dxa"/>
              <w:bottom w:w="100" w:type="dxa"/>
              <w:right w:w="100" w:type="dxa"/>
            </w:tcMar>
          </w:tcPr>
          <w:p w14:paraId="58DADDE5" w14:textId="77777777" w:rsidR="00F80FA4" w:rsidRPr="007C590A" w:rsidRDefault="00AD658B">
            <w:pPr>
              <w:spacing w:line="240" w:lineRule="auto"/>
              <w:rPr>
                <w:b w:val="0"/>
                <w:color w:val="000000"/>
                <w:sz w:val="24"/>
              </w:rPr>
            </w:pPr>
            <w:r w:rsidRPr="007C590A">
              <w:rPr>
                <w:color w:val="000000"/>
                <w:sz w:val="24"/>
              </w:rPr>
              <w:t>Specification and Schedule of services development</w:t>
            </w:r>
          </w:p>
        </w:tc>
        <w:tc>
          <w:tcPr>
            <w:tcW w:w="4295" w:type="dxa"/>
            <w:tcMar>
              <w:top w:w="100" w:type="dxa"/>
              <w:left w:w="100" w:type="dxa"/>
              <w:bottom w:w="100" w:type="dxa"/>
              <w:right w:w="100" w:type="dxa"/>
            </w:tcMar>
          </w:tcPr>
          <w:p w14:paraId="5F7F6F62" w14:textId="77777777" w:rsidR="00F80FA4" w:rsidRPr="007C590A" w:rsidRDefault="00AD658B">
            <w:pPr>
              <w:spacing w:line="240" w:lineRule="auto"/>
              <w:rPr>
                <w:b w:val="0"/>
                <w:color w:val="000000"/>
                <w:sz w:val="24"/>
              </w:rPr>
            </w:pPr>
            <w:r w:rsidRPr="007C590A">
              <w:rPr>
                <w:color w:val="000000"/>
                <w:sz w:val="24"/>
              </w:rPr>
              <w:t>The Supplier provides the final version of the specification and schedule of services for the CPS 2 framework. Only when this is completed can the next stage of the contract begin.</w:t>
            </w:r>
          </w:p>
        </w:tc>
        <w:tc>
          <w:tcPr>
            <w:tcW w:w="1795" w:type="dxa"/>
            <w:tcMar>
              <w:top w:w="100" w:type="dxa"/>
              <w:left w:w="100" w:type="dxa"/>
              <w:bottom w:w="100" w:type="dxa"/>
              <w:right w:w="100" w:type="dxa"/>
            </w:tcMar>
          </w:tcPr>
          <w:p w14:paraId="36E0F099" w14:textId="77777777" w:rsidR="00F80FA4" w:rsidRPr="007C590A" w:rsidRDefault="00AD658B">
            <w:pPr>
              <w:spacing w:line="240" w:lineRule="auto"/>
              <w:rPr>
                <w:b w:val="0"/>
                <w:color w:val="000000"/>
                <w:sz w:val="24"/>
              </w:rPr>
            </w:pPr>
            <w:r w:rsidRPr="007C590A">
              <w:rPr>
                <w:color w:val="000000"/>
                <w:sz w:val="24"/>
              </w:rPr>
              <w:t>40%</w:t>
            </w:r>
          </w:p>
        </w:tc>
      </w:tr>
      <w:tr w:rsidR="00F80FA4" w14:paraId="17465321" w14:textId="77777777" w:rsidTr="00791392">
        <w:tc>
          <w:tcPr>
            <w:tcW w:w="720" w:type="dxa"/>
            <w:tcMar>
              <w:top w:w="100" w:type="dxa"/>
              <w:left w:w="100" w:type="dxa"/>
              <w:bottom w:w="100" w:type="dxa"/>
              <w:right w:w="100" w:type="dxa"/>
            </w:tcMar>
          </w:tcPr>
          <w:p w14:paraId="7C6D532E" w14:textId="77777777" w:rsidR="00F80FA4" w:rsidRPr="007C590A" w:rsidRDefault="00AD658B">
            <w:pPr>
              <w:spacing w:line="240" w:lineRule="auto"/>
              <w:rPr>
                <w:b w:val="0"/>
                <w:color w:val="000000"/>
                <w:sz w:val="24"/>
              </w:rPr>
            </w:pPr>
            <w:r w:rsidRPr="007C590A">
              <w:rPr>
                <w:color w:val="000000"/>
                <w:sz w:val="24"/>
              </w:rPr>
              <w:t>2</w:t>
            </w:r>
          </w:p>
        </w:tc>
        <w:tc>
          <w:tcPr>
            <w:tcW w:w="2205" w:type="dxa"/>
            <w:tcMar>
              <w:top w:w="100" w:type="dxa"/>
              <w:left w:w="100" w:type="dxa"/>
              <w:bottom w:w="100" w:type="dxa"/>
              <w:right w:w="100" w:type="dxa"/>
            </w:tcMar>
          </w:tcPr>
          <w:p w14:paraId="091D1881" w14:textId="77777777" w:rsidR="00F80FA4" w:rsidRPr="007C590A" w:rsidRDefault="00AD658B">
            <w:pPr>
              <w:spacing w:line="240" w:lineRule="auto"/>
              <w:rPr>
                <w:b w:val="0"/>
                <w:color w:val="000000"/>
                <w:sz w:val="24"/>
              </w:rPr>
            </w:pPr>
            <w:r w:rsidRPr="007C590A">
              <w:rPr>
                <w:color w:val="000000"/>
                <w:sz w:val="24"/>
              </w:rPr>
              <w:t xml:space="preserve">Customer call off templates and guidance highlighted in section 6.3 - 6.6 </w:t>
            </w:r>
          </w:p>
        </w:tc>
        <w:tc>
          <w:tcPr>
            <w:tcW w:w="4295" w:type="dxa"/>
            <w:tcMar>
              <w:top w:w="100" w:type="dxa"/>
              <w:left w:w="100" w:type="dxa"/>
              <w:bottom w:w="100" w:type="dxa"/>
              <w:right w:w="100" w:type="dxa"/>
            </w:tcMar>
          </w:tcPr>
          <w:p w14:paraId="3C41CC07" w14:textId="77777777" w:rsidR="00F80FA4" w:rsidRPr="007C590A" w:rsidRDefault="00AD658B">
            <w:pPr>
              <w:spacing w:line="240" w:lineRule="auto"/>
              <w:rPr>
                <w:b w:val="0"/>
                <w:color w:val="000000"/>
                <w:sz w:val="24"/>
              </w:rPr>
            </w:pPr>
            <w:r w:rsidRPr="007C590A">
              <w:rPr>
                <w:color w:val="000000"/>
                <w:sz w:val="24"/>
              </w:rPr>
              <w:t xml:space="preserve">The Supplier provides </w:t>
            </w:r>
            <w:proofErr w:type="gramStart"/>
            <w:r w:rsidRPr="007C590A">
              <w:rPr>
                <w:color w:val="000000"/>
                <w:sz w:val="24"/>
              </w:rPr>
              <w:t>the  final</w:t>
            </w:r>
            <w:proofErr w:type="gramEnd"/>
            <w:r w:rsidRPr="007C590A">
              <w:rPr>
                <w:color w:val="000000"/>
                <w:sz w:val="24"/>
              </w:rPr>
              <w:t xml:space="preserve"> version of the customer call templates and guidance highlighted in section 6.3 - 6.6</w:t>
            </w:r>
          </w:p>
        </w:tc>
        <w:tc>
          <w:tcPr>
            <w:tcW w:w="1795" w:type="dxa"/>
            <w:tcMar>
              <w:top w:w="100" w:type="dxa"/>
              <w:left w:w="100" w:type="dxa"/>
              <w:bottom w:w="100" w:type="dxa"/>
              <w:right w:w="100" w:type="dxa"/>
            </w:tcMar>
          </w:tcPr>
          <w:p w14:paraId="433D071A" w14:textId="77777777" w:rsidR="00F80FA4" w:rsidRPr="007C590A" w:rsidRDefault="00AD658B">
            <w:pPr>
              <w:spacing w:line="240" w:lineRule="auto"/>
              <w:rPr>
                <w:b w:val="0"/>
                <w:color w:val="000000"/>
                <w:sz w:val="24"/>
              </w:rPr>
            </w:pPr>
            <w:r w:rsidRPr="007C590A">
              <w:rPr>
                <w:color w:val="000000"/>
                <w:sz w:val="24"/>
              </w:rPr>
              <w:t>40%</w:t>
            </w:r>
          </w:p>
        </w:tc>
      </w:tr>
      <w:tr w:rsidR="00F80FA4" w14:paraId="5C039770" w14:textId="77777777" w:rsidTr="00791392">
        <w:tc>
          <w:tcPr>
            <w:tcW w:w="720" w:type="dxa"/>
            <w:tcMar>
              <w:top w:w="100" w:type="dxa"/>
              <w:left w:w="100" w:type="dxa"/>
              <w:bottom w:w="100" w:type="dxa"/>
              <w:right w:w="100" w:type="dxa"/>
            </w:tcMar>
          </w:tcPr>
          <w:p w14:paraId="7FEFD4ED" w14:textId="77777777" w:rsidR="00F80FA4" w:rsidRPr="007C590A" w:rsidRDefault="00AD658B">
            <w:pPr>
              <w:spacing w:line="240" w:lineRule="auto"/>
              <w:rPr>
                <w:b w:val="0"/>
                <w:color w:val="000000"/>
                <w:sz w:val="24"/>
              </w:rPr>
            </w:pPr>
            <w:r w:rsidRPr="007C590A">
              <w:rPr>
                <w:color w:val="000000"/>
                <w:sz w:val="24"/>
              </w:rPr>
              <w:t xml:space="preserve">3 </w:t>
            </w:r>
          </w:p>
        </w:tc>
        <w:tc>
          <w:tcPr>
            <w:tcW w:w="2205" w:type="dxa"/>
            <w:tcMar>
              <w:top w:w="100" w:type="dxa"/>
              <w:left w:w="100" w:type="dxa"/>
              <w:bottom w:w="100" w:type="dxa"/>
              <w:right w:w="100" w:type="dxa"/>
            </w:tcMar>
          </w:tcPr>
          <w:p w14:paraId="2EC8944A" w14:textId="77777777" w:rsidR="00F80FA4" w:rsidRPr="007C590A" w:rsidRDefault="00AD658B">
            <w:pPr>
              <w:spacing w:line="240" w:lineRule="auto"/>
              <w:rPr>
                <w:b w:val="0"/>
                <w:color w:val="000000"/>
                <w:sz w:val="24"/>
              </w:rPr>
            </w:pPr>
            <w:r w:rsidRPr="007C590A">
              <w:rPr>
                <w:color w:val="000000"/>
                <w:sz w:val="24"/>
              </w:rPr>
              <w:t xml:space="preserve">Training on the specification and schedule of services and customer guidance &amp; templates to CCS Staff </w:t>
            </w:r>
          </w:p>
        </w:tc>
        <w:tc>
          <w:tcPr>
            <w:tcW w:w="4295" w:type="dxa"/>
            <w:tcMar>
              <w:top w:w="100" w:type="dxa"/>
              <w:left w:w="100" w:type="dxa"/>
              <w:bottom w:w="100" w:type="dxa"/>
              <w:right w:w="100" w:type="dxa"/>
            </w:tcMar>
          </w:tcPr>
          <w:p w14:paraId="5FEDAF07" w14:textId="77777777" w:rsidR="00F80FA4" w:rsidRPr="007C590A" w:rsidRDefault="00AD658B">
            <w:pPr>
              <w:spacing w:line="240" w:lineRule="auto"/>
              <w:rPr>
                <w:b w:val="0"/>
                <w:color w:val="000000"/>
                <w:sz w:val="24"/>
              </w:rPr>
            </w:pPr>
            <w:r w:rsidRPr="007C590A">
              <w:rPr>
                <w:color w:val="000000"/>
                <w:sz w:val="24"/>
              </w:rPr>
              <w:t>The Supplier provides training to CCS staff on both stages of the contract requirement and feedback is provided</w:t>
            </w:r>
          </w:p>
        </w:tc>
        <w:tc>
          <w:tcPr>
            <w:tcW w:w="1795" w:type="dxa"/>
            <w:tcMar>
              <w:top w:w="100" w:type="dxa"/>
              <w:left w:w="100" w:type="dxa"/>
              <w:bottom w:w="100" w:type="dxa"/>
              <w:right w:w="100" w:type="dxa"/>
            </w:tcMar>
          </w:tcPr>
          <w:p w14:paraId="3C6078B5" w14:textId="77777777" w:rsidR="00F80FA4" w:rsidRPr="007C590A" w:rsidRDefault="00AD658B">
            <w:pPr>
              <w:spacing w:line="240" w:lineRule="auto"/>
              <w:rPr>
                <w:b w:val="0"/>
                <w:color w:val="000000"/>
                <w:sz w:val="24"/>
              </w:rPr>
            </w:pPr>
            <w:r w:rsidRPr="007C590A">
              <w:rPr>
                <w:color w:val="000000"/>
                <w:sz w:val="24"/>
              </w:rPr>
              <w:t>20%</w:t>
            </w:r>
          </w:p>
        </w:tc>
      </w:tr>
    </w:tbl>
    <w:p w14:paraId="10D57BCE" w14:textId="77777777" w:rsidR="00F80FA4" w:rsidRDefault="00F80FA4">
      <w:pPr>
        <w:widowControl/>
        <w:spacing w:line="240" w:lineRule="auto"/>
      </w:pPr>
    </w:p>
    <w:p w14:paraId="68FB58B0" w14:textId="77777777" w:rsidR="00F80FA4" w:rsidRDefault="00F80FA4">
      <w:pPr>
        <w:widowControl/>
        <w:pBdr>
          <w:top w:val="nil"/>
          <w:left w:val="nil"/>
          <w:bottom w:val="nil"/>
          <w:right w:val="nil"/>
          <w:between w:val="nil"/>
        </w:pBdr>
        <w:spacing w:line="240" w:lineRule="auto"/>
        <w:rPr>
          <w:sz w:val="24"/>
          <w:szCs w:val="24"/>
        </w:rPr>
      </w:pPr>
    </w:p>
    <w:p w14:paraId="0D864363" w14:textId="77777777" w:rsidR="00F80FA4" w:rsidRDefault="00F80FA4">
      <w:pPr>
        <w:widowControl/>
        <w:pBdr>
          <w:top w:val="nil"/>
          <w:left w:val="nil"/>
          <w:bottom w:val="nil"/>
          <w:right w:val="nil"/>
          <w:between w:val="nil"/>
        </w:pBdr>
        <w:spacing w:line="240" w:lineRule="auto"/>
        <w:rPr>
          <w:color w:val="000000"/>
          <w:sz w:val="24"/>
          <w:szCs w:val="24"/>
        </w:rPr>
      </w:pPr>
    </w:p>
    <w:tbl>
      <w:tblPr>
        <w:tblStyle w:val="a0"/>
        <w:tblW w:w="901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4961"/>
        <w:gridCol w:w="2503"/>
      </w:tblGrid>
      <w:tr w:rsidR="00F80FA4" w14:paraId="02EFB6E1" w14:textId="77777777">
        <w:trPr>
          <w:trHeight w:val="828"/>
        </w:trPr>
        <w:tc>
          <w:tcPr>
            <w:tcW w:w="1555"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72D3F292"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Milestone/Deliverable</w:t>
            </w:r>
          </w:p>
        </w:tc>
        <w:tc>
          <w:tcPr>
            <w:tcW w:w="4961"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80DC16D"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Description</w:t>
            </w:r>
          </w:p>
        </w:tc>
        <w:tc>
          <w:tcPr>
            <w:tcW w:w="2503"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52C24C23"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Timeframe or Delivery Date</w:t>
            </w:r>
          </w:p>
        </w:tc>
      </w:tr>
      <w:tr w:rsidR="00F80FA4" w14:paraId="71586583" w14:textId="77777777">
        <w:trPr>
          <w:trHeight w:val="581"/>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79940" w14:textId="77777777" w:rsidR="00F80FA4" w:rsidRDefault="00AD658B">
            <w:pPr>
              <w:widowControl/>
              <w:pBdr>
                <w:top w:val="nil"/>
                <w:left w:val="nil"/>
                <w:bottom w:val="nil"/>
                <w:right w:val="nil"/>
                <w:between w:val="nil"/>
              </w:pBdr>
              <w:spacing w:line="240" w:lineRule="auto"/>
              <w:jc w:val="center"/>
              <w:rPr>
                <w:color w:val="000000"/>
              </w:rPr>
            </w:pPr>
            <w:r>
              <w:rPr>
                <w:color w:val="000000"/>
                <w:sz w:val="24"/>
                <w:szCs w:val="24"/>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EF8FA"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A first draft specification and schedule of services for the CPS 2 RM6356 framework to be developed and reviewed with the CCS CPS and legal team</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27FAA"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 xml:space="preserve">Within 3 weeks of the contract award </w:t>
            </w:r>
          </w:p>
        </w:tc>
      </w:tr>
      <w:tr w:rsidR="00F80FA4" w14:paraId="2E31B442" w14:textId="77777777">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B3ABD" w14:textId="77777777" w:rsidR="00F80FA4" w:rsidRDefault="00AD658B">
            <w:pPr>
              <w:widowControl/>
              <w:pBdr>
                <w:top w:val="nil"/>
                <w:left w:val="nil"/>
                <w:bottom w:val="nil"/>
                <w:right w:val="nil"/>
                <w:between w:val="nil"/>
              </w:pBdr>
              <w:spacing w:line="240" w:lineRule="auto"/>
              <w:jc w:val="center"/>
              <w:rPr>
                <w:color w:val="000000"/>
              </w:rPr>
            </w:pPr>
            <w:r>
              <w:rPr>
                <w:color w:val="000000"/>
                <w:sz w:val="24"/>
                <w:szCs w:val="24"/>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95114"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A second draft specification and schedule of services for the CPS 2 RM6356 framework to be developed and reviewed with the CCS CPS and legal team</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8661A"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Within 4 weeks of the contract award</w:t>
            </w:r>
          </w:p>
        </w:tc>
      </w:tr>
      <w:tr w:rsidR="00F80FA4" w14:paraId="605C490D" w14:textId="77777777">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2663" w14:textId="77777777" w:rsidR="00F80FA4" w:rsidRDefault="00AD658B">
            <w:pPr>
              <w:widowControl/>
              <w:pBdr>
                <w:top w:val="nil"/>
                <w:left w:val="nil"/>
                <w:bottom w:val="nil"/>
                <w:right w:val="nil"/>
                <w:between w:val="nil"/>
              </w:pBdr>
              <w:spacing w:line="240" w:lineRule="auto"/>
              <w:jc w:val="center"/>
              <w:rPr>
                <w:color w:val="000000"/>
              </w:rPr>
            </w:pPr>
            <w:r>
              <w:rPr>
                <w:color w:val="000000"/>
                <w:sz w:val="24"/>
                <w:szCs w:val="24"/>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678B6"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The final version of the specification and schedule of services for the CPS 2 RM6356 framework to be developed and reviewed with the CCS CPS and legal team</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1A24D"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 xml:space="preserve">Within 6 weeks of the contract award </w:t>
            </w:r>
          </w:p>
        </w:tc>
      </w:tr>
      <w:tr w:rsidR="00F80FA4" w14:paraId="700BF70F" w14:textId="77777777">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B52E9" w14:textId="77777777" w:rsidR="00F80FA4" w:rsidRDefault="00AD658B">
            <w:pPr>
              <w:widowControl/>
              <w:pBdr>
                <w:top w:val="nil"/>
                <w:left w:val="nil"/>
                <w:bottom w:val="nil"/>
                <w:right w:val="nil"/>
                <w:between w:val="nil"/>
              </w:pBdr>
              <w:spacing w:line="240" w:lineRule="auto"/>
              <w:jc w:val="center"/>
              <w:rPr>
                <w:color w:val="000000"/>
              </w:rPr>
            </w:pPr>
            <w:r>
              <w:rPr>
                <w:color w:val="000000"/>
                <w:sz w:val="24"/>
                <w:szCs w:val="24"/>
              </w:rPr>
              <w:t>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890A8"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50% of customer templates and guidance to be completed. The order of completion for the customer templates and guidance will be determined at contract mobilisation stage.</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258F8"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 xml:space="preserve">Within 3 months of the contract award date </w:t>
            </w:r>
          </w:p>
        </w:tc>
      </w:tr>
      <w:tr w:rsidR="00F80FA4" w14:paraId="0949E0BB" w14:textId="77777777">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1F9E8" w14:textId="77777777" w:rsidR="00F80FA4" w:rsidRDefault="00AD658B">
            <w:pPr>
              <w:widowControl/>
              <w:pBdr>
                <w:top w:val="nil"/>
                <w:left w:val="nil"/>
                <w:bottom w:val="nil"/>
                <w:right w:val="nil"/>
                <w:between w:val="nil"/>
              </w:pBdr>
              <w:spacing w:line="240" w:lineRule="auto"/>
              <w:jc w:val="center"/>
              <w:rPr>
                <w:color w:val="000000"/>
              </w:rPr>
            </w:pPr>
            <w:r>
              <w:rPr>
                <w:color w:val="000000"/>
                <w:sz w:val="24"/>
                <w:szCs w:val="24"/>
              </w:rPr>
              <w:t>5</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CEBB5"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 xml:space="preserve">All templates and guidance to be completed for CCS construction team to review </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B61F5"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 xml:space="preserve">At least four weeks before the contract end date </w:t>
            </w:r>
          </w:p>
        </w:tc>
      </w:tr>
      <w:tr w:rsidR="00F80FA4" w14:paraId="54BE24F9" w14:textId="77777777">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F088C" w14:textId="77777777" w:rsidR="00F80FA4" w:rsidRDefault="00AD658B">
            <w:pPr>
              <w:widowControl/>
              <w:pBdr>
                <w:top w:val="nil"/>
                <w:left w:val="nil"/>
                <w:bottom w:val="nil"/>
                <w:right w:val="nil"/>
                <w:between w:val="nil"/>
              </w:pBdr>
              <w:spacing w:line="240" w:lineRule="auto"/>
              <w:jc w:val="center"/>
              <w:rPr>
                <w:color w:val="000000"/>
              </w:rPr>
            </w:pPr>
            <w:r>
              <w:rPr>
                <w:color w:val="000000"/>
                <w:sz w:val="24"/>
                <w:szCs w:val="24"/>
              </w:rPr>
              <w:t>6</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7DFE9"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 xml:space="preserve">Training sessions to be delivered to CCS construction category staff virtually or in person </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5F3FE" w14:textId="77777777" w:rsidR="00F80FA4" w:rsidRDefault="00AD658B">
            <w:pPr>
              <w:widowControl/>
              <w:pBdr>
                <w:top w:val="nil"/>
                <w:left w:val="nil"/>
                <w:bottom w:val="nil"/>
                <w:right w:val="nil"/>
                <w:between w:val="nil"/>
              </w:pBdr>
              <w:spacing w:line="240" w:lineRule="auto"/>
              <w:rPr>
                <w:color w:val="000000"/>
              </w:rPr>
            </w:pPr>
            <w:r>
              <w:rPr>
                <w:color w:val="000000"/>
                <w:sz w:val="24"/>
                <w:szCs w:val="24"/>
              </w:rPr>
              <w:t xml:space="preserve">At least two weeks before the contract end date </w:t>
            </w:r>
          </w:p>
        </w:tc>
      </w:tr>
    </w:tbl>
    <w:p w14:paraId="1D9D4C29" w14:textId="77777777" w:rsidR="00F80FA4" w:rsidRDefault="00AD658B">
      <w:pPr>
        <w:widowControl/>
        <w:pBdr>
          <w:top w:val="nil"/>
          <w:left w:val="nil"/>
          <w:bottom w:val="nil"/>
          <w:right w:val="nil"/>
          <w:between w:val="nil"/>
        </w:pBdr>
        <w:spacing w:line="240" w:lineRule="auto"/>
        <w:rPr>
          <w:color w:val="000000"/>
          <w:sz w:val="24"/>
          <w:szCs w:val="24"/>
        </w:rPr>
      </w:pPr>
      <w:r>
        <w:rPr>
          <w:color w:val="000000"/>
          <w:sz w:val="24"/>
          <w:szCs w:val="24"/>
        </w:rPr>
        <w:br/>
      </w:r>
    </w:p>
    <w:p w14:paraId="367F835B" w14:textId="77777777" w:rsidR="00F80FA4" w:rsidRDefault="00AD658B">
      <w:pPr>
        <w:pStyle w:val="Heading2"/>
        <w:keepNext w:val="0"/>
        <w:keepLines w:val="0"/>
        <w:numPr>
          <w:ilvl w:val="1"/>
          <w:numId w:val="4"/>
        </w:numPr>
        <w:spacing w:after="240"/>
        <w:jc w:val="both"/>
        <w:rPr>
          <w:b w:val="0"/>
          <w:sz w:val="24"/>
          <w:szCs w:val="24"/>
        </w:rPr>
      </w:pPr>
      <w:r>
        <w:rPr>
          <w:b w:val="0"/>
          <w:sz w:val="24"/>
          <w:szCs w:val="24"/>
        </w:rPr>
        <w:t xml:space="preserve">Before payment can be considered, each invoice must include a detailed elemental breakdown of work completed and the associated costs. </w:t>
      </w:r>
    </w:p>
    <w:p w14:paraId="54DF1851" w14:textId="77777777" w:rsidR="00F80FA4" w:rsidRDefault="00AD658B">
      <w:pPr>
        <w:pStyle w:val="Heading3"/>
        <w:numPr>
          <w:ilvl w:val="2"/>
          <w:numId w:val="4"/>
        </w:numPr>
        <w:tabs>
          <w:tab w:val="left" w:pos="2257"/>
        </w:tabs>
      </w:pPr>
      <w:r>
        <w:t>Buyer’s invoice address</w:t>
      </w:r>
    </w:p>
    <w:p w14:paraId="35E08A40" w14:textId="77777777" w:rsidR="003F3E33" w:rsidRDefault="003F3E33" w:rsidP="003F3E33">
      <w:pPr>
        <w:pStyle w:val="NormalWeb"/>
        <w:numPr>
          <w:ilvl w:val="0"/>
          <w:numId w:val="4"/>
        </w:numPr>
        <w:spacing w:before="0" w:beforeAutospacing="0" w:after="200" w:afterAutospacing="0"/>
      </w:pPr>
      <w:bookmarkStart w:id="15" w:name="_1ksv4uv" w:colFirst="0" w:colLast="0"/>
      <w:bookmarkEnd w:id="15"/>
      <w:r>
        <w:rPr>
          <w:rFonts w:ascii="Arial" w:hAnsi="Arial" w:cs="Arial"/>
          <w:color w:val="000000"/>
          <w:sz w:val="22"/>
          <w:szCs w:val="22"/>
        </w:rPr>
        <w:t>Redacted under FOIA section 40, Personal Information</w:t>
      </w:r>
    </w:p>
    <w:p w14:paraId="20538CB6" w14:textId="77777777" w:rsidR="00F80FA4" w:rsidRDefault="00AD658B">
      <w:pPr>
        <w:pStyle w:val="Heading3"/>
        <w:widowControl w:val="0"/>
        <w:numPr>
          <w:ilvl w:val="2"/>
          <w:numId w:val="4"/>
        </w:numPr>
        <w:tabs>
          <w:tab w:val="left" w:pos="2257"/>
        </w:tabs>
        <w:spacing w:line="240" w:lineRule="auto"/>
      </w:pPr>
      <w:r>
        <w:t>FINANCIAL TRANSPARENCY OBJECTIVES</w:t>
      </w:r>
    </w:p>
    <w:p w14:paraId="4049F3F0" w14:textId="77777777" w:rsidR="00F80FA4" w:rsidRDefault="00AD658B">
      <w:pPr>
        <w:tabs>
          <w:tab w:val="left" w:pos="2257"/>
        </w:tabs>
        <w:spacing w:line="240" w:lineRule="auto"/>
      </w:pPr>
      <w:r>
        <w:rPr>
          <w:sz w:val="24"/>
          <w:szCs w:val="24"/>
          <w:highlight w:val="white"/>
        </w:rPr>
        <w:t>The Financial Transparency Objectives do not apply to this Call-Off Contract</w:t>
      </w:r>
    </w:p>
    <w:p w14:paraId="70202583" w14:textId="77777777" w:rsidR="00F80FA4" w:rsidRDefault="00F80FA4">
      <w:pPr>
        <w:tabs>
          <w:tab w:val="left" w:pos="2257"/>
        </w:tabs>
        <w:spacing w:line="240" w:lineRule="auto"/>
        <w:rPr>
          <w:b/>
          <w:sz w:val="24"/>
          <w:szCs w:val="24"/>
          <w:highlight w:val="white"/>
        </w:rPr>
      </w:pPr>
    </w:p>
    <w:p w14:paraId="1C4BFEF0" w14:textId="0E36B3D3" w:rsidR="00F80FA4" w:rsidRDefault="00AD658B">
      <w:pPr>
        <w:tabs>
          <w:tab w:val="left" w:pos="2257"/>
        </w:tabs>
        <w:spacing w:line="240" w:lineRule="auto"/>
        <w:rPr>
          <w:b/>
          <w:sz w:val="24"/>
          <w:szCs w:val="24"/>
        </w:rPr>
      </w:pPr>
      <w:r>
        <w:rPr>
          <w:b/>
          <w:sz w:val="24"/>
          <w:szCs w:val="24"/>
        </w:rPr>
        <w:t>Buyer’s authorised representative</w:t>
      </w:r>
    </w:p>
    <w:p w14:paraId="639D52FB" w14:textId="77777777" w:rsidR="003F3E33" w:rsidRDefault="003F3E33">
      <w:pPr>
        <w:tabs>
          <w:tab w:val="left" w:pos="2257"/>
        </w:tabs>
        <w:spacing w:line="240" w:lineRule="auto"/>
      </w:pPr>
    </w:p>
    <w:p w14:paraId="3F8FF657" w14:textId="77777777" w:rsidR="003F3E33" w:rsidRPr="007C590A" w:rsidRDefault="003F3E33" w:rsidP="003F3E33">
      <w:pPr>
        <w:pStyle w:val="NormalWeb"/>
        <w:spacing w:before="0" w:beforeAutospacing="0" w:after="200" w:afterAutospacing="0"/>
      </w:pPr>
      <w:r w:rsidRPr="00B13B6D">
        <w:rPr>
          <w:rFonts w:ascii="Arial" w:hAnsi="Arial" w:cs="Arial"/>
          <w:color w:val="000000"/>
        </w:rPr>
        <w:t>Redacted under FOIA section 40, Personal Information</w:t>
      </w:r>
    </w:p>
    <w:p w14:paraId="6E4E6AF3" w14:textId="77777777" w:rsidR="00F80FA4" w:rsidRDefault="00AD658B">
      <w:pPr>
        <w:pStyle w:val="Heading3"/>
        <w:numPr>
          <w:ilvl w:val="2"/>
          <w:numId w:val="4"/>
        </w:numPr>
        <w:tabs>
          <w:tab w:val="left" w:pos="2257"/>
        </w:tabs>
      </w:pPr>
      <w:bookmarkStart w:id="16" w:name="_44sinio" w:colFirst="0" w:colLast="0"/>
      <w:bookmarkEnd w:id="16"/>
      <w:r>
        <w:t>Buyer’s security policy</w:t>
      </w:r>
    </w:p>
    <w:p w14:paraId="5169DCBE" w14:textId="77777777" w:rsidR="00F80FA4" w:rsidRDefault="00AD658B">
      <w:pPr>
        <w:tabs>
          <w:tab w:val="left" w:pos="2257"/>
        </w:tabs>
        <w:spacing w:line="240" w:lineRule="auto"/>
      </w:pPr>
      <w:r>
        <w:rPr>
          <w:sz w:val="24"/>
          <w:szCs w:val="24"/>
        </w:rPr>
        <w:t xml:space="preserve">Not </w:t>
      </w:r>
      <w:r w:rsidR="00014C3A">
        <w:rPr>
          <w:sz w:val="24"/>
          <w:szCs w:val="24"/>
        </w:rPr>
        <w:t>a</w:t>
      </w:r>
      <w:r>
        <w:rPr>
          <w:sz w:val="24"/>
          <w:szCs w:val="24"/>
        </w:rPr>
        <w:t>pplicable</w:t>
      </w:r>
    </w:p>
    <w:p w14:paraId="65465796" w14:textId="25856344" w:rsidR="00F80FA4" w:rsidRDefault="00AD658B">
      <w:pPr>
        <w:pStyle w:val="Heading3"/>
        <w:numPr>
          <w:ilvl w:val="2"/>
          <w:numId w:val="4"/>
        </w:numPr>
        <w:tabs>
          <w:tab w:val="left" w:pos="2257"/>
        </w:tabs>
      </w:pPr>
      <w:bookmarkStart w:id="17" w:name="_2jxsxqh" w:colFirst="0" w:colLast="0"/>
      <w:bookmarkEnd w:id="17"/>
      <w:r>
        <w:t>Supplier’s authorised representative</w:t>
      </w:r>
    </w:p>
    <w:p w14:paraId="04EB0EE9" w14:textId="77777777" w:rsidR="003F3E33" w:rsidRPr="007C590A" w:rsidRDefault="003F3E33" w:rsidP="003F3E33">
      <w:pPr>
        <w:pStyle w:val="NormalWeb"/>
        <w:numPr>
          <w:ilvl w:val="0"/>
          <w:numId w:val="4"/>
        </w:numPr>
        <w:spacing w:before="0" w:beforeAutospacing="0" w:after="200" w:afterAutospacing="0"/>
      </w:pPr>
      <w:r w:rsidRPr="00B13B6D">
        <w:rPr>
          <w:rFonts w:ascii="Arial" w:hAnsi="Arial" w:cs="Arial"/>
          <w:color w:val="000000"/>
        </w:rPr>
        <w:t>Redacted under FOIA section 40, Personal Information</w:t>
      </w:r>
    </w:p>
    <w:p w14:paraId="093DF9C1" w14:textId="77777777" w:rsidR="003F3E33" w:rsidRPr="003F3E33" w:rsidRDefault="003F3E33" w:rsidP="003F3E33"/>
    <w:p w14:paraId="10536ECD" w14:textId="77777777" w:rsidR="00F80FA4" w:rsidRDefault="00AD658B">
      <w:pPr>
        <w:pStyle w:val="Heading3"/>
        <w:numPr>
          <w:ilvl w:val="2"/>
          <w:numId w:val="4"/>
        </w:numPr>
        <w:tabs>
          <w:tab w:val="left" w:pos="2257"/>
        </w:tabs>
      </w:pPr>
      <w:bookmarkStart w:id="18" w:name="_z337ya" w:colFirst="0" w:colLast="0"/>
      <w:bookmarkEnd w:id="18"/>
      <w:r>
        <w:lastRenderedPageBreak/>
        <w:t>Supplier’s contract manager</w:t>
      </w:r>
    </w:p>
    <w:p w14:paraId="2EC7C4DE" w14:textId="77777777" w:rsidR="003F3E33" w:rsidRPr="007C590A" w:rsidRDefault="003F3E33" w:rsidP="003F3E33">
      <w:pPr>
        <w:pStyle w:val="NormalWeb"/>
        <w:numPr>
          <w:ilvl w:val="0"/>
          <w:numId w:val="4"/>
        </w:numPr>
        <w:spacing w:before="0" w:beforeAutospacing="0" w:after="200" w:afterAutospacing="0"/>
      </w:pPr>
      <w:r w:rsidRPr="00B13B6D">
        <w:rPr>
          <w:rFonts w:ascii="Arial" w:hAnsi="Arial" w:cs="Arial"/>
          <w:color w:val="000000"/>
        </w:rPr>
        <w:t>Redacted under FOIA section 40, Personal Information</w:t>
      </w:r>
    </w:p>
    <w:p w14:paraId="6BCE7128" w14:textId="4CC500D2" w:rsidR="00F80FA4" w:rsidRPr="003F3E33" w:rsidRDefault="00F80FA4">
      <w:pPr>
        <w:tabs>
          <w:tab w:val="left" w:pos="2257"/>
        </w:tabs>
        <w:spacing w:line="240" w:lineRule="auto"/>
        <w:rPr>
          <w:sz w:val="24"/>
          <w:szCs w:val="24"/>
          <w:highlight w:val="white"/>
        </w:rPr>
      </w:pPr>
    </w:p>
    <w:p w14:paraId="6DE8752D" w14:textId="77777777" w:rsidR="00F80FA4" w:rsidRDefault="00AD658B">
      <w:pPr>
        <w:pStyle w:val="Heading3"/>
        <w:numPr>
          <w:ilvl w:val="2"/>
          <w:numId w:val="4"/>
        </w:numPr>
        <w:tabs>
          <w:tab w:val="left" w:pos="2257"/>
        </w:tabs>
      </w:pPr>
      <w:bookmarkStart w:id="19" w:name="_3j2qqm3" w:colFirst="0" w:colLast="0"/>
      <w:bookmarkEnd w:id="19"/>
      <w:r>
        <w:t>Progress report frequency</w:t>
      </w:r>
    </w:p>
    <w:p w14:paraId="09E43FB4" w14:textId="77777777" w:rsidR="00F80FA4" w:rsidRDefault="00AD658B">
      <w:pPr>
        <w:tabs>
          <w:tab w:val="left" w:pos="2257"/>
        </w:tabs>
        <w:spacing w:line="240" w:lineRule="auto"/>
        <w:rPr>
          <w:sz w:val="24"/>
          <w:szCs w:val="24"/>
        </w:rPr>
      </w:pPr>
      <w:r>
        <w:rPr>
          <w:sz w:val="24"/>
          <w:szCs w:val="24"/>
        </w:rPr>
        <w:t>Weekly for Phase 1 of the project (date and time to be confirmed)</w:t>
      </w:r>
    </w:p>
    <w:p w14:paraId="146C95B7" w14:textId="77777777" w:rsidR="00F80FA4" w:rsidRDefault="00F80FA4">
      <w:pPr>
        <w:tabs>
          <w:tab w:val="left" w:pos="2257"/>
        </w:tabs>
        <w:spacing w:line="240" w:lineRule="auto"/>
        <w:rPr>
          <w:sz w:val="24"/>
          <w:szCs w:val="24"/>
        </w:rPr>
      </w:pPr>
    </w:p>
    <w:p w14:paraId="24B83F3C" w14:textId="77777777" w:rsidR="00F80FA4" w:rsidRDefault="00AD658B">
      <w:pPr>
        <w:tabs>
          <w:tab w:val="left" w:pos="2257"/>
        </w:tabs>
        <w:spacing w:line="240" w:lineRule="auto"/>
        <w:rPr>
          <w:sz w:val="24"/>
          <w:szCs w:val="24"/>
        </w:rPr>
      </w:pPr>
      <w:r>
        <w:rPr>
          <w:sz w:val="24"/>
          <w:szCs w:val="24"/>
        </w:rPr>
        <w:t xml:space="preserve">Bi-weekly for Phase 2 of the project (date and time to be confirmed) </w:t>
      </w:r>
    </w:p>
    <w:p w14:paraId="4B5EABA6" w14:textId="77777777" w:rsidR="00F80FA4" w:rsidRDefault="00AD658B">
      <w:pPr>
        <w:pStyle w:val="Heading3"/>
        <w:numPr>
          <w:ilvl w:val="2"/>
          <w:numId w:val="4"/>
        </w:numPr>
        <w:tabs>
          <w:tab w:val="left" w:pos="2257"/>
        </w:tabs>
      </w:pPr>
      <w:bookmarkStart w:id="20" w:name="_1y810tw" w:colFirst="0" w:colLast="0"/>
      <w:bookmarkEnd w:id="20"/>
      <w:r>
        <w:t>Progress meeting frequency</w:t>
      </w:r>
    </w:p>
    <w:p w14:paraId="09EBEAC1" w14:textId="77777777" w:rsidR="00F80FA4" w:rsidRDefault="00AD658B">
      <w:pPr>
        <w:tabs>
          <w:tab w:val="left" w:pos="2257"/>
        </w:tabs>
        <w:spacing w:line="240" w:lineRule="auto"/>
        <w:rPr>
          <w:sz w:val="24"/>
          <w:szCs w:val="24"/>
        </w:rPr>
      </w:pPr>
      <w:r>
        <w:rPr>
          <w:sz w:val="24"/>
          <w:szCs w:val="24"/>
        </w:rPr>
        <w:t>Weekly for Phase 1 of the project (date, time and location to be confirmed)</w:t>
      </w:r>
    </w:p>
    <w:p w14:paraId="3A99B3B9" w14:textId="77777777" w:rsidR="00F80FA4" w:rsidRDefault="00F80FA4">
      <w:pPr>
        <w:tabs>
          <w:tab w:val="left" w:pos="2257"/>
        </w:tabs>
        <w:spacing w:line="240" w:lineRule="auto"/>
        <w:rPr>
          <w:sz w:val="24"/>
          <w:szCs w:val="24"/>
        </w:rPr>
      </w:pPr>
    </w:p>
    <w:p w14:paraId="05FA00FA" w14:textId="5E21F03F" w:rsidR="00F80FA4" w:rsidRDefault="00AD658B">
      <w:pPr>
        <w:tabs>
          <w:tab w:val="left" w:pos="2257"/>
        </w:tabs>
        <w:spacing w:line="240" w:lineRule="auto"/>
        <w:rPr>
          <w:sz w:val="24"/>
          <w:szCs w:val="24"/>
        </w:rPr>
      </w:pPr>
      <w:r>
        <w:rPr>
          <w:sz w:val="24"/>
          <w:szCs w:val="24"/>
        </w:rPr>
        <w:t xml:space="preserve">Monthly for Phase 2 of the project but </w:t>
      </w:r>
      <w:proofErr w:type="spellStart"/>
      <w:r>
        <w:rPr>
          <w:sz w:val="24"/>
          <w:szCs w:val="24"/>
        </w:rPr>
        <w:t>adhoc</w:t>
      </w:r>
      <w:proofErr w:type="spellEnd"/>
      <w:r>
        <w:rPr>
          <w:sz w:val="24"/>
          <w:szCs w:val="24"/>
        </w:rPr>
        <w:t xml:space="preserve"> meetings may be planned on completion of certain milestones (date, time and location to be confirmed)</w:t>
      </w:r>
    </w:p>
    <w:p w14:paraId="63042C9E" w14:textId="77777777" w:rsidR="00F80FA4" w:rsidRDefault="00F80FA4">
      <w:pPr>
        <w:tabs>
          <w:tab w:val="left" w:pos="2257"/>
        </w:tabs>
        <w:spacing w:line="240" w:lineRule="auto"/>
        <w:rPr>
          <w:b/>
          <w:sz w:val="24"/>
          <w:szCs w:val="24"/>
        </w:rPr>
      </w:pPr>
    </w:p>
    <w:p w14:paraId="32309346" w14:textId="77777777" w:rsidR="00F80FA4" w:rsidRDefault="00AD658B">
      <w:pPr>
        <w:tabs>
          <w:tab w:val="left" w:pos="2257"/>
        </w:tabs>
        <w:spacing w:line="240" w:lineRule="auto"/>
      </w:pPr>
      <w:r>
        <w:rPr>
          <w:b/>
          <w:sz w:val="24"/>
          <w:szCs w:val="24"/>
        </w:rPr>
        <w:t>Key staff</w:t>
      </w:r>
    </w:p>
    <w:p w14:paraId="51E470CE" w14:textId="77777777" w:rsidR="003F3E33" w:rsidRPr="007C590A" w:rsidRDefault="003F3E33" w:rsidP="003F3E33">
      <w:pPr>
        <w:pStyle w:val="NormalWeb"/>
        <w:numPr>
          <w:ilvl w:val="0"/>
          <w:numId w:val="4"/>
        </w:numPr>
        <w:spacing w:before="0" w:beforeAutospacing="0" w:after="200" w:afterAutospacing="0"/>
      </w:pPr>
      <w:bookmarkStart w:id="21" w:name="_4i7ojhp" w:colFirst="0" w:colLast="0"/>
      <w:bookmarkEnd w:id="21"/>
      <w:r w:rsidRPr="00B13B6D">
        <w:rPr>
          <w:rFonts w:ascii="Arial" w:hAnsi="Arial" w:cs="Arial"/>
          <w:color w:val="000000"/>
        </w:rPr>
        <w:t>Redacted under FOIA section 40, Personal Information</w:t>
      </w:r>
    </w:p>
    <w:p w14:paraId="2B3B15B9" w14:textId="7138922E" w:rsidR="00F80FA4" w:rsidRDefault="00AD658B">
      <w:pPr>
        <w:pStyle w:val="Heading3"/>
        <w:numPr>
          <w:ilvl w:val="2"/>
          <w:numId w:val="4"/>
        </w:numPr>
        <w:tabs>
          <w:tab w:val="left" w:pos="2257"/>
        </w:tabs>
      </w:pPr>
      <w:r>
        <w:t>Key subcontractor(s)</w:t>
      </w:r>
    </w:p>
    <w:p w14:paraId="224CD118" w14:textId="0EA6008C" w:rsidR="0086548F" w:rsidRPr="0086548F" w:rsidRDefault="0086548F" w:rsidP="0086548F">
      <w:r>
        <w:t>Not Applicable</w:t>
      </w:r>
    </w:p>
    <w:p w14:paraId="363B27CC" w14:textId="6DD07580" w:rsidR="00F80FA4" w:rsidRDefault="00AD658B">
      <w:pPr>
        <w:pStyle w:val="Heading3"/>
        <w:numPr>
          <w:ilvl w:val="2"/>
          <w:numId w:val="4"/>
        </w:numPr>
        <w:tabs>
          <w:tab w:val="left" w:pos="2257"/>
        </w:tabs>
      </w:pPr>
      <w:bookmarkStart w:id="22" w:name="_2xcytpi" w:colFirst="0" w:colLast="0"/>
      <w:bookmarkEnd w:id="22"/>
      <w:r>
        <w:t>Commercially sensitive information</w:t>
      </w:r>
    </w:p>
    <w:p w14:paraId="045CF3E0" w14:textId="77777777" w:rsidR="0086548F" w:rsidRPr="0086548F" w:rsidRDefault="0086548F" w:rsidP="0086548F">
      <w:pPr>
        <w:pStyle w:val="ListParagraph"/>
        <w:numPr>
          <w:ilvl w:val="0"/>
          <w:numId w:val="4"/>
        </w:numPr>
      </w:pPr>
      <w:bookmarkStart w:id="23" w:name="_1ci93xb" w:colFirst="0" w:colLast="0"/>
      <w:bookmarkEnd w:id="23"/>
      <w:r>
        <w:t>Not Applicable</w:t>
      </w:r>
    </w:p>
    <w:p w14:paraId="416124A1" w14:textId="77777777" w:rsidR="00F80FA4" w:rsidRDefault="00AD658B">
      <w:pPr>
        <w:pStyle w:val="Heading3"/>
        <w:numPr>
          <w:ilvl w:val="2"/>
          <w:numId w:val="4"/>
        </w:numPr>
        <w:tabs>
          <w:tab w:val="left" w:pos="2257"/>
        </w:tabs>
      </w:pPr>
      <w:r>
        <w:t>Service credits</w:t>
      </w:r>
    </w:p>
    <w:p w14:paraId="46C6F8BF" w14:textId="04CD876D" w:rsidR="00F80FA4" w:rsidRPr="00322509" w:rsidRDefault="00AD658B">
      <w:pPr>
        <w:tabs>
          <w:tab w:val="left" w:pos="2257"/>
        </w:tabs>
        <w:spacing w:line="240" w:lineRule="auto"/>
      </w:pPr>
      <w:r w:rsidRPr="007976DD">
        <w:rPr>
          <w:sz w:val="24"/>
          <w:szCs w:val="24"/>
        </w:rPr>
        <w:t xml:space="preserve">Not </w:t>
      </w:r>
      <w:r w:rsidR="0086548F">
        <w:rPr>
          <w:sz w:val="24"/>
          <w:szCs w:val="24"/>
        </w:rPr>
        <w:t>A</w:t>
      </w:r>
      <w:r w:rsidRPr="007976DD">
        <w:rPr>
          <w:sz w:val="24"/>
          <w:szCs w:val="24"/>
        </w:rPr>
        <w:t xml:space="preserve">pplicable </w:t>
      </w:r>
    </w:p>
    <w:p w14:paraId="5A41A36F" w14:textId="77777777" w:rsidR="00F80FA4" w:rsidRDefault="00AD658B">
      <w:pPr>
        <w:pStyle w:val="Heading3"/>
        <w:numPr>
          <w:ilvl w:val="2"/>
          <w:numId w:val="4"/>
        </w:numPr>
        <w:tabs>
          <w:tab w:val="left" w:pos="2257"/>
        </w:tabs>
      </w:pPr>
      <w:bookmarkStart w:id="24" w:name="_3whwml4" w:colFirst="0" w:colLast="0"/>
      <w:bookmarkEnd w:id="24"/>
      <w:r>
        <w:t>Additional insurances</w:t>
      </w:r>
    </w:p>
    <w:p w14:paraId="2327B051" w14:textId="77777777" w:rsidR="00F80FA4" w:rsidRDefault="00AD658B">
      <w:pPr>
        <w:spacing w:line="240" w:lineRule="auto"/>
      </w:pPr>
      <w:r>
        <w:rPr>
          <w:sz w:val="24"/>
          <w:szCs w:val="24"/>
          <w:highlight w:val="white"/>
        </w:rPr>
        <w:t>Not applicable</w:t>
      </w:r>
    </w:p>
    <w:p w14:paraId="44A3E8D8" w14:textId="77777777" w:rsidR="00F80FA4" w:rsidRDefault="00AD658B">
      <w:pPr>
        <w:pStyle w:val="Heading3"/>
        <w:numPr>
          <w:ilvl w:val="2"/>
          <w:numId w:val="4"/>
        </w:numPr>
        <w:jc w:val="both"/>
      </w:pPr>
      <w:bookmarkStart w:id="25" w:name="_2bn6wsx" w:colFirst="0" w:colLast="0"/>
      <w:bookmarkEnd w:id="25"/>
      <w:r>
        <w:t>Guarantee</w:t>
      </w:r>
    </w:p>
    <w:p w14:paraId="5F288301" w14:textId="77777777" w:rsidR="00F80FA4" w:rsidRDefault="00AD658B">
      <w:pPr>
        <w:spacing w:line="240" w:lineRule="auto"/>
      </w:pPr>
      <w:r>
        <w:rPr>
          <w:sz w:val="24"/>
          <w:szCs w:val="24"/>
        </w:rPr>
        <w:t>Not applicable</w:t>
      </w:r>
    </w:p>
    <w:p w14:paraId="3036A3B7" w14:textId="77777777" w:rsidR="00F80FA4" w:rsidRDefault="00AD658B">
      <w:pPr>
        <w:pStyle w:val="Heading3"/>
        <w:numPr>
          <w:ilvl w:val="2"/>
          <w:numId w:val="4"/>
        </w:numPr>
        <w:tabs>
          <w:tab w:val="left" w:pos="2257"/>
        </w:tabs>
      </w:pPr>
      <w:bookmarkStart w:id="26" w:name="_qsh70q" w:colFirst="0" w:colLast="0"/>
      <w:bookmarkEnd w:id="26"/>
      <w:r>
        <w:t>Buyer’s environmental and social value policy</w:t>
      </w:r>
    </w:p>
    <w:p w14:paraId="3B3381F7" w14:textId="77777777" w:rsidR="00F80FA4" w:rsidRPr="007976DD" w:rsidRDefault="00AD658B">
      <w:pPr>
        <w:tabs>
          <w:tab w:val="left" w:pos="2257"/>
        </w:tabs>
        <w:spacing w:line="240" w:lineRule="auto"/>
        <w:rPr>
          <w:sz w:val="24"/>
        </w:rPr>
      </w:pPr>
      <w:r w:rsidRPr="007976DD">
        <w:rPr>
          <w:sz w:val="24"/>
        </w:rPr>
        <w:t xml:space="preserve">CCS Carbon reduction plan and environmental policy can be found here: </w:t>
      </w:r>
      <w:hyperlink r:id="rId7">
        <w:r w:rsidRPr="007976DD">
          <w:rPr>
            <w:color w:val="1155CC"/>
            <w:sz w:val="24"/>
            <w:u w:val="single"/>
          </w:rPr>
          <w:t>https://www.gov.uk/government/publications/carbon-reduction-policy/carbon-reduction-plan</w:t>
        </w:r>
      </w:hyperlink>
      <w:r w:rsidRPr="007976DD">
        <w:rPr>
          <w:sz w:val="24"/>
        </w:rPr>
        <w:t xml:space="preserve"> </w:t>
      </w:r>
    </w:p>
    <w:p w14:paraId="420DBC71" w14:textId="77777777" w:rsidR="00F80FA4" w:rsidRDefault="00AD658B">
      <w:pPr>
        <w:pStyle w:val="Heading3"/>
        <w:numPr>
          <w:ilvl w:val="2"/>
          <w:numId w:val="4"/>
        </w:numPr>
        <w:jc w:val="both"/>
      </w:pPr>
      <w:bookmarkStart w:id="27" w:name="_3as4poj" w:colFirst="0" w:colLast="0"/>
      <w:bookmarkEnd w:id="27"/>
      <w:r>
        <w:t>Social value commitment</w:t>
      </w:r>
    </w:p>
    <w:p w14:paraId="2403217B" w14:textId="77777777" w:rsidR="00F80FA4" w:rsidRDefault="00AD658B" w:rsidP="007976DD">
      <w:pPr>
        <w:spacing w:line="240" w:lineRule="auto"/>
      </w:pPr>
      <w:r>
        <w:rPr>
          <w:sz w:val="24"/>
          <w:szCs w:val="24"/>
        </w:rPr>
        <w:t>The Supplier agrees, in providing the Deliverables and performing its obligations under the Call-Off Contract, that it will comply with the social value commitments in Call-Off Schedule 4 (Call-Off Tender)</w:t>
      </w:r>
      <w:r>
        <w:rPr>
          <w:sz w:val="24"/>
          <w:szCs w:val="24"/>
        </w:rPr>
        <w:br/>
      </w:r>
    </w:p>
    <w:p w14:paraId="27282AC6" w14:textId="77777777" w:rsidR="00F80FA4" w:rsidRDefault="00AD658B">
      <w:pPr>
        <w:pStyle w:val="Heading3"/>
        <w:numPr>
          <w:ilvl w:val="2"/>
          <w:numId w:val="4"/>
        </w:numPr>
        <w:spacing w:before="0" w:after="240"/>
        <w:jc w:val="both"/>
      </w:pPr>
      <w:bookmarkStart w:id="28" w:name="_1pxezwc" w:colFirst="0" w:colLast="0"/>
      <w:bookmarkEnd w:id="28"/>
      <w:r>
        <w:t>Formation of call off contract</w:t>
      </w:r>
    </w:p>
    <w:p w14:paraId="4AFDC585" w14:textId="77777777" w:rsidR="00F80FA4" w:rsidRDefault="00AD658B">
      <w:pPr>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048F661F" w14:textId="77777777" w:rsidR="00F80FA4" w:rsidRDefault="00AD658B">
      <w:pPr>
        <w:spacing w:after="240" w:line="240" w:lineRule="auto"/>
        <w:jc w:val="both"/>
      </w:pPr>
      <w:r>
        <w:rPr>
          <w:sz w:val="24"/>
          <w:szCs w:val="24"/>
        </w:rPr>
        <w:lastRenderedPageBreak/>
        <w:t>The Parties hereby acknowledge and agree that they have read the Call-Off Order Form and the Call-Off Terms and by signing below agree to be bound by this Call-Off Contract.</w:t>
      </w:r>
    </w:p>
    <w:p w14:paraId="0C4D6ED5" w14:textId="77777777" w:rsidR="00F80FA4" w:rsidRDefault="00AD658B">
      <w:pPr>
        <w:spacing w:line="240" w:lineRule="auto"/>
      </w:pPr>
      <w:r>
        <w:rPr>
          <w:b/>
          <w:sz w:val="24"/>
          <w:szCs w:val="24"/>
        </w:rPr>
        <w:t>For and on behalf of the Supplier</w:t>
      </w:r>
      <w:r>
        <w:rPr>
          <w:sz w:val="24"/>
          <w:szCs w:val="24"/>
        </w:rPr>
        <w:t>:</w:t>
      </w:r>
    </w:p>
    <w:p w14:paraId="11A1A45E" w14:textId="77777777" w:rsidR="00F80FA4" w:rsidRDefault="00F80FA4">
      <w:pPr>
        <w:spacing w:line="240" w:lineRule="auto"/>
        <w:rPr>
          <w:sz w:val="24"/>
          <w:szCs w:val="24"/>
        </w:rPr>
      </w:pPr>
    </w:p>
    <w:p w14:paraId="012B6C77" w14:textId="620A955D" w:rsidR="00F80FA4" w:rsidRPr="00B13B6D" w:rsidRDefault="00AD658B">
      <w:pPr>
        <w:spacing w:line="240" w:lineRule="auto"/>
        <w:rPr>
          <w:sz w:val="24"/>
          <w:szCs w:val="24"/>
        </w:rPr>
      </w:pPr>
      <w:r w:rsidRPr="007C590A">
        <w:rPr>
          <w:sz w:val="24"/>
          <w:szCs w:val="24"/>
        </w:rPr>
        <w:t>Signature:</w:t>
      </w:r>
      <w:r w:rsidR="003F3E33" w:rsidRPr="007C590A">
        <w:rPr>
          <w:sz w:val="24"/>
          <w:szCs w:val="24"/>
        </w:rPr>
        <w:t xml:space="preserve"> </w:t>
      </w:r>
      <w:r w:rsidR="003F3E33" w:rsidRPr="00B13B6D">
        <w:rPr>
          <w:color w:val="000000"/>
          <w:sz w:val="24"/>
          <w:szCs w:val="24"/>
        </w:rPr>
        <w:t>Redacted under FOIA section 40, Personal Information</w:t>
      </w:r>
    </w:p>
    <w:p w14:paraId="79ECBB30" w14:textId="77777777" w:rsidR="00F80FA4" w:rsidRPr="007C590A" w:rsidRDefault="00F80FA4">
      <w:pPr>
        <w:spacing w:line="240" w:lineRule="auto"/>
        <w:rPr>
          <w:sz w:val="24"/>
          <w:szCs w:val="24"/>
        </w:rPr>
      </w:pPr>
    </w:p>
    <w:p w14:paraId="09D615DB" w14:textId="2E872BED" w:rsidR="00F80FA4" w:rsidRPr="00B13B6D" w:rsidRDefault="00AD658B">
      <w:pPr>
        <w:spacing w:line="240" w:lineRule="auto"/>
        <w:rPr>
          <w:sz w:val="24"/>
          <w:szCs w:val="24"/>
        </w:rPr>
      </w:pPr>
      <w:r w:rsidRPr="007C590A">
        <w:rPr>
          <w:sz w:val="24"/>
          <w:szCs w:val="24"/>
        </w:rPr>
        <w:t>Name:</w:t>
      </w:r>
      <w:r w:rsidR="003F3E33" w:rsidRPr="00B13B6D">
        <w:rPr>
          <w:color w:val="000000"/>
          <w:sz w:val="24"/>
          <w:szCs w:val="24"/>
        </w:rPr>
        <w:t xml:space="preserve"> Redacted under FOIA section 40, Personal Information</w:t>
      </w:r>
    </w:p>
    <w:p w14:paraId="7511237C" w14:textId="77777777" w:rsidR="00F80FA4" w:rsidRPr="007C590A" w:rsidRDefault="00F80FA4">
      <w:pPr>
        <w:spacing w:line="240" w:lineRule="auto"/>
        <w:rPr>
          <w:sz w:val="24"/>
          <w:szCs w:val="24"/>
        </w:rPr>
      </w:pPr>
    </w:p>
    <w:p w14:paraId="2D8B3D57" w14:textId="4340F27F" w:rsidR="00F80FA4" w:rsidRPr="00B13B6D" w:rsidRDefault="00AD658B">
      <w:pPr>
        <w:spacing w:line="240" w:lineRule="auto"/>
        <w:rPr>
          <w:sz w:val="24"/>
          <w:szCs w:val="24"/>
        </w:rPr>
      </w:pPr>
      <w:r w:rsidRPr="007C590A">
        <w:rPr>
          <w:sz w:val="24"/>
          <w:szCs w:val="24"/>
        </w:rPr>
        <w:t>Role:</w:t>
      </w:r>
      <w:r w:rsidR="003F3E33" w:rsidRPr="007C590A">
        <w:rPr>
          <w:sz w:val="24"/>
          <w:szCs w:val="24"/>
        </w:rPr>
        <w:t xml:space="preserve"> </w:t>
      </w:r>
      <w:r w:rsidR="003F3E33" w:rsidRPr="00B13B6D">
        <w:rPr>
          <w:color w:val="000000"/>
          <w:sz w:val="24"/>
          <w:szCs w:val="24"/>
        </w:rPr>
        <w:t>Redacted under FOIA section 40, Personal Information</w:t>
      </w:r>
    </w:p>
    <w:p w14:paraId="51BCFEA8" w14:textId="77777777" w:rsidR="00F80FA4" w:rsidRDefault="00F80FA4">
      <w:pPr>
        <w:spacing w:line="240" w:lineRule="auto"/>
        <w:rPr>
          <w:sz w:val="24"/>
          <w:szCs w:val="24"/>
        </w:rPr>
      </w:pPr>
    </w:p>
    <w:p w14:paraId="5A825AE1" w14:textId="74710659" w:rsidR="00F80FA4" w:rsidRDefault="00AD658B">
      <w:pPr>
        <w:spacing w:line="240" w:lineRule="auto"/>
      </w:pPr>
      <w:r>
        <w:rPr>
          <w:sz w:val="24"/>
          <w:szCs w:val="24"/>
        </w:rPr>
        <w:t>Date:</w:t>
      </w:r>
      <w:r w:rsidR="003F3E33">
        <w:rPr>
          <w:sz w:val="24"/>
          <w:szCs w:val="24"/>
        </w:rPr>
        <w:t xml:space="preserve"> </w:t>
      </w:r>
    </w:p>
    <w:p w14:paraId="55E56080" w14:textId="77777777" w:rsidR="00F80FA4" w:rsidRDefault="00F80FA4">
      <w:pPr>
        <w:spacing w:line="240" w:lineRule="auto"/>
        <w:rPr>
          <w:b/>
          <w:sz w:val="24"/>
          <w:szCs w:val="24"/>
        </w:rPr>
      </w:pPr>
    </w:p>
    <w:p w14:paraId="5BB3E484" w14:textId="77777777" w:rsidR="00F80FA4" w:rsidRDefault="00F80FA4">
      <w:pPr>
        <w:spacing w:line="240" w:lineRule="auto"/>
        <w:rPr>
          <w:b/>
          <w:sz w:val="24"/>
          <w:szCs w:val="24"/>
        </w:rPr>
      </w:pPr>
    </w:p>
    <w:p w14:paraId="1F5289E0" w14:textId="77777777" w:rsidR="00F80FA4" w:rsidRDefault="00F80FA4">
      <w:pPr>
        <w:spacing w:line="240" w:lineRule="auto"/>
        <w:rPr>
          <w:b/>
          <w:sz w:val="24"/>
          <w:szCs w:val="24"/>
        </w:rPr>
      </w:pPr>
    </w:p>
    <w:p w14:paraId="3C801BC2" w14:textId="77777777" w:rsidR="00F80FA4" w:rsidRDefault="00AD658B">
      <w:pPr>
        <w:spacing w:line="240" w:lineRule="auto"/>
      </w:pPr>
      <w:r>
        <w:rPr>
          <w:b/>
          <w:sz w:val="24"/>
          <w:szCs w:val="24"/>
        </w:rPr>
        <w:t>For and on behalf of the Buyer</w:t>
      </w:r>
      <w:r>
        <w:rPr>
          <w:sz w:val="24"/>
          <w:szCs w:val="24"/>
        </w:rPr>
        <w:t>:</w:t>
      </w:r>
    </w:p>
    <w:p w14:paraId="19B5C2F6" w14:textId="77777777" w:rsidR="00F80FA4" w:rsidRDefault="00F80FA4">
      <w:pPr>
        <w:spacing w:line="240" w:lineRule="auto"/>
        <w:rPr>
          <w:sz w:val="24"/>
          <w:szCs w:val="24"/>
        </w:rPr>
      </w:pPr>
    </w:p>
    <w:p w14:paraId="6D0516E7" w14:textId="6AED501F" w:rsidR="00F80FA4" w:rsidRPr="00B13B6D" w:rsidRDefault="00AD658B">
      <w:pPr>
        <w:spacing w:line="240" w:lineRule="auto"/>
        <w:rPr>
          <w:sz w:val="24"/>
          <w:szCs w:val="24"/>
        </w:rPr>
      </w:pPr>
      <w:r>
        <w:rPr>
          <w:sz w:val="24"/>
          <w:szCs w:val="24"/>
        </w:rPr>
        <w:t>Signature:</w:t>
      </w:r>
      <w:r w:rsidR="003F3E33" w:rsidRPr="003F3E33">
        <w:rPr>
          <w:color w:val="000000"/>
        </w:rPr>
        <w:t xml:space="preserve"> </w:t>
      </w:r>
      <w:r w:rsidR="003F3E33" w:rsidRPr="00B13B6D">
        <w:rPr>
          <w:color w:val="000000"/>
          <w:sz w:val="24"/>
          <w:szCs w:val="24"/>
        </w:rPr>
        <w:t>Redacted under FOIA section 40, Personal Information</w:t>
      </w:r>
    </w:p>
    <w:p w14:paraId="774C9D51" w14:textId="77777777" w:rsidR="00F80FA4" w:rsidRPr="007C590A" w:rsidRDefault="00F80FA4">
      <w:pPr>
        <w:spacing w:line="240" w:lineRule="auto"/>
        <w:rPr>
          <w:sz w:val="24"/>
          <w:szCs w:val="24"/>
        </w:rPr>
      </w:pPr>
    </w:p>
    <w:p w14:paraId="513C20F0" w14:textId="5CEB0015" w:rsidR="00F80FA4" w:rsidRPr="00B13B6D" w:rsidRDefault="00AD658B">
      <w:pPr>
        <w:spacing w:line="240" w:lineRule="auto"/>
        <w:rPr>
          <w:sz w:val="24"/>
          <w:szCs w:val="24"/>
        </w:rPr>
      </w:pPr>
      <w:r w:rsidRPr="007C590A">
        <w:rPr>
          <w:sz w:val="24"/>
          <w:szCs w:val="24"/>
        </w:rPr>
        <w:t>Name:</w:t>
      </w:r>
      <w:r w:rsidR="003F3E33" w:rsidRPr="00B13B6D">
        <w:rPr>
          <w:color w:val="000000"/>
          <w:sz w:val="24"/>
          <w:szCs w:val="24"/>
        </w:rPr>
        <w:t xml:space="preserve"> Redacted under FOIA section 40, Personal Information</w:t>
      </w:r>
    </w:p>
    <w:p w14:paraId="0AC8826A" w14:textId="77777777" w:rsidR="00F80FA4" w:rsidRPr="007C590A" w:rsidRDefault="00F80FA4">
      <w:pPr>
        <w:spacing w:line="240" w:lineRule="auto"/>
        <w:rPr>
          <w:sz w:val="24"/>
          <w:szCs w:val="24"/>
        </w:rPr>
      </w:pPr>
    </w:p>
    <w:p w14:paraId="493FCD36" w14:textId="7C2894EA" w:rsidR="00F80FA4" w:rsidRPr="00B13B6D" w:rsidRDefault="00AD658B">
      <w:pPr>
        <w:spacing w:line="240" w:lineRule="auto"/>
        <w:rPr>
          <w:sz w:val="24"/>
          <w:szCs w:val="24"/>
        </w:rPr>
      </w:pPr>
      <w:r w:rsidRPr="007C590A">
        <w:rPr>
          <w:sz w:val="24"/>
          <w:szCs w:val="24"/>
        </w:rPr>
        <w:t>Role:</w:t>
      </w:r>
      <w:r w:rsidR="003F3E33" w:rsidRPr="00B13B6D">
        <w:rPr>
          <w:color w:val="000000"/>
          <w:sz w:val="24"/>
          <w:szCs w:val="24"/>
        </w:rPr>
        <w:t xml:space="preserve"> Redacted under FOIA section 40, Personal Information</w:t>
      </w:r>
    </w:p>
    <w:p w14:paraId="2FB06D01" w14:textId="77777777" w:rsidR="00F80FA4" w:rsidRDefault="00F80FA4">
      <w:pPr>
        <w:spacing w:line="240" w:lineRule="auto"/>
        <w:rPr>
          <w:sz w:val="24"/>
          <w:szCs w:val="24"/>
        </w:rPr>
      </w:pPr>
    </w:p>
    <w:p w14:paraId="1E5297C8" w14:textId="2F0D6823" w:rsidR="00F80FA4" w:rsidRDefault="00AD658B">
      <w:pPr>
        <w:spacing w:line="240" w:lineRule="auto"/>
      </w:pPr>
      <w:r>
        <w:rPr>
          <w:sz w:val="24"/>
          <w:szCs w:val="24"/>
        </w:rPr>
        <w:t>Date:</w:t>
      </w:r>
      <w:r w:rsidR="003F3E33">
        <w:rPr>
          <w:sz w:val="24"/>
          <w:szCs w:val="24"/>
        </w:rPr>
        <w:t xml:space="preserve"> </w:t>
      </w:r>
    </w:p>
    <w:p w14:paraId="61959405" w14:textId="77777777" w:rsidR="00F80FA4" w:rsidRDefault="00F80FA4"/>
    <w:sectPr w:rsidR="00F80FA4">
      <w:headerReference w:type="default" r:id="rId8"/>
      <w:footerReference w:type="default" r:id="rId9"/>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872E8" w14:textId="77777777" w:rsidR="00ED0F48" w:rsidRDefault="00ED0F48">
      <w:pPr>
        <w:spacing w:line="240" w:lineRule="auto"/>
      </w:pPr>
      <w:r>
        <w:separator/>
      </w:r>
    </w:p>
  </w:endnote>
  <w:endnote w:type="continuationSeparator" w:id="0">
    <w:p w14:paraId="5A083687" w14:textId="77777777" w:rsidR="00ED0F48" w:rsidRDefault="00ED0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7C42" w14:textId="77777777" w:rsidR="00F80FA4" w:rsidRDefault="00AD658B">
    <w:pPr>
      <w:jc w:val="right"/>
    </w:pPr>
    <w:r>
      <w:fldChar w:fldCharType="begin"/>
    </w:r>
    <w:r>
      <w:instrText>PAGE</w:instrText>
    </w:r>
    <w:r>
      <w:fldChar w:fldCharType="separate"/>
    </w:r>
    <w:r w:rsidR="00791392">
      <w:rPr>
        <w:noProof/>
      </w:rPr>
      <w:t>2</w:t>
    </w:r>
    <w:r>
      <w:fldChar w:fldCharType="end"/>
    </w:r>
  </w:p>
  <w:p w14:paraId="6674DEB8" w14:textId="77777777" w:rsidR="00F80FA4" w:rsidRDefault="00AD658B">
    <w:r>
      <w:rPr>
        <w:rFonts w:ascii="Roboto" w:eastAsia="Roboto" w:hAnsi="Roboto" w:cs="Roboto"/>
        <w:color w:val="202124"/>
        <w:sz w:val="20"/>
        <w:szCs w:val="20"/>
        <w:highlight w:val="white"/>
      </w:rPr>
      <w:t>Framework: RM6187</w:t>
    </w:r>
    <w:r>
      <w:rPr>
        <w:rFonts w:ascii="Roboto" w:eastAsia="Roboto" w:hAnsi="Roboto" w:cs="Roboto"/>
        <w:color w:val="202124"/>
        <w:sz w:val="20"/>
        <w:szCs w:val="20"/>
        <w:highlight w:val="white"/>
      </w:rPr>
      <w:tab/>
      <w:t xml:space="preserve">                                           </w:t>
    </w:r>
    <w:r>
      <w:rPr>
        <w:rFonts w:ascii="Roboto" w:eastAsia="Roboto" w:hAnsi="Roboto" w:cs="Roboto"/>
        <w:color w:val="202124"/>
        <w:sz w:val="20"/>
        <w:szCs w:val="20"/>
        <w:highlight w:val="white"/>
      </w:rPr>
      <w:tab/>
    </w:r>
    <w:r>
      <w:rPr>
        <w:rFonts w:ascii="Roboto" w:eastAsia="Roboto" w:hAnsi="Roboto" w:cs="Roboto"/>
        <w:color w:val="202124"/>
        <w:sz w:val="20"/>
        <w:szCs w:val="20"/>
        <w:highlight w:val="white"/>
      </w:rPr>
      <w:tab/>
    </w:r>
  </w:p>
  <w:p w14:paraId="2C912484" w14:textId="77777777" w:rsidR="00F80FA4" w:rsidRDefault="00AD658B">
    <w:r>
      <w:rPr>
        <w:rFonts w:ascii="Roboto" w:eastAsia="Roboto" w:hAnsi="Roboto" w:cs="Roboto"/>
        <w:color w:val="202124"/>
        <w:sz w:val="20"/>
        <w:szCs w:val="20"/>
        <w:highlight w:val="white"/>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D51C9" w14:textId="77777777" w:rsidR="00ED0F48" w:rsidRDefault="00ED0F48">
      <w:pPr>
        <w:spacing w:line="240" w:lineRule="auto"/>
      </w:pPr>
      <w:r>
        <w:separator/>
      </w:r>
    </w:p>
  </w:footnote>
  <w:footnote w:type="continuationSeparator" w:id="0">
    <w:p w14:paraId="31A4AB64" w14:textId="77777777" w:rsidR="00ED0F48" w:rsidRDefault="00ED0F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26389" w14:textId="77777777" w:rsidR="00F80FA4" w:rsidRDefault="00AD658B">
    <w:r>
      <w:rPr>
        <w:rFonts w:ascii="Roboto" w:eastAsia="Roboto" w:hAnsi="Roboto" w:cs="Roboto"/>
        <w:color w:val="202124"/>
        <w:sz w:val="20"/>
        <w:szCs w:val="20"/>
        <w:highlight w:val="white"/>
      </w:rPr>
      <w:t>Framework Schedule 6 (Order Form Template and Call-Off Schedules)</w:t>
    </w:r>
  </w:p>
  <w:p w14:paraId="23214FC5" w14:textId="77777777" w:rsidR="00F80FA4" w:rsidRDefault="00AD658B">
    <w:r>
      <w:rPr>
        <w:rFonts w:ascii="Roboto" w:eastAsia="Roboto" w:hAnsi="Roboto" w:cs="Roboto"/>
        <w:color w:val="202124"/>
        <w:sz w:val="20"/>
        <w:szCs w:val="20"/>
        <w:highlight w:val="white"/>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2F4F"/>
    <w:multiLevelType w:val="multilevel"/>
    <w:tmpl w:val="59742F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b/>
        <w:sz w:val="24"/>
        <w:szCs w:val="24"/>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6825C3E"/>
    <w:multiLevelType w:val="multilevel"/>
    <w:tmpl w:val="2648FE9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CD68B0"/>
    <w:multiLevelType w:val="multilevel"/>
    <w:tmpl w:val="FDBCBA3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48663FB8"/>
    <w:multiLevelType w:val="hybridMultilevel"/>
    <w:tmpl w:val="627CC1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65FB0D49"/>
    <w:multiLevelType w:val="multilevel"/>
    <w:tmpl w:val="9C22453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73083C91"/>
    <w:multiLevelType w:val="multilevel"/>
    <w:tmpl w:val="AEE871D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FA4"/>
    <w:rsid w:val="00014C3A"/>
    <w:rsid w:val="00276992"/>
    <w:rsid w:val="002E5813"/>
    <w:rsid w:val="00322509"/>
    <w:rsid w:val="003F3E33"/>
    <w:rsid w:val="004560DE"/>
    <w:rsid w:val="005A13DE"/>
    <w:rsid w:val="005C7AF1"/>
    <w:rsid w:val="00791392"/>
    <w:rsid w:val="007976DD"/>
    <w:rsid w:val="007C590A"/>
    <w:rsid w:val="0086548F"/>
    <w:rsid w:val="00A133DA"/>
    <w:rsid w:val="00A526EA"/>
    <w:rsid w:val="00AD658B"/>
    <w:rsid w:val="00B13B6D"/>
    <w:rsid w:val="00BE3B6D"/>
    <w:rsid w:val="00C10F15"/>
    <w:rsid w:val="00DC6D0E"/>
    <w:rsid w:val="00E86CAB"/>
    <w:rsid w:val="00ED0F48"/>
    <w:rsid w:val="00EF4853"/>
    <w:rsid w:val="00F80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3264"/>
  <w15:docId w15:val="{8538E0EF-AB71-4FBF-87BB-8C032FBA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il"/>
        <w:left w:val="nil"/>
        <w:bottom w:val="nil"/>
        <w:right w:val="nil"/>
        <w:between w:val="nil"/>
      </w:pBdr>
      <w:spacing w:before="400" w:after="120" w:line="240" w:lineRule="auto"/>
      <w:outlineLvl w:val="0"/>
    </w:pPr>
    <w:rPr>
      <w:color w:val="000000"/>
      <w:sz w:val="40"/>
      <w:szCs w:val="40"/>
    </w:rPr>
  </w:style>
  <w:style w:type="paragraph" w:styleId="Heading2">
    <w:name w:val="heading 2"/>
    <w:basedOn w:val="Normal"/>
    <w:next w:val="Normal"/>
    <w:uiPriority w:val="9"/>
    <w:unhideWhenUsed/>
    <w:qFormat/>
    <w:pPr>
      <w:keepNext/>
      <w:keepLines/>
      <w:widowControl/>
      <w:pBdr>
        <w:top w:val="nil"/>
        <w:left w:val="nil"/>
        <w:bottom w:val="nil"/>
        <w:right w:val="nil"/>
        <w:between w:val="nil"/>
      </w:pBdr>
      <w:tabs>
        <w:tab w:val="left" w:pos="0"/>
      </w:tabs>
      <w:spacing w:after="80" w:line="240" w:lineRule="auto"/>
      <w:outlineLvl w:val="1"/>
    </w:pPr>
    <w:rPr>
      <w:b/>
      <w:color w:val="000000"/>
      <w:sz w:val="28"/>
      <w:szCs w:val="28"/>
    </w:rPr>
  </w:style>
  <w:style w:type="paragraph" w:styleId="Heading3">
    <w:name w:val="heading 3"/>
    <w:basedOn w:val="Normal"/>
    <w:next w:val="Normal"/>
    <w:uiPriority w:val="9"/>
    <w:unhideWhenUsed/>
    <w:qFormat/>
    <w:pPr>
      <w:keepNext/>
      <w:keepLines/>
      <w:widowControl/>
      <w:pBdr>
        <w:top w:val="nil"/>
        <w:left w:val="nil"/>
        <w:bottom w:val="nil"/>
        <w:right w:val="nil"/>
        <w:between w:val="nil"/>
      </w:pBdr>
      <w:tabs>
        <w:tab w:val="left" w:pos="0"/>
      </w:tabs>
      <w:spacing w:before="280"/>
      <w:outlineLvl w:val="2"/>
    </w:pPr>
    <w:rPr>
      <w:b/>
      <w:color w:val="000000"/>
      <w:sz w:val="24"/>
      <w:szCs w:val="24"/>
    </w:rPr>
  </w:style>
  <w:style w:type="paragraph" w:styleId="Heading4">
    <w:name w:val="heading 4"/>
    <w:basedOn w:val="Normal"/>
    <w:next w:val="Normal"/>
    <w:uiPriority w:val="9"/>
    <w:semiHidden/>
    <w:unhideWhenUsed/>
    <w:qFormat/>
    <w:pPr>
      <w:keepNext/>
      <w:keepLines/>
      <w:widowControl/>
      <w:pBdr>
        <w:top w:val="nil"/>
        <w:left w:val="nil"/>
        <w:bottom w:val="nil"/>
        <w:right w:val="nil"/>
        <w:between w:val="nil"/>
      </w:pBdr>
      <w:spacing w:before="280" w:after="80" w:line="240" w:lineRule="auto"/>
      <w:outlineLvl w:val="3"/>
    </w:pPr>
    <w:rPr>
      <w:color w:val="666666"/>
      <w:sz w:val="24"/>
      <w:szCs w:val="24"/>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uiPriority w:val="11"/>
    <w:qFormat/>
    <w:pPr>
      <w:keepNext/>
      <w:keepLines/>
      <w:widowControl/>
      <w:pBdr>
        <w:top w:val="nil"/>
        <w:left w:val="nil"/>
        <w:bottom w:val="nil"/>
        <w:right w:val="nil"/>
        <w:between w:val="nil"/>
      </w:pBdr>
      <w:spacing w:after="320" w:line="240" w:lineRule="auto"/>
    </w:pPr>
    <w:rPr>
      <w:color w:val="666666"/>
      <w:sz w:val="30"/>
      <w:szCs w:val="30"/>
    </w:rPr>
  </w:style>
  <w:style w:type="table" w:customStyle="1" w:styleId="a">
    <w:basedOn w:val="TableNormal"/>
    <w:pPr>
      <w:jc w:val="both"/>
    </w:pPr>
    <w:rPr>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0">
    <w:basedOn w:val="TableNormal"/>
    <w:tblPr>
      <w:tblStyleRowBandSize w:val="1"/>
      <w:tblStyleColBandSize w:val="1"/>
      <w:tblCellMar>
        <w:left w:w="103" w:type="dxa"/>
      </w:tblCellMar>
    </w:tblPr>
  </w:style>
  <w:style w:type="character" w:styleId="CommentReference">
    <w:name w:val="annotation reference"/>
    <w:basedOn w:val="DefaultParagraphFont"/>
    <w:uiPriority w:val="99"/>
    <w:semiHidden/>
    <w:unhideWhenUsed/>
    <w:rsid w:val="00791392"/>
    <w:rPr>
      <w:sz w:val="16"/>
      <w:szCs w:val="16"/>
    </w:rPr>
  </w:style>
  <w:style w:type="paragraph" w:styleId="CommentText">
    <w:name w:val="annotation text"/>
    <w:basedOn w:val="Normal"/>
    <w:link w:val="CommentTextChar"/>
    <w:uiPriority w:val="99"/>
    <w:semiHidden/>
    <w:unhideWhenUsed/>
    <w:rsid w:val="00791392"/>
    <w:pPr>
      <w:spacing w:line="240" w:lineRule="auto"/>
    </w:pPr>
    <w:rPr>
      <w:sz w:val="20"/>
      <w:szCs w:val="20"/>
    </w:rPr>
  </w:style>
  <w:style w:type="character" w:customStyle="1" w:styleId="CommentTextChar">
    <w:name w:val="Comment Text Char"/>
    <w:basedOn w:val="DefaultParagraphFont"/>
    <w:link w:val="CommentText"/>
    <w:uiPriority w:val="99"/>
    <w:semiHidden/>
    <w:rsid w:val="00791392"/>
    <w:rPr>
      <w:sz w:val="20"/>
      <w:szCs w:val="20"/>
    </w:rPr>
  </w:style>
  <w:style w:type="paragraph" w:styleId="CommentSubject">
    <w:name w:val="annotation subject"/>
    <w:basedOn w:val="CommentText"/>
    <w:next w:val="CommentText"/>
    <w:link w:val="CommentSubjectChar"/>
    <w:uiPriority w:val="99"/>
    <w:semiHidden/>
    <w:unhideWhenUsed/>
    <w:rsid w:val="00791392"/>
    <w:rPr>
      <w:b/>
      <w:bCs/>
    </w:rPr>
  </w:style>
  <w:style w:type="character" w:customStyle="1" w:styleId="CommentSubjectChar">
    <w:name w:val="Comment Subject Char"/>
    <w:basedOn w:val="CommentTextChar"/>
    <w:link w:val="CommentSubject"/>
    <w:uiPriority w:val="99"/>
    <w:semiHidden/>
    <w:rsid w:val="00791392"/>
    <w:rPr>
      <w:b/>
      <w:bCs/>
      <w:sz w:val="20"/>
      <w:szCs w:val="20"/>
    </w:rPr>
  </w:style>
  <w:style w:type="paragraph" w:styleId="BalloonText">
    <w:name w:val="Balloon Text"/>
    <w:basedOn w:val="Normal"/>
    <w:link w:val="BalloonTextChar"/>
    <w:uiPriority w:val="99"/>
    <w:semiHidden/>
    <w:unhideWhenUsed/>
    <w:rsid w:val="007913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392"/>
    <w:rPr>
      <w:rFonts w:ascii="Segoe UI" w:hAnsi="Segoe UI" w:cs="Segoe UI"/>
      <w:sz w:val="18"/>
      <w:szCs w:val="18"/>
    </w:rPr>
  </w:style>
  <w:style w:type="paragraph" w:styleId="ListParagraph">
    <w:name w:val="List Paragraph"/>
    <w:basedOn w:val="Normal"/>
    <w:uiPriority w:val="34"/>
    <w:qFormat/>
    <w:rsid w:val="00BE3B6D"/>
    <w:pPr>
      <w:ind w:left="720"/>
      <w:contextualSpacing/>
    </w:pPr>
  </w:style>
  <w:style w:type="character" w:styleId="Hyperlink">
    <w:name w:val="Hyperlink"/>
    <w:basedOn w:val="DefaultParagraphFont"/>
    <w:uiPriority w:val="99"/>
    <w:unhideWhenUsed/>
    <w:rsid w:val="00276992"/>
    <w:rPr>
      <w:color w:val="0000FF" w:themeColor="hyperlink"/>
      <w:u w:val="single"/>
    </w:rPr>
  </w:style>
  <w:style w:type="character" w:styleId="UnresolvedMention">
    <w:name w:val="Unresolved Mention"/>
    <w:basedOn w:val="DefaultParagraphFont"/>
    <w:uiPriority w:val="99"/>
    <w:semiHidden/>
    <w:unhideWhenUsed/>
    <w:rsid w:val="00276992"/>
    <w:rPr>
      <w:color w:val="605E5C"/>
      <w:shd w:val="clear" w:color="auto" w:fill="E1DFDD"/>
    </w:rPr>
  </w:style>
  <w:style w:type="paragraph" w:styleId="NormalWeb">
    <w:name w:val="Normal (Web)"/>
    <w:basedOn w:val="Normal"/>
    <w:uiPriority w:val="99"/>
    <w:semiHidden/>
    <w:unhideWhenUsed/>
    <w:rsid w:val="003F3E33"/>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95671">
      <w:bodyDiv w:val="1"/>
      <w:marLeft w:val="0"/>
      <w:marRight w:val="0"/>
      <w:marTop w:val="0"/>
      <w:marBottom w:val="0"/>
      <w:divBdr>
        <w:top w:val="none" w:sz="0" w:space="0" w:color="auto"/>
        <w:left w:val="none" w:sz="0" w:space="0" w:color="auto"/>
        <w:bottom w:val="none" w:sz="0" w:space="0" w:color="auto"/>
        <w:right w:val="none" w:sz="0" w:space="0" w:color="auto"/>
      </w:divBdr>
    </w:div>
    <w:div w:id="543517297">
      <w:bodyDiv w:val="1"/>
      <w:marLeft w:val="0"/>
      <w:marRight w:val="0"/>
      <w:marTop w:val="0"/>
      <w:marBottom w:val="0"/>
      <w:divBdr>
        <w:top w:val="none" w:sz="0" w:space="0" w:color="auto"/>
        <w:left w:val="none" w:sz="0" w:space="0" w:color="auto"/>
        <w:bottom w:val="none" w:sz="0" w:space="0" w:color="auto"/>
        <w:right w:val="none" w:sz="0" w:space="0" w:color="auto"/>
      </w:divBdr>
    </w:div>
    <w:div w:id="837502299">
      <w:bodyDiv w:val="1"/>
      <w:marLeft w:val="0"/>
      <w:marRight w:val="0"/>
      <w:marTop w:val="0"/>
      <w:marBottom w:val="0"/>
      <w:divBdr>
        <w:top w:val="none" w:sz="0" w:space="0" w:color="auto"/>
        <w:left w:val="none" w:sz="0" w:space="0" w:color="auto"/>
        <w:bottom w:val="none" w:sz="0" w:space="0" w:color="auto"/>
        <w:right w:val="none" w:sz="0" w:space="0" w:color="auto"/>
      </w:divBdr>
    </w:div>
    <w:div w:id="1144934271">
      <w:bodyDiv w:val="1"/>
      <w:marLeft w:val="0"/>
      <w:marRight w:val="0"/>
      <w:marTop w:val="0"/>
      <w:marBottom w:val="0"/>
      <w:divBdr>
        <w:top w:val="none" w:sz="0" w:space="0" w:color="auto"/>
        <w:left w:val="none" w:sz="0" w:space="0" w:color="auto"/>
        <w:bottom w:val="none" w:sz="0" w:space="0" w:color="auto"/>
        <w:right w:val="none" w:sz="0" w:space="0" w:color="auto"/>
      </w:divBdr>
    </w:div>
    <w:div w:id="1206675845">
      <w:bodyDiv w:val="1"/>
      <w:marLeft w:val="0"/>
      <w:marRight w:val="0"/>
      <w:marTop w:val="0"/>
      <w:marBottom w:val="0"/>
      <w:divBdr>
        <w:top w:val="none" w:sz="0" w:space="0" w:color="auto"/>
        <w:left w:val="none" w:sz="0" w:space="0" w:color="auto"/>
        <w:bottom w:val="none" w:sz="0" w:space="0" w:color="auto"/>
        <w:right w:val="none" w:sz="0" w:space="0" w:color="auto"/>
      </w:divBdr>
    </w:div>
    <w:div w:id="1378771961">
      <w:bodyDiv w:val="1"/>
      <w:marLeft w:val="0"/>
      <w:marRight w:val="0"/>
      <w:marTop w:val="0"/>
      <w:marBottom w:val="0"/>
      <w:divBdr>
        <w:top w:val="none" w:sz="0" w:space="0" w:color="auto"/>
        <w:left w:val="none" w:sz="0" w:space="0" w:color="auto"/>
        <w:bottom w:val="none" w:sz="0" w:space="0" w:color="auto"/>
        <w:right w:val="none" w:sz="0" w:space="0" w:color="auto"/>
      </w:divBdr>
    </w:div>
    <w:div w:id="1747414043">
      <w:bodyDiv w:val="1"/>
      <w:marLeft w:val="0"/>
      <w:marRight w:val="0"/>
      <w:marTop w:val="0"/>
      <w:marBottom w:val="0"/>
      <w:divBdr>
        <w:top w:val="none" w:sz="0" w:space="0" w:color="auto"/>
        <w:left w:val="none" w:sz="0" w:space="0" w:color="auto"/>
        <w:bottom w:val="none" w:sz="0" w:space="0" w:color="auto"/>
        <w:right w:val="none" w:sz="0" w:space="0" w:color="auto"/>
      </w:divBdr>
    </w:div>
    <w:div w:id="1793130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carbon-reduction-policy/carbon-reduction-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Jones2</dc:creator>
  <cp:lastModifiedBy>Alex Jones2</cp:lastModifiedBy>
  <cp:revision>2</cp:revision>
  <dcterms:created xsi:type="dcterms:W3CDTF">2024-09-12T16:26:00Z</dcterms:created>
  <dcterms:modified xsi:type="dcterms:W3CDTF">2024-09-12T16:26:00Z</dcterms:modified>
</cp:coreProperties>
</file>