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5913DB" w14:textId="5370CF8E" w:rsidR="00320C85" w:rsidRDefault="00320C85" w:rsidP="00320C85">
      <w:pPr>
        <w:pStyle w:val="Heading1"/>
        <w:spacing w:before="0"/>
        <w:jc w:val="center"/>
        <w:rPr>
          <w:rFonts w:ascii="Calibri" w:hAnsi="Calibri"/>
        </w:rPr>
      </w:pPr>
      <w:r w:rsidRPr="00320C85">
        <w:rPr>
          <w:rFonts w:ascii="Calibri" w:hAnsi="Calibri"/>
        </w:rPr>
        <w:t xml:space="preserve">Social Value </w:t>
      </w:r>
    </w:p>
    <w:p w14:paraId="2D5B776D" w14:textId="77777777" w:rsidR="00756315" w:rsidRDefault="00320C85" w:rsidP="004C316D">
      <w:pPr>
        <w:pStyle w:val="Heading1"/>
        <w:spacing w:before="0"/>
        <w:jc w:val="center"/>
        <w:rPr>
          <w:rFonts w:ascii="Calibri" w:hAnsi="Calibri"/>
        </w:rPr>
      </w:pPr>
      <w:r w:rsidRPr="00320C85">
        <w:rPr>
          <w:rFonts w:ascii="Calibri" w:hAnsi="Calibri"/>
        </w:rPr>
        <w:t>Minimum Requirements</w:t>
      </w:r>
    </w:p>
    <w:p w14:paraId="29015EC9" w14:textId="77777777" w:rsidR="004C316D" w:rsidRDefault="004C316D" w:rsidP="004C316D">
      <w:pPr>
        <w:spacing w:after="0"/>
      </w:pPr>
    </w:p>
    <w:p w14:paraId="349E2078" w14:textId="4FED934C" w:rsidR="00DD4C7F" w:rsidRPr="00320C85" w:rsidRDefault="00DD4C7F" w:rsidP="00DD4C7F">
      <w:r>
        <w:t>All s</w:t>
      </w:r>
      <w:r w:rsidR="00320C85">
        <w:t xml:space="preserve">uppliers to </w:t>
      </w:r>
      <w:r w:rsidR="000319E2">
        <w:t>Stockport Homes Group (SHG)</w:t>
      </w:r>
      <w:r w:rsidR="00320C85">
        <w:t xml:space="preserve"> are asked to confirm that they comply with the minimum requirements outlined below</w:t>
      </w:r>
      <w:r w:rsidR="0008680F">
        <w:t xml:space="preserve"> and will maintain compliance throughout the life of the contract</w:t>
      </w:r>
      <w:r w:rsidR="00320C85">
        <w:t xml:space="preserve">.  These requirements </w:t>
      </w:r>
      <w:proofErr w:type="gramStart"/>
      <w:r w:rsidR="00320C85">
        <w:t>are considered</w:t>
      </w:r>
      <w:proofErr w:type="gramEnd"/>
      <w:r w:rsidR="00320C85">
        <w:t xml:space="preserve"> ‘pass/fail’. If a supplier does not comply with t</w:t>
      </w:r>
      <w:r>
        <w:t>he minimum requirements identified</w:t>
      </w:r>
      <w:r w:rsidR="00320C85">
        <w:t xml:space="preserve">, they </w:t>
      </w:r>
      <w:proofErr w:type="gramStart"/>
      <w:r w:rsidR="00320C85">
        <w:t>will be automatically excluded</w:t>
      </w:r>
      <w:proofErr w:type="gramEnd"/>
      <w:r w:rsidR="00320C85">
        <w:t xml:space="preserve"> from the tender process.</w:t>
      </w:r>
      <w:r>
        <w:t xml:space="preserve">  For all co</w:t>
      </w:r>
      <w:r w:rsidR="0008680F">
        <w:t xml:space="preserve">ntracts over </w:t>
      </w:r>
      <w:r w:rsidR="001B57B8">
        <w:t>the</w:t>
      </w:r>
      <w:r w:rsidR="00615C1E">
        <w:t xml:space="preserve"> threshold</w:t>
      </w:r>
      <w:r w:rsidR="001B57B8">
        <w:t xml:space="preserve"> values defined in the Official Journal of the European Union (OJEU)</w:t>
      </w:r>
      <w:r w:rsidR="00615C1E">
        <w:rPr>
          <w:rStyle w:val="FootnoteReference"/>
        </w:rPr>
        <w:footnoteReference w:id="1"/>
      </w:r>
      <w:r w:rsidR="0008680F">
        <w:t>, suppliers</w:t>
      </w:r>
      <w:r>
        <w:t xml:space="preserve"> are also required to complete Social Value Questionnaire – </w:t>
      </w:r>
      <w:r w:rsidR="00623080">
        <w:t>see Appendix 5</w:t>
      </w:r>
      <w:r>
        <w:t>, outlining further details in relation to their commitment to delivery of the required social value outcomes.</w:t>
      </w:r>
    </w:p>
    <w:p w14:paraId="31507CD0" w14:textId="77777777" w:rsidR="000319E2" w:rsidRDefault="00A23ADC" w:rsidP="00320C85">
      <w:r>
        <w:t xml:space="preserve">The table below identifies </w:t>
      </w:r>
      <w:r w:rsidR="00683C0E">
        <w:t>the priority social value o</w:t>
      </w:r>
      <w:r>
        <w:t>utcomes in accordance with</w:t>
      </w:r>
      <w:r w:rsidR="000319E2">
        <w:t xml:space="preserve"> </w:t>
      </w:r>
      <w:r w:rsidR="00683C0E">
        <w:t xml:space="preserve">the </w:t>
      </w:r>
      <w:r w:rsidR="000319E2">
        <w:t>Corporate Social Responsibility Policy</w:t>
      </w:r>
      <w:r w:rsidR="00683C0E">
        <w:t xml:space="preserve"> of Stockport Homes group</w:t>
      </w:r>
      <w:r w:rsidR="000319E2">
        <w:t xml:space="preserve"> (</w:t>
      </w:r>
      <w:hyperlink r:id="rId7" w:history="1">
        <w:r w:rsidR="000319E2" w:rsidRPr="001F1587">
          <w:rPr>
            <w:rStyle w:val="Hyperlink"/>
          </w:rPr>
          <w:t>https://www.stockporthomes.org/media/3063/corporate-social-responsibility-policy.pdf</w:t>
        </w:r>
      </w:hyperlink>
      <w:r w:rsidR="000319E2">
        <w:t>)</w:t>
      </w:r>
      <w:r w:rsidR="00683C0E">
        <w:t>.  They also reflect the wider aims of the</w:t>
      </w:r>
      <w:r w:rsidR="000319E2">
        <w:t xml:space="preserve"> Greater Manchester </w:t>
      </w:r>
      <w:r>
        <w:t>Social Value Policy</w:t>
      </w:r>
      <w:r w:rsidR="00DD4C7F">
        <w:t xml:space="preserve"> (</w:t>
      </w:r>
      <w:hyperlink r:id="rId8" w:history="1">
        <w:r w:rsidR="00DD4C7F" w:rsidRPr="000319E2">
          <w:rPr>
            <w:rStyle w:val="Hyperlink"/>
          </w:rPr>
          <w:t>www.greatermanchester-ca.gov.uk/downloads/file/117/gmca_social_value_policy_-_november_2014</w:t>
        </w:r>
      </w:hyperlink>
      <w:r w:rsidR="00DD4C7F" w:rsidRPr="000319E2">
        <w:t>)</w:t>
      </w:r>
      <w:r>
        <w:t xml:space="preserve">.  </w:t>
      </w:r>
    </w:p>
    <w:p w14:paraId="77D11841" w14:textId="0086FF8F" w:rsidR="00320C85" w:rsidRDefault="00687B22" w:rsidP="00320C85">
      <w:r>
        <w:t>Suppliers</w:t>
      </w:r>
      <w:bookmarkStart w:id="0" w:name="_GoBack"/>
      <w:bookmarkEnd w:id="0"/>
      <w:r w:rsidR="00A23ADC">
        <w:t xml:space="preserve"> </w:t>
      </w:r>
      <w:proofErr w:type="gramStart"/>
      <w:r w:rsidR="00A23ADC">
        <w:t>are asked</w:t>
      </w:r>
      <w:proofErr w:type="gramEnd"/>
      <w:r w:rsidR="00A23ADC">
        <w:t xml:space="preserve"> to self-declare that they are compliant with the minimum requirement by placing a tick in the ‘compliant?’ column.</w:t>
      </w:r>
    </w:p>
    <w:p w14:paraId="2B9C7242" w14:textId="77777777" w:rsidR="00320C85" w:rsidRDefault="00320C85" w:rsidP="00DD4C7F">
      <w:pPr>
        <w:spacing w:after="0"/>
      </w:pPr>
      <w:r>
        <w:t>Minimum Requirements:</w:t>
      </w:r>
    </w:p>
    <w:tbl>
      <w:tblPr>
        <w:tblStyle w:val="TableGrid"/>
        <w:tblW w:w="8784" w:type="dxa"/>
        <w:tblLayout w:type="fixed"/>
        <w:tblLook w:val="04A0" w:firstRow="1" w:lastRow="0" w:firstColumn="1" w:lastColumn="0" w:noHBand="0" w:noVBand="1"/>
      </w:tblPr>
      <w:tblGrid>
        <w:gridCol w:w="2405"/>
        <w:gridCol w:w="4820"/>
        <w:gridCol w:w="1559"/>
      </w:tblGrid>
      <w:tr w:rsidR="00A90E70" w14:paraId="6FE5C766" w14:textId="77777777" w:rsidTr="00A90E70">
        <w:trPr>
          <w:trHeight w:val="536"/>
        </w:trPr>
        <w:tc>
          <w:tcPr>
            <w:tcW w:w="2405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2BD81AC8" w14:textId="77777777" w:rsidR="00A90E70" w:rsidRPr="00A23ADC" w:rsidRDefault="00683C0E" w:rsidP="00B66F02">
            <w:pPr>
              <w:jc w:val="center"/>
              <w:rPr>
                <w:b/>
              </w:rPr>
            </w:pPr>
            <w:r>
              <w:rPr>
                <w:b/>
              </w:rPr>
              <w:t>Corporate Social Responsibility Aim</w:t>
            </w:r>
          </w:p>
        </w:tc>
        <w:tc>
          <w:tcPr>
            <w:tcW w:w="4820" w:type="dxa"/>
            <w:shd w:val="clear" w:color="auto" w:fill="8DB3E2" w:themeFill="text2" w:themeFillTint="66"/>
          </w:tcPr>
          <w:p w14:paraId="1C88251A" w14:textId="77777777" w:rsidR="00A90E70" w:rsidRPr="00A23ADC" w:rsidRDefault="00A90E70" w:rsidP="00B66F02">
            <w:pPr>
              <w:jc w:val="center"/>
              <w:rPr>
                <w:b/>
              </w:rPr>
            </w:pPr>
            <w:r w:rsidRPr="00A23ADC">
              <w:rPr>
                <w:b/>
              </w:rPr>
              <w:t>Minimum Requirement</w:t>
            </w:r>
          </w:p>
        </w:tc>
        <w:tc>
          <w:tcPr>
            <w:tcW w:w="1559" w:type="dxa"/>
            <w:shd w:val="clear" w:color="auto" w:fill="8DB3E2" w:themeFill="text2" w:themeFillTint="66"/>
          </w:tcPr>
          <w:p w14:paraId="2E0423FF" w14:textId="77777777" w:rsidR="00A90E70" w:rsidRPr="00A23ADC" w:rsidRDefault="00A90E70" w:rsidP="00B66F02">
            <w:pPr>
              <w:jc w:val="center"/>
              <w:rPr>
                <w:b/>
              </w:rPr>
            </w:pPr>
            <w:r w:rsidRPr="00A23ADC">
              <w:rPr>
                <w:b/>
              </w:rPr>
              <w:t>Compliant?</w:t>
            </w:r>
          </w:p>
        </w:tc>
      </w:tr>
      <w:tr w:rsidR="00FE14CF" w14:paraId="7213D1D1" w14:textId="77777777" w:rsidTr="00A90E70">
        <w:trPr>
          <w:trHeight w:val="798"/>
        </w:trPr>
        <w:tc>
          <w:tcPr>
            <w:tcW w:w="2405" w:type="dxa"/>
            <w:vMerge w:val="restart"/>
            <w:shd w:val="clear" w:color="auto" w:fill="DBE5F1" w:themeFill="accent1" w:themeFillTint="33"/>
          </w:tcPr>
          <w:p w14:paraId="5D1F851F" w14:textId="77777777" w:rsidR="00FE14CF" w:rsidRPr="00A23ADC" w:rsidRDefault="00FE14CF" w:rsidP="00320C85">
            <w:pPr>
              <w:rPr>
                <w:b/>
              </w:rPr>
            </w:pPr>
            <w:r>
              <w:rPr>
                <w:b/>
              </w:rPr>
              <w:t>Developing self-sustaining local communities</w:t>
            </w:r>
          </w:p>
        </w:tc>
        <w:tc>
          <w:tcPr>
            <w:tcW w:w="4820" w:type="dxa"/>
          </w:tcPr>
          <w:p w14:paraId="1D42D3D9" w14:textId="77777777" w:rsidR="00FE14CF" w:rsidRDefault="00FE14CF" w:rsidP="00320C85">
            <w:r>
              <w:t xml:space="preserve">Commitment to support local voluntary, community and social enterprise (VCSE) organisations through either: </w:t>
            </w:r>
            <w:r>
              <w:rPr>
                <w:rFonts w:ascii="Calibri" w:hAnsi="Calibri" w:cs="Arial"/>
              </w:rPr>
              <w:t>pro-bono support; and/or volunteer days; and/or donation of materials or resources; and/or financial contributions.</w:t>
            </w:r>
          </w:p>
        </w:tc>
        <w:tc>
          <w:tcPr>
            <w:tcW w:w="1559" w:type="dxa"/>
          </w:tcPr>
          <w:p w14:paraId="27C600A7" w14:textId="77777777" w:rsidR="00FE14CF" w:rsidRDefault="00FE14CF" w:rsidP="00320C85"/>
        </w:tc>
      </w:tr>
      <w:tr w:rsidR="00FE14CF" w14:paraId="0C8DB62A" w14:textId="77777777" w:rsidTr="00A90E70">
        <w:trPr>
          <w:trHeight w:val="798"/>
        </w:trPr>
        <w:tc>
          <w:tcPr>
            <w:tcW w:w="2405" w:type="dxa"/>
            <w:vMerge/>
            <w:shd w:val="clear" w:color="auto" w:fill="DBE5F1" w:themeFill="accent1" w:themeFillTint="33"/>
          </w:tcPr>
          <w:p w14:paraId="7D65463E" w14:textId="77777777" w:rsidR="00FE14CF" w:rsidRPr="00A23ADC" w:rsidRDefault="00FE14CF" w:rsidP="00A23ADC">
            <w:pPr>
              <w:rPr>
                <w:b/>
              </w:rPr>
            </w:pPr>
          </w:p>
        </w:tc>
        <w:tc>
          <w:tcPr>
            <w:tcW w:w="4820" w:type="dxa"/>
          </w:tcPr>
          <w:p w14:paraId="3144BA86" w14:textId="77777777" w:rsidR="00FE14CF" w:rsidRDefault="00FE14CF" w:rsidP="00A90E70">
            <w:r>
              <w:t>Commitment to invite social enterprises and local small enterprises to tender for sub-contract opportunities wherever possible.</w:t>
            </w:r>
          </w:p>
        </w:tc>
        <w:tc>
          <w:tcPr>
            <w:tcW w:w="1559" w:type="dxa"/>
          </w:tcPr>
          <w:p w14:paraId="34B48637" w14:textId="77777777" w:rsidR="00FE14CF" w:rsidRDefault="00FE14CF" w:rsidP="00320C85"/>
        </w:tc>
      </w:tr>
      <w:tr w:rsidR="00FE14CF" w14:paraId="549A7906" w14:textId="77777777" w:rsidTr="00A90E70">
        <w:trPr>
          <w:trHeight w:val="798"/>
        </w:trPr>
        <w:tc>
          <w:tcPr>
            <w:tcW w:w="2405" w:type="dxa"/>
            <w:vMerge w:val="restart"/>
            <w:shd w:val="clear" w:color="auto" w:fill="DBE5F1" w:themeFill="accent1" w:themeFillTint="33"/>
          </w:tcPr>
          <w:p w14:paraId="339215FE" w14:textId="77777777" w:rsidR="00FE14CF" w:rsidRPr="00A23ADC" w:rsidRDefault="00FE14CF" w:rsidP="00A23ADC">
            <w:pPr>
              <w:rPr>
                <w:b/>
              </w:rPr>
            </w:pPr>
            <w:r>
              <w:rPr>
                <w:b/>
              </w:rPr>
              <w:t>Increasing employability and employment</w:t>
            </w:r>
          </w:p>
        </w:tc>
        <w:tc>
          <w:tcPr>
            <w:tcW w:w="4820" w:type="dxa"/>
          </w:tcPr>
          <w:p w14:paraId="0662759D" w14:textId="77777777" w:rsidR="00FE14CF" w:rsidRDefault="00FE14CF" w:rsidP="009D689D">
            <w:r w:rsidRPr="0008680F">
              <w:t xml:space="preserve">Commitment to </w:t>
            </w:r>
            <w:r>
              <w:t>work with Stockport Homes Group to maximise apprenticeship and local recruitment outcomes where possible.</w:t>
            </w:r>
          </w:p>
        </w:tc>
        <w:tc>
          <w:tcPr>
            <w:tcW w:w="1559" w:type="dxa"/>
          </w:tcPr>
          <w:p w14:paraId="0A46AE54" w14:textId="77777777" w:rsidR="00FE14CF" w:rsidRDefault="00FE14CF" w:rsidP="00320C85"/>
        </w:tc>
      </w:tr>
      <w:tr w:rsidR="00FE14CF" w14:paraId="4247C1C0" w14:textId="77777777" w:rsidTr="00A90E70">
        <w:trPr>
          <w:trHeight w:val="1208"/>
        </w:trPr>
        <w:tc>
          <w:tcPr>
            <w:tcW w:w="2405" w:type="dxa"/>
            <w:vMerge/>
            <w:shd w:val="clear" w:color="auto" w:fill="DBE5F1" w:themeFill="accent1" w:themeFillTint="33"/>
          </w:tcPr>
          <w:p w14:paraId="4521B0F9" w14:textId="77777777" w:rsidR="00FE14CF" w:rsidRPr="00A23ADC" w:rsidRDefault="00FE14CF" w:rsidP="007862AD">
            <w:pPr>
              <w:rPr>
                <w:b/>
              </w:rPr>
            </w:pPr>
          </w:p>
        </w:tc>
        <w:tc>
          <w:tcPr>
            <w:tcW w:w="4820" w:type="dxa"/>
          </w:tcPr>
          <w:p w14:paraId="388F1979" w14:textId="77777777" w:rsidR="00FE14CF" w:rsidRDefault="00FE14CF" w:rsidP="00C430C7">
            <w:r>
              <w:rPr>
                <w:color w:val="000000" w:themeColor="text1"/>
              </w:rPr>
              <w:t xml:space="preserve">In accordance with </w:t>
            </w:r>
            <w:r w:rsidR="00C430C7">
              <w:rPr>
                <w:color w:val="000000" w:themeColor="text1"/>
              </w:rPr>
              <w:t xml:space="preserve">the </w:t>
            </w:r>
            <w:r>
              <w:rPr>
                <w:color w:val="000000" w:themeColor="text1"/>
              </w:rPr>
              <w:t>Living Wage Employer accreditation</w:t>
            </w:r>
            <w:r w:rsidR="00C430C7">
              <w:rPr>
                <w:color w:val="000000" w:themeColor="text1"/>
              </w:rPr>
              <w:t xml:space="preserve"> of Stockport Homes group</w:t>
            </w:r>
            <w:r>
              <w:rPr>
                <w:color w:val="000000" w:themeColor="text1"/>
              </w:rPr>
              <w:t xml:space="preserve">, all eligible employees working on sites or premises owned by Stockport Homes, for 2 hours or more per week and for 8 weeks or more, </w:t>
            </w:r>
            <w:proofErr w:type="gramStart"/>
            <w:r>
              <w:rPr>
                <w:color w:val="000000" w:themeColor="text1"/>
              </w:rPr>
              <w:t>will be paid</w:t>
            </w:r>
            <w:proofErr w:type="gramEnd"/>
            <w:r>
              <w:rPr>
                <w:color w:val="000000" w:themeColor="text1"/>
              </w:rPr>
              <w:t xml:space="preserve"> the Living Wage of £8.45p/h or above. Further details available at www.livingwage.org.uk</w:t>
            </w:r>
          </w:p>
        </w:tc>
        <w:tc>
          <w:tcPr>
            <w:tcW w:w="1559" w:type="dxa"/>
          </w:tcPr>
          <w:p w14:paraId="64D108B4" w14:textId="77777777" w:rsidR="00FE14CF" w:rsidRDefault="00FE14CF" w:rsidP="00320C85"/>
        </w:tc>
      </w:tr>
      <w:tr w:rsidR="00A90E70" w14:paraId="66C217F7" w14:textId="77777777" w:rsidTr="00683C0E">
        <w:trPr>
          <w:trHeight w:val="1076"/>
        </w:trPr>
        <w:tc>
          <w:tcPr>
            <w:tcW w:w="2405" w:type="dxa"/>
            <w:shd w:val="clear" w:color="auto" w:fill="DBE5F1" w:themeFill="accent1" w:themeFillTint="33"/>
          </w:tcPr>
          <w:p w14:paraId="55E0ACDA" w14:textId="77777777" w:rsidR="00A90E70" w:rsidRDefault="00683C0E" w:rsidP="00320C85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lastRenderedPageBreak/>
              <w:t>Maximising the delivery of social value</w:t>
            </w:r>
          </w:p>
        </w:tc>
        <w:tc>
          <w:tcPr>
            <w:tcW w:w="4820" w:type="dxa"/>
          </w:tcPr>
          <w:p w14:paraId="275419B0" w14:textId="77777777" w:rsidR="00A90E70" w:rsidRPr="007862AD" w:rsidRDefault="00683C0E" w:rsidP="007862A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Committing to providing your employees with learning, development and health and well-being opportunities through defined policies, procedures or business practices.</w:t>
            </w:r>
          </w:p>
        </w:tc>
        <w:tc>
          <w:tcPr>
            <w:tcW w:w="1559" w:type="dxa"/>
          </w:tcPr>
          <w:p w14:paraId="606A3D64" w14:textId="77777777" w:rsidR="00A90E70" w:rsidRDefault="00A90E70" w:rsidP="00320C85"/>
        </w:tc>
      </w:tr>
      <w:tr w:rsidR="00A90E70" w14:paraId="273664F1" w14:textId="77777777" w:rsidTr="00683C0E">
        <w:trPr>
          <w:trHeight w:val="1263"/>
        </w:trPr>
        <w:tc>
          <w:tcPr>
            <w:tcW w:w="2405" w:type="dxa"/>
            <w:shd w:val="clear" w:color="auto" w:fill="DBE5F1" w:themeFill="accent1" w:themeFillTint="33"/>
          </w:tcPr>
          <w:p w14:paraId="3F1E5B7D" w14:textId="77777777" w:rsidR="00A90E70" w:rsidRDefault="00683C0E" w:rsidP="00320C85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Reducing carbon use and protecting the environment</w:t>
            </w:r>
          </w:p>
        </w:tc>
        <w:tc>
          <w:tcPr>
            <w:tcW w:w="4820" w:type="dxa"/>
          </w:tcPr>
          <w:p w14:paraId="0AA88E73" w14:textId="77777777" w:rsidR="00A90E70" w:rsidRDefault="00683C0E" w:rsidP="00AD3410">
            <w:r>
              <w:rPr>
                <w:color w:val="000000" w:themeColor="text1"/>
              </w:rPr>
              <w:t>Commitment to reduce your environmental footprint and supporting</w:t>
            </w:r>
            <w:r w:rsidR="00AD3410">
              <w:rPr>
                <w:color w:val="000000" w:themeColor="text1"/>
              </w:rPr>
              <w:t xml:space="preserve"> Stockport Homes’ aim to reduce</w:t>
            </w:r>
            <w:r>
              <w:rPr>
                <w:color w:val="000000" w:themeColor="text1"/>
              </w:rPr>
              <w:t xml:space="preserve"> the impact of its supply chain on the environment.</w:t>
            </w:r>
          </w:p>
        </w:tc>
        <w:tc>
          <w:tcPr>
            <w:tcW w:w="1559" w:type="dxa"/>
          </w:tcPr>
          <w:p w14:paraId="7F6D828D" w14:textId="77777777" w:rsidR="00A90E70" w:rsidRDefault="00A90E70" w:rsidP="00320C85"/>
        </w:tc>
      </w:tr>
    </w:tbl>
    <w:p w14:paraId="6CCB45FE" w14:textId="77777777" w:rsidR="00DD4C7F" w:rsidRDefault="00DD4C7F" w:rsidP="00DD4C7F"/>
    <w:p w14:paraId="4D491650" w14:textId="77777777" w:rsidR="00DD4C7F" w:rsidRPr="00011CD5" w:rsidRDefault="00DD4C7F" w:rsidP="00EA6F49">
      <w:pPr>
        <w:spacing w:after="120"/>
        <w:rPr>
          <w:b/>
          <w:u w:val="single"/>
        </w:rPr>
      </w:pPr>
      <w:r w:rsidRPr="00011CD5">
        <w:rPr>
          <w:b/>
          <w:u w:val="single"/>
        </w:rPr>
        <w:t xml:space="preserve">Contact details and declaration </w:t>
      </w:r>
    </w:p>
    <w:p w14:paraId="07E9CA6A" w14:textId="77777777" w:rsidR="00DD4C7F" w:rsidRDefault="00DD4C7F" w:rsidP="00EA6F49">
      <w:pPr>
        <w:spacing w:after="120"/>
      </w:pPr>
      <w:r>
        <w:t xml:space="preserve">I declare that to the best of my knowledge the answers submitted and information contained in this document are correct and accurate. </w:t>
      </w:r>
    </w:p>
    <w:p w14:paraId="2F0705B2" w14:textId="77777777" w:rsidR="00DD4C7F" w:rsidRDefault="00011CD5" w:rsidP="00EA6F49">
      <w:pPr>
        <w:spacing w:after="120"/>
      </w:pPr>
      <w:r>
        <w:t xml:space="preserve">I declare that my organisation will work proactively with </w:t>
      </w:r>
      <w:r w:rsidR="00683C0E">
        <w:t>Stockport Homes Group</w:t>
      </w:r>
      <w:r>
        <w:t xml:space="preserve"> to support the delivery of these priority outcomes.</w:t>
      </w:r>
      <w:r w:rsidR="00DD4C7F">
        <w:t xml:space="preserve"> </w:t>
      </w:r>
    </w:p>
    <w:p w14:paraId="3B72588D" w14:textId="77777777" w:rsidR="0008680F" w:rsidRDefault="0008680F" w:rsidP="00EA6F49">
      <w:pPr>
        <w:spacing w:after="120"/>
      </w:pPr>
      <w:r>
        <w:t xml:space="preserve">I </w:t>
      </w:r>
      <w:r w:rsidR="00A25B88">
        <w:t>commit to providing</w:t>
      </w:r>
      <w:r w:rsidR="00683C0E">
        <w:t xml:space="preserve"> Stockport Homes Group</w:t>
      </w:r>
      <w:r w:rsidR="00A25B88">
        <w:t xml:space="preserve"> with required monitoring and reporting information, as requested </w:t>
      </w:r>
      <w:proofErr w:type="gramStart"/>
      <w:r w:rsidR="00A25B88">
        <w:t>with regards to</w:t>
      </w:r>
      <w:proofErr w:type="gramEnd"/>
      <w:r w:rsidR="00A25B88">
        <w:t xml:space="preserve"> these commitments.</w:t>
      </w:r>
    </w:p>
    <w:p w14:paraId="2CBBFFBA" w14:textId="77777777" w:rsidR="00DD4C7F" w:rsidRDefault="00DD4C7F" w:rsidP="00EA6F49">
      <w:pPr>
        <w:spacing w:after="120"/>
      </w:pPr>
      <w:r>
        <w:t xml:space="preserve">I understand that the information </w:t>
      </w:r>
      <w:proofErr w:type="gramStart"/>
      <w:r>
        <w:t>will be used</w:t>
      </w:r>
      <w:proofErr w:type="gramEnd"/>
      <w:r>
        <w:t xml:space="preserve"> in the selection process to assess my organisation’s suitability to be invited to participate further in this procurement. </w:t>
      </w:r>
    </w:p>
    <w:p w14:paraId="434E48A1" w14:textId="77777777" w:rsidR="00DD4C7F" w:rsidRDefault="00DD4C7F" w:rsidP="00EA6F49">
      <w:pPr>
        <w:spacing w:after="120"/>
      </w:pPr>
      <w:r>
        <w:t xml:space="preserve">I understand that </w:t>
      </w:r>
      <w:r w:rsidR="00683C0E">
        <w:t xml:space="preserve">Stockport Homes Group </w:t>
      </w:r>
      <w:r>
        <w:t xml:space="preserve">may reject this submission in its entirety if there is a failure to answer all the relevant questions fully, or if false/misleading information or content </w:t>
      </w:r>
      <w:proofErr w:type="gramStart"/>
      <w:r>
        <w:t>is provided</w:t>
      </w:r>
      <w:proofErr w:type="gramEnd"/>
      <w:r>
        <w:t xml:space="preserve"> in any section.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5953"/>
      </w:tblGrid>
      <w:tr w:rsidR="00011CD5" w14:paraId="0EBF5C20" w14:textId="77777777" w:rsidTr="00EA6F49">
        <w:tc>
          <w:tcPr>
            <w:tcW w:w="2660" w:type="dxa"/>
            <w:shd w:val="clear" w:color="auto" w:fill="DBE5F1" w:themeFill="accent1" w:themeFillTint="33"/>
          </w:tcPr>
          <w:p w14:paraId="2D451BF6" w14:textId="77777777" w:rsidR="00011CD5" w:rsidRPr="00EA6F49" w:rsidRDefault="00011CD5" w:rsidP="00EA6F49">
            <w:pPr>
              <w:spacing w:after="120"/>
              <w:rPr>
                <w:b/>
              </w:rPr>
            </w:pPr>
            <w:r w:rsidRPr="00EA6F49">
              <w:rPr>
                <w:b/>
              </w:rPr>
              <w:t>Contact Name</w:t>
            </w:r>
          </w:p>
        </w:tc>
        <w:tc>
          <w:tcPr>
            <w:tcW w:w="5953" w:type="dxa"/>
          </w:tcPr>
          <w:p w14:paraId="4F4E6D2E" w14:textId="77777777" w:rsidR="00011CD5" w:rsidRDefault="00011CD5" w:rsidP="00EA6F49">
            <w:pPr>
              <w:spacing w:after="120"/>
            </w:pPr>
          </w:p>
        </w:tc>
      </w:tr>
      <w:tr w:rsidR="00011CD5" w14:paraId="2AB635B9" w14:textId="77777777" w:rsidTr="00EA6F49">
        <w:tc>
          <w:tcPr>
            <w:tcW w:w="2660" w:type="dxa"/>
            <w:shd w:val="clear" w:color="auto" w:fill="DBE5F1" w:themeFill="accent1" w:themeFillTint="33"/>
          </w:tcPr>
          <w:p w14:paraId="5E3DE601" w14:textId="77777777" w:rsidR="00011CD5" w:rsidRPr="00EA6F49" w:rsidRDefault="00011CD5" w:rsidP="00EA6F49">
            <w:pPr>
              <w:spacing w:after="120"/>
              <w:rPr>
                <w:b/>
              </w:rPr>
            </w:pPr>
            <w:r w:rsidRPr="00EA6F49">
              <w:rPr>
                <w:b/>
              </w:rPr>
              <w:t>Name of organisation</w:t>
            </w:r>
          </w:p>
        </w:tc>
        <w:tc>
          <w:tcPr>
            <w:tcW w:w="5953" w:type="dxa"/>
          </w:tcPr>
          <w:p w14:paraId="07AD9EEA" w14:textId="77777777" w:rsidR="00011CD5" w:rsidRDefault="00011CD5" w:rsidP="00EA6F49">
            <w:pPr>
              <w:spacing w:after="120"/>
            </w:pPr>
          </w:p>
        </w:tc>
      </w:tr>
      <w:tr w:rsidR="00011CD5" w14:paraId="3FD7EE70" w14:textId="77777777" w:rsidTr="00EA6F49">
        <w:tc>
          <w:tcPr>
            <w:tcW w:w="2660" w:type="dxa"/>
            <w:shd w:val="clear" w:color="auto" w:fill="DBE5F1" w:themeFill="accent1" w:themeFillTint="33"/>
          </w:tcPr>
          <w:p w14:paraId="2B37D552" w14:textId="77777777" w:rsidR="00011CD5" w:rsidRPr="00EA6F49" w:rsidRDefault="00011CD5" w:rsidP="00EA6F49">
            <w:pPr>
              <w:spacing w:after="120"/>
              <w:rPr>
                <w:b/>
              </w:rPr>
            </w:pPr>
            <w:r w:rsidRPr="00EA6F49">
              <w:rPr>
                <w:b/>
              </w:rPr>
              <w:t>Role in organisation</w:t>
            </w:r>
          </w:p>
        </w:tc>
        <w:tc>
          <w:tcPr>
            <w:tcW w:w="5953" w:type="dxa"/>
          </w:tcPr>
          <w:p w14:paraId="17FF7FD6" w14:textId="77777777" w:rsidR="00011CD5" w:rsidRDefault="00011CD5" w:rsidP="00EA6F49">
            <w:pPr>
              <w:spacing w:after="120"/>
            </w:pPr>
          </w:p>
        </w:tc>
      </w:tr>
      <w:tr w:rsidR="00011CD5" w14:paraId="5AB68586" w14:textId="77777777" w:rsidTr="00EA6F49">
        <w:tc>
          <w:tcPr>
            <w:tcW w:w="2660" w:type="dxa"/>
            <w:shd w:val="clear" w:color="auto" w:fill="DBE5F1" w:themeFill="accent1" w:themeFillTint="33"/>
          </w:tcPr>
          <w:p w14:paraId="59E31348" w14:textId="77777777" w:rsidR="00011CD5" w:rsidRDefault="00011CD5" w:rsidP="00EA6F49">
            <w:pPr>
              <w:spacing w:after="120"/>
            </w:pPr>
            <w:r w:rsidRPr="00EA6F49">
              <w:rPr>
                <w:b/>
              </w:rPr>
              <w:t>Signature</w:t>
            </w:r>
            <w:r>
              <w:t xml:space="preserve"> (electronic is acceptable)</w:t>
            </w:r>
          </w:p>
        </w:tc>
        <w:tc>
          <w:tcPr>
            <w:tcW w:w="5953" w:type="dxa"/>
          </w:tcPr>
          <w:p w14:paraId="77678DC4" w14:textId="77777777" w:rsidR="00011CD5" w:rsidRDefault="00011CD5" w:rsidP="00EA6F49">
            <w:pPr>
              <w:spacing w:after="120"/>
            </w:pPr>
          </w:p>
        </w:tc>
      </w:tr>
      <w:tr w:rsidR="00011CD5" w14:paraId="6FAEEC6C" w14:textId="77777777" w:rsidTr="00EA6F49">
        <w:tc>
          <w:tcPr>
            <w:tcW w:w="2660" w:type="dxa"/>
            <w:shd w:val="clear" w:color="auto" w:fill="DBE5F1" w:themeFill="accent1" w:themeFillTint="33"/>
          </w:tcPr>
          <w:p w14:paraId="272D401F" w14:textId="77777777" w:rsidR="00011CD5" w:rsidRPr="00EA6F49" w:rsidRDefault="00EA6F49" w:rsidP="00EA6F49">
            <w:pPr>
              <w:spacing w:after="120"/>
              <w:rPr>
                <w:b/>
              </w:rPr>
            </w:pPr>
            <w:r w:rsidRPr="00EA6F49">
              <w:rPr>
                <w:b/>
              </w:rPr>
              <w:t>D</w:t>
            </w:r>
            <w:r w:rsidR="00011CD5" w:rsidRPr="00EA6F49">
              <w:rPr>
                <w:b/>
              </w:rPr>
              <w:t>ate</w:t>
            </w:r>
          </w:p>
        </w:tc>
        <w:tc>
          <w:tcPr>
            <w:tcW w:w="5953" w:type="dxa"/>
          </w:tcPr>
          <w:p w14:paraId="0E01A1F5" w14:textId="77777777" w:rsidR="00011CD5" w:rsidRDefault="00011CD5" w:rsidP="00EA6F49">
            <w:pPr>
              <w:spacing w:after="120"/>
            </w:pPr>
          </w:p>
        </w:tc>
      </w:tr>
    </w:tbl>
    <w:p w14:paraId="24B0E2D2" w14:textId="77777777" w:rsidR="00A23ADC" w:rsidRDefault="00A23ADC" w:rsidP="00DD4C7F"/>
    <w:sectPr w:rsidR="00A23ADC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08501" w14:textId="77777777" w:rsidR="004C316D" w:rsidRDefault="004C316D" w:rsidP="004C316D">
      <w:pPr>
        <w:spacing w:after="0" w:line="240" w:lineRule="auto"/>
      </w:pPr>
      <w:r>
        <w:separator/>
      </w:r>
    </w:p>
  </w:endnote>
  <w:endnote w:type="continuationSeparator" w:id="0">
    <w:p w14:paraId="1DBF0770" w14:textId="77777777" w:rsidR="004C316D" w:rsidRDefault="004C316D" w:rsidP="004C3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49570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05A9F2C3" w14:textId="577B23A3" w:rsidR="001F528E" w:rsidRPr="001F528E" w:rsidRDefault="001F528E">
        <w:pPr>
          <w:pStyle w:val="Footer"/>
          <w:jc w:val="right"/>
          <w:rPr>
            <w:rFonts w:ascii="Arial" w:hAnsi="Arial" w:cs="Arial"/>
          </w:rPr>
        </w:pPr>
        <w:r w:rsidRPr="001F528E">
          <w:rPr>
            <w:rFonts w:ascii="Arial" w:hAnsi="Arial" w:cs="Arial"/>
          </w:rPr>
          <w:fldChar w:fldCharType="begin"/>
        </w:r>
        <w:r w:rsidRPr="001F528E">
          <w:rPr>
            <w:rFonts w:ascii="Arial" w:hAnsi="Arial" w:cs="Arial"/>
          </w:rPr>
          <w:instrText xml:space="preserve"> PAGE   \* MERGEFORMAT </w:instrText>
        </w:r>
        <w:r w:rsidRPr="001F528E">
          <w:rPr>
            <w:rFonts w:ascii="Arial" w:hAnsi="Arial" w:cs="Arial"/>
          </w:rPr>
          <w:fldChar w:fldCharType="separate"/>
        </w:r>
        <w:r w:rsidR="00687B22">
          <w:rPr>
            <w:rFonts w:ascii="Arial" w:hAnsi="Arial" w:cs="Arial"/>
            <w:noProof/>
          </w:rPr>
          <w:t>2</w:t>
        </w:r>
        <w:r w:rsidRPr="001F528E">
          <w:rPr>
            <w:rFonts w:ascii="Arial" w:hAnsi="Arial" w:cs="Arial"/>
            <w:noProof/>
          </w:rPr>
          <w:fldChar w:fldCharType="end"/>
        </w:r>
      </w:p>
    </w:sdtContent>
  </w:sdt>
  <w:p w14:paraId="63D2D2B8" w14:textId="77777777" w:rsidR="001F528E" w:rsidRDefault="001F52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3DD5B3" w14:textId="77777777" w:rsidR="004C316D" w:rsidRDefault="004C316D" w:rsidP="004C316D">
      <w:pPr>
        <w:spacing w:after="0" w:line="240" w:lineRule="auto"/>
      </w:pPr>
      <w:r>
        <w:separator/>
      </w:r>
    </w:p>
  </w:footnote>
  <w:footnote w:type="continuationSeparator" w:id="0">
    <w:p w14:paraId="4742B47F" w14:textId="77777777" w:rsidR="004C316D" w:rsidRDefault="004C316D" w:rsidP="004C316D">
      <w:pPr>
        <w:spacing w:after="0" w:line="240" w:lineRule="auto"/>
      </w:pPr>
      <w:r>
        <w:continuationSeparator/>
      </w:r>
    </w:p>
  </w:footnote>
  <w:footnote w:id="1">
    <w:p w14:paraId="45D14E7C" w14:textId="77777777" w:rsidR="00615C1E" w:rsidRDefault="00615C1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FE3B28">
          <w:rPr>
            <w:rStyle w:val="Hyperlink"/>
          </w:rPr>
          <w:t>https://www.ojec.com/thresholds.aspx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612C6" w14:textId="77777777" w:rsidR="004C316D" w:rsidRDefault="000319E2" w:rsidP="004C316D">
    <w:pPr>
      <w:pStyle w:val="Header"/>
      <w:jc w:val="right"/>
    </w:pPr>
    <w:r>
      <w:rPr>
        <w:noProof/>
        <w:lang w:eastAsia="en-GB"/>
      </w:rPr>
      <w:drawing>
        <wp:inline distT="0" distB="0" distL="0" distR="0" wp14:anchorId="532EA973" wp14:editId="40277C1E">
          <wp:extent cx="1512010" cy="850790"/>
          <wp:effectExtent l="0" t="0" r="0" b="698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H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9937" cy="8608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C85"/>
    <w:rsid w:val="00011CD5"/>
    <w:rsid w:val="000319E2"/>
    <w:rsid w:val="0008680F"/>
    <w:rsid w:val="0015068E"/>
    <w:rsid w:val="001B0C13"/>
    <w:rsid w:val="001B57B8"/>
    <w:rsid w:val="001F528E"/>
    <w:rsid w:val="00320C85"/>
    <w:rsid w:val="003F12DB"/>
    <w:rsid w:val="004C316D"/>
    <w:rsid w:val="00615C1E"/>
    <w:rsid w:val="00623080"/>
    <w:rsid w:val="00683C0E"/>
    <w:rsid w:val="00687B22"/>
    <w:rsid w:val="006C2F4F"/>
    <w:rsid w:val="00756315"/>
    <w:rsid w:val="007862AD"/>
    <w:rsid w:val="009D689D"/>
    <w:rsid w:val="00A23ADC"/>
    <w:rsid w:val="00A25B88"/>
    <w:rsid w:val="00A90E70"/>
    <w:rsid w:val="00AB140C"/>
    <w:rsid w:val="00AD3410"/>
    <w:rsid w:val="00AD78B1"/>
    <w:rsid w:val="00B66F02"/>
    <w:rsid w:val="00BB0000"/>
    <w:rsid w:val="00BF3EA4"/>
    <w:rsid w:val="00C0288E"/>
    <w:rsid w:val="00C33314"/>
    <w:rsid w:val="00C430C7"/>
    <w:rsid w:val="00CD633A"/>
    <w:rsid w:val="00DD4C7F"/>
    <w:rsid w:val="00EA6F49"/>
    <w:rsid w:val="00FE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5A35CF12"/>
  <w15:docId w15:val="{69CCCD5E-2728-4F00-9122-16C6C4E82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0C8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0C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A23A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0C1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B0C1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31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16D"/>
  </w:style>
  <w:style w:type="paragraph" w:styleId="Footer">
    <w:name w:val="footer"/>
    <w:basedOn w:val="Normal"/>
    <w:link w:val="FooterChar"/>
    <w:uiPriority w:val="99"/>
    <w:unhideWhenUsed/>
    <w:rsid w:val="004C31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16D"/>
  </w:style>
  <w:style w:type="paragraph" w:styleId="BalloonText">
    <w:name w:val="Balloon Text"/>
    <w:basedOn w:val="Normal"/>
    <w:link w:val="BalloonTextChar"/>
    <w:uiPriority w:val="99"/>
    <w:semiHidden/>
    <w:unhideWhenUsed/>
    <w:rsid w:val="004C3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1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D4C7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DefaultText">
    <w:name w:val="Default Text"/>
    <w:basedOn w:val="Normal"/>
    <w:rsid w:val="000868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1">
    <w:name w:val="Normal1"/>
    <w:rsid w:val="007862A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15C1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5C1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15C1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BF3E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3E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3E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3E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3EA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F3E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3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eatermanchester-ca.gov.uk/downloads/file/117/gmca_social_value_policy_-_november_201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tockporthomes.org/media/3063/corporate-social-responsibility-policy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ojec.com/thresholds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AEEA5-7EF5-41CB-A0F8-237ABF88B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Trafford Housing Trust</Company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 Wilde</dc:creator>
  <cp:lastModifiedBy>Kate Crowther</cp:lastModifiedBy>
  <cp:revision>4</cp:revision>
  <dcterms:created xsi:type="dcterms:W3CDTF">2018-06-21T12:14:00Z</dcterms:created>
  <dcterms:modified xsi:type="dcterms:W3CDTF">2018-06-21T12:28:00Z</dcterms:modified>
</cp:coreProperties>
</file>